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647451" w:rsidRDefault="00647451" w:rsidP="00647451">
            <w:pPr>
              <w:spacing w:line="20" w:lineRule="exact"/>
              <w:rPr>
                <w:sz w:val="2"/>
              </w:rPr>
            </w:pPr>
            <w:r>
              <w:rPr>
                <w:rStyle w:val="CommentReference"/>
                <w:rFonts w:eastAsia="Calibri"/>
              </w:rPr>
              <w:commentReference w:id="0"/>
            </w:r>
            <w:bookmarkStart w:id="1" w:name="_GoBack"/>
            <w:bookmarkEnd w:id="1"/>
          </w:p>
          <w:p w:rsidR="00647451" w:rsidRDefault="00647451"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003C19" w:rsidP="00003C19">
            <w:pPr>
              <w:jc w:val="right"/>
            </w:pPr>
            <w:r w:rsidRPr="00003C19">
              <w:rPr>
                <w:sz w:val="40"/>
              </w:rPr>
              <w:t>CCPR</w:t>
            </w:r>
            <w:r>
              <w:t>/C/DNK/6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6A300B" w:rsidP="00B6553F">
            <w:pPr>
              <w:spacing w:before="120"/>
            </w:pPr>
            <w:r>
              <w:rPr>
                <w:noProof/>
                <w:lang w:val="en-US" w:eastAsia="zh-CN"/>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003C19" w:rsidP="00003C19">
            <w:pPr>
              <w:spacing w:before="240" w:line="240" w:lineRule="exact"/>
            </w:pPr>
            <w:r>
              <w:t>Distr.: General</w:t>
            </w:r>
          </w:p>
          <w:p w:rsidR="00003C19" w:rsidRDefault="00920042" w:rsidP="00003C19">
            <w:pPr>
              <w:spacing w:line="240" w:lineRule="exact"/>
            </w:pPr>
            <w:r>
              <w:t>10 November</w:t>
            </w:r>
            <w:r w:rsidR="00003C19">
              <w:t xml:space="preserve"> 2015</w:t>
            </w:r>
          </w:p>
          <w:p w:rsidR="00003C19" w:rsidRDefault="00003C19" w:rsidP="00003C19">
            <w:pPr>
              <w:spacing w:line="240" w:lineRule="exact"/>
            </w:pPr>
          </w:p>
          <w:p w:rsidR="00003C19" w:rsidRDefault="00003C19" w:rsidP="00003C19">
            <w:pPr>
              <w:spacing w:line="240" w:lineRule="exact"/>
            </w:pPr>
            <w:r>
              <w:t>Original: English</w:t>
            </w:r>
            <w:r w:rsidR="006A300B">
              <w:br/>
              <w:t>English, French and Spanish only</w:t>
            </w:r>
          </w:p>
        </w:tc>
      </w:tr>
    </w:tbl>
    <w:p w:rsidR="00003C19" w:rsidRDefault="00003C19" w:rsidP="00003C19">
      <w:pPr>
        <w:spacing w:before="120"/>
        <w:rPr>
          <w:b/>
          <w:sz w:val="24"/>
        </w:rPr>
      </w:pPr>
      <w:r>
        <w:rPr>
          <w:b/>
          <w:sz w:val="24"/>
        </w:rPr>
        <w:t>Human Rights Committee</w:t>
      </w:r>
    </w:p>
    <w:p w:rsidR="00003C19" w:rsidRDefault="00003C19" w:rsidP="00003C19">
      <w:pPr>
        <w:pStyle w:val="HMG"/>
      </w:pPr>
      <w:r>
        <w:tab/>
      </w:r>
      <w:r>
        <w:tab/>
        <w:t>Consideration of reports submitted by States parties under article 40 of the Covenant pursuant to the optional reporting procedure</w:t>
      </w:r>
    </w:p>
    <w:p w:rsidR="00003C19" w:rsidRDefault="00003C19">
      <w:pPr>
        <w:pStyle w:val="HChG"/>
      </w:pPr>
      <w:r>
        <w:tab/>
      </w:r>
      <w:r>
        <w:tab/>
        <w:t xml:space="preserve">Sixth periodic </w:t>
      </w:r>
      <w:r w:rsidRPr="008A6FF2">
        <w:t>report</w:t>
      </w:r>
      <w:r w:rsidR="00F1743B" w:rsidRPr="008A6FF2">
        <w:t>s</w:t>
      </w:r>
      <w:r>
        <w:t xml:space="preserve"> of States parties due in 2013</w:t>
      </w:r>
    </w:p>
    <w:p w:rsidR="00003C19" w:rsidRPr="0043641E" w:rsidRDefault="00003C19" w:rsidP="00003C19">
      <w:pPr>
        <w:pStyle w:val="HMG"/>
      </w:pPr>
      <w:r>
        <w:tab/>
      </w:r>
      <w:r>
        <w:tab/>
        <w:t>Denmark</w:t>
      </w:r>
      <w:r w:rsidRPr="00A11A9E">
        <w:rPr>
          <w:rStyle w:val="FootnoteReference"/>
          <w:b w:val="0"/>
          <w:bCs/>
          <w:sz w:val="20"/>
        </w:rPr>
        <w:footnoteReference w:customMarkFollows="1" w:id="2"/>
        <w:t>*</w:t>
      </w:r>
      <w:r w:rsidR="00130F5E" w:rsidRPr="00A11A9E">
        <w:rPr>
          <w:b w:val="0"/>
          <w:bCs/>
          <w:position w:val="4"/>
          <w:sz w:val="20"/>
          <w:vertAlign w:val="superscript"/>
        </w:rPr>
        <w:t>,</w:t>
      </w:r>
      <w:r w:rsidR="00F1743B" w:rsidRPr="00A11A9E">
        <w:rPr>
          <w:b w:val="0"/>
          <w:bCs/>
          <w:position w:val="4"/>
          <w:sz w:val="20"/>
          <w:vertAlign w:val="superscript"/>
        </w:rPr>
        <w:t xml:space="preserve"> </w:t>
      </w:r>
      <w:r w:rsidRPr="00A11A9E">
        <w:rPr>
          <w:rStyle w:val="FootnoteReference"/>
          <w:b w:val="0"/>
          <w:bCs/>
          <w:sz w:val="20"/>
        </w:rPr>
        <w:footnoteReference w:customMarkFollows="1" w:id="3"/>
        <w:t>**</w:t>
      </w:r>
    </w:p>
    <w:p w:rsidR="00003C19" w:rsidRDefault="00003C19" w:rsidP="00003C19">
      <w:pPr>
        <w:pStyle w:val="SingleTxtG"/>
        <w:jc w:val="right"/>
      </w:pPr>
      <w:r>
        <w:t>[Date received: 29 September 2015]</w:t>
      </w:r>
    </w:p>
    <w:p w:rsidR="00F602AA" w:rsidRDefault="00F602AA">
      <w:pPr>
        <w:suppressAutoHyphens w:val="0"/>
        <w:spacing w:line="240" w:lineRule="auto"/>
        <w:rPr>
          <w:b/>
          <w:sz w:val="28"/>
        </w:rPr>
      </w:pPr>
      <w:bookmarkStart w:id="2" w:name="_Toc430941889"/>
      <w:r>
        <w:br w:type="page"/>
      </w:r>
    </w:p>
    <w:p w:rsidR="00F602AA" w:rsidRPr="00A11A9E" w:rsidRDefault="00F602AA" w:rsidP="00F602AA">
      <w:pPr>
        <w:spacing w:after="120"/>
        <w:rPr>
          <w:sz w:val="28"/>
          <w:lang w:val="fr-FR"/>
        </w:rPr>
      </w:pPr>
      <w:r w:rsidRPr="00A11A9E">
        <w:rPr>
          <w:sz w:val="28"/>
          <w:lang w:val="fr-FR"/>
        </w:rPr>
        <w:lastRenderedPageBreak/>
        <w:t>Contents</w:t>
      </w:r>
    </w:p>
    <w:p w:rsidR="00F602AA" w:rsidRPr="00A11A9E" w:rsidRDefault="00F602AA" w:rsidP="00F602AA">
      <w:pPr>
        <w:tabs>
          <w:tab w:val="right" w:pos="9638"/>
        </w:tabs>
        <w:spacing w:after="120"/>
        <w:ind w:left="283"/>
        <w:rPr>
          <w:sz w:val="18"/>
          <w:lang w:val="fr-FR"/>
        </w:rPr>
      </w:pPr>
      <w:r w:rsidRPr="00A11A9E">
        <w:rPr>
          <w:i/>
          <w:sz w:val="18"/>
          <w:lang w:val="fr-FR"/>
        </w:rPr>
        <w:tab/>
        <w:t>Page</w:t>
      </w:r>
    </w:p>
    <w:p w:rsidR="00F602AA" w:rsidRPr="00A11A9E" w:rsidRDefault="00F602AA" w:rsidP="00F602AA">
      <w:pPr>
        <w:tabs>
          <w:tab w:val="right" w:pos="850"/>
          <w:tab w:val="left" w:pos="1134"/>
          <w:tab w:val="left" w:pos="1559"/>
          <w:tab w:val="left" w:pos="1984"/>
          <w:tab w:val="left" w:leader="dot" w:pos="8929"/>
          <w:tab w:val="right" w:pos="9638"/>
        </w:tabs>
        <w:spacing w:after="120"/>
        <w:rPr>
          <w:lang w:val="fr-FR"/>
        </w:rPr>
      </w:pPr>
      <w:r w:rsidRPr="00A11A9E">
        <w:rPr>
          <w:lang w:val="fr-FR"/>
        </w:rPr>
        <w:tab/>
      </w:r>
      <w:r w:rsidRPr="00A11A9E">
        <w:rPr>
          <w:lang w:val="fr-FR"/>
        </w:rPr>
        <w:tab/>
      </w:r>
      <w:r w:rsidRPr="00A11A9E">
        <w:rPr>
          <w:lang w:val="fr-FR"/>
        </w:rPr>
        <w:tab/>
        <w:t>Abbreviations</w:t>
      </w:r>
      <w:r w:rsidRPr="00A11A9E">
        <w:rPr>
          <w:lang w:val="fr-FR"/>
        </w:rPr>
        <w:tab/>
      </w:r>
      <w:r w:rsidRPr="00A11A9E">
        <w:rPr>
          <w:lang w:val="fr-FR"/>
        </w:rPr>
        <w:tab/>
      </w:r>
      <w:r w:rsidR="00017FF1" w:rsidRPr="00A11A9E">
        <w:rPr>
          <w:lang w:val="fr-FR"/>
        </w:rPr>
        <w:t>3</w:t>
      </w:r>
    </w:p>
    <w:p w:rsidR="00F602AA" w:rsidRPr="00A11A9E" w:rsidRDefault="00F602AA" w:rsidP="00F602AA">
      <w:pPr>
        <w:tabs>
          <w:tab w:val="right" w:pos="850"/>
          <w:tab w:val="left" w:pos="1134"/>
          <w:tab w:val="left" w:pos="1559"/>
          <w:tab w:val="left" w:pos="1984"/>
          <w:tab w:val="left" w:leader="dot" w:pos="8929"/>
          <w:tab w:val="right" w:pos="9638"/>
        </w:tabs>
        <w:spacing w:after="120"/>
        <w:rPr>
          <w:lang w:val="fr-FR"/>
        </w:rPr>
      </w:pPr>
      <w:r w:rsidRPr="00A11A9E">
        <w:rPr>
          <w:lang w:val="fr-FR"/>
        </w:rPr>
        <w:tab/>
      </w:r>
      <w:r w:rsidRPr="00A11A9E">
        <w:rPr>
          <w:lang w:val="fr-FR"/>
        </w:rPr>
        <w:tab/>
        <w:t>I.</w:t>
      </w:r>
      <w:r w:rsidRPr="00A11A9E">
        <w:rPr>
          <w:lang w:val="fr-FR"/>
        </w:rPr>
        <w:tab/>
        <w:t>Introduction</w:t>
      </w:r>
      <w:r w:rsidRPr="00A11A9E">
        <w:rPr>
          <w:lang w:val="fr-FR"/>
        </w:rPr>
        <w:tab/>
      </w:r>
      <w:r w:rsidRPr="00A11A9E">
        <w:rPr>
          <w:lang w:val="fr-FR"/>
        </w:rPr>
        <w:tab/>
      </w:r>
      <w:r w:rsidR="00017FF1" w:rsidRPr="00A11A9E">
        <w:rPr>
          <w:lang w:val="fr-FR"/>
        </w:rPr>
        <w:t>4</w:t>
      </w:r>
    </w:p>
    <w:p w:rsidR="00F602AA" w:rsidRDefault="00F602AA" w:rsidP="00F602AA">
      <w:pPr>
        <w:tabs>
          <w:tab w:val="right" w:pos="850"/>
          <w:tab w:val="left" w:pos="1134"/>
          <w:tab w:val="left" w:pos="1559"/>
          <w:tab w:val="left" w:pos="1984"/>
          <w:tab w:val="left" w:leader="dot" w:pos="8929"/>
          <w:tab w:val="right" w:pos="9638"/>
        </w:tabs>
        <w:spacing w:after="120"/>
      </w:pPr>
      <w:r w:rsidRPr="00A11A9E">
        <w:rPr>
          <w:lang w:val="fr-FR"/>
        </w:rPr>
        <w:tab/>
      </w:r>
      <w:r w:rsidRPr="00A11A9E">
        <w:rPr>
          <w:lang w:val="fr-FR"/>
        </w:rPr>
        <w:tab/>
      </w:r>
      <w:r>
        <w:t>II.</w:t>
      </w:r>
      <w:r>
        <w:tab/>
      </w:r>
      <w:r w:rsidRPr="00F602AA">
        <w:t>Specific information on the implementation of articles 1 to 27 of the Covenant</w:t>
      </w:r>
      <w:r>
        <w:tab/>
      </w:r>
      <w:r>
        <w:tab/>
      </w:r>
      <w:r w:rsidR="00017FF1">
        <w:t>7</w:t>
      </w:r>
    </w:p>
    <w:p w:rsidR="00F602AA" w:rsidRDefault="00F602AA" w:rsidP="00F602AA">
      <w:pPr>
        <w:tabs>
          <w:tab w:val="right" w:pos="850"/>
          <w:tab w:val="left" w:pos="1134"/>
          <w:tab w:val="left" w:pos="1559"/>
          <w:tab w:val="left" w:pos="1984"/>
          <w:tab w:val="left" w:leader="dot" w:pos="8929"/>
          <w:tab w:val="right" w:pos="9638"/>
        </w:tabs>
        <w:spacing w:after="120"/>
      </w:pPr>
      <w:r>
        <w:tab/>
      </w:r>
      <w:r>
        <w:tab/>
      </w:r>
      <w:r>
        <w:tab/>
      </w:r>
      <w:r w:rsidRPr="00F602AA">
        <w:t>Constitutional and legal framework within which the Covenant is implemented</w:t>
      </w:r>
      <w:r>
        <w:tab/>
      </w:r>
      <w:r>
        <w:tab/>
      </w:r>
      <w:r w:rsidR="00017FF1">
        <w:t>7</w:t>
      </w:r>
    </w:p>
    <w:p w:rsidR="00F602AA" w:rsidRDefault="00F602AA" w:rsidP="00F602AA">
      <w:pPr>
        <w:tabs>
          <w:tab w:val="right" w:pos="850"/>
          <w:tab w:val="left" w:pos="1134"/>
          <w:tab w:val="left" w:pos="1559"/>
          <w:tab w:val="left" w:pos="1984"/>
          <w:tab w:val="left" w:leader="dot" w:pos="8929"/>
          <w:tab w:val="right" w:pos="9638"/>
        </w:tabs>
        <w:spacing w:after="120"/>
      </w:pPr>
      <w:r>
        <w:tab/>
      </w:r>
      <w:r>
        <w:tab/>
      </w:r>
      <w:r>
        <w:tab/>
      </w:r>
      <w:r w:rsidRPr="00F602AA">
        <w:t>Counter-terrorism measures and respect for the rights guaranteed in the Covenant</w:t>
      </w:r>
      <w:r>
        <w:tab/>
      </w:r>
      <w:r>
        <w:tab/>
      </w:r>
      <w:r w:rsidR="00017FF1">
        <w:t>9</w:t>
      </w:r>
    </w:p>
    <w:p w:rsidR="00F602AA" w:rsidRDefault="00F602AA" w:rsidP="00F602AA">
      <w:pPr>
        <w:tabs>
          <w:tab w:val="right" w:pos="850"/>
          <w:tab w:val="left" w:pos="1134"/>
          <w:tab w:val="left" w:pos="1559"/>
          <w:tab w:val="left" w:pos="1984"/>
          <w:tab w:val="left" w:leader="dot" w:pos="8929"/>
          <w:tab w:val="right" w:pos="9638"/>
        </w:tabs>
        <w:spacing w:after="120"/>
      </w:pPr>
      <w:r>
        <w:tab/>
      </w:r>
      <w:r>
        <w:tab/>
      </w:r>
      <w:r>
        <w:tab/>
      </w:r>
      <w:r w:rsidRPr="00F602AA">
        <w:t xml:space="preserve">Equality between men and women, non-discrimination, </w:t>
      </w:r>
      <w:r w:rsidR="00163A55">
        <w:br/>
      </w:r>
      <w:r w:rsidR="00163A55">
        <w:tab/>
      </w:r>
      <w:r w:rsidR="00163A55">
        <w:tab/>
      </w:r>
      <w:r w:rsidR="00163A55">
        <w:tab/>
      </w:r>
      <w:r w:rsidRPr="00F602AA">
        <w:t>and political participation of women</w:t>
      </w:r>
      <w:r>
        <w:tab/>
      </w:r>
      <w:r w:rsidR="00163A55">
        <w:tab/>
      </w:r>
      <w:r w:rsidR="00C31EB7">
        <w:t>14</w:t>
      </w:r>
    </w:p>
    <w:p w:rsidR="00F602AA" w:rsidRDefault="00F602AA" w:rsidP="00F602AA">
      <w:pPr>
        <w:tabs>
          <w:tab w:val="right" w:pos="850"/>
          <w:tab w:val="left" w:pos="1134"/>
          <w:tab w:val="left" w:pos="1559"/>
          <w:tab w:val="left" w:pos="1984"/>
          <w:tab w:val="left" w:leader="dot" w:pos="8929"/>
          <w:tab w:val="right" w:pos="9638"/>
        </w:tabs>
        <w:spacing w:after="120"/>
      </w:pPr>
      <w:r>
        <w:tab/>
      </w:r>
      <w:r>
        <w:tab/>
      </w:r>
      <w:r>
        <w:tab/>
      </w:r>
      <w:r w:rsidRPr="00F602AA">
        <w:t>Violence against women, including domestic violence</w:t>
      </w:r>
      <w:r>
        <w:tab/>
      </w:r>
      <w:r>
        <w:tab/>
      </w:r>
      <w:r w:rsidR="00D12C85">
        <w:t>19</w:t>
      </w:r>
    </w:p>
    <w:p w:rsidR="00F602AA" w:rsidRDefault="00F602AA" w:rsidP="00F602AA">
      <w:pPr>
        <w:tabs>
          <w:tab w:val="right" w:pos="850"/>
          <w:tab w:val="left" w:pos="1134"/>
          <w:tab w:val="left" w:pos="1559"/>
          <w:tab w:val="left" w:pos="1984"/>
          <w:tab w:val="left" w:leader="dot" w:pos="8929"/>
          <w:tab w:val="right" w:pos="9638"/>
        </w:tabs>
        <w:spacing w:after="120"/>
      </w:pPr>
      <w:r>
        <w:tab/>
      </w:r>
      <w:r>
        <w:tab/>
      </w:r>
      <w:r>
        <w:tab/>
      </w:r>
      <w:r w:rsidRPr="00F602AA">
        <w:t xml:space="preserve">Prohibition of torture and of other cruel, inhuman or degrading treatment or punishment, </w:t>
      </w:r>
      <w:r>
        <w:br/>
      </w:r>
      <w:r>
        <w:tab/>
      </w:r>
      <w:r>
        <w:tab/>
      </w:r>
      <w:r>
        <w:tab/>
      </w:r>
      <w:r w:rsidRPr="00F602AA">
        <w:t>excessive use of force, security of person and treatment of prisoners, and juvenile justice</w:t>
      </w:r>
      <w:r>
        <w:tab/>
      </w:r>
      <w:r>
        <w:tab/>
      </w:r>
      <w:r w:rsidR="001E1F9C">
        <w:t>21</w:t>
      </w:r>
    </w:p>
    <w:p w:rsidR="000B04B0" w:rsidRDefault="000B04B0">
      <w:pPr>
        <w:tabs>
          <w:tab w:val="right" w:pos="850"/>
          <w:tab w:val="left" w:pos="1134"/>
          <w:tab w:val="left" w:pos="1559"/>
          <w:tab w:val="left" w:pos="1984"/>
          <w:tab w:val="left" w:leader="dot" w:pos="8929"/>
          <w:tab w:val="right" w:pos="9638"/>
        </w:tabs>
        <w:spacing w:after="120"/>
      </w:pPr>
      <w:r>
        <w:tab/>
      </w:r>
      <w:r>
        <w:tab/>
      </w:r>
      <w:r>
        <w:tab/>
      </w:r>
      <w:r w:rsidRPr="00016C56">
        <w:t xml:space="preserve">Prohibition of slavery or forced or compulsory labour </w:t>
      </w:r>
      <w:r>
        <w:tab/>
      </w:r>
      <w:r>
        <w:tab/>
        <w:t>27</w:t>
      </w:r>
    </w:p>
    <w:p w:rsidR="00F602AA" w:rsidRDefault="00F602AA" w:rsidP="00F602AA">
      <w:pPr>
        <w:tabs>
          <w:tab w:val="right" w:pos="850"/>
          <w:tab w:val="left" w:pos="1134"/>
          <w:tab w:val="left" w:pos="1559"/>
          <w:tab w:val="left" w:pos="1984"/>
          <w:tab w:val="left" w:leader="dot" w:pos="8929"/>
          <w:tab w:val="right" w:pos="9638"/>
        </w:tabs>
        <w:spacing w:after="120"/>
      </w:pPr>
      <w:r>
        <w:tab/>
      </w:r>
      <w:r>
        <w:tab/>
      </w:r>
      <w:r>
        <w:tab/>
      </w:r>
      <w:r w:rsidRPr="00F602AA">
        <w:t>Non-discrimination and protection against arbitrary expulsion of foreigners</w:t>
      </w:r>
      <w:r>
        <w:tab/>
      </w:r>
      <w:r>
        <w:tab/>
      </w:r>
      <w:r w:rsidR="000B04B0">
        <w:t>28</w:t>
      </w:r>
    </w:p>
    <w:p w:rsidR="00F602AA" w:rsidRDefault="00F602AA" w:rsidP="00F602AA">
      <w:pPr>
        <w:tabs>
          <w:tab w:val="right" w:pos="850"/>
          <w:tab w:val="left" w:pos="1134"/>
          <w:tab w:val="left" w:pos="1559"/>
          <w:tab w:val="left" w:pos="1984"/>
          <w:tab w:val="left" w:leader="dot" w:pos="8929"/>
          <w:tab w:val="right" w:pos="9638"/>
        </w:tabs>
        <w:spacing w:after="120"/>
      </w:pPr>
      <w:r>
        <w:tab/>
      </w:r>
      <w:r>
        <w:tab/>
      </w:r>
      <w:r>
        <w:tab/>
      </w:r>
      <w:r w:rsidRPr="00F602AA">
        <w:t>Freedom of religion and equal protection</w:t>
      </w:r>
      <w:r>
        <w:tab/>
      </w:r>
      <w:r>
        <w:tab/>
      </w:r>
      <w:r w:rsidR="006373F1">
        <w:t>30</w:t>
      </w:r>
    </w:p>
    <w:p w:rsidR="00F602AA" w:rsidRDefault="00F602AA" w:rsidP="00F602AA">
      <w:pPr>
        <w:tabs>
          <w:tab w:val="right" w:pos="850"/>
          <w:tab w:val="left" w:pos="1134"/>
          <w:tab w:val="left" w:pos="1559"/>
          <w:tab w:val="left" w:pos="1984"/>
          <w:tab w:val="left" w:leader="dot" w:pos="8929"/>
          <w:tab w:val="right" w:pos="9638"/>
        </w:tabs>
        <w:spacing w:after="120"/>
      </w:pPr>
      <w:r>
        <w:tab/>
      </w:r>
      <w:r>
        <w:tab/>
      </w:r>
      <w:r>
        <w:tab/>
      </w:r>
      <w:r w:rsidRPr="00F602AA">
        <w:t>Freedom of expression and incitement to national, racial or religious hatred</w:t>
      </w:r>
      <w:r>
        <w:tab/>
      </w:r>
      <w:r>
        <w:tab/>
      </w:r>
      <w:r w:rsidR="006373F1">
        <w:t>31</w:t>
      </w:r>
    </w:p>
    <w:p w:rsidR="00F602AA" w:rsidRDefault="00F602AA" w:rsidP="00F602AA">
      <w:pPr>
        <w:tabs>
          <w:tab w:val="right" w:pos="850"/>
          <w:tab w:val="left" w:pos="1134"/>
          <w:tab w:val="left" w:pos="1559"/>
          <w:tab w:val="left" w:pos="1984"/>
          <w:tab w:val="left" w:leader="dot" w:pos="8929"/>
          <w:tab w:val="right" w:pos="9638"/>
        </w:tabs>
        <w:spacing w:after="120"/>
      </w:pPr>
      <w:r>
        <w:tab/>
      </w:r>
      <w:r>
        <w:tab/>
      </w:r>
      <w:r>
        <w:tab/>
      </w:r>
      <w:r w:rsidRPr="00F602AA">
        <w:t>Rights of persons belonging to minorities</w:t>
      </w:r>
      <w:r>
        <w:tab/>
      </w:r>
      <w:r>
        <w:tab/>
      </w:r>
      <w:r w:rsidR="006373F1">
        <w:t>32</w:t>
      </w:r>
    </w:p>
    <w:p w:rsidR="00F602AA" w:rsidRDefault="00F602AA" w:rsidP="00F602AA">
      <w:pPr>
        <w:tabs>
          <w:tab w:val="right" w:pos="850"/>
          <w:tab w:val="left" w:pos="1134"/>
          <w:tab w:val="left" w:pos="1559"/>
          <w:tab w:val="left" w:pos="1984"/>
          <w:tab w:val="left" w:leader="dot" w:pos="8929"/>
          <w:tab w:val="right" w:pos="9638"/>
        </w:tabs>
        <w:spacing w:after="120"/>
      </w:pPr>
      <w:r>
        <w:tab/>
      </w:r>
      <w:r>
        <w:tab/>
      </w:r>
      <w:r>
        <w:tab/>
      </w:r>
      <w:r w:rsidRPr="00F602AA">
        <w:t>Dissemination of information relating to the Covenant and the Optional Protocol (art. 2)</w:t>
      </w:r>
      <w:r>
        <w:tab/>
      </w:r>
      <w:r>
        <w:tab/>
      </w:r>
      <w:r w:rsidR="00A2717E">
        <w:t>34</w:t>
      </w:r>
    </w:p>
    <w:p w:rsidR="00F602AA" w:rsidRDefault="00F602AA" w:rsidP="00F602AA">
      <w:pPr>
        <w:tabs>
          <w:tab w:val="right" w:pos="850"/>
          <w:tab w:val="left" w:pos="1134"/>
          <w:tab w:val="left" w:pos="1559"/>
          <w:tab w:val="left" w:pos="1984"/>
          <w:tab w:val="left" w:leader="dot" w:pos="8929"/>
          <w:tab w:val="right" w:pos="9638"/>
        </w:tabs>
        <w:spacing w:after="120"/>
      </w:pPr>
      <w:r>
        <w:tab/>
      </w:r>
      <w:r>
        <w:tab/>
        <w:t>III.</w:t>
      </w:r>
      <w:r>
        <w:tab/>
      </w:r>
      <w:r w:rsidRPr="00F602AA">
        <w:t>Reporting on Greenland</w:t>
      </w:r>
      <w:r>
        <w:tab/>
      </w:r>
      <w:r>
        <w:tab/>
      </w:r>
      <w:r w:rsidR="00A2717E">
        <w:t>35</w:t>
      </w:r>
    </w:p>
    <w:p w:rsidR="00A2717E" w:rsidRDefault="00A2717E">
      <w:pPr>
        <w:tabs>
          <w:tab w:val="right" w:pos="850"/>
          <w:tab w:val="left" w:pos="1134"/>
          <w:tab w:val="left" w:pos="1559"/>
          <w:tab w:val="left" w:pos="1984"/>
          <w:tab w:val="left" w:leader="dot" w:pos="8929"/>
          <w:tab w:val="right" w:pos="9638"/>
        </w:tabs>
        <w:spacing w:after="120"/>
      </w:pPr>
      <w:r>
        <w:tab/>
      </w:r>
      <w:r>
        <w:tab/>
      </w:r>
      <w:r>
        <w:tab/>
      </w:r>
      <w:r w:rsidRPr="00D06650">
        <w:rPr>
          <w:lang w:val="en-US"/>
        </w:rPr>
        <w:t xml:space="preserve">The </w:t>
      </w:r>
      <w:r>
        <w:rPr>
          <w:lang w:val="en-US"/>
        </w:rPr>
        <w:t xml:space="preserve">Act on </w:t>
      </w:r>
      <w:r w:rsidRPr="00D06650">
        <w:rPr>
          <w:lang w:val="en-US"/>
        </w:rPr>
        <w:t xml:space="preserve">Greenland Self-Government </w:t>
      </w:r>
      <w:r>
        <w:tab/>
      </w:r>
      <w:r>
        <w:tab/>
        <w:t>35</w:t>
      </w:r>
    </w:p>
    <w:p w:rsidR="00A2717E" w:rsidRDefault="00A2717E">
      <w:pPr>
        <w:tabs>
          <w:tab w:val="right" w:pos="850"/>
          <w:tab w:val="left" w:pos="1134"/>
          <w:tab w:val="left" w:pos="1559"/>
          <w:tab w:val="left" w:pos="1984"/>
          <w:tab w:val="left" w:leader="dot" w:pos="8929"/>
          <w:tab w:val="right" w:pos="9638"/>
        </w:tabs>
        <w:spacing w:after="120"/>
      </w:pPr>
      <w:r>
        <w:tab/>
      </w:r>
      <w:r>
        <w:tab/>
      </w:r>
      <w:r>
        <w:tab/>
      </w:r>
      <w:r w:rsidRPr="00D06650">
        <w:rPr>
          <w:lang w:val="en-US"/>
        </w:rPr>
        <w:t>The Greenland Human Rights Council</w:t>
      </w:r>
      <w:r>
        <w:tab/>
      </w:r>
      <w:r>
        <w:tab/>
        <w:t>36</w:t>
      </w:r>
    </w:p>
    <w:p w:rsidR="00A2717E" w:rsidRDefault="00A2717E">
      <w:pPr>
        <w:tabs>
          <w:tab w:val="right" w:pos="850"/>
          <w:tab w:val="left" w:pos="1134"/>
          <w:tab w:val="left" w:pos="1559"/>
          <w:tab w:val="left" w:pos="1984"/>
          <w:tab w:val="left" w:leader="dot" w:pos="8929"/>
          <w:tab w:val="right" w:pos="9638"/>
        </w:tabs>
        <w:spacing w:after="120"/>
      </w:pPr>
      <w:r>
        <w:tab/>
      </w:r>
      <w:r>
        <w:tab/>
      </w:r>
      <w:r>
        <w:tab/>
      </w:r>
      <w:r w:rsidRPr="00EA7BD5">
        <w:rPr>
          <w:lang w:val="en-US"/>
        </w:rPr>
        <w:t>Reconciliation Commission</w:t>
      </w:r>
      <w:r>
        <w:tab/>
      </w:r>
      <w:r>
        <w:tab/>
        <w:t>36</w:t>
      </w:r>
    </w:p>
    <w:p w:rsidR="00A2717E" w:rsidRDefault="00A2717E">
      <w:pPr>
        <w:tabs>
          <w:tab w:val="right" w:pos="850"/>
          <w:tab w:val="left" w:pos="1134"/>
          <w:tab w:val="left" w:pos="1559"/>
          <w:tab w:val="left" w:pos="1984"/>
          <w:tab w:val="left" w:leader="dot" w:pos="8929"/>
          <w:tab w:val="right" w:pos="9638"/>
        </w:tabs>
        <w:spacing w:after="120"/>
      </w:pPr>
      <w:r>
        <w:tab/>
      </w:r>
      <w:r>
        <w:tab/>
      </w:r>
      <w:r>
        <w:tab/>
      </w:r>
      <w:r w:rsidRPr="00EA7BD5">
        <w:rPr>
          <w:lang w:val="en-US"/>
        </w:rPr>
        <w:t>“Legally fatherless” Greenlanders</w:t>
      </w:r>
      <w:r>
        <w:tab/>
      </w:r>
      <w:r>
        <w:tab/>
        <w:t>36</w:t>
      </w:r>
    </w:p>
    <w:p w:rsidR="00F602AA" w:rsidRDefault="00F602AA" w:rsidP="00F602AA">
      <w:pPr>
        <w:tabs>
          <w:tab w:val="right" w:pos="850"/>
          <w:tab w:val="left" w:pos="1134"/>
          <w:tab w:val="left" w:pos="1559"/>
          <w:tab w:val="left" w:pos="1984"/>
          <w:tab w:val="left" w:leader="dot" w:pos="8929"/>
          <w:tab w:val="right" w:pos="9638"/>
        </w:tabs>
        <w:spacing w:after="120"/>
      </w:pPr>
      <w:r>
        <w:tab/>
      </w:r>
      <w:r>
        <w:tab/>
      </w:r>
      <w:r w:rsidRPr="00F602AA">
        <w:t>IV.</w:t>
      </w:r>
      <w:r>
        <w:tab/>
      </w:r>
      <w:r w:rsidRPr="00F602AA">
        <w:t>Reporting on the Faroe Islands</w:t>
      </w:r>
      <w:r>
        <w:tab/>
      </w:r>
      <w:r>
        <w:tab/>
      </w:r>
      <w:r w:rsidR="00A2717E">
        <w:t>37</w:t>
      </w:r>
    </w:p>
    <w:p w:rsidR="00A2717E" w:rsidRDefault="00A2717E">
      <w:pPr>
        <w:tabs>
          <w:tab w:val="right" w:pos="850"/>
          <w:tab w:val="left" w:pos="1134"/>
          <w:tab w:val="left" w:pos="1559"/>
          <w:tab w:val="left" w:pos="1984"/>
          <w:tab w:val="left" w:leader="dot" w:pos="8929"/>
          <w:tab w:val="right" w:pos="9638"/>
        </w:tabs>
        <w:spacing w:after="120"/>
      </w:pPr>
      <w:r>
        <w:tab/>
      </w:r>
      <w:r>
        <w:tab/>
      </w:r>
      <w:r>
        <w:tab/>
      </w:r>
      <w:r w:rsidRPr="00EA7BD5">
        <w:rPr>
          <w:lang w:val="en-US"/>
        </w:rPr>
        <w:t>Preventing domestic violence</w:t>
      </w:r>
      <w:r>
        <w:tab/>
      </w:r>
      <w:r>
        <w:tab/>
        <w:t>37</w:t>
      </w:r>
    </w:p>
    <w:p w:rsidR="00A2717E" w:rsidRDefault="00A2717E">
      <w:pPr>
        <w:tabs>
          <w:tab w:val="right" w:pos="850"/>
          <w:tab w:val="left" w:pos="1134"/>
          <w:tab w:val="left" w:pos="1559"/>
          <w:tab w:val="left" w:pos="1984"/>
          <w:tab w:val="left" w:leader="dot" w:pos="8929"/>
          <w:tab w:val="right" w:pos="9638"/>
        </w:tabs>
        <w:spacing w:after="120"/>
      </w:pPr>
      <w:r>
        <w:tab/>
      </w:r>
      <w:r>
        <w:tab/>
      </w:r>
      <w:r>
        <w:tab/>
      </w:r>
      <w:r w:rsidRPr="00EA7BD5">
        <w:rPr>
          <w:lang w:val="en-US"/>
        </w:rPr>
        <w:t>Prohibiting corporal punishment of children</w:t>
      </w:r>
      <w:r>
        <w:tab/>
      </w:r>
      <w:r>
        <w:tab/>
        <w:t>38</w:t>
      </w:r>
    </w:p>
    <w:p w:rsidR="00A2717E" w:rsidRDefault="00A2717E">
      <w:pPr>
        <w:tabs>
          <w:tab w:val="right" w:pos="850"/>
          <w:tab w:val="left" w:pos="1134"/>
          <w:tab w:val="left" w:pos="1559"/>
          <w:tab w:val="left" w:pos="1984"/>
          <w:tab w:val="left" w:leader="dot" w:pos="8929"/>
          <w:tab w:val="right" w:pos="9638"/>
        </w:tabs>
        <w:spacing w:after="120"/>
      </w:pPr>
      <w:r>
        <w:tab/>
      </w:r>
      <w:r>
        <w:tab/>
      </w:r>
      <w:r>
        <w:tab/>
      </w:r>
      <w:r w:rsidRPr="009226F2">
        <w:rPr>
          <w:lang w:val="en-US"/>
        </w:rPr>
        <w:t xml:space="preserve">Coercive measures </w:t>
      </w:r>
      <w:r>
        <w:tab/>
      </w:r>
      <w:r>
        <w:tab/>
        <w:t>38</w:t>
      </w:r>
    </w:p>
    <w:p w:rsidR="00DB2CEA" w:rsidRPr="00D05938" w:rsidRDefault="00DB2CEA">
      <w:pPr>
        <w:tabs>
          <w:tab w:val="right" w:pos="850"/>
          <w:tab w:val="left" w:pos="1134"/>
          <w:tab w:val="left" w:pos="1559"/>
          <w:tab w:val="left" w:pos="1984"/>
          <w:tab w:val="left" w:leader="dot" w:pos="8929"/>
          <w:tab w:val="right" w:pos="9638"/>
        </w:tabs>
        <w:spacing w:after="120"/>
      </w:pPr>
      <w:r>
        <w:tab/>
      </w:r>
      <w:r>
        <w:tab/>
      </w:r>
      <w:r>
        <w:tab/>
      </w:r>
      <w:r w:rsidRPr="00D05938">
        <w:t xml:space="preserve">Questions in the </w:t>
      </w:r>
      <w:r w:rsidR="008A6FF2" w:rsidRPr="00A11A9E">
        <w:t>l</w:t>
      </w:r>
      <w:r w:rsidRPr="00D05938">
        <w:t xml:space="preserve">ist of </w:t>
      </w:r>
      <w:r w:rsidR="008A6FF2" w:rsidRPr="00A11A9E">
        <w:t>i</w:t>
      </w:r>
      <w:r w:rsidRPr="00D05938">
        <w:t xml:space="preserve">ssues </w:t>
      </w:r>
      <w:r w:rsidR="008A6FF2" w:rsidRPr="00A11A9E">
        <w:t>on the c</w:t>
      </w:r>
      <w:r w:rsidRPr="00D05938">
        <w:t xml:space="preserve">onstitutional and legal framework within which </w:t>
      </w:r>
      <w:r w:rsidRPr="00D05938">
        <w:br/>
      </w:r>
      <w:r w:rsidRPr="00D05938">
        <w:tab/>
      </w:r>
      <w:r w:rsidRPr="00D05938">
        <w:tab/>
      </w:r>
      <w:r w:rsidRPr="00D05938">
        <w:tab/>
        <w:t>the Covenant is implemented (</w:t>
      </w:r>
      <w:r w:rsidR="00920042" w:rsidRPr="00D05938">
        <w:t>list of issues,</w:t>
      </w:r>
      <w:r w:rsidRPr="00D05938">
        <w:t xml:space="preserve"> para. 7)</w:t>
      </w:r>
      <w:r w:rsidRPr="00D05938">
        <w:tab/>
      </w:r>
      <w:r w:rsidRPr="00D05938">
        <w:tab/>
        <w:t>38</w:t>
      </w:r>
    </w:p>
    <w:p w:rsidR="008C48FD" w:rsidRDefault="008C48FD">
      <w:pPr>
        <w:tabs>
          <w:tab w:val="right" w:pos="850"/>
          <w:tab w:val="left" w:pos="1134"/>
          <w:tab w:val="left" w:pos="1559"/>
          <w:tab w:val="left" w:pos="1984"/>
          <w:tab w:val="left" w:leader="dot" w:pos="8929"/>
          <w:tab w:val="right" w:pos="9638"/>
        </w:tabs>
        <w:spacing w:after="120"/>
      </w:pPr>
      <w:r w:rsidRPr="00D05938">
        <w:tab/>
      </w:r>
      <w:r w:rsidRPr="00D05938">
        <w:tab/>
      </w:r>
      <w:r w:rsidRPr="00D05938">
        <w:tab/>
      </w:r>
      <w:r w:rsidRPr="00D05938">
        <w:rPr>
          <w:lang w:val="en-US"/>
        </w:rPr>
        <w:t xml:space="preserve">Equality between men and women, non-discrimination, and political participation </w:t>
      </w:r>
      <w:r w:rsidRPr="00D05938">
        <w:rPr>
          <w:lang w:val="en-US"/>
        </w:rPr>
        <w:br/>
      </w:r>
      <w:r w:rsidRPr="00D05938">
        <w:rPr>
          <w:lang w:val="en-US"/>
        </w:rPr>
        <w:tab/>
      </w:r>
      <w:r w:rsidRPr="00D05938">
        <w:rPr>
          <w:lang w:val="en-US"/>
        </w:rPr>
        <w:tab/>
      </w:r>
      <w:r w:rsidRPr="00D05938">
        <w:rPr>
          <w:lang w:val="en-US"/>
        </w:rPr>
        <w:tab/>
        <w:t>of women (</w:t>
      </w:r>
      <w:r w:rsidR="00920042" w:rsidRPr="00D05938">
        <w:rPr>
          <w:lang w:val="en-US"/>
        </w:rPr>
        <w:t>list of issues,</w:t>
      </w:r>
      <w:r w:rsidRPr="00D05938">
        <w:rPr>
          <w:lang w:val="en-US"/>
        </w:rPr>
        <w:t xml:space="preserve"> para. 10)</w:t>
      </w:r>
      <w:r>
        <w:tab/>
      </w:r>
      <w:r>
        <w:tab/>
        <w:t>39</w:t>
      </w:r>
    </w:p>
    <w:p w:rsidR="008C48FD" w:rsidRDefault="008C48FD">
      <w:pPr>
        <w:tabs>
          <w:tab w:val="right" w:pos="850"/>
          <w:tab w:val="left" w:pos="1134"/>
          <w:tab w:val="left" w:pos="1559"/>
          <w:tab w:val="left" w:pos="1984"/>
          <w:tab w:val="left" w:leader="dot" w:pos="8929"/>
          <w:tab w:val="right" w:pos="9638"/>
        </w:tabs>
        <w:spacing w:after="120"/>
      </w:pPr>
      <w:r>
        <w:tab/>
      </w:r>
      <w:r>
        <w:tab/>
      </w:r>
      <w:r>
        <w:tab/>
      </w:r>
      <w:r w:rsidRPr="00C2177E">
        <w:rPr>
          <w:lang w:val="en-US"/>
        </w:rPr>
        <w:t>Dissemination of information relating to the Cove</w:t>
      </w:r>
      <w:r>
        <w:rPr>
          <w:lang w:val="en-US"/>
        </w:rPr>
        <w:t xml:space="preserve">nant and the Optional Protocol </w:t>
      </w:r>
      <w:r>
        <w:rPr>
          <w:lang w:val="en-US"/>
        </w:rPr>
        <w:br/>
      </w:r>
      <w:r>
        <w:rPr>
          <w:lang w:val="en-US"/>
        </w:rPr>
        <w:tab/>
      </w:r>
      <w:r>
        <w:rPr>
          <w:lang w:val="en-US"/>
        </w:rPr>
        <w:tab/>
      </w:r>
      <w:r>
        <w:rPr>
          <w:lang w:val="en-US"/>
        </w:rPr>
        <w:tab/>
      </w:r>
      <w:r w:rsidRPr="00C2177E">
        <w:rPr>
          <w:lang w:val="en-US"/>
        </w:rPr>
        <w:t>(</w:t>
      </w:r>
      <w:r w:rsidR="00920042">
        <w:rPr>
          <w:lang w:val="en-US"/>
        </w:rPr>
        <w:t>list of issues,</w:t>
      </w:r>
      <w:r w:rsidRPr="0031484E">
        <w:rPr>
          <w:lang w:val="en-US"/>
        </w:rPr>
        <w:t xml:space="preserve"> </w:t>
      </w:r>
      <w:r w:rsidRPr="00C2177E">
        <w:rPr>
          <w:lang w:val="en-US"/>
        </w:rPr>
        <w:t xml:space="preserve">para. 24) </w:t>
      </w:r>
      <w:r>
        <w:tab/>
      </w:r>
      <w:r>
        <w:tab/>
        <w:t>42</w:t>
      </w:r>
    </w:p>
    <w:p w:rsidR="00F602AA" w:rsidRPr="00F602AA" w:rsidRDefault="00F602AA" w:rsidP="00F602AA">
      <w:pPr>
        <w:tabs>
          <w:tab w:val="right" w:pos="850"/>
          <w:tab w:val="left" w:pos="1134"/>
          <w:tab w:val="left" w:pos="1559"/>
          <w:tab w:val="left" w:pos="1984"/>
          <w:tab w:val="left" w:leader="dot" w:pos="8929"/>
          <w:tab w:val="right" w:pos="9638"/>
        </w:tabs>
        <w:spacing w:after="120"/>
      </w:pPr>
      <w:r w:rsidRPr="00A400D9">
        <w:tab/>
      </w:r>
      <w:r w:rsidRPr="00A400D9">
        <w:tab/>
        <w:t>Appendices</w:t>
      </w:r>
      <w:r>
        <w:tab/>
      </w:r>
      <w:r>
        <w:tab/>
      </w:r>
    </w:p>
    <w:p w:rsidR="00F602AA" w:rsidRDefault="00F602AA">
      <w:pPr>
        <w:suppressAutoHyphens w:val="0"/>
        <w:spacing w:line="240" w:lineRule="auto"/>
      </w:pPr>
    </w:p>
    <w:p w:rsidR="004965C1" w:rsidRDefault="004965C1">
      <w:pPr>
        <w:suppressAutoHyphens w:val="0"/>
        <w:spacing w:line="240" w:lineRule="auto"/>
      </w:pPr>
      <w:r>
        <w:br w:type="page"/>
      </w:r>
    </w:p>
    <w:p w:rsidR="004965C1" w:rsidRDefault="004965C1" w:rsidP="004965C1">
      <w:pPr>
        <w:pStyle w:val="HChG"/>
        <w:rPr>
          <w:lang w:val="en-US" w:eastAsia="nb-NO"/>
        </w:rPr>
      </w:pPr>
      <w:bookmarkStart w:id="3" w:name="_Toc430941888"/>
      <w:r>
        <w:rPr>
          <w:lang w:val="en-US" w:eastAsia="nb-NO"/>
        </w:rPr>
        <w:lastRenderedPageBreak/>
        <w:tab/>
      </w:r>
      <w:r>
        <w:rPr>
          <w:lang w:val="en-US" w:eastAsia="nb-NO"/>
        </w:rPr>
        <w:tab/>
      </w:r>
      <w:r w:rsidRPr="00E93D0B">
        <w:rPr>
          <w:lang w:val="en-US" w:eastAsia="nb-NO"/>
        </w:rPr>
        <w:t>Abbreviations</w:t>
      </w:r>
      <w:bookmarkEnd w:id="3"/>
      <w:r w:rsidRPr="00E93D0B">
        <w:rPr>
          <w:lang w:val="en-US" w:eastAsia="nb-NO"/>
        </w:rPr>
        <w:t xml:space="preserve"> </w:t>
      </w:r>
    </w:p>
    <w:p w:rsidR="004965C1" w:rsidRDefault="004965C1" w:rsidP="00A11A9E">
      <w:pPr>
        <w:pStyle w:val="SingleTxtG"/>
        <w:jc w:val="left"/>
        <w:rPr>
          <w:lang w:val="en-US" w:eastAsia="nb-NO"/>
        </w:rPr>
      </w:pPr>
      <w:r>
        <w:rPr>
          <w:lang w:val="en-US" w:eastAsia="nb-NO"/>
        </w:rPr>
        <w:t>CMM</w:t>
      </w:r>
      <w:r>
        <w:rPr>
          <w:lang w:val="en-US" w:eastAsia="nb-NO"/>
        </w:rPr>
        <w:tab/>
      </w:r>
      <w:r>
        <w:rPr>
          <w:lang w:val="en-US" w:eastAsia="nb-NO"/>
        </w:rPr>
        <w:tab/>
      </w:r>
      <w:r w:rsidRPr="00401E70">
        <w:rPr>
          <w:lang w:val="en-US" w:eastAsia="nb-NO"/>
        </w:rPr>
        <w:t>Danish Centre against Human Trafficking</w:t>
      </w:r>
    </w:p>
    <w:p w:rsidR="004965C1" w:rsidRDefault="004965C1" w:rsidP="00A11A9E">
      <w:pPr>
        <w:pStyle w:val="SingleTxtG"/>
        <w:jc w:val="left"/>
        <w:rPr>
          <w:lang w:val="en-US" w:eastAsia="nb-NO"/>
        </w:rPr>
      </w:pPr>
      <w:r>
        <w:rPr>
          <w:lang w:val="en-US" w:eastAsia="nb-NO"/>
        </w:rPr>
        <w:t xml:space="preserve">CSR </w:t>
      </w:r>
      <w:r>
        <w:rPr>
          <w:lang w:val="en-US" w:eastAsia="nb-NO"/>
        </w:rPr>
        <w:tab/>
      </w:r>
      <w:r>
        <w:rPr>
          <w:lang w:val="en-US" w:eastAsia="nb-NO"/>
        </w:rPr>
        <w:tab/>
        <w:t xml:space="preserve">Corporate Social Responsibility </w:t>
      </w:r>
    </w:p>
    <w:p w:rsidR="004965C1" w:rsidRDefault="004965C1" w:rsidP="00A11A9E">
      <w:pPr>
        <w:pStyle w:val="SingleTxtG"/>
        <w:jc w:val="left"/>
        <w:rPr>
          <w:lang w:val="en-US" w:eastAsia="nb-NO"/>
        </w:rPr>
      </w:pPr>
      <w:r>
        <w:rPr>
          <w:lang w:val="en-US" w:eastAsia="nb-NO"/>
        </w:rPr>
        <w:t>DIHR</w:t>
      </w:r>
      <w:r>
        <w:rPr>
          <w:lang w:val="en-US" w:eastAsia="nb-NO"/>
        </w:rPr>
        <w:tab/>
      </w:r>
      <w:r>
        <w:rPr>
          <w:lang w:val="en-US" w:eastAsia="nb-NO"/>
        </w:rPr>
        <w:tab/>
        <w:t xml:space="preserve">Danish Institute for Human Rights – </w:t>
      </w:r>
      <w:r w:rsidRPr="00EE283E">
        <w:rPr>
          <w:lang w:val="en-US"/>
        </w:rPr>
        <w:t xml:space="preserve">Denmark’s National Human Rights </w:t>
      </w:r>
      <w:r>
        <w:rPr>
          <w:lang w:val="en-US"/>
        </w:rPr>
        <w:tab/>
      </w:r>
      <w:r>
        <w:rPr>
          <w:lang w:val="en-US"/>
        </w:rPr>
        <w:tab/>
      </w:r>
      <w:r w:rsidRPr="00EE283E">
        <w:rPr>
          <w:lang w:val="en-US"/>
        </w:rPr>
        <w:t>Institution</w:t>
      </w:r>
    </w:p>
    <w:p w:rsidR="004965C1" w:rsidRDefault="004965C1" w:rsidP="00A11A9E">
      <w:pPr>
        <w:pStyle w:val="SingleTxtG"/>
        <w:jc w:val="left"/>
        <w:rPr>
          <w:lang w:val="en-US" w:eastAsia="nb-NO"/>
        </w:rPr>
      </w:pPr>
      <w:r>
        <w:rPr>
          <w:lang w:val="en-US" w:eastAsia="nb-NO"/>
        </w:rPr>
        <w:t>DIIS</w:t>
      </w:r>
      <w:r>
        <w:rPr>
          <w:lang w:val="en-US" w:eastAsia="nb-NO"/>
        </w:rPr>
        <w:tab/>
      </w:r>
      <w:r>
        <w:rPr>
          <w:lang w:val="en-US" w:eastAsia="nb-NO"/>
        </w:rPr>
        <w:tab/>
        <w:t xml:space="preserve">Danish Institute for International Studies </w:t>
      </w:r>
    </w:p>
    <w:p w:rsidR="004965C1" w:rsidRDefault="004965C1" w:rsidP="00A11A9E">
      <w:pPr>
        <w:pStyle w:val="SingleTxtG"/>
        <w:jc w:val="left"/>
        <w:rPr>
          <w:lang w:val="en-US" w:eastAsia="nb-NO"/>
        </w:rPr>
      </w:pPr>
      <w:r>
        <w:rPr>
          <w:lang w:val="en-US" w:eastAsia="nb-NO"/>
        </w:rPr>
        <w:t>DKK</w:t>
      </w:r>
      <w:r>
        <w:rPr>
          <w:lang w:val="en-US" w:eastAsia="nb-NO"/>
        </w:rPr>
        <w:tab/>
      </w:r>
      <w:r>
        <w:rPr>
          <w:lang w:val="en-US" w:eastAsia="nb-NO"/>
        </w:rPr>
        <w:tab/>
        <w:t xml:space="preserve">Danish Kroner (national currency) </w:t>
      </w:r>
    </w:p>
    <w:p w:rsidR="004965C1" w:rsidRDefault="004965C1" w:rsidP="00A11A9E">
      <w:pPr>
        <w:pStyle w:val="SingleTxtG"/>
        <w:jc w:val="left"/>
        <w:rPr>
          <w:lang w:val="en-US" w:eastAsia="nb-NO"/>
        </w:rPr>
      </w:pPr>
      <w:r>
        <w:rPr>
          <w:color w:val="000000"/>
          <w:lang w:val="en-US"/>
        </w:rPr>
        <w:t>ECHR</w:t>
      </w:r>
      <w:r>
        <w:rPr>
          <w:color w:val="000000"/>
          <w:lang w:val="en-US"/>
        </w:rPr>
        <w:tab/>
      </w:r>
      <w:r>
        <w:rPr>
          <w:color w:val="000000"/>
          <w:lang w:val="en-US"/>
        </w:rPr>
        <w:tab/>
      </w:r>
      <w:r w:rsidRPr="00D16424">
        <w:rPr>
          <w:color w:val="000000"/>
          <w:lang w:val="en-US"/>
        </w:rPr>
        <w:t xml:space="preserve">European Convention on Human Rights </w:t>
      </w:r>
    </w:p>
    <w:p w:rsidR="004965C1" w:rsidRDefault="004965C1" w:rsidP="00A11A9E">
      <w:pPr>
        <w:pStyle w:val="SingleTxtG"/>
        <w:jc w:val="left"/>
        <w:rPr>
          <w:lang w:val="en-US" w:eastAsia="nb-NO"/>
        </w:rPr>
      </w:pPr>
      <w:r>
        <w:t>HRC</w:t>
      </w:r>
      <w:r>
        <w:tab/>
      </w:r>
      <w:r>
        <w:tab/>
        <w:t xml:space="preserve">Human Rights </w:t>
      </w:r>
      <w:r w:rsidRPr="00D16671">
        <w:t>Committee</w:t>
      </w:r>
    </w:p>
    <w:p w:rsidR="004965C1" w:rsidRDefault="004965C1" w:rsidP="00A11A9E">
      <w:pPr>
        <w:pStyle w:val="SingleTxtG"/>
        <w:jc w:val="left"/>
      </w:pPr>
      <w:r>
        <w:t xml:space="preserve">ICCPR </w:t>
      </w:r>
      <w:r>
        <w:tab/>
        <w:t xml:space="preserve">International Covenant on Civil and Political Rights </w:t>
      </w:r>
    </w:p>
    <w:p w:rsidR="004965C1" w:rsidRDefault="004965C1" w:rsidP="00A11A9E">
      <w:pPr>
        <w:pStyle w:val="SingleTxtG"/>
        <w:jc w:val="left"/>
        <w:rPr>
          <w:lang w:val="en-US" w:eastAsia="nb-NO"/>
        </w:rPr>
      </w:pPr>
      <w:r>
        <w:t>ILO</w:t>
      </w:r>
      <w:r>
        <w:tab/>
      </w:r>
      <w:r>
        <w:tab/>
        <w:t>International Labour Organization</w:t>
      </w:r>
    </w:p>
    <w:p w:rsidR="004965C1" w:rsidRPr="00D30001" w:rsidRDefault="004965C1" w:rsidP="00A11A9E">
      <w:pPr>
        <w:pStyle w:val="SingleTxtG"/>
        <w:jc w:val="left"/>
        <w:rPr>
          <w:lang w:val="en-US" w:eastAsia="nb-NO"/>
        </w:rPr>
      </w:pPr>
      <w:r w:rsidRPr="009403D4">
        <w:rPr>
          <w:lang w:val="en-US" w:eastAsia="nb-NO"/>
        </w:rPr>
        <w:t>OECD</w:t>
      </w:r>
      <w:r>
        <w:rPr>
          <w:lang w:val="en-US" w:eastAsia="nb-NO"/>
        </w:rPr>
        <w:t xml:space="preserve"> </w:t>
      </w:r>
      <w:r>
        <w:rPr>
          <w:lang w:val="en-US" w:eastAsia="nb-NO"/>
        </w:rPr>
        <w:tab/>
        <w:t xml:space="preserve">Organization for Economic and Cultural Development </w:t>
      </w:r>
    </w:p>
    <w:p w:rsidR="004965C1" w:rsidRDefault="004965C1" w:rsidP="00A11A9E">
      <w:pPr>
        <w:pStyle w:val="SingleTxtG"/>
        <w:jc w:val="left"/>
      </w:pPr>
      <w:r w:rsidRPr="00DF1433">
        <w:t>KL</w:t>
      </w:r>
      <w:r w:rsidRPr="00DF1433">
        <w:tab/>
      </w:r>
      <w:r w:rsidRPr="00DF1433">
        <w:tab/>
        <w:t xml:space="preserve">Local Government </w:t>
      </w:r>
      <w:r w:rsidR="00920042">
        <w:t xml:space="preserve">of </w:t>
      </w:r>
      <w:r w:rsidRPr="00DF1433">
        <w:t xml:space="preserve">Denmark </w:t>
      </w:r>
    </w:p>
    <w:p w:rsidR="004965C1" w:rsidRPr="00DF1433" w:rsidRDefault="004965C1" w:rsidP="00A11A9E">
      <w:pPr>
        <w:pStyle w:val="SingleTxtG"/>
        <w:jc w:val="left"/>
      </w:pPr>
      <w:r>
        <w:t>NGO</w:t>
      </w:r>
      <w:r>
        <w:tab/>
      </w:r>
      <w:r>
        <w:tab/>
        <w:t>Non-governmental organization</w:t>
      </w:r>
    </w:p>
    <w:p w:rsidR="004965C1" w:rsidRDefault="004965C1" w:rsidP="00A11A9E">
      <w:pPr>
        <w:pStyle w:val="SingleTxtG"/>
        <w:jc w:val="left"/>
        <w:rPr>
          <w:lang w:val="en-US"/>
        </w:rPr>
      </w:pPr>
      <w:r>
        <w:rPr>
          <w:lang w:val="en-US"/>
        </w:rPr>
        <w:t>SFI</w:t>
      </w:r>
      <w:r>
        <w:rPr>
          <w:lang w:val="en-US"/>
        </w:rPr>
        <w:tab/>
      </w:r>
      <w:r>
        <w:rPr>
          <w:lang w:val="en-US"/>
        </w:rPr>
        <w:tab/>
        <w:t>Danish National Center for Social Research</w:t>
      </w:r>
      <w:r w:rsidR="00AF685F">
        <w:rPr>
          <w:lang w:val="en-US"/>
        </w:rPr>
        <w:t xml:space="preserve"> </w:t>
      </w:r>
    </w:p>
    <w:p w:rsidR="004965C1" w:rsidRDefault="004965C1" w:rsidP="00A11A9E">
      <w:pPr>
        <w:pStyle w:val="SingleTxtG"/>
        <w:jc w:val="left"/>
        <w:rPr>
          <w:lang w:val="en-US"/>
        </w:rPr>
      </w:pPr>
      <w:r w:rsidRPr="007902C0">
        <w:rPr>
          <w:lang w:val="en-US"/>
        </w:rPr>
        <w:t>UNHCR</w:t>
      </w:r>
      <w:r>
        <w:rPr>
          <w:lang w:val="en-US"/>
        </w:rPr>
        <w:tab/>
        <w:t xml:space="preserve">United Nations High Commissioner for Refugees </w:t>
      </w:r>
    </w:p>
    <w:p w:rsidR="004965C1" w:rsidRDefault="004965C1" w:rsidP="00A11A9E">
      <w:pPr>
        <w:pStyle w:val="SingleTxtG"/>
        <w:jc w:val="left"/>
        <w:rPr>
          <w:lang w:val="en-US"/>
        </w:rPr>
      </w:pPr>
      <w:r>
        <w:rPr>
          <w:lang w:val="en-US"/>
        </w:rPr>
        <w:t>UPR</w:t>
      </w:r>
      <w:r>
        <w:rPr>
          <w:lang w:val="en-US"/>
        </w:rPr>
        <w:tab/>
      </w:r>
      <w:r>
        <w:rPr>
          <w:lang w:val="en-US"/>
        </w:rPr>
        <w:tab/>
        <w:t>Universal Periodic Review</w:t>
      </w:r>
    </w:p>
    <w:p w:rsidR="004965C1" w:rsidRDefault="004965C1" w:rsidP="004965C1">
      <w:pPr>
        <w:pStyle w:val="SingleTxtG"/>
      </w:pPr>
    </w:p>
    <w:p w:rsidR="00F602AA" w:rsidRDefault="00F602AA">
      <w:pPr>
        <w:suppressAutoHyphens w:val="0"/>
        <w:spacing w:line="240" w:lineRule="auto"/>
        <w:rPr>
          <w:b/>
          <w:sz w:val="28"/>
        </w:rPr>
      </w:pPr>
      <w:r>
        <w:br w:type="page"/>
      </w:r>
    </w:p>
    <w:p w:rsidR="00B47DA1" w:rsidRPr="00434343" w:rsidRDefault="00904E11" w:rsidP="00434343">
      <w:pPr>
        <w:pStyle w:val="HChG"/>
      </w:pPr>
      <w:r>
        <w:tab/>
      </w:r>
      <w:r w:rsidR="00B47DA1" w:rsidRPr="00A11A9E">
        <w:rPr>
          <w:rStyle w:val="Heading1Char"/>
          <w:rFonts w:eastAsia="Calibri"/>
        </w:rPr>
        <w:t>I.</w:t>
      </w:r>
      <w:r w:rsidRPr="00A11A9E">
        <w:rPr>
          <w:rStyle w:val="Heading1Char"/>
          <w:rFonts w:eastAsia="Calibri"/>
        </w:rPr>
        <w:tab/>
      </w:r>
      <w:r w:rsidR="00B47DA1" w:rsidRPr="00434343">
        <w:rPr>
          <w:rStyle w:val="Heading1Char"/>
          <w:rFonts w:eastAsia="Calibri"/>
        </w:rPr>
        <w:t>Introduction</w:t>
      </w:r>
      <w:bookmarkEnd w:id="2"/>
      <w:r w:rsidR="00B47DA1" w:rsidRPr="00A11A9E">
        <w:rPr>
          <w:rStyle w:val="Heading1Char"/>
          <w:rFonts w:eastAsia="Calibri"/>
        </w:rPr>
        <w:t xml:space="preserve"> </w:t>
      </w:r>
    </w:p>
    <w:p w:rsidR="00B47DA1" w:rsidRDefault="00A11A9E" w:rsidP="00A11A9E">
      <w:pPr>
        <w:pStyle w:val="SingleTxtG"/>
      </w:pPr>
      <w:r>
        <w:t>1.</w:t>
      </w:r>
      <w:r>
        <w:tab/>
      </w:r>
      <w:r w:rsidR="00B47DA1" w:rsidRPr="00D16671">
        <w:t>This report is subm</w:t>
      </w:r>
      <w:r w:rsidR="00B47DA1">
        <w:t xml:space="preserve">itted in pursuance of article 40 </w:t>
      </w:r>
      <w:r w:rsidR="00B47DA1" w:rsidRPr="00D16671">
        <w:t xml:space="preserve">of the </w:t>
      </w:r>
      <w:r w:rsidR="00B47DA1">
        <w:t>International Covenant on Civil and Political Rights (ICCPR)</w:t>
      </w:r>
      <w:r w:rsidR="00B47DA1" w:rsidRPr="00D16671">
        <w:t xml:space="preserve">, which entered into force in </w:t>
      </w:r>
      <w:r w:rsidR="00B47DA1">
        <w:t>Denmark</w:t>
      </w:r>
      <w:r w:rsidR="00B47DA1" w:rsidRPr="00D16671">
        <w:t xml:space="preserve"> on </w:t>
      </w:r>
      <w:r w:rsidR="00B47DA1">
        <w:t>6 January 1972</w:t>
      </w:r>
      <w:r w:rsidR="00B47DA1" w:rsidRPr="00D16671">
        <w:t xml:space="preserve">. The report is organized in conformity with the new optional reporting procedure which </w:t>
      </w:r>
      <w:r w:rsidR="00B47DA1">
        <w:t>Denmark</w:t>
      </w:r>
      <w:r w:rsidR="00B47DA1" w:rsidRPr="00D16671">
        <w:t xml:space="preserve"> accepted on </w:t>
      </w:r>
      <w:r w:rsidR="00B47DA1">
        <w:t>2 March 2011.</w:t>
      </w:r>
      <w:r w:rsidR="00AF685F">
        <w:t xml:space="preserve"> </w:t>
      </w:r>
    </w:p>
    <w:p w:rsidR="00B47DA1" w:rsidRPr="00A777C5" w:rsidRDefault="00A11A9E" w:rsidP="00A11A9E">
      <w:pPr>
        <w:pStyle w:val="SingleTxtG"/>
      </w:pPr>
      <w:r w:rsidRPr="00A777C5">
        <w:t>2.</w:t>
      </w:r>
      <w:r w:rsidRPr="00A777C5">
        <w:tab/>
      </w:r>
      <w:r w:rsidR="00B47DA1" w:rsidRPr="00D16671">
        <w:t xml:space="preserve">The report deals with changes in legislation and legal and administrative practice relating to the material provisions of the </w:t>
      </w:r>
      <w:r w:rsidR="00B47DA1">
        <w:t>Covenant</w:t>
      </w:r>
      <w:r w:rsidR="00B47DA1" w:rsidRPr="00D16671">
        <w:t xml:space="preserve"> made since the Government of </w:t>
      </w:r>
      <w:r w:rsidR="00B47DA1">
        <w:t>Denmark</w:t>
      </w:r>
      <w:r w:rsidR="00B47DA1" w:rsidRPr="00D16671">
        <w:t xml:space="preserve"> </w:t>
      </w:r>
      <w:r w:rsidR="00B47DA1">
        <w:t xml:space="preserve">(hereinafter </w:t>
      </w:r>
      <w:r w:rsidR="00017FF1">
        <w:t>“</w:t>
      </w:r>
      <w:r w:rsidR="00B47DA1">
        <w:t>the Government</w:t>
      </w:r>
      <w:r w:rsidR="00017FF1">
        <w:t>”</w:t>
      </w:r>
      <w:r w:rsidR="00B47DA1">
        <w:t xml:space="preserve">) </w:t>
      </w:r>
      <w:r w:rsidR="00B47DA1" w:rsidRPr="00D16671">
        <w:t>submitted its fifth periodic report</w:t>
      </w:r>
      <w:r w:rsidR="00B47DA1">
        <w:t xml:space="preserve"> </w:t>
      </w:r>
      <w:r w:rsidR="00B47DA1" w:rsidRPr="00D16671">
        <w:t>(</w:t>
      </w:r>
      <w:r w:rsidR="00B47DA1">
        <w:t>CCPR/C/DNK/5</w:t>
      </w:r>
      <w:r w:rsidR="00B47DA1" w:rsidRPr="00D16671">
        <w:t xml:space="preserve">), with reference to the </w:t>
      </w:r>
      <w:r w:rsidR="00B47DA1">
        <w:t xml:space="preserve">latest </w:t>
      </w:r>
      <w:r w:rsidR="00B47DA1" w:rsidRPr="00D16671">
        <w:t>list of issues (</w:t>
      </w:r>
      <w:r w:rsidR="00B47DA1">
        <w:t>CCPR/C/DNK/Q</w:t>
      </w:r>
      <w:r w:rsidR="00920042">
        <w:t>/</w:t>
      </w:r>
      <w:r w:rsidR="00B47DA1">
        <w:t>6)</w:t>
      </w:r>
      <w:r w:rsidR="00B47DA1" w:rsidRPr="00D16671">
        <w:t xml:space="preserve">. </w:t>
      </w:r>
    </w:p>
    <w:p w:rsidR="00B47DA1" w:rsidRPr="00A11A9E" w:rsidRDefault="00A11A9E" w:rsidP="00A11A9E">
      <w:pPr>
        <w:pStyle w:val="SingleTxtG"/>
      </w:pPr>
      <w:r w:rsidRPr="00A11A9E">
        <w:t>3.</w:t>
      </w:r>
      <w:r w:rsidRPr="00A11A9E">
        <w:tab/>
      </w:r>
      <w:r w:rsidR="00B47DA1" w:rsidRPr="00D816B5">
        <w:rPr>
          <w:lang w:val="en-US"/>
        </w:rPr>
        <w:t xml:space="preserve">The Kingdom of Denmark is the Contracting Party to the ICCPR. The Faroe Islands and Greenland are, however, separate jurisdictions in certain matters hence there are separate reports from the Faroe Islands and Greenland in relation to the review of the implementation of the obligations under the Covenant in the Faroe Islands and Greenland. </w:t>
      </w:r>
      <w:r w:rsidR="00B47DA1">
        <w:t>These reports thus reflect the views of the Faroese and Greenlandic authorities. Faroese non-governmental organizations were invited to submit comments to the report of the Faroe Islands but no comments were received. In Greenland, the Human Rights Council of Greenland submitted comments (</w:t>
      </w:r>
      <w:r w:rsidR="00B47DA1" w:rsidRPr="008A6FF2">
        <w:t>enclosed</w:t>
      </w:r>
      <w:r w:rsidR="00B47DA1">
        <w:t xml:space="preserve">). </w:t>
      </w:r>
    </w:p>
    <w:p w:rsidR="00B47DA1" w:rsidRPr="009E1C3B" w:rsidRDefault="00904E11" w:rsidP="00A11A9E">
      <w:pPr>
        <w:pStyle w:val="H23G"/>
        <w:rPr>
          <w:lang w:val="en-US" w:eastAsia="nb-NO"/>
        </w:rPr>
      </w:pPr>
      <w:r>
        <w:rPr>
          <w:lang w:val="en-US" w:eastAsia="nb-NO"/>
        </w:rPr>
        <w:tab/>
      </w:r>
      <w:r>
        <w:rPr>
          <w:lang w:val="en-US" w:eastAsia="nb-NO"/>
        </w:rPr>
        <w:tab/>
      </w:r>
      <w:r w:rsidR="00B47DA1" w:rsidRPr="009E1C3B">
        <w:rPr>
          <w:lang w:val="en-US" w:eastAsia="nb-NO"/>
        </w:rPr>
        <w:t>Reply to paragraphs 1-3 of the list of issues</w:t>
      </w:r>
    </w:p>
    <w:p w:rsidR="00B47DA1" w:rsidRPr="000824F9" w:rsidRDefault="00904E11" w:rsidP="00A11A9E">
      <w:pPr>
        <w:pStyle w:val="H4G"/>
        <w:rPr>
          <w:lang w:val="en-US" w:eastAsia="da-DK"/>
        </w:rPr>
      </w:pPr>
      <w:r>
        <w:rPr>
          <w:lang w:val="en-US" w:eastAsia="da-DK"/>
        </w:rPr>
        <w:tab/>
      </w:r>
      <w:r>
        <w:rPr>
          <w:lang w:val="en-US" w:eastAsia="da-DK"/>
        </w:rPr>
        <w:tab/>
      </w:r>
      <w:r w:rsidR="00B47DA1" w:rsidRPr="000824F9">
        <w:rPr>
          <w:lang w:val="en-US" w:eastAsia="da-DK"/>
        </w:rPr>
        <w:t>Police and Judiciary Reform [</w:t>
      </w:r>
      <w:r w:rsidR="00B47DA1">
        <w:rPr>
          <w:lang w:val="en-US" w:eastAsia="da-DK"/>
        </w:rPr>
        <w:t>Ministry of Justice</w:t>
      </w:r>
      <w:r w:rsidR="00B47DA1" w:rsidRPr="000824F9">
        <w:rPr>
          <w:lang w:val="en-US" w:eastAsia="da-DK"/>
        </w:rPr>
        <w:t>]</w:t>
      </w:r>
    </w:p>
    <w:p w:rsidR="00B47DA1" w:rsidRDefault="00A11A9E" w:rsidP="00A11A9E">
      <w:pPr>
        <w:pStyle w:val="SingleTxtG"/>
        <w:rPr>
          <w:bCs/>
          <w:lang w:val="en-US" w:eastAsia="da-DK"/>
        </w:rPr>
      </w:pPr>
      <w:r>
        <w:rPr>
          <w:bCs/>
          <w:lang w:val="en-US" w:eastAsia="da-DK"/>
        </w:rPr>
        <w:t>4.</w:t>
      </w:r>
      <w:r>
        <w:rPr>
          <w:bCs/>
          <w:lang w:val="en-US" w:eastAsia="da-DK"/>
        </w:rPr>
        <w:tab/>
      </w:r>
      <w:r w:rsidR="00B47DA1" w:rsidRPr="0030770F">
        <w:rPr>
          <w:bCs/>
          <w:lang w:val="en-US" w:eastAsia="da-DK"/>
        </w:rPr>
        <w:t>In 2006</w:t>
      </w:r>
      <w:r w:rsidR="00B47DA1">
        <w:rPr>
          <w:bCs/>
          <w:lang w:val="en-US" w:eastAsia="da-DK"/>
        </w:rPr>
        <w:t>,</w:t>
      </w:r>
      <w:r w:rsidR="00B47DA1" w:rsidRPr="0030770F">
        <w:rPr>
          <w:bCs/>
          <w:lang w:val="en-US" w:eastAsia="da-DK"/>
        </w:rPr>
        <w:t xml:space="preserve"> </w:t>
      </w:r>
      <w:r w:rsidR="00B47DA1">
        <w:rPr>
          <w:bCs/>
          <w:lang w:val="en-US" w:eastAsia="da-DK"/>
        </w:rPr>
        <w:t xml:space="preserve">the </w:t>
      </w:r>
      <w:r w:rsidR="00B47DA1" w:rsidRPr="0030770F">
        <w:rPr>
          <w:bCs/>
          <w:lang w:val="en-US" w:eastAsia="da-DK"/>
        </w:rPr>
        <w:t>Administration of Justice Act</w:t>
      </w:r>
      <w:r w:rsidR="00B47DA1">
        <w:rPr>
          <w:bCs/>
          <w:lang w:val="en-US" w:eastAsia="da-DK"/>
        </w:rPr>
        <w:t xml:space="preserve"> (</w:t>
      </w:r>
      <w:r w:rsidR="00B47DA1">
        <w:rPr>
          <w:bCs/>
          <w:i/>
          <w:lang w:val="en-US" w:eastAsia="da-DK"/>
        </w:rPr>
        <w:t>Retsplejeloven</w:t>
      </w:r>
      <w:r w:rsidR="00B47DA1" w:rsidRPr="00A11A9E">
        <w:rPr>
          <w:bCs/>
          <w:iCs/>
          <w:lang w:val="en-US" w:eastAsia="da-DK"/>
        </w:rPr>
        <w:t>)</w:t>
      </w:r>
      <w:r w:rsidR="00B47DA1">
        <w:rPr>
          <w:bCs/>
          <w:i/>
          <w:lang w:val="en-US" w:eastAsia="da-DK"/>
        </w:rPr>
        <w:t xml:space="preserve"> </w:t>
      </w:r>
      <w:r w:rsidR="00B47DA1">
        <w:rPr>
          <w:bCs/>
          <w:lang w:val="en-US" w:eastAsia="da-DK"/>
        </w:rPr>
        <w:t>was amended</w:t>
      </w:r>
      <w:r w:rsidR="00B47DA1" w:rsidRPr="0030770F">
        <w:rPr>
          <w:bCs/>
          <w:lang w:val="en-US" w:eastAsia="da-DK"/>
        </w:rPr>
        <w:t xml:space="preserve"> (Act</w:t>
      </w:r>
      <w:r w:rsidR="00920042">
        <w:rPr>
          <w:bCs/>
          <w:lang w:val="en-US" w:eastAsia="da-DK"/>
        </w:rPr>
        <w:t> </w:t>
      </w:r>
      <w:r w:rsidR="00B47DA1" w:rsidRPr="0030770F">
        <w:rPr>
          <w:bCs/>
          <w:lang w:val="en-US" w:eastAsia="da-DK"/>
        </w:rPr>
        <w:t>2006</w:t>
      </w:r>
      <w:r w:rsidR="00920042">
        <w:rPr>
          <w:bCs/>
          <w:lang w:val="en-US" w:eastAsia="da-DK"/>
        </w:rPr>
        <w:noBreakHyphen/>
      </w:r>
      <w:r w:rsidR="00B47DA1" w:rsidRPr="0030770F">
        <w:rPr>
          <w:bCs/>
          <w:lang w:val="en-US" w:eastAsia="da-DK"/>
        </w:rPr>
        <w:t>06</w:t>
      </w:r>
      <w:r w:rsidR="00920042">
        <w:rPr>
          <w:bCs/>
          <w:lang w:val="en-US" w:eastAsia="da-DK"/>
        </w:rPr>
        <w:noBreakHyphen/>
      </w:r>
      <w:r w:rsidR="00B47DA1" w:rsidRPr="0030770F">
        <w:rPr>
          <w:bCs/>
          <w:lang w:val="en-US" w:eastAsia="da-DK"/>
        </w:rPr>
        <w:t>08 No. 538)</w:t>
      </w:r>
      <w:r w:rsidR="00B47DA1">
        <w:rPr>
          <w:bCs/>
          <w:lang w:val="en-US" w:eastAsia="da-DK"/>
        </w:rPr>
        <w:t xml:space="preserve"> </w:t>
      </w:r>
      <w:r w:rsidR="00B47DA1" w:rsidRPr="0030770F">
        <w:rPr>
          <w:lang w:val="en-US"/>
        </w:rPr>
        <w:t xml:space="preserve">with the aim to strengthen and develop the </w:t>
      </w:r>
      <w:r w:rsidR="00B47DA1">
        <w:rPr>
          <w:lang w:val="en-US"/>
        </w:rPr>
        <w:t>j</w:t>
      </w:r>
      <w:r w:rsidR="00B47DA1" w:rsidRPr="0030770F">
        <w:rPr>
          <w:lang w:val="en-US"/>
        </w:rPr>
        <w:t>udiciary and its ability to perform the tasks of the courts in accordance with future requirements and opportunities.</w:t>
      </w:r>
      <w:r w:rsidR="00B47DA1" w:rsidRPr="0030770F">
        <w:rPr>
          <w:bCs/>
          <w:lang w:val="en-US" w:eastAsia="da-DK"/>
        </w:rPr>
        <w:t xml:space="preserve"> </w:t>
      </w:r>
      <w:r w:rsidR="00B47DA1" w:rsidRPr="0030770F">
        <w:rPr>
          <w:lang w:val="en-US"/>
        </w:rPr>
        <w:t>On 1 January 2007</w:t>
      </w:r>
      <w:r w:rsidR="00B47DA1">
        <w:rPr>
          <w:lang w:val="en-US"/>
        </w:rPr>
        <w:t>,</w:t>
      </w:r>
      <w:r w:rsidR="00B47DA1" w:rsidRPr="0030770F">
        <w:rPr>
          <w:lang w:val="en-US"/>
        </w:rPr>
        <w:t xml:space="preserve"> the court reform </w:t>
      </w:r>
      <w:r w:rsidR="00B47DA1">
        <w:rPr>
          <w:lang w:val="en-US"/>
        </w:rPr>
        <w:t>entered</w:t>
      </w:r>
      <w:r w:rsidR="00B47DA1" w:rsidRPr="0030770F">
        <w:rPr>
          <w:lang w:val="en-US"/>
        </w:rPr>
        <w:t xml:space="preserve"> into force</w:t>
      </w:r>
      <w:r w:rsidR="00B47DA1">
        <w:rPr>
          <w:lang w:val="en-US"/>
        </w:rPr>
        <w:t>.</w:t>
      </w:r>
      <w:r w:rsidR="00B47DA1" w:rsidRPr="0030770F">
        <w:rPr>
          <w:lang w:val="en-US"/>
        </w:rPr>
        <w:t xml:space="preserve"> The reform aims at creating the most appropriate conditions for the </w:t>
      </w:r>
      <w:r w:rsidR="00B47DA1">
        <w:rPr>
          <w:lang w:val="en-US"/>
        </w:rPr>
        <w:t>j</w:t>
      </w:r>
      <w:r w:rsidR="00B47DA1" w:rsidRPr="0030770F">
        <w:rPr>
          <w:lang w:val="en-US"/>
        </w:rPr>
        <w:t xml:space="preserve">udiciary to function in a uniform </w:t>
      </w:r>
      <w:r w:rsidR="00B47DA1">
        <w:rPr>
          <w:lang w:val="en-US"/>
        </w:rPr>
        <w:t xml:space="preserve">and professional way and </w:t>
      </w:r>
      <w:r w:rsidR="00B47DA1" w:rsidRPr="0030770F">
        <w:rPr>
          <w:lang w:val="en-US"/>
        </w:rPr>
        <w:t>create a flexible, servic</w:t>
      </w:r>
      <w:r w:rsidR="00B47DA1">
        <w:rPr>
          <w:lang w:val="en-US"/>
        </w:rPr>
        <w:t>e oriented and effective organiz</w:t>
      </w:r>
      <w:r w:rsidR="00B47DA1" w:rsidRPr="0030770F">
        <w:rPr>
          <w:lang w:val="en-US"/>
        </w:rPr>
        <w:t xml:space="preserve">ation of the courts. Initially the implementation of the reform caused </w:t>
      </w:r>
      <w:r w:rsidR="00B47DA1">
        <w:rPr>
          <w:lang w:val="en-US"/>
        </w:rPr>
        <w:t xml:space="preserve">challenges but since 2009 </w:t>
      </w:r>
      <w:r w:rsidR="00B47DA1" w:rsidRPr="0030770F">
        <w:rPr>
          <w:lang w:val="en-US"/>
        </w:rPr>
        <w:t>processing times at the courts have been significantly reduced</w:t>
      </w:r>
      <w:r w:rsidR="00B47DA1">
        <w:rPr>
          <w:lang w:val="en-US"/>
        </w:rPr>
        <w:t xml:space="preserve">. This has </w:t>
      </w:r>
      <w:r w:rsidR="00B47DA1" w:rsidRPr="0030770F">
        <w:rPr>
          <w:bCs/>
          <w:lang w:val="en-US" w:eastAsia="da-DK"/>
        </w:rPr>
        <w:t xml:space="preserve">facilitated access to the judiciary in Denmark. </w:t>
      </w:r>
    </w:p>
    <w:p w:rsidR="00B47DA1" w:rsidRPr="000824F9" w:rsidRDefault="00904E11" w:rsidP="00A11A9E">
      <w:pPr>
        <w:pStyle w:val="H4G"/>
        <w:rPr>
          <w:lang w:val="en-US" w:eastAsia="da-DK"/>
        </w:rPr>
      </w:pPr>
      <w:r>
        <w:rPr>
          <w:lang w:val="en-US" w:eastAsia="da-DK"/>
        </w:rPr>
        <w:tab/>
      </w:r>
      <w:r>
        <w:rPr>
          <w:lang w:val="en-US" w:eastAsia="da-DK"/>
        </w:rPr>
        <w:tab/>
      </w:r>
      <w:r w:rsidR="00B47DA1">
        <w:rPr>
          <w:lang w:val="en-US" w:eastAsia="da-DK"/>
        </w:rPr>
        <w:t xml:space="preserve">Class action </w:t>
      </w:r>
      <w:r w:rsidR="00B47DA1" w:rsidRPr="000824F9">
        <w:rPr>
          <w:lang w:val="en-US" w:eastAsia="da-DK"/>
        </w:rPr>
        <w:t>[</w:t>
      </w:r>
      <w:r w:rsidR="00B47DA1">
        <w:rPr>
          <w:lang w:val="en-US" w:eastAsia="da-DK"/>
        </w:rPr>
        <w:t>Ministry of Justice</w:t>
      </w:r>
      <w:r w:rsidR="00B47DA1" w:rsidRPr="000824F9">
        <w:rPr>
          <w:lang w:val="en-US" w:eastAsia="da-DK"/>
        </w:rPr>
        <w:t>]</w:t>
      </w:r>
    </w:p>
    <w:p w:rsidR="00B47DA1" w:rsidRPr="0030770F" w:rsidRDefault="00A11A9E" w:rsidP="00A11A9E">
      <w:pPr>
        <w:pStyle w:val="SingleTxtG"/>
        <w:rPr>
          <w:lang w:val="en-US" w:eastAsia="da-DK"/>
        </w:rPr>
      </w:pPr>
      <w:r w:rsidRPr="0030770F">
        <w:rPr>
          <w:lang w:val="en-US" w:eastAsia="da-DK"/>
        </w:rPr>
        <w:t>5.</w:t>
      </w:r>
      <w:r w:rsidRPr="0030770F">
        <w:rPr>
          <w:lang w:val="en-US" w:eastAsia="da-DK"/>
        </w:rPr>
        <w:tab/>
      </w:r>
      <w:r w:rsidR="00B47DA1" w:rsidRPr="0030770F">
        <w:rPr>
          <w:lang w:val="en-US" w:eastAsia="da-DK"/>
        </w:rPr>
        <w:t>In 2007</w:t>
      </w:r>
      <w:r w:rsidR="00B47DA1">
        <w:rPr>
          <w:lang w:val="en-US" w:eastAsia="da-DK"/>
        </w:rPr>
        <w:t>,</w:t>
      </w:r>
      <w:r w:rsidR="00B47DA1" w:rsidRPr="0030770F">
        <w:rPr>
          <w:lang w:val="en-US" w:eastAsia="da-DK"/>
        </w:rPr>
        <w:t xml:space="preserve"> the Danish Administration of Justice Act</w:t>
      </w:r>
      <w:r w:rsidR="00B47DA1">
        <w:rPr>
          <w:lang w:val="en-US" w:eastAsia="da-DK"/>
        </w:rPr>
        <w:t xml:space="preserve"> was amended</w:t>
      </w:r>
      <w:r w:rsidR="00B47DA1" w:rsidRPr="0030770F">
        <w:rPr>
          <w:lang w:val="en-US" w:eastAsia="da-DK"/>
        </w:rPr>
        <w:t xml:space="preserve"> (Act 2007-02-27 No. 181)</w:t>
      </w:r>
      <w:r w:rsidR="00B47DA1">
        <w:rPr>
          <w:lang w:val="en-US" w:eastAsia="da-DK"/>
        </w:rPr>
        <w:t>.</w:t>
      </w:r>
      <w:r w:rsidR="00B47DA1" w:rsidRPr="0030770F">
        <w:rPr>
          <w:lang w:val="en-US" w:eastAsia="da-DK"/>
        </w:rPr>
        <w:t xml:space="preserve"> The amendment stipulates that uniform claims submitted by more than one person can be processed as a class action. Several individual claims are processed in one trial, but without the attendance of all the persons whose claims are being process</w:t>
      </w:r>
      <w:r w:rsidR="00B47DA1">
        <w:rPr>
          <w:lang w:val="en-US" w:eastAsia="da-DK"/>
        </w:rPr>
        <w:t>ed in the trial. O</w:t>
      </w:r>
      <w:r w:rsidR="00B47DA1" w:rsidRPr="0030770F">
        <w:rPr>
          <w:lang w:val="en-US" w:eastAsia="da-DK"/>
        </w:rPr>
        <w:t>nly the rep</w:t>
      </w:r>
      <w:r w:rsidR="00B47DA1">
        <w:rPr>
          <w:lang w:val="en-US" w:eastAsia="da-DK"/>
        </w:rPr>
        <w:t xml:space="preserve">resentative of the group </w:t>
      </w:r>
      <w:r w:rsidR="00B47DA1" w:rsidRPr="0030770F">
        <w:rPr>
          <w:lang w:val="en-US" w:eastAsia="da-DK"/>
        </w:rPr>
        <w:t>is considered a party to the claim, but the verdict is binding to and enforceable on all claimants. Class action litigation is new to the Danish legal tradition and provides an enhanced procedure for processing uniform claims</w:t>
      </w:r>
      <w:r w:rsidR="00B47DA1">
        <w:rPr>
          <w:lang w:val="en-US" w:eastAsia="da-DK"/>
        </w:rPr>
        <w:t xml:space="preserve"> that</w:t>
      </w:r>
      <w:r w:rsidR="00B47DA1" w:rsidRPr="0030770F">
        <w:rPr>
          <w:lang w:val="en-US" w:eastAsia="da-DK"/>
        </w:rPr>
        <w:t xml:space="preserve"> facilitates access to the judiciary and th</w:t>
      </w:r>
      <w:r w:rsidR="00B47DA1">
        <w:rPr>
          <w:lang w:val="en-US" w:eastAsia="da-DK"/>
        </w:rPr>
        <w:t>ereby supports justified claims</w:t>
      </w:r>
      <w:r w:rsidR="00B47DA1" w:rsidRPr="0030770F">
        <w:rPr>
          <w:lang w:val="en-US" w:eastAsia="da-DK"/>
        </w:rPr>
        <w:t xml:space="preserve"> and claims that could be discarded due to lack of resources. </w:t>
      </w:r>
    </w:p>
    <w:p w:rsidR="00B47DA1" w:rsidRPr="000824F9" w:rsidRDefault="00904E11" w:rsidP="00A11A9E">
      <w:pPr>
        <w:pStyle w:val="H4G"/>
        <w:rPr>
          <w:lang w:val="en-US" w:eastAsia="da-DK"/>
        </w:rPr>
      </w:pPr>
      <w:r>
        <w:rPr>
          <w:lang w:val="en-US" w:eastAsia="da-DK"/>
        </w:rPr>
        <w:tab/>
      </w:r>
      <w:r>
        <w:rPr>
          <w:lang w:val="en-US" w:eastAsia="da-DK"/>
        </w:rPr>
        <w:tab/>
      </w:r>
      <w:r w:rsidR="00B47DA1">
        <w:rPr>
          <w:lang w:val="en-US" w:eastAsia="da-DK"/>
        </w:rPr>
        <w:t xml:space="preserve">The appearance of judges in court </w:t>
      </w:r>
      <w:r w:rsidR="00B47DA1" w:rsidRPr="000824F9">
        <w:rPr>
          <w:lang w:val="en-US" w:eastAsia="da-DK"/>
        </w:rPr>
        <w:t>[</w:t>
      </w:r>
      <w:r w:rsidR="00B47DA1">
        <w:rPr>
          <w:lang w:val="en-US" w:eastAsia="da-DK"/>
        </w:rPr>
        <w:t>Ministry of Justice</w:t>
      </w:r>
      <w:r w:rsidR="00B47DA1" w:rsidRPr="000824F9">
        <w:rPr>
          <w:lang w:val="en-US" w:eastAsia="da-DK"/>
        </w:rPr>
        <w:t>]</w:t>
      </w:r>
    </w:p>
    <w:p w:rsidR="00B47DA1" w:rsidRPr="0030770F" w:rsidRDefault="00A11A9E" w:rsidP="00A11A9E">
      <w:pPr>
        <w:pStyle w:val="SingleTxtG"/>
        <w:rPr>
          <w:lang w:val="en-US" w:eastAsia="da-DK"/>
        </w:rPr>
      </w:pPr>
      <w:r w:rsidRPr="0030770F">
        <w:rPr>
          <w:lang w:val="en-US" w:eastAsia="da-DK"/>
        </w:rPr>
        <w:t>6.</w:t>
      </w:r>
      <w:r w:rsidRPr="0030770F">
        <w:rPr>
          <w:lang w:val="en-US" w:eastAsia="da-DK"/>
        </w:rPr>
        <w:tab/>
      </w:r>
      <w:r w:rsidR="00B47DA1" w:rsidRPr="0030770F">
        <w:rPr>
          <w:lang w:val="en-US" w:eastAsia="da-DK"/>
        </w:rPr>
        <w:t>In 2009</w:t>
      </w:r>
      <w:r w:rsidR="00B47DA1">
        <w:rPr>
          <w:lang w:val="en-US" w:eastAsia="da-DK"/>
        </w:rPr>
        <w:t>,</w:t>
      </w:r>
      <w:r w:rsidR="00B47DA1" w:rsidRPr="0030770F">
        <w:rPr>
          <w:lang w:val="en-US" w:eastAsia="da-DK"/>
        </w:rPr>
        <w:t xml:space="preserve"> the Administration of Justice Act</w:t>
      </w:r>
      <w:r w:rsidR="00B47DA1">
        <w:rPr>
          <w:lang w:val="en-US" w:eastAsia="da-DK"/>
        </w:rPr>
        <w:t xml:space="preserve"> was amended</w:t>
      </w:r>
      <w:r w:rsidR="00B47DA1" w:rsidRPr="0030770F">
        <w:rPr>
          <w:lang w:val="en-US" w:eastAsia="da-DK"/>
        </w:rPr>
        <w:t xml:space="preserve"> (Act 2009-06-12 No. 495</w:t>
      </w:r>
      <w:r w:rsidR="00B47DA1">
        <w:rPr>
          <w:lang w:val="en-US" w:eastAsia="da-DK"/>
        </w:rPr>
        <w:t>).</w:t>
      </w:r>
      <w:r w:rsidR="00B47DA1" w:rsidRPr="0030770F">
        <w:rPr>
          <w:lang w:val="en-US" w:eastAsia="da-DK"/>
        </w:rPr>
        <w:t xml:space="preserve"> The amendment states that a judge may not appear at a hearing in court in such a way that could be perceived as an expression of religious or political affiliation. Therefore a judge is required to wear a judge’s mantle during hearings. The </w:t>
      </w:r>
      <w:r w:rsidR="00B47DA1">
        <w:rPr>
          <w:lang w:val="en-US" w:eastAsia="da-DK"/>
        </w:rPr>
        <w:t>purpose</w:t>
      </w:r>
      <w:r w:rsidR="00B47DA1" w:rsidRPr="0030770F">
        <w:rPr>
          <w:lang w:val="en-US" w:eastAsia="da-DK"/>
        </w:rPr>
        <w:t xml:space="preserve"> is to ensure that judges appear neutral in court. </w:t>
      </w:r>
    </w:p>
    <w:p w:rsidR="00B47DA1" w:rsidRPr="000824F9" w:rsidRDefault="00904E11" w:rsidP="00A11A9E">
      <w:pPr>
        <w:pStyle w:val="H4G"/>
        <w:rPr>
          <w:lang w:val="en-US" w:eastAsia="da-DK"/>
        </w:rPr>
      </w:pPr>
      <w:r>
        <w:rPr>
          <w:lang w:val="en-US" w:eastAsia="da-DK"/>
        </w:rPr>
        <w:tab/>
      </w:r>
      <w:r>
        <w:rPr>
          <w:lang w:val="en-US" w:eastAsia="da-DK"/>
        </w:rPr>
        <w:tab/>
      </w:r>
      <w:r w:rsidR="00B47DA1">
        <w:rPr>
          <w:lang w:val="en-US" w:eastAsia="da-DK"/>
        </w:rPr>
        <w:t xml:space="preserve">Co-maternity </w:t>
      </w:r>
      <w:r w:rsidR="00B47DA1" w:rsidRPr="000824F9">
        <w:rPr>
          <w:lang w:val="en-US" w:eastAsia="da-DK"/>
        </w:rPr>
        <w:t>[</w:t>
      </w:r>
      <w:r w:rsidR="00B47DA1">
        <w:rPr>
          <w:lang w:val="en-US" w:eastAsia="da-DK"/>
        </w:rPr>
        <w:t>Ministry of Social Affairs and the Interior and Ministry of Justice</w:t>
      </w:r>
      <w:r w:rsidR="00B47DA1" w:rsidRPr="000824F9">
        <w:rPr>
          <w:lang w:val="en-US" w:eastAsia="da-DK"/>
        </w:rPr>
        <w:t>]</w:t>
      </w:r>
    </w:p>
    <w:p w:rsidR="00B47DA1" w:rsidRPr="00600D3E" w:rsidRDefault="00A11A9E" w:rsidP="00A11A9E">
      <w:pPr>
        <w:pStyle w:val="SingleTxtG"/>
        <w:rPr>
          <w:bCs/>
          <w:lang w:val="en-US" w:eastAsia="da-DK"/>
        </w:rPr>
      </w:pPr>
      <w:r w:rsidRPr="00600D3E">
        <w:rPr>
          <w:bCs/>
          <w:lang w:val="en-US" w:eastAsia="da-DK"/>
        </w:rPr>
        <w:t>7.</w:t>
      </w:r>
      <w:r w:rsidRPr="00600D3E">
        <w:rPr>
          <w:bCs/>
          <w:lang w:val="en-US" w:eastAsia="da-DK"/>
        </w:rPr>
        <w:tab/>
      </w:r>
      <w:r w:rsidR="00B47DA1" w:rsidRPr="00904E11">
        <w:rPr>
          <w:rStyle w:val="SingleTxtGChar"/>
        </w:rPr>
        <w:t>In 2012 the scope of the Marriage Act was changed in order for the Act to apply to both marriages between two persons of different sex and two persons of the same sex. The change also made it possible for two persons of the same sex to enter into marriage through a church ceremony. In addition to this, in 2013 the Administration of Justice Act was amended (Act 2013-06-12 No</w:t>
      </w:r>
      <w:r w:rsidR="00434343">
        <w:rPr>
          <w:rStyle w:val="SingleTxtGChar"/>
        </w:rPr>
        <w:t>.</w:t>
      </w:r>
      <w:r w:rsidR="00B47DA1" w:rsidRPr="00904E11">
        <w:rPr>
          <w:rStyle w:val="SingleTxtGChar"/>
        </w:rPr>
        <w:t xml:space="preserve"> 652) as a consequence of amendments to the Children’s Act (</w:t>
      </w:r>
      <w:r w:rsidR="00B47DA1" w:rsidRPr="00A11A9E">
        <w:rPr>
          <w:rStyle w:val="SingleTxtGChar"/>
          <w:i/>
          <w:iCs/>
        </w:rPr>
        <w:t>Børneloven</w:t>
      </w:r>
      <w:r w:rsidR="00B47DA1" w:rsidRPr="00904E11">
        <w:rPr>
          <w:rStyle w:val="SingleTxtGChar"/>
        </w:rPr>
        <w:t>) regarding the regulation on who is deemed to be the parent of a child either by registration or a court decision. The amendments to the Children</w:t>
      </w:r>
      <w:r w:rsidR="00920042">
        <w:rPr>
          <w:rStyle w:val="SingleTxtGChar"/>
        </w:rPr>
        <w:t>'s</w:t>
      </w:r>
      <w:r w:rsidR="00B47DA1" w:rsidRPr="00904E11">
        <w:rPr>
          <w:rStyle w:val="SingleTxtGChar"/>
        </w:rPr>
        <w:t xml:space="preserve"> Act </w:t>
      </w:r>
      <w:r w:rsidR="00920042">
        <w:rPr>
          <w:rStyle w:val="SingleTxtGChar"/>
        </w:rPr>
        <w:t xml:space="preserve">are </w:t>
      </w:r>
      <w:r w:rsidR="00B47DA1" w:rsidRPr="00904E11">
        <w:rPr>
          <w:rStyle w:val="SingleTxtGChar"/>
        </w:rPr>
        <w:t>intend</w:t>
      </w:r>
      <w:r w:rsidR="00920042">
        <w:rPr>
          <w:rStyle w:val="SingleTxtGChar"/>
        </w:rPr>
        <w:t>ed</w:t>
      </w:r>
      <w:r w:rsidR="00B47DA1" w:rsidRPr="00904E11">
        <w:rPr>
          <w:rStyle w:val="SingleTxtGChar"/>
        </w:rPr>
        <w:t xml:space="preserve"> to provide equal treatment of same sex couples and different sex couples regarding parenthood and the question of who is the legal parent of a child. It is now possible for a woman, who has consented to artificial insemination of her spouse or partner and has given her consent to be co-mother of the child, to be registered as the co-mother of the child. The legal consequences of co-maternity are the same as the legal consequences of paternity. Consequently, the Administration of Justice Act was amended regarding the judiciary’s processing of a paternity case to also include co-maternity. The amendment states that a presumed co-mother will be considered equal to a presumed father regarding duties and rights during a paternity or co-maternity-trial. For example the co-mother is obligated to give a statement regarding her consent to her spouse’s or partner’s artificial insemination, and the amendment therefore reflects that paternity or co-maternity can be established in litigation based on both genetic testing as well as consent to artificial</w:t>
      </w:r>
      <w:r w:rsidR="003C1BB8">
        <w:rPr>
          <w:rStyle w:val="SingleTxtGChar"/>
        </w:rPr>
        <w:t xml:space="preserve"> </w:t>
      </w:r>
      <w:r w:rsidR="00B47DA1" w:rsidRPr="00904E11">
        <w:rPr>
          <w:rStyle w:val="SingleTxtGChar"/>
        </w:rPr>
        <w:t>insemination</w:t>
      </w:r>
      <w:r w:rsidR="00B47DA1" w:rsidRPr="00600D3E">
        <w:rPr>
          <w:bCs/>
          <w:lang w:val="en-US" w:eastAsia="da-DK"/>
        </w:rPr>
        <w:t xml:space="preserve">. </w:t>
      </w:r>
    </w:p>
    <w:p w:rsidR="00B47DA1" w:rsidRPr="00027F57" w:rsidRDefault="00904E11" w:rsidP="00A11A9E">
      <w:pPr>
        <w:pStyle w:val="H4G"/>
        <w:rPr>
          <w:lang w:val="en-US"/>
        </w:rPr>
      </w:pPr>
      <w:r>
        <w:rPr>
          <w:lang w:val="en-US"/>
        </w:rPr>
        <w:tab/>
      </w:r>
      <w:r>
        <w:rPr>
          <w:lang w:val="en-US"/>
        </w:rPr>
        <w:tab/>
      </w:r>
      <w:r w:rsidR="00B47DA1" w:rsidRPr="00292229">
        <w:rPr>
          <w:lang w:val="en-US"/>
        </w:rPr>
        <w:t xml:space="preserve">Strengthening of the Danish Institute for Human Rights </w:t>
      </w:r>
      <w:r w:rsidR="00B47DA1" w:rsidRPr="00027F57">
        <w:rPr>
          <w:lang w:val="en-US"/>
        </w:rPr>
        <w:t>[</w:t>
      </w:r>
      <w:r w:rsidR="00B47DA1">
        <w:rPr>
          <w:lang w:val="en-US"/>
        </w:rPr>
        <w:t>Ministry of Foreign Affairs</w:t>
      </w:r>
      <w:r w:rsidR="00B47DA1" w:rsidRPr="00027F57">
        <w:rPr>
          <w:lang w:val="en-US"/>
        </w:rPr>
        <w:t>]</w:t>
      </w:r>
    </w:p>
    <w:p w:rsidR="00B47DA1" w:rsidRDefault="00A11A9E" w:rsidP="00A11A9E">
      <w:pPr>
        <w:pStyle w:val="SingleTxtG"/>
        <w:rPr>
          <w:lang w:val="en-US"/>
        </w:rPr>
      </w:pPr>
      <w:r>
        <w:rPr>
          <w:lang w:val="en-US"/>
        </w:rPr>
        <w:t>8.</w:t>
      </w:r>
      <w:r>
        <w:rPr>
          <w:lang w:val="en-US"/>
        </w:rPr>
        <w:tab/>
      </w:r>
      <w:r w:rsidR="00B47DA1" w:rsidRPr="00353156">
        <w:rPr>
          <w:lang w:val="en-US"/>
        </w:rPr>
        <w:t>The</w:t>
      </w:r>
      <w:r w:rsidR="00B47DA1">
        <w:rPr>
          <w:lang w:val="en-US"/>
        </w:rPr>
        <w:t xml:space="preserve"> status of</w:t>
      </w:r>
      <w:r w:rsidR="00B47DA1" w:rsidRPr="00353156">
        <w:rPr>
          <w:lang w:val="en-US"/>
        </w:rPr>
        <w:t xml:space="preserve"> </w:t>
      </w:r>
      <w:r w:rsidR="00920042">
        <w:rPr>
          <w:lang w:val="en-US"/>
        </w:rPr>
        <w:t>the Danish Institute for Human Rights (</w:t>
      </w:r>
      <w:r w:rsidR="00B47DA1" w:rsidRPr="00353156">
        <w:rPr>
          <w:lang w:val="en-US"/>
        </w:rPr>
        <w:t>DIHR</w:t>
      </w:r>
      <w:r w:rsidR="00920042">
        <w:rPr>
          <w:lang w:val="en-US"/>
        </w:rPr>
        <w:t>)</w:t>
      </w:r>
      <w:r w:rsidR="00B47DA1" w:rsidRPr="00353156">
        <w:rPr>
          <w:lang w:val="en-US"/>
        </w:rPr>
        <w:t xml:space="preserve"> </w:t>
      </w:r>
      <w:r w:rsidR="00B47DA1">
        <w:rPr>
          <w:lang w:val="en-US"/>
        </w:rPr>
        <w:t>(</w:t>
      </w:r>
      <w:r w:rsidR="00B47DA1">
        <w:rPr>
          <w:i/>
          <w:lang w:val="en-US"/>
        </w:rPr>
        <w:t>Institut for Menneskerettigheder</w:t>
      </w:r>
      <w:r w:rsidR="00B47DA1" w:rsidRPr="00A11A9E">
        <w:rPr>
          <w:iCs/>
          <w:lang w:val="en-US"/>
        </w:rPr>
        <w:t>)</w:t>
      </w:r>
      <w:r w:rsidR="00B47DA1">
        <w:rPr>
          <w:i/>
          <w:lang w:val="en-US"/>
        </w:rPr>
        <w:t xml:space="preserve"> </w:t>
      </w:r>
      <w:r w:rsidR="00B47DA1">
        <w:rPr>
          <w:lang w:val="en-US"/>
        </w:rPr>
        <w:t xml:space="preserve">is regulated </w:t>
      </w:r>
      <w:r w:rsidR="00B47DA1" w:rsidRPr="00353156">
        <w:rPr>
          <w:lang w:val="en-US"/>
        </w:rPr>
        <w:t xml:space="preserve">by Act </w:t>
      </w:r>
      <w:r w:rsidR="00434343">
        <w:rPr>
          <w:lang w:val="en-US"/>
        </w:rPr>
        <w:t>N</w:t>
      </w:r>
      <w:r w:rsidR="00B47DA1" w:rsidRPr="00353156">
        <w:rPr>
          <w:lang w:val="en-US"/>
        </w:rPr>
        <w:t xml:space="preserve">o. 553 of 18 June 2012. </w:t>
      </w:r>
      <w:r w:rsidR="00B47DA1">
        <w:t>The a</w:t>
      </w:r>
      <w:r w:rsidR="00B47DA1" w:rsidRPr="00FF4BB6">
        <w:rPr>
          <w:lang w:val="en-US"/>
        </w:rPr>
        <w:t xml:space="preserve">ct stipulates that </w:t>
      </w:r>
      <w:r w:rsidR="00B47DA1">
        <w:rPr>
          <w:lang w:val="en-US"/>
        </w:rPr>
        <w:t>DIHR</w:t>
      </w:r>
      <w:r w:rsidR="00B47DA1" w:rsidRPr="00FF4BB6">
        <w:rPr>
          <w:lang w:val="en-US"/>
        </w:rPr>
        <w:t xml:space="preserve"> is a </w:t>
      </w:r>
      <w:r w:rsidR="00B47DA1" w:rsidRPr="00FF4BB6">
        <w:t xml:space="preserve">self-governing institution within the public administration which means that </w:t>
      </w:r>
      <w:r w:rsidR="00B47DA1">
        <w:t>it</w:t>
      </w:r>
      <w:r w:rsidR="00B47DA1" w:rsidRPr="00FF4BB6">
        <w:t xml:space="preserve"> </w:t>
      </w:r>
      <w:r w:rsidR="00B47DA1">
        <w:t>i</w:t>
      </w:r>
      <w:r w:rsidR="00B47DA1" w:rsidRPr="00FF4BB6">
        <w:t>s an independent and autonomous entity not subject to government instruction. Likewise</w:t>
      </w:r>
      <w:r w:rsidR="00B47DA1">
        <w:t>,</w:t>
      </w:r>
      <w:r w:rsidR="00B47DA1" w:rsidRPr="00FF4BB6">
        <w:t xml:space="preserve"> government </w:t>
      </w:r>
      <w:r w:rsidR="00B47DA1" w:rsidRPr="00FF4BB6">
        <w:rPr>
          <w:lang w:val="en-US"/>
        </w:rPr>
        <w:t>representative</w:t>
      </w:r>
      <w:r w:rsidR="00B47DA1">
        <w:rPr>
          <w:lang w:val="en-US"/>
        </w:rPr>
        <w:t>s</w:t>
      </w:r>
      <w:r w:rsidR="00B47DA1" w:rsidRPr="00FF4BB6">
        <w:rPr>
          <w:lang w:val="en-US"/>
        </w:rPr>
        <w:t xml:space="preserve"> can</w:t>
      </w:r>
      <w:r w:rsidR="00B47DA1">
        <w:rPr>
          <w:lang w:val="en-US"/>
        </w:rPr>
        <w:t>not</w:t>
      </w:r>
      <w:r w:rsidR="00B47DA1" w:rsidRPr="00FF4BB6">
        <w:rPr>
          <w:lang w:val="en-US"/>
        </w:rPr>
        <w:t xml:space="preserve"> participate in decisions regarding the work of the institution</w:t>
      </w:r>
      <w:r w:rsidR="00B47DA1">
        <w:rPr>
          <w:lang w:val="en-US"/>
        </w:rPr>
        <w:t xml:space="preserve"> but only </w:t>
      </w:r>
      <w:r w:rsidR="00B47DA1" w:rsidRPr="00FF4BB6">
        <w:rPr>
          <w:lang w:val="en-US"/>
        </w:rPr>
        <w:t xml:space="preserve">through a consulting </w:t>
      </w:r>
      <w:r w:rsidR="00B47DA1">
        <w:rPr>
          <w:lang w:val="en-US"/>
        </w:rPr>
        <w:t>capacity</w:t>
      </w:r>
      <w:r w:rsidR="00B47DA1" w:rsidRPr="00FF4BB6">
        <w:rPr>
          <w:lang w:val="en-US"/>
        </w:rPr>
        <w:t xml:space="preserve">. </w:t>
      </w:r>
      <w:r w:rsidR="00B47DA1">
        <w:rPr>
          <w:lang w:val="en-US"/>
        </w:rPr>
        <w:t xml:space="preserve">Additionally, the act stipulates that the </w:t>
      </w:r>
      <w:r w:rsidR="00B47DA1" w:rsidRPr="004B3A06">
        <w:rPr>
          <w:lang w:val="en-US"/>
        </w:rPr>
        <w:t>state shall</w:t>
      </w:r>
      <w:r w:rsidR="00B47DA1">
        <w:rPr>
          <w:lang w:val="en-US"/>
        </w:rPr>
        <w:t xml:space="preserve"> </w:t>
      </w:r>
      <w:r w:rsidR="00B47DA1" w:rsidRPr="004B3A06">
        <w:rPr>
          <w:lang w:val="en-US"/>
        </w:rPr>
        <w:t>provide annual financial support to DIHR</w:t>
      </w:r>
      <w:r w:rsidR="00B47DA1">
        <w:rPr>
          <w:lang w:val="en-US"/>
        </w:rPr>
        <w:t xml:space="preserve"> to ensure that </w:t>
      </w:r>
      <w:r w:rsidR="00B47DA1" w:rsidRPr="004B3A06">
        <w:rPr>
          <w:lang w:val="en-US"/>
        </w:rPr>
        <w:t xml:space="preserve">the DIHR has sufficient resources to </w:t>
      </w:r>
      <w:r w:rsidR="00B47DA1">
        <w:rPr>
          <w:lang w:val="en-US"/>
        </w:rPr>
        <w:t>execute its mandate.</w:t>
      </w:r>
    </w:p>
    <w:p w:rsidR="00B47DA1" w:rsidRDefault="00A11A9E" w:rsidP="00A11A9E">
      <w:pPr>
        <w:pStyle w:val="SingleTxtG"/>
      </w:pPr>
      <w:r>
        <w:t>9.</w:t>
      </w:r>
      <w:r>
        <w:tab/>
      </w:r>
      <w:r w:rsidR="00B47DA1" w:rsidRPr="00996309">
        <w:rPr>
          <w:lang w:val="en-US"/>
        </w:rPr>
        <w:t xml:space="preserve">The act further stipulates that DIHR must facilitate and protect human rights in peacetime and during armed conflicts especially by monitoring of and reporting on human rights in Denmark, researching, raising awareness, advising the </w:t>
      </w:r>
      <w:r w:rsidR="00B47DA1">
        <w:rPr>
          <w:lang w:val="en-US"/>
        </w:rPr>
        <w:t>P</w:t>
      </w:r>
      <w:r w:rsidR="00B47DA1" w:rsidRPr="00996309">
        <w:rPr>
          <w:lang w:val="en-US"/>
        </w:rPr>
        <w:t xml:space="preserve">arliament, the </w:t>
      </w:r>
      <w:r w:rsidR="00B47DA1">
        <w:rPr>
          <w:lang w:val="en-US"/>
        </w:rPr>
        <w:t>G</w:t>
      </w:r>
      <w:r w:rsidR="00B47DA1" w:rsidRPr="00996309">
        <w:rPr>
          <w:lang w:val="en-US"/>
        </w:rPr>
        <w:t>overnment and other public authorities and private operators about human rights, helping to promote the coordination between and support to organizations that work with human rights, helping to promote and to implement teaching about human rights, and ensuring library facilities regarding human rights and contribute to the implementation of human rights at home and abroad.</w:t>
      </w:r>
      <w:r w:rsidR="00B47DA1">
        <w:rPr>
          <w:lang w:val="en-US"/>
        </w:rPr>
        <w:t xml:space="preserve"> </w:t>
      </w:r>
      <w:r w:rsidR="00B47DA1" w:rsidRPr="00996309">
        <w:rPr>
          <w:lang w:val="en-US"/>
        </w:rPr>
        <w:t xml:space="preserve">Furthermore, the institute </w:t>
      </w:r>
      <w:r w:rsidR="00B47DA1" w:rsidRPr="00FF4BB6">
        <w:t>promote</w:t>
      </w:r>
      <w:r w:rsidR="00B47DA1">
        <w:t>s</w:t>
      </w:r>
      <w:r w:rsidR="00B47DA1" w:rsidRPr="00FF4BB6">
        <w:t xml:space="preserve"> equal treatment of all </w:t>
      </w:r>
      <w:r w:rsidR="00B47DA1">
        <w:t>persons</w:t>
      </w:r>
      <w:r w:rsidR="00B47DA1" w:rsidRPr="00FF4BB6">
        <w:t xml:space="preserve"> regardless of sex, race or ethnic origin </w:t>
      </w:r>
      <w:r w:rsidR="00B47DA1" w:rsidRPr="00996309">
        <w:rPr>
          <w:i/>
        </w:rPr>
        <w:t>inter alia</w:t>
      </w:r>
      <w:r w:rsidR="00B47DA1" w:rsidRPr="00FF4BB6">
        <w:t xml:space="preserve"> by </w:t>
      </w:r>
      <w:r w:rsidR="00B47DA1">
        <w:t xml:space="preserve">assisting </w:t>
      </w:r>
      <w:r w:rsidR="00B47DA1" w:rsidRPr="00FF4BB6">
        <w:t>victims of discrimination with pursuing their complaints, launch</w:t>
      </w:r>
      <w:r w:rsidR="00B47DA1">
        <w:t>ing</w:t>
      </w:r>
      <w:r w:rsidR="00B47DA1" w:rsidRPr="00FF4BB6">
        <w:t xml:space="preserve"> independen</w:t>
      </w:r>
      <w:r w:rsidR="00B47DA1">
        <w:t xml:space="preserve">t inquiries into discrimination, </w:t>
      </w:r>
      <w:r w:rsidR="00B47DA1" w:rsidRPr="00FF4BB6">
        <w:t>publish</w:t>
      </w:r>
      <w:r w:rsidR="00B47DA1">
        <w:t>ing</w:t>
      </w:r>
      <w:r w:rsidR="00B47DA1" w:rsidRPr="00FF4BB6">
        <w:t xml:space="preserve"> reports and submit</w:t>
      </w:r>
      <w:r w:rsidR="00B47DA1">
        <w:t>ting</w:t>
      </w:r>
      <w:r w:rsidR="00B47DA1" w:rsidRPr="00FF4BB6">
        <w:t xml:space="preserve"> recommendations. </w:t>
      </w:r>
    </w:p>
    <w:p w:rsidR="00B47DA1" w:rsidRPr="00381A1F" w:rsidRDefault="00904E11" w:rsidP="00A11A9E">
      <w:pPr>
        <w:pStyle w:val="H4G"/>
        <w:rPr>
          <w:lang w:val="en-US"/>
        </w:rPr>
      </w:pPr>
      <w:r>
        <w:rPr>
          <w:lang w:val="en-US"/>
        </w:rPr>
        <w:tab/>
      </w:r>
      <w:r>
        <w:rPr>
          <w:lang w:val="en-US"/>
        </w:rPr>
        <w:tab/>
      </w:r>
      <w:r w:rsidR="00B47DA1">
        <w:rPr>
          <w:lang w:val="en-US"/>
        </w:rPr>
        <w:t xml:space="preserve">The Danish equality body on gender </w:t>
      </w:r>
      <w:r w:rsidR="00B47DA1" w:rsidRPr="002A44C1">
        <w:rPr>
          <w:lang w:val="en-US"/>
        </w:rPr>
        <w:t>[</w:t>
      </w:r>
      <w:r w:rsidR="00B47DA1" w:rsidRPr="00CE4F5F">
        <w:rPr>
          <w:lang w:val="en-US"/>
        </w:rPr>
        <w:t>Ministry of Children, Education and Gender Equality</w:t>
      </w:r>
      <w:r w:rsidR="00B47DA1" w:rsidRPr="002A44C1">
        <w:rPr>
          <w:lang w:val="en-US"/>
        </w:rPr>
        <w:t>]</w:t>
      </w:r>
    </w:p>
    <w:p w:rsidR="00B47DA1" w:rsidRPr="002C11B0" w:rsidRDefault="00A11A9E" w:rsidP="00A11A9E">
      <w:pPr>
        <w:pStyle w:val="SingleTxtG"/>
        <w:rPr>
          <w:lang w:val="en-US"/>
        </w:rPr>
      </w:pPr>
      <w:r w:rsidRPr="002C11B0">
        <w:rPr>
          <w:lang w:val="en-US"/>
        </w:rPr>
        <w:t>10.</w:t>
      </w:r>
      <w:r w:rsidRPr="002C11B0">
        <w:rPr>
          <w:lang w:val="en-US"/>
        </w:rPr>
        <w:tab/>
      </w:r>
      <w:r w:rsidR="00B47DA1" w:rsidRPr="002C11B0">
        <w:rPr>
          <w:snapToGrid w:val="0"/>
          <w:lang w:val="en"/>
        </w:rPr>
        <w:t xml:space="preserve">In 2002, </w:t>
      </w:r>
      <w:r w:rsidR="00B47DA1">
        <w:rPr>
          <w:snapToGrid w:val="0"/>
          <w:lang w:val="en"/>
        </w:rPr>
        <w:t>DIHR</w:t>
      </w:r>
      <w:r w:rsidR="00B47DA1" w:rsidRPr="002C11B0">
        <w:rPr>
          <w:snapToGrid w:val="0"/>
          <w:lang w:val="en"/>
        </w:rPr>
        <w:t xml:space="preserve"> was appointed as the Danish equality body on racial and ethnic origin. In 2011 the mandate of the institute was extended as the institute was appointed as the national equality body on gender. Equality </w:t>
      </w:r>
      <w:r w:rsidR="008A6FF2">
        <w:rPr>
          <w:snapToGrid w:val="0"/>
          <w:lang w:val="en"/>
        </w:rPr>
        <w:t>c</w:t>
      </w:r>
      <w:r w:rsidR="00B47DA1" w:rsidRPr="002C11B0">
        <w:rPr>
          <w:snapToGrid w:val="0"/>
          <w:lang w:val="en"/>
        </w:rPr>
        <w:t>ounselling at the institute provides legal and practical information and advice to victims of discrimination.</w:t>
      </w:r>
      <w:r w:rsidR="00BB09A1">
        <w:rPr>
          <w:snapToGrid w:val="0"/>
          <w:lang w:val="en"/>
        </w:rPr>
        <w:t xml:space="preserve"> </w:t>
      </w:r>
      <w:r w:rsidR="00B47DA1" w:rsidRPr="002C11B0">
        <w:rPr>
          <w:snapToGrid w:val="0"/>
          <w:lang w:val="en"/>
        </w:rPr>
        <w:t>The competence to decide on cases lies with The Board of Equal Treatment.</w:t>
      </w:r>
    </w:p>
    <w:p w:rsidR="00B47DA1" w:rsidRPr="006C1BA8" w:rsidRDefault="00904E11" w:rsidP="00A11A9E">
      <w:pPr>
        <w:pStyle w:val="H4G"/>
        <w:rPr>
          <w:lang w:val="en-US"/>
        </w:rPr>
      </w:pPr>
      <w:r>
        <w:rPr>
          <w:lang w:val="en-US"/>
        </w:rPr>
        <w:tab/>
      </w:r>
      <w:r>
        <w:rPr>
          <w:lang w:val="en-US"/>
        </w:rPr>
        <w:tab/>
      </w:r>
      <w:r w:rsidR="00B47DA1" w:rsidRPr="006C1BA8">
        <w:rPr>
          <w:lang w:val="en-US"/>
        </w:rPr>
        <w:t>Measures to promote equal rights and opportunities for female and male ethnic minorities [Ministry of Immigration, Integration and Housing]</w:t>
      </w:r>
      <w:r w:rsidR="00AF685F">
        <w:rPr>
          <w:lang w:val="en-US"/>
        </w:rPr>
        <w:t xml:space="preserve"> </w:t>
      </w:r>
    </w:p>
    <w:p w:rsidR="00B47DA1" w:rsidRDefault="00A11A9E" w:rsidP="00A11A9E">
      <w:pPr>
        <w:pStyle w:val="SingleTxtG"/>
        <w:rPr>
          <w:lang w:val="en-US"/>
        </w:rPr>
      </w:pPr>
      <w:r>
        <w:rPr>
          <w:lang w:val="en-US"/>
        </w:rPr>
        <w:t>11.</w:t>
      </w:r>
      <w:r>
        <w:rPr>
          <w:lang w:val="en-US"/>
        </w:rPr>
        <w:tab/>
      </w:r>
      <w:r w:rsidR="00B47DA1" w:rsidRPr="00E74782">
        <w:rPr>
          <w:lang w:val="en-US"/>
        </w:rPr>
        <w:t xml:space="preserve">Various initiatives to promote equal rights and opportunities for women and men </w:t>
      </w:r>
      <w:r w:rsidR="00B47DA1">
        <w:rPr>
          <w:lang w:val="en-US"/>
        </w:rPr>
        <w:t xml:space="preserve">with an </w:t>
      </w:r>
      <w:r w:rsidR="00B47DA1" w:rsidRPr="00E74782">
        <w:rPr>
          <w:lang w:val="en-US"/>
        </w:rPr>
        <w:t>ethnic minority background have been initiated</w:t>
      </w:r>
      <w:r w:rsidR="008E42A5">
        <w:rPr>
          <w:lang w:val="en-US"/>
        </w:rPr>
        <w:t>, including</w:t>
      </w:r>
      <w:r w:rsidR="00B47DA1">
        <w:rPr>
          <w:i/>
          <w:lang w:val="en-US"/>
        </w:rPr>
        <w:t xml:space="preserve"> </w:t>
      </w:r>
      <w:r w:rsidR="00B47DA1" w:rsidRPr="00E74782">
        <w:rPr>
          <w:lang w:val="en-US"/>
        </w:rPr>
        <w:t>a “Rights Campaign” which target</w:t>
      </w:r>
      <w:r w:rsidR="00B47DA1">
        <w:rPr>
          <w:lang w:val="en-US"/>
        </w:rPr>
        <w:t>s</w:t>
      </w:r>
      <w:r w:rsidR="00B47DA1" w:rsidRPr="00E74782">
        <w:rPr>
          <w:lang w:val="en-US"/>
        </w:rPr>
        <w:t xml:space="preserve"> both women and men</w:t>
      </w:r>
      <w:r w:rsidR="00B47DA1">
        <w:rPr>
          <w:lang w:val="en-US"/>
        </w:rPr>
        <w:t xml:space="preserve"> </w:t>
      </w:r>
      <w:r w:rsidR="00B47DA1" w:rsidRPr="0099018F">
        <w:rPr>
          <w:lang w:val="en-US"/>
        </w:rPr>
        <w:t>from ethnic minority groups in Denmark informing th</w:t>
      </w:r>
      <w:r w:rsidR="00B47DA1">
        <w:rPr>
          <w:lang w:val="en-US"/>
        </w:rPr>
        <w:t>em of their rights according</w:t>
      </w:r>
      <w:r w:rsidR="00B47DA1" w:rsidRPr="00E74782">
        <w:rPr>
          <w:lang w:val="en-US"/>
        </w:rPr>
        <w:t xml:space="preserve"> to family law, work, economy and health. </w:t>
      </w:r>
      <w:r w:rsidR="00B47DA1">
        <w:rPr>
          <w:lang w:val="en-US"/>
        </w:rPr>
        <w:t xml:space="preserve">Evaluations have shown </w:t>
      </w:r>
      <w:r w:rsidR="00B47DA1" w:rsidRPr="00E74782">
        <w:rPr>
          <w:lang w:val="en-US"/>
        </w:rPr>
        <w:t xml:space="preserve">positive results. The campaign has had two </w:t>
      </w:r>
      <w:r w:rsidR="008E42A5">
        <w:rPr>
          <w:lang w:val="en-US"/>
        </w:rPr>
        <w:t xml:space="preserve">consequences, </w:t>
      </w:r>
      <w:r w:rsidR="00B47DA1">
        <w:rPr>
          <w:lang w:val="en-US"/>
        </w:rPr>
        <w:t>as</w:t>
      </w:r>
      <w:r w:rsidR="00B47DA1" w:rsidRPr="00E74782">
        <w:rPr>
          <w:lang w:val="en-US"/>
        </w:rPr>
        <w:t xml:space="preserve"> marginalized ethnic minority women </w:t>
      </w:r>
      <w:r w:rsidR="00B47DA1">
        <w:rPr>
          <w:lang w:val="en-US"/>
        </w:rPr>
        <w:t>have been</w:t>
      </w:r>
      <w:r w:rsidR="00B47DA1" w:rsidRPr="00E74782">
        <w:rPr>
          <w:lang w:val="en-US"/>
        </w:rPr>
        <w:t xml:space="preserve"> offered one-on-one legal guidance, and a group of resourceful minority women </w:t>
      </w:r>
      <w:r w:rsidR="00B47DA1">
        <w:rPr>
          <w:lang w:val="en-US"/>
        </w:rPr>
        <w:t xml:space="preserve">were </w:t>
      </w:r>
      <w:r w:rsidR="00B47DA1" w:rsidRPr="00E74782">
        <w:rPr>
          <w:lang w:val="en-US"/>
        </w:rPr>
        <w:t xml:space="preserve">trained to guide other minority women about their rights and possibilities in </w:t>
      </w:r>
      <w:r w:rsidR="00B47DA1">
        <w:rPr>
          <w:lang w:val="en-US"/>
        </w:rPr>
        <w:t>Denmark</w:t>
      </w:r>
      <w:r w:rsidR="00B47DA1" w:rsidRPr="00E74782">
        <w:rPr>
          <w:lang w:val="en-US"/>
        </w:rPr>
        <w:t>.</w:t>
      </w:r>
      <w:r w:rsidR="00B47DA1">
        <w:rPr>
          <w:lang w:val="en-US"/>
        </w:rPr>
        <w:t xml:space="preserve"> </w:t>
      </w:r>
    </w:p>
    <w:p w:rsidR="00B47DA1" w:rsidRPr="009D080C" w:rsidRDefault="00904E11" w:rsidP="00A11A9E">
      <w:pPr>
        <w:pStyle w:val="H4G"/>
        <w:rPr>
          <w:lang w:val="en-US" w:eastAsia="nb-NO"/>
        </w:rPr>
      </w:pPr>
      <w:r>
        <w:rPr>
          <w:lang w:val="en-US" w:eastAsia="nb-NO"/>
        </w:rPr>
        <w:tab/>
      </w:r>
      <w:r>
        <w:rPr>
          <w:lang w:val="en-US" w:eastAsia="nb-NO"/>
        </w:rPr>
        <w:tab/>
      </w:r>
      <w:r w:rsidR="00B47DA1" w:rsidRPr="009403D4">
        <w:rPr>
          <w:lang w:val="en-US" w:eastAsia="nb-NO"/>
        </w:rPr>
        <w:t>Establishment of a mediation and complaints-handling institution for responsible business conduct</w:t>
      </w:r>
      <w:r w:rsidR="00B47DA1">
        <w:rPr>
          <w:lang w:val="en-US" w:eastAsia="nb-NO"/>
        </w:rPr>
        <w:t xml:space="preserve"> </w:t>
      </w:r>
      <w:r w:rsidR="00B47DA1">
        <w:rPr>
          <w:lang w:val="en-US"/>
        </w:rPr>
        <w:t>[Ministry of Business and Growth]</w:t>
      </w:r>
    </w:p>
    <w:p w:rsidR="00B47DA1" w:rsidRPr="001736C7" w:rsidRDefault="00A11A9E" w:rsidP="00A11A9E">
      <w:pPr>
        <w:pStyle w:val="SingleTxtG"/>
        <w:rPr>
          <w:lang w:val="en-US" w:eastAsia="nb-NO"/>
        </w:rPr>
      </w:pPr>
      <w:r w:rsidRPr="001736C7">
        <w:rPr>
          <w:lang w:val="en-US" w:eastAsia="nb-NO"/>
        </w:rPr>
        <w:t>12.</w:t>
      </w:r>
      <w:r w:rsidRPr="001736C7">
        <w:rPr>
          <w:lang w:val="en-US" w:eastAsia="nb-NO"/>
        </w:rPr>
        <w:tab/>
      </w:r>
      <w:r w:rsidR="00B47DA1" w:rsidRPr="001736C7">
        <w:rPr>
          <w:lang w:val="en-US" w:eastAsia="nb-NO"/>
        </w:rPr>
        <w:t>In November 2012, the mediation and complaints-handling institution for responsible business conduct was established by law. The institution handle</w:t>
      </w:r>
      <w:r w:rsidR="00B47DA1">
        <w:rPr>
          <w:lang w:val="en-US" w:eastAsia="nb-NO"/>
        </w:rPr>
        <w:t>s</w:t>
      </w:r>
      <w:r w:rsidR="00B47DA1" w:rsidRPr="001736C7">
        <w:rPr>
          <w:lang w:val="en-US" w:eastAsia="nb-NO"/>
        </w:rPr>
        <w:t xml:space="preserve"> cases involving potential breaches of international corporate social responsibility (CSR) guidelines, including human rights violations, by Danish private or public companies, Danish authorities, Danish private or public organizations and their business associates. The institution is an independent body within the public administration.</w:t>
      </w:r>
      <w:r w:rsidR="00B47DA1">
        <w:rPr>
          <w:lang w:val="en-US" w:eastAsia="nb-NO"/>
        </w:rPr>
        <w:t xml:space="preserve"> </w:t>
      </w:r>
      <w:r w:rsidR="00B47DA1" w:rsidRPr="001736C7">
        <w:rPr>
          <w:lang w:val="en-US" w:eastAsia="nb-NO"/>
        </w:rPr>
        <w:t xml:space="preserve">Denmark </w:t>
      </w:r>
      <w:r w:rsidR="00B47DA1">
        <w:rPr>
          <w:lang w:val="en-US" w:eastAsia="nb-NO"/>
        </w:rPr>
        <w:t xml:space="preserve">thereby </w:t>
      </w:r>
      <w:r w:rsidR="00B47DA1" w:rsidRPr="001736C7">
        <w:rPr>
          <w:lang w:val="en-US" w:eastAsia="nb-NO"/>
        </w:rPr>
        <w:t>fulfil</w:t>
      </w:r>
      <w:r w:rsidR="00B47DA1">
        <w:rPr>
          <w:lang w:val="en-US" w:eastAsia="nb-NO"/>
        </w:rPr>
        <w:t>s</w:t>
      </w:r>
      <w:r w:rsidR="00B47DA1" w:rsidRPr="001736C7">
        <w:rPr>
          <w:lang w:val="en-US" w:eastAsia="nb-NO"/>
        </w:rPr>
        <w:t xml:space="preserve"> </w:t>
      </w:r>
      <w:r w:rsidR="00B47DA1">
        <w:rPr>
          <w:lang w:val="en-US" w:eastAsia="nb-NO"/>
        </w:rPr>
        <w:t>the</w:t>
      </w:r>
      <w:r w:rsidR="00B47DA1" w:rsidRPr="001736C7">
        <w:rPr>
          <w:lang w:val="en-US" w:eastAsia="nb-NO"/>
        </w:rPr>
        <w:t xml:space="preserve"> obligation to provid</w:t>
      </w:r>
      <w:r w:rsidR="00B47DA1">
        <w:rPr>
          <w:lang w:val="en-US" w:eastAsia="nb-NO"/>
        </w:rPr>
        <w:t>e</w:t>
      </w:r>
      <w:r w:rsidR="00B47DA1" w:rsidRPr="001736C7">
        <w:rPr>
          <w:lang w:val="en-US" w:eastAsia="nb-NO"/>
        </w:rPr>
        <w:t xml:space="preserve"> a national contact point </w:t>
      </w:r>
      <w:r w:rsidR="00B47DA1">
        <w:rPr>
          <w:lang w:val="en-US" w:eastAsia="nb-NO"/>
        </w:rPr>
        <w:t>to</w:t>
      </w:r>
      <w:r w:rsidR="00B47DA1" w:rsidRPr="001736C7">
        <w:rPr>
          <w:lang w:val="en-US" w:eastAsia="nb-NO"/>
        </w:rPr>
        <w:t xml:space="preserve"> deal with breaches o</w:t>
      </w:r>
      <w:r w:rsidR="008E42A5">
        <w:rPr>
          <w:lang w:val="en-US" w:eastAsia="nb-NO"/>
        </w:rPr>
        <w:t>f</w:t>
      </w:r>
      <w:r w:rsidR="00B47DA1" w:rsidRPr="001736C7">
        <w:rPr>
          <w:lang w:val="en-US" w:eastAsia="nb-NO"/>
        </w:rPr>
        <w:t xml:space="preserve"> the OECD Guidelines for Multinational Enterprises.</w:t>
      </w:r>
    </w:p>
    <w:p w:rsidR="00B47DA1" w:rsidRPr="009403D4" w:rsidRDefault="00A11A9E" w:rsidP="00A11A9E">
      <w:pPr>
        <w:pStyle w:val="SingleTxtG"/>
        <w:rPr>
          <w:lang w:val="en-US" w:eastAsia="nb-NO"/>
        </w:rPr>
      </w:pPr>
      <w:r w:rsidRPr="009403D4">
        <w:rPr>
          <w:lang w:val="en-US" w:eastAsia="nb-NO"/>
        </w:rPr>
        <w:t>13.</w:t>
      </w:r>
      <w:r w:rsidRPr="009403D4">
        <w:rPr>
          <w:lang w:val="en-US" w:eastAsia="nb-NO"/>
        </w:rPr>
        <w:tab/>
      </w:r>
      <w:r w:rsidR="00B47DA1" w:rsidRPr="009403D4">
        <w:rPr>
          <w:lang w:val="en-US" w:eastAsia="nb-NO"/>
        </w:rPr>
        <w:t>Any person may bring a complaint before the institution on their own behalf, or that of a third party. In cases involving breaches of international CSR guidelines</w:t>
      </w:r>
      <w:r w:rsidR="00B47DA1">
        <w:rPr>
          <w:lang w:val="en-US" w:eastAsia="nb-NO"/>
        </w:rPr>
        <w:t>,</w:t>
      </w:r>
      <w:r w:rsidR="00B47DA1" w:rsidRPr="009403D4">
        <w:rPr>
          <w:lang w:val="en-US" w:eastAsia="nb-NO"/>
        </w:rPr>
        <w:t xml:space="preserve"> the institution </w:t>
      </w:r>
      <w:r w:rsidR="00B47DA1">
        <w:rPr>
          <w:lang w:val="en-US" w:eastAsia="nb-NO"/>
        </w:rPr>
        <w:t>may</w:t>
      </w:r>
      <w:r w:rsidR="00B47DA1" w:rsidRPr="009403D4">
        <w:rPr>
          <w:lang w:val="en-US" w:eastAsia="nb-NO"/>
        </w:rPr>
        <w:t xml:space="preserve"> initiate </w:t>
      </w:r>
      <w:r w:rsidR="00B47DA1">
        <w:rPr>
          <w:lang w:val="en-US" w:eastAsia="nb-NO"/>
        </w:rPr>
        <w:t xml:space="preserve">a </w:t>
      </w:r>
      <w:r w:rsidR="00B47DA1" w:rsidRPr="009403D4">
        <w:rPr>
          <w:lang w:val="en-US" w:eastAsia="nb-NO"/>
        </w:rPr>
        <w:t xml:space="preserve">dialogue between the involved parties for them to find a suitable </w:t>
      </w:r>
      <w:r w:rsidR="00B47DA1">
        <w:rPr>
          <w:lang w:val="en-US" w:eastAsia="nb-NO"/>
        </w:rPr>
        <w:t xml:space="preserve">solution or </w:t>
      </w:r>
      <w:r w:rsidR="00B47DA1" w:rsidRPr="009403D4">
        <w:rPr>
          <w:lang w:val="en-US" w:eastAsia="nb-NO"/>
        </w:rPr>
        <w:t xml:space="preserve">offer to mediate. The institution </w:t>
      </w:r>
      <w:r w:rsidR="00B47DA1">
        <w:rPr>
          <w:lang w:val="en-US" w:eastAsia="nb-NO"/>
        </w:rPr>
        <w:t>is</w:t>
      </w:r>
      <w:r w:rsidR="00B47DA1" w:rsidRPr="009403D4">
        <w:rPr>
          <w:lang w:val="en-US" w:eastAsia="nb-NO"/>
        </w:rPr>
        <w:t xml:space="preserve"> mandate</w:t>
      </w:r>
      <w:r w:rsidR="00B47DA1">
        <w:rPr>
          <w:lang w:val="en-US" w:eastAsia="nb-NO"/>
        </w:rPr>
        <w:t>d</w:t>
      </w:r>
      <w:r w:rsidR="00B47DA1" w:rsidRPr="009403D4">
        <w:rPr>
          <w:lang w:val="en-US" w:eastAsia="nb-NO"/>
        </w:rPr>
        <w:t xml:space="preserve"> to initiate its own investigations</w:t>
      </w:r>
      <w:r w:rsidR="00B47DA1">
        <w:rPr>
          <w:lang w:val="en-US" w:eastAsia="nb-NO"/>
        </w:rPr>
        <w:t>,</w:t>
      </w:r>
      <w:r w:rsidR="00B47DA1" w:rsidRPr="009403D4">
        <w:rPr>
          <w:lang w:val="en-US" w:eastAsia="nb-NO"/>
        </w:rPr>
        <w:t xml:space="preserve"> if it deems it necessary. </w:t>
      </w:r>
    </w:p>
    <w:p w:rsidR="00B47DA1" w:rsidRPr="009403D4" w:rsidRDefault="00A11A9E" w:rsidP="00A11A9E">
      <w:pPr>
        <w:pStyle w:val="SingleTxtG"/>
        <w:rPr>
          <w:lang w:val="en-US" w:eastAsia="nb-NO"/>
        </w:rPr>
      </w:pPr>
      <w:r w:rsidRPr="009403D4">
        <w:rPr>
          <w:lang w:val="en-US" w:eastAsia="nb-NO"/>
        </w:rPr>
        <w:t>14.</w:t>
      </w:r>
      <w:r w:rsidRPr="009403D4">
        <w:rPr>
          <w:lang w:val="en-US" w:eastAsia="nb-NO"/>
        </w:rPr>
        <w:tab/>
      </w:r>
      <w:r w:rsidR="00B47DA1" w:rsidRPr="009403D4">
        <w:rPr>
          <w:lang w:val="en-US" w:eastAsia="nb-NO"/>
        </w:rPr>
        <w:t>Furthermore, the institution assist</w:t>
      </w:r>
      <w:r w:rsidR="00B47DA1">
        <w:rPr>
          <w:lang w:val="en-US" w:eastAsia="nb-NO"/>
        </w:rPr>
        <w:t>s</w:t>
      </w:r>
      <w:r w:rsidR="00B47DA1" w:rsidRPr="009403D4">
        <w:rPr>
          <w:lang w:val="en-US" w:eastAsia="nb-NO"/>
        </w:rPr>
        <w:t xml:space="preserve"> Danish companies in their endeavo</w:t>
      </w:r>
      <w:r w:rsidR="008E42A5">
        <w:rPr>
          <w:lang w:val="en-US" w:eastAsia="nb-NO"/>
        </w:rPr>
        <w:t>u</w:t>
      </w:r>
      <w:r w:rsidR="00B47DA1" w:rsidRPr="009403D4">
        <w:rPr>
          <w:lang w:val="en-US" w:eastAsia="nb-NO"/>
        </w:rPr>
        <w:t>r to comply with international CSR guidelines by providing interpretation and guidance.</w:t>
      </w:r>
    </w:p>
    <w:p w:rsidR="00B47DA1" w:rsidRPr="00B437C8" w:rsidRDefault="00A11A9E" w:rsidP="00A11A9E">
      <w:pPr>
        <w:pStyle w:val="SingleTxtG"/>
        <w:rPr>
          <w:lang w:val="en-US" w:eastAsia="nb-NO"/>
        </w:rPr>
      </w:pPr>
      <w:r w:rsidRPr="00B437C8">
        <w:rPr>
          <w:lang w:val="en-US" w:eastAsia="nb-NO"/>
        </w:rPr>
        <w:t>15.</w:t>
      </w:r>
      <w:r w:rsidRPr="00B437C8">
        <w:rPr>
          <w:lang w:val="en-US" w:eastAsia="nb-NO"/>
        </w:rPr>
        <w:tab/>
      </w:r>
      <w:r w:rsidR="00B47DA1" w:rsidRPr="00B437C8">
        <w:rPr>
          <w:lang w:val="en-US" w:eastAsia="nb-NO"/>
        </w:rPr>
        <w:t>Since 2008, the Financial Statements Act (Section 99a) (</w:t>
      </w:r>
      <w:r w:rsidR="00B47DA1" w:rsidRPr="00B437C8">
        <w:rPr>
          <w:i/>
          <w:lang w:val="en-US" w:eastAsia="nb-NO"/>
        </w:rPr>
        <w:t>Årsregnskabsloven</w:t>
      </w:r>
      <w:r w:rsidR="00B47DA1" w:rsidRPr="00A11A9E">
        <w:rPr>
          <w:iCs/>
          <w:lang w:val="en-US" w:eastAsia="nb-NO"/>
        </w:rPr>
        <w:t>)</w:t>
      </w:r>
      <w:r w:rsidR="00B47DA1" w:rsidRPr="00B437C8">
        <w:rPr>
          <w:i/>
          <w:lang w:val="en-US" w:eastAsia="nb-NO"/>
        </w:rPr>
        <w:t xml:space="preserve"> </w:t>
      </w:r>
      <w:r w:rsidR="00B47DA1" w:rsidRPr="00B437C8">
        <w:rPr>
          <w:lang w:val="en-US" w:eastAsia="nb-NO"/>
        </w:rPr>
        <w:t xml:space="preserve">has required the 1,100 largest Danish companies and all state-owned limited liability companies to report on CSR in their annual reports. In 2012, the Parliament passed a bill ensuring that the same companies also expressly state in their annual reports what measures they are taking to respect human rights (and climate impact reduction), and to report if they do not have such measures in place. </w:t>
      </w:r>
      <w:r w:rsidR="00B47DA1" w:rsidRPr="00B437C8">
        <w:rPr>
          <w:lang w:val="en"/>
        </w:rPr>
        <w:t>The same reporting requirement has also been introduced for institutional investors, mutual funds and other listed financial businesses (financial institutions and insurance companies, etc.), not covered by the Danish Financial Statements Act. Since the legal requirement became effective in 2009</w:t>
      </w:r>
      <w:r w:rsidR="00B47DA1">
        <w:rPr>
          <w:lang w:val="en"/>
        </w:rPr>
        <w:t>,</w:t>
      </w:r>
      <w:r w:rsidR="00B47DA1" w:rsidRPr="00B437C8">
        <w:rPr>
          <w:lang w:val="en"/>
        </w:rPr>
        <w:t xml:space="preserve"> four reports </w:t>
      </w:r>
      <w:r w:rsidR="00B47DA1">
        <w:rPr>
          <w:lang w:val="en"/>
        </w:rPr>
        <w:t>have been published regarding</w:t>
      </w:r>
      <w:r w:rsidR="00B47DA1" w:rsidRPr="00B437C8">
        <w:rPr>
          <w:lang w:val="en"/>
        </w:rPr>
        <w:t xml:space="preserve"> the companies’ implementation of the requirement in the Danish Financial Statements Act</w:t>
      </w:r>
      <w:r w:rsidR="00B47DA1">
        <w:rPr>
          <w:lang w:val="en"/>
        </w:rPr>
        <w:t>. The latest report</w:t>
      </w:r>
      <w:r w:rsidR="00B47DA1" w:rsidRPr="00B437C8">
        <w:rPr>
          <w:lang w:val="en"/>
        </w:rPr>
        <w:t xml:space="preserve"> was published in 2014.</w:t>
      </w:r>
      <w:r w:rsidR="00AF685F">
        <w:rPr>
          <w:lang w:val="en"/>
        </w:rPr>
        <w:t xml:space="preserve"> </w:t>
      </w:r>
    </w:p>
    <w:p w:rsidR="00B47DA1" w:rsidRPr="009403D4" w:rsidRDefault="00904E11" w:rsidP="00A11A9E">
      <w:pPr>
        <w:pStyle w:val="H4G"/>
        <w:rPr>
          <w:lang w:val="en-US" w:eastAsia="nb-NO"/>
        </w:rPr>
      </w:pPr>
      <w:r>
        <w:rPr>
          <w:lang w:val="en-US" w:eastAsia="nb-NO"/>
        </w:rPr>
        <w:tab/>
      </w:r>
      <w:r>
        <w:rPr>
          <w:lang w:val="en-US" w:eastAsia="nb-NO"/>
        </w:rPr>
        <w:tab/>
      </w:r>
      <w:r w:rsidR="00B47DA1" w:rsidRPr="009403D4">
        <w:rPr>
          <w:lang w:val="en-US" w:eastAsia="nb-NO"/>
        </w:rPr>
        <w:t>Danish National Action Plan on the implementation of the UN Guiding Principles on Business and Human Rights</w:t>
      </w:r>
      <w:r w:rsidR="00B47DA1">
        <w:rPr>
          <w:lang w:val="en-US" w:eastAsia="nb-NO"/>
        </w:rPr>
        <w:t xml:space="preserve"> </w:t>
      </w:r>
      <w:r w:rsidR="00B47DA1">
        <w:rPr>
          <w:lang w:val="en-US"/>
        </w:rPr>
        <w:t>[Ministry of Business and Growth]</w:t>
      </w:r>
      <w:r w:rsidR="00AF685F">
        <w:rPr>
          <w:lang w:val="en-US"/>
        </w:rPr>
        <w:t xml:space="preserve"> </w:t>
      </w:r>
    </w:p>
    <w:p w:rsidR="00B47DA1" w:rsidRPr="00C16A4B" w:rsidRDefault="00A11A9E" w:rsidP="00A11A9E">
      <w:pPr>
        <w:pStyle w:val="SingleTxtG"/>
        <w:rPr>
          <w:lang w:val="en-US" w:eastAsia="nb-NO"/>
        </w:rPr>
      </w:pPr>
      <w:r w:rsidRPr="00C16A4B">
        <w:rPr>
          <w:lang w:val="en-US" w:eastAsia="nb-NO"/>
        </w:rPr>
        <w:t>16.</w:t>
      </w:r>
      <w:r w:rsidRPr="00C16A4B">
        <w:rPr>
          <w:lang w:val="en-US" w:eastAsia="nb-NO"/>
        </w:rPr>
        <w:tab/>
      </w:r>
      <w:r w:rsidR="00B47DA1" w:rsidRPr="00C16A4B">
        <w:rPr>
          <w:lang w:val="en-US" w:eastAsia="nb-NO"/>
        </w:rPr>
        <w:t xml:space="preserve">In April 2014, a National Action Plan on the implementation of the UN Guiding Principles on Business and Human Rights was adopted. The National Action Plan summarizes initiatives on business and human rights taken by the Government since the adoption of the </w:t>
      </w:r>
      <w:r w:rsidR="00B47DA1">
        <w:rPr>
          <w:lang w:val="en-US" w:eastAsia="nb-NO"/>
        </w:rPr>
        <w:t xml:space="preserve">UN </w:t>
      </w:r>
      <w:r w:rsidR="00B47DA1" w:rsidRPr="00C16A4B">
        <w:rPr>
          <w:lang w:val="en-US" w:eastAsia="nb-NO"/>
        </w:rPr>
        <w:t>Guiding Principles. It also provides an overview of the status on all guiding principles. The focus is primarily on preventing potential negative impacts on human rights when Danish companies operate abroad. This issue has come to attention more recently than the risks posed within Denmark.</w:t>
      </w:r>
      <w:r w:rsidR="00AF685F">
        <w:rPr>
          <w:lang w:val="en-US" w:eastAsia="nb-NO"/>
        </w:rPr>
        <w:t xml:space="preserve"> </w:t>
      </w:r>
    </w:p>
    <w:p w:rsidR="00B47DA1" w:rsidRPr="00CB69E0" w:rsidRDefault="00904E11" w:rsidP="00A11A9E">
      <w:pPr>
        <w:pStyle w:val="H4G"/>
        <w:rPr>
          <w:lang w:val="en-US" w:eastAsia="nb-NO"/>
        </w:rPr>
      </w:pPr>
      <w:r>
        <w:rPr>
          <w:lang w:val="en-US" w:eastAsia="nb-NO"/>
        </w:rPr>
        <w:tab/>
      </w:r>
      <w:r>
        <w:rPr>
          <w:lang w:val="en-US" w:eastAsia="nb-NO"/>
        </w:rPr>
        <w:tab/>
      </w:r>
      <w:r w:rsidR="00B47DA1">
        <w:rPr>
          <w:lang w:val="en-US" w:eastAsia="nb-NO"/>
        </w:rPr>
        <w:t xml:space="preserve">Hotline for military employees </w:t>
      </w:r>
      <w:r w:rsidR="00B47DA1">
        <w:rPr>
          <w:lang w:val="en-US"/>
        </w:rPr>
        <w:t>[Ministry of Defence]</w:t>
      </w:r>
      <w:r w:rsidR="00AF685F">
        <w:rPr>
          <w:lang w:val="en-US"/>
        </w:rPr>
        <w:t xml:space="preserve"> </w:t>
      </w:r>
    </w:p>
    <w:p w:rsidR="00B47DA1" w:rsidRDefault="00A11A9E" w:rsidP="00A11A9E">
      <w:pPr>
        <w:pStyle w:val="SingleTxtG"/>
        <w:rPr>
          <w:lang w:val="en-US" w:eastAsia="nb-NO"/>
        </w:rPr>
      </w:pPr>
      <w:r>
        <w:rPr>
          <w:lang w:val="en-US" w:eastAsia="nb-NO"/>
        </w:rPr>
        <w:t>17.</w:t>
      </w:r>
      <w:r>
        <w:rPr>
          <w:lang w:val="en-US" w:eastAsia="nb-NO"/>
        </w:rPr>
        <w:tab/>
      </w:r>
      <w:r w:rsidR="00B47DA1" w:rsidRPr="00CB69E0">
        <w:rPr>
          <w:lang w:val="en-US" w:eastAsia="nb-NO"/>
        </w:rPr>
        <w:t>In 2013</w:t>
      </w:r>
      <w:r w:rsidR="00B47DA1">
        <w:rPr>
          <w:lang w:val="en-US" w:eastAsia="nb-NO"/>
        </w:rPr>
        <w:t>,</w:t>
      </w:r>
      <w:r w:rsidR="00B47DA1" w:rsidRPr="00CB69E0">
        <w:rPr>
          <w:lang w:val="en-US" w:eastAsia="nb-NO"/>
        </w:rPr>
        <w:t xml:space="preserve"> the Danish Defence </w:t>
      </w:r>
      <w:r w:rsidR="00B47DA1" w:rsidRPr="00A11A9E">
        <w:rPr>
          <w:iCs/>
          <w:lang w:val="en-US" w:eastAsia="nb-NO"/>
        </w:rPr>
        <w:t>(</w:t>
      </w:r>
      <w:r w:rsidR="00B47DA1">
        <w:rPr>
          <w:i/>
          <w:lang w:val="en-US" w:eastAsia="nb-NO"/>
        </w:rPr>
        <w:t>Forsvaret</w:t>
      </w:r>
      <w:r w:rsidR="00B47DA1" w:rsidRPr="00A11A9E">
        <w:rPr>
          <w:iCs/>
          <w:lang w:val="en-US" w:eastAsia="nb-NO"/>
        </w:rPr>
        <w:t>)</w:t>
      </w:r>
      <w:r w:rsidR="00B47DA1">
        <w:rPr>
          <w:i/>
          <w:lang w:val="en-US" w:eastAsia="nb-NO"/>
        </w:rPr>
        <w:t xml:space="preserve"> </w:t>
      </w:r>
      <w:r w:rsidR="00B47DA1" w:rsidRPr="00CB69E0">
        <w:rPr>
          <w:lang w:val="en-US" w:eastAsia="nb-NO"/>
        </w:rPr>
        <w:t>established a hotline for employees (</w:t>
      </w:r>
      <w:r w:rsidR="00B47DA1" w:rsidRPr="00624F64">
        <w:rPr>
          <w:i/>
          <w:lang w:val="en-US" w:eastAsia="nb-NO"/>
        </w:rPr>
        <w:t>Medarbejderlinjen</w:t>
      </w:r>
      <w:r w:rsidR="00B47DA1" w:rsidRPr="00CB69E0">
        <w:rPr>
          <w:lang w:val="en-US" w:eastAsia="nb-NO"/>
        </w:rPr>
        <w:t>). It is a contact-point to which</w:t>
      </w:r>
      <w:r w:rsidR="00B47DA1">
        <w:rPr>
          <w:lang w:val="en-US" w:eastAsia="nb-NO"/>
        </w:rPr>
        <w:t xml:space="preserve"> </w:t>
      </w:r>
      <w:r w:rsidR="00B47DA1" w:rsidRPr="00CB69E0">
        <w:rPr>
          <w:lang w:val="en-US" w:eastAsia="nb-NO"/>
        </w:rPr>
        <w:t xml:space="preserve">employees </w:t>
      </w:r>
      <w:r w:rsidR="00B47DA1">
        <w:rPr>
          <w:lang w:val="en-US" w:eastAsia="nb-NO"/>
        </w:rPr>
        <w:t>may</w:t>
      </w:r>
      <w:r w:rsidR="00B47DA1" w:rsidRPr="00CB69E0">
        <w:rPr>
          <w:lang w:val="en-US" w:eastAsia="nb-NO"/>
        </w:rPr>
        <w:t xml:space="preserve"> call or write for information on where to seek help or to report incidents regarding military disciplinary regulation or breaches o</w:t>
      </w:r>
      <w:r w:rsidR="00CA7F9E">
        <w:rPr>
          <w:lang w:val="en-US" w:eastAsia="nb-NO"/>
        </w:rPr>
        <w:t>f</w:t>
      </w:r>
      <w:r w:rsidR="00B47DA1" w:rsidRPr="00CB69E0">
        <w:rPr>
          <w:lang w:val="en-US" w:eastAsia="nb-NO"/>
        </w:rPr>
        <w:t xml:space="preserve"> military safety, criminal incidents, abuse of public funding etc. Contact can be made anonymously. </w:t>
      </w:r>
      <w:r w:rsidR="00B47DA1">
        <w:rPr>
          <w:lang w:val="en-US" w:eastAsia="nb-NO"/>
        </w:rPr>
        <w:t>T</w:t>
      </w:r>
      <w:r w:rsidR="00B47DA1" w:rsidRPr="00CB69E0">
        <w:rPr>
          <w:lang w:val="en-US" w:eastAsia="nb-NO"/>
        </w:rPr>
        <w:t>he purpose of the hotline is twofold:</w:t>
      </w:r>
      <w:r w:rsidR="00B47DA1">
        <w:rPr>
          <w:lang w:val="en-US" w:eastAsia="nb-NO"/>
        </w:rPr>
        <w:t xml:space="preserve"> </w:t>
      </w:r>
      <w:r w:rsidR="00B47DA1" w:rsidRPr="00CB69E0">
        <w:rPr>
          <w:lang w:val="en-US" w:eastAsia="nb-NO"/>
        </w:rPr>
        <w:t>to increa</w:t>
      </w:r>
      <w:r w:rsidR="00B47DA1">
        <w:rPr>
          <w:lang w:val="en-US" w:eastAsia="nb-NO"/>
        </w:rPr>
        <w:t>se access to aid for employees and</w:t>
      </w:r>
      <w:r w:rsidR="00B47DA1" w:rsidRPr="00CB69E0">
        <w:rPr>
          <w:lang w:val="en-US" w:eastAsia="nb-NO"/>
        </w:rPr>
        <w:t xml:space="preserve"> to ease the reporting of illegal circumstances</w:t>
      </w:r>
      <w:r w:rsidR="00B47DA1">
        <w:rPr>
          <w:lang w:val="en-US" w:eastAsia="nb-NO"/>
        </w:rPr>
        <w:t>.</w:t>
      </w:r>
    </w:p>
    <w:p w:rsidR="00B47DA1" w:rsidRPr="00CB69E0" w:rsidRDefault="00904E11" w:rsidP="00A11A9E">
      <w:pPr>
        <w:pStyle w:val="H4G"/>
        <w:rPr>
          <w:lang w:val="en-US" w:eastAsia="nb-NO"/>
        </w:rPr>
      </w:pPr>
      <w:r>
        <w:rPr>
          <w:lang w:val="en-US" w:eastAsia="nb-NO"/>
        </w:rPr>
        <w:tab/>
      </w:r>
      <w:r>
        <w:rPr>
          <w:lang w:val="en-US" w:eastAsia="nb-NO"/>
        </w:rPr>
        <w:tab/>
      </w:r>
      <w:r w:rsidR="00B47DA1">
        <w:rPr>
          <w:lang w:val="en-US" w:eastAsia="nb-NO"/>
        </w:rPr>
        <w:t xml:space="preserve">Danish military manual </w:t>
      </w:r>
      <w:r w:rsidR="00B47DA1">
        <w:rPr>
          <w:lang w:val="en-US"/>
        </w:rPr>
        <w:t>[Ministry of Defence]</w:t>
      </w:r>
      <w:r w:rsidR="00AF685F">
        <w:rPr>
          <w:lang w:val="en-US"/>
        </w:rPr>
        <w:t xml:space="preserve"> </w:t>
      </w:r>
    </w:p>
    <w:p w:rsidR="00B47DA1" w:rsidRDefault="00A11A9E" w:rsidP="00A11A9E">
      <w:pPr>
        <w:pStyle w:val="SingleTxtG"/>
        <w:rPr>
          <w:lang w:val="en-US"/>
        </w:rPr>
      </w:pPr>
      <w:r>
        <w:rPr>
          <w:lang w:val="en-US"/>
        </w:rPr>
        <w:t>18.</w:t>
      </w:r>
      <w:r>
        <w:rPr>
          <w:lang w:val="en-US"/>
        </w:rPr>
        <w:tab/>
      </w:r>
      <w:r w:rsidR="00B47DA1" w:rsidRPr="00C05216">
        <w:rPr>
          <w:lang w:val="en-US"/>
        </w:rPr>
        <w:t>P</w:t>
      </w:r>
      <w:r w:rsidR="00B47DA1">
        <w:rPr>
          <w:lang w:val="en-US"/>
        </w:rPr>
        <w:t xml:space="preserve">roject Military Manual </w:t>
      </w:r>
      <w:r w:rsidR="00B47DA1" w:rsidRPr="00A11A9E">
        <w:rPr>
          <w:lang w:val="en-US"/>
        </w:rPr>
        <w:t>(</w:t>
      </w:r>
      <w:r w:rsidR="00B47DA1">
        <w:rPr>
          <w:i/>
          <w:iCs/>
          <w:lang w:val="en-US"/>
        </w:rPr>
        <w:t>Projekt Militær Manual</w:t>
      </w:r>
      <w:r w:rsidR="00B47DA1" w:rsidRPr="00A11A9E">
        <w:rPr>
          <w:lang w:val="en-US"/>
        </w:rPr>
        <w:t>)</w:t>
      </w:r>
      <w:r w:rsidR="00B47DA1" w:rsidRPr="0083661D">
        <w:rPr>
          <w:lang w:val="en-US"/>
        </w:rPr>
        <w:t xml:space="preserve"> </w:t>
      </w:r>
      <w:r w:rsidR="00B47DA1">
        <w:rPr>
          <w:lang w:val="en-US"/>
        </w:rPr>
        <w:t xml:space="preserve">was initiated in 2012 in order to strengthen the education of the military in and employment of International Humanitarian Law and the Laws of Armed Conflict. The project-group has been assigned to produce a military manual providing added value to the Danish defence. The manual will contain provisions for the compliance </w:t>
      </w:r>
      <w:r w:rsidR="00CA7F9E">
        <w:rPr>
          <w:lang w:val="en-US"/>
        </w:rPr>
        <w:t xml:space="preserve">with </w:t>
      </w:r>
      <w:r w:rsidR="00B47DA1">
        <w:rPr>
          <w:lang w:val="en-US"/>
        </w:rPr>
        <w:t>international humanitarian law and other relevant international law, in particular human rights law, during planning and execution of military operations within the framework of Denmark’s military engagements. By extension, the manual will provide overall provisions regarding the extent to which human rights law will apply for Danish forces’ participation in international operations. The manual is foreseen by the end of the first half of 2016.</w:t>
      </w:r>
    </w:p>
    <w:p w:rsidR="00B47DA1" w:rsidRPr="009403D4" w:rsidRDefault="00904E11" w:rsidP="00A11A9E">
      <w:pPr>
        <w:pStyle w:val="H4G"/>
      </w:pPr>
      <w:r>
        <w:tab/>
      </w:r>
      <w:r>
        <w:tab/>
      </w:r>
      <w:r w:rsidR="00B47DA1">
        <w:t xml:space="preserve">Greenland </w:t>
      </w:r>
    </w:p>
    <w:p w:rsidR="00B47DA1" w:rsidRPr="009776A9" w:rsidRDefault="00A11A9E" w:rsidP="00A11A9E">
      <w:pPr>
        <w:pStyle w:val="SingleTxtG"/>
        <w:rPr>
          <w:lang w:val="en-US" w:eastAsia="nb-NO"/>
        </w:rPr>
      </w:pPr>
      <w:r w:rsidRPr="009776A9">
        <w:rPr>
          <w:lang w:val="en-US" w:eastAsia="nb-NO"/>
        </w:rPr>
        <w:t>19.</w:t>
      </w:r>
      <w:r w:rsidRPr="009776A9">
        <w:rPr>
          <w:lang w:val="en-US" w:eastAsia="nb-NO"/>
        </w:rPr>
        <w:tab/>
      </w:r>
      <w:r w:rsidR="00B47DA1">
        <w:t>T</w:t>
      </w:r>
      <w:r w:rsidR="00B47DA1" w:rsidRPr="00A30F08">
        <w:t xml:space="preserve">he </w:t>
      </w:r>
      <w:r w:rsidR="00B47DA1" w:rsidRPr="00394DB7">
        <w:t>Act on Greenland Self-Government</w:t>
      </w:r>
      <w:r w:rsidR="00B47DA1" w:rsidRPr="00A30F08">
        <w:t xml:space="preserve"> </w:t>
      </w:r>
      <w:r w:rsidR="00B47DA1">
        <w:t>entered</w:t>
      </w:r>
      <w:r w:rsidR="00B47DA1" w:rsidRPr="00A30F08">
        <w:t xml:space="preserve"> into force</w:t>
      </w:r>
      <w:r w:rsidR="00B47DA1">
        <w:t xml:space="preserve"> on 21 June 2009</w:t>
      </w:r>
      <w:r w:rsidR="00B47DA1" w:rsidRPr="00A30F08">
        <w:t xml:space="preserve">. </w:t>
      </w:r>
      <w:r w:rsidR="00B47DA1">
        <w:t>The</w:t>
      </w:r>
      <w:r w:rsidR="00B47DA1" w:rsidRPr="00A30F08">
        <w:t xml:space="preserve"> self-government arrangement replace</w:t>
      </w:r>
      <w:r w:rsidR="00B47DA1">
        <w:t>d</w:t>
      </w:r>
      <w:r w:rsidR="00B47DA1" w:rsidRPr="00A30F08">
        <w:t xml:space="preserve"> the Greenland Home Rule Arrangement established in 1979. </w:t>
      </w:r>
    </w:p>
    <w:p w:rsidR="00B47DA1" w:rsidRPr="00394DB7" w:rsidRDefault="00A11A9E" w:rsidP="00A11A9E">
      <w:pPr>
        <w:pStyle w:val="SingleTxtG"/>
        <w:rPr>
          <w:lang w:val="en-US" w:eastAsia="nb-NO"/>
        </w:rPr>
      </w:pPr>
      <w:r w:rsidRPr="00394DB7">
        <w:rPr>
          <w:lang w:val="en-US" w:eastAsia="nb-NO"/>
        </w:rPr>
        <w:t>20.</w:t>
      </w:r>
      <w:r w:rsidRPr="00394DB7">
        <w:rPr>
          <w:lang w:val="en-US" w:eastAsia="nb-NO"/>
        </w:rPr>
        <w:tab/>
      </w:r>
      <w:r w:rsidR="00B47DA1">
        <w:t xml:space="preserve">In 2012, the Parliament of Greenland </w:t>
      </w:r>
      <w:r w:rsidR="00B47DA1" w:rsidRPr="00394DB7">
        <w:rPr>
          <w:lang w:val="en-US" w:eastAsia="nb-NO"/>
        </w:rPr>
        <w:t>adopted Inatsisartut Act No. 23 of 3 December 2012 on Greenland</w:t>
      </w:r>
      <w:r w:rsidR="00434343">
        <w:rPr>
          <w:lang w:val="en-US" w:eastAsia="nb-NO"/>
        </w:rPr>
        <w:t>’</w:t>
      </w:r>
      <w:r w:rsidR="00B47DA1" w:rsidRPr="00394DB7">
        <w:rPr>
          <w:lang w:val="en-US" w:eastAsia="nb-NO"/>
        </w:rPr>
        <w:t xml:space="preserve">s Human Rights Council. </w:t>
      </w:r>
      <w:r w:rsidR="00B47DA1">
        <w:rPr>
          <w:lang w:val="en-US" w:eastAsia="nb-NO"/>
        </w:rPr>
        <w:t>Information on the Council is included below.</w:t>
      </w:r>
    </w:p>
    <w:p w:rsidR="00B47DA1" w:rsidRDefault="00904E11" w:rsidP="00904E11">
      <w:pPr>
        <w:pStyle w:val="HChG"/>
        <w:rPr>
          <w:lang w:val="en-US" w:eastAsia="nb-NO"/>
        </w:rPr>
      </w:pPr>
      <w:bookmarkStart w:id="4" w:name="_Toc430941890"/>
      <w:r>
        <w:rPr>
          <w:lang w:val="en-US" w:eastAsia="nb-NO"/>
        </w:rPr>
        <w:tab/>
      </w:r>
      <w:r w:rsidR="00B47DA1">
        <w:rPr>
          <w:lang w:val="en-US" w:eastAsia="nb-NO"/>
        </w:rPr>
        <w:t>II.</w:t>
      </w:r>
      <w:r>
        <w:rPr>
          <w:lang w:val="en-US" w:eastAsia="nb-NO"/>
        </w:rPr>
        <w:tab/>
      </w:r>
      <w:r w:rsidR="00B47DA1" w:rsidRPr="00D30001">
        <w:rPr>
          <w:lang w:val="en-US" w:eastAsia="nb-NO"/>
        </w:rPr>
        <w:t>Specific information on the implementatio</w:t>
      </w:r>
      <w:r w:rsidR="00B47DA1">
        <w:rPr>
          <w:lang w:val="en-US" w:eastAsia="nb-NO"/>
        </w:rPr>
        <w:t>n of articles 1 to 27 of the Co</w:t>
      </w:r>
      <w:r w:rsidR="00B47DA1" w:rsidRPr="00D30001">
        <w:rPr>
          <w:lang w:val="en-US" w:eastAsia="nb-NO"/>
        </w:rPr>
        <w:t>v</w:t>
      </w:r>
      <w:r w:rsidR="00B47DA1">
        <w:rPr>
          <w:lang w:val="en-US" w:eastAsia="nb-NO"/>
        </w:rPr>
        <w:t>enant</w:t>
      </w:r>
      <w:bookmarkEnd w:id="4"/>
    </w:p>
    <w:p w:rsidR="00B47DA1" w:rsidRPr="00C06E6A" w:rsidRDefault="00904E11" w:rsidP="00904E11">
      <w:pPr>
        <w:pStyle w:val="H1G"/>
      </w:pPr>
      <w:bookmarkStart w:id="5" w:name="_Toc430941891"/>
      <w:r>
        <w:tab/>
      </w:r>
      <w:r>
        <w:tab/>
      </w:r>
      <w:r w:rsidR="00B47DA1" w:rsidRPr="00C06E6A">
        <w:t>Constitutional and legal framework within which the Covenant is</w:t>
      </w:r>
      <w:r w:rsidR="000A5889">
        <w:t> </w:t>
      </w:r>
      <w:r w:rsidR="00B47DA1" w:rsidRPr="00C06E6A">
        <w:t>implemented</w:t>
      </w:r>
      <w:bookmarkEnd w:id="5"/>
      <w:r w:rsidR="00B47DA1" w:rsidRPr="00C06E6A">
        <w:t xml:space="preserve"> </w:t>
      </w:r>
    </w:p>
    <w:p w:rsidR="00B47DA1" w:rsidRPr="00102FEC" w:rsidRDefault="00904E11" w:rsidP="00A11A9E">
      <w:pPr>
        <w:pStyle w:val="H23G"/>
        <w:rPr>
          <w:lang w:val="en-US" w:eastAsia="nb-NO"/>
        </w:rPr>
      </w:pPr>
      <w:r>
        <w:rPr>
          <w:lang w:val="en-US" w:eastAsia="nb-NO"/>
        </w:rPr>
        <w:tab/>
      </w:r>
      <w:r>
        <w:rPr>
          <w:lang w:val="en-US" w:eastAsia="nb-NO"/>
        </w:rPr>
        <w:tab/>
      </w:r>
      <w:r w:rsidR="00B47DA1" w:rsidRPr="00102FEC">
        <w:rPr>
          <w:lang w:val="en-US" w:eastAsia="nb-NO"/>
        </w:rPr>
        <w:t xml:space="preserve">Reply to paragraph 4 of the </w:t>
      </w:r>
      <w:r w:rsidR="00BE1CB3">
        <w:rPr>
          <w:lang w:val="en-US" w:eastAsia="nb-NO"/>
        </w:rPr>
        <w:t>list of issues</w:t>
      </w:r>
      <w:r w:rsidR="00BE1CB3" w:rsidRPr="00102FEC">
        <w:rPr>
          <w:lang w:val="en-US" w:eastAsia="nb-NO"/>
        </w:rPr>
        <w:t xml:space="preserve"> </w:t>
      </w:r>
      <w:r w:rsidR="00B47DA1" w:rsidRPr="00102FEC">
        <w:rPr>
          <w:lang w:val="en-US"/>
        </w:rPr>
        <w:t>[</w:t>
      </w:r>
      <w:r w:rsidR="00B47DA1" w:rsidRPr="00102FEC">
        <w:rPr>
          <w:bCs/>
          <w:lang w:val="en-US" w:eastAsia="da-DK"/>
        </w:rPr>
        <w:t>Ministry of Justice</w:t>
      </w:r>
      <w:r w:rsidR="00B47DA1" w:rsidRPr="00102FEC">
        <w:rPr>
          <w:lang w:val="en-US"/>
        </w:rPr>
        <w:t>]</w:t>
      </w:r>
    </w:p>
    <w:p w:rsidR="00B47DA1" w:rsidRPr="00A11A9E" w:rsidRDefault="00A11A9E" w:rsidP="00A11A9E">
      <w:pPr>
        <w:pStyle w:val="SingleTxtG"/>
        <w:rPr>
          <w:bCs/>
          <w:lang w:val="en-US" w:eastAsia="da-DK"/>
        </w:rPr>
      </w:pPr>
      <w:r w:rsidRPr="00A11A9E">
        <w:rPr>
          <w:bCs/>
          <w:lang w:val="en-US" w:eastAsia="da-DK"/>
        </w:rPr>
        <w:t>21.</w:t>
      </w:r>
      <w:r w:rsidRPr="00A11A9E">
        <w:rPr>
          <w:bCs/>
          <w:lang w:val="en-US" w:eastAsia="da-DK"/>
        </w:rPr>
        <w:tab/>
      </w:r>
      <w:r w:rsidR="00B47DA1">
        <w:rPr>
          <w:lang w:val="en-US"/>
        </w:rPr>
        <w:t>H</w:t>
      </w:r>
      <w:r w:rsidR="00B47DA1" w:rsidRPr="00C44BC7">
        <w:rPr>
          <w:lang w:val="en-US"/>
        </w:rPr>
        <w:t>a</w:t>
      </w:r>
      <w:r w:rsidR="00B47DA1">
        <w:rPr>
          <w:lang w:val="en-US"/>
        </w:rPr>
        <w:t>ving</w:t>
      </w:r>
      <w:r w:rsidR="00B47DA1" w:rsidRPr="00C44BC7">
        <w:rPr>
          <w:lang w:val="en-US"/>
        </w:rPr>
        <w:t xml:space="preserve"> </w:t>
      </w:r>
      <w:r w:rsidR="00B47DA1">
        <w:rPr>
          <w:lang w:val="en-US"/>
        </w:rPr>
        <w:t>reviewed its reservations to the ICCPR, the Government has as of 2</w:t>
      </w:r>
      <w:r w:rsidR="004F1CFB">
        <w:rPr>
          <w:lang w:val="en-US"/>
        </w:rPr>
        <w:t> </w:t>
      </w:r>
      <w:r w:rsidR="00B47DA1">
        <w:rPr>
          <w:lang w:val="en-US"/>
        </w:rPr>
        <w:t xml:space="preserve">April 2014 </w:t>
      </w:r>
      <w:r w:rsidR="00B47DA1" w:rsidRPr="00C44BC7">
        <w:rPr>
          <w:lang w:val="en-US"/>
        </w:rPr>
        <w:t>narr</w:t>
      </w:r>
      <w:r w:rsidR="00B47DA1">
        <w:rPr>
          <w:lang w:val="en-US"/>
        </w:rPr>
        <w:t>owed the scope of its reservation</w:t>
      </w:r>
      <w:r w:rsidR="00B47DA1" w:rsidRPr="00C44BC7">
        <w:rPr>
          <w:lang w:val="en-US"/>
        </w:rPr>
        <w:t xml:space="preserve"> to article </w:t>
      </w:r>
      <w:r w:rsidR="00B47DA1">
        <w:rPr>
          <w:lang w:val="en-US"/>
        </w:rPr>
        <w:t>14, paragraph 5.</w:t>
      </w:r>
    </w:p>
    <w:p w:rsidR="00B47DA1" w:rsidRPr="00102FEC" w:rsidRDefault="00904E11" w:rsidP="00A11A9E">
      <w:pPr>
        <w:pStyle w:val="H23G"/>
        <w:rPr>
          <w:lang w:val="en-US" w:eastAsia="nb-NO"/>
        </w:rPr>
      </w:pPr>
      <w:r>
        <w:rPr>
          <w:lang w:val="en-US" w:eastAsia="nb-NO"/>
        </w:rPr>
        <w:tab/>
      </w:r>
      <w:r>
        <w:rPr>
          <w:lang w:val="en-US" w:eastAsia="nb-NO"/>
        </w:rPr>
        <w:tab/>
      </w:r>
      <w:r w:rsidR="00B47DA1" w:rsidRPr="00102FEC">
        <w:rPr>
          <w:lang w:val="en-US" w:eastAsia="nb-NO"/>
        </w:rPr>
        <w:t xml:space="preserve">Reply to paragraph 5 of the </w:t>
      </w:r>
      <w:r w:rsidR="00BE1CB3">
        <w:rPr>
          <w:lang w:val="en-US" w:eastAsia="nb-NO"/>
        </w:rPr>
        <w:t>list of issues</w:t>
      </w:r>
      <w:r w:rsidR="00BE1CB3" w:rsidRPr="00102FEC">
        <w:rPr>
          <w:lang w:val="en-US"/>
        </w:rPr>
        <w:t xml:space="preserve"> </w:t>
      </w:r>
      <w:r w:rsidR="00B47DA1" w:rsidRPr="00102FEC">
        <w:rPr>
          <w:lang w:val="en-US"/>
        </w:rPr>
        <w:t>[</w:t>
      </w:r>
      <w:r w:rsidR="00B47DA1" w:rsidRPr="00102FEC">
        <w:rPr>
          <w:bCs/>
          <w:lang w:val="en-US" w:eastAsia="da-DK"/>
        </w:rPr>
        <w:t>Ministry of Justice</w:t>
      </w:r>
      <w:r w:rsidR="00B47DA1" w:rsidRPr="00102FEC">
        <w:rPr>
          <w:lang w:val="en-US"/>
        </w:rPr>
        <w:t>]</w:t>
      </w:r>
    </w:p>
    <w:p w:rsidR="00B47DA1" w:rsidRPr="002031A4" w:rsidRDefault="00A11A9E" w:rsidP="00A11A9E">
      <w:pPr>
        <w:pStyle w:val="SingleTxtG"/>
        <w:rPr>
          <w:lang w:val="en-US"/>
        </w:rPr>
      </w:pPr>
      <w:r w:rsidRPr="002031A4">
        <w:rPr>
          <w:lang w:val="en-US"/>
        </w:rPr>
        <w:t>22.</w:t>
      </w:r>
      <w:r w:rsidRPr="002031A4">
        <w:rPr>
          <w:lang w:val="en-US"/>
        </w:rPr>
        <w:tab/>
      </w:r>
      <w:r w:rsidR="00B47DA1" w:rsidRPr="002031A4">
        <w:t xml:space="preserve">In December 2012, the Government appointed an expert committee </w:t>
      </w:r>
      <w:r w:rsidR="00B47DA1">
        <w:rPr>
          <w:i/>
        </w:rPr>
        <w:t xml:space="preserve">inter alia </w:t>
      </w:r>
      <w:r w:rsidR="00B47DA1" w:rsidRPr="0063066C">
        <w:t xml:space="preserve">to </w:t>
      </w:r>
      <w:r w:rsidR="00B47DA1" w:rsidRPr="002031A4">
        <w:t>consider</w:t>
      </w:r>
      <w:r w:rsidR="00B47DA1">
        <w:t xml:space="preserve"> </w:t>
      </w:r>
      <w:r w:rsidR="00B47DA1" w:rsidRPr="002031A4">
        <w:t xml:space="preserve">the positive and negative implications </w:t>
      </w:r>
      <w:r w:rsidR="00B47DA1">
        <w:t>of</w:t>
      </w:r>
      <w:r w:rsidR="00B47DA1" w:rsidRPr="002031A4">
        <w:t xml:space="preserve"> incorporating </w:t>
      </w:r>
      <w:r w:rsidR="00B47DA1">
        <w:t xml:space="preserve">UN human rights treaties </w:t>
      </w:r>
      <w:r w:rsidR="00B47DA1" w:rsidRPr="002031A4">
        <w:t xml:space="preserve">into Danish law, including the ICCPR. </w:t>
      </w:r>
      <w:r w:rsidR="00B47DA1" w:rsidRPr="002031A4">
        <w:rPr>
          <w:lang w:val="en-US"/>
        </w:rPr>
        <w:t xml:space="preserve">The committee delivered its report in August 2014 which was subsequently sent into public hearing. The Government decided </w:t>
      </w:r>
      <w:r w:rsidR="00B47DA1">
        <w:rPr>
          <w:lang w:val="en-US"/>
        </w:rPr>
        <w:t>in autumn 2014 t</w:t>
      </w:r>
      <w:r w:rsidR="00B47DA1" w:rsidRPr="002031A4">
        <w:rPr>
          <w:lang w:val="en-US"/>
        </w:rPr>
        <w:t xml:space="preserve">hat </w:t>
      </w:r>
      <w:r w:rsidR="00B47DA1">
        <w:rPr>
          <w:lang w:val="en-US"/>
        </w:rPr>
        <w:t xml:space="preserve">none of the UN treaties </w:t>
      </w:r>
      <w:r w:rsidR="00B47DA1" w:rsidRPr="002031A4">
        <w:rPr>
          <w:lang w:val="en-US"/>
        </w:rPr>
        <w:t xml:space="preserve">will be incorporated into Danish </w:t>
      </w:r>
      <w:r w:rsidR="00B47DA1">
        <w:rPr>
          <w:lang w:val="en-US"/>
        </w:rPr>
        <w:t>l</w:t>
      </w:r>
      <w:r w:rsidR="00B47DA1" w:rsidRPr="002031A4">
        <w:rPr>
          <w:lang w:val="en-US"/>
        </w:rPr>
        <w:t>aw.</w:t>
      </w:r>
    </w:p>
    <w:p w:rsidR="00B47DA1" w:rsidRPr="00D16424" w:rsidRDefault="00A11A9E" w:rsidP="00A11A9E">
      <w:pPr>
        <w:pStyle w:val="SingleTxtG"/>
        <w:rPr>
          <w:lang w:val="en-US"/>
        </w:rPr>
      </w:pPr>
      <w:r w:rsidRPr="00D16424">
        <w:rPr>
          <w:lang w:val="en-US"/>
        </w:rPr>
        <w:t>23.</w:t>
      </w:r>
      <w:r w:rsidRPr="00D16424">
        <w:rPr>
          <w:lang w:val="en-US"/>
        </w:rPr>
        <w:tab/>
      </w:r>
      <w:r w:rsidR="00B47DA1" w:rsidRPr="00D16424">
        <w:rPr>
          <w:lang w:val="en-US"/>
        </w:rPr>
        <w:t>It appears from journals on jurisprudence (“Ugeskrift for Retsvæsen” and “Tidsskrift for Kriminalret”) that Danish courts have expressly applied provisions of the Covenant in 9 decisions</w:t>
      </w:r>
      <w:r w:rsidR="00B47DA1">
        <w:rPr>
          <w:lang w:val="en-US"/>
        </w:rPr>
        <w:t xml:space="preserve"> </w:t>
      </w:r>
      <w:r w:rsidR="00B47DA1" w:rsidRPr="00D16424">
        <w:rPr>
          <w:lang w:val="en-US"/>
        </w:rPr>
        <w:t xml:space="preserve">in the period from 1 January 2001 </w:t>
      </w:r>
      <w:r w:rsidR="00B47DA1">
        <w:rPr>
          <w:lang w:val="en-US"/>
        </w:rPr>
        <w:t>to</w:t>
      </w:r>
      <w:r w:rsidR="00B47DA1" w:rsidRPr="00D16424">
        <w:rPr>
          <w:lang w:val="en-US"/>
        </w:rPr>
        <w:t xml:space="preserve"> 1 January 2014. </w:t>
      </w:r>
    </w:p>
    <w:p w:rsidR="00B47DA1" w:rsidRPr="00D16424" w:rsidRDefault="00A11A9E" w:rsidP="00A11A9E">
      <w:pPr>
        <w:pStyle w:val="SingleTxtG"/>
        <w:rPr>
          <w:lang w:val="en-US"/>
        </w:rPr>
      </w:pPr>
      <w:r w:rsidRPr="00D16424">
        <w:rPr>
          <w:lang w:val="en-US"/>
        </w:rPr>
        <w:t>24.</w:t>
      </w:r>
      <w:r w:rsidRPr="00D16424">
        <w:rPr>
          <w:lang w:val="en-US"/>
        </w:rPr>
        <w:tab/>
      </w:r>
      <w:r w:rsidR="00B47DA1">
        <w:rPr>
          <w:lang w:val="en-US"/>
        </w:rPr>
        <w:t>The latest</w:t>
      </w:r>
      <w:r w:rsidR="00B47DA1" w:rsidRPr="00D16424">
        <w:rPr>
          <w:lang w:val="en-US"/>
        </w:rPr>
        <w:t xml:space="preserve"> judgment </w:t>
      </w:r>
      <w:r w:rsidR="00B47DA1">
        <w:rPr>
          <w:lang w:val="en-US"/>
        </w:rPr>
        <w:t>in the above</w:t>
      </w:r>
      <w:r w:rsidR="00BE1CB3">
        <w:rPr>
          <w:lang w:val="en-US"/>
        </w:rPr>
        <w:t>-</w:t>
      </w:r>
      <w:r w:rsidR="00B47DA1">
        <w:rPr>
          <w:lang w:val="en-US"/>
        </w:rPr>
        <w:t xml:space="preserve">mentioned period was </w:t>
      </w:r>
      <w:r w:rsidR="00B47DA1" w:rsidRPr="00D16424">
        <w:rPr>
          <w:lang w:val="en-US"/>
        </w:rPr>
        <w:t>delivered on 10 August 2011</w:t>
      </w:r>
      <w:r w:rsidR="00B47DA1">
        <w:rPr>
          <w:lang w:val="en-US"/>
        </w:rPr>
        <w:t>. T</w:t>
      </w:r>
      <w:r w:rsidR="00B47DA1" w:rsidRPr="00D16424">
        <w:rPr>
          <w:lang w:val="en-US"/>
        </w:rPr>
        <w:t xml:space="preserve">he Supreme Court examined whether it was contrary to Article 8 of the European Convention on Human Rights </w:t>
      </w:r>
      <w:r w:rsidR="00B47DA1">
        <w:rPr>
          <w:lang w:val="en-US"/>
        </w:rPr>
        <w:t xml:space="preserve">(ECHR) </w:t>
      </w:r>
      <w:r w:rsidR="00B47DA1" w:rsidRPr="00D16424">
        <w:rPr>
          <w:lang w:val="en-US"/>
        </w:rPr>
        <w:t xml:space="preserve">or Article 24 of the </w:t>
      </w:r>
      <w:r w:rsidR="00B47DA1">
        <w:rPr>
          <w:lang w:val="en-US"/>
        </w:rPr>
        <w:t>ICCPR</w:t>
      </w:r>
      <w:r w:rsidR="00B47DA1" w:rsidRPr="00D16424">
        <w:rPr>
          <w:lang w:val="en-US"/>
        </w:rPr>
        <w:t xml:space="preserve"> in conjunction with Article 5, 9, 10 and 18 of the Convention on the Rights of the Child that the </w:t>
      </w:r>
      <w:r w:rsidR="00B47DA1" w:rsidRPr="00A11A9E">
        <w:rPr>
          <w:iCs/>
          <w:lang w:val="en-US"/>
        </w:rPr>
        <w:t>then</w:t>
      </w:r>
      <w:r w:rsidR="00B47DA1" w:rsidRPr="00D16424">
        <w:rPr>
          <w:lang w:val="en-US"/>
        </w:rPr>
        <w:t xml:space="preserve"> Ministry for Refugees, Immigration and Integration had refused family reunification in a case where the spouse living in Denmark held a residence permit as a refugee but the spouses were </w:t>
      </w:r>
      <w:r w:rsidR="00B47DA1">
        <w:rPr>
          <w:lang w:val="en-US"/>
        </w:rPr>
        <w:t xml:space="preserve">considered </w:t>
      </w:r>
      <w:r w:rsidR="00B47DA1" w:rsidRPr="00D16424">
        <w:rPr>
          <w:lang w:val="en-US"/>
        </w:rPr>
        <w:t xml:space="preserve">able to reside in their country of origin. The Supreme Court reviewed relevant legislation and reached the conclusion that </w:t>
      </w:r>
      <w:r w:rsidR="00B47DA1">
        <w:rPr>
          <w:lang w:val="en-US"/>
        </w:rPr>
        <w:t>it</w:t>
      </w:r>
      <w:r w:rsidR="00B47DA1" w:rsidRPr="00D16424">
        <w:rPr>
          <w:lang w:val="en-US"/>
        </w:rPr>
        <w:t xml:space="preserve"> did not infringe the </w:t>
      </w:r>
      <w:r w:rsidR="00B47DA1">
        <w:rPr>
          <w:lang w:val="en-US"/>
        </w:rPr>
        <w:t xml:space="preserve">ECHR </w:t>
      </w:r>
      <w:r w:rsidR="00B47DA1" w:rsidRPr="00D16424">
        <w:rPr>
          <w:lang w:val="en-US"/>
        </w:rPr>
        <w:t xml:space="preserve">or other international conventions. </w:t>
      </w:r>
    </w:p>
    <w:p w:rsidR="00B47DA1" w:rsidRPr="00102FEC" w:rsidRDefault="00904E11" w:rsidP="00A11A9E">
      <w:pPr>
        <w:pStyle w:val="H23G"/>
        <w:rPr>
          <w:lang w:val="en-US" w:eastAsia="nb-NO"/>
        </w:rPr>
      </w:pPr>
      <w:r>
        <w:rPr>
          <w:lang w:val="en-US" w:eastAsia="nb-NO"/>
        </w:rPr>
        <w:tab/>
      </w:r>
      <w:r>
        <w:rPr>
          <w:lang w:val="en-US" w:eastAsia="nb-NO"/>
        </w:rPr>
        <w:tab/>
      </w:r>
      <w:r w:rsidR="00B47DA1" w:rsidRPr="00102FEC">
        <w:rPr>
          <w:lang w:val="en-US" w:eastAsia="nb-NO"/>
        </w:rPr>
        <w:t xml:space="preserve">Reply to paragraph 6 of the </w:t>
      </w:r>
      <w:r w:rsidR="00BE1CB3">
        <w:rPr>
          <w:lang w:val="en-US" w:eastAsia="nb-NO"/>
        </w:rPr>
        <w:t>list of issues</w:t>
      </w:r>
      <w:r w:rsidR="00BE1CB3" w:rsidRPr="00102FEC">
        <w:rPr>
          <w:lang w:val="en-US"/>
        </w:rPr>
        <w:t xml:space="preserve"> </w:t>
      </w:r>
      <w:r w:rsidR="00B47DA1" w:rsidRPr="00102FEC">
        <w:rPr>
          <w:lang w:val="en-US"/>
        </w:rPr>
        <w:t>[</w:t>
      </w:r>
      <w:r w:rsidR="00B47DA1" w:rsidRPr="00102FEC">
        <w:rPr>
          <w:lang w:val="en-US" w:eastAsia="da-DK"/>
        </w:rPr>
        <w:t xml:space="preserve">Ministry of Justice and Ministry of </w:t>
      </w:r>
      <w:r w:rsidR="00B47DA1">
        <w:rPr>
          <w:lang w:val="en-US" w:eastAsia="da-DK"/>
        </w:rPr>
        <w:t>Immigration</w:t>
      </w:r>
      <w:r w:rsidR="00B47DA1" w:rsidRPr="00102FEC">
        <w:rPr>
          <w:lang w:val="en-US" w:eastAsia="da-DK"/>
        </w:rPr>
        <w:t>, Integration and Housing</w:t>
      </w:r>
      <w:r w:rsidR="00B47DA1" w:rsidRPr="00102FEC">
        <w:rPr>
          <w:lang w:val="en-US"/>
        </w:rPr>
        <w:t>]</w:t>
      </w:r>
    </w:p>
    <w:p w:rsidR="00B47DA1" w:rsidRPr="005B5090" w:rsidRDefault="00A11A9E" w:rsidP="00A11A9E">
      <w:pPr>
        <w:pStyle w:val="SingleTxtG"/>
        <w:rPr>
          <w:lang w:val="en-US"/>
        </w:rPr>
      </w:pPr>
      <w:r w:rsidRPr="005B5090">
        <w:rPr>
          <w:lang w:val="en-US"/>
        </w:rPr>
        <w:t>25.</w:t>
      </w:r>
      <w:r w:rsidRPr="005B5090">
        <w:rPr>
          <w:lang w:val="en-US"/>
        </w:rPr>
        <w:tab/>
      </w:r>
      <w:r w:rsidR="00B47DA1" w:rsidRPr="005B5090">
        <w:rPr>
          <w:lang w:val="en-US"/>
        </w:rPr>
        <w:t xml:space="preserve">The Committee’s views are carefully considered by the relevant ministries. The Government has given effect to the Committee’s views in the individual communications where the Committee held that a provision under the Covenant had been violated (1222/2003 and 1554/2007). </w:t>
      </w:r>
      <w:r w:rsidR="00B47DA1" w:rsidRPr="005B5090">
        <w:t xml:space="preserve">The Government is currently assessing the views expressed by the Committee in communication No. 2001/2010 received </w:t>
      </w:r>
      <w:r w:rsidR="008B4FF9" w:rsidRPr="005B5090">
        <w:t>o</w:t>
      </w:r>
      <w:r w:rsidR="00B47DA1" w:rsidRPr="005B5090">
        <w:t xml:space="preserve">n 24 April 2015, communication 2370/2014 received </w:t>
      </w:r>
      <w:r w:rsidR="008B4FF9" w:rsidRPr="005B5090">
        <w:t>o</w:t>
      </w:r>
      <w:r w:rsidR="00B47DA1" w:rsidRPr="005B5090">
        <w:t>n 4 August 2015, 2288/2013 received on 3 September 2015</w:t>
      </w:r>
      <w:r w:rsidR="008B4FF9" w:rsidRPr="005B5090">
        <w:t>,</w:t>
      </w:r>
      <w:r w:rsidR="00B47DA1" w:rsidRPr="005B5090">
        <w:t xml:space="preserve"> communication 2343/2014 received on 3 September 2015 and communication 2360/2014 received on 4 September 2015. </w:t>
      </w:r>
    </w:p>
    <w:p w:rsidR="00B47DA1" w:rsidRDefault="00A11A9E" w:rsidP="00A11A9E">
      <w:pPr>
        <w:pStyle w:val="SingleTxtG"/>
        <w:rPr>
          <w:lang w:val="en-US"/>
        </w:rPr>
      </w:pPr>
      <w:r>
        <w:rPr>
          <w:lang w:val="en-US"/>
        </w:rPr>
        <w:t>26.</w:t>
      </w:r>
      <w:r>
        <w:rPr>
          <w:lang w:val="en-US"/>
        </w:rPr>
        <w:tab/>
      </w:r>
      <w:r w:rsidR="00B47DA1">
        <w:rPr>
          <w:lang w:val="en-US"/>
        </w:rPr>
        <w:t xml:space="preserve">As regards the case of </w:t>
      </w:r>
      <w:r w:rsidR="00B47DA1">
        <w:rPr>
          <w:i/>
          <w:iCs/>
        </w:rPr>
        <w:t xml:space="preserve">Mohamed El-Hichou v. Denmark, </w:t>
      </w:r>
      <w:r w:rsidR="00B47DA1">
        <w:rPr>
          <w:iCs/>
        </w:rPr>
        <w:t xml:space="preserve">the view of the Committee is taken into consideration in the consideration of concrete cases by the Danish immigration authorities. </w:t>
      </w:r>
      <w:r w:rsidR="00B47DA1" w:rsidRPr="00C834CE">
        <w:rPr>
          <w:iCs/>
        </w:rPr>
        <w:t xml:space="preserve">Furthermore, </w:t>
      </w:r>
      <w:r w:rsidR="00B47DA1">
        <w:rPr>
          <w:iCs/>
        </w:rPr>
        <w:t xml:space="preserve">in general </w:t>
      </w:r>
      <w:r w:rsidR="00B47DA1">
        <w:rPr>
          <w:lang w:val="en-US"/>
        </w:rPr>
        <w:t>measures have been taken to improve the opportunities for foreign children to exercise</w:t>
      </w:r>
      <w:r w:rsidR="008B4FF9">
        <w:rPr>
          <w:lang w:val="en-US"/>
        </w:rPr>
        <w:t xml:space="preserve"> the right to</w:t>
      </w:r>
      <w:r w:rsidR="00B47DA1">
        <w:rPr>
          <w:lang w:val="en-US"/>
        </w:rPr>
        <w:t xml:space="preserve"> family life with a parent in Denmark.</w:t>
      </w:r>
      <w:r w:rsidR="00AF685F">
        <w:rPr>
          <w:lang w:val="en-US"/>
        </w:rPr>
        <w:t xml:space="preserve"> </w:t>
      </w:r>
    </w:p>
    <w:p w:rsidR="00B47DA1" w:rsidRDefault="00A11A9E" w:rsidP="00A11A9E">
      <w:pPr>
        <w:pStyle w:val="SingleTxtG"/>
        <w:rPr>
          <w:lang w:val="en-US"/>
        </w:rPr>
      </w:pPr>
      <w:r>
        <w:rPr>
          <w:lang w:val="en-US"/>
        </w:rPr>
        <w:t>27.</w:t>
      </w:r>
      <w:r>
        <w:rPr>
          <w:lang w:val="en-US"/>
        </w:rPr>
        <w:tab/>
      </w:r>
      <w:r w:rsidR="00B47DA1">
        <w:rPr>
          <w:lang w:val="en-US"/>
        </w:rPr>
        <w:t>In general children under 15 years of age whose parent(s) live in Denmark are eligible for a residence permit in Denmark.</w:t>
      </w:r>
    </w:p>
    <w:p w:rsidR="00B47DA1" w:rsidRDefault="00A11A9E" w:rsidP="00A11A9E">
      <w:pPr>
        <w:pStyle w:val="SingleTxtG"/>
        <w:rPr>
          <w:lang w:val="en-US"/>
        </w:rPr>
      </w:pPr>
      <w:r>
        <w:rPr>
          <w:lang w:val="en-US"/>
        </w:rPr>
        <w:t>28.</w:t>
      </w:r>
      <w:r>
        <w:rPr>
          <w:lang w:val="en-US"/>
        </w:rPr>
        <w:tab/>
      </w:r>
      <w:r w:rsidR="00B47DA1" w:rsidRPr="000F13EC">
        <w:rPr>
          <w:lang w:val="en-US"/>
        </w:rPr>
        <w:t>There is, however, a special requirement if one parent lives with the child abroad and the other parent lives in Denmark</w:t>
      </w:r>
      <w:r w:rsidR="00B47DA1" w:rsidRPr="00527010">
        <w:rPr>
          <w:lang w:val="en-US"/>
        </w:rPr>
        <w:t>. In that case, if the child is 6 years</w:t>
      </w:r>
      <w:r w:rsidR="00B47DA1" w:rsidRPr="00933379">
        <w:rPr>
          <w:lang w:val="en-US"/>
        </w:rPr>
        <w:t xml:space="preserve"> old or older </w:t>
      </w:r>
      <w:r w:rsidR="00B47DA1" w:rsidRPr="0011526F">
        <w:rPr>
          <w:lang w:val="en-US"/>
        </w:rPr>
        <w:t>and</w:t>
      </w:r>
      <w:r w:rsidR="00B47DA1" w:rsidRPr="00FA64C2">
        <w:rPr>
          <w:lang w:val="en-US"/>
        </w:rPr>
        <w:t xml:space="preserve"> </w:t>
      </w:r>
      <w:r w:rsidR="00B47DA1" w:rsidRPr="00E7485F">
        <w:rPr>
          <w:lang w:val="en-US"/>
        </w:rPr>
        <w:t xml:space="preserve">applies for family reunification with the parent in Denmark </w:t>
      </w:r>
      <w:r w:rsidR="00B47DA1" w:rsidRPr="00882967">
        <w:rPr>
          <w:lang w:val="en-US"/>
        </w:rPr>
        <w:t xml:space="preserve">more than 2 years after it would have been </w:t>
      </w:r>
      <w:r w:rsidR="00B47DA1" w:rsidRPr="001B23F1">
        <w:rPr>
          <w:lang w:val="en-US"/>
        </w:rPr>
        <w:t xml:space="preserve">possible </w:t>
      </w:r>
      <w:r w:rsidR="00B47DA1" w:rsidRPr="00514BD9">
        <w:rPr>
          <w:lang w:val="en-US"/>
        </w:rPr>
        <w:t xml:space="preserve">to </w:t>
      </w:r>
      <w:r w:rsidR="00B47DA1" w:rsidRPr="00882306">
        <w:rPr>
          <w:lang w:val="en-US"/>
        </w:rPr>
        <w:t>o</w:t>
      </w:r>
      <w:r w:rsidR="00B47DA1" w:rsidRPr="00C654D6">
        <w:rPr>
          <w:lang w:val="en-US"/>
        </w:rPr>
        <w:t>btain</w:t>
      </w:r>
      <w:r w:rsidR="00B47DA1" w:rsidRPr="006808C2">
        <w:rPr>
          <w:lang w:val="en-US"/>
        </w:rPr>
        <w:t xml:space="preserve"> such </w:t>
      </w:r>
      <w:r w:rsidR="00B47DA1" w:rsidRPr="00C50BA2">
        <w:rPr>
          <w:lang w:val="en-US"/>
        </w:rPr>
        <w:t xml:space="preserve">family reunification, the child </w:t>
      </w:r>
      <w:r w:rsidR="00B47DA1" w:rsidRPr="005E7EAC">
        <w:rPr>
          <w:lang w:val="en-US"/>
        </w:rPr>
        <w:t>must be</w:t>
      </w:r>
      <w:r w:rsidR="00B47DA1" w:rsidRPr="007D30AF">
        <w:rPr>
          <w:lang w:val="en-US"/>
        </w:rPr>
        <w:t xml:space="preserve"> deemed to have the </w:t>
      </w:r>
      <w:r w:rsidR="00B47DA1" w:rsidRPr="00CC274E">
        <w:rPr>
          <w:lang w:val="en-US"/>
        </w:rPr>
        <w:t xml:space="preserve">potential for successful integration into </w:t>
      </w:r>
      <w:r w:rsidR="00B47DA1" w:rsidRPr="00195FCE">
        <w:rPr>
          <w:lang w:val="en-US"/>
        </w:rPr>
        <w:t>Danish society. The period of 2 years</w:t>
      </w:r>
      <w:r w:rsidR="00B47DA1" w:rsidRPr="00E41373">
        <w:rPr>
          <w:lang w:val="en-US"/>
        </w:rPr>
        <w:t xml:space="preserve"> runs from </w:t>
      </w:r>
      <w:r w:rsidR="00B47DA1" w:rsidRPr="007E7710">
        <w:rPr>
          <w:lang w:val="en-US"/>
        </w:rPr>
        <w:t>the child</w:t>
      </w:r>
      <w:r w:rsidR="00434343">
        <w:rPr>
          <w:lang w:val="en-US"/>
        </w:rPr>
        <w:t>’</w:t>
      </w:r>
      <w:r w:rsidR="00B47DA1" w:rsidRPr="007E7710">
        <w:rPr>
          <w:lang w:val="en-US"/>
        </w:rPr>
        <w:t>s 6th year as the earliest. This requirement</w:t>
      </w:r>
      <w:r w:rsidR="00B47DA1">
        <w:rPr>
          <w:lang w:val="en-US"/>
        </w:rPr>
        <w:t xml:space="preserve"> aims to prevent parents from placing their child in the home country together with one of the parents until the child is almost an adult in order to achieve that the child gets an upbringing in conformity with the culture and norms of the home country and is not influenced by Danish norms and values.</w:t>
      </w:r>
      <w:r w:rsidR="00B47DA1" w:rsidRPr="000F13EC">
        <w:rPr>
          <w:lang w:val="en-US"/>
        </w:rPr>
        <w:t xml:space="preserve"> </w:t>
      </w:r>
    </w:p>
    <w:p w:rsidR="00B47DA1" w:rsidRPr="000F13EC" w:rsidRDefault="00A11A9E" w:rsidP="00A11A9E">
      <w:pPr>
        <w:pStyle w:val="SingleTxtG"/>
        <w:rPr>
          <w:lang w:val="en-US"/>
        </w:rPr>
      </w:pPr>
      <w:r w:rsidRPr="000F13EC">
        <w:rPr>
          <w:lang w:val="en-US"/>
        </w:rPr>
        <w:t>29.</w:t>
      </w:r>
      <w:r w:rsidRPr="000F13EC">
        <w:rPr>
          <w:lang w:val="en-US"/>
        </w:rPr>
        <w:tab/>
      </w:r>
      <w:r w:rsidR="00B47DA1" w:rsidRPr="000F13EC">
        <w:rPr>
          <w:lang w:val="en-US"/>
        </w:rPr>
        <w:t>New rules stipulate that an assessment of a child’s potential for successful integration will not be carried out when the child is 8 years or younger</w:t>
      </w:r>
      <w:r w:rsidR="00B47DA1">
        <w:rPr>
          <w:lang w:val="en-US"/>
        </w:rPr>
        <w:t xml:space="preserve"> </w:t>
      </w:r>
      <w:r w:rsidR="00AC5F88">
        <w:rPr>
          <w:lang w:val="en-US"/>
        </w:rPr>
        <w:t>(</w:t>
      </w:r>
      <w:r w:rsidR="00B47DA1">
        <w:rPr>
          <w:lang w:val="en-US"/>
        </w:rPr>
        <w:t xml:space="preserve">see </w:t>
      </w:r>
      <w:r w:rsidR="008A6FF2">
        <w:rPr>
          <w:lang w:val="en-US"/>
        </w:rPr>
        <w:t xml:space="preserve">para. </w:t>
      </w:r>
      <w:r w:rsidR="00B47DA1">
        <w:rPr>
          <w:lang w:val="en-US"/>
        </w:rPr>
        <w:t>28 above</w:t>
      </w:r>
      <w:r w:rsidR="00AC5F88">
        <w:rPr>
          <w:lang w:val="en-US"/>
        </w:rPr>
        <w:t>)</w:t>
      </w:r>
      <w:r w:rsidR="00B47DA1" w:rsidRPr="000F13EC">
        <w:rPr>
          <w:lang w:val="en-US"/>
        </w:rPr>
        <w:t xml:space="preserve">. </w:t>
      </w:r>
      <w:r w:rsidR="00B47DA1">
        <w:rPr>
          <w:lang w:val="en-US"/>
        </w:rPr>
        <w:t xml:space="preserve">The rules furthermore stipulate that where such an assessment </w:t>
      </w:r>
      <w:r w:rsidR="00B47DA1" w:rsidRPr="00B54FAB">
        <w:rPr>
          <w:i/>
          <w:lang w:val="en-US"/>
        </w:rPr>
        <w:t>is</w:t>
      </w:r>
      <w:r w:rsidR="00B47DA1">
        <w:rPr>
          <w:lang w:val="en-US"/>
        </w:rPr>
        <w:t xml:space="preserve"> carried out, the integration of the parent residing in Denmark should be given added weight. The rules also state that not only the ability</w:t>
      </w:r>
      <w:r w:rsidR="00B47DA1" w:rsidRPr="00E8029E">
        <w:rPr>
          <w:lang w:val="en-US"/>
        </w:rPr>
        <w:t xml:space="preserve"> </w:t>
      </w:r>
      <w:r w:rsidR="00B47DA1">
        <w:rPr>
          <w:lang w:val="en-US"/>
        </w:rPr>
        <w:t>to take care of the child, but also the desire of the foreign parent to do so, should (among others) be taken into consideration.</w:t>
      </w:r>
    </w:p>
    <w:p w:rsidR="00B47DA1" w:rsidRPr="00A11A9E" w:rsidRDefault="00A11A9E" w:rsidP="00A11A9E">
      <w:pPr>
        <w:pStyle w:val="SingleTxtG"/>
        <w:rPr>
          <w:bCs/>
          <w:lang w:val="en-US" w:eastAsia="da-DK"/>
        </w:rPr>
      </w:pPr>
      <w:r w:rsidRPr="00A11A9E">
        <w:rPr>
          <w:bCs/>
          <w:lang w:val="en-US" w:eastAsia="da-DK"/>
        </w:rPr>
        <w:t>30.</w:t>
      </w:r>
      <w:r w:rsidRPr="00A11A9E">
        <w:rPr>
          <w:bCs/>
          <w:lang w:val="en-US" w:eastAsia="da-DK"/>
        </w:rPr>
        <w:tab/>
      </w:r>
      <w:r w:rsidR="00B47DA1">
        <w:rPr>
          <w:lang w:val="en-US"/>
        </w:rPr>
        <w:t xml:space="preserve">The requirements for obtaining family reunification are waived if Denmark’s </w:t>
      </w:r>
      <w:r w:rsidR="00B47DA1" w:rsidRPr="00A11A9E">
        <w:rPr>
          <w:bCs/>
          <w:lang w:val="en-US" w:eastAsia="da-DK"/>
        </w:rPr>
        <w:t xml:space="preserve">international obligations, inter alia the best interest of the child, so require. </w:t>
      </w:r>
    </w:p>
    <w:p w:rsidR="00B47DA1" w:rsidRPr="00102FEC" w:rsidRDefault="00904E11" w:rsidP="00A11A9E">
      <w:pPr>
        <w:pStyle w:val="H23G"/>
        <w:rPr>
          <w:lang w:val="en-US" w:eastAsia="nb-NO"/>
        </w:rPr>
      </w:pPr>
      <w:r>
        <w:rPr>
          <w:lang w:val="en-US" w:eastAsia="nb-NO"/>
        </w:rPr>
        <w:tab/>
      </w:r>
      <w:r>
        <w:rPr>
          <w:lang w:val="en-US" w:eastAsia="nb-NO"/>
        </w:rPr>
        <w:tab/>
      </w:r>
      <w:r w:rsidR="00B47DA1" w:rsidRPr="00102FEC">
        <w:rPr>
          <w:lang w:val="en-US" w:eastAsia="nb-NO"/>
        </w:rPr>
        <w:t xml:space="preserve">Reply to paragraph 7 of the </w:t>
      </w:r>
      <w:r w:rsidR="00AC5F88">
        <w:rPr>
          <w:lang w:val="en-US" w:eastAsia="nb-NO"/>
        </w:rPr>
        <w:t>list of issues</w:t>
      </w:r>
      <w:r w:rsidR="00AC5F88" w:rsidRPr="00102FEC">
        <w:rPr>
          <w:lang w:val="en-US"/>
        </w:rPr>
        <w:t xml:space="preserve"> </w:t>
      </w:r>
      <w:r w:rsidR="00B47DA1" w:rsidRPr="00102FEC">
        <w:rPr>
          <w:lang w:val="en-US"/>
        </w:rPr>
        <w:t>[</w:t>
      </w:r>
      <w:r w:rsidR="00B47DA1" w:rsidRPr="00102FEC">
        <w:rPr>
          <w:bCs/>
          <w:lang w:val="en-US" w:eastAsia="da-DK"/>
        </w:rPr>
        <w:t>Ministry of Justice</w:t>
      </w:r>
      <w:r w:rsidR="00B47DA1" w:rsidRPr="00102FEC">
        <w:rPr>
          <w:lang w:val="en-US"/>
        </w:rPr>
        <w:t>]</w:t>
      </w:r>
    </w:p>
    <w:p w:rsidR="00B47DA1" w:rsidRDefault="00A11A9E" w:rsidP="00A11A9E">
      <w:pPr>
        <w:pStyle w:val="SingleTxtG"/>
        <w:rPr>
          <w:snapToGrid w:val="0"/>
          <w:lang w:val="en-US"/>
        </w:rPr>
      </w:pPr>
      <w:r>
        <w:rPr>
          <w:snapToGrid w:val="0"/>
          <w:lang w:val="en-US"/>
        </w:rPr>
        <w:t>31.</w:t>
      </w:r>
      <w:r>
        <w:rPr>
          <w:snapToGrid w:val="0"/>
          <w:lang w:val="en-US"/>
        </w:rPr>
        <w:tab/>
      </w:r>
      <w:r w:rsidR="00B47DA1" w:rsidRPr="007C409C">
        <w:rPr>
          <w:lang w:val="en-US"/>
        </w:rPr>
        <w:t xml:space="preserve">The </w:t>
      </w:r>
      <w:r w:rsidR="00B47DA1">
        <w:rPr>
          <w:lang w:val="en-US"/>
        </w:rPr>
        <w:t xml:space="preserve">Danish </w:t>
      </w:r>
      <w:r w:rsidR="00B47DA1" w:rsidRPr="007C409C">
        <w:rPr>
          <w:lang w:val="en-US"/>
        </w:rPr>
        <w:t xml:space="preserve">Government </w:t>
      </w:r>
      <w:r w:rsidR="00B47DA1">
        <w:rPr>
          <w:lang w:val="en-US"/>
        </w:rPr>
        <w:t>ratified the Covenant</w:t>
      </w:r>
      <w:r w:rsidR="00B47DA1" w:rsidRPr="007C409C">
        <w:rPr>
          <w:lang w:val="en-US"/>
        </w:rPr>
        <w:t xml:space="preserve"> without territorial </w:t>
      </w:r>
      <w:r w:rsidR="00B47DA1">
        <w:rPr>
          <w:lang w:val="en-US"/>
        </w:rPr>
        <w:t>reservations</w:t>
      </w:r>
      <w:r w:rsidR="00B47DA1" w:rsidRPr="007C409C">
        <w:rPr>
          <w:lang w:val="en-US"/>
        </w:rPr>
        <w:t xml:space="preserve">. The ratification thus extends to </w:t>
      </w:r>
      <w:r w:rsidR="00B47DA1">
        <w:rPr>
          <w:lang w:val="en-US"/>
        </w:rPr>
        <w:t>all parts of the Kingdom of Denmark, including</w:t>
      </w:r>
      <w:r w:rsidR="00B47DA1" w:rsidRPr="007C409C">
        <w:rPr>
          <w:lang w:val="en-US"/>
        </w:rPr>
        <w:t xml:space="preserve"> Greenland and the Faroe Islands</w:t>
      </w:r>
      <w:r w:rsidR="00B47DA1">
        <w:rPr>
          <w:lang w:val="en-US"/>
        </w:rPr>
        <w:t>.</w:t>
      </w:r>
      <w:r w:rsidR="00B47DA1" w:rsidRPr="007C409C">
        <w:rPr>
          <w:snapToGrid w:val="0"/>
          <w:lang w:val="en-US"/>
        </w:rPr>
        <w:t xml:space="preserve"> </w:t>
      </w:r>
    </w:p>
    <w:p w:rsidR="00B47DA1" w:rsidRDefault="00A11A9E" w:rsidP="00A11A9E">
      <w:pPr>
        <w:pStyle w:val="SingleTxtG"/>
        <w:rPr>
          <w:lang w:val="en-US"/>
        </w:rPr>
      </w:pPr>
      <w:r>
        <w:rPr>
          <w:lang w:val="en-US"/>
        </w:rPr>
        <w:t>32.</w:t>
      </w:r>
      <w:r>
        <w:rPr>
          <w:lang w:val="en-US"/>
        </w:rPr>
        <w:tab/>
      </w:r>
      <w:r w:rsidR="00B47DA1">
        <w:rPr>
          <w:lang w:val="en-US"/>
        </w:rPr>
        <w:t>T</w:t>
      </w:r>
      <w:r w:rsidR="00B47DA1" w:rsidRPr="007C409C">
        <w:rPr>
          <w:lang w:val="en-US"/>
        </w:rPr>
        <w:t xml:space="preserve">he status of international conventions in Greenland and the Faroe Islands is the same as it is </w:t>
      </w:r>
      <w:r w:rsidR="00B47DA1">
        <w:rPr>
          <w:lang w:val="en-US"/>
        </w:rPr>
        <w:t>in other parts of the</w:t>
      </w:r>
      <w:r w:rsidR="00B47DA1" w:rsidRPr="007C409C">
        <w:rPr>
          <w:lang w:val="en-US"/>
        </w:rPr>
        <w:t xml:space="preserve"> Kingdom of Denmark: they </w:t>
      </w:r>
      <w:r w:rsidR="00B47DA1">
        <w:rPr>
          <w:lang w:val="en-US"/>
        </w:rPr>
        <w:t xml:space="preserve">are sources of law, </w:t>
      </w:r>
      <w:r w:rsidR="00B47DA1" w:rsidRPr="00224F55">
        <w:rPr>
          <w:color w:val="000000"/>
          <w:lang w:val="en-US"/>
        </w:rPr>
        <w:t>being invoked</w:t>
      </w:r>
      <w:r w:rsidR="00B47DA1">
        <w:rPr>
          <w:lang w:val="en-US"/>
        </w:rPr>
        <w:t xml:space="preserve"> </w:t>
      </w:r>
      <w:r w:rsidR="00B47DA1" w:rsidRPr="00BD1B9E">
        <w:rPr>
          <w:lang w:val="en-US"/>
        </w:rPr>
        <w:t xml:space="preserve">before and applied by the courts and </w:t>
      </w:r>
      <w:r w:rsidR="00B47DA1">
        <w:rPr>
          <w:lang w:val="en-US"/>
        </w:rPr>
        <w:t>other law-applying authorities.</w:t>
      </w:r>
      <w:r w:rsidR="00B47DA1" w:rsidRPr="008D493D">
        <w:rPr>
          <w:snapToGrid w:val="0"/>
          <w:lang w:val="en-US"/>
        </w:rPr>
        <w:t xml:space="preserve"> </w:t>
      </w:r>
      <w:r w:rsidR="00B47DA1">
        <w:rPr>
          <w:snapToGrid w:val="0"/>
          <w:lang w:val="en-US"/>
        </w:rPr>
        <w:t>All p</w:t>
      </w:r>
      <w:r w:rsidR="00B47DA1" w:rsidRPr="007C409C">
        <w:rPr>
          <w:snapToGrid w:val="0"/>
          <w:lang w:val="en-US"/>
        </w:rPr>
        <w:t xml:space="preserve">ublic authorities must act in compliance with </w:t>
      </w:r>
      <w:r w:rsidR="00B47DA1">
        <w:rPr>
          <w:snapToGrid w:val="0"/>
          <w:lang w:val="en-US"/>
        </w:rPr>
        <w:t>the Covenant,</w:t>
      </w:r>
      <w:r w:rsidR="00B47DA1" w:rsidRPr="007C409C">
        <w:rPr>
          <w:snapToGrid w:val="0"/>
          <w:lang w:val="en-US"/>
        </w:rPr>
        <w:t xml:space="preserve"> and legislation must be </w:t>
      </w:r>
      <w:r w:rsidR="00B47DA1">
        <w:rPr>
          <w:snapToGrid w:val="0"/>
          <w:lang w:val="en-US"/>
        </w:rPr>
        <w:t xml:space="preserve">interpreted </w:t>
      </w:r>
      <w:r w:rsidR="00B47DA1" w:rsidRPr="007C409C">
        <w:rPr>
          <w:snapToGrid w:val="0"/>
          <w:lang w:val="en-US"/>
        </w:rPr>
        <w:t>and given effect in a</w:t>
      </w:r>
      <w:r w:rsidR="00B47DA1">
        <w:rPr>
          <w:snapToGrid w:val="0"/>
          <w:lang w:val="en-US"/>
        </w:rPr>
        <w:t>ccordance</w:t>
      </w:r>
      <w:r w:rsidR="00B47DA1" w:rsidRPr="007C409C">
        <w:rPr>
          <w:snapToGrid w:val="0"/>
          <w:lang w:val="en-US"/>
        </w:rPr>
        <w:t xml:space="preserve"> with the </w:t>
      </w:r>
      <w:r w:rsidR="00B47DA1">
        <w:rPr>
          <w:snapToGrid w:val="0"/>
          <w:lang w:val="en-US"/>
        </w:rPr>
        <w:t>I</w:t>
      </w:r>
      <w:r w:rsidR="00B47DA1" w:rsidRPr="007C409C">
        <w:rPr>
          <w:snapToGrid w:val="0"/>
          <w:lang w:val="en-US"/>
        </w:rPr>
        <w:t xml:space="preserve">CCPR. </w:t>
      </w:r>
      <w:r w:rsidR="00B47DA1">
        <w:rPr>
          <w:lang w:val="en-US"/>
        </w:rPr>
        <w:t xml:space="preserve">Moreover, Denmark’s human rights obligations, including the ICCPR, are actively considered, when </w:t>
      </w:r>
      <w:r w:rsidR="00B47DA1" w:rsidRPr="007C409C">
        <w:rPr>
          <w:lang w:val="en-US"/>
        </w:rPr>
        <w:t>new legislation</w:t>
      </w:r>
      <w:r w:rsidR="00B47DA1">
        <w:rPr>
          <w:lang w:val="en-US"/>
        </w:rPr>
        <w:t xml:space="preserve"> is drafted</w:t>
      </w:r>
      <w:r w:rsidR="00B47DA1" w:rsidRPr="007C409C">
        <w:rPr>
          <w:lang w:val="en-US"/>
        </w:rPr>
        <w:t>.</w:t>
      </w:r>
    </w:p>
    <w:p w:rsidR="00B47DA1" w:rsidRDefault="00A11A9E" w:rsidP="00A11A9E">
      <w:pPr>
        <w:pStyle w:val="SingleTxtG"/>
        <w:rPr>
          <w:lang w:val="en-US"/>
        </w:rPr>
      </w:pPr>
      <w:r>
        <w:rPr>
          <w:lang w:val="en-US"/>
        </w:rPr>
        <w:t>33.</w:t>
      </w:r>
      <w:r>
        <w:rPr>
          <w:lang w:val="en-US"/>
        </w:rPr>
        <w:tab/>
      </w:r>
      <w:r w:rsidR="00B47DA1">
        <w:rPr>
          <w:lang w:val="en-US"/>
        </w:rPr>
        <w:t>W</w:t>
      </w:r>
      <w:r w:rsidR="00B47DA1" w:rsidRPr="007C409C">
        <w:rPr>
          <w:lang w:val="en-US"/>
        </w:rPr>
        <w:t>hilst the K</w:t>
      </w:r>
      <w:r w:rsidR="00B47DA1">
        <w:rPr>
          <w:lang w:val="en-US"/>
        </w:rPr>
        <w:t>ingdom of Denmark is the State P</w:t>
      </w:r>
      <w:r w:rsidR="00B47DA1" w:rsidRPr="007C409C">
        <w:rPr>
          <w:lang w:val="en-US"/>
        </w:rPr>
        <w:t>arty</w:t>
      </w:r>
      <w:r w:rsidR="00B47DA1">
        <w:rPr>
          <w:lang w:val="en-US"/>
        </w:rPr>
        <w:t xml:space="preserve"> to the Covenant and</w:t>
      </w:r>
      <w:r w:rsidR="00B47DA1" w:rsidRPr="007C409C">
        <w:rPr>
          <w:lang w:val="en-US"/>
        </w:rPr>
        <w:t xml:space="preserve"> responsible for</w:t>
      </w:r>
      <w:r w:rsidR="00B47DA1">
        <w:rPr>
          <w:lang w:val="en-US"/>
        </w:rPr>
        <w:t xml:space="preserve"> the</w:t>
      </w:r>
      <w:r w:rsidR="00B47DA1" w:rsidRPr="007C409C">
        <w:rPr>
          <w:lang w:val="en-US"/>
        </w:rPr>
        <w:t xml:space="preserve"> State’s international relations, both Greenland and the Faroe Islands are self-governing</w:t>
      </w:r>
      <w:r w:rsidR="00B47DA1">
        <w:rPr>
          <w:lang w:val="en-US"/>
        </w:rPr>
        <w:t xml:space="preserve"> communities with</w:t>
      </w:r>
      <w:r w:rsidR="00B47DA1" w:rsidRPr="007C409C">
        <w:rPr>
          <w:lang w:val="en-US"/>
        </w:rPr>
        <w:t xml:space="preserve"> the </w:t>
      </w:r>
      <w:r w:rsidR="00B47DA1">
        <w:rPr>
          <w:lang w:val="en-US"/>
        </w:rPr>
        <w:t xml:space="preserve">legislative and administrative powers </w:t>
      </w:r>
      <w:r w:rsidR="00B47DA1" w:rsidRPr="007C409C">
        <w:rPr>
          <w:lang w:val="en-US"/>
        </w:rPr>
        <w:t>that have been transferred</w:t>
      </w:r>
      <w:r w:rsidR="00B47DA1">
        <w:rPr>
          <w:lang w:val="en-US"/>
        </w:rPr>
        <w:t xml:space="preserve"> to them. T</w:t>
      </w:r>
      <w:r w:rsidR="00B47DA1" w:rsidRPr="007C409C">
        <w:rPr>
          <w:lang w:val="en-US"/>
        </w:rPr>
        <w:t xml:space="preserve">he responsibility for </w:t>
      </w:r>
      <w:r w:rsidR="00B47DA1">
        <w:rPr>
          <w:lang w:val="en-US"/>
        </w:rPr>
        <w:t>implementing</w:t>
      </w:r>
      <w:r w:rsidR="00B47DA1" w:rsidRPr="007C409C">
        <w:rPr>
          <w:lang w:val="en-US"/>
        </w:rPr>
        <w:t xml:space="preserve"> Covenant rights within these areas </w:t>
      </w:r>
      <w:r w:rsidR="00B47DA1">
        <w:rPr>
          <w:lang w:val="en-US"/>
        </w:rPr>
        <w:t xml:space="preserve">on Greenland and the Faroe Islands therefore </w:t>
      </w:r>
      <w:r w:rsidR="00B47DA1" w:rsidRPr="007C409C">
        <w:rPr>
          <w:lang w:val="en-US"/>
        </w:rPr>
        <w:t xml:space="preserve">rests with the </w:t>
      </w:r>
      <w:r w:rsidR="00B47DA1">
        <w:rPr>
          <w:lang w:val="en-US"/>
        </w:rPr>
        <w:t xml:space="preserve">self-government authorities. </w:t>
      </w:r>
    </w:p>
    <w:p w:rsidR="00B47DA1" w:rsidRPr="00315ECE" w:rsidRDefault="00A11A9E" w:rsidP="00A11A9E">
      <w:pPr>
        <w:pStyle w:val="SingleTxtG"/>
        <w:rPr>
          <w:lang w:val="en-US"/>
        </w:rPr>
      </w:pPr>
      <w:r w:rsidRPr="00315ECE">
        <w:rPr>
          <w:lang w:val="en-US"/>
        </w:rPr>
        <w:t>34.</w:t>
      </w:r>
      <w:r w:rsidRPr="00315ECE">
        <w:rPr>
          <w:lang w:val="en-US"/>
        </w:rPr>
        <w:tab/>
      </w:r>
      <w:r w:rsidR="00B47DA1" w:rsidRPr="003C4EE3">
        <w:rPr>
          <w:lang w:val="en-US"/>
        </w:rPr>
        <w:t xml:space="preserve">Greenland’s Human Rights </w:t>
      </w:r>
      <w:r w:rsidR="00B47DA1" w:rsidRPr="00A91EA4">
        <w:rPr>
          <w:lang w:val="en-US" w:eastAsia="nb-NO"/>
        </w:rPr>
        <w:t xml:space="preserve">Council was established </w:t>
      </w:r>
      <w:r w:rsidR="00B47DA1">
        <w:rPr>
          <w:lang w:val="en-US" w:eastAsia="nb-NO"/>
        </w:rPr>
        <w:t xml:space="preserve">on </w:t>
      </w:r>
      <w:r w:rsidR="00B47DA1" w:rsidRPr="00394DB7">
        <w:rPr>
          <w:lang w:val="en-US" w:eastAsia="nb-NO"/>
        </w:rPr>
        <w:t>1 January 2013</w:t>
      </w:r>
      <w:r w:rsidR="00B47DA1">
        <w:rPr>
          <w:lang w:val="en-US" w:eastAsia="nb-NO"/>
        </w:rPr>
        <w:t xml:space="preserve"> with a mandate</w:t>
      </w:r>
      <w:r w:rsidR="00B47DA1" w:rsidRPr="00394DB7">
        <w:rPr>
          <w:lang w:val="en-US" w:eastAsia="nb-NO"/>
        </w:rPr>
        <w:t xml:space="preserve"> to promot</w:t>
      </w:r>
      <w:r w:rsidR="00B47DA1" w:rsidRPr="00E953C1">
        <w:rPr>
          <w:lang w:val="en-US" w:eastAsia="nb-NO"/>
        </w:rPr>
        <w:t>e</w:t>
      </w:r>
      <w:r w:rsidR="00B47DA1" w:rsidRPr="00A91EA4">
        <w:rPr>
          <w:lang w:val="en-US" w:eastAsia="nb-NO"/>
        </w:rPr>
        <w:t xml:space="preserve"> and protect human rights in Greenland. </w:t>
      </w:r>
      <w:r w:rsidR="00B47DA1" w:rsidRPr="003C4EE3">
        <w:rPr>
          <w:lang w:val="en-US"/>
        </w:rPr>
        <w:t xml:space="preserve">This is done through the Council’s involvement in </w:t>
      </w:r>
      <w:r w:rsidR="00B47DA1">
        <w:rPr>
          <w:lang w:val="en-US"/>
        </w:rPr>
        <w:t xml:space="preserve">the </w:t>
      </w:r>
      <w:r w:rsidR="00B47DA1" w:rsidRPr="003C4EE3">
        <w:rPr>
          <w:lang w:val="en-US"/>
        </w:rPr>
        <w:t>monitoring and reporting on human rights in Gree</w:t>
      </w:r>
      <w:r w:rsidR="00B47DA1">
        <w:rPr>
          <w:lang w:val="en-US"/>
        </w:rPr>
        <w:t>n</w:t>
      </w:r>
      <w:r w:rsidR="00B47DA1" w:rsidRPr="003C4EE3">
        <w:rPr>
          <w:lang w:val="en-US"/>
        </w:rPr>
        <w:t xml:space="preserve">land, providing advice to the </w:t>
      </w:r>
      <w:r w:rsidR="00B47DA1">
        <w:rPr>
          <w:lang w:val="en-US"/>
        </w:rPr>
        <w:t>g</w:t>
      </w:r>
      <w:r w:rsidR="00B47DA1" w:rsidRPr="003C4EE3">
        <w:rPr>
          <w:lang w:val="en-US"/>
        </w:rPr>
        <w:t xml:space="preserve">overnment </w:t>
      </w:r>
      <w:r w:rsidR="00B47DA1">
        <w:rPr>
          <w:lang w:val="en-US"/>
        </w:rPr>
        <w:t>authorities in</w:t>
      </w:r>
      <w:r w:rsidR="00B47DA1" w:rsidRPr="003C4EE3">
        <w:rPr>
          <w:lang w:val="en-US"/>
        </w:rPr>
        <w:t xml:space="preserve"> Greenland, promoting coordination of and support to civil society’s human rights work and awareness</w:t>
      </w:r>
      <w:r w:rsidR="00150FD9">
        <w:rPr>
          <w:lang w:val="en-US"/>
        </w:rPr>
        <w:t>-</w:t>
      </w:r>
      <w:r w:rsidR="00B47DA1" w:rsidRPr="003C4EE3">
        <w:rPr>
          <w:lang w:val="en-US"/>
        </w:rPr>
        <w:t>raising.</w:t>
      </w:r>
      <w:r w:rsidR="00B47DA1">
        <w:rPr>
          <w:lang w:val="en-US"/>
        </w:rPr>
        <w:t xml:space="preserve"> </w:t>
      </w:r>
      <w:r w:rsidR="00B47DA1" w:rsidRPr="00394DB7">
        <w:rPr>
          <w:lang w:val="en-US" w:eastAsia="nb-NO"/>
        </w:rPr>
        <w:t xml:space="preserve">The Council is funded through grants from the </w:t>
      </w:r>
      <w:r w:rsidR="00B47DA1" w:rsidRPr="00A400D9">
        <w:rPr>
          <w:lang w:val="en-US" w:eastAsia="nb-NO"/>
        </w:rPr>
        <w:t>Greenlandic</w:t>
      </w:r>
      <w:r w:rsidR="00B47DA1">
        <w:rPr>
          <w:lang w:val="en-US" w:eastAsia="nb-NO"/>
        </w:rPr>
        <w:t xml:space="preserve"> t</w:t>
      </w:r>
      <w:r w:rsidR="00B47DA1" w:rsidRPr="00394DB7">
        <w:rPr>
          <w:lang w:val="en-US" w:eastAsia="nb-NO"/>
        </w:rPr>
        <w:t xml:space="preserve">reasury. </w:t>
      </w:r>
    </w:p>
    <w:p w:rsidR="00B47DA1" w:rsidRPr="009E0F93" w:rsidRDefault="00A11A9E" w:rsidP="00A11A9E">
      <w:pPr>
        <w:pStyle w:val="SingleTxtG"/>
        <w:rPr>
          <w:lang w:val="en-US"/>
        </w:rPr>
      </w:pPr>
      <w:r w:rsidRPr="009E0F93">
        <w:rPr>
          <w:lang w:val="en-US"/>
        </w:rPr>
        <w:t>35.</w:t>
      </w:r>
      <w:r w:rsidRPr="009E0F93">
        <w:rPr>
          <w:lang w:val="en-US"/>
        </w:rPr>
        <w:tab/>
      </w:r>
      <w:r w:rsidR="00B47DA1" w:rsidRPr="009E0F93">
        <w:rPr>
          <w:lang w:val="en-US"/>
        </w:rPr>
        <w:t>The mandate of the DIHR has been expanded to cover also Greenland as the national human rights institution. In 2013, the DIHR published its first report on the human rights situation in Greenland covering a number of thematic areas, namely children, disabled persons, rule of law, education and extractive industries.</w:t>
      </w:r>
      <w:r w:rsidR="00AF685F">
        <w:rPr>
          <w:lang w:val="en-US"/>
        </w:rPr>
        <w:t xml:space="preserve"> </w:t>
      </w:r>
    </w:p>
    <w:p w:rsidR="00B47DA1" w:rsidRPr="009E0F93" w:rsidRDefault="00A11A9E" w:rsidP="00A11A9E">
      <w:pPr>
        <w:pStyle w:val="SingleTxtG"/>
        <w:rPr>
          <w:lang w:val="en-US"/>
        </w:rPr>
      </w:pPr>
      <w:r w:rsidRPr="009E0F93">
        <w:rPr>
          <w:lang w:val="en-US"/>
        </w:rPr>
        <w:t>36.</w:t>
      </w:r>
      <w:r w:rsidRPr="009E0F93">
        <w:rPr>
          <w:lang w:val="en-US"/>
        </w:rPr>
        <w:tab/>
      </w:r>
      <w:r w:rsidR="00B47DA1" w:rsidRPr="009E0F93">
        <w:rPr>
          <w:lang w:val="en-US"/>
        </w:rPr>
        <w:t xml:space="preserve">The Faroe Islands does not currently plan to establish a </w:t>
      </w:r>
      <w:r w:rsidR="00B47DA1" w:rsidRPr="00A400D9">
        <w:rPr>
          <w:lang w:val="en-US"/>
        </w:rPr>
        <w:t>Faroese</w:t>
      </w:r>
      <w:r w:rsidR="00B47DA1" w:rsidRPr="009E0F93">
        <w:rPr>
          <w:lang w:val="en-US"/>
        </w:rPr>
        <w:t xml:space="preserve"> human rights council or to expand the mandate of DIHR to the Faroe Islands. </w:t>
      </w:r>
    </w:p>
    <w:p w:rsidR="00B47DA1" w:rsidRPr="00C06E6A" w:rsidRDefault="00904E11" w:rsidP="0083661D">
      <w:pPr>
        <w:pStyle w:val="H1G"/>
      </w:pPr>
      <w:bookmarkStart w:id="6" w:name="_Toc430941892"/>
      <w:r>
        <w:tab/>
      </w:r>
      <w:r>
        <w:tab/>
      </w:r>
      <w:r w:rsidR="00B47DA1" w:rsidRPr="00C06E6A">
        <w:t>Counter-terrorism measures and respect for the rights guaranteed in</w:t>
      </w:r>
      <w:r w:rsidR="00775FCE">
        <w:t> </w:t>
      </w:r>
      <w:r w:rsidR="00B47DA1" w:rsidRPr="00C06E6A">
        <w:t>the Covenant</w:t>
      </w:r>
      <w:bookmarkEnd w:id="6"/>
      <w:r w:rsidR="00B47DA1" w:rsidRPr="00C06E6A">
        <w:t xml:space="preserve"> </w:t>
      </w:r>
    </w:p>
    <w:p w:rsidR="00B47DA1" w:rsidRPr="00102FEC" w:rsidRDefault="00904E11" w:rsidP="00A11A9E">
      <w:pPr>
        <w:pStyle w:val="H23G"/>
        <w:rPr>
          <w:lang w:val="en-US" w:eastAsia="nb-NO"/>
        </w:rPr>
      </w:pPr>
      <w:r>
        <w:rPr>
          <w:lang w:val="en-US" w:eastAsia="nb-NO"/>
        </w:rPr>
        <w:tab/>
      </w:r>
      <w:r>
        <w:rPr>
          <w:lang w:val="en-US" w:eastAsia="nb-NO"/>
        </w:rPr>
        <w:tab/>
      </w:r>
      <w:r w:rsidR="00B47DA1" w:rsidRPr="00102FEC">
        <w:rPr>
          <w:lang w:val="en-US" w:eastAsia="nb-NO"/>
        </w:rPr>
        <w:t xml:space="preserve">Reply to paragraph 8 of the </w:t>
      </w:r>
      <w:r w:rsidR="00AC5F88">
        <w:rPr>
          <w:lang w:val="en-US" w:eastAsia="nb-NO"/>
        </w:rPr>
        <w:t>list of issues</w:t>
      </w:r>
      <w:r w:rsidR="00B47DA1" w:rsidRPr="00102FEC">
        <w:rPr>
          <w:lang w:val="en-US" w:eastAsia="nb-NO"/>
        </w:rPr>
        <w:t>[</w:t>
      </w:r>
      <w:r w:rsidR="00B47DA1" w:rsidRPr="00102FEC">
        <w:rPr>
          <w:lang w:val="en-US" w:eastAsia="da-DK"/>
        </w:rPr>
        <w:t>Ministry of Justice</w:t>
      </w:r>
      <w:r w:rsidR="00B47DA1">
        <w:rPr>
          <w:lang w:val="en-US" w:eastAsia="da-DK"/>
        </w:rPr>
        <w:t>, Ministry of Defence</w:t>
      </w:r>
      <w:r w:rsidR="00B47DA1" w:rsidRPr="00102FEC">
        <w:rPr>
          <w:lang w:val="en-US" w:eastAsia="da-DK"/>
        </w:rPr>
        <w:t xml:space="preserve"> and Ministry of </w:t>
      </w:r>
      <w:r w:rsidR="00B47DA1">
        <w:rPr>
          <w:lang w:val="en-US" w:eastAsia="da-DK"/>
        </w:rPr>
        <w:t>Immigration</w:t>
      </w:r>
      <w:r w:rsidR="00B47DA1" w:rsidRPr="00102FEC">
        <w:rPr>
          <w:lang w:val="en-US" w:eastAsia="da-DK"/>
        </w:rPr>
        <w:t>, Integration and Housing</w:t>
      </w:r>
      <w:r w:rsidR="00B47DA1" w:rsidRPr="00102FEC">
        <w:rPr>
          <w:lang w:val="en-US" w:eastAsia="nb-NO"/>
        </w:rPr>
        <w:t>]</w:t>
      </w:r>
    </w:p>
    <w:p w:rsidR="00B47DA1" w:rsidRPr="00244387" w:rsidRDefault="00904E11" w:rsidP="00A11A9E">
      <w:pPr>
        <w:pStyle w:val="H4G"/>
        <w:rPr>
          <w:lang w:val="en-US"/>
        </w:rPr>
      </w:pPr>
      <w:r>
        <w:rPr>
          <w:lang w:val="en-US"/>
        </w:rPr>
        <w:tab/>
      </w:r>
      <w:r>
        <w:rPr>
          <w:lang w:val="en-US"/>
        </w:rPr>
        <w:tab/>
      </w:r>
      <w:r w:rsidR="00B47DA1" w:rsidRPr="00244387">
        <w:rPr>
          <w:lang w:val="en-US"/>
        </w:rPr>
        <w:t>Legislative and administrative measures relating to terrorism</w:t>
      </w:r>
    </w:p>
    <w:p w:rsidR="00B47DA1" w:rsidRPr="00E8611B" w:rsidRDefault="00A11A9E" w:rsidP="00A11A9E">
      <w:pPr>
        <w:pStyle w:val="SingleTxtG"/>
        <w:rPr>
          <w:lang w:val="en-US"/>
        </w:rPr>
      </w:pPr>
      <w:r w:rsidRPr="00E8611B">
        <w:rPr>
          <w:lang w:val="en-US"/>
        </w:rPr>
        <w:t>37.</w:t>
      </w:r>
      <w:r w:rsidRPr="00E8611B">
        <w:rPr>
          <w:lang w:val="en-US"/>
        </w:rPr>
        <w:tab/>
      </w:r>
      <w:r w:rsidR="00B47DA1" w:rsidRPr="00E8611B">
        <w:rPr>
          <w:lang w:val="en-US"/>
        </w:rPr>
        <w:t>In 2008</w:t>
      </w:r>
      <w:r w:rsidR="00B47DA1">
        <w:rPr>
          <w:lang w:val="en-US"/>
        </w:rPr>
        <w:t>,</w:t>
      </w:r>
      <w:r w:rsidR="00B47DA1" w:rsidRPr="00E8611B">
        <w:rPr>
          <w:lang w:val="en-US"/>
        </w:rPr>
        <w:t xml:space="preserve"> the Council of Europe’s Committee of Ministers decided to add the International Convention for the Suppression of Acts of Nuclear Terrorism to the treaty list appended to the Council of Europe Convention on the Prevention of Terrorism. In order to meet the obligations deriving from this decision, the Cr</w:t>
      </w:r>
      <w:r w:rsidR="00B47DA1">
        <w:rPr>
          <w:lang w:val="en-US"/>
        </w:rPr>
        <w:t xml:space="preserve">iminal Code was amended by Act </w:t>
      </w:r>
      <w:r w:rsidR="00434343">
        <w:rPr>
          <w:lang w:val="en-US"/>
        </w:rPr>
        <w:t>N</w:t>
      </w:r>
      <w:r w:rsidR="00B47DA1" w:rsidRPr="00E8611B">
        <w:rPr>
          <w:lang w:val="en-US"/>
        </w:rPr>
        <w:t>o. 157 of 28 February 2012.</w:t>
      </w:r>
    </w:p>
    <w:p w:rsidR="00B47DA1" w:rsidRPr="00120F3A" w:rsidRDefault="00A11A9E" w:rsidP="00A11A9E">
      <w:pPr>
        <w:pStyle w:val="SingleTxtG"/>
        <w:rPr>
          <w:lang w:val="en-US"/>
        </w:rPr>
      </w:pPr>
      <w:r w:rsidRPr="00120F3A">
        <w:rPr>
          <w:lang w:val="en-US"/>
        </w:rPr>
        <w:t>38.</w:t>
      </w:r>
      <w:r w:rsidRPr="00120F3A">
        <w:rPr>
          <w:lang w:val="en-US"/>
        </w:rPr>
        <w:tab/>
      </w:r>
      <w:r w:rsidR="00B47DA1" w:rsidRPr="00E8611B">
        <w:rPr>
          <w:lang w:val="en-US"/>
        </w:rPr>
        <w:t xml:space="preserve">On 30 May 2013 the Danish Parliament passed </w:t>
      </w:r>
      <w:r w:rsidR="00B47DA1">
        <w:rPr>
          <w:lang w:val="en-US"/>
        </w:rPr>
        <w:t>legislation</w:t>
      </w:r>
      <w:r w:rsidR="00B47DA1" w:rsidRPr="00E8611B">
        <w:rPr>
          <w:lang w:val="en-US"/>
        </w:rPr>
        <w:t xml:space="preserve"> relating to the Security and Intelligence Service</w:t>
      </w:r>
      <w:r w:rsidR="00B47DA1">
        <w:rPr>
          <w:lang w:val="en-US"/>
        </w:rPr>
        <w:t xml:space="preserve"> and the Defence Intelligence Service (</w:t>
      </w:r>
      <w:r w:rsidR="00B47DA1" w:rsidRPr="00315ECE">
        <w:rPr>
          <w:i/>
          <w:lang w:val="en-US"/>
        </w:rPr>
        <w:t>P</w:t>
      </w:r>
      <w:r w:rsidR="00B47DA1">
        <w:rPr>
          <w:i/>
          <w:lang w:val="en-US"/>
        </w:rPr>
        <w:t>olitiets Efterretningstjeneste &amp; Forsvarets Efterretningstjeneste</w:t>
      </w:r>
      <w:r w:rsidR="00B47DA1" w:rsidRPr="00A11A9E">
        <w:rPr>
          <w:iCs/>
          <w:lang w:val="en-US"/>
        </w:rPr>
        <w:t>)</w:t>
      </w:r>
      <w:r w:rsidR="00B47DA1" w:rsidRPr="00E8611B">
        <w:rPr>
          <w:lang w:val="en-US"/>
        </w:rPr>
        <w:t>. Among other</w:t>
      </w:r>
      <w:r w:rsidR="00B47DA1">
        <w:rPr>
          <w:lang w:val="en-US"/>
        </w:rPr>
        <w:t>s</w:t>
      </w:r>
      <w:r w:rsidR="00B47DA1" w:rsidRPr="00E8611B">
        <w:rPr>
          <w:lang w:val="en-US"/>
        </w:rPr>
        <w:t>, the bill</w:t>
      </w:r>
      <w:r w:rsidR="00B47DA1">
        <w:rPr>
          <w:lang w:val="en-US"/>
        </w:rPr>
        <w:t>s</w:t>
      </w:r>
      <w:r w:rsidR="00B47DA1" w:rsidRPr="00E8611B">
        <w:rPr>
          <w:lang w:val="en-US"/>
        </w:rPr>
        <w:t xml:space="preserve"> introduce</w:t>
      </w:r>
      <w:r w:rsidR="00B47DA1">
        <w:rPr>
          <w:lang w:val="en-US"/>
        </w:rPr>
        <w:t>d</w:t>
      </w:r>
      <w:r w:rsidR="00B47DA1" w:rsidRPr="00E8611B">
        <w:rPr>
          <w:lang w:val="en-US"/>
        </w:rPr>
        <w:t xml:space="preserve"> new </w:t>
      </w:r>
      <w:r w:rsidR="00B47DA1">
        <w:rPr>
          <w:lang w:val="en-US"/>
        </w:rPr>
        <w:t>rules</w:t>
      </w:r>
      <w:r w:rsidR="00B47DA1" w:rsidRPr="00E8611B">
        <w:rPr>
          <w:lang w:val="en-US"/>
        </w:rPr>
        <w:t xml:space="preserve"> on processing of personal data by the Security and Intelligence Service. For instance, the bill</w:t>
      </w:r>
      <w:r w:rsidR="00B47DA1">
        <w:rPr>
          <w:lang w:val="en-US"/>
        </w:rPr>
        <w:t>s</w:t>
      </w:r>
      <w:r w:rsidR="00B47DA1" w:rsidRPr="00E8611B">
        <w:rPr>
          <w:lang w:val="en-US"/>
        </w:rPr>
        <w:t xml:space="preserve"> stipulate that information </w:t>
      </w:r>
      <w:r w:rsidR="00B47DA1">
        <w:rPr>
          <w:lang w:val="en-US"/>
        </w:rPr>
        <w:t xml:space="preserve">may only be shared </w:t>
      </w:r>
      <w:r w:rsidR="00B47DA1" w:rsidRPr="00E8611B">
        <w:rPr>
          <w:lang w:val="en-US"/>
        </w:rPr>
        <w:t xml:space="preserve">with foreign </w:t>
      </w:r>
      <w:r w:rsidR="00B47DA1">
        <w:rPr>
          <w:lang w:val="en-US"/>
        </w:rPr>
        <w:t>authorities</w:t>
      </w:r>
      <w:r w:rsidR="00B47DA1" w:rsidRPr="00E8611B">
        <w:rPr>
          <w:lang w:val="en-US"/>
        </w:rPr>
        <w:t xml:space="preserve"> if the sharing is justifiable. In that assessment, the conditions in the receiving country, including whether the country uses methods of interrogation or methods of punishment that conflict with Danish standards, is taken into account. The </w:t>
      </w:r>
      <w:r w:rsidR="00B47DA1">
        <w:rPr>
          <w:lang w:val="en-US"/>
        </w:rPr>
        <w:t>legislation</w:t>
      </w:r>
      <w:r w:rsidR="00B47DA1" w:rsidRPr="00E8611B">
        <w:rPr>
          <w:lang w:val="en-US"/>
        </w:rPr>
        <w:t xml:space="preserve"> also create</w:t>
      </w:r>
      <w:r w:rsidR="00B47DA1">
        <w:rPr>
          <w:lang w:val="en-US"/>
        </w:rPr>
        <w:t>s</w:t>
      </w:r>
      <w:r w:rsidR="00B47DA1" w:rsidRPr="00E8611B">
        <w:rPr>
          <w:lang w:val="en-US"/>
        </w:rPr>
        <w:t xml:space="preserve"> a new </w:t>
      </w:r>
      <w:r w:rsidR="00B47DA1">
        <w:rPr>
          <w:lang w:val="en-US"/>
        </w:rPr>
        <w:t xml:space="preserve">enhanced, independent oversight authority, the Danish Intelligence Oversight Board. The main task of the Oversight Board is to control and ensure that the services process personal data in accordance with the law. The Board acts </w:t>
      </w:r>
      <w:r w:rsidR="00B47DA1" w:rsidRPr="00E8611B">
        <w:rPr>
          <w:lang w:val="en-US"/>
        </w:rPr>
        <w:t>on its own init</w:t>
      </w:r>
      <w:r w:rsidR="00B47DA1">
        <w:rPr>
          <w:lang w:val="en-US"/>
        </w:rPr>
        <w:t>iative or upon request from citizens.</w:t>
      </w:r>
    </w:p>
    <w:p w:rsidR="00B47DA1" w:rsidRDefault="00A11A9E" w:rsidP="00A11A9E">
      <w:pPr>
        <w:pStyle w:val="SingleTxtG"/>
        <w:rPr>
          <w:lang w:val="en-US"/>
        </w:rPr>
      </w:pPr>
      <w:r>
        <w:rPr>
          <w:lang w:val="en-US"/>
        </w:rPr>
        <w:t>39.</w:t>
      </w:r>
      <w:r>
        <w:rPr>
          <w:lang w:val="en-US"/>
        </w:rPr>
        <w:tab/>
      </w:r>
      <w:r w:rsidR="00B47DA1">
        <w:rPr>
          <w:lang w:val="en-US"/>
        </w:rPr>
        <w:t xml:space="preserve">By Act </w:t>
      </w:r>
      <w:r w:rsidR="00434343">
        <w:rPr>
          <w:lang w:val="en-US"/>
        </w:rPr>
        <w:t>N</w:t>
      </w:r>
      <w:r w:rsidR="00B47DA1" w:rsidRPr="00E8611B">
        <w:rPr>
          <w:lang w:val="en-US"/>
        </w:rPr>
        <w:t>o. 634 of 12 June 2013 a new provision on temporary seizure of assets related to money laundering or financing of terrorism was inserted in the Administration of Justice Act.</w:t>
      </w:r>
      <w:r w:rsidR="00AF685F">
        <w:rPr>
          <w:lang w:val="en-US"/>
        </w:rPr>
        <w:t xml:space="preserve"> </w:t>
      </w:r>
    </w:p>
    <w:p w:rsidR="00B47DA1" w:rsidRPr="00110113" w:rsidRDefault="00A11A9E" w:rsidP="00A11A9E">
      <w:pPr>
        <w:pStyle w:val="SingleTxtG"/>
        <w:rPr>
          <w:lang w:val="en-US"/>
        </w:rPr>
      </w:pPr>
      <w:r w:rsidRPr="00110113">
        <w:rPr>
          <w:lang w:val="en-US"/>
        </w:rPr>
        <w:t>40.</w:t>
      </w:r>
      <w:r w:rsidRPr="00110113">
        <w:rPr>
          <w:lang w:val="en-US"/>
        </w:rPr>
        <w:tab/>
      </w:r>
      <w:r w:rsidR="00B47DA1">
        <w:rPr>
          <w:lang w:val="en-US"/>
        </w:rPr>
        <w:t xml:space="preserve">On 27 January 2015 </w:t>
      </w:r>
      <w:r w:rsidR="00B47DA1" w:rsidRPr="00AC11B7">
        <w:rPr>
          <w:lang w:val="en-US"/>
        </w:rPr>
        <w:t xml:space="preserve">a broad political agreement </w:t>
      </w:r>
      <w:r w:rsidR="00B47DA1">
        <w:rPr>
          <w:lang w:val="en-US"/>
        </w:rPr>
        <w:t xml:space="preserve">was reached </w:t>
      </w:r>
      <w:r w:rsidR="00B47DA1" w:rsidRPr="00AC11B7">
        <w:rPr>
          <w:lang w:val="en-US"/>
        </w:rPr>
        <w:t xml:space="preserve">on prevention of </w:t>
      </w:r>
      <w:r w:rsidR="00B47DA1" w:rsidRPr="00AC11B7">
        <w:t>radicali</w:t>
      </w:r>
      <w:r w:rsidR="00F763C1">
        <w:t>z</w:t>
      </w:r>
      <w:r w:rsidR="00B47DA1" w:rsidRPr="00AC11B7">
        <w:t>ation</w:t>
      </w:r>
      <w:r w:rsidR="00B47DA1" w:rsidRPr="00AC11B7">
        <w:rPr>
          <w:lang w:val="en-US"/>
        </w:rPr>
        <w:t xml:space="preserve"> and extremism which among other</w:t>
      </w:r>
      <w:r w:rsidR="00F763C1">
        <w:rPr>
          <w:lang w:val="en-US"/>
        </w:rPr>
        <w:t xml:space="preserve"> thing</w:t>
      </w:r>
      <w:r w:rsidR="00B47DA1" w:rsidRPr="00AC11B7">
        <w:rPr>
          <w:lang w:val="en-US"/>
        </w:rPr>
        <w:t xml:space="preserve">s included initiatives focusing on strengthening the cooperation with and support to civil society in preventing </w:t>
      </w:r>
      <w:r w:rsidR="00B47DA1" w:rsidRPr="00AC11B7">
        <w:t>radicali</w:t>
      </w:r>
      <w:r w:rsidR="00F763C1">
        <w:t>z</w:t>
      </w:r>
      <w:r w:rsidR="00B47DA1" w:rsidRPr="00AC11B7">
        <w:t>ation</w:t>
      </w:r>
      <w:r w:rsidR="00B47DA1" w:rsidRPr="00AC11B7">
        <w:rPr>
          <w:lang w:val="en-US"/>
        </w:rPr>
        <w:t xml:space="preserve"> as well as new measures to reflect new challenges such as online </w:t>
      </w:r>
      <w:r w:rsidR="00B47DA1" w:rsidRPr="00AC11B7">
        <w:t>radicali</w:t>
      </w:r>
      <w:r w:rsidR="00F763C1">
        <w:t>z</w:t>
      </w:r>
      <w:r w:rsidR="00B47DA1" w:rsidRPr="00AC11B7">
        <w:t>ation</w:t>
      </w:r>
      <w:r w:rsidR="00B47DA1" w:rsidRPr="00AC11B7">
        <w:rPr>
          <w:lang w:val="en-US"/>
        </w:rPr>
        <w:t xml:space="preserve"> and recruitment to armed conflicts abroad</w:t>
      </w:r>
      <w:r w:rsidR="00B47DA1" w:rsidRPr="00110113">
        <w:rPr>
          <w:lang w:val="en-US"/>
        </w:rPr>
        <w:t>.</w:t>
      </w:r>
    </w:p>
    <w:p w:rsidR="00B47DA1" w:rsidRPr="00110113" w:rsidRDefault="00A11A9E" w:rsidP="00A11A9E">
      <w:pPr>
        <w:pStyle w:val="SingleTxtG"/>
        <w:rPr>
          <w:lang w:val="en-US"/>
        </w:rPr>
      </w:pPr>
      <w:r w:rsidRPr="00110113">
        <w:rPr>
          <w:lang w:val="en-US"/>
        </w:rPr>
        <w:t>41.</w:t>
      </w:r>
      <w:r w:rsidRPr="00110113">
        <w:rPr>
          <w:lang w:val="en-US"/>
        </w:rPr>
        <w:tab/>
      </w:r>
      <w:r w:rsidR="00B47DA1" w:rsidRPr="00110113">
        <w:rPr>
          <w:lang w:val="en-US"/>
        </w:rPr>
        <w:t xml:space="preserve">On </w:t>
      </w:r>
      <w:r w:rsidR="00B47DA1">
        <w:rPr>
          <w:lang w:val="en-US"/>
        </w:rPr>
        <w:t>19</w:t>
      </w:r>
      <w:r w:rsidR="00B47DA1" w:rsidRPr="00110113">
        <w:rPr>
          <w:lang w:val="en-US"/>
        </w:rPr>
        <w:t xml:space="preserve"> </w:t>
      </w:r>
      <w:r w:rsidR="00B47DA1">
        <w:rPr>
          <w:lang w:val="en-US"/>
        </w:rPr>
        <w:t xml:space="preserve">February 2015 </w:t>
      </w:r>
      <w:r w:rsidR="00B47DA1" w:rsidRPr="00110113">
        <w:rPr>
          <w:lang w:val="en-US"/>
        </w:rPr>
        <w:t>a bill regarding efforts against recruitment to armed conflicts abroad</w:t>
      </w:r>
      <w:r w:rsidR="00B47DA1">
        <w:rPr>
          <w:lang w:val="en-US"/>
        </w:rPr>
        <w:t xml:space="preserve"> was passed</w:t>
      </w:r>
      <w:r w:rsidR="00B47DA1" w:rsidRPr="00110113">
        <w:rPr>
          <w:lang w:val="en-US"/>
        </w:rPr>
        <w:t xml:space="preserve">. The bill was introduced as a follow-up to the </w:t>
      </w:r>
      <w:r w:rsidR="00B47DA1">
        <w:rPr>
          <w:lang w:val="en-US"/>
        </w:rPr>
        <w:t>above</w:t>
      </w:r>
      <w:r w:rsidR="00F763C1">
        <w:rPr>
          <w:lang w:val="en-US"/>
        </w:rPr>
        <w:t>-</w:t>
      </w:r>
      <w:r w:rsidR="00B47DA1">
        <w:rPr>
          <w:lang w:val="en-US"/>
        </w:rPr>
        <w:t xml:space="preserve">mentioned </w:t>
      </w:r>
      <w:r w:rsidR="00B47DA1" w:rsidRPr="00110113">
        <w:rPr>
          <w:lang w:val="en-US"/>
        </w:rPr>
        <w:t>action plan</w:t>
      </w:r>
      <w:r w:rsidR="00B47DA1">
        <w:rPr>
          <w:lang w:val="en-US"/>
        </w:rPr>
        <w:t xml:space="preserve">. It </w:t>
      </w:r>
      <w:r w:rsidR="00B47DA1" w:rsidRPr="00110113">
        <w:rPr>
          <w:lang w:val="en-US"/>
        </w:rPr>
        <w:t>contains two main elements: 1) measures relating to Danish nationals entailing amendments to the Act on Passports for Danish Citizens and 2) measures relating to resident aliens entailing amendments to the Alien</w:t>
      </w:r>
      <w:r w:rsidR="00B47DA1">
        <w:rPr>
          <w:lang w:val="en-US"/>
        </w:rPr>
        <w:t>s</w:t>
      </w:r>
      <w:r w:rsidR="00B47DA1" w:rsidRPr="00110113">
        <w:rPr>
          <w:lang w:val="en-US"/>
        </w:rPr>
        <w:t xml:space="preserve"> Act. </w:t>
      </w:r>
    </w:p>
    <w:p w:rsidR="00B47DA1" w:rsidRPr="00110113" w:rsidRDefault="00A11A9E" w:rsidP="00A11A9E">
      <w:pPr>
        <w:pStyle w:val="SingleTxtG"/>
        <w:rPr>
          <w:lang w:val="en-US"/>
        </w:rPr>
      </w:pPr>
      <w:r w:rsidRPr="00110113">
        <w:rPr>
          <w:lang w:val="en-US"/>
        </w:rPr>
        <w:t>42.</w:t>
      </w:r>
      <w:r w:rsidRPr="00110113">
        <w:rPr>
          <w:lang w:val="en-US"/>
        </w:rPr>
        <w:tab/>
      </w:r>
      <w:r w:rsidR="00B47DA1" w:rsidRPr="00110113">
        <w:rPr>
          <w:lang w:val="en-US"/>
        </w:rPr>
        <w:t xml:space="preserve">With the amendments to the Act on Passports for Danish Citizens, the police </w:t>
      </w:r>
      <w:r w:rsidR="00B47DA1">
        <w:rPr>
          <w:lang w:val="en-US"/>
        </w:rPr>
        <w:t>may</w:t>
      </w:r>
      <w:r w:rsidR="00B47DA1" w:rsidRPr="00110113">
        <w:rPr>
          <w:lang w:val="en-US"/>
        </w:rPr>
        <w:t xml:space="preserve"> refuse to issue a passport to a Danish national or revoke a previously issued passport for a specified period of time when there is reason to believe that the person intends to participate in activities abroad that may involve or increase a danger to national security, public order or other states</w:t>
      </w:r>
      <w:r w:rsidR="00434343">
        <w:rPr>
          <w:lang w:val="en-US"/>
        </w:rPr>
        <w:t xml:space="preserve">’ </w:t>
      </w:r>
      <w:r w:rsidR="00B47DA1" w:rsidRPr="00110113">
        <w:rPr>
          <w:lang w:val="en-US"/>
        </w:rPr>
        <w:t xml:space="preserve">security. In addition, the police </w:t>
      </w:r>
      <w:r w:rsidR="00B47DA1">
        <w:rPr>
          <w:lang w:val="en-US"/>
        </w:rPr>
        <w:t>may</w:t>
      </w:r>
      <w:r w:rsidR="00B47DA1" w:rsidRPr="00110113">
        <w:rPr>
          <w:lang w:val="en-US"/>
        </w:rPr>
        <w:t xml:space="preserve"> supplement such a decision with a travel ban for a specified period of time. </w:t>
      </w:r>
    </w:p>
    <w:p w:rsidR="00B47DA1" w:rsidRPr="008A6FF2" w:rsidRDefault="00A11A9E" w:rsidP="00A11A9E">
      <w:pPr>
        <w:pStyle w:val="SingleTxtG"/>
        <w:rPr>
          <w:lang w:val="en-US"/>
        </w:rPr>
      </w:pPr>
      <w:r w:rsidRPr="008A6FF2">
        <w:rPr>
          <w:lang w:val="en-US"/>
        </w:rPr>
        <w:t>43.</w:t>
      </w:r>
      <w:r w:rsidRPr="008A6FF2">
        <w:rPr>
          <w:lang w:val="en-US"/>
        </w:rPr>
        <w:tab/>
      </w:r>
      <w:r w:rsidR="00B47DA1" w:rsidRPr="008A6FF2">
        <w:rPr>
          <w:lang w:val="en-US"/>
        </w:rPr>
        <w:t>With the amendments to the Aliens Act, the Immigration Service may decide that an alien’s right of residence or residence permit has lapsed, if the alien is staying or has stayed outside of the country, and there is reason to believe that the alien during the stay participates or has participated in activities that may involve or increase a danger to national security, public order or other states</w:t>
      </w:r>
      <w:r w:rsidR="00434343" w:rsidRPr="008A6FF2">
        <w:rPr>
          <w:lang w:val="en-US"/>
        </w:rPr>
        <w:t>’</w:t>
      </w:r>
      <w:r w:rsidR="00B47DA1" w:rsidRPr="008A6FF2">
        <w:rPr>
          <w:lang w:val="en-US"/>
        </w:rPr>
        <w:t xml:space="preserve"> security. Exception is made for cases where Denmark’s international obligations so require.</w:t>
      </w:r>
    </w:p>
    <w:p w:rsidR="00B47DA1" w:rsidRDefault="00A11A9E" w:rsidP="00A11A9E">
      <w:pPr>
        <w:pStyle w:val="SingleTxtG"/>
        <w:rPr>
          <w:lang w:val="en-US"/>
        </w:rPr>
      </w:pPr>
      <w:r>
        <w:rPr>
          <w:lang w:val="en-US"/>
        </w:rPr>
        <w:t>44.</w:t>
      </w:r>
      <w:r>
        <w:rPr>
          <w:lang w:val="en-US"/>
        </w:rPr>
        <w:tab/>
      </w:r>
      <w:r w:rsidR="00B47DA1" w:rsidRPr="00110113">
        <w:rPr>
          <w:lang w:val="en-US"/>
        </w:rPr>
        <w:t>Following the terrorist attacks in Paris and Copenhagen</w:t>
      </w:r>
      <w:r w:rsidR="00B47DA1" w:rsidRPr="00C05216">
        <w:rPr>
          <w:lang w:val="en-US"/>
        </w:rPr>
        <w:t xml:space="preserve"> </w:t>
      </w:r>
      <w:r w:rsidR="00B47DA1">
        <w:rPr>
          <w:lang w:val="en-US"/>
        </w:rPr>
        <w:t>in January and February 2015</w:t>
      </w:r>
      <w:r w:rsidR="00B47DA1" w:rsidRPr="00110113">
        <w:rPr>
          <w:lang w:val="en-US"/>
        </w:rPr>
        <w:t xml:space="preserve">, the Government presented </w:t>
      </w:r>
      <w:r w:rsidR="00B47DA1">
        <w:rPr>
          <w:lang w:val="en-US"/>
        </w:rPr>
        <w:t xml:space="preserve">a plan with </w:t>
      </w:r>
      <w:r w:rsidR="00B47DA1" w:rsidRPr="00110113">
        <w:rPr>
          <w:lang w:val="en-US"/>
        </w:rPr>
        <w:t xml:space="preserve">12 new measures to </w:t>
      </w:r>
      <w:r w:rsidR="00B47DA1">
        <w:rPr>
          <w:lang w:val="en-US"/>
        </w:rPr>
        <w:t>further strengthen the efforts against</w:t>
      </w:r>
      <w:r w:rsidR="00B47DA1" w:rsidDel="00C05216">
        <w:rPr>
          <w:lang w:val="en-US"/>
        </w:rPr>
        <w:t xml:space="preserve"> </w:t>
      </w:r>
      <w:r w:rsidR="00B47DA1" w:rsidRPr="00110113">
        <w:rPr>
          <w:lang w:val="en-US"/>
        </w:rPr>
        <w:t>terrorism. The</w:t>
      </w:r>
      <w:r w:rsidR="00B47DA1">
        <w:rPr>
          <w:lang w:val="en-US"/>
        </w:rPr>
        <w:t xml:space="preserve"> measures </w:t>
      </w:r>
      <w:r w:rsidR="00B47DA1" w:rsidRPr="00110113">
        <w:rPr>
          <w:lang w:val="en-US"/>
        </w:rPr>
        <w:t>include improvement of the police</w:t>
      </w:r>
      <w:r w:rsidR="00434343">
        <w:rPr>
          <w:lang w:val="en-US"/>
        </w:rPr>
        <w:t>’</w:t>
      </w:r>
      <w:r w:rsidR="00B47DA1" w:rsidRPr="00110113">
        <w:rPr>
          <w:lang w:val="en-US"/>
        </w:rPr>
        <w:t>s and the Danish Security and Intelligence Service</w:t>
      </w:r>
      <w:r w:rsidR="00B47DA1">
        <w:rPr>
          <w:lang w:val="en-US"/>
        </w:rPr>
        <w:t>s</w:t>
      </w:r>
      <w:r w:rsidR="00434343">
        <w:rPr>
          <w:lang w:val="en-US"/>
        </w:rPr>
        <w:t>’</w:t>
      </w:r>
      <w:r w:rsidR="00B47DA1" w:rsidRPr="00110113">
        <w:rPr>
          <w:lang w:val="en-US"/>
        </w:rPr>
        <w:t xml:space="preserve"> </w:t>
      </w:r>
      <w:r w:rsidR="00B47DA1">
        <w:rPr>
          <w:lang w:val="en-US"/>
        </w:rPr>
        <w:t xml:space="preserve">efforts to counter terrorism and </w:t>
      </w:r>
      <w:r w:rsidR="00B47DA1" w:rsidRPr="00110113">
        <w:rPr>
          <w:lang w:val="en-US"/>
        </w:rPr>
        <w:t xml:space="preserve">contingency arrangements in case of a terrorist attack. </w:t>
      </w:r>
    </w:p>
    <w:p w:rsidR="00B47DA1" w:rsidRPr="00244387" w:rsidRDefault="00904E11" w:rsidP="00A11A9E">
      <w:pPr>
        <w:pStyle w:val="H4G"/>
        <w:rPr>
          <w:lang w:val="en-US"/>
        </w:rPr>
      </w:pPr>
      <w:r>
        <w:rPr>
          <w:lang w:val="en-US"/>
        </w:rPr>
        <w:tab/>
      </w:r>
      <w:r>
        <w:rPr>
          <w:lang w:val="en-US"/>
        </w:rPr>
        <w:tab/>
      </w:r>
      <w:r w:rsidR="00B47DA1" w:rsidRPr="00244387">
        <w:rPr>
          <w:lang w:val="en-US"/>
        </w:rPr>
        <w:t>Judicial control of police access to private and confidential information</w:t>
      </w:r>
    </w:p>
    <w:p w:rsidR="00B47DA1" w:rsidRPr="00E8611B" w:rsidRDefault="00A11A9E" w:rsidP="00A11A9E">
      <w:pPr>
        <w:pStyle w:val="SingleTxtG"/>
        <w:rPr>
          <w:lang w:val="en-US"/>
        </w:rPr>
      </w:pPr>
      <w:r w:rsidRPr="00E8611B">
        <w:rPr>
          <w:lang w:val="en-US"/>
        </w:rPr>
        <w:t>45.</w:t>
      </w:r>
      <w:r w:rsidRPr="00E8611B">
        <w:rPr>
          <w:lang w:val="en-US"/>
        </w:rPr>
        <w:tab/>
      </w:r>
      <w:r w:rsidR="00B47DA1">
        <w:rPr>
          <w:lang w:val="en-US"/>
        </w:rPr>
        <w:t>Interception of communication is</w:t>
      </w:r>
      <w:r w:rsidR="00B47DA1" w:rsidRPr="00E8611B">
        <w:rPr>
          <w:lang w:val="en-US"/>
        </w:rPr>
        <w:t xml:space="preserve"> regulated </w:t>
      </w:r>
      <w:r w:rsidR="00B47DA1">
        <w:rPr>
          <w:lang w:val="en-US"/>
        </w:rPr>
        <w:t>by</w:t>
      </w:r>
      <w:r w:rsidR="00B47DA1" w:rsidRPr="00E8611B">
        <w:rPr>
          <w:lang w:val="en-US"/>
        </w:rPr>
        <w:t xml:space="preserve"> </w:t>
      </w:r>
      <w:r w:rsidR="00B47DA1">
        <w:rPr>
          <w:lang w:val="en-US"/>
        </w:rPr>
        <w:t>Part</w:t>
      </w:r>
      <w:r w:rsidR="00B47DA1" w:rsidRPr="00E8611B">
        <w:rPr>
          <w:lang w:val="en-US"/>
        </w:rPr>
        <w:t xml:space="preserve"> 7</w:t>
      </w:r>
      <w:r w:rsidR="00B47DA1">
        <w:rPr>
          <w:lang w:val="en-US"/>
        </w:rPr>
        <w:t>1</w:t>
      </w:r>
      <w:r w:rsidR="00B47DA1" w:rsidRPr="00E8611B">
        <w:rPr>
          <w:lang w:val="en-US"/>
        </w:rPr>
        <w:t xml:space="preserve"> (sections 780-791) of the Administration of Justice Act. As described in Denmark’s fifth periodic</w:t>
      </w:r>
      <w:r w:rsidR="00B47DA1">
        <w:rPr>
          <w:lang w:val="en-US"/>
        </w:rPr>
        <w:t xml:space="preserve"> report,</w:t>
      </w:r>
      <w:r w:rsidR="00B47DA1" w:rsidRPr="00E8611B">
        <w:rPr>
          <w:lang w:val="en-US"/>
        </w:rPr>
        <w:t xml:space="preserve"> section 783(2) was introduced as part of the adoption of the second anti-terror package in 2006 (Act </w:t>
      </w:r>
      <w:r w:rsidR="00434343">
        <w:rPr>
          <w:lang w:val="en-US"/>
        </w:rPr>
        <w:t>N</w:t>
      </w:r>
      <w:r w:rsidR="00B47DA1" w:rsidRPr="00E8611B">
        <w:rPr>
          <w:lang w:val="en-US"/>
        </w:rPr>
        <w:t xml:space="preserve">o. 542 of 6 June 2006). </w:t>
      </w:r>
    </w:p>
    <w:p w:rsidR="00B47DA1" w:rsidRPr="00E8611B" w:rsidRDefault="00A11A9E" w:rsidP="00A11A9E">
      <w:pPr>
        <w:pStyle w:val="SingleTxtG"/>
        <w:rPr>
          <w:lang w:val="en-US"/>
        </w:rPr>
      </w:pPr>
      <w:r w:rsidRPr="00E8611B">
        <w:rPr>
          <w:lang w:val="en-US"/>
        </w:rPr>
        <w:t>46.</w:t>
      </w:r>
      <w:r w:rsidRPr="00E8611B">
        <w:rPr>
          <w:lang w:val="en-US"/>
        </w:rPr>
        <w:tab/>
      </w:r>
      <w:r w:rsidR="00B47DA1" w:rsidRPr="00E8611B">
        <w:rPr>
          <w:lang w:val="en-US"/>
        </w:rPr>
        <w:t xml:space="preserve">The </w:t>
      </w:r>
      <w:r w:rsidR="00B47DA1">
        <w:rPr>
          <w:lang w:val="en-US"/>
        </w:rPr>
        <w:t xml:space="preserve">mentioned </w:t>
      </w:r>
      <w:r w:rsidR="00B47DA1" w:rsidRPr="00E8611B">
        <w:rPr>
          <w:lang w:val="en-US"/>
        </w:rPr>
        <w:t xml:space="preserve">provisions set out the principal rules on interception </w:t>
      </w:r>
      <w:r w:rsidR="00B47DA1">
        <w:rPr>
          <w:lang w:val="en-US"/>
        </w:rPr>
        <w:t>of</w:t>
      </w:r>
      <w:r w:rsidR="00B47DA1" w:rsidRPr="00E8611B">
        <w:rPr>
          <w:lang w:val="en-US"/>
        </w:rPr>
        <w:t xml:space="preserve"> communication:</w:t>
      </w:r>
    </w:p>
    <w:p w:rsidR="00B47DA1" w:rsidRDefault="00A11A9E" w:rsidP="00A11A9E">
      <w:pPr>
        <w:pStyle w:val="SingleTxtG"/>
        <w:rPr>
          <w:lang w:val="en-US"/>
        </w:rPr>
      </w:pPr>
      <w:r>
        <w:rPr>
          <w:lang w:val="en-US"/>
        </w:rPr>
        <w:t>47.</w:t>
      </w:r>
      <w:r>
        <w:rPr>
          <w:lang w:val="en-US"/>
        </w:rPr>
        <w:tab/>
      </w:r>
      <w:r w:rsidR="00B47DA1" w:rsidRPr="00E8611B">
        <w:rPr>
          <w:lang w:val="en-US"/>
        </w:rPr>
        <w:t xml:space="preserve">According to section 780 of the Administration of Justice Act the police </w:t>
      </w:r>
      <w:r w:rsidR="00B47DA1">
        <w:rPr>
          <w:lang w:val="en-US"/>
        </w:rPr>
        <w:t>may</w:t>
      </w:r>
      <w:r w:rsidR="00B47DA1" w:rsidRPr="00E8611B">
        <w:rPr>
          <w:lang w:val="en-US"/>
        </w:rPr>
        <w:t xml:space="preserve"> </w:t>
      </w:r>
      <w:r w:rsidR="00B47DA1">
        <w:rPr>
          <w:lang w:val="en-US"/>
        </w:rPr>
        <w:t>breach</w:t>
      </w:r>
      <w:r w:rsidR="00B47DA1" w:rsidRPr="00E8611B">
        <w:rPr>
          <w:lang w:val="en-US"/>
        </w:rPr>
        <w:t xml:space="preserve"> the </w:t>
      </w:r>
      <w:r w:rsidR="00B47DA1">
        <w:rPr>
          <w:lang w:val="en-US"/>
        </w:rPr>
        <w:t>confidentiality</w:t>
      </w:r>
      <w:r w:rsidR="00B47DA1" w:rsidRPr="00E8611B">
        <w:rPr>
          <w:lang w:val="en-US"/>
        </w:rPr>
        <w:t xml:space="preserve"> of communication by (1) intercepting telephone conversations or other similar telecommunication (telephone interception), (2) intercepting other conversations or statements by means of a device (other interception), (3) obtaining information about which telephones or other similar communication devices are connected with a certain telephone or other communication device, even though the owner has not granted permission </w:t>
      </w:r>
      <w:r w:rsidR="00B47DA1">
        <w:rPr>
          <w:lang w:val="en-US"/>
        </w:rPr>
        <w:t>for this</w:t>
      </w:r>
      <w:r w:rsidR="00B47DA1" w:rsidRPr="00E8611B">
        <w:rPr>
          <w:lang w:val="en-US"/>
        </w:rPr>
        <w:t xml:space="preserve"> (tele-information), (4) obtaining information about which telephones or other </w:t>
      </w:r>
      <w:r w:rsidR="00B47DA1">
        <w:rPr>
          <w:lang w:val="en-US"/>
        </w:rPr>
        <w:t xml:space="preserve">similar </w:t>
      </w:r>
      <w:r w:rsidR="00B47DA1" w:rsidRPr="00E8611B">
        <w:rPr>
          <w:lang w:val="en-US"/>
        </w:rPr>
        <w:t>communication devices within a specified</w:t>
      </w:r>
      <w:r w:rsidR="00B47DA1">
        <w:rPr>
          <w:lang w:val="en-US"/>
        </w:rPr>
        <w:t xml:space="preserve"> area</w:t>
      </w:r>
      <w:r w:rsidR="00B47DA1" w:rsidRPr="00E8611B">
        <w:rPr>
          <w:lang w:val="en-US"/>
        </w:rPr>
        <w:t xml:space="preserve"> are connected with other telephones or other commu</w:t>
      </w:r>
      <w:r w:rsidR="00B47DA1">
        <w:rPr>
          <w:lang w:val="en-US"/>
        </w:rPr>
        <w:t>nication devices (extended tele-</w:t>
      </w:r>
      <w:r w:rsidR="00B47DA1" w:rsidRPr="00E8611B">
        <w:rPr>
          <w:lang w:val="en-US"/>
        </w:rPr>
        <w:t>information), (5) withholding, opening and becoming informed of the contents of letters, telegrams and other mail deliveries</w:t>
      </w:r>
      <w:r w:rsidR="00B47DA1">
        <w:rPr>
          <w:lang w:val="en-US"/>
        </w:rPr>
        <w:t xml:space="preserve"> </w:t>
      </w:r>
      <w:r w:rsidR="00B47DA1" w:rsidRPr="00E8611B">
        <w:rPr>
          <w:lang w:val="en-US"/>
        </w:rPr>
        <w:t xml:space="preserve">(letter opening), and (6) stopping the forwarding of </w:t>
      </w:r>
      <w:r w:rsidR="00B47DA1">
        <w:rPr>
          <w:lang w:val="en-US"/>
        </w:rPr>
        <w:t>mail deliveries</w:t>
      </w:r>
      <w:r w:rsidR="00B47DA1" w:rsidRPr="00E8611B">
        <w:rPr>
          <w:lang w:val="en-US"/>
        </w:rPr>
        <w:t xml:space="preserve"> as mentioned in </w:t>
      </w:r>
      <w:r w:rsidR="00434343">
        <w:rPr>
          <w:lang w:val="en-US"/>
        </w:rPr>
        <w:t>N</w:t>
      </w:r>
      <w:r w:rsidR="00B47DA1" w:rsidRPr="00E8611B">
        <w:rPr>
          <w:lang w:val="en-US"/>
        </w:rPr>
        <w:t xml:space="preserve">o. 5 (letter stopping). </w:t>
      </w:r>
    </w:p>
    <w:p w:rsidR="00B47DA1" w:rsidRDefault="00A11A9E" w:rsidP="00A11A9E">
      <w:pPr>
        <w:pStyle w:val="SingleTxtG"/>
        <w:rPr>
          <w:lang w:val="en-US"/>
        </w:rPr>
      </w:pPr>
      <w:r>
        <w:rPr>
          <w:lang w:val="en-US"/>
        </w:rPr>
        <w:t>48.</w:t>
      </w:r>
      <w:r>
        <w:rPr>
          <w:lang w:val="en-US"/>
        </w:rPr>
        <w:tab/>
      </w:r>
      <w:r w:rsidR="00B47DA1">
        <w:rPr>
          <w:lang w:val="en-US"/>
        </w:rPr>
        <w:t xml:space="preserve">Breach of the confidentiality </w:t>
      </w:r>
      <w:r w:rsidR="00B47DA1" w:rsidRPr="00E8611B">
        <w:rPr>
          <w:lang w:val="en-US"/>
        </w:rPr>
        <w:t xml:space="preserve">of communication may only be </w:t>
      </w:r>
      <w:r w:rsidR="00B47DA1">
        <w:rPr>
          <w:lang w:val="en-US"/>
        </w:rPr>
        <w:t>carried out</w:t>
      </w:r>
      <w:r w:rsidR="00B47DA1" w:rsidRPr="00E8611B">
        <w:rPr>
          <w:lang w:val="en-US"/>
        </w:rPr>
        <w:t xml:space="preserve"> if the conditions set out in section 781(1)</w:t>
      </w:r>
      <w:r w:rsidR="00B47DA1">
        <w:rPr>
          <w:lang w:val="en-US"/>
        </w:rPr>
        <w:t xml:space="preserve"> the Act </w:t>
      </w:r>
      <w:r w:rsidR="00B47DA1" w:rsidRPr="00E8611B">
        <w:rPr>
          <w:lang w:val="en-US"/>
        </w:rPr>
        <w:t xml:space="preserve">are fulfilled. </w:t>
      </w:r>
      <w:r w:rsidR="00B47DA1">
        <w:rPr>
          <w:lang w:val="en-US"/>
        </w:rPr>
        <w:t>T</w:t>
      </w:r>
      <w:r w:rsidR="00B47DA1" w:rsidRPr="00E8611B">
        <w:rPr>
          <w:lang w:val="en-US"/>
        </w:rPr>
        <w:t>here must be specific reasons to presume that messages are given or mail</w:t>
      </w:r>
      <w:r w:rsidR="00B47DA1">
        <w:rPr>
          <w:lang w:val="en-US"/>
        </w:rPr>
        <w:t>s</w:t>
      </w:r>
      <w:r w:rsidR="00B47DA1" w:rsidRPr="00E8611B">
        <w:rPr>
          <w:lang w:val="en-US"/>
        </w:rPr>
        <w:t xml:space="preserve"> </w:t>
      </w:r>
      <w:r w:rsidR="00B47DA1">
        <w:rPr>
          <w:lang w:val="en-US"/>
        </w:rPr>
        <w:t xml:space="preserve">are </w:t>
      </w:r>
      <w:r w:rsidR="00B47DA1" w:rsidRPr="00E8611B">
        <w:rPr>
          <w:lang w:val="en-US"/>
        </w:rPr>
        <w:t>delivered by the means in question to or from a suspect</w:t>
      </w:r>
      <w:r w:rsidR="00B47DA1">
        <w:rPr>
          <w:lang w:val="en-US"/>
        </w:rPr>
        <w:t>;</w:t>
      </w:r>
      <w:r w:rsidR="00B47DA1" w:rsidRPr="00E8611B">
        <w:rPr>
          <w:lang w:val="en-US"/>
        </w:rPr>
        <w:t xml:space="preserve"> the </w:t>
      </w:r>
      <w:r w:rsidR="00B47DA1">
        <w:rPr>
          <w:lang w:val="en-US"/>
        </w:rPr>
        <w:t>breach</w:t>
      </w:r>
      <w:r w:rsidR="00B47DA1" w:rsidRPr="00E8611B">
        <w:rPr>
          <w:lang w:val="en-US"/>
        </w:rPr>
        <w:t xml:space="preserve"> must be presumed to be of crucial importance to the investigation</w:t>
      </w:r>
      <w:r w:rsidR="00B47DA1">
        <w:rPr>
          <w:lang w:val="en-US"/>
        </w:rPr>
        <w:t>;</w:t>
      </w:r>
      <w:r w:rsidR="00B47DA1" w:rsidRPr="00E8611B">
        <w:rPr>
          <w:lang w:val="en-US"/>
        </w:rPr>
        <w:t xml:space="preserve"> and the investigation must concern an offence which under the law can be pu</w:t>
      </w:r>
      <w:r w:rsidR="00B47DA1">
        <w:rPr>
          <w:lang w:val="en-US"/>
        </w:rPr>
        <w:t>nished with imprisonment for 6</w:t>
      </w:r>
      <w:r w:rsidR="00B47DA1" w:rsidRPr="00E8611B">
        <w:rPr>
          <w:lang w:val="en-US"/>
        </w:rPr>
        <w:t xml:space="preserve"> years or more</w:t>
      </w:r>
      <w:r w:rsidR="00B47DA1">
        <w:rPr>
          <w:lang w:val="en-US"/>
        </w:rPr>
        <w:t>,</w:t>
      </w:r>
      <w:r w:rsidR="00B47DA1" w:rsidRPr="00E8611B">
        <w:rPr>
          <w:lang w:val="en-US"/>
        </w:rPr>
        <w:t xml:space="preserve"> or an intentional violation of certain specific provisions of the</w:t>
      </w:r>
      <w:r w:rsidR="00B47DA1">
        <w:rPr>
          <w:lang w:val="en-US"/>
        </w:rPr>
        <w:t xml:space="preserve"> </w:t>
      </w:r>
      <w:r w:rsidR="00B47DA1" w:rsidRPr="00E8611B">
        <w:rPr>
          <w:lang w:val="en-US"/>
        </w:rPr>
        <w:t xml:space="preserve">Criminal Code and the Aliens Act. </w:t>
      </w:r>
      <w:r w:rsidR="00B47DA1">
        <w:rPr>
          <w:lang w:val="en-US"/>
        </w:rPr>
        <w:t>Section 781(2)-(4) of the Act contains specific exceptions to section 781(1).</w:t>
      </w:r>
      <w:r w:rsidR="00B47DA1" w:rsidRPr="00E8611B">
        <w:rPr>
          <w:lang w:val="en-US"/>
        </w:rPr>
        <w:t xml:space="preserve"> Section 781(5)</w:t>
      </w:r>
      <w:r w:rsidR="00B47DA1">
        <w:rPr>
          <w:lang w:val="en-US"/>
        </w:rPr>
        <w:t xml:space="preserve"> of the Act</w:t>
      </w:r>
      <w:r w:rsidR="00B47DA1" w:rsidRPr="00E8611B">
        <w:rPr>
          <w:lang w:val="en-US"/>
        </w:rPr>
        <w:t xml:space="preserve"> provides that other interception and extended tele-information may only be conducted when the suspicion concerns an offence which has caused or wh</w:t>
      </w:r>
      <w:r w:rsidR="00B47DA1">
        <w:rPr>
          <w:lang w:val="en-US"/>
        </w:rPr>
        <w:t>ich can</w:t>
      </w:r>
      <w:r w:rsidR="00B47DA1" w:rsidRPr="00E8611B">
        <w:rPr>
          <w:lang w:val="en-US"/>
        </w:rPr>
        <w:t xml:space="preserve"> endanger human life or welfare or significant value</w:t>
      </w:r>
      <w:r w:rsidR="00B47DA1">
        <w:rPr>
          <w:lang w:val="en-US"/>
        </w:rPr>
        <w:t>s</w:t>
      </w:r>
      <w:r w:rsidR="00B47DA1" w:rsidRPr="00E8611B">
        <w:rPr>
          <w:lang w:val="en-US"/>
        </w:rPr>
        <w:t xml:space="preserve"> of society. Extended tele-information may </w:t>
      </w:r>
      <w:r w:rsidR="00B47DA1">
        <w:rPr>
          <w:lang w:val="en-US"/>
        </w:rPr>
        <w:t>be obtained</w:t>
      </w:r>
      <w:r w:rsidR="00B47DA1" w:rsidRPr="00E8611B">
        <w:rPr>
          <w:lang w:val="en-US"/>
        </w:rPr>
        <w:t xml:space="preserve"> even if there are no specific reasons to presume that messages are given by </w:t>
      </w:r>
      <w:r w:rsidR="00B47DA1">
        <w:rPr>
          <w:lang w:val="en-US"/>
        </w:rPr>
        <w:t xml:space="preserve">telephone or other similar communication devices </w:t>
      </w:r>
      <w:r w:rsidR="00B47DA1" w:rsidRPr="00E8611B">
        <w:rPr>
          <w:lang w:val="en-US"/>
        </w:rPr>
        <w:t>to or from a suspect.</w:t>
      </w:r>
    </w:p>
    <w:p w:rsidR="00B47DA1" w:rsidRDefault="00A11A9E" w:rsidP="00A11A9E">
      <w:pPr>
        <w:pStyle w:val="SingleTxtG"/>
        <w:rPr>
          <w:lang w:val="en-US"/>
        </w:rPr>
      </w:pPr>
      <w:r>
        <w:rPr>
          <w:lang w:val="en-US"/>
        </w:rPr>
        <w:t>49.</w:t>
      </w:r>
      <w:r>
        <w:rPr>
          <w:lang w:val="en-US"/>
        </w:rPr>
        <w:tab/>
      </w:r>
      <w:r w:rsidR="00B47DA1">
        <w:rPr>
          <w:lang w:val="en-US"/>
        </w:rPr>
        <w:t xml:space="preserve">Confidentiality of communication may not be breached if the measure would be </w:t>
      </w:r>
      <w:r w:rsidR="00B47DA1" w:rsidRPr="00A400D9">
        <w:rPr>
          <w:lang w:val="en-US"/>
        </w:rPr>
        <w:t>disproportional</w:t>
      </w:r>
      <w:r w:rsidR="00B47DA1">
        <w:rPr>
          <w:lang w:val="en-US"/>
        </w:rPr>
        <w:t xml:space="preserve"> to the intended purpose, the significance of the case and the infringement and inconvenience which the measure can be presumed to cause the concerned person or persons. Furthermore, telephone interception, other interception, letter opening and letter stopping cannot be carried out with regard to the relations of the suspect with persons, who, pursuant to the rules of section 170 of the Act, are excluded from giving testimony as witnesses (e.g. a </w:t>
      </w:r>
      <w:r w:rsidR="00B47DA1" w:rsidRPr="00706D55">
        <w:rPr>
          <w:lang w:val="en-US"/>
        </w:rPr>
        <w:t>defen</w:t>
      </w:r>
      <w:r w:rsidR="00F763C1" w:rsidRPr="00706D55">
        <w:rPr>
          <w:lang w:val="en-US"/>
        </w:rPr>
        <w:t>c</w:t>
      </w:r>
      <w:r w:rsidR="00B47DA1" w:rsidRPr="00706D55">
        <w:rPr>
          <w:lang w:val="en-US"/>
        </w:rPr>
        <w:t>e</w:t>
      </w:r>
      <w:r w:rsidR="00B47DA1">
        <w:rPr>
          <w:lang w:val="en-US"/>
        </w:rPr>
        <w:t xml:space="preserve"> counsel).</w:t>
      </w:r>
    </w:p>
    <w:p w:rsidR="00B47DA1" w:rsidRDefault="00A11A9E" w:rsidP="00A11A9E">
      <w:pPr>
        <w:pStyle w:val="SingleTxtG"/>
        <w:rPr>
          <w:lang w:val="en-US"/>
        </w:rPr>
      </w:pPr>
      <w:r>
        <w:rPr>
          <w:lang w:val="en-US"/>
        </w:rPr>
        <w:t>50.</w:t>
      </w:r>
      <w:r>
        <w:rPr>
          <w:lang w:val="en-US"/>
        </w:rPr>
        <w:tab/>
      </w:r>
      <w:r w:rsidR="00B47DA1" w:rsidRPr="00E8611B">
        <w:rPr>
          <w:lang w:val="en-US"/>
        </w:rPr>
        <w:t>According to section 783(1)</w:t>
      </w:r>
      <w:r w:rsidR="00B47DA1">
        <w:rPr>
          <w:lang w:val="en-US"/>
        </w:rPr>
        <w:t xml:space="preserve"> of the Administration of Justice Act</w:t>
      </w:r>
      <w:r w:rsidR="00B47DA1" w:rsidRPr="00E8611B">
        <w:rPr>
          <w:lang w:val="en-US"/>
        </w:rPr>
        <w:t xml:space="preserve">, </w:t>
      </w:r>
      <w:r w:rsidR="00B47DA1">
        <w:rPr>
          <w:lang w:val="en-US"/>
        </w:rPr>
        <w:t>breach of confidentiality requires</w:t>
      </w:r>
      <w:r w:rsidR="00B47DA1" w:rsidRPr="00E8611B">
        <w:rPr>
          <w:lang w:val="en-US"/>
        </w:rPr>
        <w:t xml:space="preserve"> </w:t>
      </w:r>
      <w:r w:rsidR="00B47DA1">
        <w:rPr>
          <w:lang w:val="en-US"/>
        </w:rPr>
        <w:t xml:space="preserve">a </w:t>
      </w:r>
      <w:r w:rsidR="00B47DA1" w:rsidRPr="00E8611B">
        <w:rPr>
          <w:lang w:val="en-US"/>
        </w:rPr>
        <w:t>court</w:t>
      </w:r>
      <w:r w:rsidR="00B47DA1">
        <w:rPr>
          <w:lang w:val="en-US"/>
        </w:rPr>
        <w:t xml:space="preserve"> order</w:t>
      </w:r>
      <w:r w:rsidR="00B47DA1" w:rsidRPr="00E8611B">
        <w:rPr>
          <w:lang w:val="en-US"/>
        </w:rPr>
        <w:t xml:space="preserve">. The court order shall state </w:t>
      </w:r>
      <w:r w:rsidR="00B47DA1">
        <w:rPr>
          <w:lang w:val="en-US"/>
        </w:rPr>
        <w:t xml:space="preserve">the </w:t>
      </w:r>
      <w:r w:rsidR="00B47DA1" w:rsidRPr="00E8611B">
        <w:rPr>
          <w:lang w:val="en-US"/>
        </w:rPr>
        <w:t>telephone numbers, locations, addresses or mai</w:t>
      </w:r>
      <w:r w:rsidR="00B47DA1">
        <w:rPr>
          <w:lang w:val="en-US"/>
        </w:rPr>
        <w:t>l deliveries which the measure</w:t>
      </w:r>
      <w:r w:rsidR="00B47DA1" w:rsidRPr="00E8611B">
        <w:rPr>
          <w:lang w:val="en-US"/>
        </w:rPr>
        <w:t xml:space="preserve"> concerns, and the specific circumstances upon which it is based that the conditions for the measure are fulfilled. The court order can</w:t>
      </w:r>
      <w:r w:rsidR="00B47DA1">
        <w:rPr>
          <w:lang w:val="en-US"/>
        </w:rPr>
        <w:t xml:space="preserve"> at</w:t>
      </w:r>
      <w:r w:rsidR="00B47DA1" w:rsidRPr="00E8611B">
        <w:rPr>
          <w:lang w:val="en-US"/>
        </w:rPr>
        <w:t xml:space="preserve"> any time be reversed. F</w:t>
      </w:r>
      <w:r w:rsidR="00B47DA1">
        <w:rPr>
          <w:lang w:val="en-US"/>
        </w:rPr>
        <w:t>urthermore, the court order lay</w:t>
      </w:r>
      <w:r w:rsidR="00F763C1">
        <w:rPr>
          <w:lang w:val="en-US"/>
        </w:rPr>
        <w:t>s</w:t>
      </w:r>
      <w:r w:rsidR="00B47DA1" w:rsidRPr="00E8611B">
        <w:rPr>
          <w:lang w:val="en-US"/>
        </w:rPr>
        <w:t xml:space="preserve"> down the period of time</w:t>
      </w:r>
      <w:r w:rsidR="00B47DA1">
        <w:rPr>
          <w:lang w:val="en-US"/>
        </w:rPr>
        <w:t>,</w:t>
      </w:r>
      <w:r w:rsidR="00B47DA1" w:rsidRPr="00E8611B">
        <w:rPr>
          <w:lang w:val="en-US"/>
        </w:rPr>
        <w:t xml:space="preserve"> which shall be as short as possible and </w:t>
      </w:r>
      <w:r w:rsidR="00B47DA1">
        <w:rPr>
          <w:lang w:val="en-US"/>
        </w:rPr>
        <w:t>which cannot</w:t>
      </w:r>
      <w:r w:rsidR="00B47DA1" w:rsidRPr="00E8611B">
        <w:rPr>
          <w:lang w:val="en-US"/>
        </w:rPr>
        <w:t xml:space="preserve"> exceed four weeks – within which the measure can be implemented</w:t>
      </w:r>
      <w:r w:rsidR="00B47DA1">
        <w:rPr>
          <w:lang w:val="en-US"/>
        </w:rPr>
        <w:t>.</w:t>
      </w:r>
      <w:r w:rsidR="00B47DA1" w:rsidRPr="00E8611B">
        <w:rPr>
          <w:lang w:val="en-US"/>
        </w:rPr>
        <w:t xml:space="preserve"> </w:t>
      </w:r>
      <w:r w:rsidR="00B47DA1">
        <w:rPr>
          <w:lang w:val="en-US"/>
        </w:rPr>
        <w:t>T</w:t>
      </w:r>
      <w:r w:rsidR="00B47DA1" w:rsidRPr="00E8611B">
        <w:rPr>
          <w:lang w:val="en-US"/>
        </w:rPr>
        <w:t xml:space="preserve">he time period can be extended </w:t>
      </w:r>
      <w:r w:rsidR="00B47DA1">
        <w:rPr>
          <w:lang w:val="en-US"/>
        </w:rPr>
        <w:t xml:space="preserve">by a court order, </w:t>
      </w:r>
      <w:r w:rsidR="00B47DA1" w:rsidRPr="00E8611B">
        <w:rPr>
          <w:lang w:val="en-US"/>
        </w:rPr>
        <w:t xml:space="preserve">but at the most by four weeks at a time. </w:t>
      </w:r>
    </w:p>
    <w:p w:rsidR="00B47DA1" w:rsidRDefault="00A11A9E" w:rsidP="00A11A9E">
      <w:pPr>
        <w:pStyle w:val="SingleTxtG"/>
        <w:rPr>
          <w:lang w:val="en-US"/>
        </w:rPr>
      </w:pPr>
      <w:r>
        <w:rPr>
          <w:lang w:val="en-US"/>
        </w:rPr>
        <w:t>51.</w:t>
      </w:r>
      <w:r>
        <w:rPr>
          <w:lang w:val="en-US"/>
        </w:rPr>
        <w:tab/>
      </w:r>
      <w:r w:rsidR="00B47DA1" w:rsidRPr="00E8611B">
        <w:rPr>
          <w:lang w:val="en-US"/>
        </w:rPr>
        <w:t xml:space="preserve">Section 783(4) </w:t>
      </w:r>
      <w:r w:rsidR="00B47DA1">
        <w:rPr>
          <w:lang w:val="en-US"/>
        </w:rPr>
        <w:t xml:space="preserve">of the Administration of Justice Act </w:t>
      </w:r>
      <w:r w:rsidR="00B47DA1" w:rsidRPr="00E8611B">
        <w:rPr>
          <w:lang w:val="en-US"/>
        </w:rPr>
        <w:t xml:space="preserve">contains a special </w:t>
      </w:r>
      <w:r w:rsidR="00B47DA1" w:rsidRPr="00E8611B">
        <w:rPr>
          <w:i/>
          <w:lang w:val="en-US"/>
        </w:rPr>
        <w:t>perriculum in mora</w:t>
      </w:r>
      <w:r w:rsidR="00B47DA1" w:rsidRPr="00E8611B">
        <w:rPr>
          <w:lang w:val="en-US"/>
        </w:rPr>
        <w:t xml:space="preserve"> rule that allows the police to </w:t>
      </w:r>
      <w:r w:rsidR="00B47DA1">
        <w:rPr>
          <w:lang w:val="en-US"/>
        </w:rPr>
        <w:t>decide to</w:t>
      </w:r>
      <w:r w:rsidR="00B47DA1" w:rsidRPr="00E8611B">
        <w:rPr>
          <w:lang w:val="en-US"/>
        </w:rPr>
        <w:t xml:space="preserve"> implement </w:t>
      </w:r>
      <w:r w:rsidR="00B47DA1">
        <w:rPr>
          <w:lang w:val="en-US"/>
        </w:rPr>
        <w:t>a</w:t>
      </w:r>
      <w:r w:rsidR="00B47DA1" w:rsidRPr="00E8611B">
        <w:rPr>
          <w:lang w:val="en-US"/>
        </w:rPr>
        <w:t xml:space="preserve"> measure, if the purpose of</w:t>
      </w:r>
      <w:r w:rsidR="00B47DA1">
        <w:rPr>
          <w:lang w:val="en-US"/>
        </w:rPr>
        <w:t xml:space="preserve"> the</w:t>
      </w:r>
      <w:r w:rsidR="00B47DA1" w:rsidRPr="00E8611B">
        <w:rPr>
          <w:lang w:val="en-US"/>
        </w:rPr>
        <w:t xml:space="preserve"> measure would be forfeited if a court order was to be awaited. In that case the police shall </w:t>
      </w:r>
      <w:r w:rsidR="00B47DA1">
        <w:rPr>
          <w:lang w:val="en-US"/>
        </w:rPr>
        <w:t xml:space="preserve">submit the case to court </w:t>
      </w:r>
      <w:r w:rsidR="00B47DA1" w:rsidRPr="00E8611B">
        <w:rPr>
          <w:lang w:val="en-US"/>
        </w:rPr>
        <w:t>as soon as possible and within 24 hours from the initiation of the measure</w:t>
      </w:r>
      <w:r w:rsidR="00B47DA1">
        <w:rPr>
          <w:lang w:val="en-US"/>
        </w:rPr>
        <w:t>.</w:t>
      </w:r>
      <w:r w:rsidR="00B47DA1" w:rsidRPr="00E8611B">
        <w:rPr>
          <w:lang w:val="en-US"/>
        </w:rPr>
        <w:t xml:space="preserve"> The court decides if the measure can be approved as well as whether it can be upheld and if so for which period of time. If, in</w:t>
      </w:r>
      <w:r w:rsidR="00B47DA1">
        <w:rPr>
          <w:lang w:val="en-US"/>
        </w:rPr>
        <w:t xml:space="preserve"> the</w:t>
      </w:r>
      <w:r w:rsidR="00B47DA1" w:rsidRPr="00E8611B">
        <w:rPr>
          <w:lang w:val="en-US"/>
        </w:rPr>
        <w:t xml:space="preserve"> opinion of the court, the measure should not have been implemented, the court shall give notice </w:t>
      </w:r>
      <w:r w:rsidR="00B47DA1">
        <w:rPr>
          <w:lang w:val="en-US"/>
        </w:rPr>
        <w:t xml:space="preserve">thereof </w:t>
      </w:r>
      <w:r w:rsidR="00B47DA1" w:rsidRPr="00E8611B">
        <w:rPr>
          <w:lang w:val="en-US"/>
        </w:rPr>
        <w:t>to the Ministry of Justice</w:t>
      </w:r>
      <w:r w:rsidR="00B47DA1">
        <w:rPr>
          <w:lang w:val="en-US"/>
        </w:rPr>
        <w:t xml:space="preserve"> (</w:t>
      </w:r>
      <w:r w:rsidR="00B47DA1">
        <w:rPr>
          <w:i/>
          <w:lang w:val="en-US"/>
        </w:rPr>
        <w:t>Justitsministeriet</w:t>
      </w:r>
      <w:r w:rsidR="00B47DA1" w:rsidRPr="00A11A9E">
        <w:rPr>
          <w:iCs/>
          <w:lang w:val="en-US"/>
        </w:rPr>
        <w:t>).</w:t>
      </w:r>
    </w:p>
    <w:p w:rsidR="00B47DA1" w:rsidRDefault="00A11A9E" w:rsidP="00A11A9E">
      <w:pPr>
        <w:pStyle w:val="SingleTxtG"/>
        <w:rPr>
          <w:lang w:val="en-US"/>
        </w:rPr>
      </w:pPr>
      <w:r>
        <w:rPr>
          <w:lang w:val="en-US"/>
        </w:rPr>
        <w:t>52.</w:t>
      </w:r>
      <w:r>
        <w:rPr>
          <w:lang w:val="en-US"/>
        </w:rPr>
        <w:tab/>
      </w:r>
      <w:r w:rsidR="00B47DA1" w:rsidRPr="00E8611B">
        <w:rPr>
          <w:lang w:val="en-US"/>
        </w:rPr>
        <w:t>As mentioned</w:t>
      </w:r>
      <w:r w:rsidR="00B47DA1">
        <w:rPr>
          <w:lang w:val="en-US"/>
        </w:rPr>
        <w:t xml:space="preserve"> above</w:t>
      </w:r>
      <w:r w:rsidR="00B47DA1" w:rsidRPr="00E8611B">
        <w:rPr>
          <w:lang w:val="en-US"/>
        </w:rPr>
        <w:t xml:space="preserve">, </w:t>
      </w:r>
      <w:r w:rsidR="00B47DA1">
        <w:rPr>
          <w:lang w:val="en-US"/>
        </w:rPr>
        <w:t>s</w:t>
      </w:r>
      <w:r w:rsidR="00B47DA1" w:rsidRPr="00E8611B">
        <w:rPr>
          <w:lang w:val="en-US"/>
        </w:rPr>
        <w:t>ection 783(2)</w:t>
      </w:r>
      <w:r w:rsidR="00B47DA1">
        <w:rPr>
          <w:lang w:val="en-US"/>
        </w:rPr>
        <w:t xml:space="preserve"> of the Administration of Justice Act</w:t>
      </w:r>
      <w:r w:rsidR="00B47DA1" w:rsidRPr="00E8611B">
        <w:rPr>
          <w:lang w:val="en-US"/>
        </w:rPr>
        <w:t xml:space="preserve"> was introduced in 2006, allowing the police to obtain a court order on telephone interception or tele-information that follows a person rather than the particular means of communication if the investigation concerns specific violations (e.g. terrorism) of the</w:t>
      </w:r>
      <w:r w:rsidR="00B47DA1">
        <w:rPr>
          <w:lang w:val="en-US"/>
        </w:rPr>
        <w:t xml:space="preserve"> </w:t>
      </w:r>
      <w:r w:rsidR="00B47DA1" w:rsidRPr="00E8611B">
        <w:rPr>
          <w:lang w:val="en-US"/>
        </w:rPr>
        <w:t>Criminal Code. The police shall as soon as possible after the termination of</w:t>
      </w:r>
      <w:r w:rsidR="00B47DA1">
        <w:rPr>
          <w:lang w:val="en-US"/>
        </w:rPr>
        <w:t xml:space="preserve"> the</w:t>
      </w:r>
      <w:r w:rsidR="00B47DA1" w:rsidRPr="00E8611B">
        <w:rPr>
          <w:lang w:val="en-US"/>
        </w:rPr>
        <w:t xml:space="preserve"> time period in which the measure has been implemented inform the court of the </w:t>
      </w:r>
      <w:r w:rsidR="00B47DA1">
        <w:rPr>
          <w:lang w:val="en-US"/>
        </w:rPr>
        <w:t xml:space="preserve">intercepted </w:t>
      </w:r>
      <w:r w:rsidR="00B47DA1" w:rsidRPr="00E8611B">
        <w:rPr>
          <w:lang w:val="en-US"/>
        </w:rPr>
        <w:t xml:space="preserve">telephone numbers </w:t>
      </w:r>
      <w:r w:rsidR="00B47DA1">
        <w:rPr>
          <w:lang w:val="en-US"/>
        </w:rPr>
        <w:t>not mentioned in the court order</w:t>
      </w:r>
      <w:r w:rsidR="00B47DA1" w:rsidRPr="00E8611B">
        <w:rPr>
          <w:lang w:val="en-US"/>
        </w:rPr>
        <w:t xml:space="preserve">. </w:t>
      </w:r>
      <w:r w:rsidR="00B47DA1">
        <w:rPr>
          <w:lang w:val="en-US"/>
        </w:rPr>
        <w:t xml:space="preserve">If warranted by specific circumstances, this information must be presented to the court within 24 hours after the implementation of the measure. </w:t>
      </w:r>
      <w:r w:rsidR="00B47DA1" w:rsidRPr="00E8611B">
        <w:rPr>
          <w:lang w:val="en-US"/>
        </w:rPr>
        <w:t xml:space="preserve">This information shall state the specific circumstances upon which it is based, that messages are given by the means in question to or from a suspect. The attorney appointed </w:t>
      </w:r>
      <w:r w:rsidR="00B47DA1">
        <w:rPr>
          <w:lang w:val="en-US"/>
        </w:rPr>
        <w:t xml:space="preserve">(see below) </w:t>
      </w:r>
      <w:r w:rsidR="00B47DA1" w:rsidRPr="00E8611B">
        <w:rPr>
          <w:lang w:val="en-US"/>
        </w:rPr>
        <w:t>to the person whom the measure concerns shall be informed</w:t>
      </w:r>
      <w:r w:rsidR="00B47DA1">
        <w:rPr>
          <w:lang w:val="en-US"/>
        </w:rPr>
        <w:t xml:space="preserve"> of the measure</w:t>
      </w:r>
      <w:r w:rsidR="00B47DA1" w:rsidRPr="00E8611B">
        <w:rPr>
          <w:lang w:val="en-US"/>
        </w:rPr>
        <w:t xml:space="preserve"> and </w:t>
      </w:r>
      <w:r w:rsidR="00B47DA1">
        <w:rPr>
          <w:lang w:val="en-US"/>
        </w:rPr>
        <w:t>can</w:t>
      </w:r>
      <w:r w:rsidR="00B47DA1" w:rsidRPr="00E8611B">
        <w:rPr>
          <w:lang w:val="en-US"/>
        </w:rPr>
        <w:t xml:space="preserve"> request the court to decide in the form of an order if the measure was legal. If, in </w:t>
      </w:r>
      <w:r w:rsidR="00B47DA1">
        <w:rPr>
          <w:lang w:val="en-US"/>
        </w:rPr>
        <w:t xml:space="preserve">the </w:t>
      </w:r>
      <w:r w:rsidR="00B47DA1" w:rsidRPr="00E8611B">
        <w:rPr>
          <w:lang w:val="en-US"/>
        </w:rPr>
        <w:t xml:space="preserve">opinion of the court, the measure should not have been implemented, the court shall give notice </w:t>
      </w:r>
      <w:r w:rsidR="00B47DA1">
        <w:rPr>
          <w:lang w:val="en-US"/>
        </w:rPr>
        <w:t>thereof</w:t>
      </w:r>
      <w:r w:rsidR="00B47DA1" w:rsidRPr="00E8611B">
        <w:rPr>
          <w:lang w:val="en-US"/>
        </w:rPr>
        <w:t xml:space="preserve"> to the Ministry of Justice.</w:t>
      </w:r>
    </w:p>
    <w:p w:rsidR="00B47DA1" w:rsidRDefault="00A11A9E" w:rsidP="00A11A9E">
      <w:pPr>
        <w:pStyle w:val="SingleTxtG"/>
        <w:rPr>
          <w:lang w:val="en-US"/>
        </w:rPr>
      </w:pPr>
      <w:r>
        <w:rPr>
          <w:lang w:val="en-US"/>
        </w:rPr>
        <w:t>53.</w:t>
      </w:r>
      <w:r>
        <w:rPr>
          <w:lang w:val="en-US"/>
        </w:rPr>
        <w:tab/>
      </w:r>
      <w:r w:rsidR="00B47DA1" w:rsidRPr="00E8611B">
        <w:rPr>
          <w:lang w:val="en-US"/>
        </w:rPr>
        <w:t>Before the court makes a decision according to section 783</w:t>
      </w:r>
      <w:r w:rsidR="00B47DA1">
        <w:rPr>
          <w:lang w:val="en-US"/>
        </w:rPr>
        <w:t xml:space="preserve"> of the Administration of Justice Act</w:t>
      </w:r>
      <w:r w:rsidR="00B47DA1" w:rsidRPr="00E8611B">
        <w:rPr>
          <w:lang w:val="en-US"/>
        </w:rPr>
        <w:t xml:space="preserve">, an attorney shall be appointed to the person whom the measure concerns and the attorney shall have the opportunity to make a statement. If the investigation concerns a violation of </w:t>
      </w:r>
      <w:r w:rsidR="00B47DA1">
        <w:rPr>
          <w:lang w:val="en-US"/>
        </w:rPr>
        <w:t>Part</w:t>
      </w:r>
      <w:r w:rsidR="00B47DA1" w:rsidRPr="00E8611B">
        <w:rPr>
          <w:lang w:val="en-US"/>
        </w:rPr>
        <w:t xml:space="preserve"> 12 or 13 (e.g. terrorism) of the</w:t>
      </w:r>
      <w:r w:rsidR="00B47DA1">
        <w:rPr>
          <w:lang w:val="en-US"/>
        </w:rPr>
        <w:t xml:space="preserve"> </w:t>
      </w:r>
      <w:r w:rsidR="00B47DA1" w:rsidRPr="00E8611B">
        <w:rPr>
          <w:lang w:val="en-US"/>
        </w:rPr>
        <w:t>Criminal Code, the attorney is appointed from among a special group of attorney</w:t>
      </w:r>
      <w:r w:rsidR="00B47DA1">
        <w:rPr>
          <w:lang w:val="en-US"/>
        </w:rPr>
        <w:t>s</w:t>
      </w:r>
      <w:r w:rsidR="00B47DA1" w:rsidRPr="00E8611B">
        <w:rPr>
          <w:lang w:val="en-US"/>
        </w:rPr>
        <w:t xml:space="preserve">. </w:t>
      </w:r>
      <w:r w:rsidR="00B47DA1">
        <w:rPr>
          <w:lang w:val="en-US"/>
        </w:rPr>
        <w:t xml:space="preserve">The attorney </w:t>
      </w:r>
      <w:r w:rsidR="00B47DA1" w:rsidRPr="00E8611B">
        <w:rPr>
          <w:lang w:val="en-US"/>
        </w:rPr>
        <w:t>shall be notified of all court meetings in the case and is entitled to attend these as well as to be informed of the material obtained by the police. The attorney is further entitled to receive a copy of the material. If the police find that the material is of a particular</w:t>
      </w:r>
      <w:r w:rsidR="004E4425">
        <w:rPr>
          <w:lang w:val="en-US"/>
        </w:rPr>
        <w:t>ly</w:t>
      </w:r>
      <w:r w:rsidR="00B47DA1" w:rsidRPr="00E8611B">
        <w:rPr>
          <w:lang w:val="en-US"/>
        </w:rPr>
        <w:t xml:space="preserve"> confident</w:t>
      </w:r>
      <w:r w:rsidR="00B47DA1">
        <w:rPr>
          <w:lang w:val="en-US"/>
        </w:rPr>
        <w:t>ial</w:t>
      </w:r>
      <w:r w:rsidR="00B47DA1" w:rsidRPr="00E8611B">
        <w:rPr>
          <w:lang w:val="en-US"/>
        </w:rPr>
        <w:t xml:space="preserve"> nature, and that a copy </w:t>
      </w:r>
      <w:r w:rsidR="00B47DA1">
        <w:rPr>
          <w:lang w:val="en-US"/>
        </w:rPr>
        <w:t>of the material</w:t>
      </w:r>
      <w:r w:rsidR="00B47DA1" w:rsidRPr="00E8611B">
        <w:rPr>
          <w:lang w:val="en-US"/>
        </w:rPr>
        <w:t xml:space="preserve"> should not be </w:t>
      </w:r>
      <w:r w:rsidR="00B47DA1">
        <w:rPr>
          <w:lang w:val="en-US"/>
        </w:rPr>
        <w:t>provided to the attorney</w:t>
      </w:r>
      <w:r w:rsidR="00B47DA1" w:rsidRPr="00E8611B">
        <w:rPr>
          <w:lang w:val="en-US"/>
        </w:rPr>
        <w:t xml:space="preserve">, the police shall, upon request from the attorney, submit this </w:t>
      </w:r>
      <w:r w:rsidR="00B47DA1">
        <w:rPr>
          <w:lang w:val="en-US"/>
        </w:rPr>
        <w:t>matter</w:t>
      </w:r>
      <w:r w:rsidR="00B47DA1" w:rsidRPr="00E8611B">
        <w:rPr>
          <w:lang w:val="en-US"/>
        </w:rPr>
        <w:t xml:space="preserve"> to the court for decision.</w:t>
      </w:r>
    </w:p>
    <w:p w:rsidR="00B47DA1" w:rsidRDefault="00A11A9E" w:rsidP="00A11A9E">
      <w:pPr>
        <w:pStyle w:val="SingleTxtG"/>
        <w:rPr>
          <w:lang w:val="en-US"/>
        </w:rPr>
      </w:pPr>
      <w:r>
        <w:rPr>
          <w:lang w:val="en-US"/>
        </w:rPr>
        <w:t>54.</w:t>
      </w:r>
      <w:r>
        <w:rPr>
          <w:lang w:val="en-US"/>
        </w:rPr>
        <w:tab/>
      </w:r>
      <w:r w:rsidR="00B47DA1" w:rsidRPr="005D6496">
        <w:rPr>
          <w:lang w:val="en-US"/>
        </w:rPr>
        <w:t xml:space="preserve">Section 788 of the Administration of Justice Act regulates the obligation to notify the concerned persons after the measure has taken place. </w:t>
      </w:r>
      <w:r w:rsidR="00B47DA1">
        <w:rPr>
          <w:lang w:val="en-US"/>
        </w:rPr>
        <w:t>As a main rule, d</w:t>
      </w:r>
      <w:r w:rsidR="00B47DA1" w:rsidRPr="005D6496">
        <w:rPr>
          <w:lang w:val="en-US"/>
        </w:rPr>
        <w:t>epending on the type of interception</w:t>
      </w:r>
      <w:r w:rsidR="00B47DA1">
        <w:rPr>
          <w:lang w:val="en-US"/>
        </w:rPr>
        <w:t xml:space="preserve">, </w:t>
      </w:r>
      <w:r w:rsidR="00B47DA1" w:rsidRPr="005D6496">
        <w:rPr>
          <w:lang w:val="en-US"/>
        </w:rPr>
        <w:t xml:space="preserve">the owner of the telephone, the person who has possession of the place or the room where the conversation took place or the statement was made, or the sender or the recipient of mail delivery is informed. </w:t>
      </w:r>
    </w:p>
    <w:p w:rsidR="00B47DA1" w:rsidRPr="008F793B" w:rsidRDefault="00A11A9E" w:rsidP="00A11A9E">
      <w:pPr>
        <w:pStyle w:val="SingleTxtG"/>
        <w:rPr>
          <w:lang w:val="en-US"/>
        </w:rPr>
      </w:pPr>
      <w:r w:rsidRPr="008F793B">
        <w:rPr>
          <w:lang w:val="en-US"/>
        </w:rPr>
        <w:t>55.</w:t>
      </w:r>
      <w:r w:rsidRPr="008F793B">
        <w:rPr>
          <w:lang w:val="en-US"/>
        </w:rPr>
        <w:tab/>
      </w:r>
      <w:r w:rsidR="00B47DA1" w:rsidRPr="008F793B">
        <w:rPr>
          <w:lang w:val="en-US"/>
        </w:rPr>
        <w:t xml:space="preserve">If, in connection with telephone interception or other interception or letter opening, an invasion has occurred in the communication between a suspect and a person, e.g. a defense counsel, who is excluded from testifying as </w:t>
      </w:r>
      <w:r w:rsidR="004E4425" w:rsidRPr="008F793B">
        <w:rPr>
          <w:lang w:val="en-US"/>
        </w:rPr>
        <w:t xml:space="preserve">a </w:t>
      </w:r>
      <w:r w:rsidR="00B47DA1" w:rsidRPr="008F793B">
        <w:rPr>
          <w:lang w:val="en-US"/>
        </w:rPr>
        <w:t>witness, material from such invasion shall be destroyed immediately. However, this does not apply if the material causes charges for a criminal offence to be brought against the person concerned or causes the defense counsel to be removed from his assignment.</w:t>
      </w:r>
    </w:p>
    <w:p w:rsidR="00B47DA1" w:rsidRPr="00A11A9E" w:rsidRDefault="00904E11" w:rsidP="00A11A9E">
      <w:pPr>
        <w:pStyle w:val="H4G"/>
      </w:pPr>
      <w:r>
        <w:rPr>
          <w:lang w:val="en-US"/>
        </w:rPr>
        <w:tab/>
      </w:r>
      <w:r>
        <w:rPr>
          <w:lang w:val="en-US"/>
        </w:rPr>
        <w:tab/>
      </w:r>
      <w:r w:rsidR="00B47DA1" w:rsidRPr="00244387">
        <w:rPr>
          <w:lang w:val="en-US"/>
        </w:rPr>
        <w:t xml:space="preserve">Proceedings of deportations and expulsions of aliens on national security grounds </w:t>
      </w:r>
    </w:p>
    <w:p w:rsidR="00B47DA1" w:rsidRDefault="00A11A9E" w:rsidP="00A11A9E">
      <w:pPr>
        <w:pStyle w:val="SingleTxtG"/>
        <w:rPr>
          <w:lang w:val="en-US"/>
        </w:rPr>
      </w:pPr>
      <w:r>
        <w:rPr>
          <w:lang w:val="en-US"/>
        </w:rPr>
        <w:t>56.</w:t>
      </w:r>
      <w:r>
        <w:rPr>
          <w:lang w:val="en-US"/>
        </w:rPr>
        <w:tab/>
      </w:r>
      <w:r w:rsidR="00B47DA1" w:rsidRPr="00042155">
        <w:rPr>
          <w:lang w:val="en-US"/>
        </w:rPr>
        <w:t>Act No. 487 of 12 June 2009</w:t>
      </w:r>
      <w:r w:rsidR="00B47DA1">
        <w:rPr>
          <w:lang w:val="en-US"/>
        </w:rPr>
        <w:t xml:space="preserve"> of the Aliens Act</w:t>
      </w:r>
      <w:r w:rsidR="00B47DA1" w:rsidRPr="00042155">
        <w:rPr>
          <w:lang w:val="en-US"/>
        </w:rPr>
        <w:t xml:space="preserve"> </w:t>
      </w:r>
      <w:r w:rsidR="00B47DA1" w:rsidRPr="00A11A9E">
        <w:rPr>
          <w:iCs/>
          <w:lang w:val="en-US"/>
        </w:rPr>
        <w:t>(</w:t>
      </w:r>
      <w:r w:rsidR="00B47DA1">
        <w:rPr>
          <w:i/>
          <w:lang w:val="en-US"/>
        </w:rPr>
        <w:t>Udlændingeloven</w:t>
      </w:r>
      <w:r w:rsidR="00B47DA1" w:rsidRPr="00A11A9E">
        <w:rPr>
          <w:iCs/>
          <w:lang w:val="en-US"/>
        </w:rPr>
        <w:t xml:space="preserve">) </w:t>
      </w:r>
      <w:r w:rsidR="00B47DA1" w:rsidRPr="00042155">
        <w:rPr>
          <w:lang w:val="en-US"/>
        </w:rPr>
        <w:t>introduced a special procedure for expulsion of foreign nationals o</w:t>
      </w:r>
      <w:r w:rsidR="00B47DA1">
        <w:rPr>
          <w:lang w:val="en-US"/>
        </w:rPr>
        <w:t>n national security grounds.</w:t>
      </w:r>
    </w:p>
    <w:p w:rsidR="00B47DA1" w:rsidRPr="006808C2" w:rsidRDefault="00A11A9E" w:rsidP="00A11A9E">
      <w:pPr>
        <w:pStyle w:val="SingleTxtG"/>
        <w:rPr>
          <w:lang w:val="en-US"/>
        </w:rPr>
      </w:pPr>
      <w:r w:rsidRPr="006808C2">
        <w:rPr>
          <w:lang w:val="en-US"/>
        </w:rPr>
        <w:t>57.</w:t>
      </w:r>
      <w:r w:rsidRPr="006808C2">
        <w:rPr>
          <w:lang w:val="en-US"/>
        </w:rPr>
        <w:tab/>
      </w:r>
      <w:r w:rsidR="00B47DA1" w:rsidRPr="00933379">
        <w:rPr>
          <w:lang w:val="en-US"/>
        </w:rPr>
        <w:t>According to section 25 (i) of the Aliens Act</w:t>
      </w:r>
      <w:r w:rsidR="00B47DA1" w:rsidRPr="0011526F">
        <w:rPr>
          <w:lang w:val="en-US"/>
        </w:rPr>
        <w:t>,</w:t>
      </w:r>
      <w:r w:rsidR="00B47DA1" w:rsidRPr="00FA64C2">
        <w:rPr>
          <w:lang w:val="en-US"/>
        </w:rPr>
        <w:t xml:space="preserve"> a foreign national can be expelled if the foreign n</w:t>
      </w:r>
      <w:r w:rsidR="00B47DA1" w:rsidRPr="00E7485F">
        <w:rPr>
          <w:lang w:val="en-US"/>
        </w:rPr>
        <w:t>ational is considered to pose a risk to national security. The assessment of whether a foreign national poses a risk to national security is made by the Minister of Justice on the basis of a reco</w:t>
      </w:r>
      <w:r w:rsidR="00B47DA1" w:rsidRPr="00882967">
        <w:rPr>
          <w:lang w:val="en-US"/>
        </w:rPr>
        <w:t xml:space="preserve">mmendation from the Security and Intelligence Service. The decision on expulsion is made by the Minister of </w:t>
      </w:r>
      <w:r w:rsidR="00B47DA1">
        <w:rPr>
          <w:lang w:val="en-US"/>
        </w:rPr>
        <w:t>Imm</w:t>
      </w:r>
      <w:r w:rsidR="00B47DA1">
        <w:t>igration</w:t>
      </w:r>
      <w:r w:rsidR="00B47DA1" w:rsidRPr="004A5DEF">
        <w:t>, Integration and Housing</w:t>
      </w:r>
      <w:r w:rsidR="00B47DA1">
        <w:t xml:space="preserve">. </w:t>
      </w:r>
      <w:r w:rsidR="00B47DA1" w:rsidRPr="00FB0867">
        <w:rPr>
          <w:lang w:val="en-US"/>
        </w:rPr>
        <w:t xml:space="preserve">The </w:t>
      </w:r>
      <w:r w:rsidR="00B47DA1" w:rsidRPr="00514BD9">
        <w:rPr>
          <w:lang w:val="en-US"/>
        </w:rPr>
        <w:t xml:space="preserve">decision is reviewed by </w:t>
      </w:r>
      <w:r w:rsidR="004E4425">
        <w:rPr>
          <w:lang w:val="en-US"/>
        </w:rPr>
        <w:t xml:space="preserve">a </w:t>
      </w:r>
      <w:r w:rsidR="00B47DA1" w:rsidRPr="00514BD9">
        <w:rPr>
          <w:lang w:val="en-US"/>
        </w:rPr>
        <w:t>court unless the foreign national renounces this right in writing. The Aliens</w:t>
      </w:r>
      <w:r w:rsidR="00B47DA1" w:rsidRPr="00F80EC6">
        <w:rPr>
          <w:lang w:val="en-US"/>
        </w:rPr>
        <w:t xml:space="preserve"> Act i</w:t>
      </w:r>
      <w:r w:rsidR="00B47DA1" w:rsidRPr="00882306">
        <w:rPr>
          <w:lang w:val="en-US"/>
        </w:rPr>
        <w:t>n</w:t>
      </w:r>
      <w:r w:rsidR="00B47DA1" w:rsidRPr="00C654D6">
        <w:rPr>
          <w:lang w:val="en-US"/>
        </w:rPr>
        <w:t xml:space="preserve">cludes specific rules on the court review of the mentioned decisions. </w:t>
      </w:r>
    </w:p>
    <w:p w:rsidR="00B47DA1" w:rsidRPr="00F06686" w:rsidRDefault="00A11A9E" w:rsidP="00A11A9E">
      <w:pPr>
        <w:pStyle w:val="SingleTxtG"/>
        <w:rPr>
          <w:lang w:val="en-US"/>
        </w:rPr>
      </w:pPr>
      <w:r w:rsidRPr="00F06686">
        <w:rPr>
          <w:lang w:val="en-US"/>
        </w:rPr>
        <w:t>58.</w:t>
      </w:r>
      <w:r w:rsidRPr="00F06686">
        <w:rPr>
          <w:lang w:val="en-US"/>
        </w:rPr>
        <w:tab/>
      </w:r>
      <w:r w:rsidR="00B47DA1">
        <w:rPr>
          <w:lang w:val="en-US"/>
        </w:rPr>
        <w:t>Ev</w:t>
      </w:r>
      <w:r w:rsidR="00B47DA1" w:rsidRPr="00F06686">
        <w:rPr>
          <w:lang w:val="en-US"/>
        </w:rPr>
        <w:t xml:space="preserve">idence of the security risk which </w:t>
      </w:r>
      <w:r w:rsidR="00985923">
        <w:rPr>
          <w:lang w:val="en-US"/>
        </w:rPr>
        <w:t>—</w:t>
      </w:r>
      <w:r w:rsidR="00B47DA1" w:rsidRPr="00F06686">
        <w:rPr>
          <w:lang w:val="en-US"/>
        </w:rPr>
        <w:t xml:space="preserve"> for reasons of security </w:t>
      </w:r>
      <w:r w:rsidR="00985923">
        <w:rPr>
          <w:lang w:val="en-US"/>
        </w:rPr>
        <w:t>—</w:t>
      </w:r>
      <w:r w:rsidR="00B47DA1" w:rsidRPr="00F06686">
        <w:rPr>
          <w:lang w:val="en-US"/>
        </w:rPr>
        <w:t xml:space="preserve"> cannot be presented to the foreign national is only presented in closed court sessions. Hence</w:t>
      </w:r>
      <w:r w:rsidR="00B47DA1">
        <w:rPr>
          <w:lang w:val="en-US"/>
        </w:rPr>
        <w:t>,</w:t>
      </w:r>
      <w:r w:rsidR="00B47DA1" w:rsidRPr="00F06686">
        <w:rPr>
          <w:lang w:val="en-US"/>
        </w:rPr>
        <w:t xml:space="preserve"> the evidence is divided into accessible and non-accessible evidence. </w:t>
      </w:r>
    </w:p>
    <w:p w:rsidR="00B47DA1" w:rsidRDefault="00A11A9E" w:rsidP="00A11A9E">
      <w:pPr>
        <w:pStyle w:val="SingleTxtG"/>
        <w:rPr>
          <w:lang w:val="en-US"/>
        </w:rPr>
      </w:pPr>
      <w:r>
        <w:rPr>
          <w:lang w:val="en-US"/>
        </w:rPr>
        <w:t>59.</w:t>
      </w:r>
      <w:r>
        <w:rPr>
          <w:lang w:val="en-US"/>
        </w:rPr>
        <w:tab/>
      </w:r>
      <w:r w:rsidR="00B47DA1">
        <w:rPr>
          <w:lang w:val="en-US"/>
        </w:rPr>
        <w:t xml:space="preserve">The foreign national in question has an appointed lawyer and a specially appointed lawyer, both paid by public funds. Only the special appointed lawyer has access to the non-accessible evidence and thus represents the foreign national with regard to this part of the evidence forming the basis of the assessment of risk. </w:t>
      </w:r>
    </w:p>
    <w:p w:rsidR="00B47DA1" w:rsidRPr="00706D55" w:rsidRDefault="00A11A9E" w:rsidP="00A11A9E">
      <w:pPr>
        <w:pStyle w:val="SingleTxtG"/>
        <w:rPr>
          <w:lang w:val="en-US"/>
        </w:rPr>
      </w:pPr>
      <w:r w:rsidRPr="00706D55">
        <w:rPr>
          <w:lang w:val="en-US"/>
        </w:rPr>
        <w:t>60.</w:t>
      </w:r>
      <w:r w:rsidRPr="00706D55">
        <w:rPr>
          <w:lang w:val="en-US"/>
        </w:rPr>
        <w:tab/>
      </w:r>
      <w:r w:rsidR="00B47DA1" w:rsidRPr="00706D55">
        <w:rPr>
          <w:lang w:val="en-US"/>
        </w:rPr>
        <w:t xml:space="preserve">If a foreign national who is considered to pose a risk to national security applies for asylum or has had a residence permit as refugee revoked, the court will decide whether the Convention </w:t>
      </w:r>
      <w:r w:rsidR="00706D55" w:rsidRPr="00706D55">
        <w:rPr>
          <w:lang w:val="en-US"/>
        </w:rPr>
        <w:t xml:space="preserve">relating to the Status of Refugees </w:t>
      </w:r>
      <w:r w:rsidR="00B47DA1" w:rsidRPr="00706D55">
        <w:rPr>
          <w:lang w:val="en-US"/>
        </w:rPr>
        <w:t>or other international conventions prevent the removal. If this is the case, the removal will be deferred and the foreign national will be granted exceptional leave to stay in Denmark.</w:t>
      </w:r>
    </w:p>
    <w:p w:rsidR="00B47DA1" w:rsidRPr="00102FEC" w:rsidRDefault="00904E11" w:rsidP="00A11A9E">
      <w:pPr>
        <w:pStyle w:val="H23G"/>
        <w:rPr>
          <w:i/>
          <w:lang w:eastAsia="nb-NO"/>
        </w:rPr>
      </w:pPr>
      <w:r>
        <w:rPr>
          <w:lang w:val="en-US" w:eastAsia="nb-NO"/>
        </w:rPr>
        <w:tab/>
      </w:r>
      <w:r>
        <w:rPr>
          <w:lang w:val="en-US" w:eastAsia="nb-NO"/>
        </w:rPr>
        <w:tab/>
      </w:r>
      <w:r w:rsidR="00B47DA1" w:rsidRPr="00102FEC">
        <w:rPr>
          <w:lang w:val="en-US" w:eastAsia="nb-NO"/>
        </w:rPr>
        <w:t xml:space="preserve">Reply to paragraph 9 of the </w:t>
      </w:r>
      <w:r w:rsidR="00FF0EDD">
        <w:rPr>
          <w:lang w:val="en-US" w:eastAsia="nb-NO"/>
        </w:rPr>
        <w:t>list of issues</w:t>
      </w:r>
      <w:r w:rsidR="00B47DA1" w:rsidRPr="00102FEC">
        <w:rPr>
          <w:lang w:val="en-US"/>
        </w:rPr>
        <w:t xml:space="preserve"> [Ministry of Foreign Affairs]</w:t>
      </w:r>
      <w:r w:rsidR="00B47DA1" w:rsidRPr="00102FEC">
        <w:rPr>
          <w:i/>
          <w:lang w:eastAsia="nb-NO"/>
        </w:rPr>
        <w:t xml:space="preserve"> </w:t>
      </w:r>
    </w:p>
    <w:p w:rsidR="00B47DA1" w:rsidRPr="00FE5132" w:rsidRDefault="00A11A9E" w:rsidP="00A11A9E">
      <w:pPr>
        <w:pStyle w:val="SingleTxtG"/>
        <w:rPr>
          <w:lang w:eastAsia="nb-NO"/>
        </w:rPr>
      </w:pPr>
      <w:r w:rsidRPr="00FE5132">
        <w:rPr>
          <w:lang w:eastAsia="nb-NO"/>
        </w:rPr>
        <w:t>61.</w:t>
      </w:r>
      <w:r w:rsidRPr="00FE5132">
        <w:rPr>
          <w:lang w:eastAsia="nb-NO"/>
        </w:rPr>
        <w:tab/>
      </w:r>
      <w:r w:rsidR="00B47DA1" w:rsidRPr="00FE5132">
        <w:rPr>
          <w:lang w:eastAsia="nb-NO"/>
        </w:rPr>
        <w:t>In 2008</w:t>
      </w:r>
      <w:r w:rsidR="00B47DA1">
        <w:rPr>
          <w:lang w:eastAsia="nb-NO"/>
        </w:rPr>
        <w:t>,</w:t>
      </w:r>
      <w:r w:rsidR="00B47DA1" w:rsidRPr="00FE5132">
        <w:rPr>
          <w:lang w:eastAsia="nb-NO"/>
        </w:rPr>
        <w:t xml:space="preserve"> the </w:t>
      </w:r>
      <w:r w:rsidR="00B47DA1">
        <w:rPr>
          <w:lang w:eastAsia="nb-NO"/>
        </w:rPr>
        <w:t>G</w:t>
      </w:r>
      <w:r w:rsidR="00B47DA1" w:rsidRPr="00FE5132">
        <w:rPr>
          <w:lang w:eastAsia="nb-NO"/>
        </w:rPr>
        <w:t>overnment decided to set up an inter-ministerial working group with the mandate to examine new information from a documentary titled “CIA’s Danish connection” and</w:t>
      </w:r>
      <w:r w:rsidR="00B47DA1">
        <w:rPr>
          <w:lang w:eastAsia="nb-NO"/>
        </w:rPr>
        <w:t>,</w:t>
      </w:r>
      <w:r w:rsidR="00B47DA1" w:rsidRPr="00FE5132">
        <w:rPr>
          <w:lang w:eastAsia="nb-NO"/>
        </w:rPr>
        <w:t xml:space="preserve"> if necessary</w:t>
      </w:r>
      <w:r w:rsidR="00B47DA1">
        <w:rPr>
          <w:lang w:eastAsia="nb-NO"/>
        </w:rPr>
        <w:t>,</w:t>
      </w:r>
      <w:r w:rsidR="00B47DA1" w:rsidRPr="00FE5132">
        <w:rPr>
          <w:lang w:eastAsia="nb-NO"/>
        </w:rPr>
        <w:t xml:space="preserve"> as part of the inquiry to consult with the relevant American authorities. </w:t>
      </w:r>
    </w:p>
    <w:p w:rsidR="00B47DA1" w:rsidRPr="004E4425" w:rsidRDefault="00A11A9E" w:rsidP="00A11A9E">
      <w:pPr>
        <w:pStyle w:val="SingleTxtG"/>
        <w:rPr>
          <w:lang w:eastAsia="nb-NO"/>
        </w:rPr>
      </w:pPr>
      <w:r w:rsidRPr="004E4425">
        <w:rPr>
          <w:lang w:eastAsia="nb-NO"/>
        </w:rPr>
        <w:t>62.</w:t>
      </w:r>
      <w:r w:rsidRPr="004E4425">
        <w:rPr>
          <w:lang w:eastAsia="nb-NO"/>
        </w:rPr>
        <w:tab/>
      </w:r>
      <w:r w:rsidR="00B47DA1" w:rsidRPr="004E4425">
        <w:rPr>
          <w:lang w:eastAsia="nb-NO"/>
        </w:rPr>
        <w:t xml:space="preserve">The Inter-ministerial Working Group comprised representatives from Danish authorities, the governments of Greenland and of the Faroe Islands as well as the Greenland Airport Authority. The objective of the Working Group was to examine information on alleged CIA flights in Denmark, Greenland and the Faroe Islands. The Working Group published its report in October 2008 and concluded inter alia that: </w:t>
      </w:r>
    </w:p>
    <w:p w:rsidR="00B47DA1" w:rsidRPr="00FE5132" w:rsidRDefault="00A11A9E" w:rsidP="00A11A9E">
      <w:pPr>
        <w:pStyle w:val="Bullet1G"/>
        <w:numPr>
          <w:ilvl w:val="0"/>
          <w:numId w:val="0"/>
        </w:numPr>
        <w:tabs>
          <w:tab w:val="left" w:pos="1701"/>
        </w:tabs>
        <w:ind w:left="1701" w:hanging="170"/>
        <w:rPr>
          <w:lang w:eastAsia="nb-NO"/>
        </w:rPr>
      </w:pPr>
      <w:r w:rsidRPr="00FE5132">
        <w:rPr>
          <w:lang w:eastAsia="nb-NO"/>
        </w:rPr>
        <w:t>•</w:t>
      </w:r>
      <w:r w:rsidRPr="00FE5132">
        <w:rPr>
          <w:lang w:eastAsia="nb-NO"/>
        </w:rPr>
        <w:tab/>
      </w:r>
      <w:r w:rsidR="003C1BB8" w:rsidRPr="00FE5132">
        <w:rPr>
          <w:lang w:eastAsia="nb-NO"/>
        </w:rPr>
        <w:t xml:space="preserve">It </w:t>
      </w:r>
      <w:r w:rsidR="00B47DA1" w:rsidRPr="00FE5132">
        <w:rPr>
          <w:lang w:eastAsia="nb-NO"/>
        </w:rPr>
        <w:t>was not possible to determine whether or not CIA flights had occurred in Danish, Greenlandic or Faroese airspace, including illegal transit of detained persons</w:t>
      </w:r>
    </w:p>
    <w:p w:rsidR="00B47DA1" w:rsidRPr="00FE5132" w:rsidRDefault="00A11A9E" w:rsidP="00A11A9E">
      <w:pPr>
        <w:pStyle w:val="Bullet1G"/>
        <w:numPr>
          <w:ilvl w:val="0"/>
          <w:numId w:val="0"/>
        </w:numPr>
        <w:tabs>
          <w:tab w:val="left" w:pos="1701"/>
        </w:tabs>
        <w:ind w:left="1701" w:hanging="170"/>
        <w:rPr>
          <w:lang w:eastAsia="nb-NO"/>
        </w:rPr>
      </w:pPr>
      <w:r w:rsidRPr="00FE5132">
        <w:rPr>
          <w:lang w:eastAsia="nb-NO"/>
        </w:rPr>
        <w:t>•</w:t>
      </w:r>
      <w:r w:rsidRPr="00FE5132">
        <w:rPr>
          <w:lang w:eastAsia="nb-NO"/>
        </w:rPr>
        <w:tab/>
      </w:r>
      <w:r w:rsidR="003C1BB8" w:rsidRPr="00FE5132">
        <w:rPr>
          <w:lang w:eastAsia="nb-NO"/>
        </w:rPr>
        <w:t xml:space="preserve">Based </w:t>
      </w:r>
      <w:r w:rsidR="00B47DA1" w:rsidRPr="00FE5132">
        <w:rPr>
          <w:lang w:eastAsia="nb-NO"/>
        </w:rPr>
        <w:t xml:space="preserve">on the information available to the Working Group it was not possible for the Danish authorities to confirm or </w:t>
      </w:r>
      <w:r w:rsidR="00B47DA1">
        <w:rPr>
          <w:lang w:eastAsia="nb-NO"/>
        </w:rPr>
        <w:t>rule out</w:t>
      </w:r>
      <w:r w:rsidR="00B47DA1" w:rsidRPr="00FE5132">
        <w:rPr>
          <w:lang w:eastAsia="nb-NO"/>
        </w:rPr>
        <w:t xml:space="preserve"> that extraordinary renditions had been carried out in Danish, Greenlandic or Faroese airspace</w:t>
      </w:r>
    </w:p>
    <w:p w:rsidR="00B47DA1" w:rsidRPr="00706D55" w:rsidRDefault="00A11A9E" w:rsidP="00A11A9E">
      <w:pPr>
        <w:pStyle w:val="Bullet1G"/>
        <w:numPr>
          <w:ilvl w:val="0"/>
          <w:numId w:val="0"/>
        </w:numPr>
        <w:tabs>
          <w:tab w:val="left" w:pos="1701"/>
        </w:tabs>
        <w:ind w:left="1701" w:hanging="170"/>
        <w:rPr>
          <w:lang w:eastAsia="nb-NO"/>
        </w:rPr>
      </w:pPr>
      <w:r w:rsidRPr="00706D55">
        <w:rPr>
          <w:lang w:eastAsia="nb-NO"/>
        </w:rPr>
        <w:t>•</w:t>
      </w:r>
      <w:r w:rsidRPr="00706D55">
        <w:rPr>
          <w:lang w:eastAsia="nb-NO"/>
        </w:rPr>
        <w:tab/>
      </w:r>
      <w:r w:rsidR="003C1BB8" w:rsidRPr="00706D55">
        <w:rPr>
          <w:lang w:eastAsia="nb-NO"/>
        </w:rPr>
        <w:t>Consequently</w:t>
      </w:r>
      <w:r w:rsidR="00B47DA1" w:rsidRPr="00706D55">
        <w:rPr>
          <w:lang w:eastAsia="nb-NO"/>
        </w:rPr>
        <w:t xml:space="preserve">, there was no basis to conclude that the Danish Government bears responsibility or co- responsibility for alleged illegal activities of the </w:t>
      </w:r>
      <w:r w:rsidR="00706D55" w:rsidRPr="00706D55">
        <w:rPr>
          <w:lang w:eastAsia="nb-NO"/>
        </w:rPr>
        <w:t xml:space="preserve">Central Intelligence Agency </w:t>
      </w:r>
      <w:r w:rsidR="00B47DA1" w:rsidRPr="00706D55">
        <w:rPr>
          <w:lang w:eastAsia="nb-NO"/>
        </w:rPr>
        <w:t>or other foreign authorities’ activities</w:t>
      </w:r>
    </w:p>
    <w:p w:rsidR="00B47DA1" w:rsidRPr="00FE5132" w:rsidRDefault="00A11A9E" w:rsidP="00A11A9E">
      <w:pPr>
        <w:pStyle w:val="Bullet1G"/>
        <w:numPr>
          <w:ilvl w:val="0"/>
          <w:numId w:val="0"/>
        </w:numPr>
        <w:tabs>
          <w:tab w:val="left" w:pos="1701"/>
        </w:tabs>
        <w:ind w:left="1701" w:hanging="170"/>
        <w:rPr>
          <w:lang w:eastAsia="nb-NO"/>
        </w:rPr>
      </w:pPr>
      <w:r w:rsidRPr="00FE5132">
        <w:rPr>
          <w:lang w:eastAsia="nb-NO"/>
        </w:rPr>
        <w:t>•</w:t>
      </w:r>
      <w:r w:rsidRPr="00FE5132">
        <w:rPr>
          <w:lang w:eastAsia="nb-NO"/>
        </w:rPr>
        <w:tab/>
      </w:r>
      <w:r w:rsidR="003C1BB8">
        <w:rPr>
          <w:lang w:eastAsia="nb-NO"/>
        </w:rPr>
        <w:t xml:space="preserve">The </w:t>
      </w:r>
      <w:r w:rsidR="00B47DA1">
        <w:rPr>
          <w:lang w:eastAsia="nb-NO"/>
        </w:rPr>
        <w:t>existing Danish control mechanisms were adequate for ensuring that the relevant authorities had the necessary means to interfere, should the authorities learn about illegal rendition flights approaching or having entered Danish, Greenlandic or Faroese airspace</w:t>
      </w:r>
      <w:r w:rsidR="004E4425">
        <w:rPr>
          <w:lang w:eastAsia="nb-NO"/>
        </w:rPr>
        <w:t>.</w:t>
      </w:r>
    </w:p>
    <w:p w:rsidR="00B47DA1" w:rsidRPr="00FB32AF" w:rsidRDefault="00A11A9E" w:rsidP="00A11A9E">
      <w:pPr>
        <w:pStyle w:val="SingleTxtG"/>
      </w:pPr>
      <w:r w:rsidRPr="00FB32AF">
        <w:t>63.</w:t>
      </w:r>
      <w:r w:rsidRPr="00FB32AF">
        <w:tab/>
      </w:r>
      <w:r w:rsidR="00B47DA1" w:rsidRPr="00FE5132">
        <w:rPr>
          <w:lang w:eastAsia="nb-NO"/>
        </w:rPr>
        <w:t>Furthermore</w:t>
      </w:r>
      <w:r w:rsidR="00B47DA1">
        <w:rPr>
          <w:lang w:eastAsia="nb-NO"/>
        </w:rPr>
        <w:t>,</w:t>
      </w:r>
      <w:r w:rsidR="00B47DA1" w:rsidRPr="00FE5132">
        <w:rPr>
          <w:lang w:eastAsia="nb-NO"/>
        </w:rPr>
        <w:t xml:space="preserve"> </w:t>
      </w:r>
      <w:r w:rsidR="00B47DA1">
        <w:rPr>
          <w:lang w:eastAsia="nb-NO"/>
        </w:rPr>
        <w:t>the report</w:t>
      </w:r>
      <w:r w:rsidR="00B47DA1" w:rsidRPr="00FE5132">
        <w:rPr>
          <w:lang w:eastAsia="nb-NO"/>
        </w:rPr>
        <w:t xml:space="preserve"> concluded that Denmark cannot give its consent to renditions of detained persons in cases where there are substantial grounds </w:t>
      </w:r>
      <w:r w:rsidR="00B47DA1">
        <w:rPr>
          <w:lang w:eastAsia="nb-NO"/>
        </w:rPr>
        <w:t>to believe</w:t>
      </w:r>
      <w:r w:rsidR="00B47DA1" w:rsidRPr="00FE5132">
        <w:rPr>
          <w:lang w:eastAsia="nb-NO"/>
        </w:rPr>
        <w:t xml:space="preserve"> that the persons being transported would be in danger of being subjected to torture or other types of cruel </w:t>
      </w:r>
      <w:r w:rsidR="00B47DA1">
        <w:rPr>
          <w:lang w:eastAsia="nb-NO"/>
        </w:rPr>
        <w:t xml:space="preserve">or inhuman treatment or of </w:t>
      </w:r>
      <w:r w:rsidR="00B47DA1" w:rsidRPr="00FE5132">
        <w:rPr>
          <w:lang w:eastAsia="nb-NO"/>
        </w:rPr>
        <w:t xml:space="preserve">other violations of the </w:t>
      </w:r>
      <w:r w:rsidR="00B47DA1">
        <w:rPr>
          <w:lang w:eastAsia="nb-NO"/>
        </w:rPr>
        <w:t xml:space="preserve">detainees’ </w:t>
      </w:r>
      <w:r w:rsidR="00B47DA1" w:rsidRPr="00FE5132">
        <w:rPr>
          <w:lang w:eastAsia="nb-NO"/>
        </w:rPr>
        <w:t xml:space="preserve">fundamental human rights. </w:t>
      </w:r>
      <w:r w:rsidR="00B47DA1" w:rsidRPr="00FB32AF">
        <w:rPr>
          <w:lang w:eastAsia="nb-NO"/>
        </w:rPr>
        <w:t>The Working Group made several other recommendations</w:t>
      </w:r>
      <w:r w:rsidR="004E4425">
        <w:rPr>
          <w:lang w:eastAsia="nb-NO"/>
        </w:rPr>
        <w:t>,</w:t>
      </w:r>
      <w:r w:rsidR="00B47DA1" w:rsidRPr="00FB32AF">
        <w:t xml:space="preserve"> </w:t>
      </w:r>
      <w:r w:rsidR="00B47DA1">
        <w:t xml:space="preserve">listed </w:t>
      </w:r>
      <w:r w:rsidR="00B47DA1" w:rsidRPr="00FB32AF">
        <w:t xml:space="preserve">on page 97 of the report and on page 101 </w:t>
      </w:r>
      <w:r w:rsidR="004E4425">
        <w:t xml:space="preserve">of the </w:t>
      </w:r>
      <w:r w:rsidR="00B47DA1" w:rsidRPr="00FB32AF">
        <w:t>English summary.</w:t>
      </w:r>
    </w:p>
    <w:p w:rsidR="00B47DA1" w:rsidRPr="004E4425" w:rsidRDefault="00A11A9E" w:rsidP="00A11A9E">
      <w:pPr>
        <w:pStyle w:val="SingleTxtG"/>
        <w:rPr>
          <w:lang w:eastAsia="nb-NO"/>
        </w:rPr>
      </w:pPr>
      <w:r w:rsidRPr="004E4425">
        <w:rPr>
          <w:lang w:eastAsia="nb-NO"/>
        </w:rPr>
        <w:t>64.</w:t>
      </w:r>
      <w:r w:rsidRPr="004E4425">
        <w:rPr>
          <w:lang w:eastAsia="nb-NO"/>
        </w:rPr>
        <w:tab/>
      </w:r>
      <w:r w:rsidR="00B47DA1" w:rsidRPr="004E4425">
        <w:rPr>
          <w:lang w:eastAsia="nb-NO"/>
        </w:rPr>
        <w:t>In November 2011, on behalf of Greenland, the Minister of Foreign Affairs requested the Danish Institute for International Studies (DIIS) to initiate an impartial investigation on a number of aspects regarding the alleged CIA</w:t>
      </w:r>
      <w:r w:rsidR="004E4425" w:rsidRPr="004E4425">
        <w:rPr>
          <w:lang w:eastAsia="nb-NO"/>
        </w:rPr>
        <w:t xml:space="preserve"> </w:t>
      </w:r>
      <w:r w:rsidR="00B47DA1" w:rsidRPr="004E4425">
        <w:rPr>
          <w:lang w:eastAsia="nb-NO"/>
        </w:rPr>
        <w:t xml:space="preserve">flights, i.e. allegations of duplicity on the part of the former Danish Government. The </w:t>
      </w:r>
      <w:r w:rsidR="008A6FF2" w:rsidRPr="004E4425">
        <w:rPr>
          <w:lang w:eastAsia="nb-NO"/>
        </w:rPr>
        <w:t xml:space="preserve">results of the investigation were </w:t>
      </w:r>
      <w:r w:rsidR="00B47DA1" w:rsidRPr="004E4425">
        <w:rPr>
          <w:lang w:eastAsia="nb-NO"/>
        </w:rPr>
        <w:t>published on 29 May 2012 and concluded, inter alia, that the Government with the preparation of the Inter-ministerial Working Group Report of 2008 had succeeded in carrying out a thorough investigation on the issue of the alleged overflights. The report of DIIS also concluded that there had been no duplicity on the part of the former Government in the matter.</w:t>
      </w:r>
      <w:r w:rsidR="00AF685F" w:rsidRPr="004E4425">
        <w:rPr>
          <w:lang w:eastAsia="nb-NO"/>
        </w:rPr>
        <w:t xml:space="preserve"> </w:t>
      </w:r>
    </w:p>
    <w:p w:rsidR="00B47DA1" w:rsidRPr="00FE5132" w:rsidRDefault="00A11A9E" w:rsidP="00A11A9E">
      <w:pPr>
        <w:pStyle w:val="SingleTxtG"/>
        <w:rPr>
          <w:lang w:eastAsia="nb-NO"/>
        </w:rPr>
      </w:pPr>
      <w:r w:rsidRPr="00FE5132">
        <w:rPr>
          <w:lang w:eastAsia="nb-NO"/>
        </w:rPr>
        <w:t>65.</w:t>
      </w:r>
      <w:r w:rsidRPr="00FE5132">
        <w:rPr>
          <w:lang w:eastAsia="nb-NO"/>
        </w:rPr>
        <w:tab/>
      </w:r>
      <w:r w:rsidR="00B47DA1">
        <w:rPr>
          <w:lang w:eastAsia="nb-NO"/>
        </w:rPr>
        <w:t xml:space="preserve">Following </w:t>
      </w:r>
      <w:r w:rsidR="00B47DA1" w:rsidRPr="00FE5132">
        <w:rPr>
          <w:lang w:eastAsia="nb-NO"/>
        </w:rPr>
        <w:t xml:space="preserve">the release of </w:t>
      </w:r>
      <w:r w:rsidR="00B47DA1">
        <w:rPr>
          <w:lang w:eastAsia="nb-NO"/>
        </w:rPr>
        <w:t xml:space="preserve">the </w:t>
      </w:r>
      <w:r w:rsidR="00B47DA1" w:rsidRPr="00FE5132">
        <w:rPr>
          <w:lang w:eastAsia="nb-NO"/>
        </w:rPr>
        <w:t xml:space="preserve">report, the Government </w:t>
      </w:r>
      <w:r w:rsidR="00B47DA1">
        <w:rPr>
          <w:lang w:eastAsia="nb-NO"/>
        </w:rPr>
        <w:t>announced</w:t>
      </w:r>
      <w:r w:rsidR="00B47DA1" w:rsidRPr="00FE5132">
        <w:rPr>
          <w:lang w:eastAsia="nb-NO"/>
        </w:rPr>
        <w:t xml:space="preserve"> that it consider</w:t>
      </w:r>
      <w:r w:rsidR="00B47DA1">
        <w:rPr>
          <w:lang w:eastAsia="nb-NO"/>
        </w:rPr>
        <w:t>s</w:t>
      </w:r>
      <w:r w:rsidR="00B47DA1" w:rsidRPr="00FE5132">
        <w:rPr>
          <w:lang w:eastAsia="nb-NO"/>
        </w:rPr>
        <w:t xml:space="preserve"> the matter closed and found that the thorough and impartial investigation carried out by </w:t>
      </w:r>
      <w:r w:rsidR="00B47DA1">
        <w:rPr>
          <w:lang w:eastAsia="nb-NO"/>
        </w:rPr>
        <w:t xml:space="preserve">DIIS, as well as the forward-looking guarantee that has been provided to Denmark by the US, settle the case concerning </w:t>
      </w:r>
      <w:r w:rsidR="00B47DA1" w:rsidRPr="00FE5132">
        <w:rPr>
          <w:lang w:eastAsia="nb-NO"/>
        </w:rPr>
        <w:t xml:space="preserve">the alleged illegal flights by the CIA in Danish, Greenlandic and Faroese airspace in a suitable manner. </w:t>
      </w:r>
      <w:r w:rsidR="00B47DA1">
        <w:rPr>
          <w:lang w:eastAsia="nb-NO"/>
        </w:rPr>
        <w:t xml:space="preserve">The reports of </w:t>
      </w:r>
      <w:r w:rsidR="00B47DA1" w:rsidRPr="00FE5132">
        <w:rPr>
          <w:lang w:eastAsia="nb-NO"/>
        </w:rPr>
        <w:t xml:space="preserve">the Inter-ministerial Working Group of October </w:t>
      </w:r>
      <w:r w:rsidR="00B47DA1">
        <w:rPr>
          <w:lang w:eastAsia="nb-NO"/>
        </w:rPr>
        <w:t>and of DIIS</w:t>
      </w:r>
      <w:r w:rsidR="00B47DA1" w:rsidRPr="00FE5132">
        <w:rPr>
          <w:lang w:eastAsia="nb-NO"/>
        </w:rPr>
        <w:t xml:space="preserve"> (</w:t>
      </w:r>
      <w:r w:rsidR="00B47DA1">
        <w:rPr>
          <w:lang w:eastAsia="nb-NO"/>
        </w:rPr>
        <w:t xml:space="preserve">both in </w:t>
      </w:r>
      <w:r w:rsidR="00B47DA1" w:rsidRPr="00FE5132">
        <w:rPr>
          <w:lang w:eastAsia="nb-NO"/>
        </w:rPr>
        <w:t>Danish)</w:t>
      </w:r>
      <w:r w:rsidR="00B47DA1">
        <w:rPr>
          <w:lang w:eastAsia="nb-NO"/>
        </w:rPr>
        <w:t xml:space="preserve"> are enclosed. </w:t>
      </w:r>
    </w:p>
    <w:p w:rsidR="00B47DA1" w:rsidRPr="00181F69" w:rsidRDefault="00904E11" w:rsidP="00904E11">
      <w:pPr>
        <w:pStyle w:val="H1G"/>
      </w:pPr>
      <w:bookmarkStart w:id="7" w:name="_Toc430941893"/>
      <w:r>
        <w:tab/>
      </w:r>
      <w:r>
        <w:tab/>
      </w:r>
      <w:r w:rsidR="00B47DA1" w:rsidRPr="00181F69">
        <w:t>Equality between men and women, non-discrimination, and political participation of women</w:t>
      </w:r>
      <w:bookmarkEnd w:id="7"/>
      <w:r w:rsidR="00B47DA1" w:rsidRPr="00181F69">
        <w:t xml:space="preserve"> </w:t>
      </w:r>
    </w:p>
    <w:p w:rsidR="00B47DA1" w:rsidRPr="00102FEC" w:rsidRDefault="001C7D76" w:rsidP="00A11A9E">
      <w:pPr>
        <w:pStyle w:val="H23G"/>
        <w:rPr>
          <w:lang w:val="en-US" w:eastAsia="nb-NO"/>
        </w:rPr>
      </w:pPr>
      <w:r>
        <w:rPr>
          <w:lang w:val="en-US" w:eastAsia="nb-NO"/>
        </w:rPr>
        <w:tab/>
      </w:r>
      <w:r>
        <w:rPr>
          <w:lang w:val="en-US" w:eastAsia="nb-NO"/>
        </w:rPr>
        <w:tab/>
      </w:r>
      <w:r w:rsidR="00B47DA1" w:rsidRPr="00102FEC">
        <w:rPr>
          <w:lang w:val="en-US" w:eastAsia="nb-NO"/>
        </w:rPr>
        <w:t xml:space="preserve">Reply to paragraph 10 of the </w:t>
      </w:r>
      <w:r w:rsidR="00FF0EDD">
        <w:rPr>
          <w:lang w:val="en-US" w:eastAsia="nb-NO"/>
        </w:rPr>
        <w:t>list of issues</w:t>
      </w:r>
      <w:r w:rsidR="00B47DA1" w:rsidRPr="00102FEC">
        <w:rPr>
          <w:lang w:val="en-US"/>
        </w:rPr>
        <w:t xml:space="preserve"> [Ministry of Children, Education and Gender Equality</w:t>
      </w:r>
      <w:r w:rsidR="00B47DA1">
        <w:rPr>
          <w:lang w:val="en-US"/>
        </w:rPr>
        <w:t xml:space="preserve"> and</w:t>
      </w:r>
      <w:r w:rsidR="00B47DA1" w:rsidRPr="00102FEC">
        <w:rPr>
          <w:lang w:val="en-US"/>
        </w:rPr>
        <w:t xml:space="preserve"> Ministry of Business and Growth]</w:t>
      </w:r>
    </w:p>
    <w:p w:rsidR="00B47DA1" w:rsidRPr="004E4425" w:rsidRDefault="00A11A9E" w:rsidP="00A11A9E">
      <w:pPr>
        <w:pStyle w:val="SingleTxtG"/>
        <w:rPr>
          <w:lang w:val="en-US" w:eastAsia="nb-NO"/>
        </w:rPr>
      </w:pPr>
      <w:r w:rsidRPr="004E4425">
        <w:rPr>
          <w:lang w:val="en-US" w:eastAsia="nb-NO"/>
        </w:rPr>
        <w:t>66.</w:t>
      </w:r>
      <w:r w:rsidRPr="004E4425">
        <w:rPr>
          <w:lang w:val="en-US" w:eastAsia="nb-NO"/>
        </w:rPr>
        <w:tab/>
      </w:r>
      <w:r w:rsidR="00B47DA1" w:rsidRPr="004E4425">
        <w:rPr>
          <w:lang w:val="en-US" w:eastAsia="nb-NO"/>
        </w:rPr>
        <w:t xml:space="preserve">All female and male citizens must have equal opportunities to pursue their goals in life, and neither gender nor other factors must become a barrier for this pursuit. Through a range of legal acts women’s rights to participate in society have been ensured. However, women still face challenges and therefore the Government has initiated a range of activities to achieve de facto equality for all. </w:t>
      </w:r>
    </w:p>
    <w:p w:rsidR="00B47DA1" w:rsidRDefault="00A11A9E" w:rsidP="00A11A9E">
      <w:pPr>
        <w:pStyle w:val="SingleTxtG"/>
        <w:rPr>
          <w:lang w:val="en-US" w:eastAsia="nb-NO"/>
        </w:rPr>
      </w:pPr>
      <w:r>
        <w:rPr>
          <w:lang w:val="en-US" w:eastAsia="nb-NO"/>
        </w:rPr>
        <w:t>67.</w:t>
      </w:r>
      <w:r>
        <w:rPr>
          <w:lang w:val="en-US" w:eastAsia="nb-NO"/>
        </w:rPr>
        <w:tab/>
      </w:r>
      <w:r w:rsidR="00B47DA1">
        <w:rPr>
          <w:lang w:val="en-US" w:eastAsia="nb-NO"/>
        </w:rPr>
        <w:t>In 2013, t</w:t>
      </w:r>
      <w:r w:rsidR="00B47DA1" w:rsidRPr="00A96C2E">
        <w:rPr>
          <w:lang w:val="en-US" w:eastAsia="nb-NO"/>
        </w:rPr>
        <w:t xml:space="preserve">he </w:t>
      </w:r>
      <w:r w:rsidR="00B47DA1">
        <w:rPr>
          <w:lang w:val="en-US" w:eastAsia="nb-NO"/>
        </w:rPr>
        <w:t>G</w:t>
      </w:r>
      <w:r w:rsidR="00B47DA1" w:rsidRPr="00A96C2E">
        <w:rPr>
          <w:lang w:val="en-US" w:eastAsia="nb-NO"/>
        </w:rPr>
        <w:t xml:space="preserve">overnment launched a new strategy on gender mainstreaming with the aim of further promoting public authorities’ gender mainstreaming work. The strategy </w:t>
      </w:r>
      <w:r w:rsidR="00B47DA1">
        <w:rPr>
          <w:lang w:val="en-US" w:eastAsia="nb-NO"/>
        </w:rPr>
        <w:t>has</w:t>
      </w:r>
      <w:r w:rsidR="00B47DA1" w:rsidRPr="00A96C2E">
        <w:rPr>
          <w:lang w:val="en-US" w:eastAsia="nb-NO"/>
        </w:rPr>
        <w:t xml:space="preserve"> three dimensions: </w:t>
      </w:r>
    </w:p>
    <w:p w:rsidR="00B47DA1" w:rsidRDefault="00A11A9E" w:rsidP="00A11A9E">
      <w:pPr>
        <w:pStyle w:val="Bullet1G"/>
        <w:numPr>
          <w:ilvl w:val="0"/>
          <w:numId w:val="0"/>
        </w:numPr>
        <w:tabs>
          <w:tab w:val="left" w:pos="1701"/>
        </w:tabs>
        <w:ind w:left="1701" w:hanging="170"/>
        <w:rPr>
          <w:lang w:val="en-US" w:eastAsia="nb-NO"/>
        </w:rPr>
      </w:pPr>
      <w:r>
        <w:rPr>
          <w:lang w:val="en-US" w:eastAsia="nb-NO"/>
        </w:rPr>
        <w:t>•</w:t>
      </w:r>
      <w:r>
        <w:rPr>
          <w:lang w:val="en-US" w:eastAsia="nb-NO"/>
        </w:rPr>
        <w:tab/>
      </w:r>
      <w:r w:rsidR="00B47DA1" w:rsidRPr="00A96C2E">
        <w:rPr>
          <w:u w:val="single"/>
          <w:lang w:val="en-US" w:eastAsia="nb-NO"/>
        </w:rPr>
        <w:t>Improved gender equality assessments</w:t>
      </w:r>
      <w:r w:rsidR="00B47DA1" w:rsidRPr="00A96C2E">
        <w:rPr>
          <w:lang w:val="en-US" w:eastAsia="nb-NO"/>
        </w:rPr>
        <w:t>: More systematic gender equality assessment of bills and other citizen-related initiatives and a better gender balanced composition i</w:t>
      </w:r>
      <w:r w:rsidR="00B47DA1">
        <w:rPr>
          <w:lang w:val="en-US" w:eastAsia="nb-NO"/>
        </w:rPr>
        <w:t>n public companies/institutions</w:t>
      </w:r>
      <w:r w:rsidR="00B47DA1" w:rsidRPr="00A96C2E">
        <w:rPr>
          <w:lang w:val="en-US" w:eastAsia="nb-NO"/>
        </w:rPr>
        <w:t xml:space="preserve"> </w:t>
      </w:r>
    </w:p>
    <w:p w:rsidR="00B47DA1" w:rsidRDefault="00A11A9E" w:rsidP="00A11A9E">
      <w:pPr>
        <w:pStyle w:val="Bullet1G"/>
        <w:numPr>
          <w:ilvl w:val="0"/>
          <w:numId w:val="0"/>
        </w:numPr>
        <w:tabs>
          <w:tab w:val="left" w:pos="1701"/>
        </w:tabs>
        <w:ind w:left="1701" w:hanging="170"/>
        <w:rPr>
          <w:lang w:val="en-US" w:eastAsia="nb-NO"/>
        </w:rPr>
      </w:pPr>
      <w:r>
        <w:rPr>
          <w:lang w:val="en-US" w:eastAsia="nb-NO"/>
        </w:rPr>
        <w:t>•</w:t>
      </w:r>
      <w:r>
        <w:rPr>
          <w:lang w:val="en-US" w:eastAsia="nb-NO"/>
        </w:rPr>
        <w:tab/>
      </w:r>
      <w:r w:rsidR="00B47DA1" w:rsidRPr="00A96C2E">
        <w:rPr>
          <w:u w:val="single"/>
          <w:lang w:val="en-US" w:eastAsia="nb-NO"/>
        </w:rPr>
        <w:t>Improved guidance and knowledge dissemination</w:t>
      </w:r>
      <w:r w:rsidR="00B47DA1" w:rsidRPr="00A96C2E">
        <w:rPr>
          <w:lang w:val="en-US" w:eastAsia="nb-NO"/>
        </w:rPr>
        <w:t>: New improved website (with good practices and gender mainstreaming tools), professional guidance on gender equality assessments, establishment of a new cross-ministerial network and a N</w:t>
      </w:r>
      <w:r w:rsidR="00B47DA1">
        <w:rPr>
          <w:lang w:val="en-US" w:eastAsia="nb-NO"/>
        </w:rPr>
        <w:t>ordic survey on best practices</w:t>
      </w:r>
    </w:p>
    <w:p w:rsidR="00B47DA1" w:rsidRPr="00A96C2E" w:rsidRDefault="00A11A9E" w:rsidP="00A11A9E">
      <w:pPr>
        <w:pStyle w:val="Bullet1G"/>
        <w:numPr>
          <w:ilvl w:val="0"/>
          <w:numId w:val="0"/>
        </w:numPr>
        <w:tabs>
          <w:tab w:val="left" w:pos="1701"/>
        </w:tabs>
        <w:ind w:left="1701" w:hanging="170"/>
        <w:rPr>
          <w:lang w:val="en-US" w:eastAsia="nb-NO"/>
        </w:rPr>
      </w:pPr>
      <w:r w:rsidRPr="00A96C2E">
        <w:rPr>
          <w:lang w:val="en-US" w:eastAsia="nb-NO"/>
        </w:rPr>
        <w:t>•</w:t>
      </w:r>
      <w:r w:rsidRPr="00A96C2E">
        <w:rPr>
          <w:lang w:val="en-US" w:eastAsia="nb-NO"/>
        </w:rPr>
        <w:tab/>
      </w:r>
      <w:r w:rsidR="00B47DA1" w:rsidRPr="00A96C2E">
        <w:rPr>
          <w:u w:val="single"/>
          <w:lang w:val="en-US" w:eastAsia="nb-NO"/>
        </w:rPr>
        <w:t>Improved monitoring</w:t>
      </w:r>
      <w:r w:rsidR="00B47DA1">
        <w:rPr>
          <w:lang w:val="en-US" w:eastAsia="nb-NO"/>
        </w:rPr>
        <w:t>:</w:t>
      </w:r>
      <w:r w:rsidR="00B47DA1" w:rsidRPr="00A96C2E">
        <w:rPr>
          <w:lang w:val="en-US" w:eastAsia="nb-NO"/>
        </w:rPr>
        <w:t xml:space="preserve"> Improved and simplified concept for the preparation of public authorities’ biannual gender equality reports, making the reports easier for authorities to use as tools for monitoring and improvement of gender equality measures, as well as monitoring of the authorities’ efforts to bring more women into management</w:t>
      </w:r>
      <w:r w:rsidR="00716185">
        <w:rPr>
          <w:lang w:val="en-US" w:eastAsia="nb-NO"/>
        </w:rPr>
        <w:t>.</w:t>
      </w:r>
    </w:p>
    <w:p w:rsidR="00B47DA1" w:rsidRPr="00A72067" w:rsidRDefault="00904E11" w:rsidP="00A11A9E">
      <w:pPr>
        <w:pStyle w:val="H4G"/>
        <w:rPr>
          <w:u w:val="single"/>
          <w:lang w:val="en-US" w:eastAsia="nb-NO"/>
        </w:rPr>
      </w:pPr>
      <w:r>
        <w:rPr>
          <w:lang w:val="en-US" w:eastAsia="nb-NO"/>
        </w:rPr>
        <w:tab/>
      </w:r>
      <w:r>
        <w:rPr>
          <w:lang w:val="en-US" w:eastAsia="nb-NO"/>
        </w:rPr>
        <w:tab/>
      </w:r>
      <w:r w:rsidR="00B47DA1" w:rsidRPr="00F376ED">
        <w:rPr>
          <w:lang w:val="en-US" w:eastAsia="nb-NO"/>
        </w:rPr>
        <w:t>Women in political decision</w:t>
      </w:r>
      <w:r w:rsidR="00716185">
        <w:rPr>
          <w:lang w:val="en-US" w:eastAsia="nb-NO"/>
        </w:rPr>
        <w:t>-</w:t>
      </w:r>
      <w:r w:rsidR="00B47DA1" w:rsidRPr="00F376ED">
        <w:rPr>
          <w:lang w:val="en-US" w:eastAsia="nb-NO"/>
        </w:rPr>
        <w:t>making positions</w:t>
      </w:r>
    </w:p>
    <w:p w:rsidR="00B47DA1" w:rsidRPr="006C1BA8" w:rsidRDefault="00A11A9E" w:rsidP="00A11A9E">
      <w:pPr>
        <w:pStyle w:val="SingleTxtG"/>
        <w:rPr>
          <w:lang w:val="en-US" w:eastAsia="nb-NO"/>
        </w:rPr>
      </w:pPr>
      <w:r w:rsidRPr="006C1BA8">
        <w:rPr>
          <w:lang w:val="en-US" w:eastAsia="nb-NO"/>
        </w:rPr>
        <w:t>68.</w:t>
      </w:r>
      <w:r w:rsidRPr="006C1BA8">
        <w:rPr>
          <w:lang w:val="en-US" w:eastAsia="nb-NO"/>
        </w:rPr>
        <w:tab/>
      </w:r>
      <w:r w:rsidR="00B47DA1">
        <w:rPr>
          <w:lang w:val="en-US" w:eastAsia="nb-NO"/>
        </w:rPr>
        <w:t xml:space="preserve">Women are still underrepresented in politics, especially at the local level. </w:t>
      </w:r>
      <w:r w:rsidR="00B47DA1" w:rsidRPr="006C1BA8">
        <w:rPr>
          <w:lang w:val="en-US" w:eastAsia="nb-NO"/>
        </w:rPr>
        <w:t xml:space="preserve">The proportion of seats held by women at </w:t>
      </w:r>
      <w:r w:rsidR="00716185">
        <w:rPr>
          <w:lang w:val="en-US" w:eastAsia="nb-NO"/>
        </w:rPr>
        <w:t xml:space="preserve">the </w:t>
      </w:r>
      <w:r w:rsidR="00B47DA1" w:rsidRPr="006C1BA8">
        <w:rPr>
          <w:lang w:val="en-US" w:eastAsia="nb-NO"/>
        </w:rPr>
        <w:t xml:space="preserve">local level has since the late 1980s been stable around 27 </w:t>
      </w:r>
      <w:r w:rsidR="00DA706F">
        <w:rPr>
          <w:lang w:val="en-US" w:eastAsia="nb-NO"/>
        </w:rPr>
        <w:t>per cent, but</w:t>
      </w:r>
      <w:r w:rsidR="00B47DA1" w:rsidRPr="006C1BA8">
        <w:rPr>
          <w:lang w:val="en-US" w:eastAsia="nb-NO"/>
        </w:rPr>
        <w:t xml:space="preserve"> improved to 32 </w:t>
      </w:r>
      <w:r w:rsidR="00DA706F">
        <w:rPr>
          <w:lang w:val="en-US" w:eastAsia="nb-NO"/>
        </w:rPr>
        <w:t>per cent</w:t>
      </w:r>
      <w:r w:rsidR="00B47DA1" w:rsidRPr="006C1BA8">
        <w:rPr>
          <w:lang w:val="en-US" w:eastAsia="nb-NO"/>
        </w:rPr>
        <w:t xml:space="preserve"> </w:t>
      </w:r>
      <w:r w:rsidR="00DA706F">
        <w:rPr>
          <w:lang w:val="en-US" w:eastAsia="nb-NO"/>
        </w:rPr>
        <w:t>a</w:t>
      </w:r>
      <w:r w:rsidR="00B47DA1" w:rsidRPr="006C1BA8">
        <w:rPr>
          <w:lang w:val="en-US" w:eastAsia="nb-NO"/>
        </w:rPr>
        <w:t xml:space="preserve">fter the elections in 2009. After the elections in 2013, this proportion was 30 </w:t>
      </w:r>
      <w:r w:rsidR="00DA706F">
        <w:rPr>
          <w:lang w:val="en-US" w:eastAsia="nb-NO"/>
        </w:rPr>
        <w:t>per cent.</w:t>
      </w:r>
      <w:r w:rsidR="00B47DA1" w:rsidRPr="006C1BA8">
        <w:rPr>
          <w:lang w:val="en-US" w:eastAsia="nb-NO"/>
        </w:rPr>
        <w:t xml:space="preserve"> In regional councils, the proportion of women is </w:t>
      </w:r>
      <w:r w:rsidR="00716185">
        <w:rPr>
          <w:lang w:val="en-US" w:eastAsia="nb-NO"/>
        </w:rPr>
        <w:t xml:space="preserve">greater </w:t>
      </w:r>
      <w:r w:rsidR="00B47DA1" w:rsidRPr="006C1BA8">
        <w:rPr>
          <w:lang w:val="en-US" w:eastAsia="nb-NO"/>
        </w:rPr>
        <w:t xml:space="preserve">and has been improving. After the elections in 2009, the proportion of seats held by women was 35 </w:t>
      </w:r>
      <w:r w:rsidR="00DA706F">
        <w:rPr>
          <w:lang w:val="en-US" w:eastAsia="nb-NO"/>
        </w:rPr>
        <w:t>per cent, and</w:t>
      </w:r>
      <w:r w:rsidR="00B47DA1" w:rsidRPr="006C1BA8">
        <w:rPr>
          <w:lang w:val="en-US" w:eastAsia="nb-NO"/>
        </w:rPr>
        <w:t xml:space="preserve"> 40 </w:t>
      </w:r>
      <w:r w:rsidR="00DA706F">
        <w:rPr>
          <w:lang w:val="en-US" w:eastAsia="nb-NO"/>
        </w:rPr>
        <w:t>per cent</w:t>
      </w:r>
      <w:r w:rsidR="00B47DA1" w:rsidRPr="006C1BA8">
        <w:rPr>
          <w:lang w:val="en-US" w:eastAsia="nb-NO"/>
        </w:rPr>
        <w:t xml:space="preserve"> </w:t>
      </w:r>
      <w:r w:rsidR="00DA706F">
        <w:rPr>
          <w:lang w:val="en-US" w:eastAsia="nb-NO"/>
        </w:rPr>
        <w:t>a</w:t>
      </w:r>
      <w:r w:rsidR="00B47DA1" w:rsidRPr="006C1BA8">
        <w:rPr>
          <w:lang w:val="en-US" w:eastAsia="nb-NO"/>
        </w:rPr>
        <w:t xml:space="preserve">fter the elections in 2013. In the national parliament, after the elections in 2011, the proportion of seats held by women was 39 </w:t>
      </w:r>
      <w:r w:rsidR="00DA706F">
        <w:rPr>
          <w:lang w:val="en-US" w:eastAsia="nb-NO"/>
        </w:rPr>
        <w:t>per cent.</w:t>
      </w:r>
      <w:r w:rsidR="00B47DA1" w:rsidRPr="006C1BA8">
        <w:rPr>
          <w:lang w:val="en-US" w:eastAsia="nb-NO"/>
        </w:rPr>
        <w:t xml:space="preserve"> From October 3</w:t>
      </w:r>
      <w:r w:rsidR="00B47DA1" w:rsidRPr="004F1CFB">
        <w:rPr>
          <w:lang w:val="en-US" w:eastAsia="nb-NO"/>
        </w:rPr>
        <w:t>rd</w:t>
      </w:r>
      <w:r w:rsidR="00B47DA1" w:rsidRPr="006C1BA8">
        <w:rPr>
          <w:lang w:val="en-US" w:eastAsia="nb-NO"/>
        </w:rPr>
        <w:t>, 2011-June 28, 201</w:t>
      </w:r>
      <w:r w:rsidR="00B47DA1">
        <w:rPr>
          <w:lang w:val="en-US" w:eastAsia="nb-NO"/>
        </w:rPr>
        <w:t>5, the Prime Minister was a woma</w:t>
      </w:r>
      <w:r w:rsidR="00B47DA1" w:rsidRPr="006C1BA8">
        <w:rPr>
          <w:lang w:val="en-US" w:eastAsia="nb-NO"/>
        </w:rPr>
        <w:t>n, and there were (</w:t>
      </w:r>
      <w:r w:rsidR="004F1CFB">
        <w:rPr>
          <w:lang w:val="en-US" w:eastAsia="nb-NO"/>
        </w:rPr>
        <w:t>as at</w:t>
      </w:r>
      <w:r w:rsidR="00B47DA1" w:rsidRPr="006C1BA8">
        <w:rPr>
          <w:lang w:val="en-US" w:eastAsia="nb-NO"/>
        </w:rPr>
        <w:t xml:space="preserve"> June 28, 2015) six female ministers (30 </w:t>
      </w:r>
      <w:r w:rsidR="00DA706F">
        <w:rPr>
          <w:lang w:val="en-US" w:eastAsia="nb-NO"/>
        </w:rPr>
        <w:t>per cent</w:t>
      </w:r>
      <w:r w:rsidR="00B47DA1" w:rsidRPr="006C1BA8">
        <w:rPr>
          <w:lang w:val="en-US" w:eastAsia="nb-NO"/>
        </w:rPr>
        <w:t>) out of 20 ministers in total.</w:t>
      </w:r>
    </w:p>
    <w:p w:rsidR="00B47DA1" w:rsidRPr="00716185" w:rsidRDefault="00A11A9E" w:rsidP="00A11A9E">
      <w:pPr>
        <w:pStyle w:val="SingleTxtG"/>
        <w:rPr>
          <w:lang w:val="en-US" w:eastAsia="nb-NO"/>
        </w:rPr>
      </w:pPr>
      <w:r w:rsidRPr="00716185">
        <w:rPr>
          <w:lang w:val="en-US" w:eastAsia="nb-NO"/>
        </w:rPr>
        <w:t>69.</w:t>
      </w:r>
      <w:r w:rsidRPr="00716185">
        <w:rPr>
          <w:lang w:val="en-US" w:eastAsia="nb-NO"/>
        </w:rPr>
        <w:tab/>
      </w:r>
      <w:r w:rsidR="00B47DA1" w:rsidRPr="00716185">
        <w:rPr>
          <w:lang w:val="en-US" w:eastAsia="nb-NO"/>
        </w:rPr>
        <w:t xml:space="preserve">Different initiatives have been launched to improve the number of women in local politics. Leaflets on women in local politics (2004 and 2008) have been published and an awareness-raising conference was held in 2009. Furthermore, a working group consisting of three ministries and </w:t>
      </w:r>
      <w:r w:rsidR="00716185">
        <w:rPr>
          <w:lang w:val="en-US" w:eastAsia="nb-NO"/>
        </w:rPr>
        <w:t xml:space="preserve">the </w:t>
      </w:r>
      <w:r w:rsidR="00B47DA1" w:rsidRPr="00716185">
        <w:rPr>
          <w:lang w:val="en-US" w:eastAsia="nb-NO"/>
        </w:rPr>
        <w:t xml:space="preserve">Local Government </w:t>
      </w:r>
      <w:r w:rsidR="00716185" w:rsidRPr="00716185">
        <w:rPr>
          <w:lang w:val="en-US" w:eastAsia="nb-NO"/>
        </w:rPr>
        <w:t xml:space="preserve">of </w:t>
      </w:r>
      <w:r w:rsidR="00B47DA1" w:rsidRPr="00716185">
        <w:rPr>
          <w:lang w:val="en-US" w:eastAsia="nb-NO"/>
        </w:rPr>
        <w:t xml:space="preserve">Denmark (KL) has been analyzing the effects on working conditions for local politicians after the local government reform in 2007. The group recommended in 2009 inter alia that gender should be a point of focus in dialogues with party associations with the aim of supporting a diversified recruitment base </w:t>
      </w:r>
      <w:r w:rsidR="00716185" w:rsidRPr="00716185">
        <w:rPr>
          <w:lang w:val="en-US" w:eastAsia="nb-NO"/>
        </w:rPr>
        <w:t xml:space="preserve">for </w:t>
      </w:r>
      <w:r w:rsidR="00B47DA1" w:rsidRPr="00716185">
        <w:rPr>
          <w:lang w:val="en-US" w:eastAsia="nb-NO"/>
        </w:rPr>
        <w:t>local governments. Finally, the former Ministry of Gender Equality and Ecclesiastical Affairs provided financial support for the awareness</w:t>
      </w:r>
      <w:r w:rsidR="00716185">
        <w:rPr>
          <w:lang w:val="en-US" w:eastAsia="nb-NO"/>
        </w:rPr>
        <w:t>-</w:t>
      </w:r>
      <w:r w:rsidR="00B47DA1" w:rsidRPr="00716185">
        <w:rPr>
          <w:lang w:val="en-US" w:eastAsia="nb-NO"/>
        </w:rPr>
        <w:t xml:space="preserve">raising campaign carried out by Women’s Council Denmark in 2013 focusing on more gender equality in local governments. </w:t>
      </w:r>
    </w:p>
    <w:p w:rsidR="00B47DA1" w:rsidRDefault="00A11A9E" w:rsidP="00A11A9E">
      <w:pPr>
        <w:pStyle w:val="SingleTxtG"/>
        <w:rPr>
          <w:lang w:val="en-US" w:eastAsia="nb-NO"/>
        </w:rPr>
      </w:pPr>
      <w:r>
        <w:rPr>
          <w:lang w:val="en-US" w:eastAsia="nb-NO"/>
        </w:rPr>
        <w:t>70.</w:t>
      </w:r>
      <w:r>
        <w:rPr>
          <w:lang w:val="en-US" w:eastAsia="nb-NO"/>
        </w:rPr>
        <w:tab/>
      </w:r>
      <w:r w:rsidR="00B47DA1" w:rsidRPr="00A96C2E">
        <w:rPr>
          <w:lang w:val="en-US" w:eastAsia="nb-NO"/>
        </w:rPr>
        <w:t>According to Section 10a of the Gender Equali</w:t>
      </w:r>
      <w:r w:rsidR="00B47DA1">
        <w:rPr>
          <w:lang w:val="en-US" w:eastAsia="nb-NO"/>
        </w:rPr>
        <w:t>ty Act (</w:t>
      </w:r>
      <w:r w:rsidR="00B47DA1" w:rsidRPr="005554FC">
        <w:rPr>
          <w:i/>
          <w:lang w:val="en-US" w:eastAsia="nb-NO"/>
        </w:rPr>
        <w:t>Ligebehandlingsloven</w:t>
      </w:r>
      <w:r w:rsidR="00B47DA1">
        <w:rPr>
          <w:lang w:val="en-US" w:eastAsia="nb-NO"/>
        </w:rPr>
        <w:t>), authorities or organi</w:t>
      </w:r>
      <w:r w:rsidR="00B47DA1" w:rsidRPr="00A96C2E">
        <w:rPr>
          <w:lang w:val="en-US" w:eastAsia="nb-NO"/>
        </w:rPr>
        <w:t>zations that suggest a member for a committe</w:t>
      </w:r>
      <w:r w:rsidR="00B47DA1">
        <w:rPr>
          <w:lang w:val="en-US" w:eastAsia="nb-NO"/>
        </w:rPr>
        <w:t>e etc. established by the munic</w:t>
      </w:r>
      <w:r w:rsidR="00B47DA1" w:rsidRPr="00A96C2E">
        <w:rPr>
          <w:lang w:val="en-US" w:eastAsia="nb-NO"/>
        </w:rPr>
        <w:t>ipality or regional council must suggest both a woman and a man. If the authority or the organization is unable to do that without referring to a specific reason, the municipality or regional council c</w:t>
      </w:r>
      <w:r w:rsidR="00B47DA1">
        <w:rPr>
          <w:lang w:val="en-US" w:eastAsia="nb-NO"/>
        </w:rPr>
        <w:t>an decide to estab</w:t>
      </w:r>
      <w:r w:rsidR="00B47DA1" w:rsidRPr="00A96C2E">
        <w:rPr>
          <w:lang w:val="en-US" w:eastAsia="nb-NO"/>
        </w:rPr>
        <w:t>lish the committee without the member in question. Since 2007</w:t>
      </w:r>
      <w:r w:rsidR="00B47DA1">
        <w:rPr>
          <w:lang w:val="en-US" w:eastAsia="nb-NO"/>
        </w:rPr>
        <w:t>,</w:t>
      </w:r>
      <w:r w:rsidR="00B47DA1" w:rsidRPr="00A96C2E">
        <w:rPr>
          <w:lang w:val="en-US" w:eastAsia="nb-NO"/>
        </w:rPr>
        <w:t xml:space="preserve"> </w:t>
      </w:r>
      <w:r w:rsidR="00150FD9" w:rsidRPr="00A96C2E">
        <w:rPr>
          <w:lang w:val="en-US" w:eastAsia="nb-NO"/>
        </w:rPr>
        <w:t>30</w:t>
      </w:r>
      <w:r w:rsidR="00150FD9">
        <w:rPr>
          <w:lang w:val="en-US" w:eastAsia="nb-NO"/>
        </w:rPr>
        <w:t>-</w:t>
      </w:r>
      <w:r w:rsidR="00150FD9" w:rsidRPr="00A96C2E">
        <w:rPr>
          <w:lang w:val="en-US" w:eastAsia="nb-NO"/>
        </w:rPr>
        <w:t xml:space="preserve">34 </w:t>
      </w:r>
      <w:r w:rsidR="00150FD9">
        <w:rPr>
          <w:lang w:val="en-US" w:eastAsia="nb-NO"/>
        </w:rPr>
        <w:t>per cent</w:t>
      </w:r>
      <w:r w:rsidR="00150FD9" w:rsidRPr="00A96C2E">
        <w:rPr>
          <w:lang w:val="en-US" w:eastAsia="nb-NO"/>
        </w:rPr>
        <w:t xml:space="preserve"> </w:t>
      </w:r>
      <w:r w:rsidR="00150FD9">
        <w:rPr>
          <w:lang w:val="en-US" w:eastAsia="nb-NO"/>
        </w:rPr>
        <w:t>o</w:t>
      </w:r>
      <w:r w:rsidR="00150FD9" w:rsidRPr="00A96C2E">
        <w:rPr>
          <w:lang w:val="en-US" w:eastAsia="nb-NO"/>
        </w:rPr>
        <w:t xml:space="preserve">f </w:t>
      </w:r>
      <w:r w:rsidR="00B47DA1" w:rsidRPr="00A96C2E">
        <w:rPr>
          <w:lang w:val="en-US" w:eastAsia="nb-NO"/>
        </w:rPr>
        <w:t xml:space="preserve">the members in local municipality bodies have been women and in the regions the figure since 2009 has been 44-45 </w:t>
      </w:r>
      <w:r w:rsidR="00DA706F">
        <w:rPr>
          <w:lang w:val="en-US" w:eastAsia="nb-NO"/>
        </w:rPr>
        <w:t>per cent</w:t>
      </w:r>
      <w:r w:rsidR="00B47DA1">
        <w:rPr>
          <w:lang w:val="en-US" w:eastAsia="nb-NO"/>
        </w:rPr>
        <w:t xml:space="preserve"> </w:t>
      </w:r>
    </w:p>
    <w:p w:rsidR="00B47DA1" w:rsidRPr="00F376ED" w:rsidRDefault="00904E11" w:rsidP="00A11A9E">
      <w:pPr>
        <w:pStyle w:val="H4G"/>
        <w:rPr>
          <w:u w:val="single"/>
          <w:lang w:val="en-US" w:eastAsia="nb-NO"/>
        </w:rPr>
      </w:pPr>
      <w:r>
        <w:rPr>
          <w:lang w:val="en-US" w:eastAsia="nb-NO"/>
        </w:rPr>
        <w:tab/>
      </w:r>
      <w:r>
        <w:rPr>
          <w:lang w:val="en-US" w:eastAsia="nb-NO"/>
        </w:rPr>
        <w:tab/>
      </w:r>
      <w:r w:rsidR="00B47DA1" w:rsidRPr="00F376ED">
        <w:rPr>
          <w:lang w:val="en-US" w:eastAsia="nb-NO"/>
        </w:rPr>
        <w:t xml:space="preserve">Women in management positions </w:t>
      </w:r>
      <w:r w:rsidR="00A40642">
        <w:rPr>
          <w:lang w:val="en-US" w:eastAsia="nb-NO"/>
        </w:rPr>
        <w:t>–</w:t>
      </w:r>
      <w:r w:rsidR="00B47DA1">
        <w:rPr>
          <w:lang w:val="en-US" w:eastAsia="nb-NO"/>
        </w:rPr>
        <w:t xml:space="preserve"> </w:t>
      </w:r>
      <w:r w:rsidR="00B47DA1" w:rsidRPr="00F376ED">
        <w:rPr>
          <w:lang w:val="en-US" w:eastAsia="nb-NO"/>
        </w:rPr>
        <w:t xml:space="preserve">private </w:t>
      </w:r>
      <w:r w:rsidR="00B47DA1">
        <w:rPr>
          <w:lang w:val="en-US" w:eastAsia="nb-NO"/>
        </w:rPr>
        <w:t xml:space="preserve">and state-owned </w:t>
      </w:r>
      <w:r w:rsidR="00B47DA1" w:rsidRPr="00F376ED">
        <w:rPr>
          <w:lang w:val="en-US" w:eastAsia="nb-NO"/>
        </w:rPr>
        <w:t>company boards</w:t>
      </w:r>
      <w:r w:rsidR="00B47DA1" w:rsidRPr="00F376ED">
        <w:rPr>
          <w:u w:val="single"/>
          <w:lang w:val="en-US" w:eastAsia="nb-NO"/>
        </w:rPr>
        <w:t xml:space="preserve"> </w:t>
      </w:r>
    </w:p>
    <w:p w:rsidR="00B47DA1" w:rsidRPr="00A72067" w:rsidRDefault="00A11A9E" w:rsidP="00A11A9E">
      <w:pPr>
        <w:pStyle w:val="SingleTxtG"/>
        <w:rPr>
          <w:lang w:val="en-US" w:eastAsia="nb-NO"/>
        </w:rPr>
      </w:pPr>
      <w:r w:rsidRPr="00A72067">
        <w:rPr>
          <w:lang w:val="en-US" w:eastAsia="nb-NO"/>
        </w:rPr>
        <w:t>71.</w:t>
      </w:r>
      <w:r w:rsidRPr="00A72067">
        <w:rPr>
          <w:lang w:val="en-US" w:eastAsia="nb-NO"/>
        </w:rPr>
        <w:tab/>
      </w:r>
      <w:r w:rsidR="00B47DA1">
        <w:rPr>
          <w:lang w:val="en-US" w:eastAsia="nb-NO"/>
        </w:rPr>
        <w:t>Various</w:t>
      </w:r>
      <w:r w:rsidR="00B47DA1" w:rsidRPr="00AF52BD">
        <w:rPr>
          <w:lang w:val="en-US" w:eastAsia="nb-NO"/>
        </w:rPr>
        <w:t xml:space="preserve"> initiatives have been initiated </w:t>
      </w:r>
      <w:r w:rsidR="00B47DA1">
        <w:rPr>
          <w:lang w:val="en-US" w:eastAsia="nb-NO"/>
        </w:rPr>
        <w:t xml:space="preserve">since 2007 </w:t>
      </w:r>
      <w:r w:rsidR="00B47DA1" w:rsidRPr="00AF52BD">
        <w:rPr>
          <w:lang w:val="en-US" w:eastAsia="nb-NO"/>
        </w:rPr>
        <w:t xml:space="preserve">to </w:t>
      </w:r>
      <w:r w:rsidR="00B47DA1">
        <w:rPr>
          <w:lang w:val="en-US" w:eastAsia="nb-NO"/>
        </w:rPr>
        <w:t>increase</w:t>
      </w:r>
      <w:r w:rsidR="00B47DA1" w:rsidRPr="00AF52BD">
        <w:rPr>
          <w:lang w:val="en-US" w:eastAsia="nb-NO"/>
        </w:rPr>
        <w:t xml:space="preserve"> the number of women on boards of enterprises and in management</w:t>
      </w:r>
      <w:r w:rsidR="00B47DA1">
        <w:rPr>
          <w:lang w:val="en-US" w:eastAsia="nb-NO"/>
        </w:rPr>
        <w:t xml:space="preserve">, such as using </w:t>
      </w:r>
      <w:r w:rsidR="00B47DA1" w:rsidRPr="00A72067">
        <w:rPr>
          <w:lang w:val="en-US" w:eastAsia="nb-NO"/>
        </w:rPr>
        <w:t>top</w:t>
      </w:r>
      <w:r w:rsidR="00716185">
        <w:rPr>
          <w:lang w:val="en-US" w:eastAsia="nb-NO"/>
        </w:rPr>
        <w:t xml:space="preserve"> </w:t>
      </w:r>
      <w:r w:rsidR="00B47DA1" w:rsidRPr="00A72067">
        <w:rPr>
          <w:lang w:val="en-US" w:eastAsia="nb-NO"/>
        </w:rPr>
        <w:t xml:space="preserve">managers as ambassadors for </w:t>
      </w:r>
      <w:r w:rsidR="00B47DA1">
        <w:rPr>
          <w:lang w:val="en-US" w:eastAsia="nb-NO"/>
        </w:rPr>
        <w:t xml:space="preserve">increasing the share of </w:t>
      </w:r>
      <w:r w:rsidR="00B47DA1" w:rsidRPr="00A72067">
        <w:rPr>
          <w:lang w:val="en-US" w:eastAsia="nb-NO"/>
        </w:rPr>
        <w:t xml:space="preserve">women in management. </w:t>
      </w:r>
    </w:p>
    <w:p w:rsidR="00B47DA1" w:rsidRDefault="00A11A9E" w:rsidP="00A11A9E">
      <w:pPr>
        <w:pStyle w:val="SingleTxtG"/>
        <w:rPr>
          <w:lang w:val="en-US" w:eastAsia="nb-NO"/>
        </w:rPr>
      </w:pPr>
      <w:r>
        <w:rPr>
          <w:lang w:val="en-US" w:eastAsia="nb-NO"/>
        </w:rPr>
        <w:t>72.</w:t>
      </w:r>
      <w:r>
        <w:rPr>
          <w:lang w:val="en-US" w:eastAsia="nb-NO"/>
        </w:rPr>
        <w:tab/>
      </w:r>
      <w:r w:rsidR="00B47DA1" w:rsidRPr="00A72067">
        <w:rPr>
          <w:lang w:val="en-US" w:eastAsia="nb-NO"/>
        </w:rPr>
        <w:t>In December 2012</w:t>
      </w:r>
      <w:r w:rsidR="00B47DA1">
        <w:rPr>
          <w:lang w:val="en-US" w:eastAsia="nb-NO"/>
        </w:rPr>
        <w:t>,</w:t>
      </w:r>
      <w:r w:rsidR="00B47DA1" w:rsidRPr="00A72067">
        <w:rPr>
          <w:lang w:val="en-US" w:eastAsia="nb-NO"/>
        </w:rPr>
        <w:t xml:space="preserve"> </w:t>
      </w:r>
      <w:r w:rsidR="00B47DA1">
        <w:rPr>
          <w:lang w:val="en-US" w:eastAsia="nb-NO"/>
        </w:rPr>
        <w:t xml:space="preserve">the Parliament adopted </w:t>
      </w:r>
      <w:r w:rsidR="00B47DA1" w:rsidRPr="00C26982">
        <w:rPr>
          <w:lang w:val="en-US" w:eastAsia="nb-NO"/>
        </w:rPr>
        <w:t xml:space="preserve">new rules on the gender representation on company boards of the largest limited liability companies and state-owned companies. The rules entered into force on 1 April 2013. The rules oblige the largest </w:t>
      </w:r>
      <w:r w:rsidR="00B47DA1" w:rsidRPr="00A72067">
        <w:rPr>
          <w:lang w:val="en-US" w:eastAsia="nb-NO"/>
        </w:rPr>
        <w:t>private</w:t>
      </w:r>
      <w:r w:rsidR="00B47DA1">
        <w:rPr>
          <w:lang w:val="en-US" w:eastAsia="nb-NO"/>
        </w:rPr>
        <w:t>ly</w:t>
      </w:r>
      <w:r w:rsidR="00B47DA1" w:rsidRPr="00A72067">
        <w:rPr>
          <w:lang w:val="en-US" w:eastAsia="nb-NO"/>
        </w:rPr>
        <w:t xml:space="preserve">-owned </w:t>
      </w:r>
      <w:r w:rsidR="00B47DA1" w:rsidRPr="00C26982">
        <w:rPr>
          <w:lang w:val="en-US" w:eastAsia="nb-NO"/>
        </w:rPr>
        <w:t xml:space="preserve">companies </w:t>
      </w:r>
      <w:r w:rsidR="00475842">
        <w:rPr>
          <w:lang w:val="en-US" w:eastAsia="nb-NO"/>
        </w:rPr>
        <w:t>—</w:t>
      </w:r>
      <w:r w:rsidR="00B47DA1" w:rsidRPr="00C26982">
        <w:rPr>
          <w:lang w:val="en-US" w:eastAsia="nb-NO"/>
        </w:rPr>
        <w:t xml:space="preserve"> around 1,200 </w:t>
      </w:r>
      <w:r w:rsidR="00475842">
        <w:rPr>
          <w:lang w:val="en-US" w:eastAsia="nb-NO"/>
        </w:rPr>
        <w:t>—</w:t>
      </w:r>
      <w:r w:rsidR="00B47DA1" w:rsidRPr="00C26982">
        <w:rPr>
          <w:lang w:val="en-US" w:eastAsia="nb-NO"/>
        </w:rPr>
        <w:t xml:space="preserve"> to set a target figure for the share of the underrepresented </w:t>
      </w:r>
      <w:r w:rsidR="00B47DA1">
        <w:rPr>
          <w:lang w:val="en-US" w:eastAsia="nb-NO"/>
        </w:rPr>
        <w:t>gender</w:t>
      </w:r>
      <w:r w:rsidR="00B47DA1" w:rsidRPr="00C26982">
        <w:rPr>
          <w:lang w:val="en-US" w:eastAsia="nb-NO"/>
        </w:rPr>
        <w:t xml:space="preserve"> in the </w:t>
      </w:r>
      <w:r w:rsidR="00B47DA1" w:rsidRPr="00A72067">
        <w:rPr>
          <w:lang w:val="en-US" w:eastAsia="nb-NO"/>
        </w:rPr>
        <w:t>supreme management body</w:t>
      </w:r>
      <w:r w:rsidR="00B47DA1" w:rsidRPr="00C26982">
        <w:rPr>
          <w:lang w:val="en-US" w:eastAsia="nb-NO"/>
        </w:rPr>
        <w:t xml:space="preserve">. The obligation </w:t>
      </w:r>
      <w:r w:rsidR="00B47DA1">
        <w:rPr>
          <w:lang w:val="en-US" w:eastAsia="nb-NO"/>
        </w:rPr>
        <w:t xml:space="preserve">does not entail </w:t>
      </w:r>
      <w:r w:rsidR="00B47DA1" w:rsidRPr="00C26982">
        <w:rPr>
          <w:lang w:val="en-US" w:eastAsia="nb-NO"/>
        </w:rPr>
        <w:t xml:space="preserve">a legal quota but </w:t>
      </w:r>
      <w:r w:rsidR="00B47DA1">
        <w:rPr>
          <w:lang w:val="en-US" w:eastAsia="nb-NO"/>
        </w:rPr>
        <w:t xml:space="preserve">is </w:t>
      </w:r>
      <w:r w:rsidR="00B47DA1" w:rsidRPr="00C26982">
        <w:rPr>
          <w:lang w:val="en-US" w:eastAsia="nb-NO"/>
        </w:rPr>
        <w:t xml:space="preserve">a legal obligation for the companies to </w:t>
      </w:r>
      <w:r w:rsidR="00B47DA1">
        <w:rPr>
          <w:lang w:val="en-US" w:eastAsia="nb-NO"/>
        </w:rPr>
        <w:t>assume</w:t>
      </w:r>
      <w:r w:rsidR="00B47DA1" w:rsidRPr="00C26982">
        <w:rPr>
          <w:lang w:val="en-US" w:eastAsia="nb-NO"/>
        </w:rPr>
        <w:t xml:space="preserve"> responsibility </w:t>
      </w:r>
      <w:r w:rsidR="00B47DA1">
        <w:rPr>
          <w:lang w:val="en-US" w:eastAsia="nb-NO"/>
        </w:rPr>
        <w:t>for</w:t>
      </w:r>
      <w:r w:rsidR="00B47DA1" w:rsidRPr="00C26982">
        <w:rPr>
          <w:lang w:val="en-US" w:eastAsia="nb-NO"/>
        </w:rPr>
        <w:t xml:space="preserve"> promoting opportunities for women in the decision-making positions of private companies. The target figure covers only board members elected by the general assembly.</w:t>
      </w:r>
      <w:r w:rsidR="00B47DA1">
        <w:rPr>
          <w:lang w:val="en-US" w:eastAsia="nb-NO"/>
        </w:rPr>
        <w:t xml:space="preserve"> </w:t>
      </w:r>
      <w:r w:rsidR="00B47DA1" w:rsidRPr="00C26982">
        <w:rPr>
          <w:lang w:val="en-US" w:eastAsia="nb-NO"/>
        </w:rPr>
        <w:t>Furthermore</w:t>
      </w:r>
      <w:r w:rsidR="00B47DA1">
        <w:rPr>
          <w:lang w:val="en-US" w:eastAsia="nb-NO"/>
        </w:rPr>
        <w:t>,</w:t>
      </w:r>
      <w:r w:rsidR="00B47DA1" w:rsidRPr="00C26982">
        <w:rPr>
          <w:lang w:val="en-US" w:eastAsia="nb-NO"/>
        </w:rPr>
        <w:t xml:space="preserve"> the companies must </w:t>
      </w:r>
      <w:r w:rsidR="00B47DA1">
        <w:rPr>
          <w:lang w:val="en-US" w:eastAsia="nb-NO"/>
        </w:rPr>
        <w:t>have a</w:t>
      </w:r>
      <w:r w:rsidR="00B47DA1" w:rsidRPr="00C26982">
        <w:rPr>
          <w:lang w:val="en-US" w:eastAsia="nb-NO"/>
        </w:rPr>
        <w:t xml:space="preserve"> polic</w:t>
      </w:r>
      <w:r w:rsidR="00B47DA1">
        <w:rPr>
          <w:lang w:val="en-US" w:eastAsia="nb-NO"/>
        </w:rPr>
        <w:t>y</w:t>
      </w:r>
      <w:r w:rsidR="00B47DA1" w:rsidRPr="006540FA">
        <w:t xml:space="preserve"> </w:t>
      </w:r>
      <w:r w:rsidR="00B47DA1" w:rsidRPr="002B28E4">
        <w:t xml:space="preserve">for increasing the proportion of the underrepresented </w:t>
      </w:r>
      <w:r w:rsidR="00B47DA1">
        <w:t>gender</w:t>
      </w:r>
      <w:r w:rsidR="00B47DA1" w:rsidRPr="002B28E4">
        <w:t xml:space="preserve"> at the management levels of the companies in general.</w:t>
      </w:r>
      <w:r w:rsidR="00B47DA1" w:rsidRPr="00C26982">
        <w:rPr>
          <w:lang w:val="en-US" w:eastAsia="nb-NO"/>
        </w:rPr>
        <w:t xml:space="preserve"> </w:t>
      </w:r>
      <w:r w:rsidR="00B47DA1">
        <w:rPr>
          <w:lang w:val="en-US" w:eastAsia="nb-NO"/>
        </w:rPr>
        <w:t>Finally, regardless of size, a</w:t>
      </w:r>
      <w:r w:rsidR="00B47DA1" w:rsidRPr="00A72067">
        <w:rPr>
          <w:lang w:val="en-US" w:eastAsia="nb-NO"/>
        </w:rPr>
        <w:t>ll state-owned companies must set targets and prepare a policy to increase the share of women in management. Local and regional authorities are encouraged to prepare common guide</w:t>
      </w:r>
      <w:r w:rsidR="00B47DA1">
        <w:rPr>
          <w:lang w:val="en-US" w:eastAsia="nb-NO"/>
        </w:rPr>
        <w:t>lines on gender equality in man</w:t>
      </w:r>
      <w:r w:rsidR="00B47DA1" w:rsidRPr="00A72067">
        <w:rPr>
          <w:lang w:val="en-US" w:eastAsia="nb-NO"/>
        </w:rPr>
        <w:t>agement</w:t>
      </w:r>
      <w:r w:rsidR="00B47DA1" w:rsidRPr="006540FA">
        <w:t xml:space="preserve"> </w:t>
      </w:r>
      <w:r w:rsidR="00B47DA1" w:rsidRPr="002B28E4">
        <w:t>at regional or local level</w:t>
      </w:r>
      <w:r w:rsidR="00B47DA1" w:rsidRPr="00A72067">
        <w:rPr>
          <w:lang w:val="en-US" w:eastAsia="nb-NO"/>
        </w:rPr>
        <w:t>.</w:t>
      </w:r>
      <w:r w:rsidR="00B47DA1">
        <w:rPr>
          <w:lang w:val="en-US" w:eastAsia="nb-NO"/>
        </w:rPr>
        <w:t xml:space="preserve"> </w:t>
      </w:r>
    </w:p>
    <w:p w:rsidR="00B47DA1" w:rsidRDefault="00A11A9E" w:rsidP="00A11A9E">
      <w:pPr>
        <w:pStyle w:val="SingleTxtG"/>
        <w:rPr>
          <w:lang w:val="en-US" w:eastAsia="nb-NO"/>
        </w:rPr>
      </w:pPr>
      <w:r>
        <w:rPr>
          <w:lang w:val="en-US" w:eastAsia="nb-NO"/>
        </w:rPr>
        <w:t>73.</w:t>
      </w:r>
      <w:r>
        <w:rPr>
          <w:lang w:val="en-US" w:eastAsia="nb-NO"/>
        </w:rPr>
        <w:tab/>
      </w:r>
      <w:r w:rsidR="00B47DA1" w:rsidRPr="00C26982">
        <w:rPr>
          <w:lang w:val="en-US" w:eastAsia="nb-NO"/>
        </w:rPr>
        <w:t xml:space="preserve">The companies must report on the </w:t>
      </w:r>
      <w:r w:rsidR="00B47DA1" w:rsidRPr="002B28E4">
        <w:t xml:space="preserve">status of fulfilment of the target </w:t>
      </w:r>
      <w:r w:rsidR="00B47DA1">
        <w:t xml:space="preserve">figure </w:t>
      </w:r>
      <w:r w:rsidR="00B47DA1" w:rsidRPr="002B28E4">
        <w:t xml:space="preserve">set out in the annual report, including, if </w:t>
      </w:r>
      <w:r w:rsidR="00716185">
        <w:t>applicable</w:t>
      </w:r>
      <w:r w:rsidR="00B47DA1" w:rsidRPr="002B28E4">
        <w:t xml:space="preserve">, why the companies failed to achieve the target. If the companies fail to </w:t>
      </w:r>
      <w:r w:rsidR="00B47DA1">
        <w:t>report</w:t>
      </w:r>
      <w:r w:rsidR="00B47DA1" w:rsidRPr="002B28E4">
        <w:t xml:space="preserve">, they may be fined. </w:t>
      </w:r>
      <w:r w:rsidR="00B47DA1" w:rsidRPr="00C26982">
        <w:rPr>
          <w:lang w:val="en-US" w:eastAsia="nb-NO"/>
        </w:rPr>
        <w:t xml:space="preserve">The first reports </w:t>
      </w:r>
      <w:r w:rsidR="00B47DA1">
        <w:rPr>
          <w:lang w:val="en-US" w:eastAsia="nb-NO"/>
        </w:rPr>
        <w:t>were</w:t>
      </w:r>
      <w:r w:rsidR="00B47DA1" w:rsidRPr="00C26982">
        <w:rPr>
          <w:lang w:val="en-US" w:eastAsia="nb-NO"/>
        </w:rPr>
        <w:t xml:space="preserve"> received in April and May 2014 </w:t>
      </w:r>
      <w:r w:rsidR="00B47DA1">
        <w:rPr>
          <w:lang w:val="en-US" w:eastAsia="nb-NO"/>
        </w:rPr>
        <w:t>regarding the financial year 2013. T</w:t>
      </w:r>
      <w:r w:rsidR="00B47DA1" w:rsidRPr="00C26982">
        <w:rPr>
          <w:lang w:val="en-US" w:eastAsia="nb-NO"/>
        </w:rPr>
        <w:t>he Danish Business Authority (</w:t>
      </w:r>
      <w:r w:rsidR="00B47DA1" w:rsidRPr="00244387">
        <w:rPr>
          <w:i/>
          <w:lang w:val="en-US" w:eastAsia="nb-NO"/>
        </w:rPr>
        <w:t>Erhvervsstyrelsen</w:t>
      </w:r>
      <w:r w:rsidR="00B47DA1" w:rsidRPr="00C26982">
        <w:rPr>
          <w:lang w:val="en-US" w:eastAsia="nb-NO"/>
        </w:rPr>
        <w:t xml:space="preserve">) will </w:t>
      </w:r>
      <w:r w:rsidR="00B47DA1">
        <w:rPr>
          <w:lang w:val="en-US" w:eastAsia="nb-NO"/>
        </w:rPr>
        <w:t xml:space="preserve">conduct an annual evaluation of corporate reporting and the first report </w:t>
      </w:r>
      <w:r w:rsidR="00716185">
        <w:rPr>
          <w:lang w:val="en-US" w:eastAsia="nb-NO"/>
        </w:rPr>
        <w:t xml:space="preserve">thereon </w:t>
      </w:r>
      <w:r w:rsidR="00B47DA1">
        <w:rPr>
          <w:lang w:val="en-US" w:eastAsia="nb-NO"/>
        </w:rPr>
        <w:t>was published in October 2014</w:t>
      </w:r>
      <w:r w:rsidR="00B47DA1" w:rsidRPr="00C26982">
        <w:rPr>
          <w:lang w:val="en-US" w:eastAsia="nb-NO"/>
        </w:rPr>
        <w:t xml:space="preserve">. The Danish Business Authority will also evaluate the new rules </w:t>
      </w:r>
      <w:r w:rsidR="00B47DA1">
        <w:rPr>
          <w:lang w:val="en-US" w:eastAsia="nb-NO"/>
        </w:rPr>
        <w:t xml:space="preserve">by 2017. </w:t>
      </w:r>
    </w:p>
    <w:p w:rsidR="00B47DA1" w:rsidRDefault="00A11A9E" w:rsidP="00A11A9E">
      <w:pPr>
        <w:pStyle w:val="SingleTxtG"/>
        <w:rPr>
          <w:lang w:val="en-US" w:eastAsia="nb-NO"/>
        </w:rPr>
      </w:pPr>
      <w:r>
        <w:rPr>
          <w:lang w:val="en-US" w:eastAsia="nb-NO"/>
        </w:rPr>
        <w:t>74.</w:t>
      </w:r>
      <w:r>
        <w:rPr>
          <w:lang w:val="en-US" w:eastAsia="nb-NO"/>
        </w:rPr>
        <w:tab/>
      </w:r>
      <w:r w:rsidR="00B47DA1">
        <w:rPr>
          <w:lang w:val="en-US" w:eastAsia="nb-NO"/>
        </w:rPr>
        <w:t>In October 2014, the first indications of the impact of new rules on gender representation on company boards were published. The report shows that:</w:t>
      </w:r>
      <w:r w:rsidR="00AF685F">
        <w:rPr>
          <w:lang w:val="en-US" w:eastAsia="nb-NO"/>
        </w:rPr>
        <w:t xml:space="preserve"> </w:t>
      </w:r>
    </w:p>
    <w:p w:rsidR="00B47DA1" w:rsidRPr="001C7D76" w:rsidRDefault="006A300B">
      <w:pPr>
        <w:pStyle w:val="SingleTxtG"/>
      </w:pPr>
      <w:r>
        <w:tab/>
        <w:t>(a)</w:t>
      </w:r>
      <w:r w:rsidR="00904E11" w:rsidRPr="001C7D76">
        <w:tab/>
      </w:r>
      <w:r w:rsidR="00B47DA1" w:rsidRPr="001C7D76">
        <w:t xml:space="preserve">73 </w:t>
      </w:r>
      <w:r w:rsidR="00DA706F">
        <w:t>per cent</w:t>
      </w:r>
      <w:r w:rsidR="00B47DA1" w:rsidRPr="001C7D76">
        <w:t xml:space="preserve"> </w:t>
      </w:r>
      <w:r w:rsidR="00DA706F">
        <w:t>o</w:t>
      </w:r>
      <w:r w:rsidR="00B47DA1" w:rsidRPr="001C7D76">
        <w:t xml:space="preserve">f the included private companies have set a target for the share of </w:t>
      </w:r>
      <w:r w:rsidR="00177A80">
        <w:t xml:space="preserve">the </w:t>
      </w:r>
      <w:r w:rsidR="00B47DA1" w:rsidRPr="001C7D76">
        <w:t>underrepresented gender in the supreme governing body;</w:t>
      </w:r>
    </w:p>
    <w:p w:rsidR="00B47DA1" w:rsidRPr="001C7D76" w:rsidRDefault="00904E11">
      <w:pPr>
        <w:pStyle w:val="SingleTxtG"/>
      </w:pPr>
      <w:r w:rsidRPr="001C7D76">
        <w:tab/>
      </w:r>
      <w:r w:rsidR="006A300B">
        <w:t>(</w:t>
      </w:r>
      <w:r w:rsidR="00B47DA1" w:rsidRPr="001C7D76">
        <w:t>b</w:t>
      </w:r>
      <w:r w:rsidR="006A300B">
        <w:t>)</w:t>
      </w:r>
      <w:r w:rsidRPr="001C7D76">
        <w:tab/>
      </w:r>
      <w:r w:rsidR="00475842" w:rsidRPr="001C7D76">
        <w:t xml:space="preserve">The </w:t>
      </w:r>
      <w:r w:rsidR="00B47DA1" w:rsidRPr="001C7D76">
        <w:t xml:space="preserve">target figures are set on average at 25 </w:t>
      </w:r>
      <w:r w:rsidR="00DA706F">
        <w:t>per cent</w:t>
      </w:r>
      <w:r w:rsidR="00150FD9">
        <w:t>,</w:t>
      </w:r>
      <w:r w:rsidR="00B47DA1" w:rsidRPr="001C7D76">
        <w:t xml:space="preserve"> </w:t>
      </w:r>
      <w:r w:rsidR="00DA706F">
        <w:t>t</w:t>
      </w:r>
      <w:r w:rsidR="00B47DA1" w:rsidRPr="001C7D76">
        <w:t>o be achieved within four years;</w:t>
      </w:r>
    </w:p>
    <w:p w:rsidR="00B47DA1" w:rsidRPr="001C7D76" w:rsidRDefault="00904E11">
      <w:pPr>
        <w:pStyle w:val="SingleTxtG"/>
      </w:pPr>
      <w:r w:rsidRPr="001C7D76">
        <w:tab/>
      </w:r>
      <w:r w:rsidR="006A300B">
        <w:t>(</w:t>
      </w:r>
      <w:r w:rsidR="00B47DA1" w:rsidRPr="001C7D76">
        <w:t>c</w:t>
      </w:r>
      <w:r w:rsidR="006A300B">
        <w:t>)</w:t>
      </w:r>
      <w:r w:rsidRPr="001C7D76">
        <w:tab/>
      </w:r>
      <w:r w:rsidR="00B47DA1" w:rsidRPr="001C7D76">
        <w:t xml:space="preserve">50 </w:t>
      </w:r>
      <w:r w:rsidR="00DA706F">
        <w:t>per cent</w:t>
      </w:r>
      <w:r w:rsidR="00B47DA1" w:rsidRPr="001C7D76">
        <w:t xml:space="preserve"> </w:t>
      </w:r>
      <w:r w:rsidR="00DA706F">
        <w:t>o</w:t>
      </w:r>
      <w:r w:rsidR="00B47DA1" w:rsidRPr="001C7D76">
        <w:t>f the companies state that they have a policy to increase the share of the underrepresented gender in other management levels</w:t>
      </w:r>
      <w:r w:rsidR="00475842">
        <w:t>.</w:t>
      </w:r>
      <w:r w:rsidR="00B47DA1" w:rsidRPr="001C7D76">
        <w:t xml:space="preserve"> </w:t>
      </w:r>
    </w:p>
    <w:p w:rsidR="001C7D76" w:rsidRDefault="00A11A9E" w:rsidP="00A11A9E">
      <w:pPr>
        <w:pStyle w:val="SingleTxtG"/>
        <w:rPr>
          <w:lang w:val="en-US" w:eastAsia="nb-NO"/>
        </w:rPr>
      </w:pPr>
      <w:r>
        <w:rPr>
          <w:lang w:val="en-US" w:eastAsia="nb-NO"/>
        </w:rPr>
        <w:t>75.</w:t>
      </w:r>
      <w:r>
        <w:rPr>
          <w:lang w:val="en-US" w:eastAsia="nb-NO"/>
        </w:rPr>
        <w:tab/>
      </w:r>
      <w:r w:rsidR="001C7D76">
        <w:rPr>
          <w:lang w:val="en-US" w:eastAsia="nb-NO"/>
        </w:rPr>
        <w:t xml:space="preserve">Furthermore, the Danish Business Authority conducted a survey on gender representation in large companies covered by the Danish rules. The survey shows that the gender representation in company boards as of February 2015 consists of 15 </w:t>
      </w:r>
      <w:r w:rsidR="00150FD9">
        <w:rPr>
          <w:lang w:val="en-US" w:eastAsia="nb-NO"/>
        </w:rPr>
        <w:t>per cent women and 85 per cent men</w:t>
      </w:r>
      <w:r w:rsidR="001C7D76">
        <w:rPr>
          <w:lang w:val="en-US" w:eastAsia="nb-NO"/>
        </w:rPr>
        <w:t xml:space="preserve">. </w:t>
      </w:r>
    </w:p>
    <w:p w:rsidR="001C7D76" w:rsidRDefault="00A11A9E" w:rsidP="00A11A9E">
      <w:pPr>
        <w:pStyle w:val="SingleTxtG"/>
        <w:rPr>
          <w:lang w:val="en-US" w:eastAsia="nb-NO"/>
        </w:rPr>
      </w:pPr>
      <w:r>
        <w:rPr>
          <w:lang w:val="en-US" w:eastAsia="nb-NO"/>
        </w:rPr>
        <w:t>76.</w:t>
      </w:r>
      <w:r>
        <w:rPr>
          <w:lang w:val="en-US" w:eastAsia="nb-NO"/>
        </w:rPr>
        <w:tab/>
      </w:r>
      <w:r w:rsidR="001C7D76">
        <w:rPr>
          <w:lang w:val="en-US" w:eastAsia="nb-NO"/>
        </w:rPr>
        <w:t>This year’s report covering the financial year 2014 is expected to be published in October 2015.</w:t>
      </w:r>
    </w:p>
    <w:p w:rsidR="001C7D76" w:rsidRDefault="00A11A9E" w:rsidP="00A11A9E">
      <w:pPr>
        <w:pStyle w:val="SingleTxtG"/>
        <w:rPr>
          <w:lang w:val="en-US" w:eastAsia="nb-NO"/>
        </w:rPr>
      </w:pPr>
      <w:r>
        <w:rPr>
          <w:lang w:val="en-US" w:eastAsia="nb-NO"/>
        </w:rPr>
        <w:t>77.</w:t>
      </w:r>
      <w:r>
        <w:rPr>
          <w:lang w:val="en-US" w:eastAsia="nb-NO"/>
        </w:rPr>
        <w:tab/>
      </w:r>
      <w:r w:rsidR="001C7D76">
        <w:rPr>
          <w:lang w:val="en-US" w:eastAsia="nb-NO"/>
        </w:rPr>
        <w:t>In December 2014, the first indications of the impact of the bill on the number of women in management positions in the public section were published:</w:t>
      </w:r>
    </w:p>
    <w:p w:rsidR="001C7D76" w:rsidRDefault="001C7D76">
      <w:pPr>
        <w:pStyle w:val="SingleTxtG"/>
        <w:rPr>
          <w:lang w:val="en-US" w:eastAsia="nb-NO"/>
        </w:rPr>
      </w:pPr>
      <w:r>
        <w:rPr>
          <w:lang w:val="en-US" w:eastAsia="nb-NO"/>
        </w:rPr>
        <w:tab/>
      </w:r>
      <w:r w:rsidR="006A300B">
        <w:rPr>
          <w:lang w:val="en-US" w:eastAsia="nb-NO"/>
        </w:rPr>
        <w:t>(a)</w:t>
      </w:r>
      <w:r>
        <w:rPr>
          <w:lang w:val="en-US" w:eastAsia="nb-NO"/>
        </w:rPr>
        <w:tab/>
        <w:t xml:space="preserve">86 </w:t>
      </w:r>
      <w:r w:rsidR="00DA706F">
        <w:rPr>
          <w:lang w:val="en-US" w:eastAsia="nb-NO"/>
        </w:rPr>
        <w:t>per cent</w:t>
      </w:r>
      <w:r>
        <w:rPr>
          <w:lang w:val="en-US" w:eastAsia="nb-NO"/>
        </w:rPr>
        <w:t xml:space="preserve"> </w:t>
      </w:r>
      <w:r w:rsidR="00DA706F">
        <w:rPr>
          <w:lang w:val="en-US" w:eastAsia="nb-NO"/>
        </w:rPr>
        <w:t>o</w:t>
      </w:r>
      <w:r>
        <w:rPr>
          <w:lang w:val="en-US" w:eastAsia="nb-NO"/>
        </w:rPr>
        <w:t>f the included public companies have a set target for the share of the underrepresented gender in the supreme governing body;</w:t>
      </w:r>
    </w:p>
    <w:p w:rsidR="001C7D76" w:rsidRDefault="001C7D76">
      <w:pPr>
        <w:pStyle w:val="SingleTxtG"/>
        <w:rPr>
          <w:lang w:val="en-US" w:eastAsia="nb-NO"/>
        </w:rPr>
      </w:pPr>
      <w:r>
        <w:rPr>
          <w:lang w:val="en-US" w:eastAsia="nb-NO"/>
        </w:rPr>
        <w:tab/>
      </w:r>
      <w:r w:rsidR="006A300B">
        <w:rPr>
          <w:lang w:val="en-US" w:eastAsia="nb-NO"/>
        </w:rPr>
        <w:t>(b)</w:t>
      </w:r>
      <w:r>
        <w:rPr>
          <w:lang w:val="en-US" w:eastAsia="nb-NO"/>
        </w:rPr>
        <w:tab/>
      </w:r>
      <w:r w:rsidR="00475842">
        <w:rPr>
          <w:lang w:val="en-US" w:eastAsia="nb-NO"/>
        </w:rPr>
        <w:t xml:space="preserve">The </w:t>
      </w:r>
      <w:r>
        <w:rPr>
          <w:lang w:val="en-US" w:eastAsia="nb-NO"/>
        </w:rPr>
        <w:t>target figures are on average set at 29</w:t>
      </w:r>
      <w:r w:rsidR="00DA706F">
        <w:rPr>
          <w:lang w:val="en-US" w:eastAsia="nb-NO"/>
        </w:rPr>
        <w:t>.</w:t>
      </w:r>
      <w:r>
        <w:rPr>
          <w:lang w:val="en-US" w:eastAsia="nb-NO"/>
        </w:rPr>
        <w:t xml:space="preserve">5 </w:t>
      </w:r>
      <w:r w:rsidR="00DA706F">
        <w:rPr>
          <w:lang w:val="en-US" w:eastAsia="nb-NO"/>
        </w:rPr>
        <w:t>per cent,</w:t>
      </w:r>
      <w:r>
        <w:rPr>
          <w:lang w:val="en-US" w:eastAsia="nb-NO"/>
        </w:rPr>
        <w:t xml:space="preserve"> </w:t>
      </w:r>
      <w:r w:rsidR="00DA706F">
        <w:rPr>
          <w:lang w:val="en-US" w:eastAsia="nb-NO"/>
        </w:rPr>
        <w:t>t</w:t>
      </w:r>
      <w:r>
        <w:rPr>
          <w:lang w:val="en-US" w:eastAsia="nb-NO"/>
        </w:rPr>
        <w:t>o be achieved within the next four years;</w:t>
      </w:r>
    </w:p>
    <w:p w:rsidR="001C7D76" w:rsidRDefault="001C7D76">
      <w:pPr>
        <w:pStyle w:val="SingleTxtG"/>
        <w:rPr>
          <w:lang w:val="en-US" w:eastAsia="nb-NO"/>
        </w:rPr>
      </w:pPr>
      <w:r>
        <w:rPr>
          <w:lang w:val="en-US" w:eastAsia="nb-NO"/>
        </w:rPr>
        <w:tab/>
      </w:r>
      <w:r w:rsidR="006A300B">
        <w:rPr>
          <w:lang w:val="en-US" w:eastAsia="nb-NO"/>
        </w:rPr>
        <w:t>(c)</w:t>
      </w:r>
      <w:r>
        <w:rPr>
          <w:lang w:val="en-US" w:eastAsia="nb-NO"/>
        </w:rPr>
        <w:tab/>
        <w:t xml:space="preserve">47 </w:t>
      </w:r>
      <w:r w:rsidR="00DA706F">
        <w:rPr>
          <w:lang w:val="en-US" w:eastAsia="nb-NO"/>
        </w:rPr>
        <w:t>per cent</w:t>
      </w:r>
      <w:r>
        <w:rPr>
          <w:lang w:val="en-US" w:eastAsia="nb-NO"/>
        </w:rPr>
        <w:t xml:space="preserve"> </w:t>
      </w:r>
      <w:r w:rsidR="00DA706F">
        <w:rPr>
          <w:lang w:val="en-US" w:eastAsia="nb-NO"/>
        </w:rPr>
        <w:t>a</w:t>
      </w:r>
      <w:r>
        <w:rPr>
          <w:lang w:val="en-US" w:eastAsia="nb-NO"/>
        </w:rPr>
        <w:t>lready have a balanced share of women and men in management positions (40/60).</w:t>
      </w:r>
    </w:p>
    <w:p w:rsidR="001C7D76" w:rsidRDefault="00A11A9E" w:rsidP="00A11A9E">
      <w:pPr>
        <w:pStyle w:val="SingleTxtG"/>
        <w:rPr>
          <w:lang w:val="en-US" w:eastAsia="nb-NO"/>
        </w:rPr>
      </w:pPr>
      <w:r>
        <w:rPr>
          <w:lang w:val="en-US" w:eastAsia="nb-NO"/>
        </w:rPr>
        <w:t>78.</w:t>
      </w:r>
      <w:r>
        <w:rPr>
          <w:lang w:val="en-US" w:eastAsia="nb-NO"/>
        </w:rPr>
        <w:tab/>
      </w:r>
      <w:r w:rsidR="001C7D76">
        <w:rPr>
          <w:lang w:val="en-US" w:eastAsia="nb-NO"/>
        </w:rPr>
        <w:t xml:space="preserve">Based on the above, the impact of the Danish model after the first year seems to be positive regarding the number of the underrepresented gender on corporate boards and it is expected that the coming year’s studies of the included companies’ reports will show </w:t>
      </w:r>
      <w:r w:rsidR="00177A80">
        <w:rPr>
          <w:lang w:val="en-US" w:eastAsia="nb-NO"/>
        </w:rPr>
        <w:t>even greater progress</w:t>
      </w:r>
      <w:r w:rsidR="001C7D76">
        <w:rPr>
          <w:lang w:val="en-US" w:eastAsia="nb-NO"/>
        </w:rPr>
        <w:t xml:space="preserve">. </w:t>
      </w:r>
    </w:p>
    <w:p w:rsidR="001C7D76" w:rsidRDefault="00A11A9E" w:rsidP="00A11A9E">
      <w:pPr>
        <w:pStyle w:val="SingleTxtG"/>
        <w:rPr>
          <w:lang w:val="en-US" w:eastAsia="nb-NO"/>
        </w:rPr>
      </w:pPr>
      <w:r>
        <w:rPr>
          <w:lang w:val="en-US" w:eastAsia="nb-NO"/>
        </w:rPr>
        <w:t>79.</w:t>
      </w:r>
      <w:r>
        <w:rPr>
          <w:lang w:val="en-US" w:eastAsia="nb-NO"/>
        </w:rPr>
        <w:tab/>
      </w:r>
      <w:r w:rsidR="001C7D76">
        <w:rPr>
          <w:lang w:val="en-US" w:eastAsia="nb-NO"/>
        </w:rPr>
        <w:t>T</w:t>
      </w:r>
      <w:r w:rsidR="001C7D76" w:rsidRPr="00AF52BD">
        <w:rPr>
          <w:lang w:val="en-US" w:eastAsia="nb-NO"/>
        </w:rPr>
        <w:t xml:space="preserve">he proportion of female </w:t>
      </w:r>
      <w:r w:rsidR="001C7D76">
        <w:rPr>
          <w:lang w:val="en-US" w:eastAsia="nb-NO"/>
        </w:rPr>
        <w:t xml:space="preserve">board members (exclusive </w:t>
      </w:r>
      <w:r w:rsidR="00177A80">
        <w:rPr>
          <w:lang w:val="en-US" w:eastAsia="nb-NO"/>
        </w:rPr>
        <w:t xml:space="preserve">of </w:t>
      </w:r>
      <w:r w:rsidR="001C7D76">
        <w:rPr>
          <w:lang w:val="en-US" w:eastAsia="nb-NO"/>
        </w:rPr>
        <w:t xml:space="preserve">employee representatives) in companies subject to the rules on target figures and policy for the underrepresented gender is 16 </w:t>
      </w:r>
      <w:r w:rsidR="00DA706F">
        <w:rPr>
          <w:lang w:val="en-US" w:eastAsia="nb-NO"/>
        </w:rPr>
        <w:t>per cent</w:t>
      </w:r>
      <w:r w:rsidR="001C7D76">
        <w:rPr>
          <w:lang w:val="en-US" w:eastAsia="nb-NO"/>
        </w:rPr>
        <w:t xml:space="preserve"> </w:t>
      </w:r>
      <w:r w:rsidR="00DA706F">
        <w:rPr>
          <w:lang w:val="en-US" w:eastAsia="nb-NO"/>
        </w:rPr>
        <w:t>a</w:t>
      </w:r>
      <w:r w:rsidR="001C7D76">
        <w:rPr>
          <w:lang w:val="en-US" w:eastAsia="nb-NO"/>
        </w:rPr>
        <w:t xml:space="preserve">s of January 2015. </w:t>
      </w:r>
      <w:r w:rsidR="005B5090">
        <w:rPr>
          <w:lang w:val="en-US" w:eastAsia="nb-NO"/>
        </w:rPr>
        <w:t>An extraction of data</w:t>
      </w:r>
      <w:r w:rsidR="001C7D76">
        <w:rPr>
          <w:lang w:val="en-US" w:eastAsia="nb-NO"/>
        </w:rPr>
        <w:t xml:space="preserve"> from the Danish Business Authority’s company</w:t>
      </w:r>
      <w:r w:rsidR="00177A80">
        <w:rPr>
          <w:lang w:val="en-US" w:eastAsia="nb-NO"/>
        </w:rPr>
        <w:t xml:space="preserve"> </w:t>
      </w:r>
      <w:r w:rsidR="001C7D76">
        <w:rPr>
          <w:lang w:val="en-US" w:eastAsia="nb-NO"/>
        </w:rPr>
        <w:t xml:space="preserve">register (exclusive </w:t>
      </w:r>
      <w:r w:rsidR="00177A80">
        <w:rPr>
          <w:lang w:val="en-US" w:eastAsia="nb-NO"/>
        </w:rPr>
        <w:t xml:space="preserve">of </w:t>
      </w:r>
      <w:r w:rsidR="001C7D76">
        <w:rPr>
          <w:lang w:val="en-US" w:eastAsia="nb-NO"/>
        </w:rPr>
        <w:t>foreign board members) shows that in p</w:t>
      </w:r>
      <w:r w:rsidR="001C7D76" w:rsidRPr="00C26982">
        <w:rPr>
          <w:lang w:val="en-US" w:eastAsia="nb-NO"/>
        </w:rPr>
        <w:t>ublic limited compani</w:t>
      </w:r>
      <w:r w:rsidR="001C7D76">
        <w:rPr>
          <w:lang w:val="en-US" w:eastAsia="nb-NO"/>
        </w:rPr>
        <w:t>es the proportion of female board members is 19</w:t>
      </w:r>
      <w:r w:rsidR="00DA706F">
        <w:rPr>
          <w:lang w:val="en-US" w:eastAsia="nb-NO"/>
        </w:rPr>
        <w:t>.</w:t>
      </w:r>
      <w:r w:rsidR="001C7D76">
        <w:rPr>
          <w:lang w:val="en-US" w:eastAsia="nb-NO"/>
        </w:rPr>
        <w:t xml:space="preserve">29 </w:t>
      </w:r>
      <w:r w:rsidR="00DA706F">
        <w:rPr>
          <w:lang w:val="en-US" w:eastAsia="nb-NO"/>
        </w:rPr>
        <w:t>per cent, and</w:t>
      </w:r>
      <w:r w:rsidR="001C7D76">
        <w:rPr>
          <w:lang w:val="en-US" w:eastAsia="nb-NO"/>
        </w:rPr>
        <w:t xml:space="preserve"> in state-</w:t>
      </w:r>
      <w:r w:rsidR="001C7D76" w:rsidRPr="00C26982">
        <w:rPr>
          <w:lang w:val="en-US" w:eastAsia="nb-NO"/>
        </w:rPr>
        <w:t>owned public limited companies</w:t>
      </w:r>
      <w:r w:rsidR="001C7D76">
        <w:rPr>
          <w:lang w:val="en-US" w:eastAsia="nb-NO"/>
        </w:rPr>
        <w:t xml:space="preserve"> the proportion of female board members is </w:t>
      </w:r>
      <w:r w:rsidR="001C7D76" w:rsidRPr="00C26982">
        <w:rPr>
          <w:lang w:val="en-US" w:eastAsia="nb-NO"/>
        </w:rPr>
        <w:t>3</w:t>
      </w:r>
      <w:r w:rsidR="001C7D76">
        <w:rPr>
          <w:lang w:val="en-US" w:eastAsia="nb-NO"/>
        </w:rPr>
        <w:t>0</w:t>
      </w:r>
      <w:r w:rsidR="001C7D76" w:rsidRPr="00C26982">
        <w:rPr>
          <w:lang w:val="en-US" w:eastAsia="nb-NO"/>
        </w:rPr>
        <w:t xml:space="preserve"> </w:t>
      </w:r>
      <w:r w:rsidR="00DA706F">
        <w:rPr>
          <w:lang w:val="en-US" w:eastAsia="nb-NO"/>
        </w:rPr>
        <w:t>per cent</w:t>
      </w:r>
      <w:r w:rsidR="001C7D76" w:rsidRPr="008641E1">
        <w:rPr>
          <w:lang w:val="en-US"/>
        </w:rPr>
        <w:t xml:space="preserve"> </w:t>
      </w:r>
    </w:p>
    <w:p w:rsidR="001C7D76" w:rsidRPr="00A34252" w:rsidRDefault="001C7D76" w:rsidP="00A11A9E">
      <w:pPr>
        <w:pStyle w:val="H4G"/>
        <w:rPr>
          <w:u w:val="single"/>
          <w:lang w:val="en-US" w:eastAsia="nb-NO"/>
        </w:rPr>
      </w:pPr>
      <w:r>
        <w:rPr>
          <w:lang w:val="en-US" w:eastAsia="nb-NO"/>
        </w:rPr>
        <w:tab/>
      </w:r>
      <w:r>
        <w:rPr>
          <w:lang w:val="en-US" w:eastAsia="nb-NO"/>
        </w:rPr>
        <w:tab/>
      </w:r>
      <w:r w:rsidRPr="00F376ED">
        <w:rPr>
          <w:lang w:val="en-US" w:eastAsia="nb-NO"/>
        </w:rPr>
        <w:t>Women in academia</w:t>
      </w:r>
      <w:r w:rsidRPr="00441933">
        <w:rPr>
          <w:lang w:val="en-US" w:eastAsia="nb-NO"/>
        </w:rPr>
        <w:t xml:space="preserve"> </w:t>
      </w:r>
    </w:p>
    <w:p w:rsidR="001C7D76" w:rsidRDefault="00A11A9E" w:rsidP="00A11A9E">
      <w:pPr>
        <w:pStyle w:val="SingleTxtG"/>
        <w:rPr>
          <w:lang w:val="en-US" w:eastAsia="nb-NO"/>
        </w:rPr>
      </w:pPr>
      <w:r>
        <w:rPr>
          <w:lang w:val="en-US" w:eastAsia="nb-NO"/>
        </w:rPr>
        <w:t>80.</w:t>
      </w:r>
      <w:r>
        <w:rPr>
          <w:lang w:val="en-US" w:eastAsia="nb-NO"/>
        </w:rPr>
        <w:tab/>
      </w:r>
      <w:r w:rsidR="001C7D76" w:rsidRPr="00A72067">
        <w:rPr>
          <w:lang w:val="en-US" w:eastAsia="nb-NO"/>
        </w:rPr>
        <w:t xml:space="preserve">Among scientific personnel the share of women has increased from 27 </w:t>
      </w:r>
      <w:r w:rsidR="00DA706F">
        <w:rPr>
          <w:lang w:val="en-US" w:eastAsia="nb-NO"/>
        </w:rPr>
        <w:t>per cent</w:t>
      </w:r>
      <w:r w:rsidR="001C7D76" w:rsidRPr="00A72067">
        <w:rPr>
          <w:lang w:val="en-US" w:eastAsia="nb-NO"/>
        </w:rPr>
        <w:t xml:space="preserve"> </w:t>
      </w:r>
      <w:r w:rsidR="00DA706F">
        <w:rPr>
          <w:lang w:val="en-US" w:eastAsia="nb-NO"/>
        </w:rPr>
        <w:t>i</w:t>
      </w:r>
      <w:r w:rsidR="001C7D76" w:rsidRPr="00A72067">
        <w:rPr>
          <w:lang w:val="en-US" w:eastAsia="nb-NO"/>
        </w:rPr>
        <w:t>n 2007 to 31</w:t>
      </w:r>
      <w:r w:rsidR="00DA706F">
        <w:rPr>
          <w:lang w:val="en-US" w:eastAsia="nb-NO"/>
        </w:rPr>
        <w:t>.</w:t>
      </w:r>
      <w:r w:rsidR="001C7D76">
        <w:rPr>
          <w:lang w:val="en-US" w:eastAsia="nb-NO"/>
        </w:rPr>
        <w:t>5</w:t>
      </w:r>
      <w:r w:rsidR="001C7D76" w:rsidRPr="00A72067">
        <w:rPr>
          <w:lang w:val="en-US" w:eastAsia="nb-NO"/>
        </w:rPr>
        <w:t xml:space="preserve"> </w:t>
      </w:r>
      <w:r w:rsidR="00DA706F">
        <w:rPr>
          <w:lang w:val="en-US" w:eastAsia="nb-NO"/>
        </w:rPr>
        <w:t>per cent</w:t>
      </w:r>
      <w:r w:rsidR="001C7D76">
        <w:rPr>
          <w:lang w:val="en-US" w:eastAsia="nb-NO"/>
        </w:rPr>
        <w:t xml:space="preserve"> </w:t>
      </w:r>
      <w:r w:rsidR="00DA706F">
        <w:rPr>
          <w:lang w:val="en-US" w:eastAsia="nb-NO"/>
        </w:rPr>
        <w:t>i</w:t>
      </w:r>
      <w:r w:rsidR="001C7D76">
        <w:rPr>
          <w:lang w:val="en-US" w:eastAsia="nb-NO"/>
        </w:rPr>
        <w:t>n 2013</w:t>
      </w:r>
      <w:r w:rsidR="00177A80">
        <w:rPr>
          <w:lang w:val="en-US" w:eastAsia="nb-NO"/>
        </w:rPr>
        <w:t>;</w:t>
      </w:r>
      <w:r w:rsidR="001C7D76">
        <w:rPr>
          <w:lang w:val="en-US" w:eastAsia="nb-NO"/>
        </w:rPr>
        <w:t xml:space="preserve"> by the end of 2013</w:t>
      </w:r>
      <w:r w:rsidR="00177A80">
        <w:rPr>
          <w:lang w:val="en-US" w:eastAsia="nb-NO"/>
        </w:rPr>
        <w:t>,</w:t>
      </w:r>
      <w:r w:rsidR="001C7D76" w:rsidRPr="00A72067">
        <w:rPr>
          <w:lang w:val="en-US" w:eastAsia="nb-NO"/>
        </w:rPr>
        <w:t xml:space="preserve"> 1</w:t>
      </w:r>
      <w:r w:rsidR="001C7D76">
        <w:rPr>
          <w:lang w:val="en-US" w:eastAsia="nb-NO"/>
        </w:rPr>
        <w:t>8</w:t>
      </w:r>
      <w:r w:rsidR="00DA706F">
        <w:rPr>
          <w:lang w:val="en-US" w:eastAsia="nb-NO"/>
        </w:rPr>
        <w:t>.</w:t>
      </w:r>
      <w:r w:rsidR="001C7D76">
        <w:rPr>
          <w:lang w:val="en-US" w:eastAsia="nb-NO"/>
        </w:rPr>
        <w:t>4</w:t>
      </w:r>
      <w:r w:rsidR="001C7D76" w:rsidRPr="00A72067">
        <w:rPr>
          <w:lang w:val="en-US" w:eastAsia="nb-NO"/>
        </w:rPr>
        <w:t xml:space="preserve"> </w:t>
      </w:r>
      <w:r w:rsidR="00DA706F">
        <w:rPr>
          <w:lang w:val="en-US" w:eastAsia="nb-NO"/>
        </w:rPr>
        <w:t>per cent</w:t>
      </w:r>
      <w:r w:rsidR="001C7D76" w:rsidRPr="00A72067">
        <w:rPr>
          <w:lang w:val="en-US" w:eastAsia="nb-NO"/>
        </w:rPr>
        <w:t xml:space="preserve"> </w:t>
      </w:r>
      <w:r w:rsidR="00DA706F">
        <w:rPr>
          <w:lang w:val="en-US" w:eastAsia="nb-NO"/>
        </w:rPr>
        <w:t>o</w:t>
      </w:r>
      <w:r w:rsidR="001C7D76" w:rsidRPr="00A72067">
        <w:rPr>
          <w:lang w:val="en-US" w:eastAsia="nb-NO"/>
        </w:rPr>
        <w:t xml:space="preserve">f </w:t>
      </w:r>
      <w:r w:rsidR="001C7D76">
        <w:rPr>
          <w:lang w:val="en-US" w:eastAsia="nb-NO"/>
        </w:rPr>
        <w:t xml:space="preserve">university </w:t>
      </w:r>
      <w:r w:rsidR="001C7D76" w:rsidRPr="00A72067">
        <w:rPr>
          <w:lang w:val="en-US" w:eastAsia="nb-NO"/>
        </w:rPr>
        <w:t>professors were women. To improve the number of female scientists</w:t>
      </w:r>
      <w:r w:rsidR="001C7D76">
        <w:rPr>
          <w:lang w:val="en-US" w:eastAsia="nb-NO"/>
        </w:rPr>
        <w:t>,</w:t>
      </w:r>
      <w:r w:rsidR="001C7D76" w:rsidRPr="00A72067">
        <w:rPr>
          <w:lang w:val="en-US" w:eastAsia="nb-NO"/>
        </w:rPr>
        <w:t xml:space="preserve"> 70 million DKK </w:t>
      </w:r>
      <w:r w:rsidR="00177A80">
        <w:rPr>
          <w:lang w:val="en-US" w:eastAsia="nb-NO"/>
        </w:rPr>
        <w:t xml:space="preserve">was </w:t>
      </w:r>
      <w:r w:rsidR="001C7D76">
        <w:rPr>
          <w:lang w:val="en-US" w:eastAsia="nb-NO"/>
        </w:rPr>
        <w:t>allocated for the implemen</w:t>
      </w:r>
      <w:r w:rsidR="001C7D76" w:rsidRPr="00A72067">
        <w:rPr>
          <w:lang w:val="en-US" w:eastAsia="nb-NO"/>
        </w:rPr>
        <w:t>tation of the programme “Ydun”</w:t>
      </w:r>
      <w:r w:rsidR="001C7D76">
        <w:rPr>
          <w:lang w:val="en-US" w:eastAsia="nb-NO"/>
        </w:rPr>
        <w:t xml:space="preserve"> in 2014</w:t>
      </w:r>
      <w:r w:rsidR="001C7D76" w:rsidRPr="00A72067">
        <w:rPr>
          <w:lang w:val="en-US" w:eastAsia="nb-NO"/>
        </w:rPr>
        <w:t xml:space="preserve">. The Danish Council for Independent Research </w:t>
      </w:r>
      <w:r w:rsidR="001C7D76" w:rsidRPr="00A11A9E">
        <w:rPr>
          <w:iCs/>
          <w:lang w:val="en-US" w:eastAsia="nb-NO"/>
        </w:rPr>
        <w:t>(</w:t>
      </w:r>
      <w:r w:rsidR="001C7D76">
        <w:rPr>
          <w:i/>
          <w:lang w:val="en-US" w:eastAsia="nb-NO"/>
        </w:rPr>
        <w:t>Det Frie Forskningsråd</w:t>
      </w:r>
      <w:r w:rsidR="001C7D76" w:rsidRPr="00A11A9E">
        <w:rPr>
          <w:iCs/>
          <w:lang w:val="en-US" w:eastAsia="nb-NO"/>
        </w:rPr>
        <w:t>)</w:t>
      </w:r>
      <w:r w:rsidR="001C7D76">
        <w:rPr>
          <w:i/>
          <w:lang w:val="en-US" w:eastAsia="nb-NO"/>
        </w:rPr>
        <w:t xml:space="preserve"> </w:t>
      </w:r>
      <w:r w:rsidR="001C7D76" w:rsidRPr="00A72067">
        <w:rPr>
          <w:lang w:val="en-US" w:eastAsia="nb-NO"/>
        </w:rPr>
        <w:t xml:space="preserve">that is implementing “Ydun” has added another 40 million DDK for the programme. The aim of the programme </w:t>
      </w:r>
      <w:r w:rsidR="001C7D76">
        <w:rPr>
          <w:lang w:val="en-US" w:eastAsia="nb-NO"/>
        </w:rPr>
        <w:t>has been to promote a more gender</w:t>
      </w:r>
      <w:r w:rsidR="00177A80">
        <w:rPr>
          <w:lang w:val="en-US" w:eastAsia="nb-NO"/>
        </w:rPr>
        <w:t>-</w:t>
      </w:r>
      <w:r w:rsidR="001C7D76">
        <w:rPr>
          <w:lang w:val="en-US" w:eastAsia="nb-NO"/>
        </w:rPr>
        <w:t>bal</w:t>
      </w:r>
      <w:r w:rsidR="001C7D76" w:rsidRPr="00A72067">
        <w:rPr>
          <w:lang w:val="en-US" w:eastAsia="nb-NO"/>
        </w:rPr>
        <w:t xml:space="preserve">anced composition </w:t>
      </w:r>
      <w:r w:rsidR="00177A80">
        <w:rPr>
          <w:lang w:val="en-US" w:eastAsia="nb-NO"/>
        </w:rPr>
        <w:t>in</w:t>
      </w:r>
      <w:r w:rsidR="001C7D76" w:rsidRPr="00A72067">
        <w:rPr>
          <w:lang w:val="en-US" w:eastAsia="nb-NO"/>
        </w:rPr>
        <w:t xml:space="preserve"> Danish research environments by giving female applicants precedence over male applicants i</w:t>
      </w:r>
      <w:r w:rsidR="001C7D76">
        <w:rPr>
          <w:lang w:val="en-US" w:eastAsia="nb-NO"/>
        </w:rPr>
        <w:t>n situations of equal qualifica</w:t>
      </w:r>
      <w:r w:rsidR="001C7D76" w:rsidRPr="00A72067">
        <w:rPr>
          <w:lang w:val="en-US" w:eastAsia="nb-NO"/>
        </w:rPr>
        <w:t>tions between the two.</w:t>
      </w:r>
    </w:p>
    <w:p w:rsidR="001C7D76" w:rsidRPr="00F376ED" w:rsidRDefault="001C7D76" w:rsidP="00A11A9E">
      <w:pPr>
        <w:pStyle w:val="H4G"/>
        <w:rPr>
          <w:lang w:val="en-US" w:eastAsia="nb-NO"/>
        </w:rPr>
      </w:pPr>
      <w:r>
        <w:rPr>
          <w:lang w:eastAsia="nb-NO"/>
        </w:rPr>
        <w:tab/>
      </w:r>
      <w:r>
        <w:rPr>
          <w:lang w:eastAsia="nb-NO"/>
        </w:rPr>
        <w:tab/>
      </w:r>
      <w:r w:rsidRPr="00F376ED">
        <w:rPr>
          <w:lang w:eastAsia="nb-NO"/>
        </w:rPr>
        <w:t xml:space="preserve">Statistics </w:t>
      </w:r>
      <w:r>
        <w:rPr>
          <w:lang w:eastAsia="nb-NO"/>
        </w:rPr>
        <w:t>from</w:t>
      </w:r>
      <w:r w:rsidRPr="00F376ED">
        <w:rPr>
          <w:lang w:eastAsia="nb-NO"/>
        </w:rPr>
        <w:t xml:space="preserve"> Greenland</w:t>
      </w:r>
      <w:r>
        <w:rPr>
          <w:lang w:eastAsia="nb-NO"/>
        </w:rPr>
        <w:t xml:space="preserve"> and </w:t>
      </w:r>
      <w:r w:rsidRPr="00F376ED">
        <w:rPr>
          <w:lang w:val="en-US" w:eastAsia="nb-NO"/>
        </w:rPr>
        <w:t>the Faroe Islands</w:t>
      </w:r>
    </w:p>
    <w:p w:rsidR="001C7D76" w:rsidRPr="00A11A9E" w:rsidRDefault="00A11A9E" w:rsidP="00A11A9E">
      <w:pPr>
        <w:pStyle w:val="SingleTxtG"/>
        <w:rPr>
          <w:bCs/>
          <w:lang w:val="en-US" w:eastAsia="nb-NO"/>
        </w:rPr>
      </w:pPr>
      <w:r w:rsidRPr="00A11A9E">
        <w:rPr>
          <w:bCs/>
          <w:lang w:val="en-US" w:eastAsia="nb-NO"/>
        </w:rPr>
        <w:t>81.</w:t>
      </w:r>
      <w:r w:rsidRPr="00A11A9E">
        <w:rPr>
          <w:bCs/>
          <w:lang w:val="en-US" w:eastAsia="nb-NO"/>
        </w:rPr>
        <w:tab/>
      </w:r>
      <w:r w:rsidR="001C7D76">
        <w:rPr>
          <w:lang w:eastAsia="nb-NO"/>
        </w:rPr>
        <w:t>The Government of Greenland consists of 9 members of which 3 are women (33</w:t>
      </w:r>
      <w:r w:rsidR="007E4BA2">
        <w:rPr>
          <w:lang w:eastAsia="nb-NO"/>
        </w:rPr>
        <w:t> </w:t>
      </w:r>
      <w:r w:rsidR="00DA706F">
        <w:rPr>
          <w:lang w:eastAsia="nb-NO"/>
        </w:rPr>
        <w:t>per cent</w:t>
      </w:r>
      <w:r w:rsidR="001C7D76">
        <w:rPr>
          <w:lang w:eastAsia="nb-NO"/>
        </w:rPr>
        <w:t>). The Parliament of Greenland consists of 31 members of which 13 are women (42</w:t>
      </w:r>
      <w:r w:rsidR="00732BA6">
        <w:rPr>
          <w:lang w:eastAsia="nb-NO"/>
        </w:rPr>
        <w:t> </w:t>
      </w:r>
      <w:r w:rsidR="00DA706F">
        <w:rPr>
          <w:lang w:eastAsia="nb-NO"/>
        </w:rPr>
        <w:t>per cent</w:t>
      </w:r>
      <w:r w:rsidR="001C7D76">
        <w:rPr>
          <w:lang w:eastAsia="nb-NO"/>
        </w:rPr>
        <w:t xml:space="preserve">). 3 out of 4 mayors of municipal councils are men and municipal councils consist of a total 70 members of which 22 are women (31 </w:t>
      </w:r>
      <w:r w:rsidR="00DA706F">
        <w:rPr>
          <w:lang w:eastAsia="nb-NO"/>
        </w:rPr>
        <w:t>per cent</w:t>
      </w:r>
      <w:r w:rsidR="001C7D76">
        <w:rPr>
          <w:lang w:eastAsia="nb-NO"/>
        </w:rPr>
        <w:t xml:space="preserve">). The </w:t>
      </w:r>
      <w:r w:rsidR="00FF0EDD">
        <w:rPr>
          <w:lang w:eastAsia="nb-NO"/>
        </w:rPr>
        <w:t xml:space="preserve">boards of </w:t>
      </w:r>
      <w:r w:rsidR="001C7D76">
        <w:rPr>
          <w:lang w:eastAsia="nb-NO"/>
        </w:rPr>
        <w:t>fully or partially Government</w:t>
      </w:r>
      <w:r w:rsidR="00FF0EDD">
        <w:rPr>
          <w:lang w:eastAsia="nb-NO"/>
        </w:rPr>
        <w:t>-</w:t>
      </w:r>
      <w:r w:rsidR="001C7D76">
        <w:rPr>
          <w:lang w:eastAsia="nb-NO"/>
        </w:rPr>
        <w:t>owned public companies consist of in total 89 members of which 31 are women (</w:t>
      </w:r>
      <w:r w:rsidR="001C7D76" w:rsidRPr="00A11A9E">
        <w:t>35</w:t>
      </w:r>
      <w:r w:rsidR="00732BA6">
        <w:t> </w:t>
      </w:r>
      <w:r w:rsidR="00DA706F">
        <w:t>per cent</w:t>
      </w:r>
      <w:r w:rsidR="001C7D76">
        <w:rPr>
          <w:lang w:eastAsia="nb-NO"/>
        </w:rPr>
        <w:t>).</w:t>
      </w:r>
    </w:p>
    <w:p w:rsidR="001C7D76" w:rsidRPr="00142130" w:rsidRDefault="00A11A9E" w:rsidP="00A11A9E">
      <w:pPr>
        <w:pStyle w:val="SingleTxtG"/>
        <w:rPr>
          <w:lang w:val="en-US" w:eastAsia="nb-NO"/>
        </w:rPr>
      </w:pPr>
      <w:r w:rsidRPr="00142130">
        <w:rPr>
          <w:lang w:val="en-US" w:eastAsia="nb-NO"/>
        </w:rPr>
        <w:t>82.</w:t>
      </w:r>
      <w:r w:rsidRPr="00142130">
        <w:rPr>
          <w:lang w:val="en-US" w:eastAsia="nb-NO"/>
        </w:rPr>
        <w:tab/>
      </w:r>
      <w:r w:rsidR="001C7D76">
        <w:rPr>
          <w:lang w:val="en-US" w:eastAsia="nb-NO"/>
        </w:rPr>
        <w:t xml:space="preserve">As regards equality between men and women and political participation of women in the Faroe Islands, reference is made to the enclosed report of the Faroe Islands. </w:t>
      </w:r>
    </w:p>
    <w:p w:rsidR="001C7D76" w:rsidRPr="00102FEC" w:rsidRDefault="001C7D76" w:rsidP="00A11A9E">
      <w:pPr>
        <w:pStyle w:val="H23G"/>
        <w:rPr>
          <w:lang w:val="en-US" w:eastAsia="nb-NO"/>
        </w:rPr>
      </w:pPr>
      <w:r>
        <w:rPr>
          <w:lang w:val="en-US" w:eastAsia="nb-NO"/>
        </w:rPr>
        <w:tab/>
      </w:r>
      <w:r>
        <w:rPr>
          <w:lang w:val="en-US" w:eastAsia="nb-NO"/>
        </w:rPr>
        <w:tab/>
      </w:r>
      <w:r w:rsidRPr="00102FEC">
        <w:rPr>
          <w:lang w:val="en-US" w:eastAsia="nb-NO"/>
        </w:rPr>
        <w:t xml:space="preserve">Reply to paragraph 11 of the </w:t>
      </w:r>
      <w:r w:rsidR="00FF0EDD">
        <w:rPr>
          <w:lang w:val="en-US" w:eastAsia="nb-NO"/>
        </w:rPr>
        <w:t>list of issues</w:t>
      </w:r>
      <w:r w:rsidRPr="00102FEC">
        <w:rPr>
          <w:lang w:val="en-US"/>
        </w:rPr>
        <w:t xml:space="preserve"> [Ministry of Employment and Ministry of</w:t>
      </w:r>
      <w:r w:rsidR="000A5889">
        <w:rPr>
          <w:lang w:val="en-US"/>
        </w:rPr>
        <w:t> </w:t>
      </w:r>
      <w:r>
        <w:rPr>
          <w:lang w:val="en-US"/>
        </w:rPr>
        <w:t>Immigration</w:t>
      </w:r>
      <w:r w:rsidRPr="00102FEC">
        <w:rPr>
          <w:lang w:val="en-US"/>
        </w:rPr>
        <w:t>, Integration and Housing]</w:t>
      </w:r>
    </w:p>
    <w:p w:rsidR="001C7D76" w:rsidRDefault="00A11A9E" w:rsidP="00A11A9E">
      <w:pPr>
        <w:pStyle w:val="SingleTxtG"/>
      </w:pPr>
      <w:r>
        <w:t>83.</w:t>
      </w:r>
      <w:r>
        <w:tab/>
      </w:r>
      <w:r w:rsidR="001C7D76">
        <w:rPr>
          <w:lang w:val="en-US"/>
        </w:rPr>
        <w:t xml:space="preserve">In 2013 the employment rate for women in Denmark was 69 </w:t>
      </w:r>
      <w:r w:rsidR="00150FD9">
        <w:rPr>
          <w:lang w:val="en-US"/>
        </w:rPr>
        <w:t>per cent; for men, it was 72.5 per cent</w:t>
      </w:r>
      <w:r w:rsidR="001C7D76">
        <w:rPr>
          <w:lang w:val="en-US"/>
        </w:rPr>
        <w:t>.</w:t>
      </w:r>
      <w:r w:rsidR="00084035">
        <w:rPr>
          <w:lang w:val="en-US"/>
        </w:rPr>
        <w:t xml:space="preserve"> </w:t>
      </w:r>
      <w:r w:rsidR="001C7D76">
        <w:rPr>
          <w:lang w:val="en-US"/>
        </w:rPr>
        <w:t>Overall, employment for both groups has declined since 2010 partly due to the general economic crisis. Figures from 2014 are not yet available.</w:t>
      </w:r>
    </w:p>
    <w:p w:rsidR="001C7D76" w:rsidRPr="00781D8C" w:rsidRDefault="00A11A9E" w:rsidP="00A11A9E">
      <w:pPr>
        <w:pStyle w:val="SingleTxtG"/>
        <w:rPr>
          <w:lang w:val="en-US"/>
        </w:rPr>
      </w:pPr>
      <w:r w:rsidRPr="00781D8C">
        <w:rPr>
          <w:lang w:val="en-US"/>
        </w:rPr>
        <w:t>84.</w:t>
      </w:r>
      <w:r w:rsidRPr="00781D8C">
        <w:rPr>
          <w:lang w:val="en-US"/>
        </w:rPr>
        <w:tab/>
      </w:r>
      <w:r w:rsidR="001C7D76">
        <w:rPr>
          <w:lang w:val="en-US"/>
        </w:rPr>
        <w:t xml:space="preserve">In </w:t>
      </w:r>
      <w:r w:rsidR="001C7D76" w:rsidRPr="004C106F">
        <w:rPr>
          <w:lang w:val="en-US"/>
        </w:rPr>
        <w:t>Table 1</w:t>
      </w:r>
      <w:r w:rsidR="001C7D76">
        <w:rPr>
          <w:lang w:val="en-US"/>
        </w:rPr>
        <w:t xml:space="preserve"> employment rates are divided </w:t>
      </w:r>
      <w:r w:rsidR="00404B6F">
        <w:rPr>
          <w:lang w:val="en-US"/>
        </w:rPr>
        <w:t>by</w:t>
      </w:r>
      <w:r w:rsidR="001C7D76">
        <w:rPr>
          <w:lang w:val="en-US"/>
        </w:rPr>
        <w:t xml:space="preserve"> ancestry. It shows that both males and females with an immigrant background have a lower employment rate than persons of Danish origin. The gender difference is greater for immigrants than for their descendants. Female immigrants have the lowest employment rate (less than 50 </w:t>
      </w:r>
      <w:r w:rsidR="00DA706F">
        <w:rPr>
          <w:lang w:val="en-US"/>
        </w:rPr>
        <w:t>per cent</w:t>
      </w:r>
      <w:r w:rsidR="001C7D76">
        <w:rPr>
          <w:lang w:val="en-US"/>
        </w:rPr>
        <w:t xml:space="preserve">). </w:t>
      </w:r>
    </w:p>
    <w:p w:rsidR="001C7D76" w:rsidRPr="00380D0E" w:rsidRDefault="00D246BC" w:rsidP="00A11A9E">
      <w:pPr>
        <w:pStyle w:val="H23G"/>
        <w:rPr>
          <w:lang w:val="en-US"/>
        </w:rPr>
      </w:pPr>
      <w:r>
        <w:rPr>
          <w:lang w:val="en-US"/>
        </w:rPr>
        <w:tab/>
      </w:r>
      <w:r>
        <w:rPr>
          <w:lang w:val="en-US"/>
        </w:rPr>
        <w:tab/>
      </w:r>
      <w:r w:rsidR="001C7D76" w:rsidRPr="00A11A9E">
        <w:rPr>
          <w:b w:val="0"/>
          <w:bCs/>
          <w:lang w:val="en-US"/>
        </w:rPr>
        <w:t>Table 1</w:t>
      </w:r>
      <w:r w:rsidR="009340C3">
        <w:rPr>
          <w:lang w:val="en-US"/>
        </w:rPr>
        <w:br/>
      </w:r>
      <w:r w:rsidR="001C7D76" w:rsidRPr="00380D0E">
        <w:rPr>
          <w:lang w:val="en-US"/>
        </w:rPr>
        <w:t>Employment rate by ancestry and gender, 2010-2013</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021"/>
        <w:gridCol w:w="2268"/>
        <w:gridCol w:w="1021"/>
        <w:gridCol w:w="1021"/>
        <w:gridCol w:w="1021"/>
        <w:gridCol w:w="1021"/>
      </w:tblGrid>
      <w:tr w:rsidR="00853205" w:rsidRPr="001C7D76" w:rsidTr="00A11A9E">
        <w:trPr>
          <w:trHeight w:val="300"/>
          <w:tblHeader/>
        </w:trPr>
        <w:tc>
          <w:tcPr>
            <w:tcW w:w="1021" w:type="dxa"/>
            <w:tcBorders>
              <w:top w:val="single" w:sz="4" w:space="0" w:color="auto"/>
              <w:bottom w:val="single" w:sz="12" w:space="0" w:color="auto"/>
            </w:tcBorders>
            <w:shd w:val="clear" w:color="auto" w:fill="auto"/>
            <w:noWrap/>
            <w:vAlign w:val="bottom"/>
            <w:hideMark/>
          </w:tcPr>
          <w:p w:rsidR="001C7D76" w:rsidRPr="001C7D76" w:rsidRDefault="001C7D76">
            <w:pPr>
              <w:suppressAutoHyphens w:val="0"/>
              <w:spacing w:before="80" w:after="80" w:line="200" w:lineRule="exact"/>
              <w:rPr>
                <w:i/>
                <w:sz w:val="16"/>
              </w:rPr>
            </w:pPr>
            <w:r w:rsidRPr="001C7D76">
              <w:rPr>
                <w:i/>
                <w:sz w:val="16"/>
              </w:rPr>
              <w:t> </w:t>
            </w:r>
          </w:p>
        </w:tc>
        <w:tc>
          <w:tcPr>
            <w:tcW w:w="2268" w:type="dxa"/>
            <w:tcBorders>
              <w:top w:val="single" w:sz="4" w:space="0" w:color="auto"/>
              <w:bottom w:val="single" w:sz="12" w:space="0" w:color="auto"/>
            </w:tcBorders>
            <w:shd w:val="clear" w:color="auto" w:fill="auto"/>
            <w:noWrap/>
            <w:vAlign w:val="bottom"/>
            <w:hideMark/>
          </w:tcPr>
          <w:p w:rsidR="001C7D76" w:rsidRPr="001C7D76" w:rsidRDefault="001C7D76">
            <w:pPr>
              <w:suppressAutoHyphens w:val="0"/>
              <w:spacing w:before="80" w:after="80" w:line="200" w:lineRule="exact"/>
              <w:rPr>
                <w:i/>
                <w:sz w:val="16"/>
              </w:rPr>
            </w:pPr>
            <w:r w:rsidRPr="001C7D76">
              <w:rPr>
                <w:i/>
                <w:sz w:val="16"/>
              </w:rPr>
              <w:t> </w:t>
            </w:r>
          </w:p>
        </w:tc>
        <w:tc>
          <w:tcPr>
            <w:tcW w:w="1021" w:type="dxa"/>
            <w:tcBorders>
              <w:top w:val="single" w:sz="4" w:space="0" w:color="auto"/>
              <w:bottom w:val="single" w:sz="12" w:space="0" w:color="auto"/>
            </w:tcBorders>
            <w:shd w:val="clear" w:color="auto" w:fill="auto"/>
            <w:noWrap/>
            <w:vAlign w:val="bottom"/>
            <w:hideMark/>
          </w:tcPr>
          <w:p w:rsidR="001C7D76" w:rsidRPr="001C7D76" w:rsidRDefault="001C7D76" w:rsidP="00A11A9E">
            <w:pPr>
              <w:suppressAutoHyphens w:val="0"/>
              <w:spacing w:before="80" w:after="80" w:line="200" w:lineRule="exact"/>
              <w:jc w:val="right"/>
              <w:rPr>
                <w:i/>
                <w:sz w:val="16"/>
              </w:rPr>
            </w:pPr>
            <w:r w:rsidRPr="001C7D76">
              <w:rPr>
                <w:i/>
                <w:sz w:val="16"/>
              </w:rPr>
              <w:t>2010</w:t>
            </w:r>
          </w:p>
        </w:tc>
        <w:tc>
          <w:tcPr>
            <w:tcW w:w="1021" w:type="dxa"/>
            <w:tcBorders>
              <w:top w:val="single" w:sz="4" w:space="0" w:color="auto"/>
              <w:bottom w:val="single" w:sz="12" w:space="0" w:color="auto"/>
            </w:tcBorders>
            <w:shd w:val="clear" w:color="auto" w:fill="auto"/>
            <w:noWrap/>
            <w:vAlign w:val="bottom"/>
            <w:hideMark/>
          </w:tcPr>
          <w:p w:rsidR="001C7D76" w:rsidRPr="001C7D76" w:rsidRDefault="001C7D76" w:rsidP="00A11A9E">
            <w:pPr>
              <w:suppressAutoHyphens w:val="0"/>
              <w:spacing w:before="80" w:after="80" w:line="200" w:lineRule="exact"/>
              <w:jc w:val="right"/>
              <w:rPr>
                <w:i/>
                <w:sz w:val="16"/>
              </w:rPr>
            </w:pPr>
            <w:r w:rsidRPr="001C7D76">
              <w:rPr>
                <w:i/>
                <w:sz w:val="16"/>
              </w:rPr>
              <w:t>2011</w:t>
            </w:r>
          </w:p>
        </w:tc>
        <w:tc>
          <w:tcPr>
            <w:tcW w:w="1021" w:type="dxa"/>
            <w:tcBorders>
              <w:top w:val="single" w:sz="4" w:space="0" w:color="auto"/>
              <w:bottom w:val="single" w:sz="12" w:space="0" w:color="auto"/>
            </w:tcBorders>
            <w:shd w:val="clear" w:color="auto" w:fill="auto"/>
            <w:noWrap/>
            <w:vAlign w:val="bottom"/>
            <w:hideMark/>
          </w:tcPr>
          <w:p w:rsidR="001C7D76" w:rsidRPr="001C7D76" w:rsidRDefault="001C7D76" w:rsidP="00A11A9E">
            <w:pPr>
              <w:suppressAutoHyphens w:val="0"/>
              <w:spacing w:before="80" w:after="80" w:line="200" w:lineRule="exact"/>
              <w:jc w:val="right"/>
              <w:rPr>
                <w:i/>
                <w:sz w:val="16"/>
              </w:rPr>
            </w:pPr>
            <w:r w:rsidRPr="001C7D76">
              <w:rPr>
                <w:i/>
                <w:sz w:val="16"/>
              </w:rPr>
              <w:t>2012</w:t>
            </w:r>
          </w:p>
        </w:tc>
        <w:tc>
          <w:tcPr>
            <w:tcW w:w="1021" w:type="dxa"/>
            <w:tcBorders>
              <w:top w:val="single" w:sz="4" w:space="0" w:color="auto"/>
              <w:bottom w:val="single" w:sz="12" w:space="0" w:color="auto"/>
            </w:tcBorders>
            <w:shd w:val="clear" w:color="auto" w:fill="auto"/>
            <w:noWrap/>
            <w:vAlign w:val="bottom"/>
            <w:hideMark/>
          </w:tcPr>
          <w:p w:rsidR="001C7D76" w:rsidRPr="001C7D76" w:rsidRDefault="001C7D76" w:rsidP="00A11A9E">
            <w:pPr>
              <w:suppressAutoHyphens w:val="0"/>
              <w:spacing w:before="80" w:after="80" w:line="200" w:lineRule="exact"/>
              <w:jc w:val="right"/>
              <w:rPr>
                <w:i/>
                <w:sz w:val="16"/>
              </w:rPr>
            </w:pPr>
            <w:r w:rsidRPr="001C7D76">
              <w:rPr>
                <w:i/>
                <w:sz w:val="16"/>
              </w:rPr>
              <w:t>2013</w:t>
            </w:r>
          </w:p>
        </w:tc>
      </w:tr>
      <w:tr w:rsidR="00853205" w:rsidRPr="00502188" w:rsidTr="00A11A9E">
        <w:trPr>
          <w:trHeight w:val="300"/>
        </w:trPr>
        <w:tc>
          <w:tcPr>
            <w:tcW w:w="1021" w:type="dxa"/>
            <w:tcBorders>
              <w:top w:val="single" w:sz="12" w:space="0" w:color="auto"/>
              <w:bottom w:val="single" w:sz="4" w:space="0" w:color="auto"/>
            </w:tcBorders>
            <w:shd w:val="clear" w:color="auto" w:fill="auto"/>
            <w:noWrap/>
          </w:tcPr>
          <w:p w:rsidR="001C7D76" w:rsidRPr="00A11A9E" w:rsidRDefault="001C7D76" w:rsidP="00A11A9E">
            <w:pPr>
              <w:suppressAutoHyphens w:val="0"/>
              <w:spacing w:before="80" w:after="80" w:line="220" w:lineRule="exact"/>
              <w:rPr>
                <w:b/>
                <w:bCs/>
              </w:rPr>
            </w:pPr>
            <w:r w:rsidRPr="00A11A9E">
              <w:rPr>
                <w:b/>
                <w:bCs/>
              </w:rPr>
              <w:t>Men</w:t>
            </w:r>
          </w:p>
        </w:tc>
        <w:tc>
          <w:tcPr>
            <w:tcW w:w="2268" w:type="dxa"/>
            <w:tcBorders>
              <w:top w:val="single" w:sz="12" w:space="0" w:color="auto"/>
              <w:bottom w:val="single" w:sz="4" w:space="0" w:color="auto"/>
            </w:tcBorders>
            <w:shd w:val="clear" w:color="auto" w:fill="auto"/>
            <w:noWrap/>
          </w:tcPr>
          <w:p w:rsidR="001C7D76" w:rsidRPr="00A11A9E" w:rsidRDefault="001C7D76" w:rsidP="00A11A9E">
            <w:pPr>
              <w:suppressAutoHyphens w:val="0"/>
              <w:spacing w:before="80" w:after="80" w:line="220" w:lineRule="exact"/>
              <w:rPr>
                <w:b/>
                <w:bCs/>
              </w:rPr>
            </w:pPr>
            <w:r w:rsidRPr="00A11A9E">
              <w:rPr>
                <w:b/>
                <w:bCs/>
              </w:rPr>
              <w:t>Total</w:t>
            </w:r>
          </w:p>
        </w:tc>
        <w:tc>
          <w:tcPr>
            <w:tcW w:w="1021" w:type="dxa"/>
            <w:tcBorders>
              <w:top w:val="single" w:sz="12" w:space="0" w:color="auto"/>
              <w:bottom w:val="single" w:sz="4" w:space="0" w:color="auto"/>
            </w:tcBorders>
            <w:shd w:val="clear" w:color="auto" w:fill="auto"/>
            <w:noWrap/>
          </w:tcPr>
          <w:p w:rsidR="001C7D76" w:rsidRPr="00A11A9E" w:rsidRDefault="001C7D76" w:rsidP="00A11A9E">
            <w:pPr>
              <w:suppressAutoHyphens w:val="0"/>
              <w:spacing w:before="80" w:after="80" w:line="220" w:lineRule="exact"/>
              <w:jc w:val="right"/>
              <w:rPr>
                <w:b/>
                <w:bCs/>
              </w:rPr>
            </w:pPr>
            <w:r w:rsidRPr="00A11A9E">
              <w:rPr>
                <w:b/>
                <w:bCs/>
              </w:rPr>
              <w:t>73</w:t>
            </w:r>
            <w:r w:rsidR="00404B6F">
              <w:rPr>
                <w:b/>
                <w:bCs/>
              </w:rPr>
              <w:t>.</w:t>
            </w:r>
            <w:r w:rsidRPr="00A11A9E">
              <w:rPr>
                <w:b/>
                <w:bCs/>
              </w:rPr>
              <w:t>3</w:t>
            </w:r>
          </w:p>
        </w:tc>
        <w:tc>
          <w:tcPr>
            <w:tcW w:w="1021" w:type="dxa"/>
            <w:tcBorders>
              <w:top w:val="single" w:sz="12" w:space="0" w:color="auto"/>
              <w:bottom w:val="single" w:sz="4" w:space="0" w:color="auto"/>
            </w:tcBorders>
            <w:shd w:val="clear" w:color="auto" w:fill="auto"/>
            <w:noWrap/>
          </w:tcPr>
          <w:p w:rsidR="001C7D76" w:rsidRPr="00A11A9E" w:rsidRDefault="001C7D76" w:rsidP="00A11A9E">
            <w:pPr>
              <w:suppressAutoHyphens w:val="0"/>
              <w:spacing w:before="80" w:after="80" w:line="220" w:lineRule="exact"/>
              <w:jc w:val="right"/>
              <w:rPr>
                <w:b/>
                <w:bCs/>
              </w:rPr>
            </w:pPr>
            <w:r w:rsidRPr="00A11A9E">
              <w:rPr>
                <w:b/>
                <w:bCs/>
              </w:rPr>
              <w:t>72</w:t>
            </w:r>
            <w:r w:rsidR="00404B6F">
              <w:rPr>
                <w:b/>
                <w:bCs/>
              </w:rPr>
              <w:t>.</w:t>
            </w:r>
            <w:r w:rsidRPr="00A11A9E">
              <w:rPr>
                <w:b/>
                <w:bCs/>
              </w:rPr>
              <w:t>7</w:t>
            </w:r>
          </w:p>
        </w:tc>
        <w:tc>
          <w:tcPr>
            <w:tcW w:w="1021" w:type="dxa"/>
            <w:tcBorders>
              <w:top w:val="single" w:sz="12" w:space="0" w:color="auto"/>
              <w:bottom w:val="single" w:sz="4" w:space="0" w:color="auto"/>
            </w:tcBorders>
            <w:shd w:val="clear" w:color="auto" w:fill="auto"/>
            <w:noWrap/>
          </w:tcPr>
          <w:p w:rsidR="001C7D76" w:rsidRPr="00A11A9E" w:rsidRDefault="001C7D76" w:rsidP="00A11A9E">
            <w:pPr>
              <w:suppressAutoHyphens w:val="0"/>
              <w:spacing w:before="80" w:after="80" w:line="220" w:lineRule="exact"/>
              <w:jc w:val="right"/>
              <w:rPr>
                <w:b/>
                <w:bCs/>
              </w:rPr>
            </w:pPr>
            <w:r w:rsidRPr="00A11A9E">
              <w:rPr>
                <w:b/>
                <w:bCs/>
              </w:rPr>
              <w:t>73</w:t>
            </w:r>
            <w:r w:rsidR="00404B6F">
              <w:rPr>
                <w:b/>
                <w:bCs/>
              </w:rPr>
              <w:t>.</w:t>
            </w:r>
            <w:r w:rsidRPr="00A11A9E">
              <w:rPr>
                <w:b/>
                <w:bCs/>
              </w:rPr>
              <w:t>0</w:t>
            </w:r>
          </w:p>
        </w:tc>
        <w:tc>
          <w:tcPr>
            <w:tcW w:w="1021" w:type="dxa"/>
            <w:tcBorders>
              <w:top w:val="single" w:sz="12" w:space="0" w:color="auto"/>
              <w:bottom w:val="single" w:sz="4" w:space="0" w:color="auto"/>
            </w:tcBorders>
            <w:shd w:val="clear" w:color="auto" w:fill="auto"/>
            <w:noWrap/>
          </w:tcPr>
          <w:p w:rsidR="001C7D76" w:rsidRPr="00A11A9E" w:rsidRDefault="001C7D76" w:rsidP="00A11A9E">
            <w:pPr>
              <w:suppressAutoHyphens w:val="0"/>
              <w:spacing w:before="80" w:after="80" w:line="220" w:lineRule="exact"/>
              <w:jc w:val="right"/>
              <w:rPr>
                <w:b/>
                <w:bCs/>
              </w:rPr>
            </w:pPr>
            <w:r w:rsidRPr="00A11A9E">
              <w:rPr>
                <w:b/>
                <w:bCs/>
              </w:rPr>
              <w:t>72</w:t>
            </w:r>
            <w:r w:rsidR="00404B6F">
              <w:rPr>
                <w:b/>
                <w:bCs/>
              </w:rPr>
              <w:t>.</w:t>
            </w:r>
            <w:r w:rsidRPr="00A11A9E">
              <w:rPr>
                <w:b/>
                <w:bCs/>
              </w:rPr>
              <w:t>5</w:t>
            </w:r>
          </w:p>
        </w:tc>
      </w:tr>
      <w:tr w:rsidR="00853205" w:rsidRPr="001C7D76" w:rsidTr="00A11A9E">
        <w:trPr>
          <w:trHeight w:val="300"/>
        </w:trPr>
        <w:tc>
          <w:tcPr>
            <w:tcW w:w="1021" w:type="dxa"/>
            <w:tcBorders>
              <w:top w:val="single" w:sz="4" w:space="0" w:color="auto"/>
            </w:tcBorders>
            <w:shd w:val="clear" w:color="auto" w:fill="auto"/>
            <w:noWrap/>
            <w:hideMark/>
          </w:tcPr>
          <w:p w:rsidR="001C7D76" w:rsidRPr="001C7D76" w:rsidRDefault="001C7D76" w:rsidP="00A11A9E">
            <w:pPr>
              <w:suppressAutoHyphens w:val="0"/>
              <w:spacing w:before="40" w:after="40" w:line="220" w:lineRule="exact"/>
            </w:pPr>
          </w:p>
        </w:tc>
        <w:tc>
          <w:tcPr>
            <w:tcW w:w="2268" w:type="dxa"/>
            <w:tcBorders>
              <w:top w:val="single" w:sz="4" w:space="0" w:color="auto"/>
            </w:tcBorders>
            <w:shd w:val="clear" w:color="auto" w:fill="auto"/>
            <w:noWrap/>
            <w:hideMark/>
          </w:tcPr>
          <w:p w:rsidR="001C7D76" w:rsidRPr="001C7D76" w:rsidRDefault="001C7D76" w:rsidP="00A11A9E">
            <w:pPr>
              <w:suppressAutoHyphens w:val="0"/>
              <w:spacing w:before="40" w:after="40" w:line="220" w:lineRule="exact"/>
            </w:pPr>
            <w:r w:rsidRPr="001C7D76">
              <w:t>Persons of Danish origin</w:t>
            </w:r>
          </w:p>
        </w:tc>
        <w:tc>
          <w:tcPr>
            <w:tcW w:w="1021" w:type="dxa"/>
            <w:tcBorders>
              <w:top w:val="single" w:sz="4" w:space="0" w:color="auto"/>
            </w:tcBorders>
            <w:shd w:val="clear" w:color="auto" w:fill="auto"/>
            <w:noWrap/>
          </w:tcPr>
          <w:p w:rsidR="001C7D76" w:rsidRPr="001C7D76" w:rsidRDefault="001C7D76" w:rsidP="00A11A9E">
            <w:pPr>
              <w:suppressAutoHyphens w:val="0"/>
              <w:spacing w:before="40" w:after="40" w:line="220" w:lineRule="exact"/>
              <w:jc w:val="right"/>
            </w:pPr>
            <w:r w:rsidRPr="001C7D76">
              <w:t>75</w:t>
            </w:r>
            <w:r w:rsidR="00404B6F">
              <w:t>.</w:t>
            </w:r>
            <w:r w:rsidRPr="001C7D76">
              <w:t>2</w:t>
            </w:r>
          </w:p>
        </w:tc>
        <w:tc>
          <w:tcPr>
            <w:tcW w:w="1021" w:type="dxa"/>
            <w:tcBorders>
              <w:top w:val="single" w:sz="4" w:space="0" w:color="auto"/>
            </w:tcBorders>
            <w:shd w:val="clear" w:color="auto" w:fill="auto"/>
            <w:noWrap/>
          </w:tcPr>
          <w:p w:rsidR="001C7D76" w:rsidRPr="001C7D76" w:rsidRDefault="001C7D76" w:rsidP="00A11A9E">
            <w:pPr>
              <w:suppressAutoHyphens w:val="0"/>
              <w:spacing w:before="40" w:after="40" w:line="220" w:lineRule="exact"/>
              <w:jc w:val="right"/>
            </w:pPr>
            <w:r w:rsidRPr="001C7D76">
              <w:t>74</w:t>
            </w:r>
            <w:r w:rsidR="00404B6F">
              <w:t>.</w:t>
            </w:r>
            <w:r w:rsidRPr="001C7D76">
              <w:t>9</w:t>
            </w:r>
          </w:p>
        </w:tc>
        <w:tc>
          <w:tcPr>
            <w:tcW w:w="1021" w:type="dxa"/>
            <w:tcBorders>
              <w:top w:val="single" w:sz="4" w:space="0" w:color="auto"/>
            </w:tcBorders>
            <w:shd w:val="clear" w:color="auto" w:fill="auto"/>
            <w:noWrap/>
          </w:tcPr>
          <w:p w:rsidR="001C7D76" w:rsidRPr="001C7D76" w:rsidRDefault="001C7D76" w:rsidP="00A11A9E">
            <w:pPr>
              <w:suppressAutoHyphens w:val="0"/>
              <w:spacing w:before="40" w:after="40" w:line="220" w:lineRule="exact"/>
              <w:jc w:val="right"/>
            </w:pPr>
            <w:r w:rsidRPr="001C7D76">
              <w:t>75</w:t>
            </w:r>
            <w:r w:rsidR="00404B6F">
              <w:t>.</w:t>
            </w:r>
            <w:r w:rsidRPr="001C7D76">
              <w:t>2</w:t>
            </w:r>
          </w:p>
        </w:tc>
        <w:tc>
          <w:tcPr>
            <w:tcW w:w="1021" w:type="dxa"/>
            <w:tcBorders>
              <w:top w:val="single" w:sz="4" w:space="0" w:color="auto"/>
            </w:tcBorders>
            <w:shd w:val="clear" w:color="auto" w:fill="auto"/>
            <w:noWrap/>
          </w:tcPr>
          <w:p w:rsidR="001C7D76" w:rsidRPr="001C7D76" w:rsidRDefault="001C7D76" w:rsidP="00A11A9E">
            <w:pPr>
              <w:suppressAutoHyphens w:val="0"/>
              <w:spacing w:before="40" w:after="40" w:line="220" w:lineRule="exact"/>
              <w:jc w:val="right"/>
            </w:pPr>
            <w:r w:rsidRPr="001C7D76">
              <w:t>74</w:t>
            </w:r>
            <w:r w:rsidR="00404B6F">
              <w:t>.</w:t>
            </w:r>
            <w:r w:rsidRPr="001C7D76">
              <w:t>8</w:t>
            </w:r>
          </w:p>
        </w:tc>
      </w:tr>
      <w:tr w:rsidR="00853205" w:rsidRPr="001C7D76" w:rsidTr="00853205">
        <w:trPr>
          <w:trHeight w:val="300"/>
        </w:trPr>
        <w:tc>
          <w:tcPr>
            <w:tcW w:w="1021" w:type="dxa"/>
            <w:shd w:val="clear" w:color="auto" w:fill="auto"/>
            <w:noWrap/>
            <w:hideMark/>
          </w:tcPr>
          <w:p w:rsidR="001C7D76" w:rsidRPr="001C7D76" w:rsidRDefault="001C7D76" w:rsidP="00A11A9E">
            <w:pPr>
              <w:suppressAutoHyphens w:val="0"/>
              <w:spacing w:before="40" w:after="40" w:line="220" w:lineRule="exact"/>
            </w:pPr>
            <w:r w:rsidRPr="001C7D76">
              <w:t> </w:t>
            </w:r>
          </w:p>
        </w:tc>
        <w:tc>
          <w:tcPr>
            <w:tcW w:w="2268" w:type="dxa"/>
            <w:shd w:val="clear" w:color="auto" w:fill="auto"/>
            <w:noWrap/>
            <w:hideMark/>
          </w:tcPr>
          <w:p w:rsidR="001C7D76" w:rsidRPr="001C7D76" w:rsidRDefault="001C7D76" w:rsidP="00A11A9E">
            <w:pPr>
              <w:suppressAutoHyphens w:val="0"/>
              <w:spacing w:before="40" w:after="40" w:line="220" w:lineRule="exact"/>
            </w:pPr>
            <w:r w:rsidRPr="001C7D76">
              <w:t>Immigrants</w:t>
            </w:r>
          </w:p>
        </w:tc>
        <w:tc>
          <w:tcPr>
            <w:tcW w:w="1021" w:type="dxa"/>
            <w:shd w:val="clear" w:color="auto" w:fill="auto"/>
            <w:noWrap/>
          </w:tcPr>
          <w:p w:rsidR="001C7D76" w:rsidRPr="001C7D76" w:rsidRDefault="001C7D76" w:rsidP="00A11A9E">
            <w:pPr>
              <w:suppressAutoHyphens w:val="0"/>
              <w:spacing w:before="40" w:after="40" w:line="220" w:lineRule="exact"/>
              <w:jc w:val="right"/>
            </w:pPr>
            <w:r w:rsidRPr="001C7D76">
              <w:t>57</w:t>
            </w:r>
            <w:r w:rsidR="00404B6F">
              <w:t>.</w:t>
            </w:r>
            <w:r w:rsidRPr="001C7D76">
              <w:t>4</w:t>
            </w:r>
          </w:p>
        </w:tc>
        <w:tc>
          <w:tcPr>
            <w:tcW w:w="1021" w:type="dxa"/>
            <w:shd w:val="clear" w:color="auto" w:fill="auto"/>
            <w:noWrap/>
          </w:tcPr>
          <w:p w:rsidR="001C7D76" w:rsidRPr="001C7D76" w:rsidRDefault="001C7D76" w:rsidP="00A11A9E">
            <w:pPr>
              <w:suppressAutoHyphens w:val="0"/>
              <w:spacing w:before="40" w:after="40" w:line="220" w:lineRule="exact"/>
              <w:jc w:val="right"/>
            </w:pPr>
            <w:r w:rsidRPr="001C7D76">
              <w:t>55</w:t>
            </w:r>
            <w:r w:rsidR="00404B6F">
              <w:t>.</w:t>
            </w:r>
            <w:r w:rsidRPr="001C7D76">
              <w:t>8</w:t>
            </w:r>
          </w:p>
        </w:tc>
        <w:tc>
          <w:tcPr>
            <w:tcW w:w="1021" w:type="dxa"/>
            <w:shd w:val="clear" w:color="auto" w:fill="auto"/>
            <w:noWrap/>
          </w:tcPr>
          <w:p w:rsidR="001C7D76" w:rsidRPr="001C7D76" w:rsidRDefault="001C7D76" w:rsidP="00A11A9E">
            <w:pPr>
              <w:suppressAutoHyphens w:val="0"/>
              <w:spacing w:before="40" w:after="40" w:line="220" w:lineRule="exact"/>
              <w:jc w:val="right"/>
            </w:pPr>
            <w:r w:rsidRPr="001C7D76">
              <w:t>56</w:t>
            </w:r>
            <w:r w:rsidR="00404B6F">
              <w:t>.</w:t>
            </w:r>
            <w:r w:rsidRPr="001C7D76">
              <w:t>9</w:t>
            </w:r>
          </w:p>
        </w:tc>
        <w:tc>
          <w:tcPr>
            <w:tcW w:w="1021" w:type="dxa"/>
            <w:shd w:val="clear" w:color="auto" w:fill="auto"/>
            <w:noWrap/>
          </w:tcPr>
          <w:p w:rsidR="001C7D76" w:rsidRPr="001C7D76" w:rsidRDefault="001C7D76" w:rsidP="00A11A9E">
            <w:pPr>
              <w:suppressAutoHyphens w:val="0"/>
              <w:spacing w:before="40" w:after="40" w:line="220" w:lineRule="exact"/>
              <w:jc w:val="right"/>
            </w:pPr>
            <w:r w:rsidRPr="001C7D76">
              <w:t>56</w:t>
            </w:r>
            <w:r w:rsidR="00404B6F">
              <w:t>.</w:t>
            </w:r>
            <w:r w:rsidRPr="001C7D76">
              <w:t>6</w:t>
            </w:r>
          </w:p>
        </w:tc>
      </w:tr>
      <w:tr w:rsidR="00853205" w:rsidRPr="001C7D76" w:rsidTr="00A11A9E">
        <w:trPr>
          <w:trHeight w:val="300"/>
        </w:trPr>
        <w:tc>
          <w:tcPr>
            <w:tcW w:w="1021" w:type="dxa"/>
            <w:tcBorders>
              <w:bottom w:val="single" w:sz="4" w:space="0" w:color="auto"/>
            </w:tcBorders>
            <w:shd w:val="clear" w:color="auto" w:fill="auto"/>
            <w:noWrap/>
            <w:hideMark/>
          </w:tcPr>
          <w:p w:rsidR="001C7D76" w:rsidRPr="001C7D76" w:rsidRDefault="001C7D76" w:rsidP="00A11A9E">
            <w:pPr>
              <w:suppressAutoHyphens w:val="0"/>
              <w:spacing w:before="40" w:after="40" w:line="220" w:lineRule="exact"/>
            </w:pPr>
            <w:r w:rsidRPr="001C7D76">
              <w:t> </w:t>
            </w:r>
          </w:p>
        </w:tc>
        <w:tc>
          <w:tcPr>
            <w:tcW w:w="2268" w:type="dxa"/>
            <w:tcBorders>
              <w:bottom w:val="single" w:sz="4" w:space="0" w:color="auto"/>
            </w:tcBorders>
            <w:shd w:val="clear" w:color="auto" w:fill="auto"/>
            <w:noWrap/>
            <w:hideMark/>
          </w:tcPr>
          <w:p w:rsidR="001C7D76" w:rsidRPr="001C7D76" w:rsidRDefault="001C7D76" w:rsidP="00A11A9E">
            <w:pPr>
              <w:suppressAutoHyphens w:val="0"/>
              <w:spacing w:before="40" w:after="40" w:line="220" w:lineRule="exact"/>
            </w:pPr>
            <w:r w:rsidRPr="001C7D76">
              <w:t>Descendants</w:t>
            </w:r>
          </w:p>
        </w:tc>
        <w:tc>
          <w:tcPr>
            <w:tcW w:w="1021" w:type="dxa"/>
            <w:tcBorders>
              <w:bottom w:val="single" w:sz="4" w:space="0" w:color="auto"/>
            </w:tcBorders>
            <w:shd w:val="clear" w:color="auto" w:fill="auto"/>
            <w:noWrap/>
          </w:tcPr>
          <w:p w:rsidR="001C7D76" w:rsidRPr="001C7D76" w:rsidRDefault="001C7D76" w:rsidP="00A11A9E">
            <w:pPr>
              <w:suppressAutoHyphens w:val="0"/>
              <w:spacing w:before="40" w:after="40" w:line="220" w:lineRule="exact"/>
              <w:jc w:val="right"/>
            </w:pPr>
            <w:r w:rsidRPr="001C7D76">
              <w:t>57</w:t>
            </w:r>
            <w:r w:rsidR="00404B6F">
              <w:t>.</w:t>
            </w:r>
            <w:r w:rsidRPr="001C7D76">
              <w:t>8</w:t>
            </w:r>
          </w:p>
        </w:tc>
        <w:tc>
          <w:tcPr>
            <w:tcW w:w="1021" w:type="dxa"/>
            <w:tcBorders>
              <w:bottom w:val="single" w:sz="4" w:space="0" w:color="auto"/>
            </w:tcBorders>
            <w:shd w:val="clear" w:color="auto" w:fill="auto"/>
            <w:noWrap/>
          </w:tcPr>
          <w:p w:rsidR="001C7D76" w:rsidRPr="001C7D76" w:rsidRDefault="001C7D76" w:rsidP="00A11A9E">
            <w:pPr>
              <w:suppressAutoHyphens w:val="0"/>
              <w:spacing w:before="40" w:after="40" w:line="220" w:lineRule="exact"/>
              <w:jc w:val="right"/>
            </w:pPr>
            <w:r w:rsidRPr="001C7D76">
              <w:t>55</w:t>
            </w:r>
            <w:r w:rsidR="00404B6F">
              <w:t>.</w:t>
            </w:r>
            <w:r w:rsidRPr="001C7D76">
              <w:t>3</w:t>
            </w:r>
          </w:p>
        </w:tc>
        <w:tc>
          <w:tcPr>
            <w:tcW w:w="1021" w:type="dxa"/>
            <w:tcBorders>
              <w:bottom w:val="single" w:sz="4" w:space="0" w:color="auto"/>
            </w:tcBorders>
            <w:shd w:val="clear" w:color="auto" w:fill="auto"/>
            <w:noWrap/>
          </w:tcPr>
          <w:p w:rsidR="001C7D76" w:rsidRPr="001C7D76" w:rsidRDefault="001C7D76" w:rsidP="00A11A9E">
            <w:pPr>
              <w:suppressAutoHyphens w:val="0"/>
              <w:spacing w:before="40" w:after="40" w:line="220" w:lineRule="exact"/>
              <w:jc w:val="right"/>
            </w:pPr>
            <w:r w:rsidRPr="001C7D76">
              <w:t>54</w:t>
            </w:r>
            <w:r w:rsidR="00404B6F">
              <w:t>.</w:t>
            </w:r>
            <w:r w:rsidRPr="001C7D76">
              <w:t>2</w:t>
            </w:r>
          </w:p>
        </w:tc>
        <w:tc>
          <w:tcPr>
            <w:tcW w:w="1021" w:type="dxa"/>
            <w:tcBorders>
              <w:bottom w:val="single" w:sz="4" w:space="0" w:color="auto"/>
            </w:tcBorders>
            <w:shd w:val="clear" w:color="auto" w:fill="auto"/>
            <w:noWrap/>
          </w:tcPr>
          <w:p w:rsidR="001C7D76" w:rsidRPr="001C7D76" w:rsidRDefault="001C7D76" w:rsidP="00A11A9E">
            <w:pPr>
              <w:suppressAutoHyphens w:val="0"/>
              <w:spacing w:before="40" w:after="40" w:line="220" w:lineRule="exact"/>
              <w:jc w:val="right"/>
            </w:pPr>
            <w:r w:rsidRPr="001C7D76">
              <w:t>53</w:t>
            </w:r>
            <w:r w:rsidR="00404B6F">
              <w:t>.</w:t>
            </w:r>
            <w:r w:rsidRPr="001C7D76">
              <w:t>1</w:t>
            </w:r>
          </w:p>
        </w:tc>
      </w:tr>
      <w:tr w:rsidR="00853205" w:rsidRPr="00502188" w:rsidTr="00A11A9E">
        <w:trPr>
          <w:trHeight w:val="300"/>
        </w:trPr>
        <w:tc>
          <w:tcPr>
            <w:tcW w:w="1021" w:type="dxa"/>
            <w:tcBorders>
              <w:top w:val="single" w:sz="4" w:space="0" w:color="auto"/>
              <w:bottom w:val="single" w:sz="4" w:space="0" w:color="auto"/>
            </w:tcBorders>
            <w:shd w:val="clear" w:color="auto" w:fill="auto"/>
            <w:noWrap/>
          </w:tcPr>
          <w:p w:rsidR="001C7D76" w:rsidRPr="00A11A9E" w:rsidRDefault="001C7D76" w:rsidP="00A11A9E">
            <w:pPr>
              <w:suppressAutoHyphens w:val="0"/>
              <w:spacing w:before="80" w:after="80" w:line="220" w:lineRule="exact"/>
              <w:rPr>
                <w:b/>
                <w:bCs/>
              </w:rPr>
            </w:pPr>
            <w:r w:rsidRPr="00A11A9E">
              <w:rPr>
                <w:b/>
                <w:bCs/>
              </w:rPr>
              <w:t>Women</w:t>
            </w:r>
          </w:p>
        </w:tc>
        <w:tc>
          <w:tcPr>
            <w:tcW w:w="2268" w:type="dxa"/>
            <w:tcBorders>
              <w:top w:val="single" w:sz="4" w:space="0" w:color="auto"/>
              <w:bottom w:val="single" w:sz="4" w:space="0" w:color="auto"/>
            </w:tcBorders>
            <w:shd w:val="clear" w:color="auto" w:fill="auto"/>
            <w:noWrap/>
          </w:tcPr>
          <w:p w:rsidR="001C7D76" w:rsidRPr="00A11A9E" w:rsidRDefault="001C7D76" w:rsidP="00A11A9E">
            <w:pPr>
              <w:suppressAutoHyphens w:val="0"/>
              <w:spacing w:before="80" w:after="80" w:line="220" w:lineRule="exact"/>
              <w:rPr>
                <w:b/>
                <w:bCs/>
              </w:rPr>
            </w:pPr>
            <w:r w:rsidRPr="00A11A9E">
              <w:rPr>
                <w:b/>
                <w:bCs/>
              </w:rPr>
              <w:t>Total</w:t>
            </w:r>
          </w:p>
        </w:tc>
        <w:tc>
          <w:tcPr>
            <w:tcW w:w="1021" w:type="dxa"/>
            <w:tcBorders>
              <w:top w:val="single" w:sz="4" w:space="0" w:color="auto"/>
              <w:bottom w:val="single" w:sz="4" w:space="0" w:color="auto"/>
            </w:tcBorders>
            <w:shd w:val="clear" w:color="auto" w:fill="auto"/>
            <w:noWrap/>
          </w:tcPr>
          <w:p w:rsidR="001C7D76" w:rsidRPr="00A11A9E" w:rsidRDefault="001C7D76" w:rsidP="00A11A9E">
            <w:pPr>
              <w:suppressAutoHyphens w:val="0"/>
              <w:spacing w:before="80" w:after="80" w:line="220" w:lineRule="exact"/>
              <w:jc w:val="right"/>
              <w:rPr>
                <w:b/>
                <w:bCs/>
              </w:rPr>
            </w:pPr>
            <w:r w:rsidRPr="00A11A9E">
              <w:rPr>
                <w:b/>
                <w:bCs/>
              </w:rPr>
              <w:t>71</w:t>
            </w:r>
            <w:r w:rsidR="00404B6F">
              <w:rPr>
                <w:b/>
                <w:bCs/>
              </w:rPr>
              <w:t>.</w:t>
            </w:r>
            <w:r w:rsidRPr="00A11A9E">
              <w:rPr>
                <w:b/>
                <w:bCs/>
              </w:rPr>
              <w:t>1</w:t>
            </w:r>
          </w:p>
        </w:tc>
        <w:tc>
          <w:tcPr>
            <w:tcW w:w="1021" w:type="dxa"/>
            <w:tcBorders>
              <w:top w:val="single" w:sz="4" w:space="0" w:color="auto"/>
              <w:bottom w:val="single" w:sz="4" w:space="0" w:color="auto"/>
            </w:tcBorders>
            <w:shd w:val="clear" w:color="auto" w:fill="auto"/>
            <w:noWrap/>
          </w:tcPr>
          <w:p w:rsidR="001C7D76" w:rsidRPr="00A11A9E" w:rsidRDefault="001C7D76" w:rsidP="00A11A9E">
            <w:pPr>
              <w:suppressAutoHyphens w:val="0"/>
              <w:spacing w:before="80" w:after="80" w:line="220" w:lineRule="exact"/>
              <w:jc w:val="right"/>
              <w:rPr>
                <w:b/>
                <w:bCs/>
              </w:rPr>
            </w:pPr>
            <w:r w:rsidRPr="00A11A9E">
              <w:rPr>
                <w:b/>
                <w:bCs/>
              </w:rPr>
              <w:t>70</w:t>
            </w:r>
            <w:r w:rsidR="00404B6F">
              <w:rPr>
                <w:b/>
                <w:bCs/>
              </w:rPr>
              <w:t>.</w:t>
            </w:r>
            <w:r w:rsidRPr="00A11A9E">
              <w:rPr>
                <w:b/>
                <w:bCs/>
              </w:rPr>
              <w:t>1</w:t>
            </w:r>
          </w:p>
        </w:tc>
        <w:tc>
          <w:tcPr>
            <w:tcW w:w="1021" w:type="dxa"/>
            <w:tcBorders>
              <w:top w:val="single" w:sz="4" w:space="0" w:color="auto"/>
              <w:bottom w:val="single" w:sz="4" w:space="0" w:color="auto"/>
            </w:tcBorders>
            <w:shd w:val="clear" w:color="auto" w:fill="auto"/>
            <w:noWrap/>
          </w:tcPr>
          <w:p w:rsidR="001C7D76" w:rsidRPr="00A11A9E" w:rsidRDefault="001C7D76" w:rsidP="00A11A9E">
            <w:pPr>
              <w:suppressAutoHyphens w:val="0"/>
              <w:spacing w:before="80" w:after="80" w:line="220" w:lineRule="exact"/>
              <w:jc w:val="right"/>
              <w:rPr>
                <w:b/>
                <w:bCs/>
              </w:rPr>
            </w:pPr>
            <w:r w:rsidRPr="00A11A9E">
              <w:rPr>
                <w:b/>
                <w:bCs/>
              </w:rPr>
              <w:t>69</w:t>
            </w:r>
            <w:r w:rsidR="00404B6F">
              <w:rPr>
                <w:b/>
                <w:bCs/>
              </w:rPr>
              <w:t>.</w:t>
            </w:r>
            <w:r w:rsidRPr="00A11A9E">
              <w:rPr>
                <w:b/>
                <w:bCs/>
              </w:rPr>
              <w:t>5</w:t>
            </w:r>
          </w:p>
        </w:tc>
        <w:tc>
          <w:tcPr>
            <w:tcW w:w="1021" w:type="dxa"/>
            <w:tcBorders>
              <w:top w:val="single" w:sz="4" w:space="0" w:color="auto"/>
              <w:bottom w:val="single" w:sz="4" w:space="0" w:color="auto"/>
            </w:tcBorders>
            <w:shd w:val="clear" w:color="auto" w:fill="auto"/>
            <w:noWrap/>
          </w:tcPr>
          <w:p w:rsidR="001C7D76" w:rsidRPr="00A11A9E" w:rsidRDefault="001C7D76" w:rsidP="00A11A9E">
            <w:pPr>
              <w:suppressAutoHyphens w:val="0"/>
              <w:spacing w:before="80" w:after="80" w:line="220" w:lineRule="exact"/>
              <w:jc w:val="right"/>
              <w:rPr>
                <w:b/>
                <w:bCs/>
              </w:rPr>
            </w:pPr>
            <w:r w:rsidRPr="00A11A9E">
              <w:rPr>
                <w:b/>
                <w:bCs/>
              </w:rPr>
              <w:t>69</w:t>
            </w:r>
            <w:r w:rsidR="00404B6F">
              <w:rPr>
                <w:b/>
                <w:bCs/>
              </w:rPr>
              <w:t>.</w:t>
            </w:r>
            <w:r w:rsidRPr="00A11A9E">
              <w:rPr>
                <w:b/>
                <w:bCs/>
              </w:rPr>
              <w:t>0</w:t>
            </w:r>
          </w:p>
        </w:tc>
      </w:tr>
      <w:tr w:rsidR="00853205" w:rsidRPr="001C7D76" w:rsidTr="00A11A9E">
        <w:trPr>
          <w:trHeight w:val="300"/>
        </w:trPr>
        <w:tc>
          <w:tcPr>
            <w:tcW w:w="1021" w:type="dxa"/>
            <w:tcBorders>
              <w:top w:val="single" w:sz="4" w:space="0" w:color="auto"/>
            </w:tcBorders>
            <w:shd w:val="clear" w:color="auto" w:fill="auto"/>
            <w:noWrap/>
            <w:hideMark/>
          </w:tcPr>
          <w:p w:rsidR="001C7D76" w:rsidRPr="001C7D76" w:rsidRDefault="001C7D76" w:rsidP="00A11A9E">
            <w:pPr>
              <w:suppressAutoHyphens w:val="0"/>
              <w:spacing w:before="40" w:after="40" w:line="220" w:lineRule="exact"/>
            </w:pPr>
          </w:p>
        </w:tc>
        <w:tc>
          <w:tcPr>
            <w:tcW w:w="2268" w:type="dxa"/>
            <w:tcBorders>
              <w:top w:val="single" w:sz="4" w:space="0" w:color="auto"/>
            </w:tcBorders>
            <w:shd w:val="clear" w:color="auto" w:fill="auto"/>
            <w:noWrap/>
            <w:hideMark/>
          </w:tcPr>
          <w:p w:rsidR="001C7D76" w:rsidRPr="001C7D76" w:rsidRDefault="001C7D76" w:rsidP="00A11A9E">
            <w:pPr>
              <w:suppressAutoHyphens w:val="0"/>
              <w:spacing w:before="40" w:after="40" w:line="220" w:lineRule="exact"/>
            </w:pPr>
            <w:r w:rsidRPr="001C7D76">
              <w:t>Persons of Danish origin</w:t>
            </w:r>
          </w:p>
        </w:tc>
        <w:tc>
          <w:tcPr>
            <w:tcW w:w="1021" w:type="dxa"/>
            <w:tcBorders>
              <w:top w:val="single" w:sz="4" w:space="0" w:color="auto"/>
            </w:tcBorders>
            <w:shd w:val="clear" w:color="auto" w:fill="auto"/>
            <w:noWrap/>
          </w:tcPr>
          <w:p w:rsidR="001C7D76" w:rsidRPr="001C7D76" w:rsidRDefault="001C7D76" w:rsidP="00A11A9E">
            <w:pPr>
              <w:suppressAutoHyphens w:val="0"/>
              <w:spacing w:before="40" w:after="40" w:line="220" w:lineRule="exact"/>
              <w:jc w:val="right"/>
            </w:pPr>
            <w:r w:rsidRPr="001C7D76">
              <w:t>73</w:t>
            </w:r>
            <w:r w:rsidR="00404B6F">
              <w:t>.</w:t>
            </w:r>
            <w:r w:rsidRPr="001C7D76">
              <w:t>7</w:t>
            </w:r>
          </w:p>
        </w:tc>
        <w:tc>
          <w:tcPr>
            <w:tcW w:w="1021" w:type="dxa"/>
            <w:tcBorders>
              <w:top w:val="single" w:sz="4" w:space="0" w:color="auto"/>
            </w:tcBorders>
            <w:shd w:val="clear" w:color="auto" w:fill="auto"/>
            <w:noWrap/>
          </w:tcPr>
          <w:p w:rsidR="001C7D76" w:rsidRPr="001C7D76" w:rsidRDefault="001C7D76" w:rsidP="00A11A9E">
            <w:pPr>
              <w:suppressAutoHyphens w:val="0"/>
              <w:spacing w:before="40" w:after="40" w:line="220" w:lineRule="exact"/>
              <w:jc w:val="right"/>
            </w:pPr>
            <w:r w:rsidRPr="001C7D76">
              <w:t>72</w:t>
            </w:r>
            <w:r w:rsidR="00404B6F">
              <w:t>.</w:t>
            </w:r>
            <w:r w:rsidRPr="001C7D76">
              <w:t>9</w:t>
            </w:r>
          </w:p>
        </w:tc>
        <w:tc>
          <w:tcPr>
            <w:tcW w:w="1021" w:type="dxa"/>
            <w:tcBorders>
              <w:top w:val="single" w:sz="4" w:space="0" w:color="auto"/>
            </w:tcBorders>
            <w:shd w:val="clear" w:color="auto" w:fill="auto"/>
            <w:noWrap/>
          </w:tcPr>
          <w:p w:rsidR="001C7D76" w:rsidRPr="001C7D76" w:rsidRDefault="001C7D76" w:rsidP="00A11A9E">
            <w:pPr>
              <w:suppressAutoHyphens w:val="0"/>
              <w:spacing w:before="40" w:after="40" w:line="220" w:lineRule="exact"/>
              <w:jc w:val="right"/>
            </w:pPr>
            <w:r w:rsidRPr="001C7D76">
              <w:t>72</w:t>
            </w:r>
            <w:r w:rsidR="00404B6F">
              <w:t>.</w:t>
            </w:r>
            <w:r w:rsidRPr="001C7D76">
              <w:t>4</w:t>
            </w:r>
          </w:p>
        </w:tc>
        <w:tc>
          <w:tcPr>
            <w:tcW w:w="1021" w:type="dxa"/>
            <w:tcBorders>
              <w:top w:val="single" w:sz="4" w:space="0" w:color="auto"/>
            </w:tcBorders>
            <w:shd w:val="clear" w:color="auto" w:fill="auto"/>
            <w:noWrap/>
          </w:tcPr>
          <w:p w:rsidR="001C7D76" w:rsidRPr="001C7D76" w:rsidRDefault="001C7D76" w:rsidP="00A11A9E">
            <w:pPr>
              <w:suppressAutoHyphens w:val="0"/>
              <w:spacing w:before="40" w:after="40" w:line="220" w:lineRule="exact"/>
              <w:jc w:val="right"/>
            </w:pPr>
            <w:r w:rsidRPr="001C7D76">
              <w:t>72</w:t>
            </w:r>
            <w:r w:rsidR="00404B6F">
              <w:t>.</w:t>
            </w:r>
            <w:r w:rsidRPr="001C7D76">
              <w:t>0</w:t>
            </w:r>
          </w:p>
        </w:tc>
      </w:tr>
      <w:tr w:rsidR="00853205" w:rsidRPr="001C7D76" w:rsidTr="00853205">
        <w:trPr>
          <w:trHeight w:val="300"/>
        </w:trPr>
        <w:tc>
          <w:tcPr>
            <w:tcW w:w="1021" w:type="dxa"/>
            <w:shd w:val="clear" w:color="auto" w:fill="auto"/>
            <w:noWrap/>
            <w:hideMark/>
          </w:tcPr>
          <w:p w:rsidR="001C7D76" w:rsidRPr="001C7D76" w:rsidRDefault="001C7D76" w:rsidP="00A11A9E">
            <w:pPr>
              <w:suppressAutoHyphens w:val="0"/>
              <w:spacing w:before="40" w:after="40" w:line="220" w:lineRule="exact"/>
            </w:pPr>
            <w:r w:rsidRPr="001C7D76">
              <w:t> </w:t>
            </w:r>
          </w:p>
        </w:tc>
        <w:tc>
          <w:tcPr>
            <w:tcW w:w="2268" w:type="dxa"/>
            <w:shd w:val="clear" w:color="auto" w:fill="auto"/>
            <w:noWrap/>
            <w:hideMark/>
          </w:tcPr>
          <w:p w:rsidR="001C7D76" w:rsidRPr="001C7D76" w:rsidRDefault="001C7D76" w:rsidP="00A11A9E">
            <w:pPr>
              <w:suppressAutoHyphens w:val="0"/>
              <w:spacing w:before="40" w:after="40" w:line="220" w:lineRule="exact"/>
            </w:pPr>
            <w:r w:rsidRPr="001C7D76">
              <w:t>Immigrants</w:t>
            </w:r>
          </w:p>
        </w:tc>
        <w:tc>
          <w:tcPr>
            <w:tcW w:w="1021" w:type="dxa"/>
            <w:shd w:val="clear" w:color="auto" w:fill="auto"/>
            <w:noWrap/>
          </w:tcPr>
          <w:p w:rsidR="001C7D76" w:rsidRPr="001C7D76" w:rsidRDefault="001C7D76" w:rsidP="00A11A9E">
            <w:pPr>
              <w:suppressAutoHyphens w:val="0"/>
              <w:spacing w:before="40" w:after="40" w:line="220" w:lineRule="exact"/>
              <w:jc w:val="right"/>
            </w:pPr>
            <w:r w:rsidRPr="001C7D76">
              <w:t>50</w:t>
            </w:r>
            <w:r w:rsidR="00404B6F">
              <w:t>.</w:t>
            </w:r>
            <w:r w:rsidRPr="001C7D76">
              <w:t>0</w:t>
            </w:r>
          </w:p>
        </w:tc>
        <w:tc>
          <w:tcPr>
            <w:tcW w:w="1021" w:type="dxa"/>
            <w:shd w:val="clear" w:color="auto" w:fill="auto"/>
            <w:noWrap/>
          </w:tcPr>
          <w:p w:rsidR="001C7D76" w:rsidRPr="001C7D76" w:rsidRDefault="001C7D76" w:rsidP="00A11A9E">
            <w:pPr>
              <w:suppressAutoHyphens w:val="0"/>
              <w:spacing w:before="40" w:after="40" w:line="220" w:lineRule="exact"/>
              <w:jc w:val="right"/>
            </w:pPr>
            <w:r w:rsidRPr="001C7D76">
              <w:t>48</w:t>
            </w:r>
            <w:r w:rsidR="00404B6F">
              <w:t>.</w:t>
            </w:r>
            <w:r w:rsidRPr="001C7D76">
              <w:t>4</w:t>
            </w:r>
          </w:p>
        </w:tc>
        <w:tc>
          <w:tcPr>
            <w:tcW w:w="1021" w:type="dxa"/>
            <w:shd w:val="clear" w:color="auto" w:fill="auto"/>
            <w:noWrap/>
          </w:tcPr>
          <w:p w:rsidR="001C7D76" w:rsidRPr="001C7D76" w:rsidRDefault="001C7D76" w:rsidP="00A11A9E">
            <w:pPr>
              <w:suppressAutoHyphens w:val="0"/>
              <w:spacing w:before="40" w:after="40" w:line="220" w:lineRule="exact"/>
              <w:jc w:val="right"/>
            </w:pPr>
            <w:r w:rsidRPr="001C7D76">
              <w:t>48</w:t>
            </w:r>
            <w:r w:rsidR="00404B6F">
              <w:t>.</w:t>
            </w:r>
            <w:r w:rsidRPr="001C7D76">
              <w:t>3</w:t>
            </w:r>
          </w:p>
        </w:tc>
        <w:tc>
          <w:tcPr>
            <w:tcW w:w="1021" w:type="dxa"/>
            <w:shd w:val="clear" w:color="auto" w:fill="auto"/>
            <w:noWrap/>
          </w:tcPr>
          <w:p w:rsidR="001C7D76" w:rsidRPr="001C7D76" w:rsidRDefault="001C7D76" w:rsidP="00A11A9E">
            <w:pPr>
              <w:suppressAutoHyphens w:val="0"/>
              <w:spacing w:before="40" w:after="40" w:line="220" w:lineRule="exact"/>
              <w:jc w:val="right"/>
            </w:pPr>
            <w:r w:rsidRPr="001C7D76">
              <w:t>47</w:t>
            </w:r>
            <w:r w:rsidR="00404B6F">
              <w:t>.</w:t>
            </w:r>
            <w:r w:rsidRPr="001C7D76">
              <w:t>7</w:t>
            </w:r>
          </w:p>
        </w:tc>
      </w:tr>
      <w:tr w:rsidR="00853205" w:rsidRPr="001C7D76" w:rsidTr="00853205">
        <w:trPr>
          <w:trHeight w:val="300"/>
        </w:trPr>
        <w:tc>
          <w:tcPr>
            <w:tcW w:w="1021" w:type="dxa"/>
            <w:tcBorders>
              <w:bottom w:val="single" w:sz="12" w:space="0" w:color="auto"/>
            </w:tcBorders>
            <w:shd w:val="clear" w:color="auto" w:fill="auto"/>
            <w:noWrap/>
            <w:hideMark/>
          </w:tcPr>
          <w:p w:rsidR="001C7D76" w:rsidRPr="001C7D76" w:rsidRDefault="001C7D76" w:rsidP="00A11A9E">
            <w:pPr>
              <w:suppressAutoHyphens w:val="0"/>
              <w:spacing w:before="40" w:after="40" w:line="220" w:lineRule="exact"/>
            </w:pPr>
            <w:r w:rsidRPr="001C7D76">
              <w:t> </w:t>
            </w:r>
          </w:p>
        </w:tc>
        <w:tc>
          <w:tcPr>
            <w:tcW w:w="2268" w:type="dxa"/>
            <w:tcBorders>
              <w:bottom w:val="single" w:sz="12" w:space="0" w:color="auto"/>
            </w:tcBorders>
            <w:shd w:val="clear" w:color="auto" w:fill="auto"/>
            <w:noWrap/>
            <w:hideMark/>
          </w:tcPr>
          <w:p w:rsidR="001C7D76" w:rsidRPr="001C7D76" w:rsidRDefault="001C7D76" w:rsidP="00A11A9E">
            <w:pPr>
              <w:suppressAutoHyphens w:val="0"/>
              <w:spacing w:before="40" w:after="40" w:line="220" w:lineRule="exact"/>
            </w:pPr>
            <w:r w:rsidRPr="001C7D76">
              <w:t>Descendants</w:t>
            </w:r>
          </w:p>
        </w:tc>
        <w:tc>
          <w:tcPr>
            <w:tcW w:w="1021" w:type="dxa"/>
            <w:tcBorders>
              <w:bottom w:val="single" w:sz="12" w:space="0" w:color="auto"/>
            </w:tcBorders>
            <w:shd w:val="clear" w:color="auto" w:fill="auto"/>
            <w:noWrap/>
          </w:tcPr>
          <w:p w:rsidR="001C7D76" w:rsidRPr="001C7D76" w:rsidRDefault="001C7D76" w:rsidP="00A11A9E">
            <w:pPr>
              <w:suppressAutoHyphens w:val="0"/>
              <w:spacing w:before="40" w:after="40" w:line="220" w:lineRule="exact"/>
              <w:jc w:val="right"/>
            </w:pPr>
            <w:r w:rsidRPr="001C7D76">
              <w:t>59</w:t>
            </w:r>
            <w:r w:rsidR="00404B6F">
              <w:t>.</w:t>
            </w:r>
            <w:r w:rsidRPr="001C7D76">
              <w:t>3</w:t>
            </w:r>
          </w:p>
        </w:tc>
        <w:tc>
          <w:tcPr>
            <w:tcW w:w="1021" w:type="dxa"/>
            <w:tcBorders>
              <w:bottom w:val="single" w:sz="12" w:space="0" w:color="auto"/>
            </w:tcBorders>
            <w:shd w:val="clear" w:color="auto" w:fill="auto"/>
            <w:noWrap/>
          </w:tcPr>
          <w:p w:rsidR="001C7D76" w:rsidRPr="001C7D76" w:rsidRDefault="001C7D76" w:rsidP="00A11A9E">
            <w:pPr>
              <w:suppressAutoHyphens w:val="0"/>
              <w:spacing w:before="40" w:after="40" w:line="220" w:lineRule="exact"/>
              <w:jc w:val="right"/>
            </w:pPr>
            <w:r w:rsidRPr="001C7D76">
              <w:t>57</w:t>
            </w:r>
            <w:r w:rsidR="00404B6F">
              <w:t>.</w:t>
            </w:r>
            <w:r w:rsidRPr="001C7D76">
              <w:t>0</w:t>
            </w:r>
          </w:p>
        </w:tc>
        <w:tc>
          <w:tcPr>
            <w:tcW w:w="1021" w:type="dxa"/>
            <w:tcBorders>
              <w:bottom w:val="single" w:sz="12" w:space="0" w:color="auto"/>
            </w:tcBorders>
            <w:shd w:val="clear" w:color="auto" w:fill="auto"/>
            <w:noWrap/>
          </w:tcPr>
          <w:p w:rsidR="001C7D76" w:rsidRPr="001C7D76" w:rsidRDefault="001C7D76" w:rsidP="00A11A9E">
            <w:pPr>
              <w:suppressAutoHyphens w:val="0"/>
              <w:spacing w:before="40" w:after="40" w:line="220" w:lineRule="exact"/>
              <w:jc w:val="right"/>
            </w:pPr>
            <w:r w:rsidRPr="001C7D76">
              <w:t>54</w:t>
            </w:r>
            <w:r w:rsidR="00404B6F">
              <w:t>.</w:t>
            </w:r>
            <w:r w:rsidRPr="001C7D76">
              <w:t>8</w:t>
            </w:r>
          </w:p>
        </w:tc>
        <w:tc>
          <w:tcPr>
            <w:tcW w:w="1021" w:type="dxa"/>
            <w:tcBorders>
              <w:bottom w:val="single" w:sz="12" w:space="0" w:color="auto"/>
            </w:tcBorders>
            <w:shd w:val="clear" w:color="auto" w:fill="auto"/>
            <w:noWrap/>
          </w:tcPr>
          <w:p w:rsidR="001C7D76" w:rsidRPr="001C7D76" w:rsidRDefault="001C7D76" w:rsidP="00A11A9E">
            <w:pPr>
              <w:suppressAutoHyphens w:val="0"/>
              <w:spacing w:before="40" w:after="40" w:line="220" w:lineRule="exact"/>
              <w:jc w:val="right"/>
            </w:pPr>
            <w:r w:rsidRPr="001C7D76">
              <w:t>53</w:t>
            </w:r>
            <w:r w:rsidR="00404B6F">
              <w:t>.</w:t>
            </w:r>
            <w:r w:rsidRPr="001C7D76">
              <w:t>4</w:t>
            </w:r>
          </w:p>
        </w:tc>
      </w:tr>
    </w:tbl>
    <w:p w:rsidR="005B5648" w:rsidRDefault="005B5648" w:rsidP="00A11A9E">
      <w:pPr>
        <w:pStyle w:val="SingleTxtG"/>
        <w:spacing w:before="120" w:after="0"/>
        <w:ind w:firstLine="170"/>
        <w:jc w:val="left"/>
        <w:rPr>
          <w:sz w:val="18"/>
          <w:szCs w:val="18"/>
          <w:lang w:val="en-US"/>
        </w:rPr>
      </w:pPr>
      <w:r w:rsidRPr="00A11A9E">
        <w:rPr>
          <w:i/>
          <w:iCs/>
          <w:sz w:val="18"/>
          <w:szCs w:val="18"/>
          <w:lang w:val="en-US"/>
        </w:rPr>
        <w:t>Source</w:t>
      </w:r>
      <w:r w:rsidRPr="00D246BC">
        <w:rPr>
          <w:sz w:val="18"/>
          <w:szCs w:val="18"/>
          <w:lang w:val="en-US"/>
        </w:rPr>
        <w:t>: Statistics Denmark</w:t>
      </w:r>
      <w:r>
        <w:rPr>
          <w:sz w:val="18"/>
          <w:szCs w:val="18"/>
          <w:lang w:val="en-US"/>
        </w:rPr>
        <w:t>.</w:t>
      </w:r>
    </w:p>
    <w:p w:rsidR="00502188" w:rsidRDefault="001C7D76" w:rsidP="005B5648">
      <w:pPr>
        <w:pStyle w:val="SingleTxtG"/>
        <w:spacing w:after="0"/>
        <w:ind w:firstLine="170"/>
        <w:jc w:val="left"/>
        <w:rPr>
          <w:sz w:val="18"/>
          <w:szCs w:val="18"/>
          <w:lang w:val="en-US"/>
        </w:rPr>
      </w:pPr>
      <w:r w:rsidRPr="00A11A9E">
        <w:rPr>
          <w:i/>
          <w:iCs/>
          <w:sz w:val="18"/>
          <w:szCs w:val="18"/>
          <w:lang w:val="en-US"/>
        </w:rPr>
        <w:t>Note</w:t>
      </w:r>
      <w:r w:rsidRPr="00D246BC">
        <w:rPr>
          <w:sz w:val="18"/>
          <w:szCs w:val="18"/>
          <w:lang w:val="en-US"/>
        </w:rPr>
        <w:t xml:space="preserve">: Employment rate, 2010-2013. </w:t>
      </w:r>
    </w:p>
    <w:p w:rsidR="001C7D76" w:rsidRPr="00D246BC" w:rsidRDefault="00A11A9E" w:rsidP="00A11A9E">
      <w:pPr>
        <w:pStyle w:val="SingleTxtG"/>
        <w:spacing w:before="240" w:after="240"/>
      </w:pPr>
      <w:r w:rsidRPr="00D246BC">
        <w:t>85.</w:t>
      </w:r>
      <w:r w:rsidRPr="00D246BC">
        <w:tab/>
      </w:r>
      <w:r w:rsidR="001C7D76" w:rsidRPr="00D246BC">
        <w:t xml:space="preserve">The average wage level for women in 2013 was 221 DKK per hour which is 15 </w:t>
      </w:r>
      <w:r w:rsidR="00DA706F">
        <w:t>per cent</w:t>
      </w:r>
      <w:r w:rsidR="001C7D76" w:rsidRPr="00D246BC">
        <w:t xml:space="preserve"> </w:t>
      </w:r>
      <w:r w:rsidR="00DA706F">
        <w:t>l</w:t>
      </w:r>
      <w:r w:rsidR="001C7D76" w:rsidRPr="00D246BC">
        <w:t>ower than the average for men. This difference has been consistent from 2010-2013.</w:t>
      </w:r>
      <w:r w:rsidR="00AF685F">
        <w:t xml:space="preserve"> </w:t>
      </w:r>
    </w:p>
    <w:p w:rsidR="001C7D76" w:rsidRPr="006A300B" w:rsidRDefault="00D246BC" w:rsidP="00A11A9E">
      <w:pPr>
        <w:pStyle w:val="H23G"/>
        <w:rPr>
          <w:lang w:val="en-US"/>
        </w:rPr>
      </w:pPr>
      <w:r>
        <w:rPr>
          <w:rFonts w:ascii="Garamond" w:hAnsi="Garamond"/>
          <w:lang w:val="en-US"/>
        </w:rPr>
        <w:tab/>
      </w:r>
      <w:r>
        <w:rPr>
          <w:rFonts w:ascii="Garamond" w:hAnsi="Garamond"/>
          <w:lang w:val="en-US"/>
        </w:rPr>
        <w:tab/>
      </w:r>
      <w:r w:rsidR="001C7D76" w:rsidRPr="00A11A9E">
        <w:rPr>
          <w:b w:val="0"/>
          <w:bCs/>
          <w:lang w:val="en-US"/>
        </w:rPr>
        <w:t>Table 2</w:t>
      </w:r>
      <w:r w:rsidR="009340C3">
        <w:rPr>
          <w:lang w:val="en-US"/>
        </w:rPr>
        <w:br/>
      </w:r>
      <w:r w:rsidR="001C7D76" w:rsidRPr="006A300B">
        <w:rPr>
          <w:lang w:val="en-US"/>
        </w:rPr>
        <w:t>Standardized hourly earnings, 2010-2013</w:t>
      </w:r>
    </w:p>
    <w:tbl>
      <w:tblPr>
        <w:tblW w:w="0" w:type="auto"/>
        <w:tblInd w:w="1134" w:type="dxa"/>
        <w:tblBorders>
          <w:top w:val="single" w:sz="4" w:space="0" w:color="auto"/>
        </w:tblBorders>
        <w:tblCellMar>
          <w:left w:w="0" w:type="dxa"/>
          <w:right w:w="0" w:type="dxa"/>
        </w:tblCellMar>
        <w:tblLook w:val="04A0" w:firstRow="1" w:lastRow="0" w:firstColumn="1" w:lastColumn="0" w:noHBand="0" w:noVBand="1"/>
      </w:tblPr>
      <w:tblGrid>
        <w:gridCol w:w="3305"/>
        <w:gridCol w:w="1037"/>
        <w:gridCol w:w="1037"/>
        <w:gridCol w:w="1037"/>
        <w:gridCol w:w="1037"/>
      </w:tblGrid>
      <w:tr w:rsidR="00D246BC" w:rsidRPr="00D246BC" w:rsidTr="00A11A9E">
        <w:trPr>
          <w:trHeight w:val="300"/>
          <w:tblHeader/>
        </w:trPr>
        <w:tc>
          <w:tcPr>
            <w:tcW w:w="3289" w:type="dxa"/>
            <w:tcBorders>
              <w:top w:val="single" w:sz="4" w:space="0" w:color="auto"/>
              <w:bottom w:val="single" w:sz="12" w:space="0" w:color="auto"/>
            </w:tcBorders>
            <w:shd w:val="clear" w:color="auto" w:fill="auto"/>
            <w:noWrap/>
            <w:vAlign w:val="bottom"/>
            <w:hideMark/>
          </w:tcPr>
          <w:p w:rsidR="001C7D76" w:rsidRPr="00D246BC" w:rsidRDefault="001C7D76" w:rsidP="00D246BC">
            <w:pPr>
              <w:pStyle w:val="NoSpacing"/>
              <w:spacing w:before="80" w:after="80" w:line="200" w:lineRule="exact"/>
              <w:rPr>
                <w:rFonts w:ascii="Times New Roman" w:eastAsia="Times New Roman" w:hAnsi="Times New Roman"/>
                <w:i/>
                <w:sz w:val="16"/>
                <w:lang w:val="en-US" w:eastAsia="da-DK"/>
              </w:rPr>
            </w:pPr>
            <w:r w:rsidRPr="00D246BC">
              <w:rPr>
                <w:rFonts w:ascii="Times New Roman" w:eastAsia="Times New Roman" w:hAnsi="Times New Roman"/>
                <w:i/>
                <w:sz w:val="16"/>
                <w:lang w:val="en-US" w:eastAsia="da-DK"/>
              </w:rPr>
              <w:t> </w:t>
            </w:r>
          </w:p>
        </w:tc>
        <w:tc>
          <w:tcPr>
            <w:tcW w:w="1021" w:type="dxa"/>
            <w:tcBorders>
              <w:top w:val="single" w:sz="4" w:space="0" w:color="auto"/>
              <w:bottom w:val="single" w:sz="12" w:space="0" w:color="auto"/>
            </w:tcBorders>
            <w:shd w:val="clear" w:color="auto" w:fill="auto"/>
            <w:noWrap/>
            <w:vAlign w:val="bottom"/>
            <w:hideMark/>
          </w:tcPr>
          <w:p w:rsidR="001C7D76" w:rsidRPr="00D246BC" w:rsidRDefault="001C7D76" w:rsidP="0083661D">
            <w:pPr>
              <w:pStyle w:val="NoSpacing"/>
              <w:spacing w:before="80" w:after="80" w:line="200" w:lineRule="exact"/>
              <w:jc w:val="right"/>
              <w:rPr>
                <w:rFonts w:ascii="Times New Roman" w:eastAsia="Times New Roman" w:hAnsi="Times New Roman"/>
                <w:i/>
                <w:sz w:val="16"/>
                <w:lang w:val="en-US" w:eastAsia="da-DK"/>
              </w:rPr>
            </w:pPr>
            <w:r w:rsidRPr="00D246BC">
              <w:rPr>
                <w:rFonts w:ascii="Times New Roman" w:eastAsia="Times New Roman" w:hAnsi="Times New Roman"/>
                <w:i/>
                <w:sz w:val="16"/>
                <w:lang w:val="en-US" w:eastAsia="da-DK"/>
              </w:rPr>
              <w:t>2010</w:t>
            </w:r>
          </w:p>
        </w:tc>
        <w:tc>
          <w:tcPr>
            <w:tcW w:w="1021" w:type="dxa"/>
            <w:tcBorders>
              <w:top w:val="single" w:sz="4" w:space="0" w:color="auto"/>
              <w:bottom w:val="single" w:sz="12" w:space="0" w:color="auto"/>
            </w:tcBorders>
            <w:shd w:val="clear" w:color="auto" w:fill="auto"/>
            <w:noWrap/>
            <w:vAlign w:val="bottom"/>
            <w:hideMark/>
          </w:tcPr>
          <w:p w:rsidR="001C7D76" w:rsidRPr="00D246BC" w:rsidRDefault="001C7D76" w:rsidP="0083661D">
            <w:pPr>
              <w:pStyle w:val="NoSpacing"/>
              <w:spacing w:before="80" w:after="80" w:line="200" w:lineRule="exact"/>
              <w:jc w:val="right"/>
              <w:rPr>
                <w:rFonts w:ascii="Times New Roman" w:eastAsia="Times New Roman" w:hAnsi="Times New Roman"/>
                <w:i/>
                <w:sz w:val="16"/>
                <w:lang w:val="en-US" w:eastAsia="da-DK"/>
              </w:rPr>
            </w:pPr>
            <w:r w:rsidRPr="00D246BC">
              <w:rPr>
                <w:rFonts w:ascii="Times New Roman" w:eastAsia="Times New Roman" w:hAnsi="Times New Roman"/>
                <w:i/>
                <w:sz w:val="16"/>
                <w:lang w:val="en-US" w:eastAsia="da-DK"/>
              </w:rPr>
              <w:t>2011</w:t>
            </w:r>
          </w:p>
        </w:tc>
        <w:tc>
          <w:tcPr>
            <w:tcW w:w="1021" w:type="dxa"/>
            <w:tcBorders>
              <w:top w:val="single" w:sz="4" w:space="0" w:color="auto"/>
              <w:bottom w:val="single" w:sz="12" w:space="0" w:color="auto"/>
            </w:tcBorders>
            <w:shd w:val="clear" w:color="auto" w:fill="auto"/>
            <w:noWrap/>
            <w:vAlign w:val="bottom"/>
            <w:hideMark/>
          </w:tcPr>
          <w:p w:rsidR="001C7D76" w:rsidRPr="00D246BC" w:rsidRDefault="001C7D76" w:rsidP="0083661D">
            <w:pPr>
              <w:pStyle w:val="NoSpacing"/>
              <w:spacing w:before="80" w:after="80" w:line="200" w:lineRule="exact"/>
              <w:jc w:val="right"/>
              <w:rPr>
                <w:rFonts w:ascii="Times New Roman" w:eastAsia="Times New Roman" w:hAnsi="Times New Roman"/>
                <w:i/>
                <w:sz w:val="16"/>
                <w:lang w:val="en-US" w:eastAsia="da-DK"/>
              </w:rPr>
            </w:pPr>
            <w:r w:rsidRPr="00D246BC">
              <w:rPr>
                <w:rFonts w:ascii="Times New Roman" w:eastAsia="Times New Roman" w:hAnsi="Times New Roman"/>
                <w:i/>
                <w:sz w:val="16"/>
                <w:lang w:val="en-US" w:eastAsia="da-DK"/>
              </w:rPr>
              <w:t>2012</w:t>
            </w:r>
          </w:p>
        </w:tc>
        <w:tc>
          <w:tcPr>
            <w:tcW w:w="1021" w:type="dxa"/>
            <w:tcBorders>
              <w:top w:val="single" w:sz="4" w:space="0" w:color="auto"/>
              <w:bottom w:val="single" w:sz="12" w:space="0" w:color="auto"/>
            </w:tcBorders>
            <w:shd w:val="clear" w:color="auto" w:fill="auto"/>
            <w:noWrap/>
            <w:vAlign w:val="bottom"/>
            <w:hideMark/>
          </w:tcPr>
          <w:p w:rsidR="001C7D76" w:rsidRPr="00D246BC" w:rsidRDefault="001C7D76" w:rsidP="0083661D">
            <w:pPr>
              <w:pStyle w:val="NoSpacing"/>
              <w:spacing w:before="80" w:after="80" w:line="200" w:lineRule="exact"/>
              <w:jc w:val="right"/>
              <w:rPr>
                <w:rFonts w:ascii="Times New Roman" w:eastAsia="Times New Roman" w:hAnsi="Times New Roman"/>
                <w:i/>
                <w:sz w:val="16"/>
                <w:lang w:val="en-US" w:eastAsia="da-DK"/>
              </w:rPr>
            </w:pPr>
            <w:r w:rsidRPr="00D246BC">
              <w:rPr>
                <w:rFonts w:ascii="Times New Roman" w:eastAsia="Times New Roman" w:hAnsi="Times New Roman"/>
                <w:i/>
                <w:sz w:val="16"/>
                <w:lang w:val="en-US" w:eastAsia="da-DK"/>
              </w:rPr>
              <w:t>2013</w:t>
            </w:r>
          </w:p>
        </w:tc>
      </w:tr>
      <w:tr w:rsidR="00D246BC" w:rsidRPr="00D246BC" w:rsidTr="00A11A9E">
        <w:trPr>
          <w:trHeight w:val="300"/>
        </w:trPr>
        <w:tc>
          <w:tcPr>
            <w:tcW w:w="3289" w:type="dxa"/>
            <w:tcBorders>
              <w:top w:val="single" w:sz="12" w:space="0" w:color="auto"/>
            </w:tcBorders>
            <w:shd w:val="clear" w:color="auto" w:fill="auto"/>
            <w:noWrap/>
            <w:hideMark/>
          </w:tcPr>
          <w:p w:rsidR="001C7D76" w:rsidRPr="00D246BC" w:rsidRDefault="001C7D76" w:rsidP="00A11A9E">
            <w:pPr>
              <w:pStyle w:val="NoSpacing"/>
              <w:spacing w:before="40" w:after="40" w:line="220" w:lineRule="exact"/>
              <w:rPr>
                <w:rFonts w:ascii="Times New Roman" w:eastAsia="Times New Roman" w:hAnsi="Times New Roman"/>
                <w:sz w:val="20"/>
                <w:lang w:val="en-US" w:eastAsia="da-DK"/>
              </w:rPr>
            </w:pPr>
            <w:r w:rsidRPr="00D246BC">
              <w:rPr>
                <w:rFonts w:ascii="Times New Roman" w:eastAsia="Times New Roman" w:hAnsi="Times New Roman"/>
                <w:sz w:val="20"/>
                <w:lang w:val="en-US" w:eastAsia="da-DK"/>
              </w:rPr>
              <w:t>Men</w:t>
            </w:r>
          </w:p>
        </w:tc>
        <w:tc>
          <w:tcPr>
            <w:tcW w:w="1021" w:type="dxa"/>
            <w:tcBorders>
              <w:top w:val="single" w:sz="12" w:space="0" w:color="auto"/>
            </w:tcBorders>
            <w:shd w:val="clear" w:color="auto" w:fill="auto"/>
            <w:noWrap/>
          </w:tcPr>
          <w:p w:rsidR="001C7D76" w:rsidRPr="00D246BC" w:rsidRDefault="001C7D76" w:rsidP="00A11A9E">
            <w:pPr>
              <w:suppressAutoHyphens w:val="0"/>
              <w:autoSpaceDE w:val="0"/>
              <w:autoSpaceDN w:val="0"/>
              <w:adjustRightInd w:val="0"/>
              <w:spacing w:before="40" w:after="40" w:line="220" w:lineRule="exact"/>
              <w:jc w:val="right"/>
              <w:rPr>
                <w:szCs w:val="22"/>
                <w:lang w:val="da-DK" w:eastAsia="da-DK"/>
              </w:rPr>
            </w:pPr>
            <w:r w:rsidRPr="00D246BC">
              <w:rPr>
                <w:szCs w:val="22"/>
                <w:lang w:val="da-DK" w:eastAsia="da-DK"/>
              </w:rPr>
              <w:t>244</w:t>
            </w:r>
            <w:r w:rsidR="00404B6F">
              <w:rPr>
                <w:szCs w:val="22"/>
                <w:lang w:val="da-DK" w:eastAsia="da-DK"/>
              </w:rPr>
              <w:t>.</w:t>
            </w:r>
            <w:r w:rsidRPr="00D246BC">
              <w:rPr>
                <w:szCs w:val="22"/>
                <w:lang w:val="da-DK" w:eastAsia="da-DK"/>
              </w:rPr>
              <w:t>94</w:t>
            </w:r>
          </w:p>
        </w:tc>
        <w:tc>
          <w:tcPr>
            <w:tcW w:w="1021" w:type="dxa"/>
            <w:tcBorders>
              <w:top w:val="single" w:sz="12" w:space="0" w:color="auto"/>
            </w:tcBorders>
            <w:shd w:val="clear" w:color="auto" w:fill="auto"/>
            <w:noWrap/>
          </w:tcPr>
          <w:p w:rsidR="001C7D76" w:rsidRPr="00D246BC" w:rsidRDefault="001C7D76" w:rsidP="00A11A9E">
            <w:pPr>
              <w:suppressAutoHyphens w:val="0"/>
              <w:autoSpaceDE w:val="0"/>
              <w:autoSpaceDN w:val="0"/>
              <w:adjustRightInd w:val="0"/>
              <w:spacing w:before="40" w:after="40" w:line="220" w:lineRule="exact"/>
              <w:jc w:val="right"/>
              <w:rPr>
                <w:szCs w:val="22"/>
                <w:lang w:val="da-DK" w:eastAsia="da-DK"/>
              </w:rPr>
            </w:pPr>
            <w:r w:rsidRPr="00D246BC">
              <w:rPr>
                <w:szCs w:val="22"/>
                <w:lang w:val="da-DK" w:eastAsia="da-DK"/>
              </w:rPr>
              <w:t>251</w:t>
            </w:r>
            <w:r w:rsidR="00404B6F">
              <w:rPr>
                <w:szCs w:val="22"/>
                <w:lang w:val="da-DK" w:eastAsia="da-DK"/>
              </w:rPr>
              <w:t>.</w:t>
            </w:r>
            <w:r w:rsidRPr="00D246BC">
              <w:rPr>
                <w:szCs w:val="22"/>
                <w:lang w:val="da-DK" w:eastAsia="da-DK"/>
              </w:rPr>
              <w:t>12</w:t>
            </w:r>
          </w:p>
        </w:tc>
        <w:tc>
          <w:tcPr>
            <w:tcW w:w="1021" w:type="dxa"/>
            <w:tcBorders>
              <w:top w:val="single" w:sz="12" w:space="0" w:color="auto"/>
            </w:tcBorders>
            <w:shd w:val="clear" w:color="auto" w:fill="auto"/>
            <w:noWrap/>
          </w:tcPr>
          <w:p w:rsidR="001C7D76" w:rsidRPr="00D246BC" w:rsidRDefault="001C7D76" w:rsidP="00A11A9E">
            <w:pPr>
              <w:suppressAutoHyphens w:val="0"/>
              <w:autoSpaceDE w:val="0"/>
              <w:autoSpaceDN w:val="0"/>
              <w:adjustRightInd w:val="0"/>
              <w:spacing w:before="40" w:after="40" w:line="220" w:lineRule="exact"/>
              <w:jc w:val="right"/>
              <w:rPr>
                <w:szCs w:val="22"/>
                <w:lang w:val="da-DK" w:eastAsia="da-DK"/>
              </w:rPr>
            </w:pPr>
            <w:r w:rsidRPr="00D246BC">
              <w:rPr>
                <w:szCs w:val="22"/>
                <w:lang w:val="da-DK" w:eastAsia="da-DK"/>
              </w:rPr>
              <w:t>255</w:t>
            </w:r>
            <w:r w:rsidR="00404B6F">
              <w:rPr>
                <w:szCs w:val="22"/>
                <w:lang w:val="da-DK" w:eastAsia="da-DK"/>
              </w:rPr>
              <w:t>.</w:t>
            </w:r>
            <w:r w:rsidRPr="00D246BC">
              <w:rPr>
                <w:szCs w:val="22"/>
                <w:lang w:val="da-DK" w:eastAsia="da-DK"/>
              </w:rPr>
              <w:t>87</w:t>
            </w:r>
          </w:p>
        </w:tc>
        <w:tc>
          <w:tcPr>
            <w:tcW w:w="1021" w:type="dxa"/>
            <w:tcBorders>
              <w:top w:val="single" w:sz="12" w:space="0" w:color="auto"/>
            </w:tcBorders>
            <w:shd w:val="clear" w:color="auto" w:fill="auto"/>
            <w:noWrap/>
          </w:tcPr>
          <w:p w:rsidR="001C7D76" w:rsidRPr="00D246BC" w:rsidRDefault="001C7D76" w:rsidP="00A11A9E">
            <w:pPr>
              <w:suppressAutoHyphens w:val="0"/>
              <w:autoSpaceDE w:val="0"/>
              <w:autoSpaceDN w:val="0"/>
              <w:adjustRightInd w:val="0"/>
              <w:spacing w:before="40" w:after="40" w:line="220" w:lineRule="exact"/>
              <w:jc w:val="right"/>
              <w:rPr>
                <w:szCs w:val="22"/>
                <w:lang w:val="da-DK" w:eastAsia="da-DK"/>
              </w:rPr>
            </w:pPr>
            <w:r w:rsidRPr="00D246BC">
              <w:rPr>
                <w:szCs w:val="22"/>
                <w:lang w:val="da-DK" w:eastAsia="da-DK"/>
              </w:rPr>
              <w:t>258</w:t>
            </w:r>
            <w:r w:rsidR="00404B6F">
              <w:rPr>
                <w:szCs w:val="22"/>
                <w:lang w:val="da-DK" w:eastAsia="da-DK"/>
              </w:rPr>
              <w:t>.</w:t>
            </w:r>
            <w:r w:rsidRPr="00D246BC">
              <w:rPr>
                <w:szCs w:val="22"/>
                <w:lang w:val="da-DK" w:eastAsia="da-DK"/>
              </w:rPr>
              <w:t>38</w:t>
            </w:r>
          </w:p>
        </w:tc>
      </w:tr>
      <w:tr w:rsidR="00D246BC" w:rsidRPr="00D246BC" w:rsidTr="00A11A9E">
        <w:trPr>
          <w:trHeight w:val="300"/>
        </w:trPr>
        <w:tc>
          <w:tcPr>
            <w:tcW w:w="3289" w:type="dxa"/>
            <w:tcBorders>
              <w:bottom w:val="single" w:sz="12" w:space="0" w:color="auto"/>
            </w:tcBorders>
            <w:shd w:val="clear" w:color="auto" w:fill="auto"/>
            <w:noWrap/>
            <w:hideMark/>
          </w:tcPr>
          <w:p w:rsidR="001C7D76" w:rsidRPr="00D246BC" w:rsidRDefault="001C7D76" w:rsidP="00A11A9E">
            <w:pPr>
              <w:pStyle w:val="NoSpacing"/>
              <w:spacing w:before="40" w:after="40" w:line="220" w:lineRule="exact"/>
              <w:rPr>
                <w:rFonts w:ascii="Times New Roman" w:eastAsia="Times New Roman" w:hAnsi="Times New Roman"/>
                <w:sz w:val="20"/>
                <w:lang w:val="en-US" w:eastAsia="da-DK"/>
              </w:rPr>
            </w:pPr>
            <w:r w:rsidRPr="00D246BC">
              <w:rPr>
                <w:rFonts w:ascii="Times New Roman" w:eastAsia="Times New Roman" w:hAnsi="Times New Roman"/>
                <w:sz w:val="20"/>
                <w:lang w:val="en-US" w:eastAsia="da-DK"/>
              </w:rPr>
              <w:t>Women</w:t>
            </w:r>
          </w:p>
        </w:tc>
        <w:tc>
          <w:tcPr>
            <w:tcW w:w="1021" w:type="dxa"/>
            <w:tcBorders>
              <w:bottom w:val="single" w:sz="12" w:space="0" w:color="auto"/>
            </w:tcBorders>
            <w:shd w:val="clear" w:color="auto" w:fill="auto"/>
            <w:noWrap/>
          </w:tcPr>
          <w:p w:rsidR="001C7D76" w:rsidRPr="00D246BC" w:rsidRDefault="001C7D76" w:rsidP="00A11A9E">
            <w:pPr>
              <w:suppressAutoHyphens w:val="0"/>
              <w:autoSpaceDE w:val="0"/>
              <w:autoSpaceDN w:val="0"/>
              <w:adjustRightInd w:val="0"/>
              <w:spacing w:before="40" w:after="40" w:line="220" w:lineRule="exact"/>
              <w:jc w:val="right"/>
              <w:rPr>
                <w:szCs w:val="22"/>
                <w:lang w:val="da-DK" w:eastAsia="da-DK"/>
              </w:rPr>
            </w:pPr>
            <w:r w:rsidRPr="00D246BC">
              <w:rPr>
                <w:szCs w:val="22"/>
                <w:lang w:val="da-DK" w:eastAsia="da-DK"/>
              </w:rPr>
              <w:t>208</w:t>
            </w:r>
            <w:r w:rsidR="00404B6F">
              <w:rPr>
                <w:szCs w:val="22"/>
                <w:lang w:val="da-DK" w:eastAsia="da-DK"/>
              </w:rPr>
              <w:t>.</w:t>
            </w:r>
            <w:r w:rsidRPr="00D246BC">
              <w:rPr>
                <w:szCs w:val="22"/>
                <w:lang w:val="da-DK" w:eastAsia="da-DK"/>
              </w:rPr>
              <w:t>38</w:t>
            </w:r>
          </w:p>
        </w:tc>
        <w:tc>
          <w:tcPr>
            <w:tcW w:w="1021" w:type="dxa"/>
            <w:tcBorders>
              <w:bottom w:val="single" w:sz="12" w:space="0" w:color="auto"/>
            </w:tcBorders>
            <w:shd w:val="clear" w:color="auto" w:fill="auto"/>
            <w:noWrap/>
          </w:tcPr>
          <w:p w:rsidR="001C7D76" w:rsidRPr="00D246BC" w:rsidRDefault="001C7D76" w:rsidP="00A11A9E">
            <w:pPr>
              <w:suppressAutoHyphens w:val="0"/>
              <w:autoSpaceDE w:val="0"/>
              <w:autoSpaceDN w:val="0"/>
              <w:adjustRightInd w:val="0"/>
              <w:spacing w:before="40" w:after="40" w:line="220" w:lineRule="exact"/>
              <w:jc w:val="right"/>
              <w:rPr>
                <w:szCs w:val="22"/>
                <w:lang w:val="da-DK" w:eastAsia="da-DK"/>
              </w:rPr>
            </w:pPr>
            <w:r w:rsidRPr="00D246BC">
              <w:rPr>
                <w:szCs w:val="22"/>
                <w:lang w:val="da-DK" w:eastAsia="da-DK"/>
              </w:rPr>
              <w:t>212</w:t>
            </w:r>
            <w:r w:rsidR="00404B6F">
              <w:rPr>
                <w:szCs w:val="22"/>
                <w:lang w:val="da-DK" w:eastAsia="da-DK"/>
              </w:rPr>
              <w:t>.</w:t>
            </w:r>
            <w:r w:rsidRPr="00D246BC">
              <w:rPr>
                <w:szCs w:val="22"/>
                <w:lang w:val="da-DK" w:eastAsia="da-DK"/>
              </w:rPr>
              <w:t>71</w:t>
            </w:r>
          </w:p>
        </w:tc>
        <w:tc>
          <w:tcPr>
            <w:tcW w:w="1021" w:type="dxa"/>
            <w:tcBorders>
              <w:bottom w:val="single" w:sz="12" w:space="0" w:color="auto"/>
            </w:tcBorders>
            <w:shd w:val="clear" w:color="auto" w:fill="auto"/>
            <w:noWrap/>
          </w:tcPr>
          <w:p w:rsidR="001C7D76" w:rsidRPr="00D246BC" w:rsidRDefault="001C7D76" w:rsidP="00A11A9E">
            <w:pPr>
              <w:suppressAutoHyphens w:val="0"/>
              <w:autoSpaceDE w:val="0"/>
              <w:autoSpaceDN w:val="0"/>
              <w:adjustRightInd w:val="0"/>
              <w:spacing w:before="40" w:after="40" w:line="220" w:lineRule="exact"/>
              <w:jc w:val="right"/>
              <w:rPr>
                <w:szCs w:val="22"/>
                <w:lang w:val="da-DK" w:eastAsia="da-DK"/>
              </w:rPr>
            </w:pPr>
            <w:r w:rsidRPr="00D246BC">
              <w:rPr>
                <w:szCs w:val="22"/>
                <w:lang w:val="da-DK" w:eastAsia="da-DK"/>
              </w:rPr>
              <w:t>217</w:t>
            </w:r>
            <w:r w:rsidR="00404B6F">
              <w:rPr>
                <w:szCs w:val="22"/>
                <w:lang w:val="da-DK" w:eastAsia="da-DK"/>
              </w:rPr>
              <w:t>.</w:t>
            </w:r>
            <w:r w:rsidRPr="00D246BC">
              <w:rPr>
                <w:szCs w:val="22"/>
                <w:lang w:val="da-DK" w:eastAsia="da-DK"/>
              </w:rPr>
              <w:t>6</w:t>
            </w:r>
          </w:p>
        </w:tc>
        <w:tc>
          <w:tcPr>
            <w:tcW w:w="1021" w:type="dxa"/>
            <w:tcBorders>
              <w:bottom w:val="single" w:sz="12" w:space="0" w:color="auto"/>
            </w:tcBorders>
            <w:shd w:val="clear" w:color="auto" w:fill="auto"/>
            <w:noWrap/>
          </w:tcPr>
          <w:p w:rsidR="001C7D76" w:rsidRPr="00D246BC" w:rsidRDefault="001C7D76" w:rsidP="00A11A9E">
            <w:pPr>
              <w:suppressAutoHyphens w:val="0"/>
              <w:autoSpaceDE w:val="0"/>
              <w:autoSpaceDN w:val="0"/>
              <w:adjustRightInd w:val="0"/>
              <w:spacing w:before="40" w:after="40" w:line="220" w:lineRule="exact"/>
              <w:jc w:val="right"/>
              <w:rPr>
                <w:szCs w:val="22"/>
                <w:lang w:val="da-DK" w:eastAsia="da-DK"/>
              </w:rPr>
            </w:pPr>
            <w:r w:rsidRPr="00D246BC">
              <w:rPr>
                <w:szCs w:val="22"/>
                <w:lang w:val="da-DK" w:eastAsia="da-DK"/>
              </w:rPr>
              <w:t>221</w:t>
            </w:r>
            <w:r w:rsidR="00404B6F">
              <w:rPr>
                <w:szCs w:val="22"/>
                <w:lang w:val="da-DK" w:eastAsia="da-DK"/>
              </w:rPr>
              <w:t>.</w:t>
            </w:r>
            <w:r w:rsidRPr="00D246BC">
              <w:rPr>
                <w:szCs w:val="22"/>
                <w:lang w:val="da-DK" w:eastAsia="da-DK"/>
              </w:rPr>
              <w:t>22</w:t>
            </w:r>
          </w:p>
        </w:tc>
      </w:tr>
    </w:tbl>
    <w:p w:rsidR="001C7D76" w:rsidRPr="00D246BC" w:rsidRDefault="001C7D76" w:rsidP="00A11A9E">
      <w:pPr>
        <w:pStyle w:val="SingleTxtG"/>
        <w:spacing w:before="120" w:after="0"/>
        <w:ind w:firstLine="170"/>
        <w:jc w:val="left"/>
        <w:rPr>
          <w:sz w:val="18"/>
          <w:szCs w:val="18"/>
          <w:lang w:val="en-US"/>
        </w:rPr>
      </w:pPr>
      <w:r w:rsidRPr="00A11A9E">
        <w:rPr>
          <w:i/>
          <w:iCs/>
          <w:sz w:val="18"/>
          <w:szCs w:val="18"/>
          <w:lang w:val="en-US"/>
        </w:rPr>
        <w:t>Note</w:t>
      </w:r>
      <w:r w:rsidRPr="00D246BC">
        <w:rPr>
          <w:sz w:val="18"/>
          <w:szCs w:val="18"/>
          <w:lang w:val="en-US"/>
        </w:rPr>
        <w:t>: Standardized hourly earnings, 2010-2013. The measure for wages used here is standardized hourly earnings which consist of wage with supplements, pensions and fringe benefits, holiday payment, and sickness with pay. Source: Statistics Denmark.</w:t>
      </w:r>
    </w:p>
    <w:p w:rsidR="001C7D76" w:rsidRDefault="00A11A9E" w:rsidP="00A11A9E">
      <w:pPr>
        <w:pStyle w:val="SingleTxtG"/>
        <w:spacing w:before="240"/>
        <w:rPr>
          <w:lang w:val="en-US"/>
        </w:rPr>
      </w:pPr>
      <w:r>
        <w:rPr>
          <w:lang w:val="en-US"/>
        </w:rPr>
        <w:t>86.</w:t>
      </w:r>
      <w:r>
        <w:rPr>
          <w:lang w:val="en-US"/>
        </w:rPr>
        <w:tab/>
      </w:r>
      <w:r w:rsidR="001C7D76" w:rsidRPr="002C57FF">
        <w:rPr>
          <w:lang w:val="en-US"/>
        </w:rPr>
        <w:t>In October 2013</w:t>
      </w:r>
      <w:r w:rsidR="001C7D76">
        <w:rPr>
          <w:lang w:val="en-US"/>
        </w:rPr>
        <w:t>,</w:t>
      </w:r>
      <w:r w:rsidR="001C7D76" w:rsidRPr="002C57FF">
        <w:rPr>
          <w:lang w:val="en-US"/>
        </w:rPr>
        <w:t xml:space="preserve"> the National Center for Social Research </w:t>
      </w:r>
      <w:r w:rsidR="001C7D76">
        <w:rPr>
          <w:lang w:val="en-US"/>
        </w:rPr>
        <w:t>(</w:t>
      </w:r>
      <w:r w:rsidR="001C7D76" w:rsidRPr="00390D27">
        <w:rPr>
          <w:i/>
          <w:lang w:val="en-US"/>
        </w:rPr>
        <w:t>SFI</w:t>
      </w:r>
      <w:r w:rsidR="001C7D76">
        <w:rPr>
          <w:lang w:val="en-US"/>
        </w:rPr>
        <w:t xml:space="preserve">) </w:t>
      </w:r>
      <w:r w:rsidR="001C7D76" w:rsidRPr="002C57FF">
        <w:rPr>
          <w:lang w:val="en-US"/>
        </w:rPr>
        <w:t>published a report</w:t>
      </w:r>
      <w:r w:rsidR="001C7D76">
        <w:rPr>
          <w:lang w:val="en-US"/>
        </w:rPr>
        <w:t xml:space="preserve"> (</w:t>
      </w:r>
      <w:r w:rsidR="001C7D76" w:rsidRPr="00D15092">
        <w:rPr>
          <w:i/>
          <w:lang w:val="en-US"/>
        </w:rPr>
        <w:t>Lønforskelle mellem mænd og kvinder 2007-2011</w:t>
      </w:r>
      <w:r w:rsidR="001C7D76" w:rsidRPr="00A11A9E">
        <w:rPr>
          <w:iCs/>
          <w:lang w:val="en-US"/>
        </w:rPr>
        <w:t xml:space="preserve">) </w:t>
      </w:r>
      <w:r w:rsidR="001C7D76" w:rsidRPr="002C57FF">
        <w:rPr>
          <w:lang w:val="en-US"/>
        </w:rPr>
        <w:t xml:space="preserve">on the </w:t>
      </w:r>
      <w:r w:rsidR="001C7D76" w:rsidRPr="00E74A3D">
        <w:rPr>
          <w:lang w:val="en-US"/>
        </w:rPr>
        <w:t>gender pay gap</w:t>
      </w:r>
      <w:r w:rsidR="001C7D76" w:rsidRPr="002C57FF">
        <w:rPr>
          <w:lang w:val="en-US"/>
        </w:rPr>
        <w:t xml:space="preserve"> in Den</w:t>
      </w:r>
      <w:r w:rsidR="001C7D76">
        <w:rPr>
          <w:lang w:val="en-US"/>
        </w:rPr>
        <w:t>mar</w:t>
      </w:r>
      <w:r w:rsidR="001C7D76" w:rsidRPr="002C57FF">
        <w:rPr>
          <w:lang w:val="en-US"/>
        </w:rPr>
        <w:t>k from 2007-2011.</w:t>
      </w:r>
      <w:r w:rsidR="001C7D76">
        <w:rPr>
          <w:lang w:val="en-US"/>
        </w:rPr>
        <w:t xml:space="preserve"> </w:t>
      </w:r>
      <w:r w:rsidR="001C7D76" w:rsidRPr="002C57FF">
        <w:rPr>
          <w:lang w:val="en-US"/>
        </w:rPr>
        <w:t xml:space="preserve">The main conclusions </w:t>
      </w:r>
      <w:r w:rsidR="001C7D76">
        <w:rPr>
          <w:lang w:val="en-US"/>
        </w:rPr>
        <w:t>were</w:t>
      </w:r>
      <w:r w:rsidR="001C7D76" w:rsidRPr="002C57FF">
        <w:rPr>
          <w:lang w:val="en-US"/>
        </w:rPr>
        <w:t>:</w:t>
      </w:r>
      <w:r w:rsidR="001C7D76">
        <w:rPr>
          <w:lang w:val="en-US"/>
        </w:rPr>
        <w:t xml:space="preserve"> </w:t>
      </w:r>
    </w:p>
    <w:p w:rsidR="001C7D76" w:rsidRPr="002C57FF" w:rsidRDefault="00A11A9E" w:rsidP="00A11A9E">
      <w:pPr>
        <w:pStyle w:val="Bullet1G"/>
        <w:numPr>
          <w:ilvl w:val="0"/>
          <w:numId w:val="0"/>
        </w:numPr>
        <w:tabs>
          <w:tab w:val="left" w:pos="1701"/>
        </w:tabs>
        <w:ind w:left="1701" w:hanging="170"/>
        <w:rPr>
          <w:lang w:val="en-US"/>
        </w:rPr>
      </w:pPr>
      <w:r w:rsidRPr="002C57FF">
        <w:rPr>
          <w:lang w:val="en-US"/>
        </w:rPr>
        <w:t>•</w:t>
      </w:r>
      <w:r w:rsidRPr="002C57FF">
        <w:rPr>
          <w:lang w:val="en-US"/>
        </w:rPr>
        <w:tab/>
      </w:r>
      <w:r w:rsidR="001C7D76" w:rsidRPr="002C57FF">
        <w:rPr>
          <w:lang w:val="en-US"/>
        </w:rPr>
        <w:t>In 2011</w:t>
      </w:r>
      <w:r w:rsidR="001C7D76">
        <w:rPr>
          <w:lang w:val="en-US"/>
        </w:rPr>
        <w:t>,</w:t>
      </w:r>
      <w:r w:rsidR="001C7D76" w:rsidRPr="002C57FF">
        <w:rPr>
          <w:lang w:val="en-US"/>
        </w:rPr>
        <w:t xml:space="preserve"> the unadjusted gender pay gap for the labour market was 13-17 </w:t>
      </w:r>
      <w:r w:rsidR="00DA706F">
        <w:rPr>
          <w:lang w:val="en-US"/>
        </w:rPr>
        <w:t>per cent</w:t>
      </w:r>
      <w:r w:rsidR="001C7D76" w:rsidRPr="002C57FF">
        <w:rPr>
          <w:lang w:val="en-US"/>
        </w:rPr>
        <w:t>, depending on the definition of pay</w:t>
      </w:r>
    </w:p>
    <w:p w:rsidR="001C7D76" w:rsidRPr="002C57FF" w:rsidRDefault="00A11A9E" w:rsidP="00A11A9E">
      <w:pPr>
        <w:pStyle w:val="Bullet1G"/>
        <w:numPr>
          <w:ilvl w:val="0"/>
          <w:numId w:val="0"/>
        </w:numPr>
        <w:tabs>
          <w:tab w:val="left" w:pos="1701"/>
        </w:tabs>
        <w:ind w:left="1701" w:hanging="170"/>
        <w:rPr>
          <w:lang w:val="en-US"/>
        </w:rPr>
      </w:pPr>
      <w:r w:rsidRPr="002C57FF">
        <w:rPr>
          <w:lang w:val="en-US"/>
        </w:rPr>
        <w:t>•</w:t>
      </w:r>
      <w:r w:rsidRPr="002C57FF">
        <w:rPr>
          <w:lang w:val="en-US"/>
        </w:rPr>
        <w:tab/>
      </w:r>
      <w:r w:rsidR="001C7D76" w:rsidRPr="002C57FF">
        <w:rPr>
          <w:lang w:val="en-US"/>
        </w:rPr>
        <w:t>The adjusted gender pay gap, i.e. the remaining gender pay gap after adjusting according to individual characteristics such as education, work experience, sector, industry and work function that may explain part of the earnings</w:t>
      </w:r>
      <w:r w:rsidR="001C7D76">
        <w:rPr>
          <w:lang w:val="en-US"/>
        </w:rPr>
        <w:t>,</w:t>
      </w:r>
      <w:r w:rsidR="001C7D76" w:rsidRPr="002C57FF">
        <w:rPr>
          <w:lang w:val="en-US"/>
        </w:rPr>
        <w:t xml:space="preserve"> was 4-7 </w:t>
      </w:r>
      <w:r w:rsidR="00DA706F">
        <w:rPr>
          <w:lang w:val="en-US"/>
        </w:rPr>
        <w:t>per cent</w:t>
      </w:r>
    </w:p>
    <w:p w:rsidR="001C7D76" w:rsidRPr="002C57FF" w:rsidRDefault="00A11A9E" w:rsidP="00A11A9E">
      <w:pPr>
        <w:pStyle w:val="Bullet1G"/>
        <w:numPr>
          <w:ilvl w:val="0"/>
          <w:numId w:val="0"/>
        </w:numPr>
        <w:tabs>
          <w:tab w:val="left" w:pos="1701"/>
        </w:tabs>
        <w:ind w:left="1701" w:hanging="170"/>
        <w:rPr>
          <w:lang w:val="en-US"/>
        </w:rPr>
      </w:pPr>
      <w:r w:rsidRPr="002C57FF">
        <w:rPr>
          <w:lang w:val="en-US"/>
        </w:rPr>
        <w:t>•</w:t>
      </w:r>
      <w:r w:rsidRPr="002C57FF">
        <w:rPr>
          <w:lang w:val="en-US"/>
        </w:rPr>
        <w:tab/>
      </w:r>
      <w:r w:rsidR="001C7D76" w:rsidRPr="002C57FF">
        <w:rPr>
          <w:lang w:val="en-US"/>
        </w:rPr>
        <w:t>The unadjusted gender pay ga</w:t>
      </w:r>
      <w:r w:rsidR="001C7D76">
        <w:rPr>
          <w:lang w:val="en-US"/>
        </w:rPr>
        <w:t>p has decreased both</w:t>
      </w:r>
      <w:r w:rsidR="001C7D76" w:rsidRPr="002C57FF">
        <w:rPr>
          <w:lang w:val="en-US"/>
        </w:rPr>
        <w:t xml:space="preserve"> </w:t>
      </w:r>
      <w:r w:rsidR="001C7D76">
        <w:rPr>
          <w:lang w:val="en-US"/>
        </w:rPr>
        <w:t xml:space="preserve">at </w:t>
      </w:r>
      <w:r w:rsidR="001C7D76" w:rsidRPr="002C57FF">
        <w:rPr>
          <w:lang w:val="en-US"/>
        </w:rPr>
        <w:t>sectorial level and on the labour market as a whole from 2007 to 2011</w:t>
      </w:r>
    </w:p>
    <w:p w:rsidR="001C7D76" w:rsidRDefault="00A11A9E" w:rsidP="00A11A9E">
      <w:pPr>
        <w:pStyle w:val="Bullet1G"/>
        <w:numPr>
          <w:ilvl w:val="0"/>
          <w:numId w:val="0"/>
        </w:numPr>
        <w:tabs>
          <w:tab w:val="left" w:pos="1701"/>
        </w:tabs>
        <w:ind w:left="1701" w:hanging="170"/>
        <w:rPr>
          <w:lang w:val="en-US"/>
        </w:rPr>
      </w:pPr>
      <w:r>
        <w:rPr>
          <w:lang w:val="en-US"/>
        </w:rPr>
        <w:t>•</w:t>
      </w:r>
      <w:r>
        <w:rPr>
          <w:lang w:val="en-US"/>
        </w:rPr>
        <w:tab/>
      </w:r>
      <w:r w:rsidR="001C7D76" w:rsidRPr="00DC108E">
        <w:rPr>
          <w:lang w:val="en-US"/>
        </w:rPr>
        <w:t>The unadjusted gender pay gap is influenced by changes in the economic trends</w:t>
      </w:r>
    </w:p>
    <w:p w:rsidR="001C7D76" w:rsidRPr="00DC108E" w:rsidRDefault="00A11A9E" w:rsidP="00A11A9E">
      <w:pPr>
        <w:pStyle w:val="Bullet1G"/>
        <w:numPr>
          <w:ilvl w:val="0"/>
          <w:numId w:val="0"/>
        </w:numPr>
        <w:tabs>
          <w:tab w:val="left" w:pos="1701"/>
        </w:tabs>
        <w:ind w:left="1701" w:hanging="170"/>
        <w:rPr>
          <w:lang w:val="en-US"/>
        </w:rPr>
      </w:pPr>
      <w:r w:rsidRPr="00DC108E">
        <w:rPr>
          <w:lang w:val="en-US"/>
        </w:rPr>
        <w:t>•</w:t>
      </w:r>
      <w:r w:rsidRPr="00DC108E">
        <w:rPr>
          <w:lang w:val="en-US"/>
        </w:rPr>
        <w:tab/>
      </w:r>
      <w:r w:rsidR="001C7D76" w:rsidRPr="00DC108E">
        <w:rPr>
          <w:lang w:val="en-US"/>
        </w:rPr>
        <w:t>The unadjusted gender pay gap has decreased since 1997. The decrease is most significant in the public sector, while the decrease on the labour market as a whole is relatively modest</w:t>
      </w:r>
    </w:p>
    <w:p w:rsidR="001C7D76" w:rsidRDefault="00A11A9E" w:rsidP="00A11A9E">
      <w:pPr>
        <w:pStyle w:val="SingleTxtG"/>
        <w:rPr>
          <w:lang w:val="en-US"/>
        </w:rPr>
      </w:pPr>
      <w:r>
        <w:rPr>
          <w:lang w:val="en-US"/>
        </w:rPr>
        <w:t>87.</w:t>
      </w:r>
      <w:r>
        <w:rPr>
          <w:lang w:val="en-US"/>
        </w:rPr>
        <w:tab/>
      </w:r>
      <w:r w:rsidR="001C7D76">
        <w:rPr>
          <w:lang w:val="en-US"/>
        </w:rPr>
        <w:t xml:space="preserve">According to Eurostat, the employment rate in 2011 for Danish women was the second highest in the EU only surpassed by Sweden. The high employment rates for both men and women are facilitated through wide access to flexible and affordable childcare services in Denmark for children from the age of 6 months. According to Eurostat, in 2011 the percentage of children under the age of 3 years in formal care for more than 30 hours a week was 69 </w:t>
      </w:r>
      <w:r w:rsidR="00DA706F">
        <w:rPr>
          <w:lang w:val="en-US"/>
        </w:rPr>
        <w:t>per cent</w:t>
      </w:r>
      <w:r w:rsidR="001C7D76">
        <w:rPr>
          <w:lang w:val="en-US"/>
        </w:rPr>
        <w:t>. For children between the age of 3 years and compulsory school age</w:t>
      </w:r>
      <w:r w:rsidR="00DA706F">
        <w:rPr>
          <w:lang w:val="en-US"/>
        </w:rPr>
        <w:t xml:space="preserve">, </w:t>
      </w:r>
      <w:r w:rsidR="001C7D76">
        <w:rPr>
          <w:lang w:val="en-US"/>
        </w:rPr>
        <w:t xml:space="preserve">87 </w:t>
      </w:r>
      <w:r w:rsidR="00DA706F">
        <w:rPr>
          <w:lang w:val="en-US"/>
        </w:rPr>
        <w:t>per cent</w:t>
      </w:r>
      <w:r w:rsidR="001C7D76">
        <w:rPr>
          <w:lang w:val="en-US"/>
        </w:rPr>
        <w:t xml:space="preserve"> </w:t>
      </w:r>
      <w:r w:rsidR="00DA706F">
        <w:rPr>
          <w:lang w:val="en-US"/>
        </w:rPr>
        <w:t>were</w:t>
      </w:r>
      <w:r w:rsidR="001C7D76">
        <w:rPr>
          <w:lang w:val="en-US"/>
        </w:rPr>
        <w:t xml:space="preserve"> in formal care for more than 30 hours a week. The EU averages in 2011 were 15 and 47 </w:t>
      </w:r>
      <w:r w:rsidR="00DA706F">
        <w:rPr>
          <w:lang w:val="en-US"/>
        </w:rPr>
        <w:t>per cent</w:t>
      </w:r>
      <w:r w:rsidR="001C7D76">
        <w:rPr>
          <w:lang w:val="en-US"/>
        </w:rPr>
        <w:t xml:space="preserve">, respectively. </w:t>
      </w:r>
    </w:p>
    <w:p w:rsidR="001C7D76" w:rsidRPr="00947C3D" w:rsidRDefault="00A11A9E" w:rsidP="00A11A9E">
      <w:pPr>
        <w:pStyle w:val="SingleTxtG"/>
      </w:pPr>
      <w:r w:rsidRPr="00947C3D">
        <w:t>88.</w:t>
      </w:r>
      <w:r w:rsidRPr="00947C3D">
        <w:tab/>
      </w:r>
      <w:r w:rsidR="001C7D76" w:rsidRPr="00947C3D">
        <w:rPr>
          <w:lang w:val="en-US"/>
        </w:rPr>
        <w:t xml:space="preserve">However, as shown in Table 1, immigrant women have a significantly lower employment rate than women of Danish origin. According to the government platform from June 2015 the Government will initiate a number of reforms aiming at increasing the employment rate in general and among immigrants. </w:t>
      </w:r>
    </w:p>
    <w:p w:rsidR="001C7D76" w:rsidRPr="00960B85" w:rsidRDefault="00A11A9E" w:rsidP="00A11A9E">
      <w:pPr>
        <w:pStyle w:val="SingleTxtG"/>
        <w:rPr>
          <w:lang w:val="en-US"/>
        </w:rPr>
      </w:pPr>
      <w:r w:rsidRPr="00960B85">
        <w:rPr>
          <w:lang w:val="en-US"/>
        </w:rPr>
        <w:t>89.</w:t>
      </w:r>
      <w:r w:rsidRPr="00960B85">
        <w:rPr>
          <w:lang w:val="en-US"/>
        </w:rPr>
        <w:tab/>
      </w:r>
      <w:r w:rsidR="001C7D76" w:rsidRPr="00960B85">
        <w:rPr>
          <w:lang w:val="en-US"/>
        </w:rPr>
        <w:t>In 2015 the Parliament passed a bill which introduces a new integration benefit aiming at giving newly arrived refugees and immigrants a greater incentive to work and become integrated in</w:t>
      </w:r>
      <w:r w:rsidR="001C7D76">
        <w:rPr>
          <w:lang w:val="en-US"/>
        </w:rPr>
        <w:t>to</w:t>
      </w:r>
      <w:r w:rsidR="001C7D76" w:rsidRPr="00960B85">
        <w:rPr>
          <w:lang w:val="en-US"/>
        </w:rPr>
        <w:t xml:space="preserve"> Danish society. The integration benefit applies to newly arrived refugees and immigrants and other citizens, including Danish citizens, who have not been residing in Denmark for the last 7 out of 8 years. Due to the amendments, some individuals and families face a reduction of up to 50 </w:t>
      </w:r>
      <w:r w:rsidR="00DA706F">
        <w:rPr>
          <w:lang w:val="en-US"/>
        </w:rPr>
        <w:t>per cent</w:t>
      </w:r>
      <w:r w:rsidR="001C7D76">
        <w:rPr>
          <w:lang w:val="en-US"/>
        </w:rPr>
        <w:t xml:space="preserve"> </w:t>
      </w:r>
      <w:r w:rsidR="007C4C22">
        <w:rPr>
          <w:lang w:val="en-US"/>
        </w:rPr>
        <w:t>i</w:t>
      </w:r>
      <w:r w:rsidR="001C7D76" w:rsidRPr="00960B85">
        <w:rPr>
          <w:lang w:val="en-US"/>
        </w:rPr>
        <w:t>n the allowances.</w:t>
      </w:r>
      <w:r w:rsidR="00AF685F">
        <w:rPr>
          <w:lang w:val="en-US"/>
        </w:rPr>
        <w:t xml:space="preserve"> </w:t>
      </w:r>
    </w:p>
    <w:p w:rsidR="001C7D76" w:rsidRPr="00953FCC" w:rsidRDefault="00A11A9E" w:rsidP="00A11A9E">
      <w:pPr>
        <w:pStyle w:val="SingleTxtG"/>
        <w:rPr>
          <w:lang w:val="en-US"/>
        </w:rPr>
      </w:pPr>
      <w:r w:rsidRPr="00953FCC">
        <w:rPr>
          <w:lang w:val="en-US"/>
        </w:rPr>
        <w:t>90.</w:t>
      </w:r>
      <w:r w:rsidRPr="00953FCC">
        <w:rPr>
          <w:lang w:val="en-US"/>
        </w:rPr>
        <w:tab/>
      </w:r>
      <w:r w:rsidR="001C7D76" w:rsidRPr="00960B85">
        <w:rPr>
          <w:lang w:val="en-US"/>
        </w:rPr>
        <w:t xml:space="preserve">During the fall the government will present a new bill according to which the amendments shall apply to all citizens who already receive benefits and have not been legally residing in Denmark for 7 out of </w:t>
      </w:r>
      <w:r w:rsidR="00D05453" w:rsidRPr="00960B85">
        <w:rPr>
          <w:lang w:val="en-US"/>
        </w:rPr>
        <w:t xml:space="preserve">the last </w:t>
      </w:r>
      <w:r w:rsidR="001C7D76" w:rsidRPr="00960B85">
        <w:rPr>
          <w:lang w:val="en-US"/>
        </w:rPr>
        <w:t>8 years.</w:t>
      </w:r>
    </w:p>
    <w:p w:rsidR="001C7D76" w:rsidRDefault="00A11A9E" w:rsidP="00A11A9E">
      <w:pPr>
        <w:pStyle w:val="SingleTxtG"/>
      </w:pPr>
      <w:r>
        <w:t>91.</w:t>
      </w:r>
      <w:r>
        <w:tab/>
      </w:r>
      <w:r w:rsidR="001C7D76">
        <w:t>The n</w:t>
      </w:r>
      <w:r w:rsidR="001C7D76" w:rsidRPr="002B28E4">
        <w:t xml:space="preserve">ew </w:t>
      </w:r>
      <w:r w:rsidR="001C7D76">
        <w:t>rules</w:t>
      </w:r>
      <w:r w:rsidR="001C7D76" w:rsidRPr="002B28E4">
        <w:t xml:space="preserve"> regarding </w:t>
      </w:r>
      <w:r w:rsidR="001C7D76" w:rsidRPr="00643A0A">
        <w:t>women in company boards and management positions</w:t>
      </w:r>
      <w:r w:rsidR="001C7D76" w:rsidRPr="002B28E4">
        <w:t xml:space="preserve"> targeting both private and public-sector companies</w:t>
      </w:r>
      <w:r w:rsidR="001C7D76">
        <w:t xml:space="preserve"> are described above</w:t>
      </w:r>
      <w:r w:rsidR="001C7D76" w:rsidRPr="002B28E4">
        <w:t>.</w:t>
      </w:r>
      <w:r w:rsidR="001C7D76">
        <w:t xml:space="preserve"> </w:t>
      </w:r>
    </w:p>
    <w:p w:rsidR="001C7D76" w:rsidRPr="00102FEC" w:rsidRDefault="00D246BC" w:rsidP="00A11A9E">
      <w:pPr>
        <w:pStyle w:val="H23G"/>
        <w:rPr>
          <w:i/>
          <w:lang w:val="en-US"/>
        </w:rPr>
      </w:pPr>
      <w:r>
        <w:rPr>
          <w:lang w:val="en-US" w:eastAsia="nb-NO"/>
        </w:rPr>
        <w:tab/>
      </w:r>
      <w:r>
        <w:rPr>
          <w:lang w:val="en-US" w:eastAsia="nb-NO"/>
        </w:rPr>
        <w:tab/>
      </w:r>
      <w:r w:rsidR="001C7D76" w:rsidRPr="00102FEC">
        <w:rPr>
          <w:lang w:val="en-US" w:eastAsia="nb-NO"/>
        </w:rPr>
        <w:t xml:space="preserve">Reply to paragraph 12 of the </w:t>
      </w:r>
      <w:r w:rsidR="00FF0EDD">
        <w:rPr>
          <w:lang w:val="en-US" w:eastAsia="nb-NO"/>
        </w:rPr>
        <w:t>list of issues</w:t>
      </w:r>
      <w:r w:rsidR="001C7D76" w:rsidRPr="00102FEC">
        <w:rPr>
          <w:lang w:val="en-US"/>
        </w:rPr>
        <w:t xml:space="preserve"> [Ministry of Children, Education and Gender Equality</w:t>
      </w:r>
      <w:r w:rsidR="001C7D76">
        <w:rPr>
          <w:lang w:val="en-US"/>
        </w:rPr>
        <w:t xml:space="preserve"> and Ministry of </w:t>
      </w:r>
      <w:r w:rsidR="001C7D76" w:rsidRPr="00102FEC">
        <w:rPr>
          <w:lang w:val="en-US"/>
        </w:rPr>
        <w:t>Social Affairs</w:t>
      </w:r>
      <w:r w:rsidR="001C7D76">
        <w:rPr>
          <w:lang w:val="en-US"/>
        </w:rPr>
        <w:t xml:space="preserve"> and the Interior</w:t>
      </w:r>
      <w:r w:rsidR="001C7D76" w:rsidRPr="00102FEC">
        <w:rPr>
          <w:lang w:val="en-US"/>
        </w:rPr>
        <w:t>]</w:t>
      </w:r>
    </w:p>
    <w:p w:rsidR="001C7D76" w:rsidRDefault="00A11A9E" w:rsidP="00A11A9E">
      <w:pPr>
        <w:pStyle w:val="SingleTxtG"/>
        <w:rPr>
          <w:lang w:val="en-US"/>
        </w:rPr>
      </w:pPr>
      <w:r>
        <w:rPr>
          <w:lang w:val="en-US"/>
        </w:rPr>
        <w:t>92.</w:t>
      </w:r>
      <w:r>
        <w:rPr>
          <w:lang w:val="en-US"/>
        </w:rPr>
        <w:tab/>
      </w:r>
      <w:r w:rsidR="001C7D76" w:rsidRPr="00522516">
        <w:rPr>
          <w:lang w:val="en-US"/>
        </w:rPr>
        <w:t>Th</w:t>
      </w:r>
      <w:r w:rsidR="001C7D76">
        <w:rPr>
          <w:lang w:val="en-US"/>
        </w:rPr>
        <w:t>r</w:t>
      </w:r>
      <w:r w:rsidR="001C7D76" w:rsidRPr="00522516">
        <w:rPr>
          <w:lang w:val="en-US"/>
        </w:rPr>
        <w:t>e</w:t>
      </w:r>
      <w:r w:rsidR="001C7D76">
        <w:rPr>
          <w:lang w:val="en-US"/>
        </w:rPr>
        <w:t>e</w:t>
      </w:r>
      <w:r w:rsidR="001C7D76" w:rsidRPr="00522516">
        <w:rPr>
          <w:lang w:val="en-US"/>
        </w:rPr>
        <w:t xml:space="preserve"> national action plans to combat violence in </w:t>
      </w:r>
      <w:r w:rsidR="001C7D76">
        <w:rPr>
          <w:lang w:val="en-US"/>
        </w:rPr>
        <w:t xml:space="preserve">family and in </w:t>
      </w:r>
      <w:r w:rsidR="001C7D76" w:rsidRPr="00522516">
        <w:rPr>
          <w:lang w:val="en-US"/>
        </w:rPr>
        <w:t xml:space="preserve">intimate relations have been evaluated by an external consultant. </w:t>
      </w:r>
      <w:r w:rsidR="001C7D76">
        <w:rPr>
          <w:lang w:val="en-US"/>
        </w:rPr>
        <w:t>E</w:t>
      </w:r>
      <w:r w:rsidR="001C7D76" w:rsidRPr="00522516">
        <w:rPr>
          <w:lang w:val="en-US"/>
        </w:rPr>
        <w:t xml:space="preserve">valuations show that </w:t>
      </w:r>
      <w:r w:rsidR="001C7D76">
        <w:rPr>
          <w:lang w:val="en-US"/>
        </w:rPr>
        <w:t>action</w:t>
      </w:r>
      <w:r w:rsidR="001C7D76" w:rsidRPr="00522516">
        <w:rPr>
          <w:lang w:val="en-US"/>
        </w:rPr>
        <w:t xml:space="preserve"> plans have had a positive effect. Victims have become more aware of their rights and the possibilities for receiving support and counselling. Likewise, professionals and perpetrators have become more aware of the possibilities for treatment for violent behavior and as a result more perpetrators receive treatment. The </w:t>
      </w:r>
      <w:r w:rsidR="001C7D76">
        <w:rPr>
          <w:lang w:val="en-US"/>
        </w:rPr>
        <w:t>action plan</w:t>
      </w:r>
      <w:r w:rsidR="001C7D76" w:rsidRPr="00522516">
        <w:rPr>
          <w:lang w:val="en-US"/>
        </w:rPr>
        <w:t xml:space="preserve"> initiatives have contributed to </w:t>
      </w:r>
      <w:r w:rsidR="001C7D76">
        <w:rPr>
          <w:lang w:val="en-US"/>
        </w:rPr>
        <w:t xml:space="preserve">improved </w:t>
      </w:r>
      <w:r w:rsidR="001C7D76" w:rsidRPr="00522516">
        <w:rPr>
          <w:lang w:val="en-US"/>
        </w:rPr>
        <w:t xml:space="preserve">knowledge about violence in </w:t>
      </w:r>
      <w:r w:rsidR="001C7D76">
        <w:rPr>
          <w:lang w:val="en-US"/>
        </w:rPr>
        <w:t>families and in intimate relations among relevant authori</w:t>
      </w:r>
      <w:r w:rsidR="001C7D76" w:rsidRPr="00522516">
        <w:rPr>
          <w:lang w:val="en-US"/>
        </w:rPr>
        <w:t>ties and professional</w:t>
      </w:r>
      <w:r w:rsidR="001C7D76">
        <w:rPr>
          <w:lang w:val="en-US"/>
        </w:rPr>
        <w:t>s</w:t>
      </w:r>
      <w:r w:rsidR="001C7D76" w:rsidRPr="00522516">
        <w:rPr>
          <w:lang w:val="en-US"/>
        </w:rPr>
        <w:t>. The institutional set-up with an interministerial working</w:t>
      </w:r>
      <w:r w:rsidR="001C7D76">
        <w:rPr>
          <w:lang w:val="en-US"/>
        </w:rPr>
        <w:t xml:space="preserve"> </w:t>
      </w:r>
      <w:r w:rsidR="001C7D76" w:rsidRPr="00522516">
        <w:rPr>
          <w:lang w:val="en-US"/>
        </w:rPr>
        <w:t xml:space="preserve">group is highlighted in the evaluation as important and successful. </w:t>
      </w:r>
    </w:p>
    <w:p w:rsidR="001C7D76" w:rsidRDefault="00A11A9E" w:rsidP="00A11A9E">
      <w:pPr>
        <w:pStyle w:val="SingleTxtG"/>
        <w:rPr>
          <w:lang w:val="en-US"/>
        </w:rPr>
      </w:pPr>
      <w:r>
        <w:rPr>
          <w:lang w:val="en-US"/>
        </w:rPr>
        <w:t>93.</w:t>
      </w:r>
      <w:r>
        <w:rPr>
          <w:lang w:val="en-US"/>
        </w:rPr>
        <w:tab/>
      </w:r>
      <w:r w:rsidR="001C7D76" w:rsidRPr="00522516">
        <w:rPr>
          <w:lang w:val="en-US"/>
        </w:rPr>
        <w:t xml:space="preserve">According to </w:t>
      </w:r>
      <w:r w:rsidR="001C7D76">
        <w:rPr>
          <w:lang w:val="en-US"/>
        </w:rPr>
        <w:t xml:space="preserve">the </w:t>
      </w:r>
      <w:r w:rsidR="001C7D76" w:rsidRPr="00522516">
        <w:rPr>
          <w:lang w:val="en-US"/>
        </w:rPr>
        <w:t>National Institute of Public Health</w:t>
      </w:r>
      <w:r w:rsidR="001C7D76">
        <w:rPr>
          <w:lang w:val="en-US"/>
        </w:rPr>
        <w:t>,</w:t>
      </w:r>
      <w:r w:rsidR="001C7D76" w:rsidRPr="00522516">
        <w:rPr>
          <w:lang w:val="en-US"/>
        </w:rPr>
        <w:t xml:space="preserve"> the estimated annual number of women (</w:t>
      </w:r>
      <w:r w:rsidR="001C7D76">
        <w:rPr>
          <w:lang w:val="en-US"/>
        </w:rPr>
        <w:t xml:space="preserve">age </w:t>
      </w:r>
      <w:r w:rsidR="001C7D76" w:rsidRPr="00522516">
        <w:rPr>
          <w:lang w:val="en-US"/>
        </w:rPr>
        <w:t>16-74 year</w:t>
      </w:r>
      <w:r w:rsidR="001C7D76">
        <w:rPr>
          <w:lang w:val="en-US"/>
        </w:rPr>
        <w:t>s</w:t>
      </w:r>
      <w:r w:rsidR="001C7D76" w:rsidRPr="00522516">
        <w:rPr>
          <w:lang w:val="en-US"/>
        </w:rPr>
        <w:t xml:space="preserve">) exposed to violence </w:t>
      </w:r>
      <w:r w:rsidR="007C4C22">
        <w:rPr>
          <w:lang w:val="en-US"/>
        </w:rPr>
        <w:t xml:space="preserve">in </w:t>
      </w:r>
      <w:r w:rsidR="001C7D76">
        <w:rPr>
          <w:lang w:val="en-US"/>
        </w:rPr>
        <w:t xml:space="preserve">the family and </w:t>
      </w:r>
      <w:r w:rsidR="001C7D76" w:rsidRPr="00522516">
        <w:rPr>
          <w:lang w:val="en-US"/>
        </w:rPr>
        <w:t>in intimate relations has decreased from 42</w:t>
      </w:r>
      <w:r w:rsidR="007C4C22">
        <w:rPr>
          <w:lang w:val="en-US"/>
        </w:rPr>
        <w:t>,</w:t>
      </w:r>
      <w:r w:rsidR="001C7D76" w:rsidRPr="00522516">
        <w:rPr>
          <w:lang w:val="en-US"/>
        </w:rPr>
        <w:t>000 (2</w:t>
      </w:r>
      <w:r w:rsidR="007C4C22">
        <w:rPr>
          <w:lang w:val="en-US"/>
        </w:rPr>
        <w:t>.</w:t>
      </w:r>
      <w:r w:rsidR="001C7D76" w:rsidRPr="00522516">
        <w:rPr>
          <w:lang w:val="en-US"/>
        </w:rPr>
        <w:t xml:space="preserve">4 </w:t>
      </w:r>
      <w:r w:rsidR="00DA706F">
        <w:rPr>
          <w:lang w:val="en-US"/>
        </w:rPr>
        <w:t>per cent</w:t>
      </w:r>
      <w:r w:rsidR="001C7D76" w:rsidRPr="00522516">
        <w:rPr>
          <w:lang w:val="en-US"/>
        </w:rPr>
        <w:t>) in 2000 to 29</w:t>
      </w:r>
      <w:r w:rsidR="007C4C22">
        <w:rPr>
          <w:lang w:val="en-US"/>
        </w:rPr>
        <w:t>,</w:t>
      </w:r>
      <w:r w:rsidR="001C7D76" w:rsidRPr="00522516">
        <w:rPr>
          <w:lang w:val="en-US"/>
        </w:rPr>
        <w:t>000 (1</w:t>
      </w:r>
      <w:r w:rsidR="007C4C22">
        <w:rPr>
          <w:lang w:val="en-US"/>
        </w:rPr>
        <w:t>.</w:t>
      </w:r>
      <w:r w:rsidR="001C7D76" w:rsidRPr="00522516">
        <w:rPr>
          <w:lang w:val="en-US"/>
        </w:rPr>
        <w:t xml:space="preserve">5 </w:t>
      </w:r>
      <w:r w:rsidR="00DA706F">
        <w:rPr>
          <w:lang w:val="en-US"/>
        </w:rPr>
        <w:t>per cent</w:t>
      </w:r>
      <w:r w:rsidR="001C7D76" w:rsidRPr="00522516">
        <w:rPr>
          <w:lang w:val="en-US"/>
        </w:rPr>
        <w:t xml:space="preserve">) in 2010. </w:t>
      </w:r>
      <w:r w:rsidR="001C7D76">
        <w:rPr>
          <w:lang w:val="en-US"/>
        </w:rPr>
        <w:t>As regards</w:t>
      </w:r>
      <w:r w:rsidR="001C7D76" w:rsidRPr="00522516">
        <w:rPr>
          <w:lang w:val="en-US"/>
        </w:rPr>
        <w:t xml:space="preserve"> dating violence (</w:t>
      </w:r>
      <w:r w:rsidR="001C7D76">
        <w:rPr>
          <w:lang w:val="en-US"/>
        </w:rPr>
        <w:t xml:space="preserve">age </w:t>
      </w:r>
      <w:r w:rsidR="001C7D76" w:rsidRPr="00522516">
        <w:rPr>
          <w:lang w:val="en-US"/>
        </w:rPr>
        <w:t>16-24 year</w:t>
      </w:r>
      <w:r w:rsidR="001C7D76">
        <w:rPr>
          <w:lang w:val="en-US"/>
        </w:rPr>
        <w:t>s</w:t>
      </w:r>
      <w:r w:rsidR="001C7D76" w:rsidRPr="00522516">
        <w:rPr>
          <w:lang w:val="en-US"/>
        </w:rPr>
        <w:t>) the number of women is estimated to have decreased from 13</w:t>
      </w:r>
      <w:r w:rsidR="007C4C22">
        <w:rPr>
          <w:lang w:val="en-US"/>
        </w:rPr>
        <w:t>,</w:t>
      </w:r>
      <w:r w:rsidR="001C7D76" w:rsidRPr="00522516">
        <w:rPr>
          <w:lang w:val="en-US"/>
        </w:rPr>
        <w:t>000 (4</w:t>
      </w:r>
      <w:r w:rsidR="007C4C22">
        <w:rPr>
          <w:lang w:val="en-US"/>
        </w:rPr>
        <w:t>.</w:t>
      </w:r>
      <w:r w:rsidR="001C7D76" w:rsidRPr="00522516">
        <w:rPr>
          <w:lang w:val="en-US"/>
        </w:rPr>
        <w:t xml:space="preserve">7 </w:t>
      </w:r>
      <w:r w:rsidR="007C4C22">
        <w:rPr>
          <w:lang w:val="en-US"/>
        </w:rPr>
        <w:t xml:space="preserve">per cent) </w:t>
      </w:r>
      <w:r w:rsidR="001C7D76" w:rsidRPr="00522516">
        <w:rPr>
          <w:lang w:val="en-US"/>
        </w:rPr>
        <w:t>in 2007 to 10</w:t>
      </w:r>
      <w:r w:rsidR="007C4C22">
        <w:rPr>
          <w:lang w:val="en-US"/>
        </w:rPr>
        <w:t>,</w:t>
      </w:r>
      <w:r w:rsidR="001C7D76" w:rsidRPr="00522516">
        <w:rPr>
          <w:lang w:val="en-US"/>
        </w:rPr>
        <w:t>000 (3</w:t>
      </w:r>
      <w:r w:rsidR="007C4C22">
        <w:rPr>
          <w:lang w:val="en-US"/>
        </w:rPr>
        <w:t>.</w:t>
      </w:r>
      <w:r w:rsidR="001C7D76" w:rsidRPr="00522516">
        <w:rPr>
          <w:lang w:val="en-US"/>
        </w:rPr>
        <w:t xml:space="preserve">2 </w:t>
      </w:r>
      <w:r w:rsidR="00DA706F">
        <w:rPr>
          <w:lang w:val="en-US"/>
        </w:rPr>
        <w:t>per cent</w:t>
      </w:r>
      <w:r w:rsidR="001C7D76" w:rsidRPr="00522516">
        <w:rPr>
          <w:lang w:val="en-US"/>
        </w:rPr>
        <w:t xml:space="preserve">) in 2011. </w:t>
      </w:r>
      <w:r w:rsidR="001C7D76">
        <w:rPr>
          <w:lang w:val="en-US"/>
        </w:rPr>
        <w:t>T</w:t>
      </w:r>
      <w:r w:rsidR="001C7D76" w:rsidRPr="00522516">
        <w:rPr>
          <w:lang w:val="en-US"/>
        </w:rPr>
        <w:t>he</w:t>
      </w:r>
      <w:r w:rsidR="001C7D76">
        <w:rPr>
          <w:lang w:val="en-US"/>
        </w:rPr>
        <w:t xml:space="preserve"> estimated</w:t>
      </w:r>
      <w:r w:rsidR="001C7D76" w:rsidRPr="00522516">
        <w:rPr>
          <w:lang w:val="en-US"/>
        </w:rPr>
        <w:t xml:space="preserve"> number of men exposed to violence </w:t>
      </w:r>
      <w:r w:rsidR="001C7D76">
        <w:rPr>
          <w:lang w:val="en-US"/>
        </w:rPr>
        <w:t xml:space="preserve">in the family and </w:t>
      </w:r>
      <w:r w:rsidR="001C7D76" w:rsidRPr="00522516">
        <w:rPr>
          <w:lang w:val="en-US"/>
        </w:rPr>
        <w:t>in intimate relations and dating violence is</w:t>
      </w:r>
      <w:r w:rsidR="001C7D76">
        <w:rPr>
          <w:lang w:val="en-US"/>
        </w:rPr>
        <w:t>, however,</w:t>
      </w:r>
      <w:r w:rsidR="001C7D76" w:rsidRPr="00522516">
        <w:rPr>
          <w:lang w:val="en-US"/>
        </w:rPr>
        <w:t xml:space="preserve"> rising </w:t>
      </w:r>
      <w:r w:rsidR="001C7D76">
        <w:rPr>
          <w:lang w:val="en-US"/>
        </w:rPr>
        <w:t>slightly</w:t>
      </w:r>
      <w:r w:rsidR="001C7D76" w:rsidRPr="00522516">
        <w:rPr>
          <w:lang w:val="en-US"/>
        </w:rPr>
        <w:t>.</w:t>
      </w:r>
    </w:p>
    <w:p w:rsidR="001C7D76" w:rsidRPr="007C4C22" w:rsidRDefault="00A11A9E" w:rsidP="00A11A9E">
      <w:pPr>
        <w:pStyle w:val="SingleTxtG"/>
        <w:rPr>
          <w:lang w:val="en-US"/>
        </w:rPr>
      </w:pPr>
      <w:r w:rsidRPr="007C4C22">
        <w:rPr>
          <w:lang w:val="en-US"/>
        </w:rPr>
        <w:t>94.</w:t>
      </w:r>
      <w:r w:rsidRPr="007C4C22">
        <w:rPr>
          <w:lang w:val="en-US"/>
        </w:rPr>
        <w:tab/>
      </w:r>
      <w:r w:rsidR="001C7D76" w:rsidRPr="007C4C22">
        <w:rPr>
          <w:lang w:val="en-US"/>
        </w:rPr>
        <w:t>The National Strategy to Combat Violence in Intimate Relations 2010</w:t>
      </w:r>
      <w:r w:rsidR="007C18EA">
        <w:rPr>
          <w:lang w:val="en-US"/>
        </w:rPr>
        <w:t>-</w:t>
      </w:r>
      <w:r w:rsidR="001C7D76" w:rsidRPr="007C4C22">
        <w:rPr>
          <w:lang w:val="en-US"/>
        </w:rPr>
        <w:t>2013 does not contain specific initiatives concerning marital rape. However, the matter of sex crimes in marital relations was inter alia addressed when the provisions of the Criminal Code concerning sex crimes were revised. Prior to the revision, which entered into force on</w:t>
      </w:r>
      <w:r w:rsidR="007C18EA">
        <w:rPr>
          <w:lang w:val="en-US"/>
        </w:rPr>
        <w:t xml:space="preserve"> </w:t>
      </w:r>
      <w:r w:rsidR="001C7D76" w:rsidRPr="007C4C22">
        <w:rPr>
          <w:lang w:val="en-US"/>
        </w:rPr>
        <w:t>1 July 2013, certain provisions in the Criminal Code concerning sex crimes mentioned marital status between the perpetrator and the victim as a mitigating circumstance or a fact that made the provisions inapplicable.</w:t>
      </w:r>
    </w:p>
    <w:p w:rsidR="001C7D76" w:rsidRDefault="00A11A9E" w:rsidP="00A11A9E">
      <w:pPr>
        <w:pStyle w:val="SingleTxtG"/>
        <w:rPr>
          <w:lang w:val="en-US"/>
        </w:rPr>
      </w:pPr>
      <w:r>
        <w:rPr>
          <w:lang w:val="en-US"/>
        </w:rPr>
        <w:t>95.</w:t>
      </w:r>
      <w:r>
        <w:rPr>
          <w:lang w:val="en-US"/>
        </w:rPr>
        <w:tab/>
      </w:r>
      <w:r w:rsidR="001C7D76" w:rsidRPr="00981B28">
        <w:rPr>
          <w:lang w:val="en-US"/>
        </w:rPr>
        <w:t xml:space="preserve">As described in the Government’s follow-up response to the Committee’s concluding observations to Denmark’s fifth period report, there is a range of permanent social, juridical and health-care services for victims of violence in intimate relations, including the possibility for battered women and their children to take </w:t>
      </w:r>
      <w:r w:rsidR="001C7D76">
        <w:rPr>
          <w:lang w:val="en-US"/>
        </w:rPr>
        <w:t xml:space="preserve">up </w:t>
      </w:r>
      <w:r w:rsidR="001C7D76" w:rsidRPr="00981B28">
        <w:rPr>
          <w:lang w:val="en-US"/>
        </w:rPr>
        <w:t>stay in shelters. This also applies to women with disabilities.</w:t>
      </w:r>
      <w:r w:rsidR="001C7D76">
        <w:rPr>
          <w:lang w:val="en-US"/>
        </w:rPr>
        <w:t xml:space="preserve"> </w:t>
      </w:r>
      <w:r w:rsidR="001C7D76" w:rsidRPr="00981B28">
        <w:rPr>
          <w:lang w:val="en-US"/>
        </w:rPr>
        <w:t xml:space="preserve">A total of </w:t>
      </w:r>
      <w:r w:rsidR="001C7D76">
        <w:rPr>
          <w:lang w:val="en-US"/>
        </w:rPr>
        <w:t>eight</w:t>
      </w:r>
      <w:r w:rsidR="001C7D76" w:rsidRPr="00981B28">
        <w:rPr>
          <w:lang w:val="en-US"/>
        </w:rPr>
        <w:t xml:space="preserve"> shelters are accessible for women with disabilities, whi</w:t>
      </w:r>
      <w:r w:rsidR="001C7D76">
        <w:rPr>
          <w:lang w:val="en-US"/>
        </w:rPr>
        <w:t xml:space="preserve">le the remaining </w:t>
      </w:r>
      <w:r w:rsidR="001C7D76" w:rsidRPr="00981B28">
        <w:rPr>
          <w:lang w:val="en-US"/>
        </w:rPr>
        <w:t xml:space="preserve">are accessible to </w:t>
      </w:r>
      <w:r w:rsidR="001C7D76">
        <w:rPr>
          <w:lang w:val="en-US"/>
        </w:rPr>
        <w:t>a certain</w:t>
      </w:r>
      <w:r w:rsidR="001C7D76" w:rsidRPr="00981B28">
        <w:rPr>
          <w:lang w:val="en-US"/>
        </w:rPr>
        <w:t xml:space="preserve"> extent. </w:t>
      </w:r>
    </w:p>
    <w:p w:rsidR="001C7D76" w:rsidRDefault="00A11A9E" w:rsidP="00A11A9E">
      <w:pPr>
        <w:pStyle w:val="SingleTxtG"/>
        <w:rPr>
          <w:lang w:val="en-US"/>
        </w:rPr>
      </w:pPr>
      <w:r>
        <w:rPr>
          <w:lang w:val="en-US"/>
        </w:rPr>
        <w:t>96.</w:t>
      </w:r>
      <w:r>
        <w:rPr>
          <w:lang w:val="en-US"/>
        </w:rPr>
        <w:tab/>
      </w:r>
      <w:r w:rsidR="001C7D76" w:rsidRPr="00EC4DD5">
        <w:rPr>
          <w:lang w:val="en-US"/>
        </w:rPr>
        <w:t>According to section 110 of the Act on Social Service</w:t>
      </w:r>
      <w:r w:rsidR="001C7D76">
        <w:rPr>
          <w:lang w:val="en-US"/>
        </w:rPr>
        <w:t>,</w:t>
      </w:r>
      <w:r w:rsidR="001C7D76" w:rsidRPr="00EC4DD5">
        <w:rPr>
          <w:lang w:val="en-US"/>
        </w:rPr>
        <w:t xml:space="preserve"> men who are subjected to violence or</w:t>
      </w:r>
      <w:r w:rsidR="001C7D76">
        <w:rPr>
          <w:lang w:val="en-US"/>
        </w:rPr>
        <w:t xml:space="preserve"> threats in intimate relations </w:t>
      </w:r>
      <w:r w:rsidR="001C7D76" w:rsidRPr="00EC4DD5">
        <w:rPr>
          <w:lang w:val="en-US"/>
        </w:rPr>
        <w:t>can obtain temporary accommodation in shelters, hostels, or care homes. Approximately 75</w:t>
      </w:r>
      <w:r w:rsidR="001C7D76">
        <w:rPr>
          <w:lang w:val="en-US"/>
        </w:rPr>
        <w:t xml:space="preserve"> </w:t>
      </w:r>
      <w:r w:rsidR="00DA706F">
        <w:rPr>
          <w:lang w:val="en-US"/>
        </w:rPr>
        <w:t>per cent</w:t>
      </w:r>
      <w:r w:rsidR="001C7D76">
        <w:rPr>
          <w:lang w:val="en-US"/>
        </w:rPr>
        <w:t xml:space="preserve"> </w:t>
      </w:r>
      <w:r w:rsidR="007C4C22">
        <w:rPr>
          <w:lang w:val="en-US"/>
        </w:rPr>
        <w:t>o</w:t>
      </w:r>
      <w:r w:rsidR="001C7D76" w:rsidRPr="00EC4DD5">
        <w:rPr>
          <w:lang w:val="en-US"/>
        </w:rPr>
        <w:t xml:space="preserve">f the tenants in these shelters are men. </w:t>
      </w:r>
      <w:r w:rsidR="001C7D76">
        <w:rPr>
          <w:lang w:val="en-US"/>
        </w:rPr>
        <w:t>I</w:t>
      </w:r>
      <w:r w:rsidR="001C7D76" w:rsidRPr="00EC4DD5">
        <w:rPr>
          <w:lang w:val="en-US"/>
        </w:rPr>
        <w:t>nformation regarding the share of men staying in shelters because of domestic violence is not</w:t>
      </w:r>
      <w:r w:rsidR="001C7D76">
        <w:rPr>
          <w:lang w:val="en-US"/>
        </w:rPr>
        <w:t xml:space="preserve"> available.</w:t>
      </w:r>
    </w:p>
    <w:p w:rsidR="001C7D76" w:rsidRDefault="00A11A9E" w:rsidP="00A11A9E">
      <w:pPr>
        <w:pStyle w:val="SingleTxtG"/>
        <w:rPr>
          <w:lang w:val="en-US"/>
        </w:rPr>
      </w:pPr>
      <w:r>
        <w:rPr>
          <w:lang w:val="en-US"/>
        </w:rPr>
        <w:t>97.</w:t>
      </w:r>
      <w:r>
        <w:rPr>
          <w:lang w:val="en-US"/>
        </w:rPr>
        <w:tab/>
      </w:r>
      <w:r w:rsidR="001C7D76">
        <w:rPr>
          <w:lang w:val="en-US"/>
        </w:rPr>
        <w:t>S</w:t>
      </w:r>
      <w:r w:rsidR="001C7D76" w:rsidRPr="00522516">
        <w:rPr>
          <w:lang w:val="en-US"/>
        </w:rPr>
        <w:t>everal action plans have already been launched to supplement and strengthen the per</w:t>
      </w:r>
      <w:r w:rsidR="001C7D76">
        <w:rPr>
          <w:lang w:val="en-US"/>
        </w:rPr>
        <w:t>manent services in the field</w:t>
      </w:r>
      <w:r w:rsidR="0047486C">
        <w:rPr>
          <w:lang w:val="en-US"/>
        </w:rPr>
        <w:t>, including by</w:t>
      </w:r>
      <w:r w:rsidR="001C7D76">
        <w:rPr>
          <w:lang w:val="en-US"/>
        </w:rPr>
        <w:t xml:space="preserve"> </w:t>
      </w:r>
      <w:r w:rsidR="001C7D76" w:rsidRPr="00522516">
        <w:rPr>
          <w:lang w:val="en-US"/>
        </w:rPr>
        <w:t xml:space="preserve">providing further qualification </w:t>
      </w:r>
      <w:r w:rsidR="001C7D76">
        <w:rPr>
          <w:lang w:val="en-US"/>
        </w:rPr>
        <w:t>to</w:t>
      </w:r>
      <w:r w:rsidR="001C7D76" w:rsidRPr="00522516">
        <w:rPr>
          <w:lang w:val="en-US"/>
        </w:rPr>
        <w:t xml:space="preserve"> professionals, treatment of perpetrators and </w:t>
      </w:r>
      <w:r w:rsidR="001C7D76">
        <w:rPr>
          <w:lang w:val="en-US"/>
        </w:rPr>
        <w:t>sufficient support to both wom</w:t>
      </w:r>
      <w:r w:rsidR="001C7D76" w:rsidRPr="00522516">
        <w:rPr>
          <w:lang w:val="en-US"/>
        </w:rPr>
        <w:t>en and their children and</w:t>
      </w:r>
      <w:r w:rsidR="001C7D76">
        <w:rPr>
          <w:lang w:val="en-US"/>
        </w:rPr>
        <w:t xml:space="preserve"> to</w:t>
      </w:r>
      <w:r w:rsidR="001C7D76" w:rsidRPr="00522516">
        <w:rPr>
          <w:lang w:val="en-US"/>
        </w:rPr>
        <w:t xml:space="preserve"> victims of dating violence. </w:t>
      </w:r>
      <w:r w:rsidR="001C7D76">
        <w:rPr>
          <w:lang w:val="en-US"/>
        </w:rPr>
        <w:t>A</w:t>
      </w:r>
      <w:r w:rsidR="001C7D76" w:rsidRPr="00522516">
        <w:rPr>
          <w:lang w:val="en-US"/>
        </w:rPr>
        <w:t xml:space="preserve"> new action plan for 2014-2017 </w:t>
      </w:r>
      <w:r w:rsidR="001C7D76">
        <w:rPr>
          <w:lang w:val="en-US"/>
        </w:rPr>
        <w:t>has been</w:t>
      </w:r>
      <w:r w:rsidR="001C7D76" w:rsidRPr="00522516">
        <w:rPr>
          <w:lang w:val="en-US"/>
        </w:rPr>
        <w:t xml:space="preserve"> prepared to address challenges and support target groups wh</w:t>
      </w:r>
      <w:r w:rsidR="001C7D76">
        <w:rPr>
          <w:lang w:val="en-US"/>
        </w:rPr>
        <w:t xml:space="preserve">o </w:t>
      </w:r>
      <w:r w:rsidR="001C7D76" w:rsidRPr="00522516">
        <w:rPr>
          <w:lang w:val="en-US"/>
        </w:rPr>
        <w:t>still do not receive sufficient attention within the existing systems and permanent services</w:t>
      </w:r>
      <w:r w:rsidR="0047486C">
        <w:rPr>
          <w:lang w:val="en-US"/>
        </w:rPr>
        <w:t>, including</w:t>
      </w:r>
      <w:r w:rsidR="001C7D76" w:rsidRPr="00522516">
        <w:rPr>
          <w:lang w:val="en-US"/>
        </w:rPr>
        <w:t xml:space="preserve"> victims of dating violence, male victims of domestic violence and </w:t>
      </w:r>
      <w:r w:rsidR="0047486C">
        <w:rPr>
          <w:lang w:val="en-US"/>
        </w:rPr>
        <w:t xml:space="preserve">victims of </w:t>
      </w:r>
      <w:r w:rsidR="001C7D76" w:rsidRPr="00522516">
        <w:rPr>
          <w:lang w:val="en-US"/>
        </w:rPr>
        <w:t xml:space="preserve">new forms of violence </w:t>
      </w:r>
      <w:r w:rsidR="001C7D76">
        <w:rPr>
          <w:lang w:val="en-US"/>
        </w:rPr>
        <w:t xml:space="preserve">such as </w:t>
      </w:r>
      <w:r w:rsidR="001C7D76" w:rsidRPr="00522516">
        <w:rPr>
          <w:lang w:val="en-US"/>
        </w:rPr>
        <w:t xml:space="preserve">stalking. </w:t>
      </w:r>
    </w:p>
    <w:p w:rsidR="001C7D76" w:rsidRDefault="00A11A9E" w:rsidP="00A11A9E">
      <w:pPr>
        <w:pStyle w:val="SingleTxtG"/>
        <w:rPr>
          <w:lang w:val="en-US"/>
        </w:rPr>
      </w:pPr>
      <w:r>
        <w:rPr>
          <w:lang w:val="en-US"/>
        </w:rPr>
        <w:t>98.</w:t>
      </w:r>
      <w:r>
        <w:rPr>
          <w:lang w:val="en-US"/>
        </w:rPr>
        <w:tab/>
      </w:r>
      <w:r w:rsidR="001C7D76" w:rsidRPr="00522516">
        <w:rPr>
          <w:lang w:val="en-US"/>
        </w:rPr>
        <w:t xml:space="preserve">A residence permit obtained on the basis of marriage is </w:t>
      </w:r>
      <w:r w:rsidR="00475842">
        <w:rPr>
          <w:lang w:val="en-US"/>
        </w:rPr>
        <w:t>—</w:t>
      </w:r>
      <w:r w:rsidR="001C7D76" w:rsidRPr="00522516">
        <w:rPr>
          <w:lang w:val="en-US"/>
        </w:rPr>
        <w:t xml:space="preserve"> in general </w:t>
      </w:r>
      <w:r w:rsidR="00475842">
        <w:rPr>
          <w:lang w:val="en-US"/>
        </w:rPr>
        <w:t>—</w:t>
      </w:r>
      <w:r w:rsidR="001C7D76" w:rsidRPr="00522516">
        <w:rPr>
          <w:lang w:val="en-US"/>
        </w:rPr>
        <w:t xml:space="preserve"> revoked if the spouses no longer live together. However, the foreigner’s ties with Danish society and the homeland are taken into consideration. </w:t>
      </w:r>
    </w:p>
    <w:p w:rsidR="001C7D76" w:rsidRDefault="00A11A9E" w:rsidP="00A11A9E">
      <w:pPr>
        <w:pStyle w:val="SingleTxtG"/>
        <w:rPr>
          <w:lang w:val="en-US"/>
        </w:rPr>
      </w:pPr>
      <w:r>
        <w:rPr>
          <w:lang w:val="en-US"/>
        </w:rPr>
        <w:t>99.</w:t>
      </w:r>
      <w:r>
        <w:rPr>
          <w:lang w:val="en-US"/>
        </w:rPr>
        <w:tab/>
      </w:r>
      <w:r w:rsidR="001C7D76" w:rsidRPr="00522516">
        <w:rPr>
          <w:lang w:val="en-US"/>
        </w:rPr>
        <w:t xml:space="preserve">Previously, foreigners who had lived in Denmark for less than two years would often not be considered </w:t>
      </w:r>
      <w:r w:rsidR="0047486C">
        <w:rPr>
          <w:lang w:val="en-US"/>
        </w:rPr>
        <w:t xml:space="preserve">as </w:t>
      </w:r>
      <w:r w:rsidR="001C7D76" w:rsidRPr="00522516">
        <w:rPr>
          <w:lang w:val="en-US"/>
        </w:rPr>
        <w:t>hav</w:t>
      </w:r>
      <w:r w:rsidR="001C7D76">
        <w:rPr>
          <w:lang w:val="en-US"/>
        </w:rPr>
        <w:t>ing</w:t>
      </w:r>
      <w:r w:rsidR="001C7D76" w:rsidRPr="00522516">
        <w:rPr>
          <w:lang w:val="en-US"/>
        </w:rPr>
        <w:t xml:space="preserve"> such ties with Danish society that their residence permit would not be revoked, </w:t>
      </w:r>
      <w:r w:rsidR="001C7D76">
        <w:rPr>
          <w:lang w:val="en-US"/>
        </w:rPr>
        <w:t>irrespective</w:t>
      </w:r>
      <w:r w:rsidR="001C7D76" w:rsidRPr="00522516">
        <w:rPr>
          <w:lang w:val="en-US"/>
        </w:rPr>
        <w:t xml:space="preserve"> of domestic violence.</w:t>
      </w:r>
      <w:r w:rsidR="001C7D76">
        <w:rPr>
          <w:lang w:val="en-US"/>
        </w:rPr>
        <w:t xml:space="preserve"> </w:t>
      </w:r>
      <w:r w:rsidR="001C7D76" w:rsidRPr="00522516">
        <w:rPr>
          <w:lang w:val="en-US"/>
        </w:rPr>
        <w:t xml:space="preserve">To ensure that no foreigner feels forced to stay with a violent spouse out of fear of losing his/her residence permit, </w:t>
      </w:r>
      <w:r w:rsidR="001C7D76">
        <w:rPr>
          <w:lang w:val="en-US"/>
        </w:rPr>
        <w:t xml:space="preserve">changes have been made to the relevant </w:t>
      </w:r>
      <w:r w:rsidR="001C7D76" w:rsidRPr="00522516">
        <w:rPr>
          <w:lang w:val="en-US"/>
        </w:rPr>
        <w:t>rules of revocation of residence permits issued on the basis of spousal reunification in cases where the foreigner concerned or the foreigner’s child has been exposed to abuse etc. by the spouse.</w:t>
      </w:r>
    </w:p>
    <w:p w:rsidR="001C7D76" w:rsidRPr="00522516" w:rsidRDefault="00A11A9E" w:rsidP="00A11A9E">
      <w:pPr>
        <w:pStyle w:val="SingleTxtG"/>
        <w:rPr>
          <w:lang w:val="en-US"/>
        </w:rPr>
      </w:pPr>
      <w:r w:rsidRPr="00522516">
        <w:rPr>
          <w:lang w:val="en-US"/>
        </w:rPr>
        <w:t>100.</w:t>
      </w:r>
      <w:r w:rsidRPr="00522516">
        <w:rPr>
          <w:lang w:val="en-US"/>
        </w:rPr>
        <w:tab/>
      </w:r>
      <w:r w:rsidR="001C7D76" w:rsidRPr="00522516">
        <w:rPr>
          <w:lang w:val="en-US"/>
        </w:rPr>
        <w:t>The amendment entails that the length of the foreigner’s residence in Denmark no longer</w:t>
      </w:r>
      <w:r w:rsidR="001C7D76">
        <w:rPr>
          <w:lang w:val="en-US"/>
        </w:rPr>
        <w:t xml:space="preserve"> can</w:t>
      </w:r>
      <w:r w:rsidR="001C7D76" w:rsidRPr="00522516">
        <w:rPr>
          <w:lang w:val="en-US"/>
        </w:rPr>
        <w:t xml:space="preserve"> be taken into consideration if the abuse has caused the cessation of cohabitation and the invoked abuse has been substantiated. </w:t>
      </w:r>
      <w:r w:rsidR="001C7D76">
        <w:rPr>
          <w:lang w:val="en-US"/>
        </w:rPr>
        <w:t>On the other hand, the desire and capacity of the foreigner to integrate into Danish society shall be given considerable weight.</w:t>
      </w:r>
      <w:r w:rsidR="001C7D76" w:rsidRPr="00522516">
        <w:rPr>
          <w:lang w:val="en-US"/>
        </w:rPr>
        <w:t xml:space="preserve"> The amendment entered into force </w:t>
      </w:r>
      <w:r w:rsidR="001C7D76">
        <w:rPr>
          <w:lang w:val="en-US"/>
        </w:rPr>
        <w:t>i</w:t>
      </w:r>
      <w:r w:rsidR="00D246BC">
        <w:rPr>
          <w:lang w:val="en-US"/>
        </w:rPr>
        <w:t>n May 2013.</w:t>
      </w:r>
    </w:p>
    <w:p w:rsidR="001C7D76" w:rsidRPr="00181F69" w:rsidRDefault="00D246BC" w:rsidP="00D246BC">
      <w:pPr>
        <w:pStyle w:val="H1G"/>
      </w:pPr>
      <w:bookmarkStart w:id="8" w:name="_Toc430941894"/>
      <w:r>
        <w:tab/>
      </w:r>
      <w:r>
        <w:tab/>
      </w:r>
      <w:r w:rsidR="001C7D76" w:rsidRPr="00181F69">
        <w:t>Violence against women, including domestic violence</w:t>
      </w:r>
      <w:bookmarkEnd w:id="8"/>
      <w:r w:rsidR="001C7D76" w:rsidRPr="00181F69">
        <w:t xml:space="preserve"> </w:t>
      </w:r>
    </w:p>
    <w:p w:rsidR="001C7D76" w:rsidRPr="00102FEC" w:rsidRDefault="00D246BC" w:rsidP="00A11A9E">
      <w:pPr>
        <w:pStyle w:val="H23G"/>
        <w:rPr>
          <w:lang w:val="en-US" w:eastAsia="nb-NO"/>
        </w:rPr>
      </w:pPr>
      <w:r>
        <w:rPr>
          <w:lang w:val="en-US" w:eastAsia="nb-NO"/>
        </w:rPr>
        <w:tab/>
      </w:r>
      <w:r>
        <w:rPr>
          <w:lang w:val="en-US" w:eastAsia="nb-NO"/>
        </w:rPr>
        <w:tab/>
      </w:r>
      <w:r w:rsidR="001C7D76" w:rsidRPr="00102FEC">
        <w:rPr>
          <w:lang w:val="en-US" w:eastAsia="nb-NO"/>
        </w:rPr>
        <w:t xml:space="preserve">Reply to paragraph 12 of the </w:t>
      </w:r>
      <w:r w:rsidR="00FF0EDD">
        <w:rPr>
          <w:lang w:val="en-US" w:eastAsia="nb-NO"/>
        </w:rPr>
        <w:t>list of issues</w:t>
      </w:r>
      <w:r w:rsidR="001C7D76" w:rsidRPr="00102FEC">
        <w:t xml:space="preserve"> [</w:t>
      </w:r>
      <w:r w:rsidR="001C7D76" w:rsidRPr="00102FEC">
        <w:rPr>
          <w:lang w:val="en-US"/>
        </w:rPr>
        <w:t xml:space="preserve">Ministry of </w:t>
      </w:r>
      <w:r w:rsidR="001C7D76">
        <w:rPr>
          <w:lang w:val="en-US"/>
        </w:rPr>
        <w:t>Social Affairs and the Interior, Ministry of Justice and Ministry of Children, Education and Gender Equality</w:t>
      </w:r>
      <w:r w:rsidR="001C7D76" w:rsidRPr="00102FEC">
        <w:t>]</w:t>
      </w:r>
    </w:p>
    <w:p w:rsidR="001C7D76" w:rsidRPr="00046253" w:rsidRDefault="00A11A9E" w:rsidP="00A11A9E">
      <w:pPr>
        <w:pStyle w:val="SingleTxtG"/>
        <w:rPr>
          <w:lang w:val="en-US" w:eastAsia="nb-NO"/>
        </w:rPr>
      </w:pPr>
      <w:r w:rsidRPr="00046253">
        <w:rPr>
          <w:lang w:val="en-US" w:eastAsia="nb-NO"/>
        </w:rPr>
        <w:t>101.</w:t>
      </w:r>
      <w:r w:rsidRPr="00046253">
        <w:rPr>
          <w:lang w:val="en-US" w:eastAsia="nb-NO"/>
        </w:rPr>
        <w:tab/>
      </w:r>
      <w:r w:rsidR="001C7D76">
        <w:rPr>
          <w:lang w:val="en-US" w:eastAsia="nb-NO"/>
        </w:rPr>
        <w:t>T</w:t>
      </w:r>
      <w:r w:rsidR="001C7D76" w:rsidRPr="00046253">
        <w:rPr>
          <w:lang w:val="en-US" w:eastAsia="nb-NO"/>
        </w:rPr>
        <w:t xml:space="preserve">he Government regards violence against women as a serious gender equality problem. </w:t>
      </w:r>
      <w:r w:rsidR="001C7D76">
        <w:rPr>
          <w:lang w:val="en-US" w:eastAsia="nb-NO"/>
        </w:rPr>
        <w:t>V</w:t>
      </w:r>
      <w:r w:rsidR="001C7D76" w:rsidRPr="00046253">
        <w:rPr>
          <w:lang w:val="en-US" w:eastAsia="nb-NO"/>
        </w:rPr>
        <w:t xml:space="preserve">iolence against women is </w:t>
      </w:r>
      <w:r w:rsidR="001C7D76">
        <w:rPr>
          <w:lang w:val="en-US" w:eastAsia="nb-NO"/>
        </w:rPr>
        <w:t xml:space="preserve">hence criminalized. </w:t>
      </w:r>
      <w:r w:rsidR="001C7D76" w:rsidRPr="00046253">
        <w:rPr>
          <w:lang w:val="en-US" w:eastAsia="nb-NO"/>
        </w:rPr>
        <w:t xml:space="preserve">Denmark has established a national support system allowing all women who are victims of violence or threats of violence </w:t>
      </w:r>
      <w:r w:rsidR="0047486C">
        <w:rPr>
          <w:lang w:val="en-US" w:eastAsia="nb-NO"/>
        </w:rPr>
        <w:t xml:space="preserve">access to </w:t>
      </w:r>
      <w:r w:rsidR="001C7D76" w:rsidRPr="00046253">
        <w:rPr>
          <w:lang w:val="en-US" w:eastAsia="nb-NO"/>
        </w:rPr>
        <w:t>shelters, psychological, social and judicial services, health treat</w:t>
      </w:r>
      <w:r w:rsidR="00D246BC">
        <w:rPr>
          <w:lang w:val="en-US" w:eastAsia="nb-NO"/>
        </w:rPr>
        <w:t>ment and labour market support.</w:t>
      </w:r>
    </w:p>
    <w:p w:rsidR="001C7D76" w:rsidRPr="00046253" w:rsidRDefault="00A11A9E" w:rsidP="00A11A9E">
      <w:pPr>
        <w:pStyle w:val="SingleTxtG"/>
        <w:rPr>
          <w:lang w:val="en-US" w:eastAsia="nb-NO"/>
        </w:rPr>
      </w:pPr>
      <w:r w:rsidRPr="00046253">
        <w:rPr>
          <w:lang w:val="en-US" w:eastAsia="nb-NO"/>
        </w:rPr>
        <w:t>102.</w:t>
      </w:r>
      <w:r w:rsidRPr="00046253">
        <w:rPr>
          <w:lang w:val="en-US" w:eastAsia="nb-NO"/>
        </w:rPr>
        <w:tab/>
      </w:r>
      <w:r w:rsidR="001C7D76" w:rsidRPr="00046253">
        <w:rPr>
          <w:lang w:val="en-US" w:eastAsia="nb-NO"/>
        </w:rPr>
        <w:t>According to section 109 of the Act on Social Service</w:t>
      </w:r>
      <w:r w:rsidR="001C7D76">
        <w:rPr>
          <w:lang w:val="en-US" w:eastAsia="nb-NO"/>
        </w:rPr>
        <w:t>,</w:t>
      </w:r>
      <w:r w:rsidR="001C7D76" w:rsidRPr="00046253">
        <w:rPr>
          <w:lang w:val="en-US" w:eastAsia="nb-NO"/>
        </w:rPr>
        <w:t xml:space="preserve"> municipalities have an obligation to offer women temporary accommodation in shelters for women if they are subjected to violence or threats in intimate relations.</w:t>
      </w:r>
      <w:r w:rsidR="001C7D76">
        <w:rPr>
          <w:lang w:val="en-US" w:eastAsia="nb-NO"/>
        </w:rPr>
        <w:t xml:space="preserve"> </w:t>
      </w:r>
      <w:r w:rsidR="001C7D76" w:rsidRPr="00046253">
        <w:rPr>
          <w:lang w:val="en-US" w:eastAsia="nb-NO"/>
        </w:rPr>
        <w:t>Women staying at shelters can bring their chi</w:t>
      </w:r>
      <w:r w:rsidR="001C7D76">
        <w:rPr>
          <w:lang w:val="en-US" w:eastAsia="nb-NO"/>
        </w:rPr>
        <w:t>ldren. The children shall be of</w:t>
      </w:r>
      <w:r w:rsidR="001C7D76" w:rsidRPr="00046253">
        <w:rPr>
          <w:lang w:val="en-US" w:eastAsia="nb-NO"/>
        </w:rPr>
        <w:t>fered psychological treatment. In addition</w:t>
      </w:r>
      <w:r w:rsidR="001C7D76">
        <w:rPr>
          <w:lang w:val="en-US" w:eastAsia="nb-NO"/>
        </w:rPr>
        <w:t>,</w:t>
      </w:r>
      <w:r w:rsidR="001C7D76" w:rsidRPr="00046253">
        <w:rPr>
          <w:lang w:val="en-US" w:eastAsia="nb-NO"/>
        </w:rPr>
        <w:t xml:space="preserve"> women staying at shelters with their children shall be offered family counselling to help them establish an independent life after leaving the shelter. </w:t>
      </w:r>
      <w:r w:rsidR="001C7D76">
        <w:rPr>
          <w:lang w:val="en-US" w:eastAsia="nb-NO"/>
        </w:rPr>
        <w:t xml:space="preserve">Recently, it has been decided to expand the counselling to include all women who take residence at a shelter for battered women and initiate the counselling at an earlier stage of the stay. This amendment entered into force on 1 July 2015. </w:t>
      </w:r>
      <w:r w:rsidR="0047486C">
        <w:rPr>
          <w:lang w:val="en-US" w:eastAsia="nb-NO"/>
        </w:rPr>
        <w:t>P</w:t>
      </w:r>
      <w:r w:rsidR="001C7D76" w:rsidRPr="00046253">
        <w:rPr>
          <w:lang w:val="en-US" w:eastAsia="nb-NO"/>
        </w:rPr>
        <w:t>ublic spending on women’s shelters, pursuant to section 109 of the Da</w:t>
      </w:r>
      <w:r w:rsidR="001C7D76">
        <w:rPr>
          <w:lang w:val="en-US" w:eastAsia="nb-NO"/>
        </w:rPr>
        <w:t>nish Act on Social Service</w:t>
      </w:r>
      <w:r w:rsidR="0047486C">
        <w:rPr>
          <w:lang w:val="en-US" w:eastAsia="nb-NO"/>
        </w:rPr>
        <w:t>,</w:t>
      </w:r>
      <w:r w:rsidR="001C7D76">
        <w:rPr>
          <w:lang w:val="en-US" w:eastAsia="nb-NO"/>
        </w:rPr>
        <w:t xml:space="preserve"> is ap</w:t>
      </w:r>
      <w:r w:rsidR="001C7D76" w:rsidRPr="00046253">
        <w:rPr>
          <w:lang w:val="en-US" w:eastAsia="nb-NO"/>
        </w:rPr>
        <w:t>proximately 22</w:t>
      </w:r>
      <w:r w:rsidR="001C7D76">
        <w:rPr>
          <w:lang w:val="en-US" w:eastAsia="nb-NO"/>
        </w:rPr>
        <w:t>5</w:t>
      </w:r>
      <w:r w:rsidR="001C7D76" w:rsidRPr="00046253">
        <w:rPr>
          <w:lang w:val="en-US" w:eastAsia="nb-NO"/>
        </w:rPr>
        <w:t xml:space="preserve"> million DKK a year. </w:t>
      </w:r>
    </w:p>
    <w:p w:rsidR="001C7D76" w:rsidRPr="005007B1" w:rsidRDefault="00A11A9E" w:rsidP="00A11A9E">
      <w:pPr>
        <w:pStyle w:val="SingleTxtG"/>
        <w:rPr>
          <w:lang w:val="en-US" w:eastAsia="nb-NO"/>
        </w:rPr>
      </w:pPr>
      <w:r w:rsidRPr="005007B1">
        <w:rPr>
          <w:lang w:val="en-US" w:eastAsia="nb-NO"/>
        </w:rPr>
        <w:t>103.</w:t>
      </w:r>
      <w:r w:rsidRPr="005007B1">
        <w:rPr>
          <w:lang w:val="en-US" w:eastAsia="nb-NO"/>
        </w:rPr>
        <w:tab/>
      </w:r>
      <w:r w:rsidR="001C7D76" w:rsidRPr="005007B1">
        <w:rPr>
          <w:lang w:val="en-US" w:eastAsia="nb-NO"/>
        </w:rPr>
        <w:t xml:space="preserve">Further, the judicial system takes the necessary actions to punish perpetrators and support the victims. </w:t>
      </w:r>
      <w:r w:rsidR="001C7D76">
        <w:rPr>
          <w:lang w:val="en-US" w:eastAsia="nb-NO"/>
        </w:rPr>
        <w:t xml:space="preserve">In recent </w:t>
      </w:r>
      <w:r w:rsidR="001C7D76" w:rsidRPr="005007B1">
        <w:rPr>
          <w:lang w:val="en-US" w:eastAsia="nb-NO"/>
        </w:rPr>
        <w:t xml:space="preserve">years, private organizations dealing with counselling of men who have a </w:t>
      </w:r>
      <w:r w:rsidR="000B4ACD">
        <w:rPr>
          <w:lang w:val="en-US" w:eastAsia="nb-NO"/>
        </w:rPr>
        <w:t xml:space="preserve">history of </w:t>
      </w:r>
      <w:r w:rsidR="001C7D76" w:rsidRPr="005007B1">
        <w:rPr>
          <w:lang w:val="en-US" w:eastAsia="nb-NO"/>
        </w:rPr>
        <w:t xml:space="preserve">violent behavior in intimate relations </w:t>
      </w:r>
      <w:r w:rsidR="000B4ACD">
        <w:rPr>
          <w:lang w:val="en-US" w:eastAsia="nb-NO"/>
        </w:rPr>
        <w:t xml:space="preserve">have </w:t>
      </w:r>
      <w:r w:rsidR="001C7D76" w:rsidRPr="005007B1">
        <w:rPr>
          <w:lang w:val="en-US" w:eastAsia="nb-NO"/>
        </w:rPr>
        <w:t xml:space="preserve">temporarily been funded by the state. A total of 40 million DKK has been allocated to pursue treatment </w:t>
      </w:r>
      <w:r w:rsidR="001C7D76">
        <w:rPr>
          <w:lang w:val="en-US" w:eastAsia="nb-NO"/>
        </w:rPr>
        <w:t>of</w:t>
      </w:r>
      <w:r w:rsidR="001C7D76" w:rsidRPr="005007B1">
        <w:rPr>
          <w:lang w:val="en-US" w:eastAsia="nb-NO"/>
        </w:rPr>
        <w:t xml:space="preserve"> violent men in the years 2012</w:t>
      </w:r>
      <w:r w:rsidR="00475842">
        <w:rPr>
          <w:lang w:val="en-US" w:eastAsia="nb-NO"/>
        </w:rPr>
        <w:t>-</w:t>
      </w:r>
      <w:r w:rsidR="001C7D76" w:rsidRPr="005007B1">
        <w:rPr>
          <w:lang w:val="en-US" w:eastAsia="nb-NO"/>
        </w:rPr>
        <w:t>2015.</w:t>
      </w:r>
    </w:p>
    <w:p w:rsidR="001C7D76" w:rsidRPr="00046253" w:rsidRDefault="00A11A9E" w:rsidP="00A11A9E">
      <w:pPr>
        <w:pStyle w:val="SingleTxtG"/>
        <w:rPr>
          <w:lang w:val="en-US" w:eastAsia="nb-NO"/>
        </w:rPr>
      </w:pPr>
      <w:r w:rsidRPr="00046253">
        <w:rPr>
          <w:lang w:val="en-US" w:eastAsia="nb-NO"/>
        </w:rPr>
        <w:t>104.</w:t>
      </w:r>
      <w:r w:rsidRPr="00046253">
        <w:rPr>
          <w:lang w:val="en-US" w:eastAsia="nb-NO"/>
        </w:rPr>
        <w:tab/>
      </w:r>
      <w:r w:rsidR="001C7D76" w:rsidRPr="00046253">
        <w:rPr>
          <w:lang w:val="en-US" w:eastAsia="nb-NO"/>
        </w:rPr>
        <w:t xml:space="preserve">As a supplement to and strengthening of the permanent services to combat violence in intimate relations several national action plans on the subject have been launched since 2002. </w:t>
      </w:r>
      <w:r w:rsidR="001C7D76">
        <w:rPr>
          <w:lang w:val="en-US" w:eastAsia="nb-NO"/>
        </w:rPr>
        <w:t xml:space="preserve">As mentioned above, </w:t>
      </w:r>
      <w:r w:rsidR="001C7D76" w:rsidRPr="00046253">
        <w:rPr>
          <w:lang w:val="en-US" w:eastAsia="nb-NO"/>
        </w:rPr>
        <w:t>a national action plan to combat violence in intimate relations (35 million DKK) has been implemented in 2010-2013 focusing on</w:t>
      </w:r>
      <w:r w:rsidR="001C7D76">
        <w:rPr>
          <w:lang w:val="en-US" w:eastAsia="nb-NO"/>
        </w:rPr>
        <w:t xml:space="preserve"> s</w:t>
      </w:r>
      <w:r w:rsidR="001C7D76" w:rsidRPr="00046253">
        <w:rPr>
          <w:lang w:val="en-US" w:eastAsia="nb-NO"/>
        </w:rPr>
        <w:t xml:space="preserve">upport for victims, treatment of perpetrators, training of professionals, and collection and dissemination of knowledge. </w:t>
      </w:r>
      <w:r w:rsidR="001C7D76">
        <w:rPr>
          <w:lang w:val="en-US" w:eastAsia="nb-NO"/>
        </w:rPr>
        <w:t xml:space="preserve">One </w:t>
      </w:r>
      <w:r w:rsidR="001C7D76" w:rsidRPr="00046253">
        <w:rPr>
          <w:lang w:val="en-US" w:eastAsia="nb-NO"/>
        </w:rPr>
        <w:t xml:space="preserve">initiative </w:t>
      </w:r>
      <w:r w:rsidR="001C7D76">
        <w:rPr>
          <w:lang w:val="en-US" w:eastAsia="nb-NO"/>
        </w:rPr>
        <w:t xml:space="preserve">was </w:t>
      </w:r>
      <w:r w:rsidR="001C7D76" w:rsidRPr="00046253">
        <w:rPr>
          <w:lang w:val="en-US" w:eastAsia="nb-NO"/>
        </w:rPr>
        <w:t>awareness</w:t>
      </w:r>
      <w:r w:rsidR="00150FD9">
        <w:rPr>
          <w:lang w:val="en-US" w:eastAsia="nb-NO"/>
        </w:rPr>
        <w:t>-</w:t>
      </w:r>
      <w:r w:rsidR="001C7D76" w:rsidRPr="00046253">
        <w:rPr>
          <w:lang w:val="en-US" w:eastAsia="nb-NO"/>
        </w:rPr>
        <w:t xml:space="preserve">raising campaigns </w:t>
      </w:r>
      <w:r w:rsidR="001C7D76">
        <w:rPr>
          <w:lang w:val="en-US" w:eastAsia="nb-NO"/>
        </w:rPr>
        <w:t>targeting</w:t>
      </w:r>
      <w:r w:rsidR="001C7D76" w:rsidRPr="00046253">
        <w:rPr>
          <w:lang w:val="en-US" w:eastAsia="nb-NO"/>
        </w:rPr>
        <w:t xml:space="preserve"> men and boys. </w:t>
      </w:r>
    </w:p>
    <w:p w:rsidR="001C7D76" w:rsidRPr="00046253" w:rsidRDefault="00A11A9E" w:rsidP="00A11A9E">
      <w:pPr>
        <w:pStyle w:val="SingleTxtG"/>
        <w:rPr>
          <w:lang w:val="en-US" w:eastAsia="nb-NO"/>
        </w:rPr>
      </w:pPr>
      <w:r w:rsidRPr="00046253">
        <w:rPr>
          <w:lang w:val="en-US" w:eastAsia="nb-NO"/>
        </w:rPr>
        <w:t>105.</w:t>
      </w:r>
      <w:r w:rsidRPr="00046253">
        <w:rPr>
          <w:lang w:val="en-US" w:eastAsia="nb-NO"/>
        </w:rPr>
        <w:tab/>
      </w:r>
      <w:r w:rsidR="001C7D76" w:rsidRPr="00046253">
        <w:rPr>
          <w:lang w:val="en-US" w:eastAsia="nb-NO"/>
        </w:rPr>
        <w:t xml:space="preserve">The Director of Public Prosecutions has produced five leaflets </w:t>
      </w:r>
      <w:r w:rsidR="000B4ACD">
        <w:rPr>
          <w:lang w:val="en-US" w:eastAsia="nb-NO"/>
        </w:rPr>
        <w:t>for</w:t>
      </w:r>
      <w:r w:rsidR="001C7D76">
        <w:rPr>
          <w:lang w:val="en-US" w:eastAsia="nb-NO"/>
        </w:rPr>
        <w:t xml:space="preserve"> crime</w:t>
      </w:r>
      <w:r w:rsidR="001C7D76" w:rsidRPr="00046253">
        <w:rPr>
          <w:lang w:val="en-US" w:eastAsia="nb-NO"/>
        </w:rPr>
        <w:t xml:space="preserve"> victims. One contains advice and information </w:t>
      </w:r>
      <w:r w:rsidR="000B4ACD">
        <w:rPr>
          <w:lang w:val="en-US" w:eastAsia="nb-NO"/>
        </w:rPr>
        <w:t>for</w:t>
      </w:r>
      <w:r w:rsidR="001C7D76" w:rsidRPr="00046253">
        <w:rPr>
          <w:lang w:val="en-US" w:eastAsia="nb-NO"/>
        </w:rPr>
        <w:t xml:space="preserve"> women who have been exposed to violence, including domestic violence. Another contains advice and information </w:t>
      </w:r>
      <w:r w:rsidR="000B4ACD">
        <w:rPr>
          <w:lang w:val="en-US" w:eastAsia="nb-NO"/>
        </w:rPr>
        <w:t>for</w:t>
      </w:r>
      <w:r w:rsidR="001C7D76" w:rsidRPr="00046253">
        <w:rPr>
          <w:lang w:val="en-US" w:eastAsia="nb-NO"/>
        </w:rPr>
        <w:t xml:space="preserve"> women who are victims of stalking. </w:t>
      </w:r>
      <w:r w:rsidR="001C7D76">
        <w:rPr>
          <w:lang w:val="en-US" w:eastAsia="nb-NO"/>
        </w:rPr>
        <w:t>The</w:t>
      </w:r>
      <w:r w:rsidR="001C7D76" w:rsidRPr="00046253">
        <w:rPr>
          <w:lang w:val="en-US" w:eastAsia="nb-NO"/>
        </w:rPr>
        <w:t xml:space="preserve"> website of the </w:t>
      </w:r>
      <w:r w:rsidR="001C7D76">
        <w:rPr>
          <w:lang w:val="en-US" w:eastAsia="nb-NO"/>
        </w:rPr>
        <w:t>P</w:t>
      </w:r>
      <w:r w:rsidR="001C7D76" w:rsidRPr="00046253">
        <w:rPr>
          <w:lang w:val="en-US" w:eastAsia="nb-NO"/>
        </w:rPr>
        <w:t xml:space="preserve">rosecution </w:t>
      </w:r>
      <w:r w:rsidR="001C7D76">
        <w:rPr>
          <w:lang w:val="en-US" w:eastAsia="nb-NO"/>
        </w:rPr>
        <w:t>S</w:t>
      </w:r>
      <w:r w:rsidR="001C7D76" w:rsidRPr="00046253">
        <w:rPr>
          <w:lang w:val="en-US" w:eastAsia="nb-NO"/>
        </w:rPr>
        <w:t>ervice (www.anklagemyndigheden.dk) also provides advice and information to such victims.</w:t>
      </w:r>
    </w:p>
    <w:p w:rsidR="001C7D76" w:rsidRPr="00046253" w:rsidRDefault="00A11A9E" w:rsidP="00A11A9E">
      <w:pPr>
        <w:pStyle w:val="SingleTxtG"/>
        <w:rPr>
          <w:lang w:val="en-US" w:eastAsia="nb-NO"/>
        </w:rPr>
      </w:pPr>
      <w:r w:rsidRPr="00046253">
        <w:rPr>
          <w:lang w:val="en-US" w:eastAsia="nb-NO"/>
        </w:rPr>
        <w:t>106.</w:t>
      </w:r>
      <w:r w:rsidRPr="00046253">
        <w:rPr>
          <w:lang w:val="en-US" w:eastAsia="nb-NO"/>
        </w:rPr>
        <w:tab/>
      </w:r>
      <w:r w:rsidR="001C7D76" w:rsidRPr="00046253">
        <w:rPr>
          <w:lang w:val="en-US" w:eastAsia="nb-NO"/>
        </w:rPr>
        <w:t xml:space="preserve">36 million DKK has been allocated </w:t>
      </w:r>
      <w:r w:rsidR="001C7D76">
        <w:rPr>
          <w:lang w:val="en-US" w:eastAsia="nb-NO"/>
        </w:rPr>
        <w:t>to</w:t>
      </w:r>
      <w:r w:rsidR="001C7D76" w:rsidRPr="00046253">
        <w:rPr>
          <w:lang w:val="en-US" w:eastAsia="nb-NO"/>
        </w:rPr>
        <w:t xml:space="preserve"> a new action plan</w:t>
      </w:r>
      <w:r w:rsidR="001C7D76">
        <w:rPr>
          <w:lang w:val="en-US" w:eastAsia="nb-NO"/>
        </w:rPr>
        <w:t xml:space="preserve"> for the years 2014-2017, which is being implemented. The focus of the action plan is to strengthen the handling of and accumulation of knowledge on different forms of violence in the family and in intimate relations. Another aim is to strengthen the measures and obtain more knowledge on male victims, including early measures in relation to young people exposed to dating violence. Finally, the action plan focuses on increasing the debate and knowledge about the consequences of violence in intimate relations. </w:t>
      </w:r>
    </w:p>
    <w:p w:rsidR="001C7D76" w:rsidRPr="006E39AB" w:rsidRDefault="00A11A9E" w:rsidP="00A11A9E">
      <w:pPr>
        <w:pStyle w:val="SingleTxtG"/>
        <w:rPr>
          <w:lang w:val="en-US" w:eastAsia="nb-NO"/>
        </w:rPr>
      </w:pPr>
      <w:r w:rsidRPr="006E39AB">
        <w:rPr>
          <w:lang w:val="en-US" w:eastAsia="nb-NO"/>
        </w:rPr>
        <w:t>107.</w:t>
      </w:r>
      <w:r w:rsidRPr="006E39AB">
        <w:rPr>
          <w:lang w:val="en-US" w:eastAsia="nb-NO"/>
        </w:rPr>
        <w:tab/>
      </w:r>
      <w:r w:rsidR="001C7D76" w:rsidRPr="006E39AB">
        <w:rPr>
          <w:lang w:val="en-US" w:eastAsia="nb-NO"/>
        </w:rPr>
        <w:t xml:space="preserve">In 2012, 16 million DKK were allocated to a two-year pilot project on psychological consultations for women staying at shelters. It has been decided to extend the project within the existing financial allocation to the end of 2015. Moreover, 4 million DKK </w:t>
      </w:r>
      <w:r w:rsidR="001C7D76">
        <w:rPr>
          <w:lang w:val="en-US" w:eastAsia="nb-NO"/>
        </w:rPr>
        <w:t>was</w:t>
      </w:r>
      <w:r w:rsidR="001C7D76" w:rsidRPr="006E39AB">
        <w:rPr>
          <w:lang w:val="en-US" w:eastAsia="nb-NO"/>
        </w:rPr>
        <w:t xml:space="preserve"> allocated to a two-year pilot project consisting of a mobile service offering advice and support. The project scheme is connected to Danish legislation on expelling a violent person from his own home. The mobile service should provide guidance and support for both victims of violence and the perpetrators.</w:t>
      </w:r>
      <w:r w:rsidR="00AF685F">
        <w:rPr>
          <w:lang w:val="en-US" w:eastAsia="nb-NO"/>
        </w:rPr>
        <w:t xml:space="preserve"> </w:t>
      </w:r>
    </w:p>
    <w:p w:rsidR="001C7D76" w:rsidRDefault="00A11A9E" w:rsidP="00A11A9E">
      <w:pPr>
        <w:pStyle w:val="SingleTxtG"/>
        <w:rPr>
          <w:lang w:val="en-US" w:eastAsia="nb-NO"/>
        </w:rPr>
      </w:pPr>
      <w:r>
        <w:rPr>
          <w:lang w:val="en-US" w:eastAsia="nb-NO"/>
        </w:rPr>
        <w:t>108.</w:t>
      </w:r>
      <w:r>
        <w:rPr>
          <w:lang w:val="en-US" w:eastAsia="nb-NO"/>
        </w:rPr>
        <w:tab/>
      </w:r>
      <w:r w:rsidR="001C7D76">
        <w:rPr>
          <w:lang w:val="en-US" w:eastAsia="nb-NO"/>
        </w:rPr>
        <w:t>Five</w:t>
      </w:r>
      <w:r w:rsidR="001C7D76" w:rsidRPr="00046253">
        <w:rPr>
          <w:lang w:val="en-US" w:eastAsia="nb-NO"/>
        </w:rPr>
        <w:t xml:space="preserve"> million DKK has been allocated with </w:t>
      </w:r>
      <w:r w:rsidR="001C7D76">
        <w:rPr>
          <w:lang w:val="en-US" w:eastAsia="nb-NO"/>
        </w:rPr>
        <w:t>a view to</w:t>
      </w:r>
      <w:r w:rsidR="001C7D76" w:rsidRPr="00046253">
        <w:rPr>
          <w:lang w:val="en-US" w:eastAsia="nb-NO"/>
        </w:rPr>
        <w:t xml:space="preserve"> conducting a general evaluation of women’s shelters to es</w:t>
      </w:r>
      <w:r w:rsidR="001C7D76">
        <w:rPr>
          <w:lang w:val="en-US" w:eastAsia="nb-NO"/>
        </w:rPr>
        <w:t>tablish a basis for a comprehen</w:t>
      </w:r>
      <w:r w:rsidR="001C7D76" w:rsidRPr="00046253">
        <w:rPr>
          <w:lang w:val="en-US" w:eastAsia="nb-NO"/>
        </w:rPr>
        <w:t>sive and general discussion on the social efforts with regard to violence in intimate relations. The evaluation will include experiences from the above</w:t>
      </w:r>
      <w:r w:rsidR="000B4ACD">
        <w:rPr>
          <w:lang w:val="en-US" w:eastAsia="nb-NO"/>
        </w:rPr>
        <w:t>-</w:t>
      </w:r>
      <w:r w:rsidR="001C7D76" w:rsidRPr="00046253">
        <w:rPr>
          <w:lang w:val="en-US" w:eastAsia="nb-NO"/>
        </w:rPr>
        <w:t xml:space="preserve">mentioned projects with psychological consultations </w:t>
      </w:r>
      <w:r w:rsidR="000B4ACD">
        <w:rPr>
          <w:lang w:val="en-US" w:eastAsia="nb-NO"/>
        </w:rPr>
        <w:t>for</w:t>
      </w:r>
      <w:r w:rsidR="000B4ACD" w:rsidRPr="00046253">
        <w:rPr>
          <w:lang w:val="en-US" w:eastAsia="nb-NO"/>
        </w:rPr>
        <w:t xml:space="preserve"> </w:t>
      </w:r>
      <w:r w:rsidR="001C7D76" w:rsidRPr="00046253">
        <w:rPr>
          <w:lang w:val="en-US" w:eastAsia="nb-NO"/>
        </w:rPr>
        <w:t>women staying at shelters and from the mobile service offering advice and support to victims and perpetrators. Furthermore</w:t>
      </w:r>
      <w:r w:rsidR="001C7D76">
        <w:rPr>
          <w:lang w:val="en-US" w:eastAsia="nb-NO"/>
        </w:rPr>
        <w:t>,</w:t>
      </w:r>
      <w:r w:rsidR="001C7D76" w:rsidRPr="00046253">
        <w:rPr>
          <w:lang w:val="en-US" w:eastAsia="nb-NO"/>
        </w:rPr>
        <w:t xml:space="preserve"> experiences from </w:t>
      </w:r>
      <w:r w:rsidR="001C7D76">
        <w:rPr>
          <w:lang w:val="en-US" w:eastAsia="nb-NO"/>
        </w:rPr>
        <w:t xml:space="preserve">a </w:t>
      </w:r>
      <w:r w:rsidR="001C7D76" w:rsidRPr="00046253">
        <w:rPr>
          <w:lang w:val="en-US" w:eastAsia="nb-NO"/>
        </w:rPr>
        <w:t>previo</w:t>
      </w:r>
      <w:r w:rsidR="001C7D76">
        <w:rPr>
          <w:lang w:val="en-US" w:eastAsia="nb-NO"/>
        </w:rPr>
        <w:t>us evaluation regarding shel</w:t>
      </w:r>
      <w:r w:rsidR="001C7D76" w:rsidRPr="00046253">
        <w:rPr>
          <w:lang w:val="en-US" w:eastAsia="nb-NO"/>
        </w:rPr>
        <w:t xml:space="preserve">ters for men shall be considered in the general discussion. The evaluation is expected to be completed in 2015. </w:t>
      </w:r>
    </w:p>
    <w:p w:rsidR="001C7D76" w:rsidRPr="00046253" w:rsidRDefault="00A11A9E" w:rsidP="00A11A9E">
      <w:pPr>
        <w:pStyle w:val="SingleTxtG"/>
        <w:rPr>
          <w:lang w:val="en-US" w:eastAsia="nb-NO"/>
        </w:rPr>
      </w:pPr>
      <w:r w:rsidRPr="00046253">
        <w:rPr>
          <w:lang w:val="en-US" w:eastAsia="nb-NO"/>
        </w:rPr>
        <w:t>109.</w:t>
      </w:r>
      <w:r w:rsidRPr="00046253">
        <w:rPr>
          <w:lang w:val="en-US" w:eastAsia="nb-NO"/>
        </w:rPr>
        <w:tab/>
      </w:r>
      <w:r w:rsidR="001C7D76">
        <w:rPr>
          <w:lang w:val="en-US" w:eastAsia="nb-NO"/>
        </w:rPr>
        <w:t xml:space="preserve">Furthermore, it has been decided to allocate 21 million DDK to a pilot project </w:t>
      </w:r>
      <w:r w:rsidR="00EB3722">
        <w:rPr>
          <w:lang w:val="en-US" w:eastAsia="nb-NO"/>
        </w:rPr>
        <w:t>t</w:t>
      </w:r>
      <w:r w:rsidR="001C7D76" w:rsidRPr="00706D55">
        <w:rPr>
          <w:lang w:val="en-US" w:eastAsia="nb-NO"/>
        </w:rPr>
        <w:t>esting</w:t>
      </w:r>
      <w:r w:rsidR="001C7D76">
        <w:rPr>
          <w:lang w:val="en-US" w:eastAsia="nb-NO"/>
        </w:rPr>
        <w:t xml:space="preserve"> the method CTI (Critical Time Intervention) in 4-6 municipalities on a number of women taking residence in shelters for battered women. As part of the CTI method, specific and systematic counselling will be offered </w:t>
      </w:r>
      <w:r w:rsidR="000B4ACD">
        <w:rPr>
          <w:lang w:val="en-US" w:eastAsia="nb-NO"/>
        </w:rPr>
        <w:t xml:space="preserve">to </w:t>
      </w:r>
      <w:r w:rsidR="001C7D76">
        <w:rPr>
          <w:lang w:val="en-US" w:eastAsia="nb-NO"/>
        </w:rPr>
        <w:t xml:space="preserve">these women. The purpose of the project is to strengthen and support the transition to a life free of violence. The project is funded for the period 2015-2018. In addition, it has been decided to allocate 24 million DKK to initiate a project offering counselling and treatment to both victims of intimate violence and violent partners with the purpose of minimizing the consequences of the violence and reducing violence in intimate relations in the future. This project is also funded for the period 2015-2018. </w:t>
      </w:r>
    </w:p>
    <w:p w:rsidR="001C7D76" w:rsidRPr="007E7E8F" w:rsidRDefault="00D246BC" w:rsidP="00A11A9E">
      <w:pPr>
        <w:pStyle w:val="H4G"/>
        <w:rPr>
          <w:lang w:val="en-US" w:eastAsia="nb-NO"/>
        </w:rPr>
      </w:pPr>
      <w:r>
        <w:rPr>
          <w:lang w:val="en-US" w:eastAsia="nb-NO"/>
        </w:rPr>
        <w:tab/>
      </w:r>
      <w:r>
        <w:rPr>
          <w:lang w:val="en-US" w:eastAsia="nb-NO"/>
        </w:rPr>
        <w:tab/>
      </w:r>
      <w:r w:rsidR="001C7D76">
        <w:rPr>
          <w:lang w:val="en-US" w:eastAsia="nb-NO"/>
        </w:rPr>
        <w:t xml:space="preserve">Greenland </w:t>
      </w:r>
    </w:p>
    <w:p w:rsidR="001C7D76" w:rsidRDefault="00A11A9E" w:rsidP="00A11A9E">
      <w:pPr>
        <w:pStyle w:val="SingleTxtG"/>
        <w:rPr>
          <w:lang w:val="en-US" w:eastAsia="nb-NO"/>
        </w:rPr>
      </w:pPr>
      <w:r>
        <w:rPr>
          <w:lang w:val="en-US" w:eastAsia="nb-NO"/>
        </w:rPr>
        <w:t>110.</w:t>
      </w:r>
      <w:r>
        <w:rPr>
          <w:lang w:val="en-US" w:eastAsia="nb-NO"/>
        </w:rPr>
        <w:tab/>
      </w:r>
      <w:r w:rsidR="001C7D76">
        <w:rPr>
          <w:lang w:val="en-US" w:eastAsia="nb-NO"/>
        </w:rPr>
        <w:t xml:space="preserve">In </w:t>
      </w:r>
      <w:r w:rsidR="001C7D76" w:rsidRPr="00046253">
        <w:rPr>
          <w:lang w:val="en-US" w:eastAsia="nb-NO"/>
        </w:rPr>
        <w:t>November 2013</w:t>
      </w:r>
      <w:r w:rsidR="001C7D76">
        <w:rPr>
          <w:lang w:val="en-US" w:eastAsia="nb-NO"/>
        </w:rPr>
        <w:t>,</w:t>
      </w:r>
      <w:r w:rsidR="001C7D76" w:rsidRPr="00046253">
        <w:rPr>
          <w:lang w:val="en-US" w:eastAsia="nb-NO"/>
        </w:rPr>
        <w:t xml:space="preserve"> the Parliament of Greenland</w:t>
      </w:r>
      <w:r w:rsidR="001C7D76">
        <w:rPr>
          <w:lang w:val="en-US" w:eastAsia="nb-NO"/>
        </w:rPr>
        <w:t xml:space="preserve"> (</w:t>
      </w:r>
      <w:r w:rsidR="001C7D76" w:rsidRPr="007E7E8F">
        <w:rPr>
          <w:i/>
          <w:lang w:val="en-US" w:eastAsia="nb-NO"/>
        </w:rPr>
        <w:t>Inatsisartut</w:t>
      </w:r>
      <w:r w:rsidR="001C7D76">
        <w:rPr>
          <w:lang w:val="en-US" w:eastAsia="nb-NO"/>
        </w:rPr>
        <w:t>) passed a na</w:t>
      </w:r>
      <w:r w:rsidR="001C7D76" w:rsidRPr="00046253">
        <w:rPr>
          <w:lang w:val="en-US" w:eastAsia="nb-NO"/>
        </w:rPr>
        <w:t>tional strategy and action plan against violence 2014-2017, which includes 31 activities primarily targeted at combating domestic violence. This includes legislative amendments, campaigns, psychosocial reinforcement and more. The activities of the action plan focus on prevention within four main goals to (1) support the victim (2) break the circle of violence (3) upskill professionals and (4) advance knowledge and information on violence.</w:t>
      </w:r>
    </w:p>
    <w:p w:rsidR="001C7D76" w:rsidRPr="00515EE7" w:rsidRDefault="00D246BC">
      <w:pPr>
        <w:pStyle w:val="H1G"/>
      </w:pPr>
      <w:bookmarkStart w:id="9" w:name="_Toc430941895"/>
      <w:r>
        <w:tab/>
      </w:r>
      <w:r>
        <w:tab/>
      </w:r>
      <w:r w:rsidR="001C7D76" w:rsidRPr="00515EE7">
        <w:t>Prohibition of torture and of other cruel, inhuman or degrading treatment or punishment, excessive use of force, security of person and</w:t>
      </w:r>
      <w:r w:rsidR="00D12C85">
        <w:t> </w:t>
      </w:r>
      <w:r w:rsidR="001C7D76" w:rsidRPr="00515EE7">
        <w:t>treatment of prisoners, and juvenile justice</w:t>
      </w:r>
      <w:bookmarkEnd w:id="9"/>
      <w:r w:rsidR="001C7D76" w:rsidRPr="00515EE7">
        <w:t xml:space="preserve"> </w:t>
      </w:r>
    </w:p>
    <w:p w:rsidR="001C7D76" w:rsidRPr="00692199" w:rsidRDefault="00D246BC" w:rsidP="00A11A9E">
      <w:pPr>
        <w:pStyle w:val="H23G"/>
        <w:rPr>
          <w:lang w:val="en-US"/>
        </w:rPr>
      </w:pPr>
      <w:r>
        <w:rPr>
          <w:lang w:val="en-US" w:eastAsia="nb-NO"/>
        </w:rPr>
        <w:tab/>
      </w:r>
      <w:r>
        <w:rPr>
          <w:lang w:val="en-US" w:eastAsia="nb-NO"/>
        </w:rPr>
        <w:tab/>
      </w:r>
      <w:r w:rsidR="001C7D76" w:rsidRPr="00102FEC">
        <w:rPr>
          <w:lang w:val="en-US" w:eastAsia="nb-NO"/>
        </w:rPr>
        <w:t xml:space="preserve">Reply to paragraph 13 of the </w:t>
      </w:r>
      <w:r w:rsidR="00FF0EDD">
        <w:rPr>
          <w:lang w:val="en-US" w:eastAsia="nb-NO"/>
        </w:rPr>
        <w:t>list of issues</w:t>
      </w:r>
      <w:r w:rsidR="001C7D76" w:rsidRPr="00102FEC">
        <w:rPr>
          <w:lang w:val="en-US"/>
        </w:rPr>
        <w:t xml:space="preserve"> [</w:t>
      </w:r>
      <w:r w:rsidR="001C7D76" w:rsidRPr="00102FEC">
        <w:rPr>
          <w:bCs/>
          <w:lang w:val="en-US" w:eastAsia="da-DK"/>
        </w:rPr>
        <w:t>Ministry of Justice</w:t>
      </w:r>
      <w:r w:rsidR="001C7D76" w:rsidRPr="00102FEC">
        <w:rPr>
          <w:lang w:val="en-US"/>
        </w:rPr>
        <w:t>]</w:t>
      </w:r>
      <w:r>
        <w:rPr>
          <w:lang w:val="en-US"/>
        </w:rPr>
        <w:t xml:space="preserve"> </w:t>
      </w:r>
      <w:r w:rsidR="000B4ACD">
        <w:rPr>
          <w:lang w:val="en-US"/>
        </w:rPr>
        <w:t>i</w:t>
      </w:r>
      <w:r w:rsidR="001C7D76" w:rsidRPr="00692199">
        <w:rPr>
          <w:lang w:val="en-US"/>
        </w:rPr>
        <w:t>ncorporating a specific crime of torture into penal law</w:t>
      </w:r>
    </w:p>
    <w:p w:rsidR="001C7D76" w:rsidRPr="00706D55" w:rsidRDefault="00A11A9E" w:rsidP="00A11A9E">
      <w:pPr>
        <w:pStyle w:val="SingleTxtG"/>
      </w:pPr>
      <w:r w:rsidRPr="00706D55">
        <w:t>111.</w:t>
      </w:r>
      <w:r w:rsidRPr="00706D55">
        <w:tab/>
      </w:r>
      <w:r w:rsidR="001C7D76" w:rsidRPr="00706D55">
        <w:t xml:space="preserve">Article 4 of the Convention against Torture and Other Cruel, Inhuman or Degrading Treatment or Punishment requires participating states </w:t>
      </w:r>
      <w:r w:rsidR="00434343" w:rsidRPr="00706D55">
        <w:t>“</w:t>
      </w:r>
      <w:r w:rsidR="001C7D76" w:rsidRPr="00706D55">
        <w:t>to ensure that all acts of torture are offences under its criminal law</w:t>
      </w:r>
      <w:r w:rsidR="00434343" w:rsidRPr="00706D55">
        <w:t>”</w:t>
      </w:r>
      <w:r w:rsidR="001C7D76" w:rsidRPr="00706D55">
        <w:t xml:space="preserve"> but it does not require that participating states adopt a specific provision in national criminal legislation concerning the crime of torture.</w:t>
      </w:r>
    </w:p>
    <w:p w:rsidR="001C7D76" w:rsidRPr="00D246BC" w:rsidRDefault="00A11A9E" w:rsidP="00A11A9E">
      <w:pPr>
        <w:pStyle w:val="SingleTxtG"/>
      </w:pPr>
      <w:r w:rsidRPr="00D246BC">
        <w:t>112.</w:t>
      </w:r>
      <w:r w:rsidRPr="00D246BC">
        <w:tab/>
      </w:r>
      <w:r w:rsidR="001C7D76" w:rsidRPr="00D246BC">
        <w:t>This question was thoroughly assessed by the Committee on Criminal Law (</w:t>
      </w:r>
      <w:r w:rsidR="001C7D76" w:rsidRPr="00A11A9E">
        <w:rPr>
          <w:i/>
          <w:iCs/>
        </w:rPr>
        <w:t>Straffelovrådet</w:t>
      </w:r>
      <w:r w:rsidR="001C7D76" w:rsidRPr="00D246BC">
        <w:t xml:space="preserve">) in its report </w:t>
      </w:r>
      <w:r w:rsidR="00434343">
        <w:t>N</w:t>
      </w:r>
      <w:r w:rsidR="001C7D76" w:rsidRPr="00D246BC">
        <w:t xml:space="preserve">o. 1494/2008 from January 2008. The Committee did not recommend the adoption of a specific provision on the crime of torture in Danish criminal law. The Committee pointed out that all acts covered by the definition of torture in article 1 in the Convention </w:t>
      </w:r>
      <w:r w:rsidR="007F0B3B">
        <w:t>—</w:t>
      </w:r>
      <w:r w:rsidR="001C7D76" w:rsidRPr="00D246BC">
        <w:t xml:space="preserve"> including acts where mental pain and suffering is inflicted on the victim </w:t>
      </w:r>
      <w:r w:rsidR="007F0B3B">
        <w:t>—</w:t>
      </w:r>
      <w:r w:rsidR="001C7D76" w:rsidRPr="00D246BC">
        <w:t xml:space="preserve"> are already covered by existing provisions of Danish criminal law. Instead, it recommended the adoption of a special provision in the Criminal Code making torture an aggravating circumstance in the determination of a penalty for violation of the Criminal Code.</w:t>
      </w:r>
    </w:p>
    <w:p w:rsidR="001C7D76" w:rsidRPr="00D246BC" w:rsidRDefault="00A11A9E" w:rsidP="00A11A9E">
      <w:pPr>
        <w:pStyle w:val="SingleTxtG"/>
      </w:pPr>
      <w:r w:rsidRPr="00D246BC">
        <w:t>113.</w:t>
      </w:r>
      <w:r w:rsidRPr="00D246BC">
        <w:tab/>
      </w:r>
      <w:r w:rsidR="001C7D76" w:rsidRPr="00D246BC">
        <w:t xml:space="preserve">Based on the assessment of the Committee on Criminal Law the Parliament adopted amendments of the Criminal Code and the Military Criminal Code by Act </w:t>
      </w:r>
      <w:r w:rsidR="00434343">
        <w:t>N</w:t>
      </w:r>
      <w:r w:rsidR="001C7D76" w:rsidRPr="00D246BC">
        <w:t>o. 494 of 17</w:t>
      </w:r>
      <w:r w:rsidR="009F4479">
        <w:t> </w:t>
      </w:r>
      <w:r w:rsidR="001C7D76" w:rsidRPr="00D246BC">
        <w:t>June 2008 establishing that torture is an aggravating circumstance in the determination of a penalty for violation of these codes.</w:t>
      </w:r>
    </w:p>
    <w:p w:rsidR="001C7D76" w:rsidRPr="00D246BC" w:rsidRDefault="00A11A9E" w:rsidP="00A11A9E">
      <w:pPr>
        <w:pStyle w:val="SingleTxtG"/>
      </w:pPr>
      <w:r w:rsidRPr="00D246BC">
        <w:t>114.</w:t>
      </w:r>
      <w:r w:rsidRPr="00D246BC">
        <w:tab/>
      </w:r>
      <w:r w:rsidR="001C7D76" w:rsidRPr="00D246BC">
        <w:t xml:space="preserve">The current provisions in the Criminal Code and the Military Criminal Code meet the purpose of a provision on the crime of torture as they underline the seriousness and gross nature of acts that are committed by the use of torture and the provisions make it possible to register criminal acts, if any, committed by the use of torture. Add to this that the current provisions mean that the character of the specific crime will be clearly reflected in connection with the criminal case. Thus, instead of being convicted of the general crime of </w:t>
      </w:r>
      <w:r w:rsidR="00434343">
        <w:t>“</w:t>
      </w:r>
      <w:r w:rsidR="001C7D76" w:rsidRPr="00D246BC">
        <w:t>torture</w:t>
      </w:r>
      <w:r w:rsidR="00434343">
        <w:t>”</w:t>
      </w:r>
      <w:r w:rsidR="001C7D76" w:rsidRPr="00D246BC">
        <w:t xml:space="preserve">, the perpetrator will be convicted in accordance with the relevant specific provisions with reference to the fact that the criminal act was committed by the use of torture (e.g. </w:t>
      </w:r>
      <w:r w:rsidR="00434343">
        <w:t>“</w:t>
      </w:r>
      <w:r w:rsidR="001C7D76" w:rsidRPr="00D246BC">
        <w:t>assault of a particularly dangerous nature by the use of torture</w:t>
      </w:r>
      <w:r w:rsidR="00434343">
        <w:t>”</w:t>
      </w:r>
      <w:r w:rsidR="001C7D76" w:rsidRPr="00D246BC">
        <w:t xml:space="preserve"> or </w:t>
      </w:r>
      <w:r w:rsidR="00434343">
        <w:t>“</w:t>
      </w:r>
      <w:r w:rsidR="001C7D76" w:rsidRPr="00D246BC">
        <w:t>confinement by the use of torture</w:t>
      </w:r>
      <w:r w:rsidR="00434343">
        <w:t>”</w:t>
      </w:r>
      <w:r w:rsidR="001C7D76" w:rsidRPr="00D246BC">
        <w:t>).</w:t>
      </w:r>
    </w:p>
    <w:p w:rsidR="001C7D76" w:rsidRPr="00D246BC" w:rsidRDefault="00A11A9E" w:rsidP="00A11A9E">
      <w:pPr>
        <w:pStyle w:val="SingleTxtG"/>
      </w:pPr>
      <w:r w:rsidRPr="00D246BC">
        <w:t>115.</w:t>
      </w:r>
      <w:r w:rsidRPr="00D246BC">
        <w:tab/>
      </w:r>
      <w:r w:rsidR="001C7D76" w:rsidRPr="00D246BC">
        <w:t>Consequently, the Government considers that the current legislation is a sufficient and adequate implementation of the obligation to criminaliz</w:t>
      </w:r>
      <w:r w:rsidR="009F4479">
        <w:t>e</w:t>
      </w:r>
      <w:r w:rsidR="001C7D76" w:rsidRPr="00D246BC">
        <w:t xml:space="preserve"> the crime of torture.</w:t>
      </w:r>
    </w:p>
    <w:p w:rsidR="001C7D76" w:rsidRPr="00692199" w:rsidRDefault="00D246BC" w:rsidP="00A11A9E">
      <w:pPr>
        <w:pStyle w:val="H4G"/>
        <w:rPr>
          <w:lang w:val="en-US"/>
        </w:rPr>
      </w:pPr>
      <w:r>
        <w:rPr>
          <w:lang w:val="en-US"/>
        </w:rPr>
        <w:tab/>
      </w:r>
      <w:r>
        <w:rPr>
          <w:lang w:val="en-US"/>
        </w:rPr>
        <w:tab/>
      </w:r>
      <w:r w:rsidR="001C7D76" w:rsidRPr="00692199">
        <w:rPr>
          <w:lang w:val="en-US"/>
        </w:rPr>
        <w:t xml:space="preserve">Statutes of limitations </w:t>
      </w:r>
    </w:p>
    <w:p w:rsidR="001C7D76" w:rsidRPr="00485AA9" w:rsidRDefault="00A11A9E" w:rsidP="00A11A9E">
      <w:pPr>
        <w:pStyle w:val="SingleTxtG"/>
        <w:rPr>
          <w:lang w:val="en-US"/>
        </w:rPr>
      </w:pPr>
      <w:r w:rsidRPr="00485AA9">
        <w:rPr>
          <w:lang w:val="en-US"/>
        </w:rPr>
        <w:t>116.</w:t>
      </w:r>
      <w:r w:rsidRPr="00485AA9">
        <w:rPr>
          <w:lang w:val="en-US"/>
        </w:rPr>
        <w:tab/>
      </w:r>
      <w:r w:rsidR="001C7D76" w:rsidRPr="00485AA9">
        <w:rPr>
          <w:lang w:val="en-US"/>
        </w:rPr>
        <w:t xml:space="preserve">The amendments to the Criminal Code adopted by Act </w:t>
      </w:r>
      <w:r w:rsidR="00434343">
        <w:rPr>
          <w:lang w:val="en-US"/>
        </w:rPr>
        <w:t>N</w:t>
      </w:r>
      <w:r w:rsidR="001C7D76" w:rsidRPr="00485AA9">
        <w:rPr>
          <w:lang w:val="en-US"/>
        </w:rPr>
        <w:t xml:space="preserve">o. 494 of 17 June 2008 also established that violations of the Criminal Code and the Military </w:t>
      </w:r>
      <w:r w:rsidR="001C7D76" w:rsidRPr="00485AA9">
        <w:rPr>
          <w:spacing w:val="1"/>
          <w:lang w:val="en-US"/>
        </w:rPr>
        <w:t xml:space="preserve">Criminal Code, including attempts and complicity, cannot be subject to the statute of limitations if </w:t>
      </w:r>
      <w:r w:rsidR="001C7D76" w:rsidRPr="00485AA9">
        <w:rPr>
          <w:lang w:val="en-US"/>
        </w:rPr>
        <w:t>the violation is committed by the use of torture.</w:t>
      </w:r>
    </w:p>
    <w:p w:rsidR="001C7D76" w:rsidRPr="00692199" w:rsidRDefault="00D246BC" w:rsidP="00A11A9E">
      <w:pPr>
        <w:pStyle w:val="H4G"/>
        <w:rPr>
          <w:lang w:val="en-US"/>
        </w:rPr>
      </w:pPr>
      <w:r>
        <w:rPr>
          <w:lang w:val="en-US"/>
        </w:rPr>
        <w:tab/>
      </w:r>
      <w:r>
        <w:rPr>
          <w:lang w:val="en-US"/>
        </w:rPr>
        <w:tab/>
      </w:r>
      <w:r w:rsidR="001C7D76" w:rsidRPr="00692199">
        <w:rPr>
          <w:lang w:val="en-US"/>
        </w:rPr>
        <w:t xml:space="preserve">Independent police complaints body </w:t>
      </w:r>
    </w:p>
    <w:p w:rsidR="001C7D76" w:rsidRPr="00485AA9" w:rsidRDefault="00A11A9E" w:rsidP="00A11A9E">
      <w:pPr>
        <w:pStyle w:val="SingleTxtG"/>
        <w:rPr>
          <w:lang w:val="en-US"/>
        </w:rPr>
      </w:pPr>
      <w:r w:rsidRPr="00485AA9">
        <w:rPr>
          <w:lang w:val="en-US"/>
        </w:rPr>
        <w:t>117.</w:t>
      </w:r>
      <w:r w:rsidRPr="00485AA9">
        <w:rPr>
          <w:lang w:val="en-US"/>
        </w:rPr>
        <w:tab/>
      </w:r>
      <w:r w:rsidR="001C7D76" w:rsidRPr="00485AA9">
        <w:rPr>
          <w:lang w:val="en-US"/>
        </w:rPr>
        <w:t>In Denmark’s fifth periodic report, it is mentioned that on 11 October 2006 the Ministry of Justice set up a committee tasked with reviewing and evaluating the current system for dealing with complaints against the police and processing criminal cases against police officers.</w:t>
      </w:r>
    </w:p>
    <w:p w:rsidR="001C7D76" w:rsidRPr="00485AA9" w:rsidRDefault="00A11A9E" w:rsidP="00A11A9E">
      <w:pPr>
        <w:pStyle w:val="SingleTxtG"/>
        <w:rPr>
          <w:lang w:val="en-US"/>
        </w:rPr>
      </w:pPr>
      <w:r w:rsidRPr="00485AA9">
        <w:rPr>
          <w:lang w:val="en-US"/>
        </w:rPr>
        <w:t>118.</w:t>
      </w:r>
      <w:r w:rsidRPr="00485AA9">
        <w:rPr>
          <w:lang w:val="en-US"/>
        </w:rPr>
        <w:tab/>
      </w:r>
      <w:r w:rsidR="001C7D76" w:rsidRPr="00902358">
        <w:rPr>
          <w:lang w:val="en-US"/>
        </w:rPr>
        <w:t xml:space="preserve">The committee submitted its report in April 2009. The committee found that the system in force at the time for dealing with complaints against the police functioned well, but that it was important, in the light of the critique of the system, to ensure confidence in the police complaints system, both </w:t>
      </w:r>
      <w:r w:rsidR="001C7D76" w:rsidRPr="00F1521C">
        <w:rPr>
          <w:lang w:val="en-US"/>
        </w:rPr>
        <w:t xml:space="preserve">among </w:t>
      </w:r>
      <w:r w:rsidR="00356BED" w:rsidRPr="00902358">
        <w:rPr>
          <w:lang w:val="en-US"/>
        </w:rPr>
        <w:t>the publi</w:t>
      </w:r>
      <w:r w:rsidR="00356BED" w:rsidRPr="00F1521C">
        <w:rPr>
          <w:lang w:val="en-US"/>
        </w:rPr>
        <w:t xml:space="preserve">c and </w:t>
      </w:r>
      <w:r w:rsidR="00356BED">
        <w:rPr>
          <w:lang w:val="en-US"/>
        </w:rPr>
        <w:t xml:space="preserve">within </w:t>
      </w:r>
      <w:r w:rsidR="001C7D76" w:rsidRPr="00F1521C">
        <w:rPr>
          <w:lang w:val="en-US"/>
        </w:rPr>
        <w:t>the police force.</w:t>
      </w:r>
      <w:r w:rsidR="001C7D76" w:rsidRPr="00CF6494">
        <w:rPr>
          <w:lang w:val="en-US"/>
        </w:rPr>
        <w:t xml:space="preserve"> </w:t>
      </w:r>
    </w:p>
    <w:p w:rsidR="001C7D76" w:rsidRDefault="00A11A9E" w:rsidP="00A11A9E">
      <w:pPr>
        <w:pStyle w:val="SingleTxtG"/>
        <w:rPr>
          <w:lang w:val="en-US"/>
        </w:rPr>
      </w:pPr>
      <w:r>
        <w:rPr>
          <w:lang w:val="en-US"/>
        </w:rPr>
        <w:t>119.</w:t>
      </w:r>
      <w:r>
        <w:rPr>
          <w:lang w:val="en-US"/>
        </w:rPr>
        <w:tab/>
      </w:r>
      <w:r w:rsidR="001C7D76" w:rsidRPr="00902358">
        <w:rPr>
          <w:lang w:val="en-US"/>
        </w:rPr>
        <w:t xml:space="preserve">Based on findings of the committee, an amendment to the Administration of Justice Act was passed on 21 April 2010 introducing as of 1 January 2012 a new system for handling complaints concerning the conduct of police personnel. </w:t>
      </w:r>
    </w:p>
    <w:p w:rsidR="001C7D76" w:rsidRPr="00706D55" w:rsidRDefault="00A11A9E" w:rsidP="00A11A9E">
      <w:pPr>
        <w:pStyle w:val="SingleTxtG"/>
        <w:rPr>
          <w:lang w:val="en-US"/>
        </w:rPr>
      </w:pPr>
      <w:r w:rsidRPr="00706D55">
        <w:rPr>
          <w:lang w:val="en-US"/>
        </w:rPr>
        <w:t>120.</w:t>
      </w:r>
      <w:r w:rsidRPr="00706D55">
        <w:rPr>
          <w:lang w:val="en-US"/>
        </w:rPr>
        <w:tab/>
      </w:r>
      <w:r w:rsidR="001C7D76" w:rsidRPr="00706D55">
        <w:rPr>
          <w:lang w:val="en-US"/>
        </w:rPr>
        <w:t>The Police Complaints Authority is headed by a Police Complaints Council (</w:t>
      </w:r>
      <w:r w:rsidR="001C7D76" w:rsidRPr="00706D55">
        <w:rPr>
          <w:i/>
          <w:iCs/>
          <w:lang w:val="en-US"/>
        </w:rPr>
        <w:t>Politiklageråd</w:t>
      </w:r>
      <w:r w:rsidR="001C7D76" w:rsidRPr="00A11A9E">
        <w:rPr>
          <w:lang w:val="en-US"/>
        </w:rPr>
        <w:t>)</w:t>
      </w:r>
      <w:r w:rsidR="001C7D76" w:rsidRPr="00706D55">
        <w:rPr>
          <w:i/>
          <w:iCs/>
          <w:lang w:val="en-US"/>
        </w:rPr>
        <w:t xml:space="preserve"> </w:t>
      </w:r>
      <w:r w:rsidR="001C7D76" w:rsidRPr="00706D55">
        <w:rPr>
          <w:lang w:val="en-US"/>
        </w:rPr>
        <w:t>which is comprised of a high court judge as the head of the council, one private practicing attorney, one professor of law and two representatives of the general public.</w:t>
      </w:r>
    </w:p>
    <w:p w:rsidR="001C7D76" w:rsidRPr="00902358" w:rsidRDefault="00A11A9E" w:rsidP="00A11A9E">
      <w:pPr>
        <w:pStyle w:val="SingleTxtG"/>
        <w:rPr>
          <w:lang w:val="en-US"/>
        </w:rPr>
      </w:pPr>
      <w:r w:rsidRPr="00902358">
        <w:rPr>
          <w:lang w:val="en-US"/>
        </w:rPr>
        <w:t>121.</w:t>
      </w:r>
      <w:r w:rsidRPr="00902358">
        <w:rPr>
          <w:lang w:val="en-US"/>
        </w:rPr>
        <w:tab/>
      </w:r>
      <w:r w:rsidR="001C7D76" w:rsidRPr="00902358">
        <w:rPr>
          <w:lang w:val="en-US"/>
        </w:rPr>
        <w:t xml:space="preserve">The new independent body has taken over the role </w:t>
      </w:r>
      <w:r w:rsidR="001C7D76">
        <w:rPr>
          <w:lang w:val="en-US"/>
        </w:rPr>
        <w:t xml:space="preserve">previously held by </w:t>
      </w:r>
      <w:r w:rsidR="001C7D76" w:rsidRPr="00902358">
        <w:rPr>
          <w:lang w:val="en-US"/>
        </w:rPr>
        <w:t xml:space="preserve">regional public prosecutors before the amendment. </w:t>
      </w:r>
      <w:r w:rsidR="001C7D76">
        <w:rPr>
          <w:lang w:val="en-US"/>
        </w:rPr>
        <w:t xml:space="preserve">The body </w:t>
      </w:r>
      <w:r w:rsidR="001C7D76" w:rsidRPr="00902358">
        <w:rPr>
          <w:lang w:val="en-US"/>
        </w:rPr>
        <w:t xml:space="preserve">also has the task of investigating criminal offences committed by police personnel while on duty as well as cases concerning the death or injury of persons in police custody. </w:t>
      </w:r>
      <w:r w:rsidR="001C7D76">
        <w:rPr>
          <w:lang w:val="en-US"/>
        </w:rPr>
        <w:t>Hence,</w:t>
      </w:r>
      <w:r w:rsidR="001C7D76" w:rsidRPr="00902358">
        <w:rPr>
          <w:lang w:val="en-US"/>
        </w:rPr>
        <w:t xml:space="preserve"> since 1 January 2012</w:t>
      </w:r>
      <w:r w:rsidR="001C7D76">
        <w:rPr>
          <w:lang w:val="en-US"/>
        </w:rPr>
        <w:t>,</w:t>
      </w:r>
      <w:r w:rsidR="001C7D76" w:rsidRPr="00902358">
        <w:rPr>
          <w:lang w:val="en-US"/>
        </w:rPr>
        <w:t xml:space="preserve"> one single body has been handling complaints against the police and processing criminal cases against police officers</w:t>
      </w:r>
      <w:r w:rsidR="001C7D76">
        <w:rPr>
          <w:lang w:val="en-US"/>
        </w:rPr>
        <w:t>. This</w:t>
      </w:r>
      <w:r w:rsidR="001C7D76" w:rsidRPr="00902358">
        <w:rPr>
          <w:lang w:val="en-US"/>
        </w:rPr>
        <w:t xml:space="preserve"> ensure</w:t>
      </w:r>
      <w:r w:rsidR="001C7D76">
        <w:rPr>
          <w:lang w:val="en-US"/>
        </w:rPr>
        <w:t>s</w:t>
      </w:r>
      <w:r w:rsidR="001C7D76" w:rsidRPr="00902358">
        <w:rPr>
          <w:lang w:val="en-US"/>
        </w:rPr>
        <w:t xml:space="preserve"> that all cases are handled in the same manner, regardless of which police district the officers in question belong to. </w:t>
      </w:r>
    </w:p>
    <w:p w:rsidR="001C7D76" w:rsidRPr="00485AA9" w:rsidRDefault="00A11A9E" w:rsidP="00A11A9E">
      <w:pPr>
        <w:pStyle w:val="SingleTxtG"/>
        <w:rPr>
          <w:lang w:val="en-US"/>
        </w:rPr>
      </w:pPr>
      <w:r w:rsidRPr="00485AA9">
        <w:rPr>
          <w:lang w:val="en-US"/>
        </w:rPr>
        <w:t>122.</w:t>
      </w:r>
      <w:r w:rsidRPr="00485AA9">
        <w:rPr>
          <w:lang w:val="en-US"/>
        </w:rPr>
        <w:tab/>
      </w:r>
      <w:r w:rsidR="001C7D76" w:rsidRPr="00485AA9">
        <w:rPr>
          <w:lang w:val="en-US"/>
        </w:rPr>
        <w:t>However, it is still the regional public prosecutors or the Director of Public Prosecutions who decide whether criminal charges shall be raised against police personnel. The reason for this is that criminal charges against police officers should be handled according to the same guidelines as criminal charges against others. The question of whether to charge a police officer is therefore handled by an authority that has a broad-based expertise and experience in handling a variety of different criminal cases.</w:t>
      </w:r>
    </w:p>
    <w:p w:rsidR="001C7D76" w:rsidRPr="00692199" w:rsidRDefault="00D246BC" w:rsidP="00A11A9E">
      <w:pPr>
        <w:pStyle w:val="H4G"/>
        <w:rPr>
          <w:lang w:val="en-US"/>
        </w:rPr>
      </w:pPr>
      <w:r>
        <w:rPr>
          <w:lang w:val="en-US"/>
        </w:rPr>
        <w:tab/>
      </w:r>
      <w:r>
        <w:rPr>
          <w:lang w:val="en-US"/>
        </w:rPr>
        <w:tab/>
      </w:r>
      <w:r w:rsidR="001C7D76" w:rsidRPr="00692199">
        <w:rPr>
          <w:lang w:val="en-US"/>
        </w:rPr>
        <w:t>Pre-trial detention</w:t>
      </w:r>
    </w:p>
    <w:p w:rsidR="001C7D76" w:rsidRPr="00356BED" w:rsidRDefault="00A11A9E" w:rsidP="00A11A9E">
      <w:pPr>
        <w:pStyle w:val="SingleTxtG"/>
        <w:rPr>
          <w:lang w:val="en-US"/>
        </w:rPr>
      </w:pPr>
      <w:r w:rsidRPr="00356BED">
        <w:rPr>
          <w:lang w:val="en-US"/>
        </w:rPr>
        <w:t>123.</w:t>
      </w:r>
      <w:r w:rsidRPr="00356BED">
        <w:rPr>
          <w:lang w:val="en-US"/>
        </w:rPr>
        <w:tab/>
      </w:r>
      <w:r w:rsidR="001C7D76" w:rsidRPr="00356BED">
        <w:rPr>
          <w:lang w:val="en-US"/>
        </w:rPr>
        <w:t>The use of pre-trial detention is regulated by the provisions in sections 762-770 of the Administration of Justice Act. These provisions lay down clear conditions for the use of pre-trial detention. The provisions stipulate the following:</w:t>
      </w:r>
    </w:p>
    <w:p w:rsidR="001C7D76" w:rsidRPr="00BC5A91" w:rsidRDefault="00A11A9E" w:rsidP="00A11A9E">
      <w:pPr>
        <w:pStyle w:val="SingleTxtG"/>
      </w:pPr>
      <w:r w:rsidRPr="00BC5A91">
        <w:t>124.</w:t>
      </w:r>
      <w:r w:rsidRPr="00BC5A91">
        <w:tab/>
      </w:r>
      <w:r w:rsidR="001C7D76" w:rsidRPr="00BC5A91">
        <w:t>An accused person may be detained on remand when there is a substantiated suspicion that he has committed an offence which is subject to public prosecution, if, under the law, the offence may carry a penalty of imprisonment for one year and six months or more. Furthermore, an accused may only be detained if, based on the information obtained about the circumstances of the accused, there are specific reasons to presume that he will abscond from prosecution or enforcement, or if, based on the information obtained about the circumstances of the accused, there are specific reasons to fear that, if at large, he will commit another offence of the nature referred to above, or if, based on the circumstances of the case, there are specific reasons to presume that the accused will impede the prosecution of the case, particularly by removing evidence or alerting or influencing others.</w:t>
      </w:r>
    </w:p>
    <w:p w:rsidR="001C7D76" w:rsidRPr="00BC5A91" w:rsidRDefault="00A11A9E" w:rsidP="00A11A9E">
      <w:pPr>
        <w:pStyle w:val="SingleTxtG"/>
      </w:pPr>
      <w:r w:rsidRPr="00BC5A91">
        <w:t>125.</w:t>
      </w:r>
      <w:r w:rsidRPr="00BC5A91">
        <w:tab/>
      </w:r>
      <w:r w:rsidR="001C7D76" w:rsidRPr="00BC5A91">
        <w:t>Pre-trial detention may also be applied when there is a particularly confirmed suspicion that the accused has committed either an offence which is subject to public prosecution and may carry a penalty under the law of imprisonment for six years or more, and due regard for enforcement of the law is found to require, considering the seriousness of the offence, that the accused shall not be at large, or an offence in violation of certain specific sections of the Criminal Code (inter alia sexual offences and offences of violence against a person), in case the offence, considering the seriousness of the matter, can be expected to be punished with an unsuspended sentence of imprisonment for at least 60 days and due regard for enforcement of the law is found to require that the accused shall not be at large.</w:t>
      </w:r>
    </w:p>
    <w:p w:rsidR="001C7D76" w:rsidRPr="00D61358" w:rsidRDefault="00A11A9E" w:rsidP="00A11A9E">
      <w:pPr>
        <w:pStyle w:val="SingleTxtG"/>
      </w:pPr>
      <w:r w:rsidRPr="00D61358">
        <w:t>126.</w:t>
      </w:r>
      <w:r w:rsidRPr="00D61358">
        <w:tab/>
      </w:r>
      <w:r w:rsidR="001C7D76" w:rsidRPr="00D61358">
        <w:rPr>
          <w:spacing w:val="-1"/>
        </w:rPr>
        <w:t xml:space="preserve">An accused person may only be detained on remand if </w:t>
      </w:r>
      <w:r w:rsidR="001C7D76" w:rsidRPr="00D61358">
        <w:t xml:space="preserve">the offence can be expected to be punished with imprisonment for any term exceeding 30 days and if deprivation of liberty will not be disproportional to the resulting disruption of the circumstances of the accused, the significance of the case and the sanction that may be expected if the accused is found guilty. </w:t>
      </w:r>
    </w:p>
    <w:p w:rsidR="001C7D76" w:rsidRPr="00485AA9" w:rsidRDefault="00A11A9E" w:rsidP="00A11A9E">
      <w:pPr>
        <w:pStyle w:val="SingleTxtG"/>
      </w:pPr>
      <w:r w:rsidRPr="00485AA9">
        <w:t>127.</w:t>
      </w:r>
      <w:r w:rsidRPr="00485AA9">
        <w:tab/>
      </w:r>
      <w:r w:rsidR="001C7D76" w:rsidRPr="00485AA9">
        <w:t xml:space="preserve">The court decides, upon police request, if the accused shall be detained on remand. The court order shall stipulate a time limit for the length of the detention, except where the accused is not present in the country. The time limit shall be as short as possible and cannot exceed four weeks. The time limit may be extended by the court, but not by more than four weeks at a time. </w:t>
      </w:r>
    </w:p>
    <w:p w:rsidR="001C7D76" w:rsidRPr="00801AF7" w:rsidRDefault="00A11A9E" w:rsidP="00A11A9E">
      <w:pPr>
        <w:pStyle w:val="SingleTxtG"/>
        <w:rPr>
          <w:lang w:val="en-US"/>
        </w:rPr>
      </w:pPr>
      <w:r w:rsidRPr="00801AF7">
        <w:rPr>
          <w:lang w:val="en-US"/>
        </w:rPr>
        <w:t>128.</w:t>
      </w:r>
      <w:r w:rsidRPr="00801AF7">
        <w:rPr>
          <w:lang w:val="en-US"/>
        </w:rPr>
        <w:tab/>
      </w:r>
      <w:r w:rsidR="001C7D76" w:rsidRPr="00801AF7">
        <w:rPr>
          <w:spacing w:val="-1"/>
          <w:lang w:val="en-US"/>
        </w:rPr>
        <w:t xml:space="preserve">By Act </w:t>
      </w:r>
      <w:r w:rsidR="00434343" w:rsidRPr="00801AF7">
        <w:rPr>
          <w:spacing w:val="-1"/>
          <w:lang w:val="en-US"/>
        </w:rPr>
        <w:t>N</w:t>
      </w:r>
      <w:r w:rsidR="001C7D76" w:rsidRPr="00801AF7">
        <w:rPr>
          <w:spacing w:val="-1"/>
          <w:lang w:val="en-US"/>
        </w:rPr>
        <w:t>o. 493 of 17 June 2008 the Administration of Justice Act was amended inter alia in order to limit the use of long-term pre-trial detentions. The amendments meant that police requests for extension of the detention period must be submitted to the court in writing and must state the legal provision and the actual circumstances on which the request is based as well as the most substantial acts of investigation that is expected to be made. Furthermore, a new provision setting specific time limits for continuous pre-trial detention was introduced. According to this provision, pre-trial detention may, except in cases of exceptional circumstances (very exceptional circumstances if the detainee is under the age of</w:t>
      </w:r>
      <w:r w:rsidR="00801AF7" w:rsidRPr="00801AF7">
        <w:rPr>
          <w:spacing w:val="-1"/>
          <w:lang w:val="en-US"/>
        </w:rPr>
        <w:t> </w:t>
      </w:r>
      <w:r w:rsidR="001C7D76" w:rsidRPr="00801AF7">
        <w:rPr>
          <w:spacing w:val="-1"/>
          <w:lang w:val="en-US"/>
        </w:rPr>
        <w:t>18), not exceed 6 months (</w:t>
      </w:r>
      <w:r w:rsidR="001C7D76" w:rsidRPr="00801AF7">
        <w:t>4 months if the detainee is under the age of 18)</w:t>
      </w:r>
      <w:r w:rsidR="001C7D76" w:rsidRPr="00801AF7">
        <w:rPr>
          <w:spacing w:val="-1"/>
          <w:lang w:val="en-US"/>
        </w:rPr>
        <w:t xml:space="preserve"> if the accusation concerns an offence </w:t>
      </w:r>
      <w:r w:rsidR="001C7D76" w:rsidRPr="00801AF7">
        <w:rPr>
          <w:lang w:val="en-US"/>
        </w:rPr>
        <w:t xml:space="preserve">punishable by imprisonment for any term less than 6 years, and 1 year </w:t>
      </w:r>
      <w:r w:rsidR="001C7D76" w:rsidRPr="00801AF7">
        <w:rPr>
          <w:spacing w:val="-1"/>
          <w:lang w:val="en-US"/>
        </w:rPr>
        <w:t>(</w:t>
      </w:r>
      <w:r w:rsidR="001C7D76" w:rsidRPr="00801AF7">
        <w:t xml:space="preserve">8 months if the detainee is under the age of 18) </w:t>
      </w:r>
      <w:r w:rsidR="001C7D76" w:rsidRPr="00801AF7">
        <w:rPr>
          <w:lang w:val="en-US"/>
        </w:rPr>
        <w:t xml:space="preserve">if </w:t>
      </w:r>
      <w:r w:rsidR="001C7D76" w:rsidRPr="00801AF7">
        <w:rPr>
          <w:spacing w:val="-1"/>
          <w:lang w:val="en-US"/>
        </w:rPr>
        <w:t xml:space="preserve">the accusation concerns an offence </w:t>
      </w:r>
      <w:r w:rsidR="001C7D76" w:rsidRPr="00801AF7">
        <w:rPr>
          <w:lang w:val="en-US"/>
        </w:rPr>
        <w:t>punishable by imprisonment for 6 years or more. These time limits apply until criminal proceedings are initiated before the court.</w:t>
      </w:r>
    </w:p>
    <w:p w:rsidR="001C7D76" w:rsidRPr="00692199" w:rsidRDefault="00D246BC" w:rsidP="00A11A9E">
      <w:pPr>
        <w:pStyle w:val="H4G"/>
        <w:rPr>
          <w:lang w:val="en-US"/>
        </w:rPr>
      </w:pPr>
      <w:r>
        <w:rPr>
          <w:lang w:val="en-US"/>
        </w:rPr>
        <w:tab/>
      </w:r>
      <w:r>
        <w:rPr>
          <w:lang w:val="en-US"/>
        </w:rPr>
        <w:tab/>
      </w:r>
      <w:r w:rsidR="001C7D76" w:rsidRPr="00692199">
        <w:rPr>
          <w:lang w:val="en-US"/>
        </w:rPr>
        <w:t>Solitary confinement of minors</w:t>
      </w:r>
    </w:p>
    <w:p w:rsidR="001C7D76" w:rsidRPr="00485AA9" w:rsidRDefault="00A11A9E" w:rsidP="00A11A9E">
      <w:pPr>
        <w:pStyle w:val="SingleTxtG"/>
        <w:rPr>
          <w:lang w:val="en-US"/>
        </w:rPr>
      </w:pPr>
      <w:r w:rsidRPr="00485AA9">
        <w:rPr>
          <w:lang w:val="en-US"/>
        </w:rPr>
        <w:t>129.</w:t>
      </w:r>
      <w:r w:rsidRPr="00485AA9">
        <w:rPr>
          <w:lang w:val="en-US"/>
        </w:rPr>
        <w:tab/>
      </w:r>
      <w:r w:rsidR="001C7D76">
        <w:rPr>
          <w:lang w:val="en-US"/>
        </w:rPr>
        <w:t>T</w:t>
      </w:r>
      <w:r w:rsidR="001C7D76" w:rsidRPr="00485AA9">
        <w:rPr>
          <w:lang w:val="en-US"/>
        </w:rPr>
        <w:t>he Administration of Justice Act sets very strict conditions for the use of solitary confinement and was furthermore amended in 2006 with a view to reducing the number and length of instances of solitary confinement e.g. by introducing shorter time limits for solitary confinement</w:t>
      </w:r>
      <w:r w:rsidR="001C7D76">
        <w:rPr>
          <w:lang w:val="en-US"/>
        </w:rPr>
        <w:t xml:space="preserve"> (for further information</w:t>
      </w:r>
      <w:r w:rsidR="00F07732">
        <w:rPr>
          <w:lang w:val="en-US"/>
        </w:rPr>
        <w:t>,</w:t>
      </w:r>
      <w:r w:rsidR="001C7D76">
        <w:rPr>
          <w:lang w:val="en-US"/>
        </w:rPr>
        <w:t xml:space="preserve"> see below)</w:t>
      </w:r>
      <w:r w:rsidR="001C7D76" w:rsidRPr="00485AA9">
        <w:rPr>
          <w:lang w:val="en-US"/>
        </w:rPr>
        <w:t>.</w:t>
      </w:r>
    </w:p>
    <w:p w:rsidR="001C7D76" w:rsidRPr="00485AA9" w:rsidRDefault="00A11A9E" w:rsidP="00A11A9E">
      <w:pPr>
        <w:pStyle w:val="SingleTxtG"/>
        <w:rPr>
          <w:lang w:val="en-US"/>
        </w:rPr>
      </w:pPr>
      <w:r w:rsidRPr="00485AA9">
        <w:rPr>
          <w:lang w:val="en-US"/>
        </w:rPr>
        <w:t>130.</w:t>
      </w:r>
      <w:r w:rsidRPr="00485AA9">
        <w:rPr>
          <w:lang w:val="en-US"/>
        </w:rPr>
        <w:tab/>
      </w:r>
      <w:r w:rsidR="001C7D76" w:rsidRPr="00485AA9">
        <w:rPr>
          <w:color w:val="000000"/>
          <w:spacing w:val="3"/>
          <w:lang w:val="en-US"/>
        </w:rPr>
        <w:t xml:space="preserve">The Director of Public Prosecutions </w:t>
      </w:r>
      <w:r w:rsidR="001C7D76" w:rsidRPr="00485AA9">
        <w:rPr>
          <w:color w:val="000000"/>
          <w:lang w:val="en-US"/>
        </w:rPr>
        <w:t xml:space="preserve">prepares an annual report to the Ministry of Justice on the </w:t>
      </w:r>
      <w:r w:rsidR="001C7D76" w:rsidRPr="00485AA9">
        <w:rPr>
          <w:color w:val="000000"/>
          <w:spacing w:val="-2"/>
          <w:lang w:val="en-US"/>
        </w:rPr>
        <w:t xml:space="preserve">use of solitary confinement. It appears from </w:t>
      </w:r>
      <w:r w:rsidR="001C7D76">
        <w:rPr>
          <w:color w:val="000000"/>
          <w:spacing w:val="-2"/>
          <w:lang w:val="en-US"/>
        </w:rPr>
        <w:t xml:space="preserve">the 2014 report </w:t>
      </w:r>
      <w:r w:rsidR="001C7D76" w:rsidRPr="00485AA9">
        <w:rPr>
          <w:lang w:val="en-US"/>
        </w:rPr>
        <w:t xml:space="preserve">that in </w:t>
      </w:r>
      <w:r w:rsidR="001C7D76">
        <w:rPr>
          <w:lang w:val="en-US"/>
        </w:rPr>
        <w:t>the period between 2001 and 2014</w:t>
      </w:r>
      <w:r w:rsidR="001C7D76" w:rsidRPr="00485AA9">
        <w:rPr>
          <w:lang w:val="en-US"/>
        </w:rPr>
        <w:t xml:space="preserve"> the number of persons under the age of 18 held in solitary confinement during pre-trial detention has been between 0 and 6 persons per year, and that in the period from 2009 until 201</w:t>
      </w:r>
      <w:r w:rsidR="001C7D76">
        <w:rPr>
          <w:lang w:val="en-US"/>
        </w:rPr>
        <w:t>4</w:t>
      </w:r>
      <w:r w:rsidR="001C7D76" w:rsidRPr="00485AA9">
        <w:rPr>
          <w:lang w:val="en-US"/>
        </w:rPr>
        <w:t xml:space="preserve"> only one person under the age of 18 has been held in solitary confinement during pre-trial detention. In</w:t>
      </w:r>
      <w:r w:rsidR="001C7D76">
        <w:rPr>
          <w:lang w:val="en-US"/>
        </w:rPr>
        <w:t xml:space="preserve"> the period from 2006 until 2014</w:t>
      </w:r>
      <w:r w:rsidR="001C7D76" w:rsidRPr="00485AA9">
        <w:rPr>
          <w:lang w:val="en-US"/>
        </w:rPr>
        <w:t xml:space="preserve"> no person under the age of 18 </w:t>
      </w:r>
      <w:r w:rsidR="001C7D76">
        <w:rPr>
          <w:lang w:val="en-US"/>
        </w:rPr>
        <w:t>has</w:t>
      </w:r>
      <w:r w:rsidR="001C7D76" w:rsidRPr="00485AA9">
        <w:rPr>
          <w:lang w:val="en-US"/>
        </w:rPr>
        <w:t xml:space="preserve"> been held in solitary confinement for more than 4 weeks (the time limit set out in section 770 c (5) of the Administration of Justice Act), and only one person under the age of 18 </w:t>
      </w:r>
      <w:r w:rsidR="001C7D76">
        <w:rPr>
          <w:lang w:val="en-US"/>
        </w:rPr>
        <w:t>w</w:t>
      </w:r>
      <w:r w:rsidR="001C7D76" w:rsidRPr="00485AA9">
        <w:rPr>
          <w:lang w:val="en-US"/>
        </w:rPr>
        <w:t xml:space="preserve">as in the same period of time held in solitary confinement for more than 2 weeks. </w:t>
      </w:r>
    </w:p>
    <w:p w:rsidR="001C7D76" w:rsidRPr="00485AA9" w:rsidRDefault="00A11A9E" w:rsidP="00A11A9E">
      <w:pPr>
        <w:pStyle w:val="SingleTxtG"/>
        <w:rPr>
          <w:lang w:val="en-US"/>
        </w:rPr>
      </w:pPr>
      <w:r w:rsidRPr="00485AA9">
        <w:rPr>
          <w:lang w:val="en-US"/>
        </w:rPr>
        <w:t>131.</w:t>
      </w:r>
      <w:r w:rsidRPr="00485AA9">
        <w:rPr>
          <w:lang w:val="en-US"/>
        </w:rPr>
        <w:tab/>
      </w:r>
      <w:r w:rsidR="001C7D76">
        <w:rPr>
          <w:lang w:val="en-US"/>
        </w:rPr>
        <w:t xml:space="preserve">The Government is of the opinion that </w:t>
      </w:r>
      <w:r w:rsidR="001C7D76" w:rsidRPr="00485AA9">
        <w:rPr>
          <w:lang w:val="en-US"/>
        </w:rPr>
        <w:t xml:space="preserve">it </w:t>
      </w:r>
      <w:r w:rsidR="001C7D76">
        <w:rPr>
          <w:lang w:val="en-US"/>
        </w:rPr>
        <w:t xml:space="preserve">is </w:t>
      </w:r>
      <w:r w:rsidR="001C7D76" w:rsidRPr="00485AA9">
        <w:rPr>
          <w:lang w:val="en-US"/>
        </w:rPr>
        <w:t>necessary to have the possibility to resort to solitary confinement</w:t>
      </w:r>
      <w:r w:rsidR="00F07732">
        <w:rPr>
          <w:lang w:val="en-US"/>
        </w:rPr>
        <w:t>,</w:t>
      </w:r>
      <w:r w:rsidR="001C7D76" w:rsidRPr="00485AA9">
        <w:rPr>
          <w:lang w:val="en-US"/>
        </w:rPr>
        <w:t xml:space="preserve"> also </w:t>
      </w:r>
      <w:r w:rsidR="00F07732">
        <w:rPr>
          <w:lang w:val="en-US"/>
        </w:rPr>
        <w:t>for</w:t>
      </w:r>
      <w:r w:rsidR="00F07732" w:rsidRPr="00485AA9">
        <w:rPr>
          <w:lang w:val="en-US"/>
        </w:rPr>
        <w:t xml:space="preserve"> </w:t>
      </w:r>
      <w:r w:rsidR="001C7D76" w:rsidRPr="00485AA9">
        <w:rPr>
          <w:lang w:val="en-US"/>
        </w:rPr>
        <w:t xml:space="preserve">minors. </w:t>
      </w:r>
      <w:r w:rsidR="001C7D76" w:rsidRPr="00485AA9">
        <w:t xml:space="preserve">However, </w:t>
      </w:r>
      <w:r w:rsidR="001C7D76" w:rsidRPr="00485AA9">
        <w:rPr>
          <w:lang w:val="en-US"/>
        </w:rPr>
        <w:t xml:space="preserve">solitary confinement of persons under the age of 18 should be applied with particular restraint. Hence, the legislation stipulates that it can only be imposed in cases of very exceptional circumstances, and only if </w:t>
      </w:r>
      <w:r w:rsidR="001C7D76" w:rsidRPr="00485AA9">
        <w:t>the purpose cannot be achieved by less burdensome restrictions,</w:t>
      </w:r>
      <w:r w:rsidR="001C7D76" w:rsidRPr="00485AA9">
        <w:rPr>
          <w:lang w:val="en-US"/>
        </w:rPr>
        <w:t xml:space="preserve"> and if the measure </w:t>
      </w:r>
      <w:r w:rsidR="00167D5C">
        <w:rPr>
          <w:lang w:val="en-US"/>
        </w:rPr>
        <w:t>—</w:t>
      </w:r>
      <w:r w:rsidR="001C7D76" w:rsidRPr="00485AA9">
        <w:rPr>
          <w:lang w:val="en-US"/>
        </w:rPr>
        <w:t xml:space="preserve"> taking into account, where relevant, the particular burden which the exclusion may impose on the detainee, due to his or her youth, physical or mental vulnerability or other personal circumstances </w:t>
      </w:r>
      <w:r w:rsidR="00167D5C">
        <w:rPr>
          <w:lang w:val="en-US"/>
        </w:rPr>
        <w:t>—</w:t>
      </w:r>
      <w:r w:rsidR="001C7D76" w:rsidRPr="00485AA9">
        <w:rPr>
          <w:lang w:val="en-US"/>
        </w:rPr>
        <w:t xml:space="preserve"> is not </w:t>
      </w:r>
      <w:r w:rsidR="001C7D76" w:rsidRPr="00485AA9">
        <w:t xml:space="preserve">disproportionate in comparison with the importance of the case and the penalty which may be expected if the detainee is found guilty. </w:t>
      </w:r>
    </w:p>
    <w:p w:rsidR="001C7D76" w:rsidRPr="00D246BC" w:rsidRDefault="00D246BC" w:rsidP="00A11A9E">
      <w:pPr>
        <w:pStyle w:val="H23G"/>
      </w:pPr>
      <w:r>
        <w:rPr>
          <w:lang w:val="en-US" w:eastAsia="nb-NO"/>
        </w:rPr>
        <w:tab/>
      </w:r>
      <w:r>
        <w:rPr>
          <w:lang w:val="en-US" w:eastAsia="nb-NO"/>
        </w:rPr>
        <w:tab/>
      </w:r>
      <w:r w:rsidR="001C7D76" w:rsidRPr="00D246BC">
        <w:t xml:space="preserve">Reply to paragraph 14 of the </w:t>
      </w:r>
      <w:r w:rsidR="00FF0EDD">
        <w:t>list of issues</w:t>
      </w:r>
      <w:r w:rsidR="001C7D76" w:rsidRPr="00D246BC">
        <w:t xml:space="preserve"> [Ministry of Justice]</w:t>
      </w:r>
      <w:r w:rsidRPr="00D246BC">
        <w:t xml:space="preserve"> </w:t>
      </w:r>
      <w:r w:rsidR="00F07732">
        <w:t>on the u</w:t>
      </w:r>
      <w:r w:rsidR="001C7D76" w:rsidRPr="00D246BC">
        <w:t xml:space="preserve">se of solitary confinement during pre-trial detention </w:t>
      </w:r>
    </w:p>
    <w:p w:rsidR="001C7D76" w:rsidRDefault="00A11A9E" w:rsidP="00A11A9E">
      <w:pPr>
        <w:pStyle w:val="SingleTxtG"/>
        <w:rPr>
          <w:lang w:val="en-US"/>
        </w:rPr>
      </w:pPr>
      <w:r>
        <w:rPr>
          <w:lang w:val="en-US"/>
        </w:rPr>
        <w:t>132.</w:t>
      </w:r>
      <w:r>
        <w:rPr>
          <w:lang w:val="en-US"/>
        </w:rPr>
        <w:tab/>
      </w:r>
      <w:r w:rsidR="001C7D76" w:rsidRPr="001436BF">
        <w:rPr>
          <w:lang w:val="en-US"/>
        </w:rPr>
        <w:t xml:space="preserve">Reference is made to Denmark’s fifth periodic report </w:t>
      </w:r>
      <w:r w:rsidR="00682083">
        <w:rPr>
          <w:lang w:val="en-US"/>
        </w:rPr>
        <w:t xml:space="preserve">(see </w:t>
      </w:r>
      <w:r w:rsidR="001C7D76" w:rsidRPr="001436BF">
        <w:rPr>
          <w:lang w:val="en-US"/>
        </w:rPr>
        <w:t>paras. 242-253</w:t>
      </w:r>
      <w:r w:rsidR="00682083">
        <w:rPr>
          <w:lang w:val="en-US"/>
        </w:rPr>
        <w:t>)</w:t>
      </w:r>
      <w:r w:rsidR="001C7D76" w:rsidRPr="001436BF">
        <w:rPr>
          <w:lang w:val="en-US"/>
        </w:rPr>
        <w:t xml:space="preserve"> and subsequent information </w:t>
      </w:r>
      <w:r w:rsidR="001C7D76">
        <w:rPr>
          <w:lang w:val="en-US"/>
        </w:rPr>
        <w:t xml:space="preserve">provided by Denmark </w:t>
      </w:r>
      <w:r w:rsidR="001C7D76" w:rsidRPr="001436BF">
        <w:rPr>
          <w:lang w:val="en-US"/>
        </w:rPr>
        <w:t xml:space="preserve">on the implementation of the concluding observations </w:t>
      </w:r>
      <w:r w:rsidR="001C7D76">
        <w:rPr>
          <w:lang w:val="en-US"/>
        </w:rPr>
        <w:t>of</w:t>
      </w:r>
      <w:r w:rsidR="001C7D76" w:rsidRPr="001436BF">
        <w:rPr>
          <w:lang w:val="en-US"/>
        </w:rPr>
        <w:t xml:space="preserve"> the </w:t>
      </w:r>
      <w:r w:rsidR="00682083">
        <w:rPr>
          <w:lang w:val="en-US"/>
        </w:rPr>
        <w:t xml:space="preserve">Human Rights Council </w:t>
      </w:r>
      <w:r w:rsidR="001C7D76">
        <w:rPr>
          <w:lang w:val="en-US"/>
        </w:rPr>
        <w:t>from</w:t>
      </w:r>
      <w:r w:rsidR="001C7D76" w:rsidRPr="001436BF">
        <w:rPr>
          <w:lang w:val="en-US"/>
        </w:rPr>
        <w:t xml:space="preserve"> 2008</w:t>
      </w:r>
      <w:r w:rsidR="001C7D76">
        <w:rPr>
          <w:lang w:val="en-US"/>
        </w:rPr>
        <w:t>. This information</w:t>
      </w:r>
      <w:r w:rsidR="001C7D76" w:rsidRPr="001436BF">
        <w:rPr>
          <w:lang w:val="en-US"/>
        </w:rPr>
        <w:t xml:space="preserve"> describe</w:t>
      </w:r>
      <w:r w:rsidR="001C7D76">
        <w:rPr>
          <w:lang w:val="en-US"/>
        </w:rPr>
        <w:t>s in detail</w:t>
      </w:r>
      <w:r w:rsidR="001C7D76" w:rsidRPr="001436BF">
        <w:rPr>
          <w:lang w:val="en-US"/>
        </w:rPr>
        <w:t xml:space="preserve"> the legislation on </w:t>
      </w:r>
      <w:r w:rsidR="001C7D76" w:rsidRPr="001436BF">
        <w:rPr>
          <w:spacing w:val="-1"/>
          <w:lang w:val="en-US"/>
        </w:rPr>
        <w:t>exclusion of person</w:t>
      </w:r>
      <w:r w:rsidR="001C7D76" w:rsidRPr="00652BFC">
        <w:rPr>
          <w:spacing w:val="-1"/>
          <w:lang w:val="en-US"/>
        </w:rPr>
        <w:t>s</w:t>
      </w:r>
      <w:r w:rsidR="001C7D76" w:rsidRPr="00692199">
        <w:rPr>
          <w:spacing w:val="-1"/>
          <w:lang w:val="en-US"/>
        </w:rPr>
        <w:t xml:space="preserve"> held in pre-trial detention from association with other detainees (solitary confinement).</w:t>
      </w:r>
    </w:p>
    <w:p w:rsidR="001C7D76" w:rsidRPr="001436BF" w:rsidRDefault="00A11A9E" w:rsidP="00A11A9E">
      <w:pPr>
        <w:pStyle w:val="SingleTxtG"/>
        <w:rPr>
          <w:lang w:val="en-US"/>
        </w:rPr>
      </w:pPr>
      <w:r w:rsidRPr="001436BF">
        <w:rPr>
          <w:lang w:val="en-US"/>
        </w:rPr>
        <w:t>133.</w:t>
      </w:r>
      <w:r w:rsidRPr="001436BF">
        <w:rPr>
          <w:lang w:val="en-US"/>
        </w:rPr>
        <w:tab/>
      </w:r>
      <w:r w:rsidR="001C7D76" w:rsidRPr="001436BF">
        <w:rPr>
          <w:lang w:val="en-US"/>
        </w:rPr>
        <w:t>As stated in the above-mentioned information on the implementation of the recommendations, the</w:t>
      </w:r>
      <w:r w:rsidR="001C7D76">
        <w:rPr>
          <w:lang w:val="en-US"/>
        </w:rPr>
        <w:t>re</w:t>
      </w:r>
      <w:r w:rsidR="001C7D76" w:rsidRPr="001436BF">
        <w:rPr>
          <w:lang w:val="en-US"/>
        </w:rPr>
        <w:t xml:space="preserve"> is </w:t>
      </w:r>
      <w:r w:rsidR="001C7D76">
        <w:rPr>
          <w:lang w:val="en-US"/>
        </w:rPr>
        <w:t xml:space="preserve">a </w:t>
      </w:r>
      <w:r w:rsidR="001C7D76" w:rsidRPr="001436BF">
        <w:rPr>
          <w:lang w:val="en-US"/>
        </w:rPr>
        <w:t xml:space="preserve">focus on reducing the number and </w:t>
      </w:r>
      <w:r w:rsidR="001C7D76">
        <w:rPr>
          <w:lang w:val="en-US"/>
        </w:rPr>
        <w:t>duration</w:t>
      </w:r>
      <w:r w:rsidR="001C7D76" w:rsidRPr="001436BF">
        <w:rPr>
          <w:lang w:val="en-US"/>
        </w:rPr>
        <w:t xml:space="preserve"> of instances of solitary confinement during pre-trial detention. However, the Government also wishes to state that there are criminal cases where it is necessary to exclude a person held in pre-trial detention from association with other detainees. This is particularly so in criminal cases with professional, strongly organized elements and international connections.</w:t>
      </w:r>
      <w:r w:rsidR="00AF685F">
        <w:rPr>
          <w:lang w:val="en-US"/>
        </w:rPr>
        <w:t xml:space="preserve"> </w:t>
      </w:r>
    </w:p>
    <w:p w:rsidR="001C7D76" w:rsidRDefault="00A11A9E" w:rsidP="00A11A9E">
      <w:pPr>
        <w:pStyle w:val="SingleTxtG"/>
        <w:rPr>
          <w:lang w:val="en-US"/>
        </w:rPr>
      </w:pPr>
      <w:r>
        <w:rPr>
          <w:lang w:val="en-US"/>
        </w:rPr>
        <w:t>134.</w:t>
      </w:r>
      <w:r>
        <w:rPr>
          <w:lang w:val="en-US"/>
        </w:rPr>
        <w:tab/>
      </w:r>
      <w:r w:rsidR="001C7D76">
        <w:rPr>
          <w:lang w:val="en-US"/>
        </w:rPr>
        <w:t xml:space="preserve">As previously described, the </w:t>
      </w:r>
      <w:r w:rsidR="001C7D76" w:rsidRPr="00E8611B">
        <w:rPr>
          <w:lang w:val="en-US"/>
        </w:rPr>
        <w:t xml:space="preserve">Administration of Justice Act </w:t>
      </w:r>
      <w:r w:rsidR="001C7D76">
        <w:rPr>
          <w:lang w:val="en-US"/>
        </w:rPr>
        <w:t xml:space="preserve">was amended by Act </w:t>
      </w:r>
      <w:r w:rsidR="00434343">
        <w:rPr>
          <w:lang w:val="en-US"/>
        </w:rPr>
        <w:t>N</w:t>
      </w:r>
      <w:r w:rsidR="001C7D76" w:rsidRPr="00E8611B">
        <w:rPr>
          <w:lang w:val="en-US"/>
        </w:rPr>
        <w:t>o.</w:t>
      </w:r>
      <w:r w:rsidR="00682083">
        <w:rPr>
          <w:lang w:val="en-US"/>
        </w:rPr>
        <w:t> </w:t>
      </w:r>
      <w:r w:rsidR="001C7D76" w:rsidRPr="00E8611B">
        <w:rPr>
          <w:spacing w:val="-2"/>
          <w:lang w:val="en-US"/>
        </w:rPr>
        <w:t xml:space="preserve">1561 of 20 December </w:t>
      </w:r>
      <w:r w:rsidR="001C7D76" w:rsidRPr="00E8611B">
        <w:rPr>
          <w:lang w:val="en-US"/>
        </w:rPr>
        <w:t xml:space="preserve">2006 with a view to reducing the number and </w:t>
      </w:r>
      <w:r w:rsidR="001C7D76">
        <w:rPr>
          <w:lang w:val="en-US"/>
        </w:rPr>
        <w:t>duration</w:t>
      </w:r>
      <w:r w:rsidR="001C7D76" w:rsidRPr="00E8611B">
        <w:rPr>
          <w:lang w:val="en-US"/>
        </w:rPr>
        <w:t xml:space="preserve"> of instances of solitary confinement. </w:t>
      </w:r>
      <w:r w:rsidR="001C7D76">
        <w:rPr>
          <w:lang w:val="en-US"/>
        </w:rPr>
        <w:t xml:space="preserve">The new rules introduced shorter time limits for the use of solitary confinement, the requirement that a request for extension of solitary confinement must be submitted to the court in writing and must entail the grounds for the request, the requirement that the Director of Public Prosecutions must approve a request for extension of solitary confinement beyond 8 weeks (4 weeks if the person is under the age of 18) before it is submitted to the court and the enhanced possibility to secure evidence before the main proceedings. </w:t>
      </w:r>
      <w:r w:rsidR="001C7D76" w:rsidRPr="00E8611B">
        <w:rPr>
          <w:lang w:val="en-US"/>
        </w:rPr>
        <w:t xml:space="preserve">The act entered into force on 1 January 2007. </w:t>
      </w:r>
    </w:p>
    <w:p w:rsidR="001C7D76" w:rsidRPr="008D5675" w:rsidRDefault="00A11A9E" w:rsidP="00A11A9E">
      <w:pPr>
        <w:pStyle w:val="SingleTxtG"/>
        <w:rPr>
          <w:color w:val="000000"/>
          <w:spacing w:val="-2"/>
          <w:lang w:val="en-US"/>
        </w:rPr>
      </w:pPr>
      <w:r w:rsidRPr="008D5675">
        <w:rPr>
          <w:color w:val="000000"/>
          <w:spacing w:val="-2"/>
          <w:lang w:val="en-US"/>
        </w:rPr>
        <w:t>135.</w:t>
      </w:r>
      <w:r w:rsidRPr="008D5675">
        <w:rPr>
          <w:color w:val="000000"/>
          <w:spacing w:val="-2"/>
          <w:lang w:val="en-US"/>
        </w:rPr>
        <w:tab/>
      </w:r>
      <w:r w:rsidR="001C7D76" w:rsidRPr="008D5675">
        <w:rPr>
          <w:lang w:val="en-US"/>
        </w:rPr>
        <w:t>Following the adoption of the new rules, t</w:t>
      </w:r>
      <w:r w:rsidR="001C7D76" w:rsidRPr="008D5675">
        <w:rPr>
          <w:spacing w:val="2"/>
          <w:lang w:val="en-US"/>
        </w:rPr>
        <w:t xml:space="preserve">he Director of Public Prosecutions has sent out information and issued guidelines regarding the rules on solitary confinement. Furthermore, the Director of Public Prosecutions closely monitors the development of the use of solitary confinement. </w:t>
      </w:r>
      <w:r w:rsidR="001C7D76" w:rsidRPr="008D5675">
        <w:rPr>
          <w:color w:val="000000"/>
          <w:spacing w:val="3"/>
          <w:lang w:val="en-US"/>
        </w:rPr>
        <w:t xml:space="preserve">The Director of Public Prosecutions has thus collected information </w:t>
      </w:r>
      <w:r w:rsidR="008D5675" w:rsidRPr="002042FD">
        <w:rPr>
          <w:color w:val="000000"/>
          <w:spacing w:val="3"/>
          <w:lang w:val="en-US"/>
        </w:rPr>
        <w:t xml:space="preserve">quarterly </w:t>
      </w:r>
      <w:r w:rsidR="001C7D76" w:rsidRPr="008D5675">
        <w:rPr>
          <w:color w:val="000000"/>
          <w:spacing w:val="3"/>
          <w:lang w:val="en-US"/>
        </w:rPr>
        <w:t xml:space="preserve">from the Police Commissioners </w:t>
      </w:r>
      <w:r w:rsidR="001C7D76" w:rsidRPr="008D5675">
        <w:rPr>
          <w:color w:val="000000"/>
          <w:spacing w:val="2"/>
          <w:lang w:val="en-US"/>
        </w:rPr>
        <w:t xml:space="preserve">on all completed solitary confinements and prepared an annual report to the Ministry of Justice on the </w:t>
      </w:r>
      <w:r w:rsidR="001C7D76" w:rsidRPr="008D5675">
        <w:rPr>
          <w:color w:val="000000"/>
          <w:spacing w:val="-2"/>
          <w:lang w:val="en-US"/>
        </w:rPr>
        <w:t>use of solitary confinement.</w:t>
      </w:r>
    </w:p>
    <w:p w:rsidR="001E0E3B" w:rsidRDefault="00A11A9E" w:rsidP="00A11A9E">
      <w:pPr>
        <w:pStyle w:val="SingleTxtG"/>
        <w:rPr>
          <w:lang w:val="en-US"/>
        </w:rPr>
      </w:pPr>
      <w:r>
        <w:rPr>
          <w:lang w:val="en-US"/>
        </w:rPr>
        <w:t>136.</w:t>
      </w:r>
      <w:r>
        <w:rPr>
          <w:lang w:val="en-US"/>
        </w:rPr>
        <w:tab/>
      </w:r>
      <w:r w:rsidR="001C7D76" w:rsidRPr="00E8611B">
        <w:rPr>
          <w:color w:val="000000"/>
          <w:lang w:val="en-US"/>
        </w:rPr>
        <w:t>The annual report on the use</w:t>
      </w:r>
      <w:r w:rsidR="001C7D76">
        <w:rPr>
          <w:color w:val="000000"/>
          <w:lang w:val="en-US"/>
        </w:rPr>
        <w:t xml:space="preserve"> of solitary confinement in 2012 </w:t>
      </w:r>
      <w:r w:rsidR="001C7D76" w:rsidRPr="00E8611B">
        <w:rPr>
          <w:color w:val="000000"/>
          <w:lang w:val="en-US"/>
        </w:rPr>
        <w:t>was presented by the Director of Public Prosecution</w:t>
      </w:r>
      <w:r w:rsidR="001C7D76">
        <w:rPr>
          <w:color w:val="000000"/>
          <w:lang w:val="en-US"/>
        </w:rPr>
        <w:t>s on 22</w:t>
      </w:r>
      <w:r w:rsidR="001C7D76" w:rsidRPr="00E8611B">
        <w:rPr>
          <w:color w:val="000000"/>
          <w:lang w:val="en-US"/>
        </w:rPr>
        <w:t xml:space="preserve"> J</w:t>
      </w:r>
      <w:r w:rsidR="001C7D76">
        <w:rPr>
          <w:color w:val="000000"/>
          <w:lang w:val="en-US"/>
        </w:rPr>
        <w:t>anuary</w:t>
      </w:r>
      <w:r w:rsidR="001C7D76" w:rsidRPr="00E8611B">
        <w:rPr>
          <w:color w:val="000000"/>
          <w:lang w:val="en-US"/>
        </w:rPr>
        <w:t xml:space="preserve"> 201</w:t>
      </w:r>
      <w:r w:rsidR="001C7D76">
        <w:rPr>
          <w:color w:val="000000"/>
          <w:lang w:val="en-US"/>
        </w:rPr>
        <w:t>4</w:t>
      </w:r>
      <w:r w:rsidR="001C7D76" w:rsidRPr="00E8611B">
        <w:rPr>
          <w:color w:val="000000"/>
          <w:lang w:val="en-US"/>
        </w:rPr>
        <w:t>.</w:t>
      </w:r>
      <w:r w:rsidR="001C7D76">
        <w:rPr>
          <w:lang w:val="en-US"/>
        </w:rPr>
        <w:t xml:space="preserve"> </w:t>
      </w:r>
      <w:r w:rsidR="001C7D76" w:rsidRPr="00E8611B">
        <w:rPr>
          <w:lang w:val="en-US"/>
        </w:rPr>
        <w:t xml:space="preserve">It </w:t>
      </w:r>
      <w:r w:rsidR="001C7D76">
        <w:rPr>
          <w:lang w:val="en-US"/>
        </w:rPr>
        <w:t xml:space="preserve">appears from the report </w:t>
      </w:r>
      <w:r w:rsidR="001C7D76" w:rsidRPr="00E8611B">
        <w:rPr>
          <w:lang w:val="en-US"/>
        </w:rPr>
        <w:t xml:space="preserve">that the use of solitary confinement in general has decreased </w:t>
      </w:r>
      <w:r w:rsidR="001C7D76">
        <w:rPr>
          <w:lang w:val="en-US"/>
        </w:rPr>
        <w:t>by 76.1 percent</w:t>
      </w:r>
      <w:r w:rsidR="001C7D76" w:rsidRPr="00E8611B">
        <w:rPr>
          <w:lang w:val="en-US"/>
        </w:rPr>
        <w:t xml:space="preserve"> in</w:t>
      </w:r>
      <w:r w:rsidR="001C7D76">
        <w:rPr>
          <w:lang w:val="en-US"/>
        </w:rPr>
        <w:t xml:space="preserve"> the period from 2001 until 2012</w:t>
      </w:r>
      <w:r w:rsidR="001C7D76" w:rsidRPr="00E8611B">
        <w:rPr>
          <w:lang w:val="en-US"/>
        </w:rPr>
        <w:t xml:space="preserve">. </w:t>
      </w:r>
      <w:r w:rsidR="001C7D76">
        <w:rPr>
          <w:lang w:val="en-US"/>
        </w:rPr>
        <w:t>T</w:t>
      </w:r>
      <w:r w:rsidR="001C7D76" w:rsidRPr="00E8611B">
        <w:rPr>
          <w:lang w:val="en-US"/>
        </w:rPr>
        <w:t xml:space="preserve">he number </w:t>
      </w:r>
      <w:r w:rsidR="001C7D76">
        <w:rPr>
          <w:lang w:val="en-US"/>
        </w:rPr>
        <w:t>of solitary confinements in 2012, i.e. 132, is</w:t>
      </w:r>
      <w:r w:rsidR="001C7D76" w:rsidRPr="00E8611B">
        <w:rPr>
          <w:lang w:val="en-US"/>
        </w:rPr>
        <w:t xml:space="preserve"> the second lowest since 2001. </w:t>
      </w:r>
      <w:r w:rsidR="001C7D76">
        <w:rPr>
          <w:lang w:val="en-US"/>
        </w:rPr>
        <w:t xml:space="preserve">No persons under the age of 18 were placed in solitary confinement in 2012. </w:t>
      </w:r>
      <w:r w:rsidR="001C7D76" w:rsidRPr="00600C17">
        <w:rPr>
          <w:lang w:val="en-US"/>
        </w:rPr>
        <w:t>Furthermore, according to the report the average duration of solitary confinement has been decreasing since 2003, though the average duration was</w:t>
      </w:r>
      <w:r w:rsidR="001E0E3B">
        <w:rPr>
          <w:lang w:val="en-US"/>
        </w:rPr>
        <w:t xml:space="preserve"> </w:t>
      </w:r>
      <w:r w:rsidR="001E0E3B" w:rsidRPr="00600C17">
        <w:rPr>
          <w:lang w:val="en-US"/>
        </w:rPr>
        <w:t>the same in 2010-2012</w:t>
      </w:r>
      <w:r w:rsidR="001E0E3B">
        <w:rPr>
          <w:lang w:val="en-US"/>
        </w:rPr>
        <w:t>.</w:t>
      </w:r>
    </w:p>
    <w:p w:rsidR="001C7D76" w:rsidRDefault="00A11A9E" w:rsidP="00A11A9E">
      <w:pPr>
        <w:pStyle w:val="SingleTxtG"/>
        <w:rPr>
          <w:color w:val="000000"/>
          <w:lang w:val="en-US"/>
        </w:rPr>
      </w:pPr>
      <w:r>
        <w:rPr>
          <w:color w:val="000000"/>
          <w:lang w:val="en-US"/>
        </w:rPr>
        <w:t>137.</w:t>
      </w:r>
      <w:r>
        <w:rPr>
          <w:color w:val="000000"/>
          <w:lang w:val="en-US"/>
        </w:rPr>
        <w:tab/>
      </w:r>
      <w:r w:rsidR="001C7D76" w:rsidRPr="00E8611B">
        <w:rPr>
          <w:rStyle w:val="hps"/>
          <w:color w:val="000000"/>
          <w:szCs w:val="24"/>
          <w:lang w:val="en-US"/>
        </w:rPr>
        <w:t>As part of</w:t>
      </w:r>
      <w:r w:rsidR="001C7D76" w:rsidRPr="00E8611B">
        <w:rPr>
          <w:color w:val="000000"/>
          <w:lang w:val="en-US"/>
        </w:rPr>
        <w:t xml:space="preserve"> </w:t>
      </w:r>
      <w:r w:rsidR="001C7D76">
        <w:rPr>
          <w:rStyle w:val="hps"/>
          <w:color w:val="000000"/>
          <w:szCs w:val="24"/>
          <w:lang w:val="en-US"/>
        </w:rPr>
        <w:t>a</w:t>
      </w:r>
      <w:r w:rsidR="001C7D76" w:rsidRPr="00E8611B">
        <w:rPr>
          <w:rStyle w:val="hps"/>
          <w:color w:val="000000"/>
          <w:szCs w:val="24"/>
          <w:lang w:val="en-US"/>
        </w:rPr>
        <w:t xml:space="preserve"> general improvement</w:t>
      </w:r>
      <w:r w:rsidR="001C7D76" w:rsidRPr="00E8611B">
        <w:rPr>
          <w:color w:val="000000"/>
          <w:lang w:val="en-US"/>
        </w:rPr>
        <w:t xml:space="preserve"> </w:t>
      </w:r>
      <w:r w:rsidR="001C7D76" w:rsidRPr="00E8611B">
        <w:rPr>
          <w:rStyle w:val="hps"/>
          <w:color w:val="000000"/>
          <w:szCs w:val="24"/>
          <w:lang w:val="en-US"/>
        </w:rPr>
        <w:t>of the</w:t>
      </w:r>
      <w:r w:rsidR="001C7D76" w:rsidRPr="00E8611B">
        <w:rPr>
          <w:color w:val="000000"/>
          <w:lang w:val="en-US"/>
        </w:rPr>
        <w:t xml:space="preserve"> </w:t>
      </w:r>
      <w:r w:rsidR="001C7D76" w:rsidRPr="00E8611B">
        <w:rPr>
          <w:rStyle w:val="hps"/>
          <w:color w:val="000000"/>
          <w:szCs w:val="24"/>
          <w:lang w:val="en-US"/>
        </w:rPr>
        <w:t>supervision</w:t>
      </w:r>
      <w:r w:rsidR="001C7D76" w:rsidRPr="00E8611B">
        <w:rPr>
          <w:color w:val="000000"/>
          <w:lang w:val="en-US"/>
        </w:rPr>
        <w:t xml:space="preserve"> </w:t>
      </w:r>
      <w:r w:rsidR="001C7D76" w:rsidRPr="00E8611B">
        <w:rPr>
          <w:rStyle w:val="hps"/>
          <w:color w:val="000000"/>
          <w:szCs w:val="24"/>
          <w:lang w:val="en-US"/>
        </w:rPr>
        <w:t>of</w:t>
      </w:r>
      <w:r w:rsidR="001C7D76" w:rsidRPr="00E8611B">
        <w:rPr>
          <w:color w:val="000000"/>
          <w:lang w:val="en-US"/>
        </w:rPr>
        <w:t xml:space="preserve"> </w:t>
      </w:r>
      <w:r w:rsidR="001C7D76" w:rsidRPr="00E8611B">
        <w:rPr>
          <w:rStyle w:val="hps"/>
          <w:color w:val="000000"/>
          <w:szCs w:val="24"/>
          <w:lang w:val="en-US"/>
        </w:rPr>
        <w:t>the prosecution service</w:t>
      </w:r>
      <w:r w:rsidR="001C7D76" w:rsidRPr="001E2AC7">
        <w:rPr>
          <w:color w:val="000000"/>
          <w:lang w:val="en-US"/>
        </w:rPr>
        <w:t xml:space="preserve"> </w:t>
      </w:r>
      <w:r w:rsidR="001C7D76">
        <w:rPr>
          <w:color w:val="000000"/>
          <w:lang w:val="en-US"/>
        </w:rPr>
        <w:t>in February 2012</w:t>
      </w:r>
      <w:r w:rsidR="001C7D76">
        <w:rPr>
          <w:rStyle w:val="hps"/>
          <w:color w:val="000000"/>
          <w:szCs w:val="24"/>
          <w:lang w:val="en-US"/>
        </w:rPr>
        <w:t>,</w:t>
      </w:r>
      <w:r w:rsidR="001C7D76" w:rsidRPr="00E8611B">
        <w:rPr>
          <w:color w:val="000000"/>
          <w:lang w:val="en-US"/>
        </w:rPr>
        <w:t xml:space="preserve"> </w:t>
      </w:r>
      <w:r w:rsidR="001C7D76">
        <w:rPr>
          <w:color w:val="000000"/>
          <w:lang w:val="en-US"/>
        </w:rPr>
        <w:t>t</w:t>
      </w:r>
      <w:r w:rsidR="001C7D76" w:rsidRPr="00E8611B">
        <w:rPr>
          <w:color w:val="000000"/>
          <w:lang w:val="en-US"/>
        </w:rPr>
        <w:t>he Director of Publi</w:t>
      </w:r>
      <w:r w:rsidR="001C7D76">
        <w:rPr>
          <w:color w:val="000000"/>
          <w:lang w:val="en-US"/>
        </w:rPr>
        <w:t xml:space="preserve">c Prosecutions </w:t>
      </w:r>
      <w:r w:rsidR="001C7D76" w:rsidRPr="00E8611B">
        <w:rPr>
          <w:rStyle w:val="hps"/>
          <w:color w:val="000000"/>
          <w:szCs w:val="24"/>
          <w:lang w:val="en-US"/>
        </w:rPr>
        <w:t>adjusted</w:t>
      </w:r>
      <w:r w:rsidR="001C7D76" w:rsidRPr="00E8611B">
        <w:rPr>
          <w:color w:val="000000"/>
          <w:lang w:val="en-US"/>
        </w:rPr>
        <w:t xml:space="preserve"> the </w:t>
      </w:r>
      <w:r w:rsidR="001C7D76" w:rsidRPr="00E8611B">
        <w:rPr>
          <w:rStyle w:val="hps"/>
          <w:color w:val="000000"/>
          <w:szCs w:val="24"/>
          <w:lang w:val="en-US"/>
        </w:rPr>
        <w:t>reporting</w:t>
      </w:r>
      <w:r w:rsidR="001C7D76" w:rsidRPr="00E8611B">
        <w:rPr>
          <w:color w:val="000000"/>
          <w:lang w:val="en-US"/>
        </w:rPr>
        <w:t xml:space="preserve"> </w:t>
      </w:r>
      <w:r w:rsidR="001C7D76" w:rsidRPr="00E8611B">
        <w:rPr>
          <w:rStyle w:val="hps"/>
          <w:color w:val="000000"/>
          <w:szCs w:val="24"/>
          <w:lang w:val="en-US"/>
        </w:rPr>
        <w:t>system o</w:t>
      </w:r>
      <w:r w:rsidR="003C46EF">
        <w:rPr>
          <w:rStyle w:val="hps"/>
          <w:color w:val="000000"/>
          <w:szCs w:val="24"/>
          <w:lang w:val="en-US"/>
        </w:rPr>
        <w:t>n</w:t>
      </w:r>
      <w:r w:rsidR="001C7D76" w:rsidRPr="00E8611B">
        <w:rPr>
          <w:color w:val="000000"/>
          <w:lang w:val="en-US"/>
        </w:rPr>
        <w:t xml:space="preserve"> the use of </w:t>
      </w:r>
      <w:r w:rsidR="001C7D76" w:rsidRPr="00E8611B">
        <w:rPr>
          <w:rStyle w:val="hps"/>
          <w:color w:val="000000"/>
          <w:szCs w:val="24"/>
          <w:lang w:val="en-US"/>
        </w:rPr>
        <w:t xml:space="preserve">solitary confinement. </w:t>
      </w:r>
      <w:r w:rsidR="001C7D76" w:rsidRPr="00E8611B">
        <w:rPr>
          <w:color w:val="000000"/>
          <w:lang w:val="en-US"/>
        </w:rPr>
        <w:t xml:space="preserve">The Police Commissioners now send the </w:t>
      </w:r>
      <w:r w:rsidR="001C7D76" w:rsidRPr="00E8611B">
        <w:rPr>
          <w:rStyle w:val="hps"/>
          <w:color w:val="000000"/>
          <w:szCs w:val="24"/>
          <w:lang w:val="en-US"/>
        </w:rPr>
        <w:t>quarterly statistical</w:t>
      </w:r>
      <w:r w:rsidR="001C7D76" w:rsidRPr="00E8611B">
        <w:rPr>
          <w:color w:val="000000"/>
          <w:lang w:val="en-US"/>
        </w:rPr>
        <w:t xml:space="preserve"> information </w:t>
      </w:r>
      <w:r w:rsidR="001C7D76" w:rsidRPr="00E8611B">
        <w:rPr>
          <w:rStyle w:val="hps"/>
          <w:color w:val="000000"/>
          <w:szCs w:val="24"/>
          <w:lang w:val="en-US"/>
        </w:rPr>
        <w:t>on completed</w:t>
      </w:r>
      <w:r w:rsidR="001C7D76" w:rsidRPr="00E8611B">
        <w:rPr>
          <w:color w:val="000000"/>
          <w:lang w:val="en-US"/>
        </w:rPr>
        <w:t xml:space="preserve"> </w:t>
      </w:r>
      <w:r w:rsidR="001C7D76" w:rsidRPr="00E8611B">
        <w:rPr>
          <w:rStyle w:val="hps"/>
          <w:color w:val="000000"/>
          <w:szCs w:val="24"/>
          <w:lang w:val="en-US"/>
        </w:rPr>
        <w:t>solitary confinement</w:t>
      </w:r>
      <w:r w:rsidR="001C7D76" w:rsidRPr="00E8611B">
        <w:rPr>
          <w:color w:val="000000"/>
          <w:lang w:val="en-US"/>
        </w:rPr>
        <w:t xml:space="preserve"> </w:t>
      </w:r>
      <w:r w:rsidR="001C7D76" w:rsidRPr="00E8611B">
        <w:rPr>
          <w:rStyle w:val="hps"/>
          <w:color w:val="000000"/>
          <w:szCs w:val="24"/>
          <w:lang w:val="en-US"/>
        </w:rPr>
        <w:t xml:space="preserve">to the Regional State Prosecutors, so that </w:t>
      </w:r>
      <w:r w:rsidR="001C7D76">
        <w:rPr>
          <w:rStyle w:val="hps"/>
          <w:color w:val="000000"/>
          <w:szCs w:val="24"/>
          <w:lang w:val="en-US"/>
        </w:rPr>
        <w:t>t</w:t>
      </w:r>
      <w:r w:rsidR="001C7D76" w:rsidRPr="00E8611B">
        <w:rPr>
          <w:rStyle w:val="hps"/>
          <w:color w:val="000000"/>
          <w:szCs w:val="24"/>
          <w:lang w:val="en-US"/>
        </w:rPr>
        <w:t>he Regional</w:t>
      </w:r>
      <w:r w:rsidR="001C7D76" w:rsidRPr="00E8611B">
        <w:rPr>
          <w:color w:val="000000"/>
          <w:lang w:val="en-US"/>
        </w:rPr>
        <w:t xml:space="preserve"> State Prosecutors </w:t>
      </w:r>
      <w:r w:rsidR="001C7D76" w:rsidRPr="00E8611B">
        <w:rPr>
          <w:rStyle w:val="hps"/>
          <w:color w:val="000000"/>
          <w:szCs w:val="24"/>
          <w:lang w:val="en-US"/>
        </w:rPr>
        <w:t>can</w:t>
      </w:r>
      <w:r w:rsidR="001C7D76" w:rsidRPr="00E8611B">
        <w:rPr>
          <w:color w:val="000000"/>
          <w:lang w:val="en-US"/>
        </w:rPr>
        <w:t xml:space="preserve"> use</w:t>
      </w:r>
      <w:r w:rsidR="001C7D76" w:rsidRPr="00E8611B">
        <w:rPr>
          <w:rStyle w:val="hps"/>
          <w:color w:val="000000"/>
          <w:szCs w:val="24"/>
          <w:lang w:val="en-US"/>
        </w:rPr>
        <w:t xml:space="preserve"> the information in</w:t>
      </w:r>
      <w:r w:rsidR="001C7D76" w:rsidRPr="00E8611B">
        <w:rPr>
          <w:color w:val="000000"/>
          <w:lang w:val="en-US"/>
        </w:rPr>
        <w:t xml:space="preserve"> </w:t>
      </w:r>
      <w:r w:rsidR="001C7D76" w:rsidRPr="00E8611B">
        <w:rPr>
          <w:rStyle w:val="hps"/>
          <w:color w:val="000000"/>
          <w:szCs w:val="24"/>
          <w:lang w:val="en-US"/>
        </w:rPr>
        <w:t>the general</w:t>
      </w:r>
      <w:r w:rsidR="001C7D76" w:rsidRPr="00E8611B">
        <w:rPr>
          <w:color w:val="000000"/>
          <w:lang w:val="en-US"/>
        </w:rPr>
        <w:t xml:space="preserve"> </w:t>
      </w:r>
      <w:r w:rsidR="001C7D76" w:rsidRPr="00E8611B">
        <w:rPr>
          <w:rStyle w:val="hps"/>
          <w:color w:val="000000"/>
          <w:szCs w:val="24"/>
          <w:lang w:val="en-US"/>
        </w:rPr>
        <w:t>supervision of</w:t>
      </w:r>
      <w:r w:rsidR="001C7D76" w:rsidRPr="00E8611B">
        <w:rPr>
          <w:color w:val="000000"/>
          <w:lang w:val="en-US"/>
        </w:rPr>
        <w:t xml:space="preserve"> </w:t>
      </w:r>
      <w:r w:rsidR="001C7D76" w:rsidRPr="00E8611B">
        <w:rPr>
          <w:rStyle w:val="hps"/>
          <w:color w:val="000000"/>
          <w:szCs w:val="24"/>
          <w:lang w:val="en-US"/>
        </w:rPr>
        <w:t>the police and prosecution districts</w:t>
      </w:r>
      <w:r w:rsidR="001C7D76" w:rsidRPr="00E8611B">
        <w:rPr>
          <w:color w:val="000000"/>
          <w:lang w:val="en-US"/>
        </w:rPr>
        <w:t xml:space="preserve">. </w:t>
      </w:r>
      <w:r w:rsidR="001C7D76" w:rsidRPr="00E8611B">
        <w:rPr>
          <w:rStyle w:val="hps"/>
          <w:color w:val="000000"/>
          <w:szCs w:val="24"/>
          <w:lang w:val="en-US"/>
        </w:rPr>
        <w:t xml:space="preserve">The </w:t>
      </w:r>
      <w:r w:rsidR="001C7D76">
        <w:rPr>
          <w:rStyle w:val="hps"/>
          <w:color w:val="000000"/>
          <w:szCs w:val="24"/>
          <w:lang w:val="en-US"/>
        </w:rPr>
        <w:t>R</w:t>
      </w:r>
      <w:r w:rsidR="001C7D76" w:rsidRPr="00E8611B">
        <w:rPr>
          <w:rStyle w:val="hps"/>
          <w:color w:val="000000"/>
          <w:szCs w:val="24"/>
          <w:lang w:val="en-US"/>
        </w:rPr>
        <w:t>egional</w:t>
      </w:r>
      <w:r w:rsidR="001C7D76" w:rsidRPr="00E8611B">
        <w:rPr>
          <w:color w:val="000000"/>
          <w:lang w:val="en-US"/>
        </w:rPr>
        <w:t xml:space="preserve"> State Prosecutors </w:t>
      </w:r>
      <w:r w:rsidR="001C7D76" w:rsidRPr="00E8611B">
        <w:rPr>
          <w:rStyle w:val="hps"/>
          <w:color w:val="000000"/>
          <w:szCs w:val="24"/>
          <w:lang w:val="en-US"/>
        </w:rPr>
        <w:t>must in an annual report</w:t>
      </w:r>
      <w:r w:rsidR="001C7D76" w:rsidRPr="00E8611B">
        <w:rPr>
          <w:color w:val="000000"/>
          <w:lang w:val="en-US"/>
        </w:rPr>
        <w:t xml:space="preserve"> </w:t>
      </w:r>
      <w:r w:rsidR="001C7D76" w:rsidRPr="00E8611B">
        <w:rPr>
          <w:rStyle w:val="hps"/>
          <w:color w:val="000000"/>
          <w:szCs w:val="24"/>
          <w:lang w:val="en-US"/>
        </w:rPr>
        <w:t>to the Director of Public Prosecutions account for</w:t>
      </w:r>
      <w:r w:rsidR="001C7D76" w:rsidRPr="00E8611B">
        <w:rPr>
          <w:color w:val="000000"/>
          <w:lang w:val="en-US"/>
        </w:rPr>
        <w:t xml:space="preserve"> </w:t>
      </w:r>
      <w:r w:rsidR="001C7D76" w:rsidRPr="00E8611B">
        <w:rPr>
          <w:rStyle w:val="hps"/>
          <w:color w:val="000000"/>
          <w:szCs w:val="24"/>
          <w:lang w:val="en-US"/>
        </w:rPr>
        <w:t>changes in the number</w:t>
      </w:r>
      <w:r w:rsidR="001C7D76" w:rsidRPr="00E8611B">
        <w:rPr>
          <w:color w:val="000000"/>
          <w:lang w:val="en-US"/>
        </w:rPr>
        <w:t xml:space="preserve"> </w:t>
      </w:r>
      <w:r w:rsidR="001C7D76" w:rsidRPr="00E8611B">
        <w:rPr>
          <w:rStyle w:val="hps"/>
          <w:color w:val="000000"/>
          <w:szCs w:val="24"/>
          <w:lang w:val="en-US"/>
        </w:rPr>
        <w:t>and duration of</w:t>
      </w:r>
      <w:r w:rsidR="001C7D76" w:rsidRPr="00E8611B">
        <w:rPr>
          <w:color w:val="000000"/>
          <w:lang w:val="en-US"/>
        </w:rPr>
        <w:t xml:space="preserve"> </w:t>
      </w:r>
      <w:r w:rsidR="001C7D76" w:rsidRPr="00E8611B">
        <w:rPr>
          <w:rStyle w:val="hps"/>
          <w:color w:val="000000"/>
          <w:szCs w:val="24"/>
          <w:lang w:val="en-US"/>
        </w:rPr>
        <w:t>solitary confinement</w:t>
      </w:r>
      <w:r w:rsidR="001C7D76">
        <w:rPr>
          <w:color w:val="000000"/>
          <w:lang w:val="en-US"/>
        </w:rPr>
        <w:t>;</w:t>
      </w:r>
      <w:r w:rsidR="001C7D76" w:rsidRPr="00E8611B">
        <w:rPr>
          <w:color w:val="000000"/>
          <w:lang w:val="en-US"/>
        </w:rPr>
        <w:t xml:space="preserve"> </w:t>
      </w:r>
      <w:r w:rsidR="001C7D76" w:rsidRPr="00E8611B">
        <w:rPr>
          <w:rStyle w:val="hps"/>
          <w:color w:val="000000"/>
          <w:szCs w:val="24"/>
          <w:lang w:val="en-US"/>
        </w:rPr>
        <w:t>the reasons for the development</w:t>
      </w:r>
      <w:r w:rsidR="001C7D76">
        <w:rPr>
          <w:rStyle w:val="hps"/>
          <w:color w:val="000000"/>
          <w:szCs w:val="24"/>
          <w:lang w:val="en-US"/>
        </w:rPr>
        <w:t>;</w:t>
      </w:r>
      <w:r w:rsidR="001C7D76" w:rsidRPr="00E8611B">
        <w:rPr>
          <w:rStyle w:val="hps"/>
          <w:color w:val="000000"/>
          <w:szCs w:val="24"/>
          <w:lang w:val="en-US"/>
        </w:rPr>
        <w:t xml:space="preserve"> and actions initiated in order to</w:t>
      </w:r>
      <w:r w:rsidR="001C7D76" w:rsidRPr="00E8611B">
        <w:rPr>
          <w:color w:val="000000"/>
          <w:lang w:val="en-US"/>
        </w:rPr>
        <w:t xml:space="preserve"> </w:t>
      </w:r>
      <w:r w:rsidR="001C7D76" w:rsidRPr="00E8611B">
        <w:rPr>
          <w:rStyle w:val="hps"/>
          <w:color w:val="000000"/>
          <w:szCs w:val="24"/>
          <w:lang w:val="en-US"/>
        </w:rPr>
        <w:t>limit the number of solitary confinements.</w:t>
      </w:r>
    </w:p>
    <w:p w:rsidR="001C7D76" w:rsidRPr="008D5675" w:rsidRDefault="00A11A9E" w:rsidP="00A11A9E">
      <w:pPr>
        <w:pStyle w:val="SingleTxtG"/>
        <w:rPr>
          <w:lang w:val="en-US"/>
        </w:rPr>
      </w:pPr>
      <w:r w:rsidRPr="008D5675">
        <w:rPr>
          <w:lang w:val="en-US"/>
        </w:rPr>
        <w:t>138.</w:t>
      </w:r>
      <w:r w:rsidRPr="008D5675">
        <w:rPr>
          <w:lang w:val="en-US"/>
        </w:rPr>
        <w:tab/>
      </w:r>
      <w:r w:rsidR="001C7D76" w:rsidRPr="008D5675">
        <w:rPr>
          <w:rStyle w:val="hps"/>
          <w:color w:val="000000"/>
          <w:szCs w:val="24"/>
          <w:lang w:val="en-US"/>
        </w:rPr>
        <w:t>The Director of Public Prosecutions has</w:t>
      </w:r>
      <w:r w:rsidR="001C7D76" w:rsidRPr="008D5675">
        <w:rPr>
          <w:lang w:val="en-US"/>
        </w:rPr>
        <w:t xml:space="preserve"> </w:t>
      </w:r>
      <w:r w:rsidR="001C7D76" w:rsidRPr="008D5675">
        <w:rPr>
          <w:rStyle w:val="hps"/>
          <w:color w:val="000000"/>
          <w:szCs w:val="24"/>
          <w:lang w:val="en-US"/>
        </w:rPr>
        <w:t>developed a</w:t>
      </w:r>
      <w:r w:rsidR="001C7D76" w:rsidRPr="008D5675">
        <w:rPr>
          <w:lang w:val="en-US"/>
        </w:rPr>
        <w:t xml:space="preserve"> </w:t>
      </w:r>
      <w:r w:rsidR="001C7D76" w:rsidRPr="008D5675">
        <w:rPr>
          <w:rStyle w:val="hps"/>
          <w:color w:val="000000"/>
          <w:szCs w:val="24"/>
          <w:lang w:val="en-US"/>
        </w:rPr>
        <w:t>new electronic application</w:t>
      </w:r>
      <w:r w:rsidR="001C7D76" w:rsidRPr="008D5675">
        <w:rPr>
          <w:lang w:val="en-US"/>
        </w:rPr>
        <w:t xml:space="preserve"> in the </w:t>
      </w:r>
      <w:r w:rsidR="001C7D76" w:rsidRPr="008D5675">
        <w:rPr>
          <w:rStyle w:val="hps"/>
          <w:color w:val="000000"/>
          <w:szCs w:val="24"/>
          <w:lang w:val="en-US"/>
        </w:rPr>
        <w:t>management information</w:t>
      </w:r>
      <w:r w:rsidR="001C7D76" w:rsidRPr="008D5675">
        <w:rPr>
          <w:lang w:val="en-US"/>
        </w:rPr>
        <w:t xml:space="preserve"> </w:t>
      </w:r>
      <w:r w:rsidR="001C7D76" w:rsidRPr="008D5675">
        <w:rPr>
          <w:rStyle w:val="hps"/>
          <w:color w:val="000000"/>
          <w:szCs w:val="24"/>
          <w:lang w:val="en-US"/>
        </w:rPr>
        <w:t>tool which</w:t>
      </w:r>
      <w:r w:rsidR="001C7D76" w:rsidRPr="008D5675">
        <w:rPr>
          <w:lang w:val="en-US"/>
        </w:rPr>
        <w:t xml:space="preserve"> </w:t>
      </w:r>
      <w:r w:rsidR="001C7D76" w:rsidRPr="008D5675">
        <w:rPr>
          <w:rStyle w:val="hps"/>
          <w:color w:val="000000"/>
          <w:szCs w:val="24"/>
          <w:lang w:val="en-US"/>
        </w:rPr>
        <w:t>means that</w:t>
      </w:r>
      <w:r w:rsidR="001C7D76" w:rsidRPr="008D5675">
        <w:rPr>
          <w:lang w:val="en-US"/>
        </w:rPr>
        <w:t xml:space="preserve"> </w:t>
      </w:r>
      <w:r w:rsidR="001C7D76" w:rsidRPr="008D5675">
        <w:rPr>
          <w:rStyle w:val="hps"/>
          <w:color w:val="000000"/>
          <w:szCs w:val="24"/>
          <w:lang w:val="en-US"/>
        </w:rPr>
        <w:t>the calculation of</w:t>
      </w:r>
      <w:r w:rsidR="001C7D76" w:rsidRPr="008D5675">
        <w:rPr>
          <w:lang w:val="en-US"/>
        </w:rPr>
        <w:t xml:space="preserve"> </w:t>
      </w:r>
      <w:r w:rsidR="001C7D76" w:rsidRPr="008D5675">
        <w:rPr>
          <w:rStyle w:val="hps"/>
          <w:color w:val="000000"/>
          <w:szCs w:val="24"/>
          <w:lang w:val="en-US"/>
        </w:rPr>
        <w:t>the use of</w:t>
      </w:r>
      <w:r w:rsidR="001C7D76" w:rsidRPr="008D5675">
        <w:rPr>
          <w:lang w:val="en-US"/>
        </w:rPr>
        <w:t xml:space="preserve"> </w:t>
      </w:r>
      <w:r w:rsidR="001C7D76" w:rsidRPr="008D5675">
        <w:rPr>
          <w:rStyle w:val="hps"/>
          <w:color w:val="000000"/>
          <w:szCs w:val="24"/>
          <w:lang w:val="en-US"/>
        </w:rPr>
        <w:t>pre-trial detention</w:t>
      </w:r>
      <w:r w:rsidR="001C7D76" w:rsidRPr="008D5675">
        <w:rPr>
          <w:lang w:val="en-US"/>
        </w:rPr>
        <w:t xml:space="preserve"> </w:t>
      </w:r>
      <w:r w:rsidR="001C7D76" w:rsidRPr="008D5675">
        <w:rPr>
          <w:rStyle w:val="hps"/>
          <w:color w:val="000000"/>
          <w:szCs w:val="24"/>
          <w:lang w:val="en-US"/>
        </w:rPr>
        <w:t>may be based on</w:t>
      </w:r>
      <w:r w:rsidR="001C7D76" w:rsidRPr="008D5675">
        <w:rPr>
          <w:lang w:val="en-US"/>
        </w:rPr>
        <w:t xml:space="preserve"> </w:t>
      </w:r>
      <w:r w:rsidR="001C7D76" w:rsidRPr="008D5675">
        <w:rPr>
          <w:rStyle w:val="hps"/>
          <w:color w:val="000000"/>
          <w:szCs w:val="24"/>
          <w:lang w:val="en-US"/>
        </w:rPr>
        <w:t>data directly from</w:t>
      </w:r>
      <w:r w:rsidR="001C7D76" w:rsidRPr="008D5675">
        <w:rPr>
          <w:lang w:val="en-US"/>
        </w:rPr>
        <w:t xml:space="preserve"> </w:t>
      </w:r>
      <w:r w:rsidR="001C7D76" w:rsidRPr="008D5675">
        <w:rPr>
          <w:rStyle w:val="hps"/>
          <w:color w:val="000000"/>
          <w:szCs w:val="24"/>
          <w:lang w:val="en-US"/>
        </w:rPr>
        <w:t>a central electronic</w:t>
      </w:r>
      <w:r w:rsidR="001C7D76" w:rsidRPr="008D5675">
        <w:rPr>
          <w:lang w:val="en-US"/>
        </w:rPr>
        <w:t xml:space="preserve"> </w:t>
      </w:r>
      <w:r w:rsidR="001C7D76" w:rsidRPr="008D5675">
        <w:rPr>
          <w:rStyle w:val="hps"/>
          <w:color w:val="000000"/>
          <w:szCs w:val="24"/>
          <w:lang w:val="en-US"/>
        </w:rPr>
        <w:t>database</w:t>
      </w:r>
      <w:r w:rsidR="001C7D76" w:rsidRPr="008D5675">
        <w:rPr>
          <w:lang w:val="en-US"/>
        </w:rPr>
        <w:t xml:space="preserve"> </w:t>
      </w:r>
      <w:r w:rsidR="001C7D76" w:rsidRPr="008D5675">
        <w:rPr>
          <w:rStyle w:val="hps"/>
          <w:color w:val="000000"/>
          <w:szCs w:val="24"/>
          <w:lang w:val="en-US"/>
        </w:rPr>
        <w:t>in</w:t>
      </w:r>
      <w:r w:rsidR="001C7D76" w:rsidRPr="008D5675">
        <w:rPr>
          <w:lang w:val="en-US"/>
        </w:rPr>
        <w:t xml:space="preserve"> the </w:t>
      </w:r>
      <w:r w:rsidR="001C7D76" w:rsidRPr="008D5675">
        <w:rPr>
          <w:rStyle w:val="hps"/>
          <w:color w:val="000000"/>
          <w:szCs w:val="24"/>
          <w:lang w:val="en-US"/>
        </w:rPr>
        <w:t>Police</w:t>
      </w:r>
      <w:r w:rsidR="001C7D76" w:rsidRPr="008D5675">
        <w:rPr>
          <w:lang w:val="en-US"/>
        </w:rPr>
        <w:t xml:space="preserve"> </w:t>
      </w:r>
      <w:r w:rsidR="001C7D76" w:rsidRPr="008D5675">
        <w:rPr>
          <w:rStyle w:val="hps"/>
          <w:color w:val="000000"/>
          <w:szCs w:val="24"/>
          <w:lang w:val="en-US"/>
        </w:rPr>
        <w:t>Assessment</w:t>
      </w:r>
      <w:r w:rsidR="001C7D76" w:rsidRPr="008D5675">
        <w:rPr>
          <w:lang w:val="en-US"/>
        </w:rPr>
        <w:t xml:space="preserve"> </w:t>
      </w:r>
      <w:r w:rsidR="001C7D76" w:rsidRPr="008D5675">
        <w:rPr>
          <w:rStyle w:val="hps"/>
          <w:color w:val="000000"/>
          <w:szCs w:val="24"/>
          <w:lang w:val="en-US"/>
        </w:rPr>
        <w:t>System</w:t>
      </w:r>
      <w:r w:rsidR="001C7D76" w:rsidRPr="008D5675">
        <w:rPr>
          <w:lang w:val="en-US"/>
        </w:rPr>
        <w:t xml:space="preserve">. </w:t>
      </w:r>
      <w:r w:rsidR="001C7D76" w:rsidRPr="008D5675">
        <w:rPr>
          <w:rStyle w:val="hps"/>
          <w:color w:val="000000"/>
          <w:szCs w:val="24"/>
          <w:lang w:val="en-US"/>
        </w:rPr>
        <w:t>Work is ongoing</w:t>
      </w:r>
      <w:r w:rsidR="001C7D76" w:rsidRPr="008D5675">
        <w:rPr>
          <w:lang w:val="en-US"/>
        </w:rPr>
        <w:t xml:space="preserve"> in order to develop this </w:t>
      </w:r>
      <w:r w:rsidR="001C7D76" w:rsidRPr="008D5675">
        <w:rPr>
          <w:rStyle w:val="hps"/>
          <w:color w:val="000000"/>
          <w:szCs w:val="24"/>
          <w:lang w:val="en-US"/>
        </w:rPr>
        <w:t>application to also include</w:t>
      </w:r>
      <w:r w:rsidR="001C7D76" w:rsidRPr="008D5675">
        <w:rPr>
          <w:lang w:val="en-US"/>
        </w:rPr>
        <w:t xml:space="preserve"> information on </w:t>
      </w:r>
      <w:r w:rsidR="001C7D76" w:rsidRPr="008D5675">
        <w:rPr>
          <w:rStyle w:val="hps"/>
          <w:color w:val="000000"/>
          <w:szCs w:val="24"/>
          <w:lang w:val="en-US"/>
        </w:rPr>
        <w:t>solitary confinement</w:t>
      </w:r>
      <w:r w:rsidR="001C7D76" w:rsidRPr="008D5675">
        <w:rPr>
          <w:lang w:val="en-US"/>
        </w:rPr>
        <w:t xml:space="preserve">. </w:t>
      </w:r>
      <w:r w:rsidR="001C7D76" w:rsidRPr="008D5675">
        <w:rPr>
          <w:rStyle w:val="hps"/>
          <w:color w:val="000000"/>
          <w:szCs w:val="24"/>
          <w:lang w:val="en-US"/>
        </w:rPr>
        <w:t>It is expected that</w:t>
      </w:r>
      <w:r w:rsidR="001C7D76" w:rsidRPr="008D5675">
        <w:rPr>
          <w:lang w:val="en-US"/>
        </w:rPr>
        <w:t xml:space="preserve"> the </w:t>
      </w:r>
      <w:r w:rsidR="001C7D76" w:rsidRPr="008D5675">
        <w:rPr>
          <w:rStyle w:val="hps"/>
          <w:color w:val="000000"/>
          <w:szCs w:val="24"/>
          <w:lang w:val="en-US"/>
        </w:rPr>
        <w:t>application</w:t>
      </w:r>
      <w:r w:rsidR="001C7D76" w:rsidRPr="008D5675">
        <w:rPr>
          <w:lang w:val="en-US"/>
        </w:rPr>
        <w:t xml:space="preserve"> will </w:t>
      </w:r>
      <w:r w:rsidR="001C7D76" w:rsidRPr="008D5675">
        <w:rPr>
          <w:rStyle w:val="hps"/>
          <w:color w:val="000000"/>
          <w:szCs w:val="24"/>
          <w:lang w:val="en-US"/>
        </w:rPr>
        <w:t>strengthen the possibility to monitor the</w:t>
      </w:r>
      <w:r w:rsidR="001C7D76" w:rsidRPr="008D5675">
        <w:rPr>
          <w:lang w:val="en-US"/>
        </w:rPr>
        <w:t xml:space="preserve"> </w:t>
      </w:r>
      <w:r w:rsidR="001C7D76" w:rsidRPr="008D5675">
        <w:rPr>
          <w:rStyle w:val="hps"/>
          <w:color w:val="000000"/>
          <w:szCs w:val="24"/>
          <w:lang w:val="en-US"/>
        </w:rPr>
        <w:t>duration and number of</w:t>
      </w:r>
      <w:r w:rsidR="001C7D76" w:rsidRPr="008D5675">
        <w:rPr>
          <w:lang w:val="en-US"/>
        </w:rPr>
        <w:t xml:space="preserve"> </w:t>
      </w:r>
      <w:r w:rsidR="001C7D76" w:rsidRPr="008D5675">
        <w:rPr>
          <w:rStyle w:val="hps"/>
          <w:color w:val="000000"/>
          <w:szCs w:val="24"/>
          <w:lang w:val="en-US"/>
        </w:rPr>
        <w:t>pre-trial</w:t>
      </w:r>
      <w:r w:rsidR="001C7D76" w:rsidRPr="008D5675">
        <w:rPr>
          <w:lang w:val="en-US"/>
        </w:rPr>
        <w:t xml:space="preserve"> detentions </w:t>
      </w:r>
      <w:r w:rsidR="001C7D76" w:rsidRPr="008D5675">
        <w:rPr>
          <w:rStyle w:val="hps"/>
          <w:color w:val="000000"/>
          <w:szCs w:val="24"/>
          <w:lang w:val="en-US"/>
        </w:rPr>
        <w:t>and</w:t>
      </w:r>
      <w:r w:rsidR="001C7D76" w:rsidRPr="008D5675">
        <w:rPr>
          <w:lang w:val="en-US"/>
        </w:rPr>
        <w:t xml:space="preserve"> </w:t>
      </w:r>
      <w:r w:rsidR="001C7D76" w:rsidRPr="008D5675">
        <w:rPr>
          <w:rStyle w:val="hps"/>
          <w:color w:val="000000"/>
          <w:szCs w:val="24"/>
          <w:lang w:val="en-US"/>
        </w:rPr>
        <w:t>solitary confinements</w:t>
      </w:r>
      <w:r w:rsidR="001C7D76" w:rsidRPr="008D5675">
        <w:rPr>
          <w:lang w:val="en-US"/>
        </w:rPr>
        <w:t xml:space="preserve"> </w:t>
      </w:r>
      <w:r w:rsidR="001C7D76" w:rsidRPr="008D5675">
        <w:rPr>
          <w:rStyle w:val="hps"/>
          <w:color w:val="000000"/>
          <w:szCs w:val="24"/>
          <w:lang w:val="en-US"/>
        </w:rPr>
        <w:t>and</w:t>
      </w:r>
      <w:r w:rsidR="001C7D76" w:rsidRPr="008D5675">
        <w:rPr>
          <w:lang w:val="en-US"/>
        </w:rPr>
        <w:t xml:space="preserve"> also </w:t>
      </w:r>
      <w:r w:rsidR="001C7D76" w:rsidRPr="008D5675">
        <w:rPr>
          <w:rStyle w:val="hps"/>
          <w:color w:val="000000"/>
          <w:szCs w:val="24"/>
          <w:lang w:val="en-US"/>
        </w:rPr>
        <w:t>to work more</w:t>
      </w:r>
      <w:r w:rsidR="001C7D76" w:rsidRPr="008D5675">
        <w:rPr>
          <w:lang w:val="en-US"/>
        </w:rPr>
        <w:t xml:space="preserve"> </w:t>
      </w:r>
      <w:r w:rsidR="001C7D76" w:rsidRPr="008D5675">
        <w:rPr>
          <w:rStyle w:val="hps"/>
          <w:color w:val="000000"/>
          <w:szCs w:val="24"/>
          <w:lang w:val="en-US"/>
        </w:rPr>
        <w:t>committed</w:t>
      </w:r>
      <w:r w:rsidR="00861287" w:rsidRPr="008D5675">
        <w:rPr>
          <w:rStyle w:val="hps"/>
          <w:color w:val="000000"/>
          <w:szCs w:val="24"/>
          <w:lang w:val="en-US"/>
        </w:rPr>
        <w:t>ly</w:t>
      </w:r>
      <w:r w:rsidR="001C7D76" w:rsidRPr="008D5675">
        <w:rPr>
          <w:rStyle w:val="hps"/>
          <w:color w:val="000000"/>
          <w:szCs w:val="24"/>
          <w:lang w:val="en-US"/>
        </w:rPr>
        <w:t xml:space="preserve"> to</w:t>
      </w:r>
      <w:r w:rsidR="00861287" w:rsidRPr="008D5675">
        <w:rPr>
          <w:rStyle w:val="hps"/>
          <w:color w:val="000000"/>
          <w:szCs w:val="24"/>
          <w:lang w:val="en-US"/>
        </w:rPr>
        <w:t>wards</w:t>
      </w:r>
      <w:r w:rsidR="001C7D76" w:rsidRPr="008D5675">
        <w:rPr>
          <w:rStyle w:val="hps"/>
          <w:color w:val="000000"/>
          <w:szCs w:val="24"/>
          <w:lang w:val="en-US"/>
        </w:rPr>
        <w:t xml:space="preserve"> limiting</w:t>
      </w:r>
      <w:r w:rsidR="001C7D76" w:rsidRPr="008D5675">
        <w:rPr>
          <w:lang w:val="en-US"/>
        </w:rPr>
        <w:t xml:space="preserve"> </w:t>
      </w:r>
      <w:r w:rsidR="001C7D76" w:rsidRPr="008D5675">
        <w:rPr>
          <w:rStyle w:val="hps"/>
          <w:color w:val="000000"/>
          <w:szCs w:val="24"/>
          <w:lang w:val="en-US"/>
        </w:rPr>
        <w:t>the length of pre-trial detention</w:t>
      </w:r>
      <w:r w:rsidR="00861287" w:rsidRPr="008D5675">
        <w:rPr>
          <w:rStyle w:val="hps"/>
          <w:color w:val="000000"/>
          <w:szCs w:val="24"/>
          <w:lang w:val="en-US"/>
        </w:rPr>
        <w:t>,</w:t>
      </w:r>
      <w:r w:rsidR="001C7D76" w:rsidRPr="008D5675">
        <w:rPr>
          <w:rStyle w:val="hps"/>
          <w:color w:val="000000"/>
          <w:szCs w:val="24"/>
          <w:lang w:val="en-US"/>
        </w:rPr>
        <w:t xml:space="preserve"> including solitary confinement. It is expected</w:t>
      </w:r>
      <w:r w:rsidR="001C7D76" w:rsidRPr="008D5675">
        <w:rPr>
          <w:lang w:val="en-US"/>
        </w:rPr>
        <w:t xml:space="preserve"> </w:t>
      </w:r>
      <w:r w:rsidR="001C7D76" w:rsidRPr="008D5675">
        <w:rPr>
          <w:rStyle w:val="hps"/>
          <w:color w:val="000000"/>
          <w:szCs w:val="24"/>
          <w:lang w:val="en-US"/>
        </w:rPr>
        <w:t>that the</w:t>
      </w:r>
      <w:r w:rsidR="001C7D76" w:rsidRPr="008D5675">
        <w:rPr>
          <w:lang w:val="en-US"/>
        </w:rPr>
        <w:t xml:space="preserve"> </w:t>
      </w:r>
      <w:r w:rsidR="001C7D76" w:rsidRPr="008D5675">
        <w:rPr>
          <w:rStyle w:val="hps"/>
          <w:color w:val="000000"/>
          <w:szCs w:val="24"/>
          <w:lang w:val="en-US"/>
        </w:rPr>
        <w:t>annual</w:t>
      </w:r>
      <w:r w:rsidR="001C7D76" w:rsidRPr="008D5675">
        <w:rPr>
          <w:lang w:val="en-US"/>
        </w:rPr>
        <w:t xml:space="preserve"> </w:t>
      </w:r>
      <w:r w:rsidR="001C7D76" w:rsidRPr="008D5675">
        <w:rPr>
          <w:rStyle w:val="hps"/>
          <w:color w:val="000000"/>
          <w:szCs w:val="24"/>
          <w:lang w:val="en-US"/>
        </w:rPr>
        <w:t>report from the Director of Public Prosecutions on</w:t>
      </w:r>
      <w:r w:rsidR="001C7D76" w:rsidRPr="008D5675">
        <w:rPr>
          <w:lang w:val="en-US"/>
        </w:rPr>
        <w:t xml:space="preserve"> </w:t>
      </w:r>
      <w:r w:rsidR="001C7D76" w:rsidRPr="008D5675">
        <w:rPr>
          <w:rStyle w:val="hps"/>
          <w:color w:val="000000"/>
          <w:szCs w:val="24"/>
          <w:lang w:val="en-US"/>
        </w:rPr>
        <w:t>the use of</w:t>
      </w:r>
      <w:r w:rsidR="001C7D76" w:rsidRPr="008D5675">
        <w:rPr>
          <w:lang w:val="en-US"/>
        </w:rPr>
        <w:t xml:space="preserve"> </w:t>
      </w:r>
      <w:r w:rsidR="001C7D76" w:rsidRPr="008D5675">
        <w:rPr>
          <w:rStyle w:val="hps"/>
          <w:color w:val="000000"/>
          <w:szCs w:val="24"/>
          <w:lang w:val="en-US"/>
        </w:rPr>
        <w:t>solitary confinement</w:t>
      </w:r>
      <w:r w:rsidR="001C7D76" w:rsidRPr="008D5675">
        <w:rPr>
          <w:lang w:val="en-US"/>
        </w:rPr>
        <w:t xml:space="preserve"> </w:t>
      </w:r>
      <w:r w:rsidR="001C7D76" w:rsidRPr="008D5675">
        <w:rPr>
          <w:rStyle w:val="hps"/>
          <w:color w:val="000000"/>
          <w:szCs w:val="24"/>
          <w:lang w:val="en-US"/>
        </w:rPr>
        <w:t>in the future</w:t>
      </w:r>
      <w:r w:rsidR="001C7D76" w:rsidRPr="008D5675">
        <w:rPr>
          <w:lang w:val="en-US"/>
        </w:rPr>
        <w:t xml:space="preserve"> </w:t>
      </w:r>
      <w:r w:rsidR="001C7D76" w:rsidRPr="008D5675">
        <w:rPr>
          <w:rStyle w:val="hps"/>
          <w:color w:val="000000"/>
          <w:szCs w:val="24"/>
          <w:lang w:val="en-US"/>
        </w:rPr>
        <w:t>will rely on</w:t>
      </w:r>
      <w:r w:rsidR="001C7D76" w:rsidRPr="008D5675">
        <w:rPr>
          <w:lang w:val="en-US"/>
        </w:rPr>
        <w:t xml:space="preserve"> </w:t>
      </w:r>
      <w:r w:rsidR="001C7D76" w:rsidRPr="008D5675">
        <w:rPr>
          <w:rStyle w:val="hps"/>
          <w:color w:val="000000"/>
          <w:szCs w:val="24"/>
          <w:lang w:val="en-US"/>
        </w:rPr>
        <w:t>central electronic</w:t>
      </w:r>
      <w:r w:rsidR="001C7D76" w:rsidRPr="008D5675">
        <w:rPr>
          <w:lang w:val="en-US"/>
        </w:rPr>
        <w:t xml:space="preserve"> </w:t>
      </w:r>
      <w:r w:rsidR="001C7D76" w:rsidRPr="008D5675">
        <w:rPr>
          <w:rStyle w:val="hps"/>
          <w:color w:val="000000"/>
          <w:szCs w:val="24"/>
          <w:lang w:val="en-US"/>
        </w:rPr>
        <w:t>data extraction</w:t>
      </w:r>
      <w:r w:rsidR="001C7D76" w:rsidRPr="008D5675">
        <w:rPr>
          <w:lang w:val="en-US"/>
        </w:rPr>
        <w:t xml:space="preserve"> </w:t>
      </w:r>
      <w:r w:rsidR="001C7D76" w:rsidRPr="008D5675">
        <w:rPr>
          <w:rStyle w:val="hps"/>
          <w:color w:val="000000"/>
          <w:szCs w:val="24"/>
          <w:lang w:val="en-US"/>
        </w:rPr>
        <w:t>in the same manner</w:t>
      </w:r>
      <w:r w:rsidR="001C7D76" w:rsidRPr="008D5675">
        <w:rPr>
          <w:lang w:val="en-US"/>
        </w:rPr>
        <w:t xml:space="preserve"> </w:t>
      </w:r>
      <w:r w:rsidR="001C7D76" w:rsidRPr="008D5675">
        <w:rPr>
          <w:rStyle w:val="hps"/>
          <w:color w:val="000000"/>
          <w:szCs w:val="24"/>
          <w:lang w:val="en-US"/>
        </w:rPr>
        <w:t>as is now the</w:t>
      </w:r>
      <w:r w:rsidR="001C7D76" w:rsidRPr="008D5675">
        <w:rPr>
          <w:lang w:val="en-US"/>
        </w:rPr>
        <w:t xml:space="preserve"> </w:t>
      </w:r>
      <w:r w:rsidR="001C7D76" w:rsidRPr="008D5675">
        <w:rPr>
          <w:rStyle w:val="hps"/>
          <w:color w:val="000000"/>
          <w:szCs w:val="24"/>
          <w:lang w:val="en-US"/>
        </w:rPr>
        <w:t>case with</w:t>
      </w:r>
      <w:r w:rsidR="001C7D76" w:rsidRPr="008D5675">
        <w:rPr>
          <w:lang w:val="en-US"/>
        </w:rPr>
        <w:t xml:space="preserve"> </w:t>
      </w:r>
      <w:r w:rsidR="001C7D76" w:rsidRPr="008D5675">
        <w:rPr>
          <w:rStyle w:val="hps"/>
          <w:color w:val="000000"/>
          <w:szCs w:val="24"/>
          <w:lang w:val="en-US"/>
        </w:rPr>
        <w:t>the report on the use of pre-trial detention</w:t>
      </w:r>
      <w:r w:rsidR="001C7D76" w:rsidRPr="008D5675">
        <w:rPr>
          <w:lang w:val="en-US"/>
        </w:rPr>
        <w:t>.</w:t>
      </w:r>
    </w:p>
    <w:p w:rsidR="001C7D76" w:rsidRPr="00A11A9E" w:rsidRDefault="00A11A9E" w:rsidP="00A11A9E">
      <w:pPr>
        <w:pStyle w:val="SingleTxtG"/>
        <w:rPr>
          <w:bCs/>
          <w:lang w:val="en-US"/>
        </w:rPr>
      </w:pPr>
      <w:r w:rsidRPr="00A11A9E">
        <w:rPr>
          <w:bCs/>
          <w:lang w:val="en-US"/>
        </w:rPr>
        <w:t>139.</w:t>
      </w:r>
      <w:r w:rsidRPr="00A11A9E">
        <w:rPr>
          <w:bCs/>
          <w:lang w:val="en-US"/>
        </w:rPr>
        <w:tab/>
      </w:r>
      <w:r w:rsidR="001C7D76" w:rsidRPr="00E8611B">
        <w:rPr>
          <w:rStyle w:val="hps"/>
          <w:color w:val="000000"/>
          <w:szCs w:val="24"/>
          <w:lang w:val="en-US"/>
        </w:rPr>
        <w:t>Based on the new</w:t>
      </w:r>
      <w:r w:rsidR="001C7D76" w:rsidRPr="00E8611B">
        <w:rPr>
          <w:lang w:val="en-US"/>
        </w:rPr>
        <w:t xml:space="preserve"> </w:t>
      </w:r>
      <w:r w:rsidR="001C7D76" w:rsidRPr="00E8611B">
        <w:rPr>
          <w:rStyle w:val="hps"/>
          <w:color w:val="000000"/>
          <w:szCs w:val="24"/>
          <w:lang w:val="en-US"/>
        </w:rPr>
        <w:t>management information, the annual reports from the Regional State Prosecutors</w:t>
      </w:r>
      <w:r w:rsidR="00861287">
        <w:rPr>
          <w:rStyle w:val="hps"/>
          <w:color w:val="000000"/>
          <w:szCs w:val="24"/>
          <w:lang w:val="en-US"/>
        </w:rPr>
        <w:t>,</w:t>
      </w:r>
      <w:r w:rsidR="001C7D76" w:rsidRPr="00E8611B">
        <w:rPr>
          <w:lang w:val="en-US"/>
        </w:rPr>
        <w:t xml:space="preserve"> </w:t>
      </w:r>
      <w:r w:rsidR="001C7D76" w:rsidRPr="00E8611B">
        <w:rPr>
          <w:rStyle w:val="hps"/>
          <w:color w:val="000000"/>
          <w:szCs w:val="24"/>
          <w:lang w:val="en-US"/>
        </w:rPr>
        <w:t>as well as the specific</w:t>
      </w:r>
      <w:r w:rsidR="001C7D76" w:rsidRPr="00E8611B">
        <w:rPr>
          <w:lang w:val="en-US"/>
        </w:rPr>
        <w:t xml:space="preserve"> </w:t>
      </w:r>
      <w:r w:rsidR="001C7D76" w:rsidRPr="00E8611B">
        <w:rPr>
          <w:rStyle w:val="hps"/>
          <w:color w:val="000000"/>
          <w:szCs w:val="24"/>
          <w:lang w:val="en-US"/>
        </w:rPr>
        <w:t>cases submitted to the</w:t>
      </w:r>
      <w:r w:rsidR="001C7D76" w:rsidRPr="00E8611B">
        <w:rPr>
          <w:lang w:val="en-US"/>
        </w:rPr>
        <w:t xml:space="preserve"> Director of Public Prosecutions concerning</w:t>
      </w:r>
      <w:r w:rsidR="001C7D76" w:rsidRPr="00E8611B">
        <w:rPr>
          <w:rStyle w:val="hps"/>
          <w:color w:val="000000"/>
          <w:szCs w:val="24"/>
          <w:lang w:val="en-US"/>
        </w:rPr>
        <w:t xml:space="preserve"> the use of solitary confinement</w:t>
      </w:r>
      <w:r w:rsidR="001C7D76" w:rsidRPr="00E8611B">
        <w:rPr>
          <w:lang w:val="en-US"/>
        </w:rPr>
        <w:t xml:space="preserve"> </w:t>
      </w:r>
      <w:r w:rsidR="001C7D76" w:rsidRPr="00E8611B">
        <w:rPr>
          <w:rStyle w:val="hps"/>
          <w:color w:val="000000"/>
          <w:szCs w:val="24"/>
          <w:lang w:val="en-US"/>
        </w:rPr>
        <w:t>beyond</w:t>
      </w:r>
      <w:r w:rsidR="001C7D76" w:rsidRPr="00E8611B">
        <w:rPr>
          <w:lang w:val="en-US"/>
        </w:rPr>
        <w:t xml:space="preserve"> </w:t>
      </w:r>
      <w:r w:rsidR="001C7D76" w:rsidRPr="00E8611B">
        <w:rPr>
          <w:rStyle w:val="hps"/>
          <w:color w:val="000000"/>
          <w:szCs w:val="24"/>
          <w:lang w:val="en-US"/>
        </w:rPr>
        <w:t>8 weeks</w:t>
      </w:r>
      <w:r w:rsidR="001C7D76">
        <w:rPr>
          <w:rStyle w:val="hps"/>
          <w:color w:val="000000"/>
          <w:szCs w:val="24"/>
          <w:lang w:val="en-US"/>
        </w:rPr>
        <w:t xml:space="preserve"> (4 weeks if the detainee is under the age of 18)</w:t>
      </w:r>
      <w:r w:rsidR="001C7D76" w:rsidRPr="00E8611B">
        <w:rPr>
          <w:lang w:val="en-US"/>
        </w:rPr>
        <w:t xml:space="preserve">, </w:t>
      </w:r>
      <w:r w:rsidR="001C7D76">
        <w:rPr>
          <w:lang w:val="en-US"/>
        </w:rPr>
        <w:t>t</w:t>
      </w:r>
      <w:r w:rsidR="001C7D76" w:rsidRPr="00E8611B">
        <w:rPr>
          <w:lang w:val="en-US"/>
        </w:rPr>
        <w:t xml:space="preserve">he </w:t>
      </w:r>
      <w:r w:rsidR="001C7D76" w:rsidRPr="00E8611B">
        <w:rPr>
          <w:rStyle w:val="hps"/>
          <w:color w:val="000000"/>
          <w:szCs w:val="24"/>
          <w:lang w:val="en-US"/>
        </w:rPr>
        <w:t>Director of Public Prosecutions</w:t>
      </w:r>
      <w:r w:rsidR="001C7D76" w:rsidRPr="00E8611B">
        <w:rPr>
          <w:lang w:val="en-US"/>
        </w:rPr>
        <w:t xml:space="preserve"> </w:t>
      </w:r>
      <w:r w:rsidR="001C7D76" w:rsidRPr="00E8611B">
        <w:rPr>
          <w:rStyle w:val="hps"/>
          <w:color w:val="000000"/>
          <w:szCs w:val="24"/>
          <w:lang w:val="en-US"/>
        </w:rPr>
        <w:t>will continue to closely monitor</w:t>
      </w:r>
      <w:r w:rsidR="001C7D76" w:rsidRPr="00E8611B">
        <w:rPr>
          <w:lang w:val="en-US"/>
        </w:rPr>
        <w:t xml:space="preserve"> </w:t>
      </w:r>
      <w:r w:rsidR="001C7D76" w:rsidRPr="00E8611B">
        <w:rPr>
          <w:rStyle w:val="hps"/>
          <w:color w:val="000000"/>
          <w:szCs w:val="24"/>
          <w:lang w:val="en-US"/>
        </w:rPr>
        <w:t>developments in the use</w:t>
      </w:r>
      <w:r w:rsidR="001C7D76" w:rsidRPr="00E8611B">
        <w:rPr>
          <w:lang w:val="en-US"/>
        </w:rPr>
        <w:t xml:space="preserve"> </w:t>
      </w:r>
      <w:r w:rsidR="001C7D76" w:rsidRPr="00E8611B">
        <w:rPr>
          <w:rStyle w:val="hps"/>
          <w:color w:val="000000"/>
          <w:szCs w:val="24"/>
          <w:lang w:val="en-US"/>
        </w:rPr>
        <w:t>of</w:t>
      </w:r>
      <w:r w:rsidR="001C7D76" w:rsidRPr="00E8611B">
        <w:rPr>
          <w:lang w:val="en-US"/>
        </w:rPr>
        <w:t xml:space="preserve"> </w:t>
      </w:r>
      <w:r w:rsidR="001C7D76" w:rsidRPr="00E8611B">
        <w:rPr>
          <w:rStyle w:val="hps"/>
          <w:color w:val="000000"/>
          <w:szCs w:val="24"/>
          <w:lang w:val="en-US"/>
        </w:rPr>
        <w:t>solitary confinement.</w:t>
      </w:r>
      <w:r w:rsidR="001C7D76" w:rsidRPr="00E8611B">
        <w:rPr>
          <w:lang w:val="en-US"/>
        </w:rPr>
        <w:t xml:space="preserve"> </w:t>
      </w:r>
    </w:p>
    <w:p w:rsidR="001C7D76" w:rsidRDefault="00A11A9E" w:rsidP="00A11A9E">
      <w:pPr>
        <w:pStyle w:val="SingleTxtG"/>
        <w:rPr>
          <w:lang w:val="en-US"/>
        </w:rPr>
      </w:pPr>
      <w:r>
        <w:rPr>
          <w:lang w:val="en-US"/>
        </w:rPr>
        <w:t>140.</w:t>
      </w:r>
      <w:r>
        <w:rPr>
          <w:lang w:val="en-US"/>
        </w:rPr>
        <w:tab/>
      </w:r>
      <w:r w:rsidR="001C7D76">
        <w:rPr>
          <w:lang w:val="en-US"/>
        </w:rPr>
        <w:t xml:space="preserve">In conclusion, the changes </w:t>
      </w:r>
      <w:r w:rsidR="00861287">
        <w:rPr>
          <w:lang w:val="en-US"/>
        </w:rPr>
        <w:t xml:space="preserve">in </w:t>
      </w:r>
      <w:r w:rsidR="001C7D76">
        <w:rPr>
          <w:lang w:val="en-US"/>
        </w:rPr>
        <w:t xml:space="preserve">the legal framework adopted in 2000 and especially the described amendments adopted in 2006 together with the subsequent implementation by the police and prosecution service have significantly reduced the use of solitary confinement during pre-trial detention. In light of the continuous effort by the Prosecution Service to further limit the use of solitary confinement, it is the opinion of Denmark that </w:t>
      </w:r>
      <w:r w:rsidR="001C7D76" w:rsidRPr="00E8611B">
        <w:rPr>
          <w:lang w:val="en-US"/>
        </w:rPr>
        <w:t>the current legisla</w:t>
      </w:r>
      <w:r w:rsidR="001C7D76">
        <w:rPr>
          <w:lang w:val="en-US"/>
        </w:rPr>
        <w:t>tion is</w:t>
      </w:r>
      <w:r w:rsidR="001C7D76" w:rsidRPr="00E8611B">
        <w:rPr>
          <w:lang w:val="en-US"/>
        </w:rPr>
        <w:t xml:space="preserve"> suf</w:t>
      </w:r>
      <w:r w:rsidR="001C7D76">
        <w:rPr>
          <w:lang w:val="en-US"/>
        </w:rPr>
        <w:t>ficient and ade</w:t>
      </w:r>
      <w:r w:rsidR="001C7D76" w:rsidRPr="00E8611B">
        <w:rPr>
          <w:lang w:val="en-US"/>
        </w:rPr>
        <w:t>quate</w:t>
      </w:r>
      <w:r w:rsidR="001C7D76">
        <w:rPr>
          <w:lang w:val="en-US"/>
        </w:rPr>
        <w:t xml:space="preserve"> in order to ensure that solitary confinement during pre-trial detention is used only in exceptional cases and for a limited period of time. </w:t>
      </w:r>
    </w:p>
    <w:p w:rsidR="001C7D76" w:rsidRDefault="00A11A9E" w:rsidP="00A11A9E">
      <w:pPr>
        <w:pStyle w:val="SingleTxtG"/>
        <w:rPr>
          <w:lang w:val="en-US"/>
        </w:rPr>
      </w:pPr>
      <w:r>
        <w:rPr>
          <w:lang w:val="en-US"/>
        </w:rPr>
        <w:t>141.</w:t>
      </w:r>
      <w:r>
        <w:rPr>
          <w:lang w:val="en-US"/>
        </w:rPr>
        <w:tab/>
      </w:r>
      <w:r w:rsidR="001C7D76">
        <w:rPr>
          <w:lang w:val="en-US"/>
        </w:rPr>
        <w:t>At the same time, the Government continues to keep the use of solitary confinement under close review, in particular on the basis of the annual reports from the Director of Public Prosecutions.</w:t>
      </w:r>
    </w:p>
    <w:p w:rsidR="001C7D76" w:rsidRPr="001436BF" w:rsidRDefault="001E0E3B" w:rsidP="00A11A9E">
      <w:pPr>
        <w:pStyle w:val="H4G"/>
        <w:rPr>
          <w:lang w:val="en-US"/>
        </w:rPr>
      </w:pPr>
      <w:r>
        <w:rPr>
          <w:lang w:val="en-US"/>
        </w:rPr>
        <w:tab/>
      </w:r>
      <w:r>
        <w:rPr>
          <w:lang w:val="en-US"/>
        </w:rPr>
        <w:tab/>
      </w:r>
      <w:r w:rsidR="001C7D76" w:rsidRPr="001436BF">
        <w:rPr>
          <w:lang w:val="en-US"/>
        </w:rPr>
        <w:t xml:space="preserve">Place of detention of minors </w:t>
      </w:r>
    </w:p>
    <w:p w:rsidR="001C7D76" w:rsidRPr="00485AA9" w:rsidRDefault="00A11A9E" w:rsidP="00A11A9E">
      <w:pPr>
        <w:pStyle w:val="SingleTxtG"/>
        <w:rPr>
          <w:lang w:val="en-US"/>
        </w:rPr>
      </w:pPr>
      <w:r w:rsidRPr="00485AA9">
        <w:rPr>
          <w:lang w:val="en-US"/>
        </w:rPr>
        <w:t>142.</w:t>
      </w:r>
      <w:r w:rsidRPr="00485AA9">
        <w:rPr>
          <w:lang w:val="en-US"/>
        </w:rPr>
        <w:tab/>
      </w:r>
      <w:r w:rsidR="001C7D76" w:rsidRPr="00485AA9">
        <w:rPr>
          <w:lang w:val="en-US"/>
        </w:rPr>
        <w:t xml:space="preserve">Minors are as a rule placed outside the prison system. They </w:t>
      </w:r>
      <w:r w:rsidR="001C7D76">
        <w:rPr>
          <w:lang w:val="en-US"/>
        </w:rPr>
        <w:t>may</w:t>
      </w:r>
      <w:r w:rsidR="001C7D76" w:rsidRPr="00485AA9">
        <w:rPr>
          <w:lang w:val="en-US"/>
        </w:rPr>
        <w:t>, however, be placed in the prison system if for example the charge against the minor concerns a particularly crime. Minors will in that case as a rule be placed in a special unit for juveniles or in a local prison having social inter</w:t>
      </w:r>
      <w:r w:rsidR="001C7D76">
        <w:rPr>
          <w:lang w:val="en-US"/>
        </w:rPr>
        <w:t>action</w:t>
      </w:r>
      <w:r w:rsidR="001C7D76" w:rsidRPr="00485AA9">
        <w:rPr>
          <w:lang w:val="en-US"/>
        </w:rPr>
        <w:t xml:space="preserve"> with other young offenders. If social </w:t>
      </w:r>
      <w:r w:rsidR="001C7D76">
        <w:rPr>
          <w:lang w:val="en-US"/>
        </w:rPr>
        <w:t>contact</w:t>
      </w:r>
      <w:r w:rsidR="001C7D76" w:rsidRPr="00485AA9">
        <w:rPr>
          <w:lang w:val="en-US"/>
        </w:rPr>
        <w:t xml:space="preserve"> with other young offenders is not possible, staff must consider if it is in the young offender’s interest to have social </w:t>
      </w:r>
      <w:r w:rsidR="001C7D76">
        <w:rPr>
          <w:lang w:val="en-US"/>
        </w:rPr>
        <w:t>contact</w:t>
      </w:r>
      <w:r w:rsidR="001C7D76" w:rsidRPr="00485AA9">
        <w:rPr>
          <w:lang w:val="en-US"/>
        </w:rPr>
        <w:t xml:space="preserve"> with older inmates in order to avoid social isolation. The staff has to be particularly aware that the </w:t>
      </w:r>
      <w:r w:rsidR="001C7D76">
        <w:rPr>
          <w:lang w:val="en-US"/>
        </w:rPr>
        <w:t>minor</w:t>
      </w:r>
      <w:r w:rsidR="001C7D76" w:rsidRPr="00485AA9">
        <w:rPr>
          <w:lang w:val="en-US"/>
        </w:rPr>
        <w:t xml:space="preserve"> is not exposed to negative influence from older inmates and that the social </w:t>
      </w:r>
      <w:r w:rsidR="001C7D76">
        <w:rPr>
          <w:lang w:val="en-US"/>
        </w:rPr>
        <w:t>interaction is beneficial</w:t>
      </w:r>
      <w:r w:rsidR="001C7D76" w:rsidRPr="00485AA9">
        <w:rPr>
          <w:lang w:val="en-US"/>
        </w:rPr>
        <w:t xml:space="preserve">. </w:t>
      </w:r>
    </w:p>
    <w:p w:rsidR="001C7D76" w:rsidRPr="00102FEC" w:rsidRDefault="001E0E3B" w:rsidP="00A11A9E">
      <w:pPr>
        <w:pStyle w:val="H23G"/>
        <w:rPr>
          <w:lang w:val="en-US" w:eastAsia="nb-NO"/>
        </w:rPr>
      </w:pPr>
      <w:r>
        <w:rPr>
          <w:lang w:val="en-US" w:eastAsia="nb-NO"/>
        </w:rPr>
        <w:tab/>
      </w:r>
      <w:r>
        <w:rPr>
          <w:lang w:val="en-US" w:eastAsia="nb-NO"/>
        </w:rPr>
        <w:tab/>
      </w:r>
      <w:r w:rsidR="001C7D76" w:rsidRPr="00102FEC">
        <w:rPr>
          <w:lang w:val="en-US" w:eastAsia="nb-NO"/>
        </w:rPr>
        <w:t xml:space="preserve">Reply to paragraph 15 of the </w:t>
      </w:r>
      <w:r w:rsidR="00FF0EDD">
        <w:rPr>
          <w:lang w:val="en-US" w:eastAsia="nb-NO"/>
        </w:rPr>
        <w:t>list of issues</w:t>
      </w:r>
      <w:r w:rsidR="001C7D76" w:rsidRPr="00102FEC">
        <w:rPr>
          <w:lang w:val="en-US"/>
        </w:rPr>
        <w:t xml:space="preserve"> [Ministry of Health]</w:t>
      </w:r>
    </w:p>
    <w:p w:rsidR="001C7D76" w:rsidRDefault="00A11A9E" w:rsidP="00A11A9E">
      <w:pPr>
        <w:pStyle w:val="SingleTxtG"/>
      </w:pPr>
      <w:r>
        <w:t>143.</w:t>
      </w:r>
      <w:r>
        <w:tab/>
      </w:r>
      <w:r w:rsidR="001C7D76">
        <w:t xml:space="preserve">As a general rule the activities concerning psychiatric treatment are regulated by the Health Act which covers the treatment of physical as well as mental illnesses, and states the principle of free and equal access to necessary medical care. The legislation that concerns psychiatric treatment is the Psychiatric Act. </w:t>
      </w:r>
    </w:p>
    <w:p w:rsidR="001C7D76" w:rsidRPr="00696C44" w:rsidRDefault="00A11A9E" w:rsidP="00A11A9E">
      <w:pPr>
        <w:pStyle w:val="SingleTxtG"/>
        <w:rPr>
          <w:iCs/>
        </w:rPr>
      </w:pPr>
      <w:r w:rsidRPr="00696C44">
        <w:rPr>
          <w:iCs/>
        </w:rPr>
        <w:t>144.</w:t>
      </w:r>
      <w:r w:rsidRPr="00696C44">
        <w:rPr>
          <w:iCs/>
        </w:rPr>
        <w:tab/>
      </w:r>
      <w:r w:rsidR="001C7D76">
        <w:rPr>
          <w:iCs/>
        </w:rPr>
        <w:t>The Psychiatric Act contains a principle of “the least invasive measure”. Due to this principle the use of restraint is not allowed until every possible step has been taken to obtain the patient’s voluntary consent to the proposed measure/treatment. The use of restraint must be commensurate with the goal pursued. If less invasive measures are adequate, these must be used.</w:t>
      </w:r>
    </w:p>
    <w:p w:rsidR="001C7D76" w:rsidRPr="001B36D4" w:rsidRDefault="00A11A9E" w:rsidP="00A11A9E">
      <w:pPr>
        <w:pStyle w:val="SingleTxtG"/>
        <w:keepNext/>
        <w:rPr>
          <w:rFonts w:cs="Arial"/>
        </w:rPr>
      </w:pPr>
      <w:r w:rsidRPr="001B36D4">
        <w:rPr>
          <w:rFonts w:cs="Arial"/>
        </w:rPr>
        <w:t>145.</w:t>
      </w:r>
      <w:r w:rsidRPr="001B36D4">
        <w:rPr>
          <w:rFonts w:cs="Arial"/>
        </w:rPr>
        <w:tab/>
      </w:r>
      <w:r w:rsidR="001C7D76">
        <w:t>S</w:t>
      </w:r>
      <w:r w:rsidR="001C7D76" w:rsidRPr="00712B96">
        <w:t>tatistical information on the use of coercive treatment in mental health faci</w:t>
      </w:r>
      <w:r w:rsidR="001C7D76">
        <w:t xml:space="preserve">lities: </w:t>
      </w:r>
    </w:p>
    <w:tbl>
      <w:tblPr>
        <w:tblW w:w="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08"/>
        <w:gridCol w:w="454"/>
        <w:gridCol w:w="454"/>
        <w:gridCol w:w="454"/>
        <w:gridCol w:w="454"/>
        <w:gridCol w:w="454"/>
        <w:gridCol w:w="454"/>
        <w:gridCol w:w="454"/>
        <w:gridCol w:w="454"/>
        <w:gridCol w:w="454"/>
        <w:gridCol w:w="454"/>
        <w:gridCol w:w="454"/>
        <w:gridCol w:w="454"/>
        <w:gridCol w:w="454"/>
      </w:tblGrid>
      <w:tr w:rsidR="002E3458" w:rsidRPr="002E3458" w:rsidTr="00A11A9E">
        <w:trPr>
          <w:trHeight w:val="20"/>
          <w:tblHeader/>
        </w:trPr>
        <w:tc>
          <w:tcPr>
            <w:tcW w:w="2608" w:type="dxa"/>
            <w:tcBorders>
              <w:top w:val="single" w:sz="4" w:space="0" w:color="auto"/>
              <w:bottom w:val="single" w:sz="12" w:space="0" w:color="auto"/>
            </w:tcBorders>
            <w:shd w:val="clear" w:color="auto" w:fill="auto"/>
            <w:vAlign w:val="bottom"/>
          </w:tcPr>
          <w:p w:rsidR="001C7D76" w:rsidRPr="002E3458" w:rsidRDefault="001C7D76">
            <w:pPr>
              <w:suppressAutoHyphens w:val="0"/>
              <w:spacing w:before="80" w:after="80" w:line="200" w:lineRule="exact"/>
              <w:rPr>
                <w:i/>
                <w:sz w:val="16"/>
                <w:szCs w:val="16"/>
                <w:lang w:val="en-US"/>
              </w:rPr>
            </w:pPr>
            <w:r w:rsidRPr="002E3458">
              <w:rPr>
                <w:i/>
                <w:sz w:val="16"/>
                <w:szCs w:val="16"/>
                <w:lang w:val="en-US"/>
              </w:rPr>
              <w:t>Year</w:t>
            </w:r>
          </w:p>
        </w:tc>
        <w:tc>
          <w:tcPr>
            <w:tcW w:w="454" w:type="dxa"/>
            <w:tcBorders>
              <w:top w:val="single" w:sz="4" w:space="0" w:color="auto"/>
              <w:bottom w:val="single" w:sz="12" w:space="0" w:color="auto"/>
            </w:tcBorders>
            <w:shd w:val="clear" w:color="auto" w:fill="auto"/>
            <w:vAlign w:val="bottom"/>
          </w:tcPr>
          <w:p w:rsidR="001C7D76" w:rsidRPr="002E3458" w:rsidRDefault="001C7D76" w:rsidP="00A11A9E">
            <w:pPr>
              <w:suppressAutoHyphens w:val="0"/>
              <w:spacing w:before="80" w:after="80" w:line="200" w:lineRule="exact"/>
              <w:jc w:val="right"/>
              <w:rPr>
                <w:i/>
                <w:sz w:val="16"/>
                <w:szCs w:val="16"/>
                <w:lang w:val="en-US"/>
              </w:rPr>
            </w:pPr>
            <w:r w:rsidRPr="002E3458">
              <w:rPr>
                <w:i/>
                <w:sz w:val="16"/>
                <w:szCs w:val="16"/>
                <w:lang w:val="en-US"/>
              </w:rPr>
              <w:t>2013</w:t>
            </w:r>
          </w:p>
        </w:tc>
        <w:tc>
          <w:tcPr>
            <w:tcW w:w="454" w:type="dxa"/>
            <w:tcBorders>
              <w:top w:val="single" w:sz="4" w:space="0" w:color="auto"/>
              <w:bottom w:val="single" w:sz="12" w:space="0" w:color="auto"/>
            </w:tcBorders>
            <w:shd w:val="clear" w:color="auto" w:fill="auto"/>
            <w:vAlign w:val="bottom"/>
          </w:tcPr>
          <w:p w:rsidR="001C7D76" w:rsidRPr="002E3458" w:rsidRDefault="001C7D76" w:rsidP="00A11A9E">
            <w:pPr>
              <w:suppressAutoHyphens w:val="0"/>
              <w:spacing w:before="80" w:after="80" w:line="200" w:lineRule="exact"/>
              <w:jc w:val="right"/>
              <w:rPr>
                <w:i/>
                <w:sz w:val="16"/>
                <w:szCs w:val="16"/>
                <w:lang w:val="en-US"/>
              </w:rPr>
            </w:pPr>
            <w:r w:rsidRPr="002E3458">
              <w:rPr>
                <w:i/>
                <w:sz w:val="16"/>
                <w:szCs w:val="16"/>
                <w:lang w:val="en-US"/>
              </w:rPr>
              <w:t>2012</w:t>
            </w:r>
          </w:p>
        </w:tc>
        <w:tc>
          <w:tcPr>
            <w:tcW w:w="454" w:type="dxa"/>
            <w:tcBorders>
              <w:top w:val="single" w:sz="4" w:space="0" w:color="auto"/>
              <w:bottom w:val="single" w:sz="12" w:space="0" w:color="auto"/>
            </w:tcBorders>
            <w:shd w:val="clear" w:color="auto" w:fill="auto"/>
            <w:vAlign w:val="bottom"/>
          </w:tcPr>
          <w:p w:rsidR="001C7D76" w:rsidRPr="002E3458" w:rsidRDefault="001C7D76" w:rsidP="00A11A9E">
            <w:pPr>
              <w:suppressAutoHyphens w:val="0"/>
              <w:spacing w:before="80" w:after="80" w:line="200" w:lineRule="exact"/>
              <w:jc w:val="right"/>
              <w:rPr>
                <w:i/>
                <w:sz w:val="16"/>
                <w:szCs w:val="16"/>
                <w:lang w:val="en-US"/>
              </w:rPr>
            </w:pPr>
            <w:r w:rsidRPr="002E3458">
              <w:rPr>
                <w:i/>
                <w:sz w:val="16"/>
                <w:szCs w:val="16"/>
                <w:lang w:val="en-US"/>
              </w:rPr>
              <w:t>2011</w:t>
            </w:r>
          </w:p>
        </w:tc>
        <w:tc>
          <w:tcPr>
            <w:tcW w:w="454" w:type="dxa"/>
            <w:tcBorders>
              <w:top w:val="single" w:sz="4" w:space="0" w:color="auto"/>
              <w:bottom w:val="single" w:sz="12" w:space="0" w:color="auto"/>
            </w:tcBorders>
            <w:shd w:val="clear" w:color="auto" w:fill="auto"/>
            <w:vAlign w:val="bottom"/>
          </w:tcPr>
          <w:p w:rsidR="001C7D76" w:rsidRPr="002E3458" w:rsidRDefault="001C7D76" w:rsidP="00A11A9E">
            <w:pPr>
              <w:suppressAutoHyphens w:val="0"/>
              <w:spacing w:before="80" w:after="80" w:line="200" w:lineRule="exact"/>
              <w:jc w:val="right"/>
              <w:rPr>
                <w:i/>
                <w:sz w:val="16"/>
                <w:szCs w:val="16"/>
                <w:lang w:val="en-US"/>
              </w:rPr>
            </w:pPr>
            <w:r w:rsidRPr="002E3458">
              <w:rPr>
                <w:i/>
                <w:sz w:val="16"/>
                <w:szCs w:val="16"/>
                <w:lang w:val="en-US"/>
              </w:rPr>
              <w:t>2010</w:t>
            </w:r>
          </w:p>
        </w:tc>
        <w:tc>
          <w:tcPr>
            <w:tcW w:w="454" w:type="dxa"/>
            <w:tcBorders>
              <w:top w:val="single" w:sz="4" w:space="0" w:color="auto"/>
              <w:bottom w:val="single" w:sz="12" w:space="0" w:color="auto"/>
            </w:tcBorders>
            <w:shd w:val="clear" w:color="auto" w:fill="auto"/>
            <w:vAlign w:val="bottom"/>
          </w:tcPr>
          <w:p w:rsidR="001C7D76" w:rsidRPr="002E3458" w:rsidRDefault="001C7D76" w:rsidP="00A11A9E">
            <w:pPr>
              <w:suppressAutoHyphens w:val="0"/>
              <w:spacing w:before="80" w:after="80" w:line="200" w:lineRule="exact"/>
              <w:jc w:val="right"/>
              <w:rPr>
                <w:i/>
                <w:sz w:val="16"/>
                <w:szCs w:val="16"/>
                <w:lang w:val="en-US"/>
              </w:rPr>
            </w:pPr>
            <w:r w:rsidRPr="002E3458">
              <w:rPr>
                <w:i/>
                <w:sz w:val="16"/>
                <w:szCs w:val="16"/>
                <w:lang w:val="en-US"/>
              </w:rPr>
              <w:t>2009</w:t>
            </w:r>
          </w:p>
        </w:tc>
        <w:tc>
          <w:tcPr>
            <w:tcW w:w="454" w:type="dxa"/>
            <w:tcBorders>
              <w:top w:val="single" w:sz="4" w:space="0" w:color="auto"/>
              <w:bottom w:val="single" w:sz="12" w:space="0" w:color="auto"/>
            </w:tcBorders>
            <w:shd w:val="clear" w:color="auto" w:fill="auto"/>
            <w:vAlign w:val="bottom"/>
          </w:tcPr>
          <w:p w:rsidR="001C7D76" w:rsidRPr="002E3458" w:rsidRDefault="001C7D76" w:rsidP="00A11A9E">
            <w:pPr>
              <w:suppressAutoHyphens w:val="0"/>
              <w:spacing w:before="80" w:after="80" w:line="200" w:lineRule="exact"/>
              <w:jc w:val="right"/>
              <w:rPr>
                <w:i/>
                <w:sz w:val="16"/>
                <w:szCs w:val="16"/>
                <w:lang w:val="en-US"/>
              </w:rPr>
            </w:pPr>
            <w:r w:rsidRPr="002E3458">
              <w:rPr>
                <w:i/>
                <w:sz w:val="16"/>
                <w:szCs w:val="16"/>
                <w:lang w:val="en-US"/>
              </w:rPr>
              <w:t>2008</w:t>
            </w:r>
          </w:p>
        </w:tc>
        <w:tc>
          <w:tcPr>
            <w:tcW w:w="454" w:type="dxa"/>
            <w:tcBorders>
              <w:top w:val="single" w:sz="4" w:space="0" w:color="auto"/>
              <w:bottom w:val="single" w:sz="12" w:space="0" w:color="auto"/>
            </w:tcBorders>
            <w:shd w:val="clear" w:color="auto" w:fill="auto"/>
            <w:vAlign w:val="bottom"/>
          </w:tcPr>
          <w:p w:rsidR="001C7D76" w:rsidRPr="002E3458" w:rsidRDefault="001C7D76" w:rsidP="00A11A9E">
            <w:pPr>
              <w:suppressAutoHyphens w:val="0"/>
              <w:spacing w:before="80" w:after="80" w:line="200" w:lineRule="exact"/>
              <w:jc w:val="right"/>
              <w:rPr>
                <w:i/>
                <w:sz w:val="16"/>
                <w:szCs w:val="16"/>
                <w:lang w:val="en-US"/>
              </w:rPr>
            </w:pPr>
            <w:r w:rsidRPr="002E3458">
              <w:rPr>
                <w:i/>
                <w:sz w:val="16"/>
                <w:szCs w:val="16"/>
                <w:lang w:val="en-US"/>
              </w:rPr>
              <w:t>2007</w:t>
            </w:r>
          </w:p>
        </w:tc>
        <w:tc>
          <w:tcPr>
            <w:tcW w:w="454" w:type="dxa"/>
            <w:tcBorders>
              <w:top w:val="single" w:sz="4" w:space="0" w:color="auto"/>
              <w:bottom w:val="single" w:sz="12" w:space="0" w:color="auto"/>
            </w:tcBorders>
            <w:shd w:val="clear" w:color="auto" w:fill="auto"/>
            <w:vAlign w:val="bottom"/>
          </w:tcPr>
          <w:p w:rsidR="001C7D76" w:rsidRPr="002E3458" w:rsidRDefault="001C7D76" w:rsidP="00A11A9E">
            <w:pPr>
              <w:suppressAutoHyphens w:val="0"/>
              <w:spacing w:before="80" w:after="80" w:line="200" w:lineRule="exact"/>
              <w:jc w:val="right"/>
              <w:rPr>
                <w:i/>
                <w:sz w:val="16"/>
                <w:szCs w:val="16"/>
                <w:lang w:val="en-US"/>
              </w:rPr>
            </w:pPr>
            <w:r w:rsidRPr="002E3458">
              <w:rPr>
                <w:i/>
                <w:sz w:val="16"/>
                <w:szCs w:val="16"/>
                <w:lang w:val="en-US"/>
              </w:rPr>
              <w:t>2006</w:t>
            </w:r>
          </w:p>
        </w:tc>
        <w:tc>
          <w:tcPr>
            <w:tcW w:w="454" w:type="dxa"/>
            <w:tcBorders>
              <w:top w:val="single" w:sz="4" w:space="0" w:color="auto"/>
              <w:bottom w:val="single" w:sz="12" w:space="0" w:color="auto"/>
            </w:tcBorders>
            <w:shd w:val="clear" w:color="auto" w:fill="auto"/>
            <w:vAlign w:val="bottom"/>
          </w:tcPr>
          <w:p w:rsidR="001C7D76" w:rsidRPr="002E3458" w:rsidRDefault="001C7D76" w:rsidP="00A11A9E">
            <w:pPr>
              <w:suppressAutoHyphens w:val="0"/>
              <w:spacing w:before="80" w:after="80" w:line="200" w:lineRule="exact"/>
              <w:jc w:val="right"/>
              <w:rPr>
                <w:i/>
                <w:sz w:val="16"/>
                <w:szCs w:val="16"/>
                <w:lang w:val="en-US"/>
              </w:rPr>
            </w:pPr>
            <w:r w:rsidRPr="002E3458">
              <w:rPr>
                <w:i/>
                <w:sz w:val="16"/>
                <w:szCs w:val="16"/>
                <w:lang w:val="en-US"/>
              </w:rPr>
              <w:t>2005</w:t>
            </w:r>
          </w:p>
        </w:tc>
        <w:tc>
          <w:tcPr>
            <w:tcW w:w="454" w:type="dxa"/>
            <w:tcBorders>
              <w:top w:val="single" w:sz="4" w:space="0" w:color="auto"/>
              <w:bottom w:val="single" w:sz="12" w:space="0" w:color="auto"/>
            </w:tcBorders>
            <w:shd w:val="clear" w:color="auto" w:fill="auto"/>
            <w:vAlign w:val="bottom"/>
          </w:tcPr>
          <w:p w:rsidR="001C7D76" w:rsidRPr="002E3458" w:rsidRDefault="001C7D76" w:rsidP="00A11A9E">
            <w:pPr>
              <w:suppressAutoHyphens w:val="0"/>
              <w:spacing w:before="80" w:after="80" w:line="200" w:lineRule="exact"/>
              <w:jc w:val="right"/>
              <w:rPr>
                <w:i/>
                <w:sz w:val="16"/>
                <w:szCs w:val="16"/>
                <w:lang w:val="en-US"/>
              </w:rPr>
            </w:pPr>
            <w:r w:rsidRPr="002E3458">
              <w:rPr>
                <w:i/>
                <w:sz w:val="16"/>
                <w:szCs w:val="16"/>
                <w:lang w:val="en-US"/>
              </w:rPr>
              <w:t>2004</w:t>
            </w:r>
          </w:p>
        </w:tc>
        <w:tc>
          <w:tcPr>
            <w:tcW w:w="454" w:type="dxa"/>
            <w:tcBorders>
              <w:top w:val="single" w:sz="4" w:space="0" w:color="auto"/>
              <w:bottom w:val="single" w:sz="12" w:space="0" w:color="auto"/>
            </w:tcBorders>
            <w:shd w:val="clear" w:color="auto" w:fill="auto"/>
            <w:vAlign w:val="bottom"/>
          </w:tcPr>
          <w:p w:rsidR="001C7D76" w:rsidRPr="002E3458" w:rsidRDefault="001C7D76" w:rsidP="00A11A9E">
            <w:pPr>
              <w:suppressAutoHyphens w:val="0"/>
              <w:spacing w:before="80" w:after="80" w:line="200" w:lineRule="exact"/>
              <w:jc w:val="right"/>
              <w:rPr>
                <w:i/>
                <w:sz w:val="16"/>
                <w:szCs w:val="16"/>
                <w:lang w:val="en-US"/>
              </w:rPr>
            </w:pPr>
            <w:r w:rsidRPr="002E3458">
              <w:rPr>
                <w:i/>
                <w:sz w:val="16"/>
                <w:szCs w:val="16"/>
                <w:lang w:val="en-US"/>
              </w:rPr>
              <w:t>2003</w:t>
            </w:r>
          </w:p>
        </w:tc>
        <w:tc>
          <w:tcPr>
            <w:tcW w:w="454" w:type="dxa"/>
            <w:tcBorders>
              <w:top w:val="single" w:sz="4" w:space="0" w:color="auto"/>
              <w:bottom w:val="single" w:sz="12" w:space="0" w:color="auto"/>
            </w:tcBorders>
            <w:shd w:val="clear" w:color="auto" w:fill="auto"/>
            <w:vAlign w:val="bottom"/>
          </w:tcPr>
          <w:p w:rsidR="001C7D76" w:rsidRPr="002E3458" w:rsidRDefault="001C7D76" w:rsidP="00A11A9E">
            <w:pPr>
              <w:suppressAutoHyphens w:val="0"/>
              <w:spacing w:before="80" w:after="80" w:line="200" w:lineRule="exact"/>
              <w:jc w:val="right"/>
              <w:rPr>
                <w:i/>
                <w:sz w:val="16"/>
                <w:szCs w:val="16"/>
                <w:lang w:val="en-US"/>
              </w:rPr>
            </w:pPr>
            <w:r w:rsidRPr="002E3458">
              <w:rPr>
                <w:i/>
                <w:sz w:val="16"/>
                <w:szCs w:val="16"/>
                <w:lang w:val="en-US"/>
              </w:rPr>
              <w:t>2002</w:t>
            </w:r>
          </w:p>
        </w:tc>
        <w:tc>
          <w:tcPr>
            <w:tcW w:w="454" w:type="dxa"/>
            <w:tcBorders>
              <w:top w:val="single" w:sz="4" w:space="0" w:color="auto"/>
              <w:bottom w:val="single" w:sz="12" w:space="0" w:color="auto"/>
            </w:tcBorders>
            <w:shd w:val="clear" w:color="auto" w:fill="auto"/>
            <w:vAlign w:val="bottom"/>
          </w:tcPr>
          <w:p w:rsidR="001C7D76" w:rsidRPr="002E3458" w:rsidRDefault="001C7D76" w:rsidP="00A11A9E">
            <w:pPr>
              <w:suppressAutoHyphens w:val="0"/>
              <w:spacing w:before="80" w:after="80" w:line="200" w:lineRule="exact"/>
              <w:jc w:val="right"/>
              <w:rPr>
                <w:i/>
                <w:sz w:val="16"/>
                <w:szCs w:val="16"/>
                <w:lang w:val="en-US"/>
              </w:rPr>
            </w:pPr>
            <w:r w:rsidRPr="002E3458">
              <w:rPr>
                <w:i/>
                <w:sz w:val="16"/>
                <w:szCs w:val="16"/>
                <w:lang w:val="en-US"/>
              </w:rPr>
              <w:t>2001</w:t>
            </w:r>
          </w:p>
        </w:tc>
      </w:tr>
      <w:tr w:rsidR="002E3458" w:rsidRPr="002E3458" w:rsidTr="00A11A9E">
        <w:trPr>
          <w:trHeight w:val="20"/>
        </w:trPr>
        <w:tc>
          <w:tcPr>
            <w:tcW w:w="2608" w:type="dxa"/>
            <w:tcBorders>
              <w:top w:val="single" w:sz="12" w:space="0" w:color="auto"/>
            </w:tcBorders>
            <w:shd w:val="clear" w:color="auto" w:fill="auto"/>
          </w:tcPr>
          <w:p w:rsidR="001C7D76" w:rsidRPr="00A11A9E" w:rsidRDefault="001C7D76" w:rsidP="00A11A9E">
            <w:pPr>
              <w:suppressAutoHyphens w:val="0"/>
              <w:spacing w:before="40" w:after="40" w:line="220" w:lineRule="exact"/>
              <w:rPr>
                <w:sz w:val="18"/>
                <w:szCs w:val="16"/>
                <w:lang w:val="en-US"/>
              </w:rPr>
            </w:pPr>
            <w:r w:rsidRPr="00A11A9E">
              <w:rPr>
                <w:sz w:val="18"/>
                <w:szCs w:val="16"/>
                <w:lang w:val="en-US"/>
              </w:rPr>
              <w:t xml:space="preserve">Number of psychiatric patients receiving medical treatment </w:t>
            </w:r>
            <w:r w:rsidR="00F21079">
              <w:rPr>
                <w:sz w:val="18"/>
                <w:szCs w:val="16"/>
                <w:lang w:val="en-US"/>
              </w:rPr>
              <w:br/>
            </w:r>
            <w:r w:rsidRPr="00A11A9E">
              <w:rPr>
                <w:sz w:val="18"/>
                <w:szCs w:val="16"/>
                <w:lang w:val="en-US"/>
              </w:rPr>
              <w:t>without consent</w:t>
            </w:r>
          </w:p>
        </w:tc>
        <w:tc>
          <w:tcPr>
            <w:tcW w:w="454"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szCs w:val="16"/>
                <w:lang w:val="en-US"/>
              </w:rPr>
            </w:pPr>
            <w:r w:rsidRPr="00A11A9E">
              <w:rPr>
                <w:sz w:val="18"/>
                <w:szCs w:val="16"/>
                <w:lang w:val="en-US"/>
              </w:rPr>
              <w:t>652</w:t>
            </w:r>
          </w:p>
        </w:tc>
        <w:tc>
          <w:tcPr>
            <w:tcW w:w="454"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szCs w:val="16"/>
                <w:lang w:val="en-US"/>
              </w:rPr>
            </w:pPr>
            <w:r w:rsidRPr="00A11A9E">
              <w:rPr>
                <w:sz w:val="18"/>
                <w:szCs w:val="16"/>
                <w:lang w:val="en-US"/>
              </w:rPr>
              <w:t>581</w:t>
            </w:r>
          </w:p>
        </w:tc>
        <w:tc>
          <w:tcPr>
            <w:tcW w:w="454"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szCs w:val="16"/>
                <w:lang w:val="en-US"/>
              </w:rPr>
            </w:pPr>
            <w:r w:rsidRPr="00A11A9E">
              <w:rPr>
                <w:sz w:val="18"/>
                <w:szCs w:val="16"/>
                <w:lang w:val="en-US"/>
              </w:rPr>
              <w:t>626</w:t>
            </w:r>
          </w:p>
        </w:tc>
        <w:tc>
          <w:tcPr>
            <w:tcW w:w="454"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szCs w:val="16"/>
                <w:lang w:val="en-US"/>
              </w:rPr>
            </w:pPr>
            <w:r w:rsidRPr="00A11A9E">
              <w:rPr>
                <w:sz w:val="18"/>
                <w:szCs w:val="16"/>
                <w:lang w:val="en-US"/>
              </w:rPr>
              <w:t>583</w:t>
            </w:r>
          </w:p>
        </w:tc>
        <w:tc>
          <w:tcPr>
            <w:tcW w:w="454"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szCs w:val="16"/>
                <w:lang w:val="en-US"/>
              </w:rPr>
            </w:pPr>
            <w:r w:rsidRPr="00A11A9E">
              <w:rPr>
                <w:sz w:val="18"/>
                <w:szCs w:val="16"/>
                <w:lang w:val="en-US"/>
              </w:rPr>
              <w:t>576</w:t>
            </w:r>
          </w:p>
        </w:tc>
        <w:tc>
          <w:tcPr>
            <w:tcW w:w="454"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szCs w:val="16"/>
                <w:lang w:val="en-US"/>
              </w:rPr>
            </w:pPr>
            <w:r w:rsidRPr="00A11A9E">
              <w:rPr>
                <w:sz w:val="18"/>
                <w:szCs w:val="16"/>
                <w:lang w:val="en-US"/>
              </w:rPr>
              <w:t>557</w:t>
            </w:r>
          </w:p>
        </w:tc>
        <w:tc>
          <w:tcPr>
            <w:tcW w:w="454"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szCs w:val="16"/>
                <w:lang w:val="en-US"/>
              </w:rPr>
            </w:pPr>
            <w:r w:rsidRPr="00A11A9E">
              <w:rPr>
                <w:sz w:val="18"/>
                <w:szCs w:val="16"/>
                <w:lang w:val="en-US"/>
              </w:rPr>
              <w:t>542</w:t>
            </w:r>
          </w:p>
        </w:tc>
        <w:tc>
          <w:tcPr>
            <w:tcW w:w="454"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szCs w:val="16"/>
                <w:lang w:val="en-US"/>
              </w:rPr>
            </w:pPr>
            <w:r w:rsidRPr="00A11A9E">
              <w:rPr>
                <w:sz w:val="18"/>
                <w:szCs w:val="16"/>
                <w:lang w:val="en-US"/>
              </w:rPr>
              <w:t>553</w:t>
            </w:r>
          </w:p>
        </w:tc>
        <w:tc>
          <w:tcPr>
            <w:tcW w:w="454"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szCs w:val="16"/>
                <w:lang w:val="en-US"/>
              </w:rPr>
            </w:pPr>
            <w:r w:rsidRPr="00A11A9E">
              <w:rPr>
                <w:sz w:val="18"/>
                <w:szCs w:val="16"/>
                <w:lang w:val="en-US"/>
              </w:rPr>
              <w:t>550</w:t>
            </w:r>
          </w:p>
        </w:tc>
        <w:tc>
          <w:tcPr>
            <w:tcW w:w="454"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szCs w:val="16"/>
                <w:lang w:val="en-US"/>
              </w:rPr>
            </w:pPr>
            <w:r w:rsidRPr="00A11A9E">
              <w:rPr>
                <w:sz w:val="18"/>
                <w:szCs w:val="16"/>
                <w:lang w:val="en-US"/>
              </w:rPr>
              <w:t>547</w:t>
            </w:r>
          </w:p>
        </w:tc>
        <w:tc>
          <w:tcPr>
            <w:tcW w:w="454"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szCs w:val="16"/>
                <w:lang w:val="en-US"/>
              </w:rPr>
            </w:pPr>
            <w:r w:rsidRPr="00A11A9E">
              <w:rPr>
                <w:sz w:val="18"/>
                <w:szCs w:val="16"/>
                <w:lang w:val="en-US"/>
              </w:rPr>
              <w:t>520</w:t>
            </w:r>
          </w:p>
        </w:tc>
        <w:tc>
          <w:tcPr>
            <w:tcW w:w="454"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szCs w:val="16"/>
                <w:lang w:val="en-US"/>
              </w:rPr>
            </w:pPr>
            <w:r w:rsidRPr="00A11A9E">
              <w:rPr>
                <w:sz w:val="18"/>
                <w:szCs w:val="16"/>
                <w:lang w:val="en-US"/>
              </w:rPr>
              <w:t>550</w:t>
            </w:r>
          </w:p>
        </w:tc>
        <w:tc>
          <w:tcPr>
            <w:tcW w:w="454"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szCs w:val="16"/>
                <w:lang w:val="en-US"/>
              </w:rPr>
            </w:pPr>
            <w:r w:rsidRPr="00A11A9E">
              <w:rPr>
                <w:sz w:val="18"/>
                <w:szCs w:val="16"/>
                <w:lang w:val="en-US"/>
              </w:rPr>
              <w:t>573</w:t>
            </w:r>
          </w:p>
        </w:tc>
      </w:tr>
    </w:tbl>
    <w:p w:rsidR="001C7D76" w:rsidRPr="00A11A9E" w:rsidRDefault="00A40642" w:rsidP="00A11A9E">
      <w:pPr>
        <w:pStyle w:val="SingleTxtG"/>
        <w:spacing w:before="120" w:after="240"/>
        <w:ind w:firstLine="170"/>
        <w:jc w:val="left"/>
        <w:rPr>
          <w:sz w:val="18"/>
          <w:szCs w:val="18"/>
        </w:rPr>
      </w:pPr>
      <w:r w:rsidRPr="00A11A9E">
        <w:rPr>
          <w:i/>
          <w:iCs/>
          <w:sz w:val="18"/>
          <w:szCs w:val="18"/>
        </w:rPr>
        <w:t>Source</w:t>
      </w:r>
      <w:r>
        <w:rPr>
          <w:sz w:val="18"/>
          <w:szCs w:val="18"/>
        </w:rPr>
        <w:t xml:space="preserve">: </w:t>
      </w:r>
      <w:r w:rsidR="001C7D76" w:rsidRPr="00A11A9E">
        <w:rPr>
          <w:sz w:val="18"/>
          <w:szCs w:val="18"/>
        </w:rPr>
        <w:t>Statens Serum Institut, Health Data</w:t>
      </w:r>
      <w:r w:rsidR="002E3458" w:rsidRPr="00A11A9E">
        <w:rPr>
          <w:sz w:val="18"/>
          <w:szCs w:val="18"/>
        </w:rPr>
        <w:t>.</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08"/>
        <w:gridCol w:w="454"/>
        <w:gridCol w:w="454"/>
        <w:gridCol w:w="454"/>
        <w:gridCol w:w="454"/>
        <w:gridCol w:w="454"/>
        <w:gridCol w:w="454"/>
        <w:gridCol w:w="454"/>
        <w:gridCol w:w="454"/>
        <w:gridCol w:w="454"/>
        <w:gridCol w:w="454"/>
        <w:gridCol w:w="454"/>
        <w:gridCol w:w="454"/>
        <w:gridCol w:w="454"/>
      </w:tblGrid>
      <w:tr w:rsidR="002E3458" w:rsidRPr="002E3458" w:rsidTr="00A11A9E">
        <w:trPr>
          <w:trHeight w:val="240"/>
          <w:tblHeader/>
        </w:trPr>
        <w:tc>
          <w:tcPr>
            <w:tcW w:w="2608" w:type="dxa"/>
            <w:tcBorders>
              <w:top w:val="single" w:sz="4" w:space="0" w:color="auto"/>
              <w:bottom w:val="single" w:sz="12" w:space="0" w:color="auto"/>
            </w:tcBorders>
            <w:shd w:val="clear" w:color="auto" w:fill="auto"/>
            <w:vAlign w:val="bottom"/>
            <w:hideMark/>
          </w:tcPr>
          <w:p w:rsidR="001C7D76" w:rsidRPr="002E3458" w:rsidRDefault="001C7D76" w:rsidP="00A11A9E">
            <w:pPr>
              <w:suppressAutoHyphens w:val="0"/>
              <w:spacing w:before="80" w:after="80" w:line="200" w:lineRule="exact"/>
              <w:ind w:right="113"/>
              <w:rPr>
                <w:i/>
                <w:sz w:val="16"/>
                <w:szCs w:val="16"/>
                <w:lang w:val="en-US"/>
              </w:rPr>
            </w:pPr>
            <w:r w:rsidRPr="002E3458">
              <w:rPr>
                <w:i/>
                <w:sz w:val="16"/>
                <w:szCs w:val="16"/>
                <w:lang w:val="en-US"/>
              </w:rPr>
              <w:t>Year</w:t>
            </w:r>
          </w:p>
        </w:tc>
        <w:tc>
          <w:tcPr>
            <w:tcW w:w="454" w:type="dxa"/>
            <w:tcBorders>
              <w:top w:val="single" w:sz="4" w:space="0" w:color="auto"/>
              <w:bottom w:val="single" w:sz="12" w:space="0" w:color="auto"/>
            </w:tcBorders>
            <w:shd w:val="clear" w:color="auto" w:fill="auto"/>
            <w:vAlign w:val="bottom"/>
          </w:tcPr>
          <w:p w:rsidR="001C7D76" w:rsidRPr="002E3458" w:rsidRDefault="001C7D76" w:rsidP="00A11A9E">
            <w:pPr>
              <w:suppressAutoHyphens w:val="0"/>
              <w:spacing w:before="80" w:after="80" w:line="200" w:lineRule="exact"/>
              <w:jc w:val="right"/>
              <w:rPr>
                <w:i/>
                <w:sz w:val="16"/>
                <w:szCs w:val="16"/>
                <w:lang w:val="en-US"/>
              </w:rPr>
            </w:pPr>
            <w:r w:rsidRPr="002E3458">
              <w:rPr>
                <w:i/>
                <w:sz w:val="16"/>
                <w:szCs w:val="16"/>
                <w:lang w:val="en-US"/>
              </w:rPr>
              <w:t>2013</w:t>
            </w:r>
          </w:p>
        </w:tc>
        <w:tc>
          <w:tcPr>
            <w:tcW w:w="454" w:type="dxa"/>
            <w:tcBorders>
              <w:top w:val="single" w:sz="4" w:space="0" w:color="auto"/>
              <w:bottom w:val="single" w:sz="12" w:space="0" w:color="auto"/>
            </w:tcBorders>
            <w:shd w:val="clear" w:color="auto" w:fill="auto"/>
            <w:vAlign w:val="bottom"/>
          </w:tcPr>
          <w:p w:rsidR="001C7D76" w:rsidRPr="002E3458" w:rsidRDefault="001C7D76" w:rsidP="00A11A9E">
            <w:pPr>
              <w:suppressAutoHyphens w:val="0"/>
              <w:spacing w:before="80" w:after="80" w:line="200" w:lineRule="exact"/>
              <w:jc w:val="right"/>
              <w:rPr>
                <w:i/>
                <w:sz w:val="16"/>
                <w:szCs w:val="16"/>
                <w:lang w:val="en-US"/>
              </w:rPr>
            </w:pPr>
            <w:r w:rsidRPr="002E3458">
              <w:rPr>
                <w:i/>
                <w:sz w:val="16"/>
                <w:szCs w:val="16"/>
                <w:lang w:val="en-US"/>
              </w:rPr>
              <w:t>2012</w:t>
            </w:r>
          </w:p>
        </w:tc>
        <w:tc>
          <w:tcPr>
            <w:tcW w:w="454" w:type="dxa"/>
            <w:tcBorders>
              <w:top w:val="single" w:sz="4" w:space="0" w:color="auto"/>
              <w:bottom w:val="single" w:sz="12" w:space="0" w:color="auto"/>
            </w:tcBorders>
            <w:shd w:val="clear" w:color="auto" w:fill="auto"/>
            <w:vAlign w:val="bottom"/>
          </w:tcPr>
          <w:p w:rsidR="001C7D76" w:rsidRPr="002E3458" w:rsidRDefault="001C7D76" w:rsidP="00A11A9E">
            <w:pPr>
              <w:suppressAutoHyphens w:val="0"/>
              <w:spacing w:before="80" w:after="80" w:line="200" w:lineRule="exact"/>
              <w:jc w:val="right"/>
              <w:rPr>
                <w:i/>
                <w:sz w:val="16"/>
                <w:szCs w:val="16"/>
                <w:lang w:val="en-US"/>
              </w:rPr>
            </w:pPr>
            <w:r w:rsidRPr="002E3458">
              <w:rPr>
                <w:i/>
                <w:sz w:val="16"/>
                <w:szCs w:val="16"/>
                <w:lang w:val="en-US"/>
              </w:rPr>
              <w:t>2011</w:t>
            </w:r>
          </w:p>
        </w:tc>
        <w:tc>
          <w:tcPr>
            <w:tcW w:w="454" w:type="dxa"/>
            <w:tcBorders>
              <w:top w:val="single" w:sz="4" w:space="0" w:color="auto"/>
              <w:bottom w:val="single" w:sz="12" w:space="0" w:color="auto"/>
            </w:tcBorders>
            <w:shd w:val="clear" w:color="auto" w:fill="auto"/>
            <w:vAlign w:val="bottom"/>
          </w:tcPr>
          <w:p w:rsidR="001C7D76" w:rsidRPr="002E3458" w:rsidRDefault="001C7D76" w:rsidP="00A11A9E">
            <w:pPr>
              <w:suppressAutoHyphens w:val="0"/>
              <w:spacing w:before="80" w:after="80" w:line="200" w:lineRule="exact"/>
              <w:jc w:val="right"/>
              <w:rPr>
                <w:i/>
                <w:sz w:val="16"/>
                <w:szCs w:val="16"/>
                <w:lang w:val="en-US"/>
              </w:rPr>
            </w:pPr>
            <w:r w:rsidRPr="002E3458">
              <w:rPr>
                <w:i/>
                <w:sz w:val="16"/>
                <w:szCs w:val="16"/>
                <w:lang w:val="en-US"/>
              </w:rPr>
              <w:t>2010</w:t>
            </w:r>
          </w:p>
        </w:tc>
        <w:tc>
          <w:tcPr>
            <w:tcW w:w="454" w:type="dxa"/>
            <w:tcBorders>
              <w:top w:val="single" w:sz="4" w:space="0" w:color="auto"/>
              <w:bottom w:val="single" w:sz="12" w:space="0" w:color="auto"/>
            </w:tcBorders>
            <w:shd w:val="clear" w:color="auto" w:fill="auto"/>
            <w:vAlign w:val="bottom"/>
          </w:tcPr>
          <w:p w:rsidR="001C7D76" w:rsidRPr="002E3458" w:rsidRDefault="001C7D76" w:rsidP="00A11A9E">
            <w:pPr>
              <w:suppressAutoHyphens w:val="0"/>
              <w:spacing w:before="80" w:after="80" w:line="200" w:lineRule="exact"/>
              <w:jc w:val="right"/>
              <w:rPr>
                <w:i/>
                <w:sz w:val="16"/>
                <w:szCs w:val="16"/>
                <w:lang w:val="en-US"/>
              </w:rPr>
            </w:pPr>
            <w:r w:rsidRPr="002E3458">
              <w:rPr>
                <w:i/>
                <w:sz w:val="16"/>
                <w:szCs w:val="16"/>
                <w:lang w:val="en-US"/>
              </w:rPr>
              <w:t>2009</w:t>
            </w:r>
          </w:p>
        </w:tc>
        <w:tc>
          <w:tcPr>
            <w:tcW w:w="454" w:type="dxa"/>
            <w:tcBorders>
              <w:top w:val="single" w:sz="4" w:space="0" w:color="auto"/>
              <w:bottom w:val="single" w:sz="12" w:space="0" w:color="auto"/>
            </w:tcBorders>
            <w:shd w:val="clear" w:color="auto" w:fill="auto"/>
            <w:vAlign w:val="bottom"/>
          </w:tcPr>
          <w:p w:rsidR="001C7D76" w:rsidRPr="002E3458" w:rsidRDefault="001C7D76" w:rsidP="00A11A9E">
            <w:pPr>
              <w:suppressAutoHyphens w:val="0"/>
              <w:spacing w:before="80" w:after="80" w:line="200" w:lineRule="exact"/>
              <w:jc w:val="right"/>
              <w:rPr>
                <w:i/>
                <w:sz w:val="16"/>
                <w:szCs w:val="16"/>
                <w:lang w:val="en-US"/>
              </w:rPr>
            </w:pPr>
            <w:r w:rsidRPr="002E3458">
              <w:rPr>
                <w:i/>
                <w:sz w:val="16"/>
                <w:szCs w:val="16"/>
                <w:lang w:val="en-US"/>
              </w:rPr>
              <w:t>2008</w:t>
            </w:r>
          </w:p>
        </w:tc>
        <w:tc>
          <w:tcPr>
            <w:tcW w:w="454" w:type="dxa"/>
            <w:tcBorders>
              <w:top w:val="single" w:sz="4" w:space="0" w:color="auto"/>
              <w:bottom w:val="single" w:sz="12" w:space="0" w:color="auto"/>
            </w:tcBorders>
            <w:shd w:val="clear" w:color="auto" w:fill="auto"/>
            <w:vAlign w:val="bottom"/>
          </w:tcPr>
          <w:p w:rsidR="001C7D76" w:rsidRPr="002E3458" w:rsidRDefault="001C7D76" w:rsidP="00A11A9E">
            <w:pPr>
              <w:suppressAutoHyphens w:val="0"/>
              <w:spacing w:before="80" w:after="80" w:line="200" w:lineRule="exact"/>
              <w:jc w:val="right"/>
              <w:rPr>
                <w:i/>
                <w:sz w:val="16"/>
                <w:szCs w:val="16"/>
                <w:lang w:val="en-US"/>
              </w:rPr>
            </w:pPr>
            <w:r w:rsidRPr="002E3458">
              <w:rPr>
                <w:i/>
                <w:sz w:val="16"/>
                <w:szCs w:val="16"/>
                <w:lang w:val="en-US"/>
              </w:rPr>
              <w:t>2007</w:t>
            </w:r>
          </w:p>
        </w:tc>
        <w:tc>
          <w:tcPr>
            <w:tcW w:w="454" w:type="dxa"/>
            <w:tcBorders>
              <w:top w:val="single" w:sz="4" w:space="0" w:color="auto"/>
              <w:bottom w:val="single" w:sz="12" w:space="0" w:color="auto"/>
            </w:tcBorders>
            <w:shd w:val="clear" w:color="auto" w:fill="auto"/>
            <w:vAlign w:val="bottom"/>
          </w:tcPr>
          <w:p w:rsidR="001C7D76" w:rsidRPr="002E3458" w:rsidRDefault="001C7D76" w:rsidP="00A11A9E">
            <w:pPr>
              <w:suppressAutoHyphens w:val="0"/>
              <w:spacing w:before="80" w:after="80" w:line="200" w:lineRule="exact"/>
              <w:jc w:val="right"/>
              <w:rPr>
                <w:i/>
                <w:sz w:val="16"/>
                <w:szCs w:val="16"/>
                <w:lang w:val="en-US"/>
              </w:rPr>
            </w:pPr>
            <w:r w:rsidRPr="002E3458">
              <w:rPr>
                <w:i/>
                <w:sz w:val="16"/>
                <w:szCs w:val="16"/>
                <w:lang w:val="en-US"/>
              </w:rPr>
              <w:t>2006</w:t>
            </w:r>
          </w:p>
        </w:tc>
        <w:tc>
          <w:tcPr>
            <w:tcW w:w="454" w:type="dxa"/>
            <w:tcBorders>
              <w:top w:val="single" w:sz="4" w:space="0" w:color="auto"/>
              <w:bottom w:val="single" w:sz="12" w:space="0" w:color="auto"/>
            </w:tcBorders>
            <w:shd w:val="clear" w:color="auto" w:fill="auto"/>
            <w:vAlign w:val="bottom"/>
          </w:tcPr>
          <w:p w:rsidR="001C7D76" w:rsidRPr="002E3458" w:rsidRDefault="001C7D76" w:rsidP="00A11A9E">
            <w:pPr>
              <w:suppressAutoHyphens w:val="0"/>
              <w:spacing w:before="80" w:after="80" w:line="200" w:lineRule="exact"/>
              <w:jc w:val="right"/>
              <w:rPr>
                <w:i/>
                <w:sz w:val="16"/>
                <w:szCs w:val="16"/>
                <w:lang w:val="en-US"/>
              </w:rPr>
            </w:pPr>
            <w:r w:rsidRPr="002E3458">
              <w:rPr>
                <w:i/>
                <w:sz w:val="16"/>
                <w:szCs w:val="16"/>
                <w:lang w:val="en-US"/>
              </w:rPr>
              <w:t>2005</w:t>
            </w:r>
          </w:p>
        </w:tc>
        <w:tc>
          <w:tcPr>
            <w:tcW w:w="454" w:type="dxa"/>
            <w:tcBorders>
              <w:top w:val="single" w:sz="4" w:space="0" w:color="auto"/>
              <w:bottom w:val="single" w:sz="12" w:space="0" w:color="auto"/>
            </w:tcBorders>
            <w:shd w:val="clear" w:color="auto" w:fill="auto"/>
            <w:vAlign w:val="bottom"/>
          </w:tcPr>
          <w:p w:rsidR="001C7D76" w:rsidRPr="002E3458" w:rsidRDefault="001C7D76" w:rsidP="00A11A9E">
            <w:pPr>
              <w:suppressAutoHyphens w:val="0"/>
              <w:spacing w:before="80" w:after="80" w:line="200" w:lineRule="exact"/>
              <w:jc w:val="right"/>
              <w:rPr>
                <w:i/>
                <w:sz w:val="16"/>
                <w:szCs w:val="16"/>
                <w:lang w:val="en-US"/>
              </w:rPr>
            </w:pPr>
            <w:r w:rsidRPr="002E3458">
              <w:rPr>
                <w:i/>
                <w:sz w:val="16"/>
                <w:szCs w:val="16"/>
                <w:lang w:val="en-US"/>
              </w:rPr>
              <w:t>2004</w:t>
            </w:r>
          </w:p>
        </w:tc>
        <w:tc>
          <w:tcPr>
            <w:tcW w:w="454" w:type="dxa"/>
            <w:tcBorders>
              <w:top w:val="single" w:sz="4" w:space="0" w:color="auto"/>
              <w:bottom w:val="single" w:sz="12" w:space="0" w:color="auto"/>
            </w:tcBorders>
            <w:shd w:val="clear" w:color="auto" w:fill="auto"/>
            <w:vAlign w:val="bottom"/>
          </w:tcPr>
          <w:p w:rsidR="001C7D76" w:rsidRPr="002E3458" w:rsidRDefault="001C7D76" w:rsidP="00A11A9E">
            <w:pPr>
              <w:suppressAutoHyphens w:val="0"/>
              <w:spacing w:before="80" w:after="80" w:line="200" w:lineRule="exact"/>
              <w:jc w:val="right"/>
              <w:rPr>
                <w:i/>
                <w:sz w:val="16"/>
                <w:szCs w:val="16"/>
                <w:lang w:val="en-US"/>
              </w:rPr>
            </w:pPr>
            <w:r w:rsidRPr="002E3458">
              <w:rPr>
                <w:i/>
                <w:sz w:val="16"/>
                <w:szCs w:val="16"/>
                <w:lang w:val="en-US"/>
              </w:rPr>
              <w:t>2003</w:t>
            </w:r>
          </w:p>
        </w:tc>
        <w:tc>
          <w:tcPr>
            <w:tcW w:w="454" w:type="dxa"/>
            <w:tcBorders>
              <w:top w:val="single" w:sz="4" w:space="0" w:color="auto"/>
              <w:bottom w:val="single" w:sz="12" w:space="0" w:color="auto"/>
            </w:tcBorders>
            <w:shd w:val="clear" w:color="auto" w:fill="auto"/>
            <w:vAlign w:val="bottom"/>
          </w:tcPr>
          <w:p w:rsidR="001C7D76" w:rsidRPr="002E3458" w:rsidRDefault="001C7D76" w:rsidP="00A11A9E">
            <w:pPr>
              <w:suppressAutoHyphens w:val="0"/>
              <w:spacing w:before="80" w:after="80" w:line="200" w:lineRule="exact"/>
              <w:jc w:val="right"/>
              <w:rPr>
                <w:i/>
                <w:sz w:val="16"/>
                <w:szCs w:val="16"/>
                <w:lang w:val="en-US"/>
              </w:rPr>
            </w:pPr>
            <w:r w:rsidRPr="002E3458">
              <w:rPr>
                <w:i/>
                <w:sz w:val="16"/>
                <w:szCs w:val="16"/>
                <w:lang w:val="en-US"/>
              </w:rPr>
              <w:t>2002</w:t>
            </w:r>
          </w:p>
        </w:tc>
        <w:tc>
          <w:tcPr>
            <w:tcW w:w="454" w:type="dxa"/>
            <w:tcBorders>
              <w:top w:val="single" w:sz="4" w:space="0" w:color="auto"/>
              <w:bottom w:val="single" w:sz="12" w:space="0" w:color="auto"/>
            </w:tcBorders>
            <w:shd w:val="clear" w:color="auto" w:fill="auto"/>
            <w:vAlign w:val="bottom"/>
          </w:tcPr>
          <w:p w:rsidR="001C7D76" w:rsidRPr="002E3458" w:rsidRDefault="001C7D76" w:rsidP="00A11A9E">
            <w:pPr>
              <w:suppressAutoHyphens w:val="0"/>
              <w:spacing w:before="80" w:after="80" w:line="200" w:lineRule="exact"/>
              <w:jc w:val="right"/>
              <w:rPr>
                <w:i/>
                <w:sz w:val="16"/>
                <w:szCs w:val="16"/>
                <w:lang w:val="en-US"/>
              </w:rPr>
            </w:pPr>
            <w:r w:rsidRPr="002E3458">
              <w:rPr>
                <w:i/>
                <w:sz w:val="16"/>
                <w:szCs w:val="16"/>
                <w:lang w:val="en-US"/>
              </w:rPr>
              <w:t>2001</w:t>
            </w:r>
          </w:p>
        </w:tc>
      </w:tr>
      <w:tr w:rsidR="002E3458" w:rsidRPr="002E3458" w:rsidTr="00A11A9E">
        <w:trPr>
          <w:trHeight w:val="240"/>
        </w:trPr>
        <w:tc>
          <w:tcPr>
            <w:tcW w:w="2608" w:type="dxa"/>
            <w:tcBorders>
              <w:top w:val="single" w:sz="12" w:space="0" w:color="auto"/>
            </w:tcBorders>
            <w:shd w:val="clear" w:color="auto" w:fill="auto"/>
          </w:tcPr>
          <w:p w:rsidR="001C7D76" w:rsidRPr="00A11A9E" w:rsidRDefault="001C7D76" w:rsidP="00A11A9E">
            <w:pPr>
              <w:suppressAutoHyphens w:val="0"/>
              <w:spacing w:before="40" w:after="40" w:line="220" w:lineRule="exact"/>
              <w:ind w:right="113"/>
              <w:rPr>
                <w:sz w:val="18"/>
                <w:szCs w:val="16"/>
              </w:rPr>
            </w:pPr>
            <w:r w:rsidRPr="00A11A9E">
              <w:rPr>
                <w:sz w:val="18"/>
                <w:szCs w:val="16"/>
                <w:lang w:val="en-US"/>
              </w:rPr>
              <w:t>Number of psychiatric patients receiving ECT (electroconvulsive therapy) without consent</w:t>
            </w:r>
          </w:p>
        </w:tc>
        <w:tc>
          <w:tcPr>
            <w:tcW w:w="454"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szCs w:val="16"/>
              </w:rPr>
            </w:pPr>
            <w:r w:rsidRPr="00A11A9E">
              <w:rPr>
                <w:sz w:val="18"/>
                <w:szCs w:val="16"/>
              </w:rPr>
              <w:t>97</w:t>
            </w:r>
          </w:p>
        </w:tc>
        <w:tc>
          <w:tcPr>
            <w:tcW w:w="454"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szCs w:val="16"/>
              </w:rPr>
            </w:pPr>
            <w:r w:rsidRPr="00A11A9E">
              <w:rPr>
                <w:sz w:val="18"/>
                <w:szCs w:val="16"/>
              </w:rPr>
              <w:t>73</w:t>
            </w:r>
          </w:p>
        </w:tc>
        <w:tc>
          <w:tcPr>
            <w:tcW w:w="454"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szCs w:val="16"/>
              </w:rPr>
            </w:pPr>
            <w:r w:rsidRPr="00A11A9E">
              <w:rPr>
                <w:sz w:val="18"/>
                <w:szCs w:val="16"/>
              </w:rPr>
              <w:t>105</w:t>
            </w:r>
          </w:p>
        </w:tc>
        <w:tc>
          <w:tcPr>
            <w:tcW w:w="454"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szCs w:val="16"/>
              </w:rPr>
            </w:pPr>
            <w:r w:rsidRPr="00A11A9E">
              <w:rPr>
                <w:sz w:val="18"/>
                <w:szCs w:val="16"/>
              </w:rPr>
              <w:t>91</w:t>
            </w:r>
          </w:p>
        </w:tc>
        <w:tc>
          <w:tcPr>
            <w:tcW w:w="454"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szCs w:val="16"/>
              </w:rPr>
            </w:pPr>
            <w:r w:rsidRPr="00A11A9E">
              <w:rPr>
                <w:sz w:val="18"/>
                <w:szCs w:val="16"/>
              </w:rPr>
              <w:t>85</w:t>
            </w:r>
          </w:p>
        </w:tc>
        <w:tc>
          <w:tcPr>
            <w:tcW w:w="454"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szCs w:val="16"/>
              </w:rPr>
            </w:pPr>
            <w:r w:rsidRPr="00A11A9E">
              <w:rPr>
                <w:sz w:val="18"/>
                <w:szCs w:val="16"/>
              </w:rPr>
              <w:t>90</w:t>
            </w:r>
          </w:p>
        </w:tc>
        <w:tc>
          <w:tcPr>
            <w:tcW w:w="454"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szCs w:val="16"/>
              </w:rPr>
            </w:pPr>
            <w:r w:rsidRPr="00A11A9E">
              <w:rPr>
                <w:sz w:val="18"/>
                <w:szCs w:val="16"/>
              </w:rPr>
              <w:t>75</w:t>
            </w:r>
          </w:p>
        </w:tc>
        <w:tc>
          <w:tcPr>
            <w:tcW w:w="454"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szCs w:val="16"/>
              </w:rPr>
            </w:pPr>
            <w:r w:rsidRPr="00A11A9E">
              <w:rPr>
                <w:sz w:val="18"/>
                <w:szCs w:val="16"/>
              </w:rPr>
              <w:t>86</w:t>
            </w:r>
          </w:p>
        </w:tc>
        <w:tc>
          <w:tcPr>
            <w:tcW w:w="454"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szCs w:val="16"/>
              </w:rPr>
            </w:pPr>
            <w:r w:rsidRPr="00A11A9E">
              <w:rPr>
                <w:sz w:val="18"/>
                <w:szCs w:val="16"/>
              </w:rPr>
              <w:t>92</w:t>
            </w:r>
          </w:p>
        </w:tc>
        <w:tc>
          <w:tcPr>
            <w:tcW w:w="454"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szCs w:val="16"/>
              </w:rPr>
            </w:pPr>
            <w:r w:rsidRPr="00A11A9E">
              <w:rPr>
                <w:sz w:val="18"/>
                <w:szCs w:val="16"/>
              </w:rPr>
              <w:t>86</w:t>
            </w:r>
          </w:p>
        </w:tc>
        <w:tc>
          <w:tcPr>
            <w:tcW w:w="454"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szCs w:val="16"/>
              </w:rPr>
            </w:pPr>
            <w:r w:rsidRPr="00A11A9E">
              <w:rPr>
                <w:sz w:val="18"/>
                <w:szCs w:val="16"/>
              </w:rPr>
              <w:t>86</w:t>
            </w:r>
          </w:p>
        </w:tc>
        <w:tc>
          <w:tcPr>
            <w:tcW w:w="454"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szCs w:val="16"/>
              </w:rPr>
            </w:pPr>
            <w:r w:rsidRPr="00A11A9E">
              <w:rPr>
                <w:sz w:val="18"/>
                <w:szCs w:val="16"/>
              </w:rPr>
              <w:t>81</w:t>
            </w:r>
          </w:p>
        </w:tc>
        <w:tc>
          <w:tcPr>
            <w:tcW w:w="454"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szCs w:val="16"/>
              </w:rPr>
            </w:pPr>
            <w:r w:rsidRPr="00A11A9E">
              <w:rPr>
                <w:sz w:val="18"/>
                <w:szCs w:val="16"/>
              </w:rPr>
              <w:t>91</w:t>
            </w:r>
          </w:p>
        </w:tc>
      </w:tr>
    </w:tbl>
    <w:p w:rsidR="001C7D76" w:rsidRDefault="00A11A9E" w:rsidP="00A11A9E">
      <w:pPr>
        <w:pStyle w:val="SingleTxtG"/>
        <w:spacing w:before="240"/>
        <w:rPr>
          <w:lang w:val="en-US"/>
        </w:rPr>
      </w:pPr>
      <w:r>
        <w:rPr>
          <w:lang w:val="en-US"/>
        </w:rPr>
        <w:t>146.</w:t>
      </w:r>
      <w:r>
        <w:rPr>
          <w:lang w:val="en-US"/>
        </w:rPr>
        <w:tab/>
      </w:r>
      <w:r w:rsidR="001C7D76" w:rsidRPr="00712B96">
        <w:rPr>
          <w:lang w:val="en-US"/>
        </w:rPr>
        <w:t>The Government has a strong focus on reducing the use of coercion in psychiatry. This issue has been one of the tasks of the Commission on Mental Health established in May 2012</w:t>
      </w:r>
      <w:r w:rsidR="001C7D76">
        <w:rPr>
          <w:lang w:val="en-US"/>
        </w:rPr>
        <w:t xml:space="preserve"> with a broad variety of members</w:t>
      </w:r>
      <w:r w:rsidR="001C7D76" w:rsidRPr="00712B96">
        <w:rPr>
          <w:lang w:val="en-US"/>
        </w:rPr>
        <w:t xml:space="preserve">. </w:t>
      </w:r>
      <w:r w:rsidR="001C7D76">
        <w:rPr>
          <w:lang w:val="en-US"/>
        </w:rPr>
        <w:t>Its</w:t>
      </w:r>
      <w:r w:rsidR="001C7D76" w:rsidRPr="00712B96">
        <w:rPr>
          <w:lang w:val="en-US"/>
        </w:rPr>
        <w:t xml:space="preserve"> task </w:t>
      </w:r>
      <w:r w:rsidR="001C7D76">
        <w:rPr>
          <w:lang w:val="en-US"/>
        </w:rPr>
        <w:t>was</w:t>
      </w:r>
      <w:r w:rsidR="001C7D76" w:rsidRPr="00712B96">
        <w:rPr>
          <w:lang w:val="en-US"/>
        </w:rPr>
        <w:t xml:space="preserve"> to </w:t>
      </w:r>
      <w:r w:rsidR="001C7D76">
        <w:rPr>
          <w:lang w:val="en-US"/>
        </w:rPr>
        <w:t>formulate</w:t>
      </w:r>
      <w:r w:rsidR="001C7D76" w:rsidRPr="00712B96">
        <w:rPr>
          <w:lang w:val="en-US"/>
        </w:rPr>
        <w:t xml:space="preserve"> proposals on how </w:t>
      </w:r>
      <w:r w:rsidR="001C7D76">
        <w:rPr>
          <w:lang w:val="en-US"/>
        </w:rPr>
        <w:t>to best organize</w:t>
      </w:r>
      <w:r w:rsidR="001C7D76" w:rsidRPr="00712B96">
        <w:rPr>
          <w:lang w:val="en-US"/>
        </w:rPr>
        <w:t xml:space="preserve"> treatment and support for </w:t>
      </w:r>
      <w:r w:rsidR="001C7D76">
        <w:rPr>
          <w:lang w:val="en-US"/>
        </w:rPr>
        <w:t>persons</w:t>
      </w:r>
      <w:r w:rsidR="001C7D76" w:rsidRPr="00712B96">
        <w:rPr>
          <w:lang w:val="en-US"/>
        </w:rPr>
        <w:t xml:space="preserve"> with </w:t>
      </w:r>
      <w:r w:rsidR="001C7D76">
        <w:rPr>
          <w:lang w:val="en-US"/>
        </w:rPr>
        <w:t xml:space="preserve">a </w:t>
      </w:r>
      <w:r w:rsidR="001C7D76" w:rsidRPr="00712B96">
        <w:rPr>
          <w:lang w:val="en-US"/>
        </w:rPr>
        <w:t>mental disorder, including the use of coercion in psychiatry. The Commission submitted its report to the Government on 4</w:t>
      </w:r>
      <w:r w:rsidR="00210ACC">
        <w:rPr>
          <w:lang w:val="en-US"/>
        </w:rPr>
        <w:t> </w:t>
      </w:r>
      <w:r w:rsidR="001C7D76" w:rsidRPr="00712B96">
        <w:rPr>
          <w:lang w:val="en-US"/>
        </w:rPr>
        <w:t xml:space="preserve">October 2013. </w:t>
      </w:r>
    </w:p>
    <w:p w:rsidR="001C7D76" w:rsidRPr="00A11A9E" w:rsidRDefault="00A11A9E" w:rsidP="00A11A9E">
      <w:pPr>
        <w:pStyle w:val="SingleTxtG"/>
        <w:rPr>
          <w:lang w:val="en-US"/>
        </w:rPr>
      </w:pPr>
      <w:r w:rsidRPr="00A11A9E">
        <w:rPr>
          <w:lang w:val="en-US"/>
        </w:rPr>
        <w:t>147.</w:t>
      </w:r>
      <w:r w:rsidRPr="00A11A9E">
        <w:rPr>
          <w:lang w:val="en-US"/>
        </w:rPr>
        <w:tab/>
      </w:r>
      <w:r w:rsidR="001C7D76">
        <w:rPr>
          <w:lang w:val="en-US"/>
        </w:rPr>
        <w:t>In</w:t>
      </w:r>
      <w:r w:rsidR="001C7D76" w:rsidRPr="000D7B3A">
        <w:rPr>
          <w:lang w:val="en-US"/>
        </w:rPr>
        <w:t xml:space="preserve"> 2014</w:t>
      </w:r>
      <w:r w:rsidR="001C7D76">
        <w:rPr>
          <w:lang w:val="en-US"/>
        </w:rPr>
        <w:t>,</w:t>
      </w:r>
      <w:r w:rsidR="001C7D76" w:rsidRPr="000D7B3A">
        <w:rPr>
          <w:lang w:val="en-US"/>
        </w:rPr>
        <w:t xml:space="preserve"> the Government presented a comprehensive long-term action plan for the future development and</w:t>
      </w:r>
      <w:r w:rsidR="001C7D76" w:rsidRPr="00C41F6E">
        <w:rPr>
          <w:lang w:val="en-US"/>
        </w:rPr>
        <w:t xml:space="preserve"> expansion of services </w:t>
      </w:r>
      <w:r w:rsidR="00210ACC">
        <w:rPr>
          <w:lang w:val="en-US"/>
        </w:rPr>
        <w:t>for</w:t>
      </w:r>
      <w:r w:rsidR="001C7D76" w:rsidRPr="00C41F6E">
        <w:rPr>
          <w:lang w:val="en-US"/>
        </w:rPr>
        <w:t xml:space="preserve"> people with mental illness. This plan includes e.g. targets for reducing coercion in psychiatry, including mechanical restraint. The keyword for the plan is equal effort. Psychiatric patients must receive the same effort, have the same rights and get the same high quality in treatment and rehabilitation as patients with physical illness. </w:t>
      </w:r>
    </w:p>
    <w:p w:rsidR="001C7D76" w:rsidRPr="00C41F6E" w:rsidRDefault="00A11A9E" w:rsidP="00A11A9E">
      <w:pPr>
        <w:pStyle w:val="SingleTxtG"/>
        <w:rPr>
          <w:lang w:val="en-US"/>
        </w:rPr>
      </w:pPr>
      <w:r w:rsidRPr="00C41F6E">
        <w:rPr>
          <w:lang w:val="en-US"/>
        </w:rPr>
        <w:t>148.</w:t>
      </w:r>
      <w:r w:rsidRPr="00C41F6E">
        <w:rPr>
          <w:lang w:val="en-US"/>
        </w:rPr>
        <w:tab/>
      </w:r>
      <w:r w:rsidR="001C7D76" w:rsidRPr="00C41F6E">
        <w:rPr>
          <w:lang w:val="en-US"/>
        </w:rPr>
        <w:t xml:space="preserve">The Government has permanently allocated 50 million </w:t>
      </w:r>
      <w:r w:rsidR="001C7D76">
        <w:rPr>
          <w:lang w:val="en-US"/>
        </w:rPr>
        <w:t>DKK</w:t>
      </w:r>
      <w:r w:rsidR="001C7D76" w:rsidRPr="00C41F6E">
        <w:rPr>
          <w:lang w:val="en-US"/>
        </w:rPr>
        <w:t xml:space="preserve"> per year to partnerships as well as 100 million </w:t>
      </w:r>
      <w:r w:rsidR="001C7D76">
        <w:rPr>
          <w:lang w:val="en-US"/>
        </w:rPr>
        <w:t>DKK in</w:t>
      </w:r>
      <w:r w:rsidR="001C7D76" w:rsidRPr="00C41F6E">
        <w:rPr>
          <w:lang w:val="en-US"/>
        </w:rPr>
        <w:t xml:space="preserve"> 2014 to create a better physical environment at hospitals to support a reduction of coercion.</w:t>
      </w:r>
      <w:r w:rsidR="00AF685F">
        <w:rPr>
          <w:lang w:val="en-US"/>
        </w:rPr>
        <w:t xml:space="preserve"> </w:t>
      </w:r>
      <w:r w:rsidR="001C7D76">
        <w:rPr>
          <w:lang w:val="en-US"/>
        </w:rPr>
        <w:t xml:space="preserve">Furthermore, </w:t>
      </w:r>
      <w:r w:rsidR="001C7D76" w:rsidRPr="00C41F6E">
        <w:rPr>
          <w:lang w:val="en-US"/>
        </w:rPr>
        <w:t xml:space="preserve">74 million </w:t>
      </w:r>
      <w:r w:rsidR="001C7D76">
        <w:rPr>
          <w:lang w:val="en-US"/>
        </w:rPr>
        <w:t>DKK have been</w:t>
      </w:r>
      <w:r w:rsidR="001C7D76" w:rsidRPr="00C41F6E">
        <w:rPr>
          <w:lang w:val="en-US"/>
        </w:rPr>
        <w:t xml:space="preserve"> allocated over four years (2014-2017) to experiment with force-free units in psychiatry. </w:t>
      </w:r>
      <w:r w:rsidR="001C7D76">
        <w:rPr>
          <w:lang w:val="en-US"/>
        </w:rPr>
        <w:t>Additionally,</w:t>
      </w:r>
      <w:r w:rsidR="001C7D76" w:rsidRPr="00C41F6E">
        <w:rPr>
          <w:lang w:val="en-US"/>
        </w:rPr>
        <w:t xml:space="preserve"> 2</w:t>
      </w:r>
      <w:r w:rsidR="00210ACC">
        <w:rPr>
          <w:lang w:val="en-US"/>
        </w:rPr>
        <w:t> </w:t>
      </w:r>
      <w:r w:rsidR="001C7D76" w:rsidRPr="00C41F6E">
        <w:rPr>
          <w:lang w:val="en-US"/>
        </w:rPr>
        <w:t xml:space="preserve">billion </w:t>
      </w:r>
      <w:r w:rsidR="001C7D76">
        <w:rPr>
          <w:lang w:val="en-US"/>
        </w:rPr>
        <w:t xml:space="preserve">DKK </w:t>
      </w:r>
      <w:r w:rsidR="001C7D76" w:rsidRPr="00C41F6E">
        <w:rPr>
          <w:lang w:val="en-US"/>
        </w:rPr>
        <w:t>has been allocated</w:t>
      </w:r>
      <w:r w:rsidR="001C7D76" w:rsidRPr="00C41F6E">
        <w:rPr>
          <w:b/>
          <w:lang w:val="en-US"/>
        </w:rPr>
        <w:t xml:space="preserve"> </w:t>
      </w:r>
      <w:r w:rsidR="001C7D76" w:rsidRPr="00C41F6E">
        <w:rPr>
          <w:lang w:val="en-US"/>
        </w:rPr>
        <w:t xml:space="preserve">primarily to reduce waiting lists and create the necessary environment for a reduction in the use of coercive measures. </w:t>
      </w:r>
      <w:r w:rsidR="001C7D76">
        <w:rPr>
          <w:lang w:val="en-US"/>
        </w:rPr>
        <w:t>Thereby</w:t>
      </w:r>
      <w:r w:rsidR="001C7D76" w:rsidRPr="00C41F6E">
        <w:rPr>
          <w:lang w:val="en-US"/>
        </w:rPr>
        <w:t xml:space="preserve"> it will be possible to increase capacity and modernize the regional psychiatry.</w:t>
      </w:r>
    </w:p>
    <w:p w:rsidR="001C7D76" w:rsidRPr="00A11A9E" w:rsidRDefault="00A11A9E" w:rsidP="00A11A9E">
      <w:pPr>
        <w:pStyle w:val="SingleTxtG"/>
        <w:rPr>
          <w:lang w:val="en-US"/>
        </w:rPr>
      </w:pPr>
      <w:r w:rsidRPr="00A11A9E">
        <w:rPr>
          <w:lang w:val="en-US"/>
        </w:rPr>
        <w:t>149.</w:t>
      </w:r>
      <w:r w:rsidRPr="00A11A9E">
        <w:rPr>
          <w:lang w:val="en-US"/>
        </w:rPr>
        <w:tab/>
      </w:r>
      <w:r w:rsidR="001C7D76" w:rsidRPr="009D5E8B">
        <w:rPr>
          <w:lang w:val="en-US"/>
        </w:rPr>
        <w:t xml:space="preserve">Amendments to the Psychiatric Act entered into force on 1 October 2010. Amendments introduced since the previous amendments in 1998 and 2006 were combined in Consolidated Act </w:t>
      </w:r>
      <w:r w:rsidR="00434343">
        <w:rPr>
          <w:lang w:val="en-US"/>
        </w:rPr>
        <w:t>N</w:t>
      </w:r>
      <w:r w:rsidR="001C7D76" w:rsidRPr="009D5E8B">
        <w:rPr>
          <w:lang w:val="en-US"/>
        </w:rPr>
        <w:t xml:space="preserve">o. 1729 of 2 December 2010 on the use of coercion in psychiatry. All stakeholders involved in psychiatric care were consulted during the amendment process. </w:t>
      </w:r>
      <w:r w:rsidR="001C7D76">
        <w:rPr>
          <w:lang w:val="en-US"/>
        </w:rPr>
        <w:t>Moreover,</w:t>
      </w:r>
      <w:r w:rsidR="001C7D76" w:rsidRPr="009D5E8B">
        <w:rPr>
          <w:lang w:val="en-US"/>
        </w:rPr>
        <w:t xml:space="preserve"> </w:t>
      </w:r>
      <w:r w:rsidR="001C7D76" w:rsidRPr="00467E7D">
        <w:rPr>
          <w:lang w:val="en-US"/>
        </w:rPr>
        <w:t xml:space="preserve">the Government introduced a bill in 2015 to </w:t>
      </w:r>
      <w:r w:rsidR="001C7D76">
        <w:rPr>
          <w:lang w:val="en-US"/>
        </w:rPr>
        <w:t>amend</w:t>
      </w:r>
      <w:r w:rsidR="001C7D76" w:rsidRPr="00467E7D">
        <w:rPr>
          <w:lang w:val="en-US"/>
        </w:rPr>
        <w:t xml:space="preserve"> the Psychiatric Act in order to ensure better rights for psychiatric patients who are subject to detention or coercion. The </w:t>
      </w:r>
      <w:r w:rsidR="001C7D76">
        <w:rPr>
          <w:lang w:val="en-US"/>
        </w:rPr>
        <w:t xml:space="preserve">amendment of the </w:t>
      </w:r>
      <w:r w:rsidR="001C7D76" w:rsidRPr="00467E7D">
        <w:rPr>
          <w:lang w:val="en-US"/>
        </w:rPr>
        <w:t>Psychiatric Act include</w:t>
      </w:r>
      <w:r w:rsidR="001C7D76">
        <w:rPr>
          <w:lang w:val="en-US"/>
        </w:rPr>
        <w:t>s</w:t>
      </w:r>
      <w:r w:rsidR="001C7D76" w:rsidRPr="00467E7D">
        <w:rPr>
          <w:lang w:val="en-US"/>
        </w:rPr>
        <w:t xml:space="preserve"> measures with the aim </w:t>
      </w:r>
      <w:r w:rsidR="001C7D76">
        <w:rPr>
          <w:lang w:val="en-US"/>
        </w:rPr>
        <w:t>of</w:t>
      </w:r>
      <w:r w:rsidR="001C7D76" w:rsidRPr="00467E7D">
        <w:rPr>
          <w:lang w:val="en-US"/>
        </w:rPr>
        <w:t xml:space="preserve"> clarify</w:t>
      </w:r>
      <w:r w:rsidR="001C7D76">
        <w:rPr>
          <w:lang w:val="en-US"/>
        </w:rPr>
        <w:t>ing</w:t>
      </w:r>
      <w:r w:rsidR="001C7D76" w:rsidRPr="00467E7D">
        <w:rPr>
          <w:lang w:val="en-US"/>
        </w:rPr>
        <w:t xml:space="preserve"> the legal status of minors in psychiatric care, </w:t>
      </w:r>
      <w:r w:rsidR="001C7D76">
        <w:rPr>
          <w:lang w:val="en-US"/>
        </w:rPr>
        <w:t>ensuring</w:t>
      </w:r>
      <w:r w:rsidR="001C7D76" w:rsidRPr="00467E7D">
        <w:rPr>
          <w:lang w:val="en-US"/>
        </w:rPr>
        <w:t xml:space="preserve"> a stronger emphasis on the need to seek advance indications from the patient regarding treatment during the admission interview and tighten</w:t>
      </w:r>
      <w:r w:rsidR="00AD6BE1">
        <w:rPr>
          <w:lang w:val="en-US"/>
        </w:rPr>
        <w:t>ing</w:t>
      </w:r>
      <w:r w:rsidR="001C7D76" w:rsidRPr="00467E7D">
        <w:rPr>
          <w:lang w:val="en-US"/>
        </w:rPr>
        <w:t xml:space="preserve"> the criteria for and supervision of the use of medical restraint</w:t>
      </w:r>
      <w:r w:rsidR="001C7D76">
        <w:rPr>
          <w:lang w:val="en-US"/>
        </w:rPr>
        <w:t xml:space="preserve"> and thereby </w:t>
      </w:r>
      <w:r w:rsidR="001C7D76" w:rsidRPr="009D5E8B">
        <w:rPr>
          <w:lang w:val="en-US"/>
        </w:rPr>
        <w:t xml:space="preserve">reduce the use of restraint. </w:t>
      </w:r>
    </w:p>
    <w:p w:rsidR="001C7D76" w:rsidRPr="00425A86" w:rsidRDefault="00A11A9E" w:rsidP="00A11A9E">
      <w:pPr>
        <w:pStyle w:val="SingleTxtG"/>
        <w:rPr>
          <w:lang w:val="en-US"/>
        </w:rPr>
      </w:pPr>
      <w:r w:rsidRPr="00425A86">
        <w:rPr>
          <w:lang w:val="en-US"/>
        </w:rPr>
        <w:t>150.</w:t>
      </w:r>
      <w:r w:rsidRPr="00425A86">
        <w:rPr>
          <w:lang w:val="en-US"/>
        </w:rPr>
        <w:tab/>
      </w:r>
      <w:r w:rsidR="001C7D76" w:rsidRPr="00425A86">
        <w:rPr>
          <w:lang w:val="en-US"/>
        </w:rPr>
        <w:t xml:space="preserve">The new rules stipulate a minimum frequency of medical supervision and simultaneous assessment of whether restraint should cease or continue. Medical assessment must now take place at least </w:t>
      </w:r>
      <w:r w:rsidR="001C7D76">
        <w:rPr>
          <w:lang w:val="en-US"/>
        </w:rPr>
        <w:t>three</w:t>
      </w:r>
      <w:r w:rsidR="001C7D76" w:rsidRPr="00425A86">
        <w:rPr>
          <w:lang w:val="en-US"/>
        </w:rPr>
        <w:t xml:space="preserve"> times daily at evenly</w:t>
      </w:r>
      <w:r w:rsidR="00AD6BE1">
        <w:rPr>
          <w:lang w:val="en-US"/>
        </w:rPr>
        <w:t xml:space="preserve"> </w:t>
      </w:r>
      <w:r w:rsidR="001C7D76" w:rsidRPr="00425A86">
        <w:rPr>
          <w:lang w:val="en-US"/>
        </w:rPr>
        <w:t xml:space="preserve">spaced intervals. The aim for the systematically increased medical supervision is to focus the awareness of doctors as to whether the restraint should be maintained, and on the possibility of alternative treatment or measures. The overall goal is to ensure that any restraint continues no longer than absolutely necessary. </w:t>
      </w:r>
    </w:p>
    <w:p w:rsidR="001C7D76" w:rsidRDefault="00A11A9E" w:rsidP="00A11A9E">
      <w:pPr>
        <w:pStyle w:val="SingleTxtG"/>
        <w:rPr>
          <w:lang w:val="en-US"/>
        </w:rPr>
      </w:pPr>
      <w:r>
        <w:rPr>
          <w:lang w:val="en-US"/>
        </w:rPr>
        <w:t>151.</w:t>
      </w:r>
      <w:r>
        <w:rPr>
          <w:lang w:val="en-US"/>
        </w:rPr>
        <w:tab/>
      </w:r>
      <w:r w:rsidR="001C7D76">
        <w:rPr>
          <w:lang w:val="en-US"/>
        </w:rPr>
        <w:t xml:space="preserve">With the amendment of the </w:t>
      </w:r>
      <w:r w:rsidR="001C7D76" w:rsidRPr="00467E7D">
        <w:rPr>
          <w:lang w:val="en-US"/>
        </w:rPr>
        <w:t>Psychiatric Act</w:t>
      </w:r>
      <w:r w:rsidR="001C7D76">
        <w:rPr>
          <w:lang w:val="en-US"/>
        </w:rPr>
        <w:t xml:space="preserve"> </w:t>
      </w:r>
      <w:r w:rsidR="00434343">
        <w:rPr>
          <w:lang w:val="en-US"/>
        </w:rPr>
        <w:t>N</w:t>
      </w:r>
      <w:r w:rsidR="001C7D76">
        <w:rPr>
          <w:lang w:val="en-US"/>
        </w:rPr>
        <w:t xml:space="preserve">o. 579 of </w:t>
      </w:r>
      <w:r w:rsidR="00AD6BE1">
        <w:rPr>
          <w:lang w:val="en-US"/>
        </w:rPr>
        <w:t xml:space="preserve">2 </w:t>
      </w:r>
      <w:r w:rsidR="001C7D76">
        <w:rPr>
          <w:lang w:val="en-US"/>
        </w:rPr>
        <w:t>May 2015, t</w:t>
      </w:r>
      <w:r w:rsidR="001C7D76" w:rsidRPr="000E08DE">
        <w:rPr>
          <w:lang w:val="en-US"/>
        </w:rPr>
        <w:t xml:space="preserve">he decision to enforce restraint will moreover be subject to a special review if the measure is extended beyond </w:t>
      </w:r>
      <w:r w:rsidR="001C7D76">
        <w:rPr>
          <w:lang w:val="en-US"/>
        </w:rPr>
        <w:t>24</w:t>
      </w:r>
      <w:r w:rsidR="001C7D76" w:rsidRPr="000E08DE">
        <w:rPr>
          <w:lang w:val="en-US"/>
        </w:rPr>
        <w:t xml:space="preserve"> hours. This review is to be undertaken by a doctor who is not employed in the psychiatric unit in which the measure is being enforced, is not responsible for treating the patient, and is not a subordinate of the doctor treating the patient. This measure will secure independence in relation to the evaluation of the need to continue the immobilization. The doctor undertaking the external review must be a trained medical specialist in either psychiatry or child and adolescent psychiatry. This 48-hour review will be repeated </w:t>
      </w:r>
      <w:r w:rsidR="001C7D76">
        <w:rPr>
          <w:lang w:val="en-US"/>
        </w:rPr>
        <w:t>after 48</w:t>
      </w:r>
      <w:r w:rsidR="00AD6BE1">
        <w:rPr>
          <w:lang w:val="en-US"/>
        </w:rPr>
        <w:t> </w:t>
      </w:r>
      <w:r w:rsidR="001C7D76">
        <w:rPr>
          <w:lang w:val="en-US"/>
        </w:rPr>
        <w:t xml:space="preserve">hours, on the fourth day and </w:t>
      </w:r>
      <w:r w:rsidR="001C7D76" w:rsidRPr="000E08DE">
        <w:rPr>
          <w:lang w:val="en-US"/>
        </w:rPr>
        <w:t>every week as long as the patient is restrained.</w:t>
      </w:r>
    </w:p>
    <w:p w:rsidR="001C7D76" w:rsidRPr="00016C56" w:rsidRDefault="00A11A9E" w:rsidP="00A11A9E">
      <w:pPr>
        <w:pStyle w:val="SingleTxtG"/>
        <w:rPr>
          <w:u w:val="single"/>
        </w:rPr>
      </w:pPr>
      <w:r w:rsidRPr="00016C56">
        <w:t>152.</w:t>
      </w:r>
      <w:r w:rsidRPr="00016C56">
        <w:tab/>
      </w:r>
      <w:r w:rsidR="001C7D76">
        <w:rPr>
          <w:lang w:val="en-US"/>
        </w:rPr>
        <w:t>Moreover, t</w:t>
      </w:r>
      <w:r w:rsidR="001C7D76" w:rsidRPr="00196B3C">
        <w:rPr>
          <w:lang w:val="en-US"/>
        </w:rPr>
        <w:t>o reduce the use of coercion</w:t>
      </w:r>
      <w:r w:rsidR="001C7D76">
        <w:rPr>
          <w:lang w:val="en-US"/>
        </w:rPr>
        <w:t>,</w:t>
      </w:r>
      <w:r w:rsidR="001C7D76" w:rsidRPr="00196B3C">
        <w:rPr>
          <w:lang w:val="en-US"/>
        </w:rPr>
        <w:t xml:space="preserve"> the new Psychiatric Hospital in Slagelse has incorporated alternative treatment in the architecture of the building</w:t>
      </w:r>
      <w:r w:rsidR="001C7D76">
        <w:rPr>
          <w:lang w:val="en-US"/>
        </w:rPr>
        <w:t xml:space="preserve"> </w:t>
      </w:r>
      <w:r w:rsidR="001C7D76" w:rsidRPr="00C25DBF">
        <w:rPr>
          <w:lang w:val="en-US"/>
        </w:rPr>
        <w:t>e.g. by creating surroundings which actively influence patients in a positive manner.</w:t>
      </w:r>
      <w:r w:rsidR="001C7D76" w:rsidRPr="00196B3C">
        <w:rPr>
          <w:lang w:val="en-US"/>
        </w:rPr>
        <w:t xml:space="preserve"> </w:t>
      </w:r>
    </w:p>
    <w:p w:rsidR="001C7D76" w:rsidRPr="00016C56" w:rsidRDefault="001E0E3B" w:rsidP="001E0E3B">
      <w:pPr>
        <w:pStyle w:val="H1G"/>
      </w:pPr>
      <w:r>
        <w:tab/>
      </w:r>
      <w:r>
        <w:tab/>
      </w:r>
      <w:r w:rsidR="001C7D76" w:rsidRPr="00016C56">
        <w:t xml:space="preserve">Prohibition of slavery or forced or compulsory labour </w:t>
      </w:r>
    </w:p>
    <w:p w:rsidR="001C7D76" w:rsidRPr="00102FEC" w:rsidRDefault="001E0E3B" w:rsidP="00A11A9E">
      <w:pPr>
        <w:pStyle w:val="H23G"/>
        <w:rPr>
          <w:lang w:val="en-US" w:eastAsia="nb-NO"/>
        </w:rPr>
      </w:pPr>
      <w:r>
        <w:rPr>
          <w:lang w:val="en-US" w:eastAsia="nb-NO"/>
        </w:rPr>
        <w:tab/>
      </w:r>
      <w:r>
        <w:rPr>
          <w:lang w:val="en-US" w:eastAsia="nb-NO"/>
        </w:rPr>
        <w:tab/>
      </w:r>
      <w:r w:rsidR="001C7D76" w:rsidRPr="00102FEC">
        <w:rPr>
          <w:lang w:val="en-US" w:eastAsia="nb-NO"/>
        </w:rPr>
        <w:t xml:space="preserve">Reply to paragraph 16 of the </w:t>
      </w:r>
      <w:r w:rsidR="00FF0EDD">
        <w:rPr>
          <w:lang w:val="en-US" w:eastAsia="nb-NO"/>
        </w:rPr>
        <w:t>list of issues</w:t>
      </w:r>
      <w:r w:rsidR="001C7D76" w:rsidRPr="00102FEC">
        <w:rPr>
          <w:lang w:val="en-US"/>
        </w:rPr>
        <w:t xml:space="preserve"> [</w:t>
      </w:r>
      <w:r w:rsidR="001C7D76">
        <w:rPr>
          <w:lang w:val="en-US"/>
        </w:rPr>
        <w:t xml:space="preserve">Ministry of Justice and </w:t>
      </w:r>
      <w:r w:rsidR="001C7D76" w:rsidRPr="00102FEC">
        <w:rPr>
          <w:lang w:val="en-US"/>
        </w:rPr>
        <w:t xml:space="preserve">Ministry of </w:t>
      </w:r>
      <w:r w:rsidR="001C7D76">
        <w:rPr>
          <w:lang w:val="en-US"/>
        </w:rPr>
        <w:t xml:space="preserve">Children, Education and Gender Equality] </w:t>
      </w:r>
    </w:p>
    <w:p w:rsidR="001C7D76" w:rsidRPr="001E0E3B" w:rsidRDefault="00A11A9E" w:rsidP="00A11A9E">
      <w:pPr>
        <w:pStyle w:val="SingleTxtG"/>
      </w:pPr>
      <w:r w:rsidRPr="001E0E3B">
        <w:t>153.</w:t>
      </w:r>
      <w:r w:rsidRPr="001E0E3B">
        <w:tab/>
      </w:r>
      <w:r w:rsidR="001C7D76" w:rsidRPr="001E0E3B">
        <w:t>Denmark seeks to combat human trafficking through prevention strategies as well as through prosecution of the traffickers and by providing victims of trafficking with targeted support. Denmark has during the past 10 years developed an effective institutional system to address human trafficking and has implemented a large number of activities to support victims during their stay in Denmark.</w:t>
      </w:r>
    </w:p>
    <w:p w:rsidR="001C7D76" w:rsidRPr="001E0E3B" w:rsidRDefault="00A11A9E" w:rsidP="00A11A9E">
      <w:pPr>
        <w:pStyle w:val="SingleTxtG"/>
      </w:pPr>
      <w:r w:rsidRPr="001E0E3B">
        <w:t>154.</w:t>
      </w:r>
      <w:r w:rsidRPr="001E0E3B">
        <w:tab/>
      </w:r>
      <w:r w:rsidR="001C7D76" w:rsidRPr="001E0E3B">
        <w:t>An important result of these efforts has been the establishment of the Danish Centre against Human Trafficking (CMM) (</w:t>
      </w:r>
      <w:r w:rsidR="001C7D76" w:rsidRPr="00A11A9E">
        <w:rPr>
          <w:i/>
          <w:iCs/>
        </w:rPr>
        <w:t>Center mod Menneskehandel</w:t>
      </w:r>
      <w:r w:rsidR="001C7D76" w:rsidRPr="001E0E3B">
        <w:t>). The Centre coordinates social efforts for victims and is responsible for collating and disseminating statistical data and knowledge about human trafficking. In addition, the Centre instructs relevant actors, such as the police, tax authorities, labour inspectorates, health service providers and others in identifying victims of trafficking and in knowing who to contact on suspicion of a person being a victim of trafficking.</w:t>
      </w:r>
    </w:p>
    <w:p w:rsidR="001C7D76" w:rsidRPr="005B5090" w:rsidRDefault="00A11A9E" w:rsidP="00A11A9E">
      <w:pPr>
        <w:pStyle w:val="SingleTxtG"/>
      </w:pPr>
      <w:r w:rsidRPr="005B5090">
        <w:t>155.</w:t>
      </w:r>
      <w:r w:rsidRPr="005B5090">
        <w:tab/>
      </w:r>
      <w:r w:rsidR="001C7D76" w:rsidRPr="005B5090">
        <w:t>Victims of trafficking are offered various services under the current national Action Plan to Combat Trafficking in Human Beings (2015-2018) during their stay in Denmark. This includes health services, psychological care, counselling and safe housing for all victims, including asylum seekers and victims staying in Denmark on an illegal basis. Asylum</w:t>
      </w:r>
      <w:r w:rsidR="00254444" w:rsidRPr="005B5090">
        <w:t>-</w:t>
      </w:r>
      <w:r w:rsidR="001C7D76" w:rsidRPr="005B5090">
        <w:t>seeking victims and victims without legal stay in Denmark are supported by the Danish Immigration Service (</w:t>
      </w:r>
      <w:r w:rsidR="001C7D76" w:rsidRPr="00A11A9E">
        <w:rPr>
          <w:i/>
          <w:iCs/>
        </w:rPr>
        <w:t>Udlændingestyrelsen</w:t>
      </w:r>
      <w:r w:rsidR="001C7D76" w:rsidRPr="005B5090">
        <w:t xml:space="preserve">) and special assistance to victims of trafficking is provided in addition to the ordinary support, which includes housing e.g. in asylum centres where the staff is trained to support vulnerable persons. Victims with legal stay in Denmark are supported by CMM. Upon return to the home country, the victim receives assistance for a 6 month period. </w:t>
      </w:r>
    </w:p>
    <w:p w:rsidR="001C7D76" w:rsidRPr="001E0E3B" w:rsidRDefault="00A11A9E" w:rsidP="00A11A9E">
      <w:pPr>
        <w:pStyle w:val="SingleTxtG"/>
      </w:pPr>
      <w:r w:rsidRPr="001E0E3B">
        <w:t>156.</w:t>
      </w:r>
      <w:r w:rsidRPr="001E0E3B">
        <w:tab/>
      </w:r>
      <w:r w:rsidR="001C7D76" w:rsidRPr="001E0E3B">
        <w:t xml:space="preserve">Furthermore, special rules in the Aliens Act apply to presumed victims of trafficking who seek asylum or are in </w:t>
      </w:r>
      <w:r w:rsidR="001C7D76" w:rsidRPr="0062001E">
        <w:t>Denmark on an illegal basis. These rules</w:t>
      </w:r>
      <w:r w:rsidR="001C7D76" w:rsidRPr="001E0E3B">
        <w:t xml:space="preserve"> seek to provide aid and assistance to victims in order to help them recover, to enable them to escape the influence of the traffickers and start a life free of trafficking. Additionally, a recovery and reflection period of 30 days is granted to victims of trafficking who do not have permission to stay in Denmark. If special circumstances so warrant, or if the victim accepts an offer of a prepared return, </w:t>
      </w:r>
      <w:r w:rsidR="001C7D76" w:rsidRPr="0062001E">
        <w:t>the reflection period can be prolonged up to a total of 120 days. The prepared return is an individually planned repatriation program offered to all victims. The program is based on a contract between the Immigration Service and the International Organization for Migration (IOM). The program involves activities in Denmark during the reflection period, e.g. skills training courses</w:t>
      </w:r>
      <w:r w:rsidR="001C7D76" w:rsidRPr="001E0E3B">
        <w:t xml:space="preserve">, and </w:t>
      </w:r>
      <w:r w:rsidR="00EF602B">
        <w:t xml:space="preserve">for </w:t>
      </w:r>
      <w:r w:rsidR="001C7D76" w:rsidRPr="001E0E3B">
        <w:t>6 month</w:t>
      </w:r>
      <w:r w:rsidR="00EF602B">
        <w:t>s</w:t>
      </w:r>
      <w:r w:rsidR="001C7D76" w:rsidRPr="001E0E3B">
        <w:t xml:space="preserve"> upon return, e.g. schooling, assistance regarding small business start-up, subsistence allowance. </w:t>
      </w:r>
    </w:p>
    <w:p w:rsidR="001C7D76" w:rsidRPr="001E0E3B" w:rsidRDefault="00A11A9E" w:rsidP="00A11A9E">
      <w:pPr>
        <w:pStyle w:val="SingleTxtG"/>
      </w:pPr>
      <w:r w:rsidRPr="001E0E3B">
        <w:t>157.</w:t>
      </w:r>
      <w:r w:rsidRPr="001E0E3B">
        <w:tab/>
      </w:r>
      <w:r w:rsidR="001C7D76" w:rsidRPr="001E0E3B">
        <w:t xml:space="preserve">In 2015, a new Action Plan to Combat Trafficking in Human Beings for the period 2015-2018 was adopted. </w:t>
      </w:r>
    </w:p>
    <w:p w:rsidR="001C7D76" w:rsidRPr="0037515F" w:rsidRDefault="001E0E3B" w:rsidP="00A11A9E">
      <w:pPr>
        <w:pStyle w:val="H4G"/>
        <w:rPr>
          <w:lang w:val="en-US" w:eastAsia="nb-NO"/>
        </w:rPr>
      </w:pPr>
      <w:r>
        <w:rPr>
          <w:lang w:val="en-US" w:eastAsia="nb-NO"/>
        </w:rPr>
        <w:tab/>
      </w:r>
      <w:r>
        <w:rPr>
          <w:lang w:val="en-US" w:eastAsia="nb-NO"/>
        </w:rPr>
        <w:tab/>
      </w:r>
      <w:r w:rsidR="001C7D76" w:rsidRPr="0037515F">
        <w:rPr>
          <w:lang w:val="en-US" w:eastAsia="nb-NO"/>
        </w:rPr>
        <w:t>Statistics</w:t>
      </w:r>
    </w:p>
    <w:p w:rsidR="001C7D76" w:rsidRPr="0062001E" w:rsidRDefault="00A11A9E" w:rsidP="00A11A9E">
      <w:pPr>
        <w:pStyle w:val="SingleTxtG"/>
        <w:rPr>
          <w:lang w:val="en-US" w:eastAsia="nb-NO"/>
        </w:rPr>
      </w:pPr>
      <w:r w:rsidRPr="0062001E">
        <w:rPr>
          <w:lang w:val="en-US" w:eastAsia="nb-NO"/>
        </w:rPr>
        <w:t>158.</w:t>
      </w:r>
      <w:r w:rsidRPr="0062001E">
        <w:rPr>
          <w:lang w:val="en-US" w:eastAsia="nb-NO"/>
        </w:rPr>
        <w:tab/>
      </w:r>
      <w:r w:rsidR="001C7D76" w:rsidRPr="0062001E">
        <w:rPr>
          <w:lang w:val="en-US" w:eastAsia="nb-NO"/>
        </w:rPr>
        <w:t>Statistical data shows that 481 persons have officially been identified as victims of human trafficking from 2007</w:t>
      </w:r>
      <w:r w:rsidR="00DB54D7" w:rsidRPr="0062001E">
        <w:rPr>
          <w:lang w:val="en-US" w:eastAsia="nb-NO"/>
        </w:rPr>
        <w:t>-</w:t>
      </w:r>
      <w:r w:rsidR="001C7D76" w:rsidRPr="0062001E">
        <w:rPr>
          <w:lang w:val="en-US" w:eastAsia="nb-NO"/>
        </w:rPr>
        <w:t xml:space="preserve">2014. In 2014, 71 persons in Denmark have been identified as victims of human trafficking. Out of these 63 are women and 8 are men. 57 persons were trafficked for prostitution, 3 for forced labour and 6 for other forms of exploitation. The </w:t>
      </w:r>
      <w:r w:rsidR="0062001E" w:rsidRPr="0062001E">
        <w:rPr>
          <w:lang w:val="en-US" w:eastAsia="nb-NO"/>
        </w:rPr>
        <w:t xml:space="preserve">origin of the </w:t>
      </w:r>
      <w:r w:rsidR="001C7D76" w:rsidRPr="0062001E">
        <w:rPr>
          <w:lang w:val="en-US" w:eastAsia="nb-NO"/>
        </w:rPr>
        <w:t xml:space="preserve">majority </w:t>
      </w:r>
      <w:r w:rsidR="0062001E" w:rsidRPr="0062001E">
        <w:rPr>
          <w:lang w:val="en-US" w:eastAsia="nb-NO"/>
        </w:rPr>
        <w:t xml:space="preserve">was </w:t>
      </w:r>
      <w:r w:rsidR="001C7D76" w:rsidRPr="0062001E">
        <w:rPr>
          <w:lang w:val="en-US" w:eastAsia="nb-NO"/>
        </w:rPr>
        <w:t xml:space="preserve">Nigeria (the vast majority), Romania and Thailand. </w:t>
      </w:r>
    </w:p>
    <w:p w:rsidR="001C7D76" w:rsidRPr="009D6DF0" w:rsidRDefault="001E0E3B">
      <w:pPr>
        <w:pStyle w:val="H1G"/>
      </w:pPr>
      <w:bookmarkStart w:id="10" w:name="_Toc430941896"/>
      <w:r>
        <w:tab/>
      </w:r>
      <w:r>
        <w:tab/>
      </w:r>
      <w:r w:rsidR="001C7D76" w:rsidRPr="009D6DF0">
        <w:t>Non-discrimination and protection against arbitrary expulsion of</w:t>
      </w:r>
      <w:r w:rsidR="00422977">
        <w:t> </w:t>
      </w:r>
      <w:r w:rsidR="001C7D76" w:rsidRPr="009D6DF0">
        <w:t>foreigners</w:t>
      </w:r>
      <w:bookmarkEnd w:id="10"/>
    </w:p>
    <w:p w:rsidR="001C7D76" w:rsidRPr="00102FEC" w:rsidRDefault="001E0E3B" w:rsidP="00A11A9E">
      <w:pPr>
        <w:pStyle w:val="H23G"/>
        <w:rPr>
          <w:lang w:val="en-US" w:eastAsia="nb-NO"/>
        </w:rPr>
      </w:pPr>
      <w:r>
        <w:rPr>
          <w:lang w:val="en-US" w:eastAsia="nb-NO"/>
        </w:rPr>
        <w:tab/>
      </w:r>
      <w:r>
        <w:rPr>
          <w:lang w:val="en-US" w:eastAsia="nb-NO"/>
        </w:rPr>
        <w:tab/>
      </w:r>
      <w:r w:rsidR="001C7D76" w:rsidRPr="00102FEC">
        <w:rPr>
          <w:lang w:val="en-US" w:eastAsia="nb-NO"/>
        </w:rPr>
        <w:t xml:space="preserve">Reply to paragraph 17 of the </w:t>
      </w:r>
      <w:r w:rsidR="00FF0EDD">
        <w:rPr>
          <w:lang w:val="en-US" w:eastAsia="nb-NO"/>
        </w:rPr>
        <w:t>list of issues</w:t>
      </w:r>
      <w:r w:rsidR="001C7D76" w:rsidRPr="00102FEC">
        <w:t xml:space="preserve"> [</w:t>
      </w:r>
      <w:r w:rsidR="001C7D76" w:rsidRPr="00102FEC">
        <w:rPr>
          <w:lang w:val="en-US" w:eastAsia="da-DK"/>
        </w:rPr>
        <w:t xml:space="preserve">Ministry of </w:t>
      </w:r>
      <w:r w:rsidR="001C7D76">
        <w:rPr>
          <w:lang w:val="en-US" w:eastAsia="da-DK"/>
        </w:rPr>
        <w:t>Immigration</w:t>
      </w:r>
      <w:r w:rsidR="001C7D76" w:rsidRPr="00102FEC">
        <w:rPr>
          <w:lang w:val="en-US" w:eastAsia="da-DK"/>
        </w:rPr>
        <w:t>, Integration and Housing</w:t>
      </w:r>
      <w:r w:rsidR="001C7D76" w:rsidRPr="00102FEC">
        <w:t>]</w:t>
      </w:r>
    </w:p>
    <w:p w:rsidR="001C7D76" w:rsidRDefault="00A11A9E" w:rsidP="00A11A9E">
      <w:pPr>
        <w:pStyle w:val="SingleTxtG"/>
        <w:rPr>
          <w:lang w:val="en-US"/>
        </w:rPr>
      </w:pPr>
      <w:r>
        <w:rPr>
          <w:lang w:val="en-US"/>
        </w:rPr>
        <w:t>159.</w:t>
      </w:r>
      <w:r>
        <w:rPr>
          <w:lang w:val="en-US"/>
        </w:rPr>
        <w:tab/>
      </w:r>
      <w:r w:rsidR="001C7D76">
        <w:rPr>
          <w:lang w:val="en-US"/>
        </w:rPr>
        <w:t xml:space="preserve">The </w:t>
      </w:r>
      <w:r w:rsidR="001C7D76" w:rsidRPr="00820D08">
        <w:rPr>
          <w:lang w:val="en-US"/>
        </w:rPr>
        <w:t xml:space="preserve">immigration authorities determine </w:t>
      </w:r>
      <w:r w:rsidR="001C7D76">
        <w:rPr>
          <w:lang w:val="en-US"/>
        </w:rPr>
        <w:t xml:space="preserve">in accordance with the Aliens Act </w:t>
      </w:r>
      <w:r w:rsidR="001C7D76" w:rsidRPr="00820D08">
        <w:rPr>
          <w:lang w:val="en-US"/>
        </w:rPr>
        <w:t xml:space="preserve">whether a foreign citizen is eligible for a residence permit in Denmark on grounds of </w:t>
      </w:r>
      <w:r w:rsidR="001C7D76">
        <w:rPr>
          <w:lang w:val="en-US"/>
        </w:rPr>
        <w:t xml:space="preserve">for instance </w:t>
      </w:r>
      <w:r w:rsidR="001C7D76" w:rsidRPr="00820D08">
        <w:rPr>
          <w:lang w:val="en-US"/>
        </w:rPr>
        <w:t>asylum, family reunification, work</w:t>
      </w:r>
      <w:r w:rsidR="001C7D76">
        <w:rPr>
          <w:lang w:val="en-US"/>
        </w:rPr>
        <w:t xml:space="preserve">, or humanitarian concerns. The applicant may be allowed to stay in the country while his or her application is processed, depending on the nature of the application. </w:t>
      </w:r>
    </w:p>
    <w:p w:rsidR="001C7D76" w:rsidRDefault="00A11A9E" w:rsidP="00A11A9E">
      <w:pPr>
        <w:pStyle w:val="SingleTxtG"/>
        <w:rPr>
          <w:lang w:val="en-US"/>
        </w:rPr>
      </w:pPr>
      <w:r>
        <w:rPr>
          <w:lang w:val="en-US"/>
        </w:rPr>
        <w:t>160.</w:t>
      </w:r>
      <w:r>
        <w:rPr>
          <w:lang w:val="en-US"/>
        </w:rPr>
        <w:tab/>
      </w:r>
      <w:r w:rsidR="001C7D76">
        <w:rPr>
          <w:lang w:val="en-US"/>
        </w:rPr>
        <w:t>Foreigners may only be expelled</w:t>
      </w:r>
      <w:r w:rsidR="001C7D76" w:rsidRPr="00646B76">
        <w:rPr>
          <w:lang w:val="en-US"/>
        </w:rPr>
        <w:t xml:space="preserve"> in pursuance of a decision reached in accordance with law. </w:t>
      </w:r>
      <w:r w:rsidR="001C7D76">
        <w:rPr>
          <w:lang w:val="en-US"/>
        </w:rPr>
        <w:t>When expulsion is the result of a criminal case, the expulsion order is a part of the court sentence. In certain cases where the stay in Denmark is of a shorter duration, the expulsion may be decided administratively.</w:t>
      </w:r>
    </w:p>
    <w:p w:rsidR="001C7D76" w:rsidRDefault="00A11A9E" w:rsidP="00A11A9E">
      <w:pPr>
        <w:pStyle w:val="SingleTxtG"/>
        <w:rPr>
          <w:lang w:val="en-US"/>
        </w:rPr>
      </w:pPr>
      <w:r>
        <w:rPr>
          <w:lang w:val="en-US"/>
        </w:rPr>
        <w:t>161.</w:t>
      </w:r>
      <w:r>
        <w:rPr>
          <w:lang w:val="en-US"/>
        </w:rPr>
        <w:tab/>
      </w:r>
      <w:r w:rsidR="001C7D76" w:rsidRPr="0008655A">
        <w:rPr>
          <w:lang w:val="en-US"/>
        </w:rPr>
        <w:t xml:space="preserve">When a foreigner is convicted of a criminal offence, the judgment shall determine whether the foreigner must be expelled pursuant to the relevant provisions in the Aliens Act. </w:t>
      </w:r>
    </w:p>
    <w:p w:rsidR="001C7D76" w:rsidRPr="0008655A" w:rsidRDefault="00A11A9E" w:rsidP="00A11A9E">
      <w:pPr>
        <w:pStyle w:val="SingleTxtG"/>
        <w:rPr>
          <w:lang w:val="en-US"/>
        </w:rPr>
      </w:pPr>
      <w:r w:rsidRPr="0008655A">
        <w:rPr>
          <w:lang w:val="en-US"/>
        </w:rPr>
        <w:t>162.</w:t>
      </w:r>
      <w:r w:rsidRPr="0008655A">
        <w:rPr>
          <w:lang w:val="en-US"/>
        </w:rPr>
        <w:tab/>
      </w:r>
      <w:r w:rsidR="001C7D76">
        <w:rPr>
          <w:lang w:val="en-US"/>
        </w:rPr>
        <w:t xml:space="preserve">Section 26(2) stipulates that </w:t>
      </w:r>
      <w:r w:rsidR="001C7D76" w:rsidRPr="0008655A">
        <w:rPr>
          <w:lang w:val="en-US"/>
        </w:rPr>
        <w:t>a foreign n</w:t>
      </w:r>
      <w:r w:rsidR="001C7D76" w:rsidRPr="007E7E8F">
        <w:rPr>
          <w:lang w:val="en-US"/>
        </w:rPr>
        <w:t>a</w:t>
      </w:r>
      <w:r w:rsidR="001C7D76" w:rsidRPr="0008655A">
        <w:rPr>
          <w:lang w:val="en-US"/>
        </w:rPr>
        <w:t>tional shall be expelled unless the expulsion would be contrary to Denmark’s international obligations.</w:t>
      </w:r>
    </w:p>
    <w:p w:rsidR="001C7D76" w:rsidRDefault="00A11A9E" w:rsidP="00A11A9E">
      <w:pPr>
        <w:pStyle w:val="SingleTxtG"/>
        <w:rPr>
          <w:lang w:val="en-US"/>
        </w:rPr>
      </w:pPr>
      <w:r>
        <w:rPr>
          <w:lang w:val="en-US"/>
        </w:rPr>
        <w:t>163.</w:t>
      </w:r>
      <w:r>
        <w:rPr>
          <w:lang w:val="en-US"/>
        </w:rPr>
        <w:tab/>
      </w:r>
      <w:r w:rsidR="001C7D76">
        <w:rPr>
          <w:lang w:val="en-US"/>
        </w:rPr>
        <w:t>Furthermore, suspended expulsion must be ordered in all situations where the basic conditions for expulsion are met, but where expulsion is found not to be in conformity with Denmark’s international obligations. A suspended expulsion is a warning to the foreigner that there is a risk that he or she will be expelled if convicted for further offences at a later stage unless expulsion is not in conformity with Denmark’s international obligations.</w:t>
      </w:r>
    </w:p>
    <w:p w:rsidR="001C7D76" w:rsidRDefault="00A11A9E" w:rsidP="00A11A9E">
      <w:pPr>
        <w:pStyle w:val="SingleTxtG"/>
        <w:rPr>
          <w:lang w:val="en-US"/>
        </w:rPr>
      </w:pPr>
      <w:r>
        <w:rPr>
          <w:lang w:val="en-US"/>
        </w:rPr>
        <w:t>164.</w:t>
      </w:r>
      <w:r>
        <w:rPr>
          <w:lang w:val="en-US"/>
        </w:rPr>
        <w:tab/>
      </w:r>
      <w:r w:rsidR="001C7D76">
        <w:rPr>
          <w:lang w:val="en-US"/>
        </w:rPr>
        <w:t>In deciding on expulsion administratively, it must be considered whether expulsion may be particularly burdensome, in particular because of the person’s ties with Danish society and persons living in Denmark; “the foreigner’s slight or non-existent ties with the country of origin</w:t>
      </w:r>
      <w:r w:rsidR="00AD395A">
        <w:rPr>
          <w:lang w:val="en-US"/>
        </w:rPr>
        <w:t>”</w:t>
      </w:r>
      <w:r w:rsidR="001C7D76">
        <w:rPr>
          <w:lang w:val="en-US"/>
        </w:rPr>
        <w:t xml:space="preserve">; and the risk that the person </w:t>
      </w:r>
      <w:r w:rsidR="00AD395A">
        <w:rPr>
          <w:lang w:val="en-US"/>
        </w:rPr>
        <w:t>will be</w:t>
      </w:r>
      <w:r w:rsidR="001C7D76">
        <w:rPr>
          <w:lang w:val="en-US"/>
        </w:rPr>
        <w:t xml:space="preserve"> exposed to a violation of his or her human rights in the country of origin.</w:t>
      </w:r>
    </w:p>
    <w:p w:rsidR="001C7D76" w:rsidRDefault="00A11A9E" w:rsidP="00A11A9E">
      <w:pPr>
        <w:pStyle w:val="SingleTxtG"/>
        <w:rPr>
          <w:lang w:val="en-US"/>
        </w:rPr>
      </w:pPr>
      <w:r>
        <w:rPr>
          <w:lang w:val="en-US"/>
        </w:rPr>
        <w:t>165.</w:t>
      </w:r>
      <w:r>
        <w:rPr>
          <w:lang w:val="en-US"/>
        </w:rPr>
        <w:tab/>
      </w:r>
      <w:r w:rsidR="001C7D76">
        <w:rPr>
          <w:lang w:val="en-US"/>
        </w:rPr>
        <w:t>If an application for a residence permit is rejected or the person is expelled, he or she will be granted an appropriate period for voluntary departure of 7, 15 or 30 days. In urgent cases the foreigner will be required to leave the country immediately. Should a foreigner not wish to return voluntarily the police will make removal arrangements.</w:t>
      </w:r>
    </w:p>
    <w:p w:rsidR="001C7D76" w:rsidRPr="00A92311" w:rsidRDefault="001E0E3B" w:rsidP="00A11A9E">
      <w:pPr>
        <w:pStyle w:val="H4G"/>
        <w:rPr>
          <w:lang w:val="en-US"/>
        </w:rPr>
      </w:pPr>
      <w:r>
        <w:rPr>
          <w:lang w:val="en-US"/>
        </w:rPr>
        <w:tab/>
      </w:r>
      <w:r>
        <w:rPr>
          <w:lang w:val="en-US"/>
        </w:rPr>
        <w:tab/>
      </w:r>
      <w:r w:rsidR="001C7D76" w:rsidRPr="00A92311">
        <w:rPr>
          <w:lang w:val="en-US"/>
        </w:rPr>
        <w:t xml:space="preserve">Diplomatic assurances </w:t>
      </w:r>
    </w:p>
    <w:p w:rsidR="001C7D76" w:rsidRPr="00047FE1" w:rsidRDefault="00A11A9E" w:rsidP="00A11A9E">
      <w:pPr>
        <w:pStyle w:val="SingleTxtG"/>
        <w:rPr>
          <w:lang w:val="en-US"/>
        </w:rPr>
      </w:pPr>
      <w:r w:rsidRPr="00047FE1">
        <w:rPr>
          <w:lang w:val="en-US"/>
        </w:rPr>
        <w:t>166.</w:t>
      </w:r>
      <w:r w:rsidRPr="00047FE1">
        <w:rPr>
          <w:lang w:val="en-US"/>
        </w:rPr>
        <w:tab/>
      </w:r>
      <w:r w:rsidR="001C7D76">
        <w:rPr>
          <w:lang w:val="en-US"/>
        </w:rPr>
        <w:t>According to section 31 of the Aliens Act an</w:t>
      </w:r>
      <w:r w:rsidR="001C7D76" w:rsidRPr="00047FE1">
        <w:rPr>
          <w:lang w:val="en-US"/>
        </w:rPr>
        <w:t xml:space="preserve"> alien may not be returned </w:t>
      </w:r>
      <w:r w:rsidR="001C7D76">
        <w:rPr>
          <w:lang w:val="en-US"/>
        </w:rPr>
        <w:t xml:space="preserve">from Denmark </w:t>
      </w:r>
      <w:r w:rsidR="001C7D76" w:rsidRPr="00047FE1">
        <w:rPr>
          <w:lang w:val="en-US"/>
        </w:rPr>
        <w:t xml:space="preserve">to a country where he will be at risk of the death penalty or of being subjected to torture or inhuman or degrading treatment or punishment, or where the alien will not be protected against being sent on to such </w:t>
      </w:r>
      <w:r w:rsidR="00AD395A">
        <w:rPr>
          <w:lang w:val="en-US"/>
        </w:rPr>
        <w:t xml:space="preserve">a </w:t>
      </w:r>
      <w:r w:rsidR="001C7D76" w:rsidRPr="00047FE1">
        <w:rPr>
          <w:lang w:val="en-US"/>
        </w:rPr>
        <w:t>country</w:t>
      </w:r>
      <w:r w:rsidR="001C7D76">
        <w:rPr>
          <w:lang w:val="en-US"/>
        </w:rPr>
        <w:t xml:space="preserve"> (</w:t>
      </w:r>
      <w:r w:rsidR="001C7D76" w:rsidRPr="00844340">
        <w:rPr>
          <w:i/>
          <w:lang w:val="en-US"/>
        </w:rPr>
        <w:t>non-refoulement</w:t>
      </w:r>
      <w:r w:rsidR="001C7D76">
        <w:rPr>
          <w:lang w:val="en-US"/>
        </w:rPr>
        <w:t>)</w:t>
      </w:r>
      <w:r w:rsidR="001C7D76" w:rsidRPr="00047FE1">
        <w:rPr>
          <w:lang w:val="en-US"/>
        </w:rPr>
        <w:t>.</w:t>
      </w:r>
    </w:p>
    <w:p w:rsidR="001C7D76" w:rsidRPr="003F0295" w:rsidRDefault="00A11A9E" w:rsidP="00A11A9E">
      <w:pPr>
        <w:pStyle w:val="SingleTxtG"/>
        <w:rPr>
          <w:lang w:val="en-US"/>
        </w:rPr>
      </w:pPr>
      <w:r w:rsidRPr="003F0295">
        <w:rPr>
          <w:lang w:val="en-US"/>
        </w:rPr>
        <w:t>167.</w:t>
      </w:r>
      <w:r w:rsidRPr="003F0295">
        <w:rPr>
          <w:lang w:val="en-US"/>
        </w:rPr>
        <w:tab/>
      </w:r>
      <w:r w:rsidR="001C7D76">
        <w:rPr>
          <w:lang w:val="en-US"/>
        </w:rPr>
        <w:t>By</w:t>
      </w:r>
      <w:r w:rsidR="001C7D76" w:rsidRPr="00665984">
        <w:rPr>
          <w:lang w:val="en-US"/>
        </w:rPr>
        <w:t xml:space="preserve"> act </w:t>
      </w:r>
      <w:r w:rsidR="00434343">
        <w:rPr>
          <w:lang w:val="en-US"/>
        </w:rPr>
        <w:t>N</w:t>
      </w:r>
      <w:r w:rsidR="001C7D76" w:rsidRPr="00665984">
        <w:rPr>
          <w:lang w:val="en-US"/>
        </w:rPr>
        <w:t>o. 479 of 12</w:t>
      </w:r>
      <w:r w:rsidR="001C7D76">
        <w:rPr>
          <w:lang w:val="en-US"/>
        </w:rPr>
        <w:t xml:space="preserve"> </w:t>
      </w:r>
      <w:r w:rsidR="001C7D76" w:rsidRPr="00665984">
        <w:rPr>
          <w:lang w:val="en-US"/>
        </w:rPr>
        <w:t>June 2009 a new chapter regarding judicial review o</w:t>
      </w:r>
      <w:r w:rsidR="001C7D76">
        <w:rPr>
          <w:lang w:val="en-US"/>
        </w:rPr>
        <w:t>f</w:t>
      </w:r>
      <w:r w:rsidR="001C7D76" w:rsidRPr="00665984">
        <w:rPr>
          <w:lang w:val="en-US"/>
        </w:rPr>
        <w:t xml:space="preserve"> certain decisions on administrative expulsion was </w:t>
      </w:r>
      <w:r w:rsidR="001C7D76">
        <w:rPr>
          <w:lang w:val="en-US"/>
        </w:rPr>
        <w:t>inserted in</w:t>
      </w:r>
      <w:r w:rsidR="001C7D76" w:rsidRPr="00665984">
        <w:rPr>
          <w:lang w:val="en-US"/>
        </w:rPr>
        <w:t xml:space="preserve">to the </w:t>
      </w:r>
      <w:r w:rsidR="001C7D76">
        <w:rPr>
          <w:lang w:val="en-US"/>
        </w:rPr>
        <w:t>Aliens</w:t>
      </w:r>
      <w:r w:rsidR="001C7D76" w:rsidRPr="00665984">
        <w:rPr>
          <w:lang w:val="en-US"/>
        </w:rPr>
        <w:t xml:space="preserve"> </w:t>
      </w:r>
      <w:r w:rsidR="001C7D76">
        <w:rPr>
          <w:lang w:val="en-US"/>
        </w:rPr>
        <w:t>A</w:t>
      </w:r>
      <w:r w:rsidR="001C7D76" w:rsidRPr="00665984">
        <w:rPr>
          <w:lang w:val="en-US"/>
        </w:rPr>
        <w:t>ct</w:t>
      </w:r>
      <w:r w:rsidR="001C7D76">
        <w:rPr>
          <w:lang w:val="en-US"/>
        </w:rPr>
        <w:t xml:space="preserve">. </w:t>
      </w:r>
      <w:r w:rsidR="001C7D76" w:rsidRPr="00665984">
        <w:rPr>
          <w:lang w:val="en-US"/>
        </w:rPr>
        <w:t xml:space="preserve">The explanatory notes to the bill lay down the limits and conditions for </w:t>
      </w:r>
      <w:r w:rsidR="001C7D76">
        <w:rPr>
          <w:lang w:val="en-US"/>
        </w:rPr>
        <w:t>Denmark to return an alien</w:t>
      </w:r>
      <w:r w:rsidR="001C7D76" w:rsidRPr="00665984">
        <w:rPr>
          <w:lang w:val="en-US"/>
        </w:rPr>
        <w:t xml:space="preserve"> relying on diplomatic </w:t>
      </w:r>
      <w:r w:rsidR="001C7D76">
        <w:rPr>
          <w:lang w:val="en-US"/>
        </w:rPr>
        <w:t>assurances</w:t>
      </w:r>
      <w:r w:rsidR="001C7D76" w:rsidRPr="00665984">
        <w:rPr>
          <w:lang w:val="en-US"/>
        </w:rPr>
        <w:t>.</w:t>
      </w:r>
      <w:r w:rsidR="001C7D76">
        <w:rPr>
          <w:lang w:val="en-US"/>
        </w:rPr>
        <w:t xml:space="preserve"> For instance, the receiving country must have a stable government which can control the executing authorities. Furthermore, the agreement with the receiving country must be precise and detailed</w:t>
      </w:r>
      <w:r w:rsidR="00AD395A">
        <w:rPr>
          <w:lang w:val="en-US"/>
        </w:rPr>
        <w:t>,</w:t>
      </w:r>
      <w:r w:rsidR="001C7D76">
        <w:rPr>
          <w:lang w:val="en-US"/>
        </w:rPr>
        <w:t xml:space="preserve"> and </w:t>
      </w:r>
      <w:r w:rsidR="00AD395A">
        <w:rPr>
          <w:lang w:val="en-US"/>
        </w:rPr>
        <w:t xml:space="preserve">must be in </w:t>
      </w:r>
      <w:r w:rsidR="001C7D76">
        <w:rPr>
          <w:lang w:val="en-US"/>
        </w:rPr>
        <w:t xml:space="preserve">regard </w:t>
      </w:r>
      <w:r w:rsidR="00AD395A">
        <w:rPr>
          <w:lang w:val="en-US"/>
        </w:rPr>
        <w:t xml:space="preserve">to </w:t>
      </w:r>
      <w:r w:rsidR="001C7D76">
        <w:rPr>
          <w:lang w:val="en-US"/>
        </w:rPr>
        <w:t xml:space="preserve">a specific alien. Moreover, </w:t>
      </w:r>
      <w:r w:rsidR="001C7D76" w:rsidRPr="004C03BF">
        <w:rPr>
          <w:lang w:val="en-US"/>
        </w:rPr>
        <w:t xml:space="preserve">independent, qualified persons must be able to visit the returned person without </w:t>
      </w:r>
      <w:r w:rsidR="001C7D76" w:rsidRPr="003F0295">
        <w:rPr>
          <w:lang w:val="en-US"/>
        </w:rPr>
        <w:t>prior notice and to question the returned person without witnesses when desired</w:t>
      </w:r>
      <w:r w:rsidR="001C7D76">
        <w:rPr>
          <w:lang w:val="en-US"/>
        </w:rPr>
        <w:t xml:space="preserve"> in order to monitor that the assurances are guaranteed</w:t>
      </w:r>
      <w:r w:rsidR="001C7D76" w:rsidRPr="003F0295">
        <w:rPr>
          <w:lang w:val="en-US"/>
        </w:rPr>
        <w:t xml:space="preserve">. </w:t>
      </w:r>
    </w:p>
    <w:p w:rsidR="001C7D76" w:rsidRDefault="00A11A9E" w:rsidP="00A11A9E">
      <w:pPr>
        <w:pStyle w:val="SingleTxtG"/>
        <w:rPr>
          <w:lang w:val="en-US"/>
        </w:rPr>
      </w:pPr>
      <w:r>
        <w:rPr>
          <w:lang w:val="en-US"/>
        </w:rPr>
        <w:t>168.</w:t>
      </w:r>
      <w:r>
        <w:rPr>
          <w:lang w:val="en-US"/>
        </w:rPr>
        <w:tab/>
      </w:r>
      <w:r w:rsidR="001C7D76">
        <w:rPr>
          <w:lang w:val="en-US"/>
        </w:rPr>
        <w:t>Wh</w:t>
      </w:r>
      <w:r w:rsidR="001C7D76" w:rsidRPr="003F0295">
        <w:rPr>
          <w:lang w:val="en-US"/>
        </w:rPr>
        <w:t xml:space="preserve">ether a </w:t>
      </w:r>
      <w:r w:rsidR="001C7D76">
        <w:rPr>
          <w:lang w:val="en-US"/>
        </w:rPr>
        <w:t xml:space="preserve">given </w:t>
      </w:r>
      <w:r w:rsidR="001C7D76" w:rsidRPr="003F0295">
        <w:rPr>
          <w:lang w:val="en-US"/>
        </w:rPr>
        <w:t xml:space="preserve">diplomatic assurance provides sufficient protection </w:t>
      </w:r>
      <w:r w:rsidR="001C7D76">
        <w:t xml:space="preserve">against </w:t>
      </w:r>
      <w:r w:rsidR="001C7D76" w:rsidRPr="00047FE1">
        <w:rPr>
          <w:lang w:val="en-US"/>
        </w:rPr>
        <w:t>torture or inhuman or degrading treatment or punishment</w:t>
      </w:r>
      <w:r w:rsidR="001C7D76">
        <w:rPr>
          <w:lang w:val="en-US"/>
        </w:rPr>
        <w:t xml:space="preserve"> will be decided </w:t>
      </w:r>
      <w:r w:rsidR="001C7D76" w:rsidRPr="003F0295">
        <w:rPr>
          <w:lang w:val="en-US"/>
        </w:rPr>
        <w:t xml:space="preserve">by the </w:t>
      </w:r>
      <w:r w:rsidR="001C7D76" w:rsidRPr="004C03BF">
        <w:rPr>
          <w:lang w:val="en-US"/>
        </w:rPr>
        <w:t xml:space="preserve">Immigration Service and the </w:t>
      </w:r>
      <w:r w:rsidR="001C7D76" w:rsidRPr="004C03BF">
        <w:t xml:space="preserve">Refugee Appeals Board </w:t>
      </w:r>
      <w:r w:rsidR="001C7D76">
        <w:t xml:space="preserve">or, in specific cases, by the courts. The </w:t>
      </w:r>
      <w:r w:rsidR="00AB4681">
        <w:t>above-mentioned</w:t>
      </w:r>
      <w:r w:rsidR="001C7D76">
        <w:t xml:space="preserve"> section 31 will thus be applied and upheld in all cases where Denmark considers relying on diplomatic assurances. </w:t>
      </w:r>
    </w:p>
    <w:p w:rsidR="001C7D76" w:rsidRDefault="00A11A9E" w:rsidP="00A11A9E">
      <w:pPr>
        <w:pStyle w:val="SingleTxtG"/>
        <w:rPr>
          <w:lang w:val="en-US"/>
        </w:rPr>
      </w:pPr>
      <w:r>
        <w:rPr>
          <w:lang w:val="en-US"/>
        </w:rPr>
        <w:t>169.</w:t>
      </w:r>
      <w:r>
        <w:rPr>
          <w:lang w:val="en-US"/>
        </w:rPr>
        <w:tab/>
      </w:r>
      <w:r w:rsidR="001C7D76" w:rsidRPr="004C03BF">
        <w:rPr>
          <w:lang w:val="en-US"/>
        </w:rPr>
        <w:t xml:space="preserve">Denmark has </w:t>
      </w:r>
      <w:r w:rsidR="001C7D76">
        <w:rPr>
          <w:lang w:val="en-US"/>
        </w:rPr>
        <w:t xml:space="preserve">to date </w:t>
      </w:r>
      <w:r w:rsidR="001C7D76" w:rsidRPr="004C03BF">
        <w:rPr>
          <w:lang w:val="en-US"/>
        </w:rPr>
        <w:t xml:space="preserve">not returned any </w:t>
      </w:r>
      <w:r w:rsidR="001C7D76">
        <w:rPr>
          <w:lang w:val="en-US"/>
        </w:rPr>
        <w:t>person from Denmark</w:t>
      </w:r>
      <w:r w:rsidR="001C7D76" w:rsidRPr="004C03BF">
        <w:rPr>
          <w:lang w:val="en-US"/>
        </w:rPr>
        <w:t xml:space="preserve"> to countries known for practicing</w:t>
      </w:r>
      <w:r w:rsidR="001C7D76">
        <w:rPr>
          <w:lang w:val="en-US"/>
        </w:rPr>
        <w:t xml:space="preserve"> </w:t>
      </w:r>
      <w:r w:rsidR="00AD395A">
        <w:rPr>
          <w:lang w:val="en-US"/>
        </w:rPr>
        <w:t xml:space="preserve">the </w:t>
      </w:r>
      <w:r w:rsidR="001C7D76">
        <w:rPr>
          <w:lang w:val="en-US"/>
        </w:rPr>
        <w:t>death penalty or</w:t>
      </w:r>
      <w:r w:rsidR="001C7D76" w:rsidRPr="004C03BF">
        <w:rPr>
          <w:lang w:val="en-US"/>
        </w:rPr>
        <w:t xml:space="preserve"> torture </w:t>
      </w:r>
      <w:r w:rsidR="001C7D76">
        <w:rPr>
          <w:lang w:val="en-US"/>
        </w:rPr>
        <w:t>based</w:t>
      </w:r>
      <w:r w:rsidR="001C7D76" w:rsidRPr="004C03BF">
        <w:rPr>
          <w:lang w:val="en-US"/>
        </w:rPr>
        <w:t xml:space="preserve"> on diplomatic assurances from the receiving country.</w:t>
      </w:r>
      <w:r w:rsidR="001C7D76">
        <w:rPr>
          <w:lang w:val="en-US"/>
        </w:rPr>
        <w:t xml:space="preserve"> The question of monitoring such </w:t>
      </w:r>
      <w:r w:rsidR="00AD395A">
        <w:rPr>
          <w:lang w:val="en-US"/>
        </w:rPr>
        <w:t xml:space="preserve">an </w:t>
      </w:r>
      <w:r w:rsidR="001C7D76">
        <w:rPr>
          <w:lang w:val="en-US"/>
        </w:rPr>
        <w:t>agreement and taking appropriate action in case of non-fulfillment has therefore not yet arisen in practice.</w:t>
      </w:r>
    </w:p>
    <w:p w:rsidR="001C7D76" w:rsidRPr="00102FEC" w:rsidRDefault="001E0E3B" w:rsidP="00A11A9E">
      <w:pPr>
        <w:pStyle w:val="H23G"/>
        <w:rPr>
          <w:lang w:val="en-US" w:eastAsia="nb-NO"/>
        </w:rPr>
      </w:pPr>
      <w:r>
        <w:rPr>
          <w:lang w:val="en-US" w:eastAsia="nb-NO"/>
        </w:rPr>
        <w:tab/>
      </w:r>
      <w:r>
        <w:rPr>
          <w:lang w:val="en-US" w:eastAsia="nb-NO"/>
        </w:rPr>
        <w:tab/>
      </w:r>
      <w:r w:rsidR="001C7D76" w:rsidRPr="00102FEC">
        <w:rPr>
          <w:lang w:val="en-US" w:eastAsia="nb-NO"/>
        </w:rPr>
        <w:t xml:space="preserve">Reply to paragraph 18 of the </w:t>
      </w:r>
      <w:r w:rsidR="00FF0EDD">
        <w:rPr>
          <w:lang w:val="en-US" w:eastAsia="nb-NO"/>
        </w:rPr>
        <w:t>list of issues</w:t>
      </w:r>
      <w:r w:rsidR="001C7D76" w:rsidRPr="00102FEC">
        <w:rPr>
          <w:lang w:val="en-US" w:eastAsia="nb-NO"/>
        </w:rPr>
        <w:t xml:space="preserve"> </w:t>
      </w:r>
      <w:r w:rsidR="001C7D76" w:rsidRPr="00102FEC">
        <w:t>[</w:t>
      </w:r>
      <w:r w:rsidR="001C7D76" w:rsidRPr="00102FEC">
        <w:rPr>
          <w:lang w:val="en-US" w:eastAsia="da-DK"/>
        </w:rPr>
        <w:t xml:space="preserve">Ministry of </w:t>
      </w:r>
      <w:r w:rsidR="001C7D76">
        <w:rPr>
          <w:lang w:val="en-US" w:eastAsia="da-DK"/>
        </w:rPr>
        <w:t>Immigration</w:t>
      </w:r>
      <w:r w:rsidR="001C7D76" w:rsidRPr="00102FEC">
        <w:rPr>
          <w:lang w:val="en-US" w:eastAsia="da-DK"/>
        </w:rPr>
        <w:t>, Integration and Housing</w:t>
      </w:r>
      <w:r w:rsidR="001C7D76" w:rsidRPr="00102FEC">
        <w:t>]</w:t>
      </w:r>
    </w:p>
    <w:p w:rsidR="001C7D76" w:rsidRPr="002A4857" w:rsidRDefault="00A11A9E" w:rsidP="00A11A9E">
      <w:pPr>
        <w:pStyle w:val="SingleTxtG"/>
        <w:rPr>
          <w:lang w:val="en-US"/>
        </w:rPr>
      </w:pPr>
      <w:r w:rsidRPr="002A4857">
        <w:rPr>
          <w:lang w:val="en-US"/>
        </w:rPr>
        <w:t>170.</w:t>
      </w:r>
      <w:r w:rsidRPr="002A4857">
        <w:rPr>
          <w:lang w:val="en-US"/>
        </w:rPr>
        <w:tab/>
      </w:r>
      <w:r w:rsidR="001C7D76" w:rsidRPr="002A4857">
        <w:rPr>
          <w:lang w:val="en-US"/>
        </w:rPr>
        <w:t xml:space="preserve">A claim for asylum is processed by the Immigration Service in the first instance and the </w:t>
      </w:r>
      <w:r w:rsidR="001C7D76" w:rsidRPr="00BD682C">
        <w:rPr>
          <w:lang w:val="en-US"/>
        </w:rPr>
        <w:t xml:space="preserve">Refugee Appeals Board </w:t>
      </w:r>
      <w:r w:rsidR="001C7D76" w:rsidRPr="002B3C0D">
        <w:rPr>
          <w:lang w:val="en-US"/>
        </w:rPr>
        <w:t xml:space="preserve">in </w:t>
      </w:r>
      <w:r w:rsidR="001C7D76" w:rsidRPr="005268BB">
        <w:rPr>
          <w:lang w:val="en-US"/>
        </w:rPr>
        <w:t xml:space="preserve">the second instance. </w:t>
      </w:r>
      <w:r w:rsidR="001C7D76">
        <w:rPr>
          <w:lang w:val="en-US"/>
        </w:rPr>
        <w:t>T</w:t>
      </w:r>
      <w:r w:rsidR="001C7D76" w:rsidRPr="002A4857">
        <w:rPr>
          <w:lang w:val="en-US"/>
        </w:rPr>
        <w:t xml:space="preserve">he Board will determine whether </w:t>
      </w:r>
      <w:r w:rsidR="001C7D76">
        <w:rPr>
          <w:lang w:val="en-US"/>
        </w:rPr>
        <w:t>a</w:t>
      </w:r>
      <w:r w:rsidR="001C7D76" w:rsidRPr="002A4857">
        <w:rPr>
          <w:lang w:val="en-US"/>
        </w:rPr>
        <w:t xml:space="preserve"> rejected asylum seeker can be forcibly returned to his/her country of origin.</w:t>
      </w:r>
    </w:p>
    <w:p w:rsidR="001C7D76" w:rsidRPr="00A11A9E" w:rsidRDefault="00A11A9E" w:rsidP="00A11A9E">
      <w:pPr>
        <w:pStyle w:val="SingleTxtG"/>
        <w:rPr>
          <w:lang w:val="en-US"/>
        </w:rPr>
      </w:pPr>
      <w:r w:rsidRPr="00A11A9E">
        <w:rPr>
          <w:lang w:val="en-US"/>
        </w:rPr>
        <w:t>171.</w:t>
      </w:r>
      <w:r w:rsidRPr="00A11A9E">
        <w:rPr>
          <w:lang w:val="en-US"/>
        </w:rPr>
        <w:tab/>
      </w:r>
      <w:r w:rsidR="001C7D76" w:rsidRPr="007902C0">
        <w:rPr>
          <w:lang w:val="en-US"/>
        </w:rPr>
        <w:t>For the purposes of processing asylum</w:t>
      </w:r>
      <w:r w:rsidR="001C7D76">
        <w:rPr>
          <w:lang w:val="en-US"/>
        </w:rPr>
        <w:t xml:space="preserve"> cases and deciding whether a rejected asylum seeker can be forcibly returned</w:t>
      </w:r>
      <w:r w:rsidR="001C7D76" w:rsidRPr="007902C0">
        <w:rPr>
          <w:lang w:val="en-US"/>
        </w:rPr>
        <w:t xml:space="preserve">, the </w:t>
      </w:r>
      <w:r w:rsidR="00AB4681">
        <w:rPr>
          <w:lang w:val="en-US"/>
        </w:rPr>
        <w:t>above-mentioned</w:t>
      </w:r>
      <w:r w:rsidR="001C7D76">
        <w:rPr>
          <w:lang w:val="en-US"/>
        </w:rPr>
        <w:t xml:space="preserve"> </w:t>
      </w:r>
      <w:r w:rsidR="001C7D76" w:rsidRPr="007902C0">
        <w:rPr>
          <w:lang w:val="en-US"/>
        </w:rPr>
        <w:t>authorities collect and collate background information on conditions in asylum seekers</w:t>
      </w:r>
      <w:r w:rsidR="00434343">
        <w:rPr>
          <w:lang w:val="en-US"/>
        </w:rPr>
        <w:t>’</w:t>
      </w:r>
      <w:r w:rsidR="001C7D76" w:rsidRPr="007902C0">
        <w:rPr>
          <w:lang w:val="en-US"/>
        </w:rPr>
        <w:t xml:space="preserve"> countries of origin</w:t>
      </w:r>
      <w:r w:rsidR="001C7D76">
        <w:rPr>
          <w:lang w:val="en-US"/>
        </w:rPr>
        <w:t xml:space="preserve"> from relevant organizations and sources, including </w:t>
      </w:r>
      <w:r w:rsidR="001C7D76" w:rsidRPr="007902C0">
        <w:rPr>
          <w:lang w:val="en-US"/>
        </w:rPr>
        <w:t xml:space="preserve">UNHCR. </w:t>
      </w:r>
    </w:p>
    <w:p w:rsidR="001C7D76" w:rsidRPr="00102FEC" w:rsidRDefault="001E0E3B" w:rsidP="00A11A9E">
      <w:pPr>
        <w:pStyle w:val="H23G"/>
        <w:rPr>
          <w:lang w:val="en-US" w:eastAsia="nb-NO"/>
        </w:rPr>
      </w:pPr>
      <w:r>
        <w:rPr>
          <w:lang w:val="en-US" w:eastAsia="nb-NO"/>
        </w:rPr>
        <w:tab/>
      </w:r>
      <w:r>
        <w:rPr>
          <w:lang w:val="en-US" w:eastAsia="nb-NO"/>
        </w:rPr>
        <w:tab/>
      </w:r>
      <w:r w:rsidR="001C7D76" w:rsidRPr="00102FEC">
        <w:rPr>
          <w:lang w:val="en-US" w:eastAsia="nb-NO"/>
        </w:rPr>
        <w:t xml:space="preserve">Reply to paragraph 19 of the </w:t>
      </w:r>
      <w:r w:rsidR="00FF0EDD">
        <w:rPr>
          <w:lang w:val="en-US" w:eastAsia="nb-NO"/>
        </w:rPr>
        <w:t>list of issues</w:t>
      </w:r>
      <w:r w:rsidR="001C7D76" w:rsidRPr="00102FEC">
        <w:t xml:space="preserve"> [</w:t>
      </w:r>
      <w:r w:rsidR="001C7D76" w:rsidRPr="00102FEC">
        <w:rPr>
          <w:lang w:val="en-US" w:eastAsia="da-DK"/>
        </w:rPr>
        <w:t xml:space="preserve">Ministry of Justice and Ministry of </w:t>
      </w:r>
      <w:r w:rsidR="001C7D76">
        <w:rPr>
          <w:lang w:val="en-US" w:eastAsia="da-DK"/>
        </w:rPr>
        <w:t>Immigration</w:t>
      </w:r>
      <w:r w:rsidR="001C7D76" w:rsidRPr="00102FEC">
        <w:rPr>
          <w:lang w:val="en-US" w:eastAsia="da-DK"/>
        </w:rPr>
        <w:t>, Integration and Housing</w:t>
      </w:r>
      <w:r w:rsidR="001C7D76" w:rsidRPr="00102FEC">
        <w:t>]</w:t>
      </w:r>
    </w:p>
    <w:p w:rsidR="001C7D76" w:rsidRDefault="00A11A9E" w:rsidP="00A11A9E">
      <w:pPr>
        <w:pStyle w:val="SingleTxtG"/>
        <w:rPr>
          <w:lang w:val="en-US"/>
        </w:rPr>
      </w:pPr>
      <w:r>
        <w:rPr>
          <w:lang w:val="en-US"/>
        </w:rPr>
        <w:t>172.</w:t>
      </w:r>
      <w:r>
        <w:rPr>
          <w:lang w:val="en-US"/>
        </w:rPr>
        <w:tab/>
      </w:r>
      <w:r w:rsidR="001C7D76" w:rsidRPr="004307E9">
        <w:rPr>
          <w:lang w:val="en-US"/>
        </w:rPr>
        <w:t>The Aliens Act was amended in 2011 as a consequence of the incorporation into Danish law of the EU</w:t>
      </w:r>
      <w:r w:rsidR="00AD395A">
        <w:rPr>
          <w:lang w:val="en-US"/>
        </w:rPr>
        <w:t xml:space="preserve"> d</w:t>
      </w:r>
      <w:r w:rsidR="001C7D76" w:rsidRPr="004307E9">
        <w:rPr>
          <w:lang w:val="en-US"/>
        </w:rPr>
        <w:t xml:space="preserve">irective on common standards and procedures in Member States for returning illegally staying third-country nationals. Pursuant to section 37(8), the maximum period of detention of aliens pending deportation is now six months. This limit can only be exceeded if exceptional reasons </w:t>
      </w:r>
      <w:r w:rsidR="001C7D76">
        <w:rPr>
          <w:lang w:val="en-US"/>
        </w:rPr>
        <w:t>so warrant</w:t>
      </w:r>
      <w:r w:rsidR="001C7D76" w:rsidRPr="004307E9">
        <w:rPr>
          <w:lang w:val="en-US"/>
        </w:rPr>
        <w:t xml:space="preserve"> – and never by more than twelve months. Such exceptional reasons may exist due to the detainee’s lack of cooperation concerning the removal arrangements, or delays connected with obtaining the necessary travel documents. The detention will always be for as short a period of time as possible and will only be maintained as long as removal arrangements are in progress and executed with due diligence.</w:t>
      </w:r>
    </w:p>
    <w:p w:rsidR="001C7D76" w:rsidRPr="004307E9" w:rsidRDefault="00A11A9E" w:rsidP="00A11A9E">
      <w:pPr>
        <w:pStyle w:val="SingleTxtG"/>
        <w:rPr>
          <w:lang w:val="en-US"/>
        </w:rPr>
      </w:pPr>
      <w:r w:rsidRPr="004307E9">
        <w:rPr>
          <w:lang w:val="en-US"/>
        </w:rPr>
        <w:t>173.</w:t>
      </w:r>
      <w:r w:rsidRPr="004307E9">
        <w:rPr>
          <w:lang w:val="en-US"/>
        </w:rPr>
        <w:tab/>
      </w:r>
      <w:r w:rsidR="001C7D76" w:rsidRPr="004307E9">
        <w:rPr>
          <w:lang w:val="en-US"/>
        </w:rPr>
        <w:t xml:space="preserve">In addition, the Aliens Act was amended in December 2013 regarding </w:t>
      </w:r>
      <w:r w:rsidR="001C7D76">
        <w:rPr>
          <w:lang w:val="en-US"/>
        </w:rPr>
        <w:t xml:space="preserve">the </w:t>
      </w:r>
      <w:r w:rsidR="001C7D76" w:rsidRPr="004307E9">
        <w:rPr>
          <w:lang w:val="en-US"/>
        </w:rPr>
        <w:t xml:space="preserve">duration of detention for the purpose of transfer. Pursuant to </w:t>
      </w:r>
      <w:r w:rsidR="001C7D76">
        <w:rPr>
          <w:lang w:val="en-US"/>
        </w:rPr>
        <w:t>the amended rules</w:t>
      </w:r>
      <w:r w:rsidR="001C7D76" w:rsidRPr="004307E9">
        <w:rPr>
          <w:lang w:val="en-US"/>
        </w:rPr>
        <w:t xml:space="preserve">, a detention order for the purpose of transfer may not be upheld if a </w:t>
      </w:r>
      <w:r w:rsidR="001C7D76">
        <w:rPr>
          <w:lang w:val="en-US"/>
        </w:rPr>
        <w:t>“</w:t>
      </w:r>
      <w:r w:rsidR="001C7D76" w:rsidRPr="004307E9">
        <w:rPr>
          <w:lang w:val="en-US"/>
        </w:rPr>
        <w:t>take charge</w:t>
      </w:r>
      <w:r w:rsidR="001C7D76">
        <w:rPr>
          <w:lang w:val="en-US"/>
        </w:rPr>
        <w:t>”</w:t>
      </w:r>
      <w:r w:rsidR="001C7D76" w:rsidRPr="004307E9">
        <w:rPr>
          <w:lang w:val="en-US"/>
        </w:rPr>
        <w:t xml:space="preserve"> or </w:t>
      </w:r>
      <w:r w:rsidR="001C7D76">
        <w:rPr>
          <w:lang w:val="en-US"/>
        </w:rPr>
        <w:t>“</w:t>
      </w:r>
      <w:r w:rsidR="001C7D76" w:rsidRPr="004307E9">
        <w:rPr>
          <w:lang w:val="en-US"/>
        </w:rPr>
        <w:t>take back</w:t>
      </w:r>
      <w:r w:rsidR="001C7D76">
        <w:rPr>
          <w:lang w:val="en-US"/>
        </w:rPr>
        <w:t>”</w:t>
      </w:r>
      <w:r w:rsidR="001C7D76" w:rsidRPr="004307E9">
        <w:rPr>
          <w:lang w:val="en-US"/>
        </w:rPr>
        <w:t xml:space="preserve"> request has not been submitted within one month from the lodging of an application for asylum or </w:t>
      </w:r>
      <w:r w:rsidR="00DB54D7">
        <w:rPr>
          <w:lang w:val="en-US"/>
        </w:rPr>
        <w:t>—</w:t>
      </w:r>
      <w:r w:rsidR="001C7D76" w:rsidRPr="004307E9">
        <w:rPr>
          <w:lang w:val="en-US"/>
        </w:rPr>
        <w:t xml:space="preserve"> if such application has not been lodged </w:t>
      </w:r>
      <w:r w:rsidR="00DB54D7">
        <w:rPr>
          <w:lang w:val="en-US"/>
        </w:rPr>
        <w:t>—</w:t>
      </w:r>
      <w:r w:rsidR="001C7D76" w:rsidRPr="004307E9">
        <w:rPr>
          <w:lang w:val="en-US"/>
        </w:rPr>
        <w:t xml:space="preserve"> from the time when the person’s presence in the country has come to the attention of the authorities. From the time when </w:t>
      </w:r>
      <w:r w:rsidR="001C7D76">
        <w:rPr>
          <w:lang w:val="en-US"/>
        </w:rPr>
        <w:t>the</w:t>
      </w:r>
      <w:r w:rsidR="001C7D76" w:rsidRPr="004307E9">
        <w:rPr>
          <w:lang w:val="en-US"/>
        </w:rPr>
        <w:t xml:space="preserve"> </w:t>
      </w:r>
      <w:r w:rsidR="001C7D76">
        <w:rPr>
          <w:lang w:val="en-US"/>
        </w:rPr>
        <w:t xml:space="preserve">request has been </w:t>
      </w:r>
      <w:r w:rsidR="001C7D76" w:rsidRPr="004307E9">
        <w:rPr>
          <w:lang w:val="en-US"/>
        </w:rPr>
        <w:t xml:space="preserve">accepted, or a complaint concerning the transfer no longer has suspensive effect, detention may not exceed six weeks. The detention will always be for as short </w:t>
      </w:r>
      <w:r w:rsidR="00AD395A">
        <w:rPr>
          <w:lang w:val="en-US"/>
        </w:rPr>
        <w:t xml:space="preserve">a period </w:t>
      </w:r>
      <w:r w:rsidR="001C7D76" w:rsidRPr="004307E9">
        <w:rPr>
          <w:lang w:val="en-US"/>
        </w:rPr>
        <w:t>as possible and only be maintained as long as transfer procedures are in progress and executed with due diligence.</w:t>
      </w:r>
    </w:p>
    <w:p w:rsidR="001C7D76" w:rsidRPr="009D6DF0" w:rsidRDefault="001E0E3B" w:rsidP="001E0E3B">
      <w:pPr>
        <w:pStyle w:val="H1G"/>
      </w:pPr>
      <w:bookmarkStart w:id="11" w:name="_Toc430941897"/>
      <w:r>
        <w:tab/>
      </w:r>
      <w:r>
        <w:tab/>
      </w:r>
      <w:r w:rsidR="001C7D76" w:rsidRPr="009D6DF0">
        <w:t>Freedom of religion and equal protection</w:t>
      </w:r>
      <w:bookmarkEnd w:id="11"/>
      <w:r w:rsidR="001C7D76" w:rsidRPr="009D6DF0">
        <w:t xml:space="preserve"> </w:t>
      </w:r>
    </w:p>
    <w:p w:rsidR="001C7D76" w:rsidRPr="00083AF9" w:rsidRDefault="001E0E3B" w:rsidP="00A11A9E">
      <w:pPr>
        <w:pStyle w:val="H23G"/>
        <w:rPr>
          <w:lang w:val="en-US" w:eastAsia="nb-NO"/>
        </w:rPr>
      </w:pPr>
      <w:r>
        <w:rPr>
          <w:lang w:val="en-US" w:eastAsia="nb-NO"/>
        </w:rPr>
        <w:tab/>
      </w:r>
      <w:r>
        <w:rPr>
          <w:lang w:val="en-US" w:eastAsia="nb-NO"/>
        </w:rPr>
        <w:tab/>
      </w:r>
      <w:r w:rsidR="001C7D76" w:rsidRPr="00083AF9">
        <w:rPr>
          <w:lang w:val="en-US" w:eastAsia="nb-NO"/>
        </w:rPr>
        <w:t xml:space="preserve">Reply to paragraph 20 of the </w:t>
      </w:r>
      <w:r w:rsidR="00FF0EDD">
        <w:rPr>
          <w:lang w:val="en-US" w:eastAsia="nb-NO"/>
        </w:rPr>
        <w:t>list of issues</w:t>
      </w:r>
      <w:r w:rsidR="001C7D76" w:rsidRPr="00083AF9">
        <w:rPr>
          <w:lang w:val="en-US"/>
        </w:rPr>
        <w:t xml:space="preserve"> [Ministry of Ecclesiastical Affairs]</w:t>
      </w:r>
    </w:p>
    <w:p w:rsidR="001C7D76" w:rsidRPr="00606C8E" w:rsidRDefault="00A11A9E" w:rsidP="00A11A9E">
      <w:pPr>
        <w:pStyle w:val="SingleTxtG"/>
        <w:rPr>
          <w:lang w:val="en-US" w:eastAsia="nb-NO"/>
        </w:rPr>
      </w:pPr>
      <w:r w:rsidRPr="00606C8E">
        <w:rPr>
          <w:lang w:val="en-US" w:eastAsia="nb-NO"/>
        </w:rPr>
        <w:t>174.</w:t>
      </w:r>
      <w:r w:rsidRPr="00606C8E">
        <w:rPr>
          <w:lang w:val="en-US" w:eastAsia="nb-NO"/>
        </w:rPr>
        <w:tab/>
      </w:r>
      <w:r w:rsidR="001C7D76" w:rsidRPr="0059113E">
        <w:rPr>
          <w:lang w:val="en-US" w:eastAsia="nb-NO"/>
        </w:rPr>
        <w:t xml:space="preserve">The </w:t>
      </w:r>
      <w:r w:rsidR="001C7D76">
        <w:rPr>
          <w:lang w:val="en-US"/>
        </w:rPr>
        <w:t xml:space="preserve">Constitution of the Kingdom of Denmark Act (the Constitution) </w:t>
      </w:r>
      <w:r w:rsidR="001C7D76">
        <w:rPr>
          <w:lang w:val="en-US" w:eastAsia="nb-NO"/>
        </w:rPr>
        <w:t>(</w:t>
      </w:r>
      <w:r w:rsidR="001C7D76" w:rsidRPr="005E4049">
        <w:rPr>
          <w:i/>
          <w:lang w:val="en-US" w:eastAsia="nb-NO"/>
        </w:rPr>
        <w:t>Grundloven</w:t>
      </w:r>
      <w:r w:rsidR="001C7D76">
        <w:rPr>
          <w:lang w:val="en-US" w:eastAsia="nb-NO"/>
        </w:rPr>
        <w:t xml:space="preserve">) </w:t>
      </w:r>
      <w:r w:rsidR="001C7D76" w:rsidRPr="0059113E">
        <w:rPr>
          <w:lang w:val="en-US" w:eastAsia="nb-NO"/>
        </w:rPr>
        <w:t>ensures freedom of religion. In addition, discrimination based on religion is prohibited by law.</w:t>
      </w:r>
    </w:p>
    <w:p w:rsidR="001C7D76" w:rsidRPr="00F376ED" w:rsidRDefault="001E0E3B" w:rsidP="00A11A9E">
      <w:pPr>
        <w:pStyle w:val="H4G"/>
        <w:rPr>
          <w:lang w:val="en-US" w:eastAsia="nb-NO"/>
        </w:rPr>
      </w:pPr>
      <w:r>
        <w:rPr>
          <w:lang w:val="en-US" w:eastAsia="nb-NO"/>
        </w:rPr>
        <w:tab/>
      </w:r>
      <w:r>
        <w:rPr>
          <w:lang w:val="en-US" w:eastAsia="nb-NO"/>
        </w:rPr>
        <w:tab/>
      </w:r>
      <w:r w:rsidR="001C7D76" w:rsidRPr="00F376ED">
        <w:rPr>
          <w:lang w:val="en-US" w:eastAsia="nb-NO"/>
        </w:rPr>
        <w:t>Financial support to the Established Church</w:t>
      </w:r>
    </w:p>
    <w:p w:rsidR="001C7D76" w:rsidRDefault="00A11A9E" w:rsidP="00A11A9E">
      <w:pPr>
        <w:pStyle w:val="SingleTxtG"/>
        <w:rPr>
          <w:lang w:val="en-US" w:eastAsia="nb-NO"/>
        </w:rPr>
      </w:pPr>
      <w:r>
        <w:rPr>
          <w:lang w:val="en-US" w:eastAsia="nb-NO"/>
        </w:rPr>
        <w:t>175.</w:t>
      </w:r>
      <w:r>
        <w:rPr>
          <w:lang w:val="en-US" w:eastAsia="nb-NO"/>
        </w:rPr>
        <w:tab/>
      </w:r>
      <w:r w:rsidR="001C7D76" w:rsidRPr="00A72503">
        <w:rPr>
          <w:lang w:val="en-US" w:eastAsia="nb-NO"/>
        </w:rPr>
        <w:t>Section 68 of the Constitution stipulates</w:t>
      </w:r>
      <w:r w:rsidR="001C7D76">
        <w:rPr>
          <w:lang w:val="en-US" w:eastAsia="nb-NO"/>
        </w:rPr>
        <w:t xml:space="preserve"> that</w:t>
      </w:r>
      <w:r w:rsidR="001C7D76" w:rsidRPr="00A72503">
        <w:rPr>
          <w:lang w:val="en-US" w:eastAsia="nb-NO"/>
        </w:rPr>
        <w:t xml:space="preserve"> no one shall be liable to make personal contributions to any denomination other than the one to which he adheres. </w:t>
      </w:r>
    </w:p>
    <w:p w:rsidR="001C7D76" w:rsidRPr="00A72503" w:rsidRDefault="00A11A9E" w:rsidP="00A11A9E">
      <w:pPr>
        <w:pStyle w:val="SingleTxtG"/>
        <w:rPr>
          <w:lang w:val="en-US" w:eastAsia="nb-NO"/>
        </w:rPr>
      </w:pPr>
      <w:r w:rsidRPr="00A72503">
        <w:rPr>
          <w:lang w:val="en-US" w:eastAsia="nb-NO"/>
        </w:rPr>
        <w:t>176.</w:t>
      </w:r>
      <w:r w:rsidRPr="00A72503">
        <w:rPr>
          <w:lang w:val="en-US" w:eastAsia="nb-NO"/>
        </w:rPr>
        <w:tab/>
      </w:r>
      <w:r w:rsidR="001C7D76" w:rsidRPr="00A72503">
        <w:rPr>
          <w:lang w:val="en-US" w:eastAsia="nb-NO"/>
        </w:rPr>
        <w:t xml:space="preserve">The Evangelical Lutheran Church is awarded a special status by the Constitution (sections 4 and 66), according to which the Evangelical Lutheran Church shall be the “Established Church of Denmark”, and as such shall be supported by the State. The constitution of the Established Church shall be laid down by statute. </w:t>
      </w:r>
    </w:p>
    <w:p w:rsidR="001C7D76" w:rsidRDefault="00A11A9E" w:rsidP="00A11A9E">
      <w:pPr>
        <w:pStyle w:val="SingleTxtG"/>
        <w:rPr>
          <w:lang w:val="en-US" w:eastAsia="nb-NO"/>
        </w:rPr>
      </w:pPr>
      <w:r>
        <w:rPr>
          <w:lang w:val="en-US" w:eastAsia="nb-NO"/>
        </w:rPr>
        <w:t>177.</w:t>
      </w:r>
      <w:r>
        <w:rPr>
          <w:lang w:val="en-US" w:eastAsia="nb-NO"/>
        </w:rPr>
        <w:tab/>
      </w:r>
      <w:r w:rsidR="001C7D76" w:rsidRPr="0059113E">
        <w:rPr>
          <w:lang w:val="en-US" w:eastAsia="nb-NO"/>
        </w:rPr>
        <w:t xml:space="preserve">The Danish State </w:t>
      </w:r>
      <w:r w:rsidR="001C7D76">
        <w:rPr>
          <w:lang w:val="en-US" w:eastAsia="nb-NO"/>
        </w:rPr>
        <w:t xml:space="preserve">thus </w:t>
      </w:r>
      <w:r w:rsidR="001C7D76" w:rsidRPr="0059113E">
        <w:rPr>
          <w:lang w:val="en-US" w:eastAsia="nb-NO"/>
        </w:rPr>
        <w:t xml:space="preserve">has a duty to support </w:t>
      </w:r>
      <w:r w:rsidR="001C7D76">
        <w:rPr>
          <w:lang w:val="en-US" w:eastAsia="nb-NO"/>
        </w:rPr>
        <w:t>the</w:t>
      </w:r>
      <w:r w:rsidR="001C7D76" w:rsidRPr="0059113E">
        <w:rPr>
          <w:lang w:val="en-US" w:eastAsia="nb-NO"/>
        </w:rPr>
        <w:t xml:space="preserve"> Established Church financially and in other ways. The State can also choose to support other religious denominations, but is under </w:t>
      </w:r>
      <w:r w:rsidR="001C7D76">
        <w:rPr>
          <w:lang w:val="en-US" w:eastAsia="nb-NO"/>
        </w:rPr>
        <w:t xml:space="preserve">no </w:t>
      </w:r>
      <w:r w:rsidR="001C7D76" w:rsidRPr="0059113E">
        <w:rPr>
          <w:lang w:val="en-US" w:eastAsia="nb-NO"/>
        </w:rPr>
        <w:t>obligation to do so.</w:t>
      </w:r>
    </w:p>
    <w:p w:rsidR="001C7D76" w:rsidRDefault="00A11A9E" w:rsidP="00A11A9E">
      <w:pPr>
        <w:pStyle w:val="SingleTxtG"/>
        <w:rPr>
          <w:lang w:val="en-US" w:eastAsia="nb-NO"/>
        </w:rPr>
      </w:pPr>
      <w:r>
        <w:rPr>
          <w:lang w:val="en-US" w:eastAsia="nb-NO"/>
        </w:rPr>
        <w:t>178.</w:t>
      </w:r>
      <w:r>
        <w:rPr>
          <w:lang w:val="en-US" w:eastAsia="nb-NO"/>
        </w:rPr>
        <w:tab/>
      </w:r>
      <w:r w:rsidR="001C7D76" w:rsidRPr="0059113E">
        <w:rPr>
          <w:lang w:val="en-US" w:eastAsia="nb-NO"/>
        </w:rPr>
        <w:t xml:space="preserve">The Established Church receives direct financial support. In </w:t>
      </w:r>
      <w:r w:rsidR="001C7D76">
        <w:rPr>
          <w:lang w:val="en-US" w:eastAsia="nb-NO"/>
        </w:rPr>
        <w:t>2014</w:t>
      </w:r>
      <w:r w:rsidR="001C7D76" w:rsidRPr="0059113E">
        <w:rPr>
          <w:lang w:val="en-US" w:eastAsia="nb-NO"/>
        </w:rPr>
        <w:t>, financial support to the Established Church amounted to 7</w:t>
      </w:r>
      <w:r w:rsidR="001C7D76">
        <w:rPr>
          <w:lang w:val="en-US" w:eastAsia="nb-NO"/>
        </w:rPr>
        <w:t>67</w:t>
      </w:r>
      <w:r w:rsidR="007C4C22">
        <w:rPr>
          <w:lang w:val="en-US" w:eastAsia="nb-NO"/>
        </w:rPr>
        <w:t>.</w:t>
      </w:r>
      <w:r w:rsidR="001C7D76">
        <w:rPr>
          <w:lang w:val="en-US" w:eastAsia="nb-NO"/>
        </w:rPr>
        <w:t>6</w:t>
      </w:r>
      <w:r w:rsidR="001C7D76" w:rsidRPr="0059113E">
        <w:rPr>
          <w:lang w:val="en-US" w:eastAsia="nb-NO"/>
        </w:rPr>
        <w:t xml:space="preserve"> million</w:t>
      </w:r>
      <w:r w:rsidR="001C7D76" w:rsidRPr="00A72503">
        <w:rPr>
          <w:lang w:val="en-US" w:eastAsia="nb-NO"/>
        </w:rPr>
        <w:t xml:space="preserve"> </w:t>
      </w:r>
      <w:r w:rsidR="001C7D76" w:rsidRPr="0059113E">
        <w:rPr>
          <w:lang w:val="en-US" w:eastAsia="nb-NO"/>
        </w:rPr>
        <w:t>DKK</w:t>
      </w:r>
      <w:r w:rsidR="00AD395A">
        <w:rPr>
          <w:lang w:val="en-US" w:eastAsia="nb-NO"/>
        </w:rPr>
        <w:t>,</w:t>
      </w:r>
      <w:r w:rsidR="001C7D76">
        <w:rPr>
          <w:lang w:val="en-US" w:eastAsia="nb-NO"/>
        </w:rPr>
        <w:t xml:space="preserve"> 87</w:t>
      </w:r>
      <w:r w:rsidR="00AD395A">
        <w:rPr>
          <w:lang w:val="en-US" w:eastAsia="nb-NO"/>
        </w:rPr>
        <w:t>.</w:t>
      </w:r>
      <w:r w:rsidR="001C7D76">
        <w:rPr>
          <w:lang w:val="en-US" w:eastAsia="nb-NO"/>
        </w:rPr>
        <w:t>4</w:t>
      </w:r>
      <w:r w:rsidR="001C7D76" w:rsidRPr="0059113E">
        <w:rPr>
          <w:lang w:val="en-US" w:eastAsia="nb-NO"/>
        </w:rPr>
        <w:t xml:space="preserve"> </w:t>
      </w:r>
      <w:r w:rsidR="0062001E">
        <w:rPr>
          <w:lang w:val="en-US" w:eastAsia="nb-NO"/>
        </w:rPr>
        <w:t>per cent</w:t>
      </w:r>
      <w:r w:rsidR="0062001E" w:rsidRPr="0059113E">
        <w:rPr>
          <w:lang w:val="en-US" w:eastAsia="nb-NO"/>
        </w:rPr>
        <w:t xml:space="preserve"> </w:t>
      </w:r>
      <w:r w:rsidR="0062001E">
        <w:rPr>
          <w:lang w:val="en-US" w:eastAsia="nb-NO"/>
        </w:rPr>
        <w:t xml:space="preserve">of which </w:t>
      </w:r>
      <w:r w:rsidR="001C7D76">
        <w:rPr>
          <w:lang w:val="en-US" w:eastAsia="nb-NO"/>
        </w:rPr>
        <w:t>was</w:t>
      </w:r>
      <w:r w:rsidR="001C7D76" w:rsidRPr="0059113E">
        <w:rPr>
          <w:lang w:val="en-US" w:eastAsia="nb-NO"/>
        </w:rPr>
        <w:t xml:space="preserve"> used for salaries and pensions for the clergy. The State subsidy pays the full salary for bishops, 40 </w:t>
      </w:r>
      <w:r w:rsidR="00DA706F">
        <w:rPr>
          <w:lang w:val="en-US" w:eastAsia="nb-NO"/>
        </w:rPr>
        <w:t>per cent</w:t>
      </w:r>
      <w:r w:rsidR="001C7D76" w:rsidRPr="0059113E">
        <w:rPr>
          <w:lang w:val="en-US" w:eastAsia="nb-NO"/>
        </w:rPr>
        <w:t xml:space="preserve"> of the salaries for other clergy and full pensions for all former clergy.</w:t>
      </w:r>
    </w:p>
    <w:p w:rsidR="001C7D76" w:rsidRPr="0059113E" w:rsidRDefault="00A11A9E" w:rsidP="00A11A9E">
      <w:pPr>
        <w:pStyle w:val="SingleTxtG"/>
        <w:rPr>
          <w:lang w:val="en-US" w:eastAsia="nb-NO"/>
        </w:rPr>
      </w:pPr>
      <w:r w:rsidRPr="0059113E">
        <w:rPr>
          <w:lang w:val="en-US" w:eastAsia="nb-NO"/>
        </w:rPr>
        <w:t>179.</w:t>
      </w:r>
      <w:r w:rsidRPr="0059113E">
        <w:rPr>
          <w:lang w:val="en-US" w:eastAsia="nb-NO"/>
        </w:rPr>
        <w:tab/>
      </w:r>
      <w:r w:rsidR="001C7D76" w:rsidRPr="0059113E">
        <w:rPr>
          <w:lang w:val="en-US" w:eastAsia="nb-NO"/>
        </w:rPr>
        <w:t>The financial support should be seen in the context that other religious denominations may obtain substantial indirect subsidies from the State. This is due to the possibility for taxpayers to deduct contributions (gifts and other regular payments) to other religious communities in their tax returns, whereas a contribution to the Established Church (the “Church Tax”, which is only paid by the members of the Established Church) is not tax-deductible.</w:t>
      </w:r>
    </w:p>
    <w:p w:rsidR="001C7D76" w:rsidRDefault="00A11A9E" w:rsidP="00A11A9E">
      <w:pPr>
        <w:pStyle w:val="SingleTxtG"/>
        <w:rPr>
          <w:lang w:val="en-US" w:eastAsia="nb-NO"/>
        </w:rPr>
      </w:pPr>
      <w:r>
        <w:rPr>
          <w:lang w:val="en-US" w:eastAsia="nb-NO"/>
        </w:rPr>
        <w:t>180.</w:t>
      </w:r>
      <w:r>
        <w:rPr>
          <w:lang w:val="en-US" w:eastAsia="nb-NO"/>
        </w:rPr>
        <w:tab/>
      </w:r>
      <w:r w:rsidR="001C7D76" w:rsidRPr="0059113E">
        <w:rPr>
          <w:lang w:val="en-US" w:eastAsia="nb-NO"/>
        </w:rPr>
        <w:t xml:space="preserve">The financial support should further be seen in the context that the Established Church is responsible for public cemeteries and civil registration in most of Denmark. Although the Established Church has these administrative functions entrusted to it, the cemeteries as well as the civil registration is managed according to </w:t>
      </w:r>
      <w:r w:rsidR="001C7D76">
        <w:rPr>
          <w:lang w:val="en-US" w:eastAsia="nb-NO"/>
        </w:rPr>
        <w:t>civil</w:t>
      </w:r>
      <w:r w:rsidR="001C7D76" w:rsidRPr="0059113E">
        <w:rPr>
          <w:lang w:val="en-US" w:eastAsia="nb-NO"/>
        </w:rPr>
        <w:t xml:space="preserve"> law.</w:t>
      </w:r>
    </w:p>
    <w:p w:rsidR="001C7D76" w:rsidRPr="00AD395A" w:rsidRDefault="00A11A9E" w:rsidP="00A11A9E">
      <w:pPr>
        <w:pStyle w:val="SingleTxtG"/>
        <w:rPr>
          <w:lang w:val="en-US" w:eastAsia="nb-NO"/>
        </w:rPr>
      </w:pPr>
      <w:r w:rsidRPr="00AD395A">
        <w:rPr>
          <w:lang w:val="en-US" w:eastAsia="nb-NO"/>
        </w:rPr>
        <w:t>181.</w:t>
      </w:r>
      <w:r w:rsidRPr="00AD395A">
        <w:rPr>
          <w:lang w:val="en-US" w:eastAsia="nb-NO"/>
        </w:rPr>
        <w:tab/>
      </w:r>
      <w:r w:rsidR="001C7D76" w:rsidRPr="00AD395A">
        <w:rPr>
          <w:lang w:val="en-US" w:eastAsia="nb-NO"/>
        </w:rPr>
        <w:t xml:space="preserve">In November 2005, two Catholics each filed a lawsuit against the Ministry of Ecclesiastical Affairs (the Koza-trial and the Toft-trial). In both trials, the plaintiffs </w:t>
      </w:r>
      <w:r w:rsidR="00AD395A" w:rsidRPr="00AD395A">
        <w:rPr>
          <w:lang w:val="en-US" w:eastAsia="nb-NO"/>
        </w:rPr>
        <w:t xml:space="preserve">argued </w:t>
      </w:r>
      <w:r w:rsidR="001C7D76" w:rsidRPr="00AD395A">
        <w:rPr>
          <w:lang w:val="en-US" w:eastAsia="nb-NO"/>
        </w:rPr>
        <w:t xml:space="preserve">that section 4 of the Constitution was in conflict with inter alia the ECHR on the grounds that the State grant to the Established Church is pertinent to proclamation of the Established Church, and that non-members of the Established Church are forced to make personal contributions to </w:t>
      </w:r>
      <w:r w:rsidR="00AD395A">
        <w:rPr>
          <w:lang w:val="en-US" w:eastAsia="nb-NO"/>
        </w:rPr>
        <w:t xml:space="preserve">a </w:t>
      </w:r>
      <w:r w:rsidR="001C7D76" w:rsidRPr="00AD395A">
        <w:rPr>
          <w:lang w:val="en-US" w:eastAsia="nb-NO"/>
        </w:rPr>
        <w:t xml:space="preserve">religion </w:t>
      </w:r>
      <w:r w:rsidR="00AD395A">
        <w:rPr>
          <w:lang w:val="en-US" w:eastAsia="nb-NO"/>
        </w:rPr>
        <w:t xml:space="preserve">other </w:t>
      </w:r>
      <w:r w:rsidR="001C7D76" w:rsidRPr="00AD395A">
        <w:rPr>
          <w:lang w:val="en-US" w:eastAsia="nb-NO"/>
        </w:rPr>
        <w:t>than their own through their general taxes. The High Court ruled that there is no direct connection between regular taxes and the State’s financial grant to the religious activities of the Established Church, as non-members of the Established Church do not pay the specific “church</w:t>
      </w:r>
      <w:r w:rsidR="00AD395A">
        <w:rPr>
          <w:lang w:val="en-US" w:eastAsia="nb-NO"/>
        </w:rPr>
        <w:t xml:space="preserve"> </w:t>
      </w:r>
      <w:r w:rsidR="001C7D76" w:rsidRPr="00AD395A">
        <w:rPr>
          <w:lang w:val="en-US" w:eastAsia="nb-NO"/>
        </w:rPr>
        <w:t>tax”. Non-members of the Established Church only contribute indirectly through their regular taxes. The ruling from the High Court was affirmed by the Supreme Court in November 2007.</w:t>
      </w:r>
    </w:p>
    <w:p w:rsidR="001C7D76" w:rsidRPr="00F376ED" w:rsidRDefault="001E0E3B" w:rsidP="00A11A9E">
      <w:pPr>
        <w:pStyle w:val="H4G"/>
        <w:rPr>
          <w:lang w:val="en-US" w:eastAsia="nb-NO"/>
        </w:rPr>
      </w:pPr>
      <w:r>
        <w:rPr>
          <w:lang w:val="en-US" w:eastAsia="nb-NO"/>
        </w:rPr>
        <w:tab/>
      </w:r>
      <w:r>
        <w:rPr>
          <w:lang w:val="en-US" w:eastAsia="nb-NO"/>
        </w:rPr>
        <w:tab/>
      </w:r>
      <w:r w:rsidR="001C7D76" w:rsidRPr="00F376ED">
        <w:rPr>
          <w:lang w:val="en-US" w:eastAsia="nb-NO"/>
        </w:rPr>
        <w:t>Religio</w:t>
      </w:r>
      <w:r w:rsidR="001C7D76">
        <w:rPr>
          <w:lang w:val="en-US" w:eastAsia="nb-NO"/>
        </w:rPr>
        <w:t>u</w:t>
      </w:r>
      <w:r w:rsidR="001C7D76" w:rsidRPr="00F376ED">
        <w:rPr>
          <w:lang w:val="en-US" w:eastAsia="nb-NO"/>
        </w:rPr>
        <w:t>s communities in Denmark other than the Established Church</w:t>
      </w:r>
    </w:p>
    <w:p w:rsidR="001C7D76" w:rsidRPr="00606C8E" w:rsidRDefault="00A11A9E" w:rsidP="00A11A9E">
      <w:pPr>
        <w:pStyle w:val="SingleTxtG"/>
        <w:rPr>
          <w:lang w:val="en-US" w:eastAsia="nb-NO"/>
        </w:rPr>
      </w:pPr>
      <w:r w:rsidRPr="00606C8E">
        <w:rPr>
          <w:lang w:val="en-US" w:eastAsia="nb-NO"/>
        </w:rPr>
        <w:t>182.</w:t>
      </w:r>
      <w:r w:rsidRPr="00606C8E">
        <w:rPr>
          <w:lang w:val="en-US" w:eastAsia="nb-NO"/>
        </w:rPr>
        <w:tab/>
      </w:r>
      <w:r w:rsidR="001C7D76" w:rsidRPr="00606C8E">
        <w:rPr>
          <w:lang w:val="en-US" w:eastAsia="nb-NO"/>
        </w:rPr>
        <w:t xml:space="preserve">Religious communities in Denmark, other than the Established Church, </w:t>
      </w:r>
      <w:r w:rsidR="001C7D76">
        <w:rPr>
          <w:lang w:val="en-US" w:eastAsia="nb-NO"/>
        </w:rPr>
        <w:t>are</w:t>
      </w:r>
      <w:r w:rsidR="001C7D76" w:rsidRPr="00606C8E">
        <w:rPr>
          <w:lang w:val="en-US" w:eastAsia="nb-NO"/>
        </w:rPr>
        <w:t xml:space="preserve"> grouped into three categories: recognized religious communities</w:t>
      </w:r>
      <w:r w:rsidR="00AD395A">
        <w:rPr>
          <w:lang w:val="en-US" w:eastAsia="nb-NO"/>
        </w:rPr>
        <w:t>,</w:t>
      </w:r>
      <w:r w:rsidR="001C7D76" w:rsidRPr="00606C8E">
        <w:rPr>
          <w:lang w:val="en-US" w:eastAsia="nb-NO"/>
        </w:rPr>
        <w:t xml:space="preserve"> approved religious communi</w:t>
      </w:r>
      <w:r w:rsidR="001C7D76">
        <w:rPr>
          <w:lang w:val="en-US" w:eastAsia="nb-NO"/>
        </w:rPr>
        <w:t>ties and spiritual communi</w:t>
      </w:r>
      <w:r w:rsidR="001C7D76" w:rsidRPr="00606C8E">
        <w:rPr>
          <w:lang w:val="en-US" w:eastAsia="nb-NO"/>
        </w:rPr>
        <w:t>ties that do not wish to obtain approval or cannot be defined as religious communities. All groups enjoy full freedom to practice their beliefs.</w:t>
      </w:r>
    </w:p>
    <w:p w:rsidR="001C7D76" w:rsidRDefault="00A11A9E" w:rsidP="00A11A9E">
      <w:pPr>
        <w:pStyle w:val="SingleTxtG"/>
        <w:rPr>
          <w:lang w:val="en-US" w:eastAsia="nb-NO"/>
        </w:rPr>
      </w:pPr>
      <w:r>
        <w:rPr>
          <w:lang w:val="en-US" w:eastAsia="nb-NO"/>
        </w:rPr>
        <w:t>183.</w:t>
      </w:r>
      <w:r>
        <w:rPr>
          <w:lang w:val="en-US" w:eastAsia="nb-NO"/>
        </w:rPr>
        <w:tab/>
      </w:r>
      <w:r w:rsidR="001C7D76" w:rsidRPr="00606C8E">
        <w:rPr>
          <w:lang w:val="en-US" w:eastAsia="nb-NO"/>
        </w:rPr>
        <w:t xml:space="preserve">Approval of a religious community </w:t>
      </w:r>
      <w:r w:rsidR="001C7D76">
        <w:rPr>
          <w:lang w:val="en-US" w:eastAsia="nb-NO"/>
        </w:rPr>
        <w:t xml:space="preserve">is granted </w:t>
      </w:r>
      <w:r w:rsidR="001C7D76" w:rsidRPr="00606C8E">
        <w:rPr>
          <w:lang w:val="en-US" w:eastAsia="nb-NO"/>
        </w:rPr>
        <w:t xml:space="preserve">by the Ministry of </w:t>
      </w:r>
      <w:r w:rsidR="001C7D76">
        <w:rPr>
          <w:lang w:val="en-US" w:eastAsia="nb-NO"/>
        </w:rPr>
        <w:t xml:space="preserve">Ecclesiastical Affairs </w:t>
      </w:r>
      <w:r w:rsidR="001C7D76" w:rsidRPr="00A11A9E">
        <w:rPr>
          <w:iCs/>
          <w:lang w:val="en-US" w:eastAsia="nb-NO"/>
        </w:rPr>
        <w:t>(</w:t>
      </w:r>
      <w:r w:rsidR="001C7D76">
        <w:rPr>
          <w:i/>
          <w:lang w:val="en-US" w:eastAsia="nb-NO"/>
        </w:rPr>
        <w:t>Kirkeministeriet</w:t>
      </w:r>
      <w:r w:rsidR="001C7D76" w:rsidRPr="00A11A9E">
        <w:rPr>
          <w:iCs/>
          <w:lang w:val="en-US" w:eastAsia="nb-NO"/>
        </w:rPr>
        <w:t>)</w:t>
      </w:r>
      <w:r w:rsidR="001C7D76">
        <w:rPr>
          <w:lang w:val="en-US" w:eastAsia="nb-NO"/>
        </w:rPr>
        <w:t xml:space="preserve"> </w:t>
      </w:r>
      <w:r w:rsidR="001C7D76" w:rsidRPr="00606C8E">
        <w:rPr>
          <w:lang w:val="en-US" w:eastAsia="nb-NO"/>
        </w:rPr>
        <w:t>based on the recommendation of an independent committee. The committee does not represent the Established Church or any other religious denomination.</w:t>
      </w:r>
    </w:p>
    <w:p w:rsidR="001C7D76" w:rsidRPr="00F376ED" w:rsidRDefault="001E0E3B" w:rsidP="00A11A9E">
      <w:pPr>
        <w:pStyle w:val="H4G"/>
        <w:rPr>
          <w:lang w:val="en-US" w:eastAsia="nb-NO"/>
        </w:rPr>
      </w:pPr>
      <w:r>
        <w:rPr>
          <w:lang w:val="en-US" w:eastAsia="nb-NO"/>
        </w:rPr>
        <w:tab/>
      </w:r>
      <w:r>
        <w:rPr>
          <w:lang w:val="en-US" w:eastAsia="nb-NO"/>
        </w:rPr>
        <w:tab/>
      </w:r>
      <w:r w:rsidR="001C7D76" w:rsidRPr="00F376ED">
        <w:rPr>
          <w:lang w:val="en-US" w:eastAsia="nb-NO"/>
        </w:rPr>
        <w:t>Burial, birth registration and marriage</w:t>
      </w:r>
    </w:p>
    <w:p w:rsidR="001C7D76" w:rsidRPr="0059113E" w:rsidRDefault="00A11A9E" w:rsidP="00A11A9E">
      <w:pPr>
        <w:pStyle w:val="SingleTxtG"/>
        <w:rPr>
          <w:lang w:val="en-US" w:eastAsia="nb-NO"/>
        </w:rPr>
      </w:pPr>
      <w:r w:rsidRPr="0059113E">
        <w:rPr>
          <w:lang w:val="en-US" w:eastAsia="nb-NO"/>
        </w:rPr>
        <w:t>184.</w:t>
      </w:r>
      <w:r w:rsidRPr="0059113E">
        <w:rPr>
          <w:lang w:val="en-US" w:eastAsia="nb-NO"/>
        </w:rPr>
        <w:tab/>
      </w:r>
      <w:r w:rsidR="001C7D76" w:rsidRPr="0059113E">
        <w:rPr>
          <w:lang w:val="en-US" w:eastAsia="nb-NO"/>
        </w:rPr>
        <w:t xml:space="preserve">Everyone regardless of religious belief has a right to be buried </w:t>
      </w:r>
      <w:r w:rsidR="00AD395A">
        <w:rPr>
          <w:lang w:val="en-US" w:eastAsia="nb-NO"/>
        </w:rPr>
        <w:t>in</w:t>
      </w:r>
      <w:r w:rsidR="00AD395A" w:rsidRPr="0059113E">
        <w:rPr>
          <w:lang w:val="en-US" w:eastAsia="nb-NO"/>
        </w:rPr>
        <w:t xml:space="preserve"> </w:t>
      </w:r>
      <w:r w:rsidR="001C7D76" w:rsidRPr="0059113E">
        <w:rPr>
          <w:lang w:val="en-US" w:eastAsia="nb-NO"/>
        </w:rPr>
        <w:t xml:space="preserve">the cemeteries of the Established Church. Members of religious or belief communities other than the Established Church have an opportunity to establish their own cemeteries </w:t>
      </w:r>
      <w:r w:rsidR="001C7D76">
        <w:rPr>
          <w:lang w:val="en-US" w:eastAsia="nb-NO"/>
        </w:rPr>
        <w:t>or may use specific parts of the Es</w:t>
      </w:r>
      <w:r w:rsidR="001C7D76" w:rsidRPr="0059113E">
        <w:rPr>
          <w:lang w:val="en-US" w:eastAsia="nb-NO"/>
        </w:rPr>
        <w:t xml:space="preserve">tablished Church’s cemeteries as their own with </w:t>
      </w:r>
      <w:r w:rsidR="001C7D76">
        <w:rPr>
          <w:lang w:val="en-US" w:eastAsia="nb-NO"/>
        </w:rPr>
        <w:t>State</w:t>
      </w:r>
      <w:r w:rsidR="001C7D76" w:rsidRPr="0059113E">
        <w:rPr>
          <w:lang w:val="en-US" w:eastAsia="nb-NO"/>
        </w:rPr>
        <w:t xml:space="preserve"> approval. </w:t>
      </w:r>
    </w:p>
    <w:p w:rsidR="001C7D76" w:rsidRPr="0059113E" w:rsidRDefault="00A11A9E" w:rsidP="00A11A9E">
      <w:pPr>
        <w:pStyle w:val="SingleTxtG"/>
        <w:rPr>
          <w:lang w:val="en-US" w:eastAsia="nb-NO"/>
        </w:rPr>
      </w:pPr>
      <w:r w:rsidRPr="0059113E">
        <w:rPr>
          <w:lang w:val="en-US" w:eastAsia="nb-NO"/>
        </w:rPr>
        <w:t>185.</w:t>
      </w:r>
      <w:r w:rsidRPr="0059113E">
        <w:rPr>
          <w:lang w:val="en-US" w:eastAsia="nb-NO"/>
        </w:rPr>
        <w:tab/>
      </w:r>
      <w:r w:rsidR="001C7D76" w:rsidRPr="0059113E">
        <w:rPr>
          <w:lang w:val="en-US" w:eastAsia="nb-NO"/>
        </w:rPr>
        <w:t>Further, the municipal authorities are empowered, at their own discretion, but subject to approval by the Ministry of Ecclesiasti</w:t>
      </w:r>
      <w:r w:rsidR="001C7D76">
        <w:rPr>
          <w:lang w:val="en-US" w:eastAsia="nb-NO"/>
        </w:rPr>
        <w:t>cal Af</w:t>
      </w:r>
      <w:r w:rsidR="001C7D76" w:rsidRPr="0059113E">
        <w:rPr>
          <w:lang w:val="en-US" w:eastAsia="nb-NO"/>
        </w:rPr>
        <w:t>fairs, to establish municipal cemeteries without any connection to the Evangelical Lutheran Church. In major Danish cities the cemeteries are operated by municipal authorities.</w:t>
      </w:r>
    </w:p>
    <w:p w:rsidR="001C7D76" w:rsidRDefault="00A11A9E" w:rsidP="00A11A9E">
      <w:pPr>
        <w:pStyle w:val="SingleTxtG"/>
        <w:rPr>
          <w:lang w:val="en-US" w:eastAsia="nb-NO"/>
        </w:rPr>
      </w:pPr>
      <w:r>
        <w:rPr>
          <w:lang w:val="en-US" w:eastAsia="nb-NO"/>
        </w:rPr>
        <w:t>186.</w:t>
      </w:r>
      <w:r>
        <w:rPr>
          <w:lang w:val="en-US" w:eastAsia="nb-NO"/>
        </w:rPr>
        <w:tab/>
      </w:r>
      <w:r w:rsidR="001C7D76" w:rsidRPr="0059113E">
        <w:rPr>
          <w:lang w:val="en-US" w:eastAsia="nb-NO"/>
        </w:rPr>
        <w:t xml:space="preserve">In </w:t>
      </w:r>
      <w:r w:rsidR="001C7D76">
        <w:rPr>
          <w:lang w:val="en-US" w:eastAsia="nb-NO"/>
        </w:rPr>
        <w:t>2013,</w:t>
      </w:r>
      <w:r w:rsidR="001C7D76" w:rsidRPr="0059113E">
        <w:rPr>
          <w:lang w:val="en-US" w:eastAsia="nb-NO"/>
        </w:rPr>
        <w:t xml:space="preserve"> </w:t>
      </w:r>
      <w:r w:rsidR="001C7D76">
        <w:rPr>
          <w:lang w:val="en-US" w:eastAsia="nb-NO"/>
        </w:rPr>
        <w:t xml:space="preserve">new legislation regarding </w:t>
      </w:r>
      <w:r w:rsidR="001C7D76" w:rsidRPr="00C21951">
        <w:rPr>
          <w:lang w:val="en-US" w:eastAsia="nb-NO"/>
        </w:rPr>
        <w:t>digitization of processes concerning civil registration</w:t>
      </w:r>
      <w:r w:rsidR="001C7D76">
        <w:rPr>
          <w:lang w:val="en-US" w:eastAsia="nb-NO"/>
        </w:rPr>
        <w:t xml:space="preserve"> entered into force. A</w:t>
      </w:r>
      <w:r w:rsidR="001C7D76" w:rsidRPr="00C21951">
        <w:rPr>
          <w:lang w:val="en-US" w:eastAsia="nb-NO"/>
        </w:rPr>
        <w:t xml:space="preserve">ll application processes now start on a public online self-service on the </w:t>
      </w:r>
      <w:r w:rsidR="00D7005A">
        <w:rPr>
          <w:lang w:val="en-US" w:eastAsia="nb-NO"/>
        </w:rPr>
        <w:t>I</w:t>
      </w:r>
      <w:r w:rsidR="001C7D76" w:rsidRPr="00C21951">
        <w:rPr>
          <w:lang w:val="en-US" w:eastAsia="nb-NO"/>
        </w:rPr>
        <w:t xml:space="preserve">nternet (borger.dk). Here citizens can </w:t>
      </w:r>
      <w:r w:rsidR="0062001E">
        <w:rPr>
          <w:lang w:val="en-US" w:eastAsia="nb-NO"/>
        </w:rPr>
        <w:t>make an application with regard to:</w:t>
      </w:r>
      <w:r w:rsidR="001C7D76" w:rsidRPr="00C21951">
        <w:rPr>
          <w:lang w:val="en-US" w:eastAsia="nb-NO"/>
        </w:rPr>
        <w:t xml:space="preserve"> a) Registration of a father o</w:t>
      </w:r>
      <w:r w:rsidR="00D7005A">
        <w:rPr>
          <w:lang w:val="en-US" w:eastAsia="nb-NO"/>
        </w:rPr>
        <w:t>f</w:t>
      </w:r>
      <w:r w:rsidR="001C7D76" w:rsidRPr="00C21951">
        <w:rPr>
          <w:lang w:val="en-US" w:eastAsia="nb-NO"/>
        </w:rPr>
        <w:t xml:space="preserve"> a child (in cases where the parents are not married), b) A civilian name </w:t>
      </w:r>
      <w:r w:rsidR="00D7005A">
        <w:rPr>
          <w:lang w:val="en-US" w:eastAsia="nb-NO"/>
        </w:rPr>
        <w:t>for</w:t>
      </w:r>
      <w:r w:rsidR="001C7D76" w:rsidRPr="00C21951">
        <w:rPr>
          <w:lang w:val="en-US" w:eastAsia="nb-NO"/>
        </w:rPr>
        <w:t xml:space="preserve"> a newborn child, c) A name change of their own or their children’s names and d) </w:t>
      </w:r>
      <w:r w:rsidR="0062001E">
        <w:rPr>
          <w:lang w:val="en-US" w:eastAsia="nb-NO"/>
        </w:rPr>
        <w:t xml:space="preserve">A funeral for a deceased </w:t>
      </w:r>
      <w:r w:rsidR="001C7D76" w:rsidRPr="00C21951">
        <w:rPr>
          <w:lang w:val="en-US" w:eastAsia="nb-NO"/>
        </w:rPr>
        <w:t xml:space="preserve">person. </w:t>
      </w:r>
      <w:r w:rsidR="001C7D76">
        <w:rPr>
          <w:lang w:val="en-US" w:eastAsia="nb-NO"/>
        </w:rPr>
        <w:t xml:space="preserve">Applications are assessed by </w:t>
      </w:r>
      <w:r w:rsidR="001C7D76" w:rsidRPr="00C21951">
        <w:rPr>
          <w:lang w:val="en-US" w:eastAsia="nb-NO"/>
        </w:rPr>
        <w:t xml:space="preserve">civil registrars in the Established Church. </w:t>
      </w:r>
      <w:r w:rsidR="001C7D76">
        <w:rPr>
          <w:lang w:val="en-US" w:eastAsia="nb-NO"/>
        </w:rPr>
        <w:t>Therefore the</w:t>
      </w:r>
      <w:r w:rsidR="001C7D76" w:rsidRPr="00C21951">
        <w:rPr>
          <w:lang w:val="en-US" w:eastAsia="nb-NO"/>
        </w:rPr>
        <w:t xml:space="preserve"> applicant does not have to come into contact with the Lutheran Evangelical Ch</w:t>
      </w:r>
      <w:r w:rsidR="001C7D76">
        <w:rPr>
          <w:lang w:val="en-US" w:eastAsia="nb-NO"/>
        </w:rPr>
        <w:t>urch or any religious activity.</w:t>
      </w:r>
    </w:p>
    <w:p w:rsidR="001C7D76" w:rsidRDefault="00A11A9E" w:rsidP="00A11A9E">
      <w:pPr>
        <w:pStyle w:val="SingleTxtG"/>
        <w:rPr>
          <w:lang w:val="en-US" w:eastAsia="nb-NO"/>
        </w:rPr>
      </w:pPr>
      <w:r>
        <w:rPr>
          <w:lang w:val="en-US" w:eastAsia="nb-NO"/>
        </w:rPr>
        <w:t>187.</w:t>
      </w:r>
      <w:r>
        <w:rPr>
          <w:lang w:val="en-US" w:eastAsia="nb-NO"/>
        </w:rPr>
        <w:tab/>
      </w:r>
      <w:r w:rsidR="001C7D76" w:rsidRPr="00606C8E">
        <w:rPr>
          <w:lang w:val="en-US" w:eastAsia="nb-NO"/>
        </w:rPr>
        <w:t xml:space="preserve">According the sections 15-17 of </w:t>
      </w:r>
      <w:r w:rsidR="00D7005A">
        <w:rPr>
          <w:lang w:val="en-US" w:eastAsia="nb-NO"/>
        </w:rPr>
        <w:t xml:space="preserve">the </w:t>
      </w:r>
      <w:r w:rsidR="001C7D76" w:rsidRPr="00606C8E">
        <w:rPr>
          <w:lang w:val="en-US" w:eastAsia="nb-NO"/>
        </w:rPr>
        <w:t xml:space="preserve">Danish Act on Marriage </w:t>
      </w:r>
      <w:r w:rsidR="001C7D76" w:rsidRPr="00A11A9E">
        <w:rPr>
          <w:iCs/>
          <w:lang w:val="en-US" w:eastAsia="nb-NO"/>
        </w:rPr>
        <w:t>(</w:t>
      </w:r>
      <w:r w:rsidR="001C7D76">
        <w:rPr>
          <w:i/>
          <w:lang w:val="en-US" w:eastAsia="nb-NO"/>
        </w:rPr>
        <w:t>Ægteskabsloven</w:t>
      </w:r>
      <w:r w:rsidR="001C7D76" w:rsidRPr="00A11A9E">
        <w:rPr>
          <w:iCs/>
          <w:lang w:val="en-US" w:eastAsia="nb-NO"/>
        </w:rPr>
        <w:t>)</w:t>
      </w:r>
      <w:r w:rsidR="001C7D76">
        <w:rPr>
          <w:i/>
          <w:lang w:val="en-US" w:eastAsia="nb-NO"/>
        </w:rPr>
        <w:t xml:space="preserve"> </w:t>
      </w:r>
      <w:r w:rsidR="001C7D76" w:rsidRPr="00606C8E">
        <w:rPr>
          <w:lang w:val="en-US" w:eastAsia="nb-NO"/>
        </w:rPr>
        <w:t>the priests of the Established Church are authorized to perform legally binding marriages. However, the Act also grants permission to the</w:t>
      </w:r>
      <w:r w:rsidR="00AF685F">
        <w:rPr>
          <w:lang w:val="en-US" w:eastAsia="nb-NO"/>
        </w:rPr>
        <w:t xml:space="preserve"> </w:t>
      </w:r>
      <w:r w:rsidR="001C7D76" w:rsidRPr="0059113E">
        <w:rPr>
          <w:lang w:val="en-US" w:eastAsia="nb-NO"/>
        </w:rPr>
        <w:t>Ministry of Ecclesiasti</w:t>
      </w:r>
      <w:r w:rsidR="001C7D76">
        <w:rPr>
          <w:lang w:val="en-US" w:eastAsia="nb-NO"/>
        </w:rPr>
        <w:t>cal Af</w:t>
      </w:r>
      <w:r w:rsidR="001C7D76" w:rsidRPr="0059113E">
        <w:rPr>
          <w:lang w:val="en-US" w:eastAsia="nb-NO"/>
        </w:rPr>
        <w:t>fairs</w:t>
      </w:r>
      <w:r w:rsidR="001C7D76">
        <w:rPr>
          <w:lang w:val="en-US" w:eastAsia="nb-NO"/>
        </w:rPr>
        <w:t xml:space="preserve"> </w:t>
      </w:r>
      <w:r w:rsidR="001C7D76" w:rsidRPr="00606C8E">
        <w:rPr>
          <w:lang w:val="en-US" w:eastAsia="nb-NO"/>
        </w:rPr>
        <w:t>to authorize priests belonging to other religious communities to perform legally binding marriages, provided that the community has been approved as a religious community by the</w:t>
      </w:r>
      <w:r w:rsidR="001C7D76" w:rsidRPr="002A40D4">
        <w:rPr>
          <w:lang w:val="en-US" w:eastAsia="nb-NO"/>
        </w:rPr>
        <w:t xml:space="preserve"> </w:t>
      </w:r>
      <w:r w:rsidR="001C7D76" w:rsidRPr="0059113E">
        <w:rPr>
          <w:lang w:val="en-US" w:eastAsia="nb-NO"/>
        </w:rPr>
        <w:t>Ministry of Ecclesiasti</w:t>
      </w:r>
      <w:r w:rsidR="001C7D76">
        <w:rPr>
          <w:lang w:val="en-US" w:eastAsia="nb-NO"/>
        </w:rPr>
        <w:t>cal Af</w:t>
      </w:r>
      <w:r w:rsidR="001C7D76" w:rsidRPr="0059113E">
        <w:rPr>
          <w:lang w:val="en-US" w:eastAsia="nb-NO"/>
        </w:rPr>
        <w:t>fairs</w:t>
      </w:r>
      <w:r w:rsidR="001C7D76" w:rsidRPr="00606C8E">
        <w:rPr>
          <w:lang w:val="en-US" w:eastAsia="nb-NO"/>
        </w:rPr>
        <w:t>. This approval can also confer other rights to the religious community, e.g. the priest’s exemption from the duty to give evidence and certain benefits under the tax legislation.</w:t>
      </w:r>
    </w:p>
    <w:p w:rsidR="001C7D76" w:rsidRPr="009D6DF0" w:rsidRDefault="001E0E3B" w:rsidP="001E0E3B">
      <w:pPr>
        <w:pStyle w:val="H1G"/>
      </w:pPr>
      <w:bookmarkStart w:id="12" w:name="_Toc430941898"/>
      <w:r>
        <w:tab/>
      </w:r>
      <w:r>
        <w:tab/>
      </w:r>
      <w:r w:rsidR="001C7D76" w:rsidRPr="009D6DF0">
        <w:t>Freedom of expression and incitement to national, racial or religious hatred</w:t>
      </w:r>
      <w:bookmarkEnd w:id="12"/>
      <w:r w:rsidR="001C7D76" w:rsidRPr="009D6DF0">
        <w:t xml:space="preserve"> </w:t>
      </w:r>
    </w:p>
    <w:p w:rsidR="001C7D76" w:rsidRPr="00083AF9" w:rsidRDefault="001E0E3B" w:rsidP="00A11A9E">
      <w:pPr>
        <w:pStyle w:val="H23G"/>
        <w:rPr>
          <w:lang w:val="en-US" w:eastAsia="nb-NO"/>
        </w:rPr>
      </w:pPr>
      <w:r>
        <w:rPr>
          <w:lang w:val="en-US" w:eastAsia="nb-NO"/>
        </w:rPr>
        <w:tab/>
      </w:r>
      <w:r>
        <w:rPr>
          <w:lang w:val="en-US" w:eastAsia="nb-NO"/>
        </w:rPr>
        <w:tab/>
      </w:r>
      <w:r w:rsidR="001C7D76" w:rsidRPr="00083AF9">
        <w:rPr>
          <w:lang w:val="en-US" w:eastAsia="nb-NO"/>
        </w:rPr>
        <w:t xml:space="preserve">Reply to paragraph 21 of the </w:t>
      </w:r>
      <w:r w:rsidR="00FF0EDD">
        <w:rPr>
          <w:lang w:val="en-US" w:eastAsia="nb-NO"/>
        </w:rPr>
        <w:t>list of issues</w:t>
      </w:r>
      <w:r w:rsidR="001C7D76" w:rsidRPr="00083AF9">
        <w:t xml:space="preserve"> [</w:t>
      </w:r>
      <w:r w:rsidR="001C7D76" w:rsidRPr="00083AF9">
        <w:rPr>
          <w:bCs/>
          <w:lang w:val="en-US" w:eastAsia="da-DK"/>
        </w:rPr>
        <w:t>Ministry of Justice</w:t>
      </w:r>
      <w:r w:rsidR="001C7D76" w:rsidRPr="00083AF9">
        <w:t>]</w:t>
      </w:r>
    </w:p>
    <w:p w:rsidR="001C7D76" w:rsidRPr="0032389A" w:rsidRDefault="00A11A9E" w:rsidP="00A11A9E">
      <w:pPr>
        <w:pStyle w:val="SingleTxtG"/>
        <w:rPr>
          <w:lang w:val="en-US"/>
        </w:rPr>
      </w:pPr>
      <w:r w:rsidRPr="0032389A">
        <w:rPr>
          <w:lang w:val="en-US"/>
        </w:rPr>
        <w:t>188.</w:t>
      </w:r>
      <w:r w:rsidRPr="0032389A">
        <w:rPr>
          <w:lang w:val="en-US"/>
        </w:rPr>
        <w:tab/>
      </w:r>
      <w:r w:rsidR="001C7D76" w:rsidRPr="0032389A">
        <w:rPr>
          <w:lang w:val="en-US"/>
        </w:rPr>
        <w:t xml:space="preserve">All public authorities must act in compliance with the Covenant, and legislation must be interpreted and given effect in accordance with the </w:t>
      </w:r>
      <w:r w:rsidR="001C7D76">
        <w:rPr>
          <w:lang w:val="en-US"/>
        </w:rPr>
        <w:t>I</w:t>
      </w:r>
      <w:r w:rsidR="001C7D76" w:rsidRPr="0032389A">
        <w:rPr>
          <w:lang w:val="en-US"/>
        </w:rPr>
        <w:t>CCPR. Moreover, Denmark</w:t>
      </w:r>
      <w:r w:rsidR="00434343">
        <w:rPr>
          <w:lang w:val="en-US"/>
        </w:rPr>
        <w:t>’</w:t>
      </w:r>
      <w:r w:rsidR="001C7D76" w:rsidRPr="0032389A">
        <w:rPr>
          <w:lang w:val="en-US"/>
        </w:rPr>
        <w:t xml:space="preserve">s human rights obligations, including the </w:t>
      </w:r>
      <w:r w:rsidR="001C7D76">
        <w:rPr>
          <w:lang w:val="en-US"/>
        </w:rPr>
        <w:t>I</w:t>
      </w:r>
      <w:r w:rsidR="001C7D76" w:rsidRPr="0032389A">
        <w:rPr>
          <w:lang w:val="en-US"/>
        </w:rPr>
        <w:t>CCPR, are actively considered when new legislation is drafted. Thus, national law regulating journalistic freedom of expression is compatible with articles 19 (3) and 20 of the Covenant.</w:t>
      </w:r>
    </w:p>
    <w:p w:rsidR="001C7D76" w:rsidRDefault="00A11A9E" w:rsidP="00A11A9E">
      <w:pPr>
        <w:pStyle w:val="SingleTxtG"/>
        <w:rPr>
          <w:lang w:val="en-US"/>
        </w:rPr>
      </w:pPr>
      <w:r>
        <w:rPr>
          <w:lang w:val="en-US"/>
        </w:rPr>
        <w:t>189.</w:t>
      </w:r>
      <w:r>
        <w:rPr>
          <w:lang w:val="en-US"/>
        </w:rPr>
        <w:tab/>
      </w:r>
      <w:r w:rsidR="001C7D76">
        <w:rPr>
          <w:lang w:val="en-US"/>
        </w:rPr>
        <w:t xml:space="preserve">According to section 77 of the Constitution any person shall be entitled to publish his thoughts in print, in writing and in speech, provided that he may be held answerable in a court of justice. Censorship and other preventive measures shall never again be introduced. </w:t>
      </w:r>
    </w:p>
    <w:p w:rsidR="001C7D76" w:rsidRDefault="00A11A9E" w:rsidP="00A11A9E">
      <w:pPr>
        <w:pStyle w:val="SingleTxtG"/>
        <w:rPr>
          <w:lang w:val="en-US"/>
        </w:rPr>
      </w:pPr>
      <w:r>
        <w:rPr>
          <w:lang w:val="en-US"/>
        </w:rPr>
        <w:t>190.</w:t>
      </w:r>
      <w:r>
        <w:rPr>
          <w:lang w:val="en-US"/>
        </w:rPr>
        <w:tab/>
      </w:r>
      <w:r w:rsidR="001C7D76" w:rsidRPr="00183C01">
        <w:rPr>
          <w:lang w:val="en-US"/>
        </w:rPr>
        <w:t>Furthermore, it follows from ECHR Article 10 (</w:t>
      </w:r>
      <w:r w:rsidR="001C7D76" w:rsidRPr="00A11A9E">
        <w:rPr>
          <w:iCs/>
          <w:lang w:val="en-US"/>
        </w:rPr>
        <w:t>freedom of expression) that</w:t>
      </w:r>
      <w:r w:rsidR="001C7D76" w:rsidRPr="00183C01">
        <w:rPr>
          <w:lang w:val="en-US"/>
        </w:rPr>
        <w:t xml:space="preserve"> everyone has the right to freedom of expression, that this right shall include freedom to hold opinions and to receive and impart information and ideas without interference by public authority and regardless of frontiers and that this article shall not prevent States from requiring the licensing of broadcasting, television or cinema enterprises. Article 10 allows limitations in the right to freedom of expression</w:t>
      </w:r>
      <w:r w:rsidR="001C7D76">
        <w:rPr>
          <w:lang w:val="en-US"/>
        </w:rPr>
        <w:t xml:space="preserve"> under certain circumstances</w:t>
      </w:r>
      <w:r w:rsidR="001C7D76" w:rsidRPr="00183C01">
        <w:rPr>
          <w:lang w:val="en-US"/>
        </w:rPr>
        <w:t xml:space="preserve">. </w:t>
      </w:r>
    </w:p>
    <w:p w:rsidR="001C7D76" w:rsidRPr="00183C01" w:rsidRDefault="00A11A9E" w:rsidP="00A11A9E">
      <w:pPr>
        <w:pStyle w:val="SingleTxtG"/>
        <w:rPr>
          <w:lang w:val="en-US"/>
        </w:rPr>
      </w:pPr>
      <w:r w:rsidRPr="00183C01">
        <w:rPr>
          <w:lang w:val="en-US"/>
        </w:rPr>
        <w:t>191.</w:t>
      </w:r>
      <w:r w:rsidRPr="00183C01">
        <w:rPr>
          <w:lang w:val="en-US"/>
        </w:rPr>
        <w:tab/>
      </w:r>
      <w:r w:rsidR="001C7D76" w:rsidRPr="00183C01">
        <w:rPr>
          <w:lang w:val="en-US"/>
        </w:rPr>
        <w:t>Journalists are also subject to these limitations and may be subject to section 267 of the Criminal Code, which states that a</w:t>
      </w:r>
      <w:r w:rsidR="001C7D76" w:rsidRPr="00194E31">
        <w:t xml:space="preserve">ny person who defames the character of another person by offensive expressions or acts or by making or propagating allegations of acts </w:t>
      </w:r>
      <w:r w:rsidR="00D7005A">
        <w:t>designed</w:t>
      </w:r>
      <w:r w:rsidR="00D7005A" w:rsidRPr="00194E31">
        <w:t xml:space="preserve"> </w:t>
      </w:r>
      <w:r w:rsidR="001C7D76" w:rsidRPr="00194E31">
        <w:t>to reduce the esteem in which such person is held by his fellow citizens is sentenced to a fine or imprisonment for a term not exceeding four months.</w:t>
      </w:r>
    </w:p>
    <w:p w:rsidR="001C7D76" w:rsidRDefault="00A11A9E" w:rsidP="00A11A9E">
      <w:pPr>
        <w:pStyle w:val="SingleTxtG"/>
        <w:rPr>
          <w:lang w:val="en-US"/>
        </w:rPr>
      </w:pPr>
      <w:r>
        <w:rPr>
          <w:lang w:val="en-US"/>
        </w:rPr>
        <w:t>192.</w:t>
      </w:r>
      <w:r>
        <w:rPr>
          <w:lang w:val="en-US"/>
        </w:rPr>
        <w:tab/>
      </w:r>
      <w:r w:rsidR="001C7D76" w:rsidRPr="009B1CD7">
        <w:rPr>
          <w:lang w:val="en-US"/>
        </w:rPr>
        <w:t xml:space="preserve">The Danish courts have adjudicated numerous cases concerning the freedom of expression of the press when interpreting and applying Danish law. Those decisions show that Danish courts attach great importance to Article 10 of the ECHR and the freedom of expression of the press when interpreting and applying Danish law. </w:t>
      </w:r>
    </w:p>
    <w:p w:rsidR="001C7D76" w:rsidRPr="006E6BD3" w:rsidRDefault="00A11A9E" w:rsidP="00A11A9E">
      <w:pPr>
        <w:pStyle w:val="SingleTxtG"/>
        <w:rPr>
          <w:lang w:val="en-US"/>
        </w:rPr>
      </w:pPr>
      <w:r w:rsidRPr="006E6BD3">
        <w:rPr>
          <w:lang w:val="en-US"/>
        </w:rPr>
        <w:t>193.</w:t>
      </w:r>
      <w:r w:rsidRPr="006E6BD3">
        <w:rPr>
          <w:lang w:val="en-US"/>
        </w:rPr>
        <w:tab/>
      </w:r>
      <w:r w:rsidR="001C7D76" w:rsidRPr="009B1CD7">
        <w:rPr>
          <w:lang w:val="en-US"/>
        </w:rPr>
        <w:t>The Government can refer to the case law as described in Denmark’s fifth periodic report.</w:t>
      </w:r>
      <w:r w:rsidR="001C7D76">
        <w:rPr>
          <w:lang w:val="en-US"/>
        </w:rPr>
        <w:t xml:space="preserve"> </w:t>
      </w:r>
      <w:r w:rsidR="001C7D76" w:rsidRPr="006E6BD3">
        <w:rPr>
          <w:lang w:val="en-US"/>
        </w:rPr>
        <w:t xml:space="preserve">Since </w:t>
      </w:r>
      <w:r w:rsidR="001C7D76">
        <w:rPr>
          <w:lang w:val="en-US"/>
        </w:rPr>
        <w:t xml:space="preserve">this </w:t>
      </w:r>
      <w:r w:rsidR="001C7D76" w:rsidRPr="006E6BD3">
        <w:rPr>
          <w:lang w:val="en-US"/>
        </w:rPr>
        <w:t>report, it appears from journals on jurisprudence</w:t>
      </w:r>
      <w:r w:rsidR="001C7D76">
        <w:rPr>
          <w:lang w:val="en-US"/>
        </w:rPr>
        <w:t xml:space="preserve"> that</w:t>
      </w:r>
      <w:r w:rsidR="001C7D76" w:rsidRPr="006E6BD3">
        <w:rPr>
          <w:lang w:val="en-US"/>
        </w:rPr>
        <w:t xml:space="preserve"> there </w:t>
      </w:r>
      <w:r w:rsidR="001C7D76">
        <w:rPr>
          <w:lang w:val="en-US"/>
        </w:rPr>
        <w:t xml:space="preserve">have </w:t>
      </w:r>
      <w:r w:rsidR="001C7D76" w:rsidRPr="006E6BD3">
        <w:rPr>
          <w:lang w:val="en-US"/>
        </w:rPr>
        <w:t>be</w:t>
      </w:r>
      <w:r w:rsidR="001C7D76">
        <w:rPr>
          <w:lang w:val="en-US"/>
        </w:rPr>
        <w:t>e</w:t>
      </w:r>
      <w:r w:rsidR="001C7D76" w:rsidRPr="006E6BD3">
        <w:rPr>
          <w:lang w:val="en-US"/>
        </w:rPr>
        <w:t xml:space="preserve">n 8 Supreme Court judgments and 11 High Court judgments concerning issues relating to journalistic freedom of expression. </w:t>
      </w:r>
    </w:p>
    <w:p w:rsidR="001C7D76" w:rsidRDefault="00A11A9E" w:rsidP="00A11A9E">
      <w:pPr>
        <w:pStyle w:val="SingleTxtG"/>
        <w:rPr>
          <w:lang w:val="en-US"/>
        </w:rPr>
      </w:pPr>
      <w:r>
        <w:rPr>
          <w:lang w:val="en-US"/>
        </w:rPr>
        <w:t>194.</w:t>
      </w:r>
      <w:r>
        <w:rPr>
          <w:lang w:val="en-US"/>
        </w:rPr>
        <w:tab/>
      </w:r>
      <w:r w:rsidR="001C7D76" w:rsidRPr="006E6BD3">
        <w:rPr>
          <w:lang w:val="en-US"/>
        </w:rPr>
        <w:t xml:space="preserve">For example, the High Court of Eastern Denmark convicted a </w:t>
      </w:r>
      <w:r w:rsidR="001C7D76">
        <w:rPr>
          <w:lang w:val="en-US"/>
        </w:rPr>
        <w:t>j</w:t>
      </w:r>
      <w:r w:rsidR="001C7D76" w:rsidRPr="006E6BD3">
        <w:rPr>
          <w:lang w:val="en-US"/>
        </w:rPr>
        <w:t xml:space="preserve">ournalist and a </w:t>
      </w:r>
      <w:r w:rsidR="001C7D76">
        <w:rPr>
          <w:lang w:val="en-US"/>
        </w:rPr>
        <w:t>c</w:t>
      </w:r>
      <w:r w:rsidR="001C7D76" w:rsidRPr="006E6BD3">
        <w:rPr>
          <w:lang w:val="en-US"/>
        </w:rPr>
        <w:t xml:space="preserve">hief </w:t>
      </w:r>
      <w:r w:rsidR="001C7D76">
        <w:rPr>
          <w:lang w:val="en-US"/>
        </w:rPr>
        <w:t>s</w:t>
      </w:r>
      <w:r w:rsidR="001C7D76" w:rsidRPr="006E6BD3">
        <w:rPr>
          <w:lang w:val="en-US"/>
        </w:rPr>
        <w:t xml:space="preserve">ub-editor on </w:t>
      </w:r>
      <w:r w:rsidR="001C7D76">
        <w:rPr>
          <w:lang w:val="en-US"/>
        </w:rPr>
        <w:t xml:space="preserve">10 June 2011 in an appeal case </w:t>
      </w:r>
      <w:r w:rsidR="001C7D76" w:rsidRPr="006E6BD3">
        <w:rPr>
          <w:lang w:val="en-US"/>
        </w:rPr>
        <w:t>for violation of section 267 of the Criminal Code. The</w:t>
      </w:r>
      <w:r w:rsidR="001C7D76">
        <w:rPr>
          <w:lang w:val="en-US"/>
        </w:rPr>
        <w:t>y</w:t>
      </w:r>
      <w:r w:rsidR="001C7D76" w:rsidRPr="006E6BD3">
        <w:rPr>
          <w:lang w:val="en-US"/>
        </w:rPr>
        <w:t xml:space="preserve"> </w:t>
      </w:r>
      <w:r w:rsidR="001C7D76">
        <w:rPr>
          <w:lang w:val="en-US"/>
        </w:rPr>
        <w:t>were</w:t>
      </w:r>
      <w:r w:rsidR="001C7D76" w:rsidRPr="006E6BD3">
        <w:rPr>
          <w:lang w:val="en-US"/>
        </w:rPr>
        <w:t xml:space="preserve"> sentenced to 10 daily penalties of 1.000 DKK for</w:t>
      </w:r>
      <w:r w:rsidR="00D7005A">
        <w:rPr>
          <w:lang w:val="en-US"/>
        </w:rPr>
        <w:t xml:space="preserve"> having,</w:t>
      </w:r>
      <w:r w:rsidR="001C7D76" w:rsidRPr="006E6BD3">
        <w:rPr>
          <w:lang w:val="en-US"/>
        </w:rPr>
        <w:t xml:space="preserve"> in a TV program</w:t>
      </w:r>
      <w:r w:rsidR="00D7005A">
        <w:rPr>
          <w:lang w:val="en-US"/>
        </w:rPr>
        <w:t>,</w:t>
      </w:r>
      <w:r w:rsidR="001C7D76" w:rsidRPr="006E6BD3">
        <w:rPr>
          <w:lang w:val="en-US"/>
        </w:rPr>
        <w:t xml:space="preserve"> made allegations against a hospital and a named consultant that they had given certain patients suffering from mesothelioma improper treatment, which resulted in their unnecessary deaths and the shortening of their lives, to promote the professional esteem and perso</w:t>
      </w:r>
      <w:r w:rsidR="001C7D76">
        <w:rPr>
          <w:lang w:val="en-US"/>
        </w:rPr>
        <w:t>nal financial situation of the c</w:t>
      </w:r>
      <w:r w:rsidR="001C7D76" w:rsidRPr="006E6BD3">
        <w:rPr>
          <w:lang w:val="en-US"/>
        </w:rPr>
        <w:t xml:space="preserve">onsultant. The High Court found that </w:t>
      </w:r>
      <w:r w:rsidR="001C7D76">
        <w:rPr>
          <w:lang w:val="en-US"/>
        </w:rPr>
        <w:t>the accusations rested</w:t>
      </w:r>
      <w:r w:rsidR="001C7D76" w:rsidRPr="006E6BD3">
        <w:rPr>
          <w:lang w:val="en-US"/>
        </w:rPr>
        <w:t xml:space="preserve"> on a factually incorrect basis, which they must be deemed to have become aware of through the research material. The case is currently pending before the ECHR. </w:t>
      </w:r>
    </w:p>
    <w:p w:rsidR="001C7D76" w:rsidRPr="006E6BD3" w:rsidRDefault="00A11A9E" w:rsidP="00A11A9E">
      <w:pPr>
        <w:pStyle w:val="SingleTxtG"/>
        <w:rPr>
          <w:lang w:val="en-US"/>
        </w:rPr>
      </w:pPr>
      <w:r w:rsidRPr="006E6BD3">
        <w:rPr>
          <w:lang w:val="en-US"/>
        </w:rPr>
        <w:t>195.</w:t>
      </w:r>
      <w:r w:rsidRPr="006E6BD3">
        <w:rPr>
          <w:lang w:val="en-US"/>
        </w:rPr>
        <w:tab/>
      </w:r>
      <w:r w:rsidR="001C7D76" w:rsidRPr="006E6BD3">
        <w:rPr>
          <w:lang w:val="en-US"/>
        </w:rPr>
        <w:t>In another case</w:t>
      </w:r>
      <w:r w:rsidR="001C7D76">
        <w:rPr>
          <w:lang w:val="en-US"/>
        </w:rPr>
        <w:t>,</w:t>
      </w:r>
      <w:r w:rsidR="001C7D76" w:rsidRPr="006E6BD3">
        <w:rPr>
          <w:lang w:val="en-US"/>
        </w:rPr>
        <w:t xml:space="preserve"> a broadcasting company was convicted on 27 February 2014 of violation of section 11</w:t>
      </w:r>
      <w:r w:rsidR="001C7D76">
        <w:rPr>
          <w:lang w:val="en-US"/>
        </w:rPr>
        <w:t xml:space="preserve">4 e of the Criminal Code </w:t>
      </w:r>
      <w:r w:rsidR="001C7D76" w:rsidRPr="006E6BD3">
        <w:rPr>
          <w:lang w:val="en-US"/>
        </w:rPr>
        <w:t>by the Eastern High Court for</w:t>
      </w:r>
      <w:r w:rsidR="00D7005A">
        <w:rPr>
          <w:lang w:val="en-US"/>
        </w:rPr>
        <w:t>,</w:t>
      </w:r>
      <w:r w:rsidR="001C7D76" w:rsidRPr="006E6BD3">
        <w:rPr>
          <w:lang w:val="en-US"/>
        </w:rPr>
        <w:t xml:space="preserve"> in a period of over four years</w:t>
      </w:r>
      <w:r w:rsidR="00D7005A">
        <w:rPr>
          <w:lang w:val="en-US"/>
        </w:rPr>
        <w:t>,</w:t>
      </w:r>
      <w:r w:rsidR="001C7D76" w:rsidRPr="006E6BD3">
        <w:rPr>
          <w:lang w:val="en-US"/>
        </w:rPr>
        <w:t xml:space="preserve"> </w:t>
      </w:r>
      <w:r w:rsidR="00D7005A">
        <w:rPr>
          <w:lang w:val="en-US"/>
        </w:rPr>
        <w:t xml:space="preserve">having </w:t>
      </w:r>
      <w:r w:rsidR="001C7D76" w:rsidRPr="006E6BD3">
        <w:rPr>
          <w:lang w:val="en-US"/>
        </w:rPr>
        <w:t xml:space="preserve">promoted terrorist activities through television broadcasts. The case before the Supreme Court concerned whether the company could be deprived of the right to broadcast television. The Supreme Court found that the Criminal Code provisions on disqualification also included the legal basis for disqualification of legal persons (companies, etc.). Further, </w:t>
      </w:r>
      <w:r w:rsidR="001C7D76">
        <w:rPr>
          <w:lang w:val="en-US"/>
        </w:rPr>
        <w:t>it</w:t>
      </w:r>
      <w:r w:rsidR="001C7D76" w:rsidRPr="006E6BD3">
        <w:rPr>
          <w:lang w:val="en-US"/>
        </w:rPr>
        <w:t xml:space="preserve"> found that there were grounds for disqualification, and that the respect for freedom of expression could not lead to a different result. Therefore, the Supreme Court affirmed the High Court judgment thereby disqualifying the company</w:t>
      </w:r>
      <w:r w:rsidR="00434343">
        <w:rPr>
          <w:lang w:val="en-US"/>
        </w:rPr>
        <w:t>’</w:t>
      </w:r>
      <w:r w:rsidR="001C7D76" w:rsidRPr="006E6BD3">
        <w:rPr>
          <w:lang w:val="en-US"/>
        </w:rPr>
        <w:t>s broadcasting rights.</w:t>
      </w:r>
    </w:p>
    <w:p w:rsidR="001C7D76" w:rsidRPr="009D6DF0" w:rsidRDefault="001E0E3B" w:rsidP="001E0E3B">
      <w:pPr>
        <w:pStyle w:val="H1G"/>
      </w:pPr>
      <w:bookmarkStart w:id="13" w:name="_Toc430941899"/>
      <w:r>
        <w:tab/>
      </w:r>
      <w:r>
        <w:tab/>
      </w:r>
      <w:r w:rsidR="001C7D76" w:rsidRPr="009D6DF0">
        <w:t>Rights of persons belonging to minorities</w:t>
      </w:r>
      <w:bookmarkEnd w:id="13"/>
      <w:r w:rsidR="001C7D76" w:rsidRPr="009D6DF0">
        <w:t xml:space="preserve"> </w:t>
      </w:r>
    </w:p>
    <w:p w:rsidR="001C7D76" w:rsidRPr="00102FEC" w:rsidRDefault="001E0E3B" w:rsidP="00A11A9E">
      <w:pPr>
        <w:pStyle w:val="H23G"/>
        <w:rPr>
          <w:lang w:val="en-US" w:eastAsia="nb-NO"/>
        </w:rPr>
      </w:pPr>
      <w:r>
        <w:rPr>
          <w:lang w:val="en-US" w:eastAsia="nb-NO"/>
        </w:rPr>
        <w:tab/>
      </w:r>
      <w:r>
        <w:rPr>
          <w:lang w:val="en-US" w:eastAsia="nb-NO"/>
        </w:rPr>
        <w:tab/>
      </w:r>
      <w:r w:rsidR="001C7D76" w:rsidRPr="00102FEC">
        <w:rPr>
          <w:lang w:val="en-US" w:eastAsia="nb-NO"/>
        </w:rPr>
        <w:t xml:space="preserve">Reply to paragraph 22 of the </w:t>
      </w:r>
      <w:r w:rsidR="00FF0EDD">
        <w:rPr>
          <w:lang w:val="en-US" w:eastAsia="nb-NO"/>
        </w:rPr>
        <w:t>list of issues</w:t>
      </w:r>
      <w:r w:rsidR="001C7D76" w:rsidRPr="00102FEC">
        <w:rPr>
          <w:lang w:val="en-US"/>
        </w:rPr>
        <w:t xml:space="preserve"> [</w:t>
      </w:r>
      <w:r w:rsidR="001C7D76">
        <w:rPr>
          <w:lang w:val="en-US"/>
        </w:rPr>
        <w:t>Greenland Government and Ministry of Immigration, Integration and Housing</w:t>
      </w:r>
      <w:r w:rsidR="001C7D76" w:rsidRPr="00102FEC">
        <w:rPr>
          <w:lang w:val="en-US"/>
        </w:rPr>
        <w:t>]</w:t>
      </w:r>
    </w:p>
    <w:p w:rsidR="001C7D76" w:rsidRPr="00B64C12" w:rsidRDefault="001E0E3B" w:rsidP="00A11A9E">
      <w:pPr>
        <w:pStyle w:val="H4G"/>
        <w:rPr>
          <w:lang w:val="en-US" w:eastAsia="nb-NO"/>
        </w:rPr>
      </w:pPr>
      <w:r>
        <w:tab/>
      </w:r>
      <w:r>
        <w:tab/>
      </w:r>
      <w:r w:rsidR="001C7D76">
        <w:t xml:space="preserve">The Thule Tribe </w:t>
      </w:r>
    </w:p>
    <w:p w:rsidR="001C7D76" w:rsidRPr="009243E2" w:rsidRDefault="00A11A9E" w:rsidP="00A11A9E">
      <w:pPr>
        <w:pStyle w:val="SingleTxtG"/>
        <w:rPr>
          <w:lang w:val="en-US" w:eastAsia="nb-NO"/>
        </w:rPr>
      </w:pPr>
      <w:r w:rsidRPr="009243E2">
        <w:rPr>
          <w:lang w:val="en-US" w:eastAsia="nb-NO"/>
        </w:rPr>
        <w:t>196.</w:t>
      </w:r>
      <w:r w:rsidRPr="009243E2">
        <w:rPr>
          <w:lang w:val="en-US" w:eastAsia="nb-NO"/>
        </w:rPr>
        <w:tab/>
      </w:r>
      <w:r w:rsidR="001C7D76" w:rsidRPr="009243E2">
        <w:rPr>
          <w:lang w:val="en-US" w:eastAsia="nb-NO"/>
        </w:rPr>
        <w:t xml:space="preserve">As regards the situation of the Thule tribe in Greenland, the Danish Government and the Greenland Government would like to refer to the declaration made by the Danish Government, acceded to by the Greenland Government, in line with Denmark’s ratification of ILO Convention </w:t>
      </w:r>
      <w:r w:rsidR="00434343" w:rsidRPr="009243E2">
        <w:rPr>
          <w:lang w:val="en-US" w:eastAsia="nb-NO"/>
        </w:rPr>
        <w:t>N</w:t>
      </w:r>
      <w:r w:rsidR="001C7D76" w:rsidRPr="009243E2">
        <w:rPr>
          <w:lang w:val="en-US" w:eastAsia="nb-NO"/>
        </w:rPr>
        <w:t>o. 169 on Indigenous and Tribal Peoples</w:t>
      </w:r>
      <w:r w:rsidR="009243E2" w:rsidRPr="009243E2">
        <w:rPr>
          <w:lang w:val="en-US" w:eastAsia="nb-NO"/>
        </w:rPr>
        <w:t xml:space="preserve"> in Independent Countries</w:t>
      </w:r>
      <w:r w:rsidR="001C7D76" w:rsidRPr="009243E2">
        <w:rPr>
          <w:lang w:val="en-US" w:eastAsia="nb-NO"/>
        </w:rPr>
        <w:t xml:space="preserve">. According to </w:t>
      </w:r>
      <w:r w:rsidR="00D7005A" w:rsidRPr="009243E2">
        <w:rPr>
          <w:lang w:val="en-US" w:eastAsia="nb-NO"/>
        </w:rPr>
        <w:t xml:space="preserve">section 1 of </w:t>
      </w:r>
      <w:r w:rsidR="001C7D76" w:rsidRPr="009243E2">
        <w:rPr>
          <w:lang w:val="en-US" w:eastAsia="nb-NO"/>
        </w:rPr>
        <w:t xml:space="preserve">this declaration, Denmark has only one indigenous people in the sense of the convention, namely the indigenous population in Greenland (the Inuit). Moreover, the Danish Supreme Court has </w:t>
      </w:r>
      <w:r w:rsidR="00434343" w:rsidRPr="009243E2">
        <w:rPr>
          <w:lang w:val="en-US" w:eastAsia="nb-NO"/>
        </w:rPr>
        <w:t>—</w:t>
      </w:r>
      <w:r w:rsidR="001C7D76" w:rsidRPr="009243E2">
        <w:rPr>
          <w:lang w:val="en-US" w:eastAsia="nb-NO"/>
        </w:rPr>
        <w:t xml:space="preserve"> consistent with said declaration – ruled that the Thule Tribe does not constitute a tribal people or a distinct indigenous people within or co-existing with the Greenlandic people as a whole (Supreme Court decision of 28 November 2003 case </w:t>
      </w:r>
      <w:r w:rsidR="00434343" w:rsidRPr="009243E2">
        <w:rPr>
          <w:lang w:val="en-US" w:eastAsia="nb-NO"/>
        </w:rPr>
        <w:t>N</w:t>
      </w:r>
      <w:r w:rsidR="001C7D76" w:rsidRPr="009243E2">
        <w:rPr>
          <w:lang w:val="en-US" w:eastAsia="nb-NO"/>
        </w:rPr>
        <w:t xml:space="preserve">o. 489/1999 and 490/1999 </w:t>
      </w:r>
      <w:r w:rsidR="00434343" w:rsidRPr="009243E2">
        <w:rPr>
          <w:lang w:val="en-US" w:eastAsia="nb-NO"/>
        </w:rPr>
        <w:t>—</w:t>
      </w:r>
      <w:r w:rsidR="001C7D76" w:rsidRPr="009243E2">
        <w:rPr>
          <w:lang w:val="en-US" w:eastAsia="nb-NO"/>
        </w:rPr>
        <w:t xml:space="preserve"> </w:t>
      </w:r>
      <w:r w:rsidR="001C7D76" w:rsidRPr="009243E2">
        <w:rPr>
          <w:i/>
          <w:lang w:val="en-US" w:eastAsia="nb-NO"/>
        </w:rPr>
        <w:t>the Thule Tribe (the Uummannaq settlement) vs. the prime minister of Denmark</w:t>
      </w:r>
      <w:r w:rsidR="001C7D76" w:rsidRPr="009243E2">
        <w:rPr>
          <w:lang w:val="en-US" w:eastAsia="nb-NO"/>
        </w:rPr>
        <w:t xml:space="preserve">, cf. ILO Convention </w:t>
      </w:r>
      <w:r w:rsidR="00434343" w:rsidRPr="009243E2">
        <w:rPr>
          <w:lang w:val="en-US" w:eastAsia="nb-NO"/>
        </w:rPr>
        <w:t>N</w:t>
      </w:r>
      <w:r w:rsidR="001C7D76" w:rsidRPr="009243E2">
        <w:rPr>
          <w:lang w:val="en-US" w:eastAsia="nb-NO"/>
        </w:rPr>
        <w:t>o. 169 on Rights of Indigenous and Tribal Peoples, art. 1, section 1, paragraph (a) and (b)).</w:t>
      </w:r>
    </w:p>
    <w:p w:rsidR="001C7D76" w:rsidRDefault="00A11A9E" w:rsidP="00A11A9E">
      <w:pPr>
        <w:pStyle w:val="SingleTxtG"/>
        <w:rPr>
          <w:lang w:val="en-US" w:eastAsia="nb-NO"/>
        </w:rPr>
      </w:pPr>
      <w:r>
        <w:rPr>
          <w:lang w:val="en-US" w:eastAsia="nb-NO"/>
        </w:rPr>
        <w:t>197.</w:t>
      </w:r>
      <w:r>
        <w:rPr>
          <w:lang w:val="en-US" w:eastAsia="nb-NO"/>
        </w:rPr>
        <w:tab/>
      </w:r>
      <w:r w:rsidR="001C7D76">
        <w:rPr>
          <w:lang w:val="en-US" w:eastAsia="nb-NO"/>
        </w:rPr>
        <w:t>According to t</w:t>
      </w:r>
      <w:r w:rsidR="001C7D76" w:rsidRPr="00180664">
        <w:rPr>
          <w:lang w:val="en-US" w:eastAsia="nb-NO"/>
        </w:rPr>
        <w:t>he Government</w:t>
      </w:r>
      <w:r w:rsidR="001C7D76">
        <w:rPr>
          <w:lang w:val="en-US" w:eastAsia="nb-NO"/>
        </w:rPr>
        <w:t xml:space="preserve"> of Greenland,</w:t>
      </w:r>
      <w:r w:rsidR="001C7D76" w:rsidRPr="00180664">
        <w:rPr>
          <w:lang w:val="en-US" w:eastAsia="nb-NO"/>
        </w:rPr>
        <w:t xml:space="preserve"> </w:t>
      </w:r>
      <w:r w:rsidR="001C7D76">
        <w:rPr>
          <w:lang w:val="en-US" w:eastAsia="nb-NO"/>
        </w:rPr>
        <w:t>t</w:t>
      </w:r>
      <w:r w:rsidR="001C7D76" w:rsidRPr="00180664">
        <w:rPr>
          <w:lang w:val="en-US" w:eastAsia="nb-NO"/>
        </w:rPr>
        <w:t xml:space="preserve">he Supreme Court decision does not mean that the Inughuit of Uummannaq are not capable of maintaining their identity </w:t>
      </w:r>
      <w:r w:rsidR="001C7D76">
        <w:rPr>
          <w:lang w:val="en-US" w:eastAsia="nb-NO"/>
        </w:rPr>
        <w:t>or</w:t>
      </w:r>
      <w:r w:rsidR="001C7D76" w:rsidRPr="00180664">
        <w:rPr>
          <w:lang w:val="en-US" w:eastAsia="nb-NO"/>
        </w:rPr>
        <w:t xml:space="preserve"> us</w:t>
      </w:r>
      <w:r w:rsidR="001C7D76">
        <w:rPr>
          <w:lang w:val="en-US" w:eastAsia="nb-NO"/>
        </w:rPr>
        <w:t>ing</w:t>
      </w:r>
      <w:r w:rsidR="001C7D76" w:rsidRPr="00180664">
        <w:rPr>
          <w:lang w:val="en-US" w:eastAsia="nb-NO"/>
        </w:rPr>
        <w:t xml:space="preserve"> their own language. </w:t>
      </w:r>
    </w:p>
    <w:p w:rsidR="001C7D76" w:rsidRPr="009243E2" w:rsidRDefault="00A11A9E" w:rsidP="00A11A9E">
      <w:pPr>
        <w:pStyle w:val="SingleTxtG"/>
        <w:rPr>
          <w:lang w:val="en-US" w:eastAsia="nb-NO"/>
        </w:rPr>
      </w:pPr>
      <w:r w:rsidRPr="009243E2">
        <w:rPr>
          <w:lang w:val="en-US" w:eastAsia="nb-NO"/>
        </w:rPr>
        <w:t>198.</w:t>
      </w:r>
      <w:r w:rsidRPr="009243E2">
        <w:rPr>
          <w:lang w:val="en-US" w:eastAsia="nb-NO"/>
        </w:rPr>
        <w:tab/>
      </w:r>
      <w:r w:rsidR="001C7D76" w:rsidRPr="009243E2">
        <w:rPr>
          <w:lang w:val="en-US" w:eastAsia="nb-NO"/>
        </w:rPr>
        <w:t xml:space="preserve">According to section 20 of the Act on Greenland Self-Government, Greenlandic is the official language in Greenland. The Parliament of Greenland passed Parliament of Greenland Act </w:t>
      </w:r>
      <w:r w:rsidR="00434343" w:rsidRPr="009243E2">
        <w:rPr>
          <w:lang w:val="en-US" w:eastAsia="nb-NO"/>
        </w:rPr>
        <w:t>N</w:t>
      </w:r>
      <w:r w:rsidR="001C7D76" w:rsidRPr="009243E2">
        <w:rPr>
          <w:lang w:val="en-US" w:eastAsia="nb-NO"/>
        </w:rPr>
        <w:t>o</w:t>
      </w:r>
      <w:r w:rsidR="00434343" w:rsidRPr="009243E2">
        <w:rPr>
          <w:lang w:val="en-US" w:eastAsia="nb-NO"/>
        </w:rPr>
        <w:t>.</w:t>
      </w:r>
      <w:r w:rsidR="001C7D76" w:rsidRPr="009243E2">
        <w:rPr>
          <w:lang w:val="en-US" w:eastAsia="nb-NO"/>
        </w:rPr>
        <w:t xml:space="preserve"> 7 of 19 May 2010 on language policy. The purpose of the act is inter alia to ensure the Greenlandic language as a complete and community building language, to strengthen and develop the Greenlandic language as the mother tongue and as second language. According to section 3, paragraph 2, of the act, the Greenlandic language consists of three main dialects. The language spoken in Avanersuaq (Northwestern Greenland) is one of these Inuit dialects. See also Section V of Denmark’s submission to the Working Group on </w:t>
      </w:r>
      <w:r w:rsidR="009243E2" w:rsidRPr="00A11A9E">
        <w:rPr>
          <w:lang w:val="en-US" w:eastAsia="nb-NO"/>
        </w:rPr>
        <w:t xml:space="preserve">the </w:t>
      </w:r>
      <w:r w:rsidR="001C7D76" w:rsidRPr="009243E2">
        <w:rPr>
          <w:lang w:val="en-US" w:eastAsia="nb-NO"/>
        </w:rPr>
        <w:t>Universal Periodic Review (A/HRC/WG.6/11/DNK/1). Thus, the right of the local population of Avanersuaq, including the Inughuit of Uummannaq, to use their own Inuit dialect is ensured. The Inughuit of Uummannaq ha</w:t>
      </w:r>
      <w:r w:rsidR="00D7005A" w:rsidRPr="009243E2">
        <w:rPr>
          <w:lang w:val="en-US" w:eastAsia="nb-NO"/>
        </w:rPr>
        <w:t>ve</w:t>
      </w:r>
      <w:r w:rsidR="001C7D76" w:rsidRPr="009243E2">
        <w:rPr>
          <w:lang w:val="en-US" w:eastAsia="nb-NO"/>
        </w:rPr>
        <w:t xml:space="preserve"> </w:t>
      </w:r>
      <w:r w:rsidR="00434343" w:rsidRPr="009243E2">
        <w:rPr>
          <w:lang w:val="en-US" w:eastAsia="nb-NO"/>
        </w:rPr>
        <w:t>—</w:t>
      </w:r>
      <w:r w:rsidR="001C7D76" w:rsidRPr="009243E2">
        <w:rPr>
          <w:lang w:val="en-US" w:eastAsia="nb-NO"/>
        </w:rPr>
        <w:t xml:space="preserve"> in the same way as other communities </w:t>
      </w:r>
      <w:r w:rsidR="00434343" w:rsidRPr="009243E2">
        <w:rPr>
          <w:lang w:val="en-US" w:eastAsia="nb-NO"/>
        </w:rPr>
        <w:t>—</w:t>
      </w:r>
      <w:r w:rsidR="001C7D76" w:rsidRPr="009243E2">
        <w:rPr>
          <w:lang w:val="en-US" w:eastAsia="nb-NO"/>
        </w:rPr>
        <w:t xml:space="preserve"> also the right to maintain their identity.</w:t>
      </w:r>
    </w:p>
    <w:p w:rsidR="001C7D76" w:rsidRPr="00B64C12" w:rsidRDefault="001E0E3B" w:rsidP="00A11A9E">
      <w:pPr>
        <w:pStyle w:val="H4G"/>
        <w:rPr>
          <w:lang w:val="en-US" w:eastAsia="nb-NO"/>
        </w:rPr>
      </w:pPr>
      <w:r>
        <w:rPr>
          <w:lang w:val="en-US" w:eastAsia="nb-NO"/>
        </w:rPr>
        <w:tab/>
      </w:r>
      <w:r>
        <w:rPr>
          <w:lang w:val="en-US" w:eastAsia="nb-NO"/>
        </w:rPr>
        <w:tab/>
      </w:r>
      <w:r w:rsidR="001C7D76">
        <w:rPr>
          <w:lang w:val="en-US" w:eastAsia="nb-NO"/>
        </w:rPr>
        <w:t>Roma</w:t>
      </w:r>
    </w:p>
    <w:p w:rsidR="001C7D76" w:rsidRDefault="00A11A9E" w:rsidP="00A11A9E">
      <w:pPr>
        <w:pStyle w:val="SingleTxtG"/>
        <w:rPr>
          <w:lang w:val="en-US" w:eastAsia="nb-NO"/>
        </w:rPr>
      </w:pPr>
      <w:r>
        <w:rPr>
          <w:lang w:val="en-US" w:eastAsia="nb-NO"/>
        </w:rPr>
        <w:t>199.</w:t>
      </w:r>
      <w:r>
        <w:rPr>
          <w:lang w:val="en-US" w:eastAsia="nb-NO"/>
        </w:rPr>
        <w:tab/>
      </w:r>
      <w:r w:rsidR="001C7D76" w:rsidRPr="001E0E3B">
        <w:rPr>
          <w:rStyle w:val="SingleTxtGChar"/>
        </w:rPr>
        <w:t>The number of persons with Roma background in Denmark is uncertain because statistical data are not available, as the ethnic origin of persons is not registered in Denmark. The NGO Danish Refugee Council estimated (in 2011) that 2</w:t>
      </w:r>
      <w:r w:rsidR="00D7005A">
        <w:rPr>
          <w:rStyle w:val="SingleTxtGChar"/>
        </w:rPr>
        <w:t>,</w:t>
      </w:r>
      <w:r w:rsidR="001C7D76" w:rsidRPr="001E0E3B">
        <w:rPr>
          <w:rStyle w:val="SingleTxtGChar"/>
        </w:rPr>
        <w:t>000 Roma are living in Denmark. The Roma do not have status of a national minority in Denmark. The main reason is the lack of continuous historical presence in Denmark. Only temporary habitation can be evidenced in the historical records. In Denmark, Roma integration is pursued through integrated policy measures that characterize the Danish welfare system. The Danish Action Plan (part of the</w:t>
      </w:r>
      <w:r w:rsidR="001C7D76">
        <w:rPr>
          <w:lang w:val="en-US" w:eastAsia="nb-NO"/>
        </w:rPr>
        <w:t xml:space="preserve"> National strategy for Roma inclusion) has three components: 1) Fully realizing the integration tools available for the benefit of Roma inclusion, 2) Continuing and strengthening the efforts towards combating poverty and social exclusion in general and 3) Disseminating knowledge on best practices and agreed principles for Roma inclusion to the municipal level. </w:t>
      </w:r>
    </w:p>
    <w:p w:rsidR="001C7D76" w:rsidRPr="00D7005A" w:rsidRDefault="00A11A9E" w:rsidP="00A11A9E">
      <w:pPr>
        <w:pStyle w:val="SingleTxtG"/>
        <w:rPr>
          <w:lang w:val="en-US" w:eastAsia="nb-NO"/>
        </w:rPr>
      </w:pPr>
      <w:r w:rsidRPr="00D7005A">
        <w:rPr>
          <w:lang w:val="en-US" w:eastAsia="nb-NO"/>
        </w:rPr>
        <w:t>200.</w:t>
      </w:r>
      <w:r w:rsidRPr="00D7005A">
        <w:rPr>
          <w:lang w:val="en-US" w:eastAsia="nb-NO"/>
        </w:rPr>
        <w:tab/>
      </w:r>
      <w:r w:rsidR="001C7D76" w:rsidRPr="00D7005A">
        <w:rPr>
          <w:lang w:val="en-US" w:eastAsia="nb-NO"/>
        </w:rPr>
        <w:t>With regards to Roma being able to enjoy their own culture and speak their own language, the Government has launched a number of initiatives promoting tolerance and anti-discrimination for all ethnic groups, including Roma. The initiatives include inter alia awareness</w:t>
      </w:r>
      <w:r w:rsidR="00D7005A">
        <w:rPr>
          <w:lang w:val="en-US" w:eastAsia="nb-NO"/>
        </w:rPr>
        <w:t xml:space="preserve"> </w:t>
      </w:r>
      <w:r w:rsidR="001C7D76" w:rsidRPr="00D7005A">
        <w:rPr>
          <w:lang w:val="en-US" w:eastAsia="nb-NO"/>
        </w:rPr>
        <w:t xml:space="preserve">campaigns, mappings and investigation of the extent and nature of discrimination and cooperation with municipalities and companies in order to prevent discrimination. </w:t>
      </w:r>
    </w:p>
    <w:p w:rsidR="001C7D76" w:rsidRPr="00083AF9" w:rsidRDefault="001E0E3B" w:rsidP="00A11A9E">
      <w:pPr>
        <w:pStyle w:val="H23G"/>
        <w:rPr>
          <w:lang w:val="en-US" w:eastAsia="nb-NO"/>
        </w:rPr>
      </w:pPr>
      <w:r>
        <w:rPr>
          <w:lang w:val="en-US" w:eastAsia="nb-NO"/>
        </w:rPr>
        <w:tab/>
      </w:r>
      <w:r>
        <w:rPr>
          <w:lang w:val="en-US" w:eastAsia="nb-NO"/>
        </w:rPr>
        <w:tab/>
      </w:r>
      <w:r w:rsidR="001C7D76" w:rsidRPr="00083AF9">
        <w:rPr>
          <w:lang w:val="en-US" w:eastAsia="nb-NO"/>
        </w:rPr>
        <w:t xml:space="preserve">Reply to paragraph 23 of the </w:t>
      </w:r>
      <w:r w:rsidR="00FF0EDD">
        <w:rPr>
          <w:lang w:val="en-US" w:eastAsia="nb-NO"/>
        </w:rPr>
        <w:t>list of issues</w:t>
      </w:r>
      <w:r w:rsidR="001C7D76" w:rsidRPr="00083AF9">
        <w:rPr>
          <w:lang w:val="en-US"/>
        </w:rPr>
        <w:t xml:space="preserve"> [Ministry of Employment]</w:t>
      </w:r>
    </w:p>
    <w:p w:rsidR="001C7D76" w:rsidRPr="00B56F82" w:rsidRDefault="00A11A9E" w:rsidP="00A11A9E">
      <w:pPr>
        <w:pStyle w:val="SingleTxtG"/>
        <w:rPr>
          <w:lang w:val="en-US"/>
        </w:rPr>
      </w:pPr>
      <w:r w:rsidRPr="00B56F82">
        <w:rPr>
          <w:lang w:val="en-US"/>
        </w:rPr>
        <w:t>201.</w:t>
      </w:r>
      <w:r w:rsidRPr="00B56F82">
        <w:rPr>
          <w:lang w:val="en-US"/>
        </w:rPr>
        <w:tab/>
      </w:r>
      <w:r w:rsidR="001C7D76" w:rsidRPr="00B56F82">
        <w:rPr>
          <w:lang w:val="en-US"/>
        </w:rPr>
        <w:t>The Board of Equal Treatment</w:t>
      </w:r>
      <w:r w:rsidR="001C7D76">
        <w:rPr>
          <w:lang w:val="en-US"/>
        </w:rPr>
        <w:t xml:space="preserve"> (</w:t>
      </w:r>
      <w:r w:rsidR="001C7D76" w:rsidRPr="00202DEA">
        <w:rPr>
          <w:i/>
          <w:lang w:val="en-US"/>
        </w:rPr>
        <w:t>Ligebehandlingsnævnet</w:t>
      </w:r>
      <w:r w:rsidR="001C7D76">
        <w:rPr>
          <w:lang w:val="en-US"/>
        </w:rPr>
        <w:t>)</w:t>
      </w:r>
      <w:r w:rsidR="001C7D76" w:rsidRPr="00B56F82">
        <w:rPr>
          <w:lang w:val="en-US"/>
        </w:rPr>
        <w:t xml:space="preserve"> is an administrative appeal board. The Board deals with concrete complaints and may award compensation and invalidate dismissals to the extent provided for by </w:t>
      </w:r>
      <w:r w:rsidR="001C7D76">
        <w:rPr>
          <w:lang w:val="en-US"/>
        </w:rPr>
        <w:t>law</w:t>
      </w:r>
      <w:r w:rsidR="001C7D76" w:rsidRPr="00B56F82">
        <w:rPr>
          <w:lang w:val="en-US"/>
        </w:rPr>
        <w:t xml:space="preserve">. </w:t>
      </w:r>
      <w:r w:rsidR="001C7D76">
        <w:rPr>
          <w:lang w:val="en-US"/>
        </w:rPr>
        <w:t>It</w:t>
      </w:r>
      <w:r w:rsidR="001C7D76" w:rsidRPr="00B56F82">
        <w:rPr>
          <w:lang w:val="en-US"/>
        </w:rPr>
        <w:t xml:space="preserve"> is independent as it is not constrained by instructions or opinions from authorities or other bodies.</w:t>
      </w:r>
    </w:p>
    <w:p w:rsidR="001C7D76" w:rsidRDefault="00A11A9E" w:rsidP="00A11A9E">
      <w:pPr>
        <w:pStyle w:val="SingleTxtG"/>
        <w:rPr>
          <w:lang w:val="en-US"/>
        </w:rPr>
      </w:pPr>
      <w:r>
        <w:rPr>
          <w:lang w:val="en-US"/>
        </w:rPr>
        <w:t>202.</w:t>
      </w:r>
      <w:r>
        <w:rPr>
          <w:lang w:val="en-US"/>
        </w:rPr>
        <w:tab/>
      </w:r>
      <w:r w:rsidR="001C7D76" w:rsidRPr="00B56F82">
        <w:rPr>
          <w:lang w:val="en-US"/>
        </w:rPr>
        <w:t xml:space="preserve">The Board </w:t>
      </w:r>
      <w:r w:rsidR="001C7D76" w:rsidRPr="00F6661A">
        <w:t xml:space="preserve">was established in </w:t>
      </w:r>
      <w:r w:rsidR="001C7D76" w:rsidRPr="00B56F82">
        <w:rPr>
          <w:lang w:val="en-US"/>
        </w:rPr>
        <w:t xml:space="preserve">2009 </w:t>
      </w:r>
      <w:r w:rsidR="001C7D76">
        <w:t>(</w:t>
      </w:r>
      <w:r w:rsidR="001C7D76" w:rsidRPr="00914327">
        <w:t xml:space="preserve">Act </w:t>
      </w:r>
      <w:r w:rsidR="00434343">
        <w:t>N</w:t>
      </w:r>
      <w:r w:rsidR="001C7D76" w:rsidRPr="00914327">
        <w:t>o. 387 of 27 May 2008</w:t>
      </w:r>
      <w:r w:rsidR="001C7D76">
        <w:t>)</w:t>
      </w:r>
      <w:r w:rsidR="001C7D76" w:rsidRPr="00F6661A">
        <w:t xml:space="preserve">. </w:t>
      </w:r>
      <w:r w:rsidR="001C7D76">
        <w:t>It</w:t>
      </w:r>
      <w:r w:rsidR="001C7D76" w:rsidRPr="00F6661A">
        <w:t xml:space="preserve"> is mandated to deal with complaints related to discrimination on the grounds of gender, race, colour, religion or belief, political opinion, sexual orientation, age, disability, or national, social or ethnic origin. </w:t>
      </w:r>
      <w:r w:rsidR="001C7D76">
        <w:rPr>
          <w:lang w:val="en-US"/>
        </w:rPr>
        <w:t>Prior to its establishment</w:t>
      </w:r>
      <w:r w:rsidR="001C7D76" w:rsidRPr="00F6661A">
        <w:rPr>
          <w:lang w:val="en-US"/>
        </w:rPr>
        <w:t xml:space="preserve"> complaints related to discrimination on the grounds of gender or ethnicity </w:t>
      </w:r>
      <w:r w:rsidR="001C7D76">
        <w:rPr>
          <w:lang w:val="en-US"/>
        </w:rPr>
        <w:t xml:space="preserve">could be filed </w:t>
      </w:r>
      <w:r w:rsidR="00EE4D56">
        <w:rPr>
          <w:lang w:val="en-US"/>
        </w:rPr>
        <w:t>with</w:t>
      </w:r>
      <w:r w:rsidR="001C7D76" w:rsidRPr="00F6661A">
        <w:rPr>
          <w:lang w:val="en-US"/>
        </w:rPr>
        <w:t xml:space="preserve"> two different administrative boards and on grounds of age and disability </w:t>
      </w:r>
      <w:r w:rsidR="00EE4D56">
        <w:rPr>
          <w:lang w:val="en-US"/>
        </w:rPr>
        <w:t>with</w:t>
      </w:r>
      <w:r w:rsidR="001C7D76" w:rsidRPr="00F6661A">
        <w:rPr>
          <w:lang w:val="en-US"/>
        </w:rPr>
        <w:t xml:space="preserve"> the courts. </w:t>
      </w:r>
      <w:r w:rsidR="001C7D76" w:rsidRPr="00B56F82">
        <w:rPr>
          <w:lang w:val="en-US"/>
        </w:rPr>
        <w:t xml:space="preserve">It </w:t>
      </w:r>
      <w:r w:rsidR="00EE4D56">
        <w:rPr>
          <w:lang w:val="en-US"/>
        </w:rPr>
        <w:t xml:space="preserve">costs nothing </w:t>
      </w:r>
      <w:r w:rsidR="001C7D76" w:rsidRPr="00B56F82">
        <w:rPr>
          <w:lang w:val="en-US"/>
        </w:rPr>
        <w:t xml:space="preserve">to </w:t>
      </w:r>
      <w:r w:rsidR="001C7D76">
        <w:rPr>
          <w:lang w:val="en-US"/>
        </w:rPr>
        <w:t>submit</w:t>
      </w:r>
      <w:r w:rsidR="001C7D76" w:rsidRPr="00B56F82">
        <w:rPr>
          <w:lang w:val="en-US"/>
        </w:rPr>
        <w:t xml:space="preserve"> complaints to the Board, and </w:t>
      </w:r>
      <w:r w:rsidR="001C7D76">
        <w:rPr>
          <w:lang w:val="en-US"/>
        </w:rPr>
        <w:t>its</w:t>
      </w:r>
      <w:r w:rsidR="001C7D76" w:rsidRPr="00B56F82">
        <w:rPr>
          <w:lang w:val="en-US"/>
        </w:rPr>
        <w:t xml:space="preserve"> secretariat assists individuals in lodging complaints</w:t>
      </w:r>
      <w:r w:rsidR="001C7D76">
        <w:rPr>
          <w:lang w:val="en-US"/>
        </w:rPr>
        <w:t xml:space="preserve"> when needed</w:t>
      </w:r>
      <w:r w:rsidR="001C7D76" w:rsidRPr="00B56F82">
        <w:rPr>
          <w:lang w:val="en-US"/>
        </w:rPr>
        <w:t xml:space="preserve">. </w:t>
      </w:r>
    </w:p>
    <w:p w:rsidR="001C7D76" w:rsidRPr="00DC37EF" w:rsidRDefault="00A11A9E" w:rsidP="00A11A9E">
      <w:pPr>
        <w:pStyle w:val="SingleTxtG"/>
        <w:rPr>
          <w:lang w:val="en-US"/>
        </w:rPr>
      </w:pPr>
      <w:r w:rsidRPr="00DC37EF">
        <w:rPr>
          <w:lang w:val="en-US"/>
        </w:rPr>
        <w:t>203.</w:t>
      </w:r>
      <w:r w:rsidRPr="00DC37EF">
        <w:rPr>
          <w:lang w:val="en-US"/>
        </w:rPr>
        <w:tab/>
      </w:r>
      <w:r w:rsidR="001C7D76" w:rsidRPr="00DC37EF">
        <w:rPr>
          <w:lang w:val="en-US"/>
        </w:rPr>
        <w:t>Since 2009, the Board of Equal Treatment has decid</w:t>
      </w:r>
      <w:r w:rsidR="001C7D76">
        <w:rPr>
          <w:lang w:val="en-US"/>
        </w:rPr>
        <w:t>ed 181</w:t>
      </w:r>
      <w:r w:rsidR="001C7D76" w:rsidRPr="00DC37EF">
        <w:rPr>
          <w:lang w:val="en-US"/>
        </w:rPr>
        <w:t xml:space="preserve"> cases concerning discrimination on </w:t>
      </w:r>
      <w:r w:rsidR="001C7D76">
        <w:rPr>
          <w:lang w:val="en-US"/>
        </w:rPr>
        <w:t xml:space="preserve">the </w:t>
      </w:r>
      <w:r w:rsidR="001C7D76" w:rsidRPr="00DC37EF">
        <w:rPr>
          <w:lang w:val="en-US"/>
        </w:rPr>
        <w:t>ground of race or ethnic origin. In 2009</w:t>
      </w:r>
      <w:r w:rsidR="001C7D76">
        <w:rPr>
          <w:lang w:val="en-US"/>
        </w:rPr>
        <w:t>,</w:t>
      </w:r>
      <w:r w:rsidR="001C7D76" w:rsidRPr="00DC37EF">
        <w:rPr>
          <w:lang w:val="en-US"/>
        </w:rPr>
        <w:t xml:space="preserve"> the Board dealt with 22 cases, in 2010 26 ca</w:t>
      </w:r>
      <w:r w:rsidR="001C7D76">
        <w:rPr>
          <w:lang w:val="en-US"/>
        </w:rPr>
        <w:t>ses, in 2011 43 cases, in 2012 18</w:t>
      </w:r>
      <w:r w:rsidR="001C7D76" w:rsidRPr="00DC37EF">
        <w:rPr>
          <w:lang w:val="en-US"/>
        </w:rPr>
        <w:t xml:space="preserve"> cases, in </w:t>
      </w:r>
      <w:r w:rsidR="001C7D76">
        <w:rPr>
          <w:lang w:val="en-US"/>
        </w:rPr>
        <w:t>2013 36</w:t>
      </w:r>
      <w:r w:rsidR="001C7D76" w:rsidRPr="00DC37EF">
        <w:rPr>
          <w:lang w:val="en-US"/>
        </w:rPr>
        <w:t xml:space="preserve"> cases</w:t>
      </w:r>
      <w:r w:rsidR="001C7D76">
        <w:rPr>
          <w:lang w:val="en-US"/>
        </w:rPr>
        <w:t>, and in 2014 36 cases</w:t>
      </w:r>
      <w:r w:rsidR="001C7D76" w:rsidRPr="00DC37EF">
        <w:rPr>
          <w:lang w:val="en-US"/>
        </w:rPr>
        <w:t xml:space="preserve">. All decisions are published on the website, and the secretariat publishes newsletters and press releases on selected individual cases. </w:t>
      </w:r>
    </w:p>
    <w:p w:rsidR="001C7D76" w:rsidRPr="00B56F82" w:rsidRDefault="00A11A9E" w:rsidP="00A11A9E">
      <w:pPr>
        <w:pStyle w:val="SingleTxtG"/>
        <w:rPr>
          <w:lang w:val="en-US"/>
        </w:rPr>
      </w:pPr>
      <w:r w:rsidRPr="00B56F82">
        <w:rPr>
          <w:lang w:val="en-US"/>
        </w:rPr>
        <w:t>204.</w:t>
      </w:r>
      <w:r w:rsidRPr="00B56F82">
        <w:rPr>
          <w:lang w:val="en-US"/>
        </w:rPr>
        <w:tab/>
      </w:r>
      <w:r w:rsidR="001C7D76" w:rsidRPr="00B56F82">
        <w:rPr>
          <w:lang w:val="en-US"/>
        </w:rPr>
        <w:t xml:space="preserve">The Board makes </w:t>
      </w:r>
      <w:r w:rsidR="001C7D76">
        <w:rPr>
          <w:lang w:val="en-US"/>
        </w:rPr>
        <w:t>considerable</w:t>
      </w:r>
      <w:r w:rsidR="001C7D76" w:rsidRPr="00B56F82">
        <w:rPr>
          <w:lang w:val="en-US"/>
        </w:rPr>
        <w:t xml:space="preserve"> effort to raise awareness about antidiscrimination in general. It</w:t>
      </w:r>
      <w:r w:rsidR="001C7D76">
        <w:rPr>
          <w:lang w:val="en-US"/>
        </w:rPr>
        <w:t>s</w:t>
      </w:r>
      <w:r w:rsidR="001C7D76" w:rsidRPr="00B56F82">
        <w:rPr>
          <w:lang w:val="en-US"/>
        </w:rPr>
        <w:t xml:space="preserve"> secretariat regularly </w:t>
      </w:r>
      <w:r w:rsidR="001C7D76">
        <w:rPr>
          <w:lang w:val="en-US"/>
        </w:rPr>
        <w:t>convenes</w:t>
      </w:r>
      <w:r w:rsidR="001C7D76" w:rsidRPr="00B56F82">
        <w:rPr>
          <w:lang w:val="en-US"/>
        </w:rPr>
        <w:t xml:space="preserve"> dialogue </w:t>
      </w:r>
      <w:r w:rsidR="001C7D76">
        <w:rPr>
          <w:lang w:val="en-US"/>
        </w:rPr>
        <w:t>meetings</w:t>
      </w:r>
      <w:r w:rsidR="001C7D76" w:rsidRPr="00B56F82">
        <w:rPr>
          <w:lang w:val="en-US"/>
        </w:rPr>
        <w:t xml:space="preserve"> with stakeholders, particularly organizations </w:t>
      </w:r>
      <w:r w:rsidR="001C7D76">
        <w:rPr>
          <w:lang w:val="en-US"/>
        </w:rPr>
        <w:t>with a</w:t>
      </w:r>
      <w:r w:rsidR="001C7D76" w:rsidRPr="00B56F82">
        <w:rPr>
          <w:lang w:val="en-US"/>
        </w:rPr>
        <w:t xml:space="preserve"> special insight into equality issues</w:t>
      </w:r>
      <w:r w:rsidR="001C7D76">
        <w:rPr>
          <w:lang w:val="en-US"/>
        </w:rPr>
        <w:t>, and</w:t>
      </w:r>
      <w:r w:rsidR="001C7D76" w:rsidRPr="00B56F82">
        <w:rPr>
          <w:lang w:val="en-US"/>
        </w:rPr>
        <w:t xml:space="preserve"> </w:t>
      </w:r>
      <w:r w:rsidR="001C7D76">
        <w:rPr>
          <w:lang w:val="en-US"/>
        </w:rPr>
        <w:t xml:space="preserve">offers </w:t>
      </w:r>
      <w:r w:rsidR="001C7D76" w:rsidRPr="00B56F82">
        <w:rPr>
          <w:lang w:val="en-US"/>
        </w:rPr>
        <w:t>educational presentations for organizations and trade unions.</w:t>
      </w:r>
      <w:r w:rsidR="001C7D76">
        <w:rPr>
          <w:lang w:val="en-US"/>
        </w:rPr>
        <w:t xml:space="preserve"> T</w:t>
      </w:r>
      <w:r w:rsidR="001C7D76" w:rsidRPr="00B56F82">
        <w:rPr>
          <w:lang w:val="en-US"/>
        </w:rPr>
        <w:t xml:space="preserve">he Board has also published a folder on </w:t>
      </w:r>
      <w:r w:rsidR="001C7D76">
        <w:rPr>
          <w:lang w:val="en-US"/>
        </w:rPr>
        <w:t>its mandate</w:t>
      </w:r>
      <w:r w:rsidR="001C7D76" w:rsidRPr="00B56F82">
        <w:rPr>
          <w:lang w:val="en-US"/>
        </w:rPr>
        <w:t xml:space="preserve">. </w:t>
      </w:r>
    </w:p>
    <w:p w:rsidR="001C7D76" w:rsidRPr="00B56F82" w:rsidRDefault="00A11A9E" w:rsidP="00A11A9E">
      <w:pPr>
        <w:pStyle w:val="SingleTxtG"/>
        <w:rPr>
          <w:lang w:val="en-US"/>
        </w:rPr>
      </w:pPr>
      <w:r w:rsidRPr="00B56F82">
        <w:rPr>
          <w:lang w:val="en-US"/>
        </w:rPr>
        <w:t>205.</w:t>
      </w:r>
      <w:r w:rsidRPr="00B56F82">
        <w:rPr>
          <w:lang w:val="en-US"/>
        </w:rPr>
        <w:tab/>
      </w:r>
      <w:r w:rsidR="001C7D76" w:rsidRPr="00B56F82">
        <w:rPr>
          <w:lang w:val="en-US"/>
        </w:rPr>
        <w:t xml:space="preserve">Both media and </w:t>
      </w:r>
      <w:r w:rsidR="001C7D76">
        <w:rPr>
          <w:lang w:val="en-US"/>
        </w:rPr>
        <w:t>legal professionals</w:t>
      </w:r>
      <w:r w:rsidR="001C7D76" w:rsidRPr="00B56F82">
        <w:rPr>
          <w:lang w:val="en-US"/>
        </w:rPr>
        <w:t xml:space="preserve"> follow the work of the Board closely and often quote </w:t>
      </w:r>
      <w:r w:rsidR="001C7D76">
        <w:rPr>
          <w:lang w:val="en-US"/>
        </w:rPr>
        <w:t>its</w:t>
      </w:r>
      <w:r w:rsidR="001C7D76" w:rsidRPr="00B56F82">
        <w:rPr>
          <w:lang w:val="en-US"/>
        </w:rPr>
        <w:t xml:space="preserve"> decisions. The Board receives a high number of queries by phone or e-mail from individuals, university students, trade unions or others </w:t>
      </w:r>
      <w:r w:rsidR="001C7D76">
        <w:rPr>
          <w:lang w:val="en-US"/>
        </w:rPr>
        <w:t>with</w:t>
      </w:r>
      <w:r w:rsidR="001C7D76" w:rsidRPr="00B56F82">
        <w:rPr>
          <w:lang w:val="en-US"/>
        </w:rPr>
        <w:t xml:space="preserve"> an interest in the field of anti-discrimination.</w:t>
      </w:r>
    </w:p>
    <w:p w:rsidR="001C7D76" w:rsidRPr="00F476D9" w:rsidRDefault="00A11A9E" w:rsidP="00A11A9E">
      <w:pPr>
        <w:pStyle w:val="SingleTxtG"/>
        <w:rPr>
          <w:lang w:val="en-US"/>
        </w:rPr>
      </w:pPr>
      <w:r w:rsidRPr="00F476D9">
        <w:rPr>
          <w:lang w:val="en-US"/>
        </w:rPr>
        <w:t>206.</w:t>
      </w:r>
      <w:r w:rsidRPr="00F476D9">
        <w:rPr>
          <w:lang w:val="en-US"/>
        </w:rPr>
        <w:tab/>
      </w:r>
      <w:r w:rsidR="001C7D76" w:rsidRPr="00B56F82">
        <w:rPr>
          <w:lang w:val="en-US"/>
        </w:rPr>
        <w:t>In 2012</w:t>
      </w:r>
      <w:r w:rsidR="001C7D76">
        <w:rPr>
          <w:lang w:val="en-US"/>
        </w:rPr>
        <w:t>,</w:t>
      </w:r>
      <w:r w:rsidR="001C7D76" w:rsidRPr="00B56F82">
        <w:rPr>
          <w:lang w:val="en-US"/>
        </w:rPr>
        <w:t xml:space="preserve"> the Ministry of Employment (</w:t>
      </w:r>
      <w:r w:rsidR="001C7D76" w:rsidRPr="00090C51">
        <w:rPr>
          <w:i/>
          <w:lang w:val="en-US"/>
        </w:rPr>
        <w:t>Beskæftigelsesministeriet</w:t>
      </w:r>
      <w:r w:rsidR="001C7D76" w:rsidRPr="00B56F82">
        <w:rPr>
          <w:lang w:val="en-US"/>
        </w:rPr>
        <w:t>) review</w:t>
      </w:r>
      <w:r w:rsidR="001C7D76">
        <w:rPr>
          <w:lang w:val="en-US"/>
        </w:rPr>
        <w:t>ed</w:t>
      </w:r>
      <w:r w:rsidR="001C7D76" w:rsidRPr="00B56F82">
        <w:rPr>
          <w:lang w:val="en-US"/>
        </w:rPr>
        <w:t xml:space="preserve"> the Act on the Board of Equal Treatment. The review showed that the Board fulfils its objective </w:t>
      </w:r>
      <w:r w:rsidR="001C7D76">
        <w:rPr>
          <w:lang w:val="en-US"/>
        </w:rPr>
        <w:t>as</w:t>
      </w:r>
      <w:r w:rsidR="001C7D76" w:rsidRPr="00B56F82">
        <w:rPr>
          <w:lang w:val="en-US"/>
        </w:rPr>
        <w:t xml:space="preserve"> a good alternative to the ordinary courts and that the Board </w:t>
      </w:r>
      <w:r w:rsidR="001C7D76">
        <w:rPr>
          <w:lang w:val="en-US"/>
        </w:rPr>
        <w:t>was</w:t>
      </w:r>
      <w:r w:rsidR="001C7D76" w:rsidRPr="00B56F82">
        <w:rPr>
          <w:lang w:val="en-US"/>
        </w:rPr>
        <w:t xml:space="preserve"> also broadly respected by citizens, organizations and agencies. Therefore</w:t>
      </w:r>
      <w:r w:rsidR="001C7D76">
        <w:rPr>
          <w:lang w:val="en-US"/>
        </w:rPr>
        <w:t>,</w:t>
      </w:r>
      <w:r w:rsidR="001C7D76" w:rsidRPr="00B56F82">
        <w:rPr>
          <w:lang w:val="en-US"/>
        </w:rPr>
        <w:t xml:space="preserve"> the review only resulted in </w:t>
      </w:r>
      <w:r w:rsidR="00EE4D56">
        <w:rPr>
          <w:lang w:val="en-US"/>
        </w:rPr>
        <w:t xml:space="preserve">a </w:t>
      </w:r>
      <w:r w:rsidR="001C7D76" w:rsidRPr="00B56F82">
        <w:rPr>
          <w:lang w:val="en-US"/>
        </w:rPr>
        <w:t xml:space="preserve">few changes and clarifications in legislation. The Board’s competence to deal with cases of harassment and sexual harassment was clarified. Also the </w:t>
      </w:r>
      <w:r w:rsidR="001C7D76">
        <w:rPr>
          <w:lang w:val="en-US"/>
        </w:rPr>
        <w:t>B</w:t>
      </w:r>
      <w:r w:rsidR="001C7D76" w:rsidRPr="00B56F82">
        <w:rPr>
          <w:lang w:val="en-US"/>
        </w:rPr>
        <w:t>oard’s competence to reject complaints that are deemed not suitable for board processing was clarified.</w:t>
      </w:r>
    </w:p>
    <w:p w:rsidR="001C7D76" w:rsidRPr="009D6DF0" w:rsidRDefault="001E0E3B" w:rsidP="001E0E3B">
      <w:pPr>
        <w:pStyle w:val="H1G"/>
      </w:pPr>
      <w:bookmarkStart w:id="14" w:name="_Toc430941900"/>
      <w:r>
        <w:tab/>
      </w:r>
      <w:r>
        <w:tab/>
      </w:r>
      <w:r w:rsidR="001C7D76" w:rsidRPr="009D6DF0">
        <w:t>Dissemination of information relating to the Covenant and the Optional Protocol (art. 2)</w:t>
      </w:r>
      <w:bookmarkEnd w:id="14"/>
    </w:p>
    <w:p w:rsidR="001C7D76" w:rsidRPr="00083AF9" w:rsidRDefault="001E0E3B" w:rsidP="00A11A9E">
      <w:pPr>
        <w:pStyle w:val="H23G"/>
        <w:rPr>
          <w:lang w:val="en-US" w:eastAsia="nb-NO"/>
        </w:rPr>
      </w:pPr>
      <w:r>
        <w:rPr>
          <w:lang w:val="en-US" w:eastAsia="nb-NO"/>
        </w:rPr>
        <w:tab/>
      </w:r>
      <w:r>
        <w:rPr>
          <w:lang w:val="en-US" w:eastAsia="nb-NO"/>
        </w:rPr>
        <w:tab/>
      </w:r>
      <w:r w:rsidR="001C7D76" w:rsidRPr="00083AF9">
        <w:rPr>
          <w:lang w:val="en-US" w:eastAsia="nb-NO"/>
        </w:rPr>
        <w:t xml:space="preserve">Reply to paragraph 24 of the </w:t>
      </w:r>
      <w:r w:rsidR="00FF0EDD">
        <w:rPr>
          <w:lang w:val="en-US" w:eastAsia="nb-NO"/>
        </w:rPr>
        <w:t>list of issues</w:t>
      </w:r>
      <w:r w:rsidR="001C7D76" w:rsidRPr="00083AF9">
        <w:rPr>
          <w:lang w:val="en-US"/>
        </w:rPr>
        <w:t xml:space="preserve"> [Ministry of Foreign Affairs and Ministry of Justice]</w:t>
      </w:r>
    </w:p>
    <w:p w:rsidR="001C7D76" w:rsidRPr="00E65F1D" w:rsidRDefault="00A11A9E" w:rsidP="00A11A9E">
      <w:pPr>
        <w:pStyle w:val="SingleTxtG"/>
      </w:pPr>
      <w:r w:rsidRPr="00E65F1D">
        <w:t>207.</w:t>
      </w:r>
      <w:r w:rsidRPr="00E65F1D">
        <w:tab/>
      </w:r>
      <w:r w:rsidR="001C7D76" w:rsidRPr="00485A3C">
        <w:t>It</w:t>
      </w:r>
      <w:r w:rsidR="001C7D76">
        <w:t xml:space="preserve"> </w:t>
      </w:r>
      <w:r w:rsidR="001C7D76" w:rsidRPr="00485A3C">
        <w:t xml:space="preserve">is established practice that the Ministry of Foreign Affairs issues a press release informing about the Committee’s concluding observations and makes them available on </w:t>
      </w:r>
      <w:r w:rsidR="001C7D76">
        <w:t>its</w:t>
      </w:r>
      <w:r w:rsidR="001C7D76" w:rsidRPr="00485A3C">
        <w:t xml:space="preserve"> website. </w:t>
      </w:r>
    </w:p>
    <w:p w:rsidR="00AD08D7" w:rsidRPr="00A11A9E" w:rsidRDefault="00A11A9E" w:rsidP="00A11A9E">
      <w:pPr>
        <w:pStyle w:val="SingleTxtG"/>
        <w:rPr>
          <w:bCs/>
          <w:szCs w:val="24"/>
          <w:lang w:val="en-US" w:eastAsia="da-DK"/>
        </w:rPr>
      </w:pPr>
      <w:r w:rsidRPr="00A11A9E">
        <w:rPr>
          <w:bCs/>
          <w:szCs w:val="24"/>
          <w:lang w:val="en-US" w:eastAsia="da-DK"/>
        </w:rPr>
        <w:t>208.</w:t>
      </w:r>
      <w:r w:rsidRPr="00A11A9E">
        <w:rPr>
          <w:bCs/>
          <w:szCs w:val="24"/>
          <w:lang w:val="en-US" w:eastAsia="da-DK"/>
        </w:rPr>
        <w:tab/>
      </w:r>
      <w:r w:rsidR="001C7D76" w:rsidRPr="00E65F1D">
        <w:t xml:space="preserve">The Government carries out public hearings, with the support of the DIHR, across the </w:t>
      </w:r>
      <w:r w:rsidR="001C7D76">
        <w:t>country</w:t>
      </w:r>
      <w:r w:rsidR="001C7D76" w:rsidRPr="00E65F1D">
        <w:t xml:space="preserve"> when preparing the national report to the </w:t>
      </w:r>
      <w:r w:rsidR="001C7D76">
        <w:t>Universal Periodic Review</w:t>
      </w:r>
      <w:r w:rsidR="001C7D76" w:rsidRPr="00E65F1D">
        <w:t xml:space="preserve">. In 2015, hearings </w:t>
      </w:r>
      <w:r w:rsidR="001C7D76">
        <w:t>were held</w:t>
      </w:r>
      <w:r w:rsidR="001C7D76" w:rsidRPr="00E65F1D">
        <w:t xml:space="preserve"> in Copenhagen, Odense, Århus, Ålborg, Torshavn (the Faroe Islands) and N</w:t>
      </w:r>
      <w:r w:rsidR="001C7D76">
        <w:t>uu</w:t>
      </w:r>
      <w:r w:rsidR="001C7D76" w:rsidRPr="00E65F1D">
        <w:t>k (Greenland). While the main purpose of the hearings is to receive information from the public at large, they rais</w:t>
      </w:r>
      <w:r w:rsidR="001C7D76">
        <w:t xml:space="preserve">e </w:t>
      </w:r>
      <w:r w:rsidR="001C7D76" w:rsidRPr="00E65F1D">
        <w:t xml:space="preserve">awareness about human rights. </w:t>
      </w:r>
    </w:p>
    <w:p w:rsidR="001C7D76" w:rsidRDefault="00A11A9E" w:rsidP="00A11A9E">
      <w:pPr>
        <w:pStyle w:val="SingleTxtG"/>
        <w:rPr>
          <w:bCs/>
          <w:szCs w:val="24"/>
          <w:lang w:val="en-US" w:eastAsia="da-DK"/>
        </w:rPr>
      </w:pPr>
      <w:r>
        <w:rPr>
          <w:bCs/>
          <w:szCs w:val="24"/>
          <w:lang w:val="en-US" w:eastAsia="da-DK"/>
        </w:rPr>
        <w:t>209.</w:t>
      </w:r>
      <w:r>
        <w:rPr>
          <w:bCs/>
          <w:szCs w:val="24"/>
          <w:lang w:val="en-US" w:eastAsia="da-DK"/>
        </w:rPr>
        <w:tab/>
      </w:r>
      <w:r w:rsidR="001C7D76">
        <w:rPr>
          <w:bCs/>
          <w:szCs w:val="24"/>
          <w:lang w:val="en-US" w:eastAsia="da-DK"/>
        </w:rPr>
        <w:t>T</w:t>
      </w:r>
      <w:r w:rsidR="001C7D76" w:rsidRPr="00FA608A">
        <w:rPr>
          <w:bCs/>
          <w:szCs w:val="24"/>
          <w:lang w:val="en-US" w:eastAsia="da-DK"/>
        </w:rPr>
        <w:t xml:space="preserve">he courts arrange their own courses </w:t>
      </w:r>
      <w:r w:rsidR="001C7D76">
        <w:rPr>
          <w:bCs/>
          <w:szCs w:val="24"/>
          <w:lang w:val="en-US" w:eastAsia="da-DK"/>
        </w:rPr>
        <w:t>on</w:t>
      </w:r>
      <w:r w:rsidR="001C7D76" w:rsidRPr="00FA608A">
        <w:rPr>
          <w:bCs/>
          <w:szCs w:val="24"/>
          <w:lang w:val="en-US" w:eastAsia="da-DK"/>
        </w:rPr>
        <w:t xml:space="preserve"> subjects relevant to the judges</w:t>
      </w:r>
      <w:r w:rsidR="001C7D76">
        <w:rPr>
          <w:bCs/>
          <w:szCs w:val="24"/>
          <w:lang w:val="en-US" w:eastAsia="da-DK"/>
        </w:rPr>
        <w:t>. H</w:t>
      </w:r>
      <w:r w:rsidR="001C7D76" w:rsidRPr="00FA608A">
        <w:rPr>
          <w:bCs/>
          <w:szCs w:val="24"/>
          <w:lang w:val="en-US" w:eastAsia="da-DK"/>
        </w:rPr>
        <w:t xml:space="preserve">uman rights </w:t>
      </w:r>
      <w:r w:rsidR="001C7D76">
        <w:rPr>
          <w:bCs/>
          <w:szCs w:val="24"/>
          <w:lang w:val="en-US" w:eastAsia="da-DK"/>
        </w:rPr>
        <w:t xml:space="preserve">form an integral part of </w:t>
      </w:r>
      <w:r w:rsidR="001C7D76" w:rsidRPr="00FA608A">
        <w:rPr>
          <w:bCs/>
          <w:szCs w:val="24"/>
          <w:lang w:val="en-US" w:eastAsia="da-DK"/>
        </w:rPr>
        <w:t xml:space="preserve">several </w:t>
      </w:r>
      <w:r w:rsidR="001C7D76">
        <w:rPr>
          <w:bCs/>
          <w:szCs w:val="24"/>
          <w:lang w:val="en-US" w:eastAsia="da-DK"/>
        </w:rPr>
        <w:t xml:space="preserve">of these. </w:t>
      </w:r>
    </w:p>
    <w:p w:rsidR="001C7D76" w:rsidRPr="00FA608A" w:rsidRDefault="00A11A9E" w:rsidP="00A11A9E">
      <w:pPr>
        <w:pStyle w:val="SingleTxtG"/>
        <w:rPr>
          <w:bCs/>
          <w:szCs w:val="24"/>
          <w:lang w:val="en-US" w:eastAsia="da-DK"/>
        </w:rPr>
      </w:pPr>
      <w:r w:rsidRPr="00FA608A">
        <w:rPr>
          <w:bCs/>
          <w:szCs w:val="24"/>
          <w:lang w:val="en-US" w:eastAsia="da-DK"/>
        </w:rPr>
        <w:t>210.</w:t>
      </w:r>
      <w:r w:rsidRPr="00FA608A">
        <w:rPr>
          <w:bCs/>
          <w:szCs w:val="24"/>
          <w:lang w:val="en-US" w:eastAsia="da-DK"/>
        </w:rPr>
        <w:tab/>
      </w:r>
      <w:r w:rsidR="001C7D76" w:rsidRPr="00FA608A">
        <w:rPr>
          <w:bCs/>
          <w:szCs w:val="24"/>
          <w:lang w:val="en-US" w:eastAsia="da-DK"/>
        </w:rPr>
        <w:t xml:space="preserve">The Director of Public Prosecutions has the main responsibility for the training and education of the entire </w:t>
      </w:r>
      <w:r w:rsidR="001C7D76">
        <w:rPr>
          <w:bCs/>
          <w:szCs w:val="24"/>
          <w:lang w:val="en-US" w:eastAsia="da-DK"/>
        </w:rPr>
        <w:t>p</w:t>
      </w:r>
      <w:r w:rsidR="001C7D76" w:rsidRPr="00FA608A">
        <w:rPr>
          <w:bCs/>
          <w:szCs w:val="24"/>
          <w:lang w:val="en-US" w:eastAsia="da-DK"/>
        </w:rPr>
        <w:t xml:space="preserve">rosecution </w:t>
      </w:r>
      <w:r w:rsidR="001C7D76">
        <w:rPr>
          <w:bCs/>
          <w:szCs w:val="24"/>
          <w:lang w:val="en-US" w:eastAsia="da-DK"/>
        </w:rPr>
        <w:t>s</w:t>
      </w:r>
      <w:r w:rsidR="001C7D76" w:rsidRPr="00FA608A">
        <w:rPr>
          <w:bCs/>
          <w:szCs w:val="24"/>
          <w:lang w:val="en-US" w:eastAsia="da-DK"/>
        </w:rPr>
        <w:t xml:space="preserve">ervice. Most of the training is done in </w:t>
      </w:r>
      <w:r w:rsidR="00EE4D56">
        <w:rPr>
          <w:bCs/>
          <w:szCs w:val="24"/>
          <w:lang w:val="en-US" w:eastAsia="da-DK"/>
        </w:rPr>
        <w:t xml:space="preserve">one- to five-day </w:t>
      </w:r>
      <w:r w:rsidR="001C7D76" w:rsidRPr="00FA608A">
        <w:rPr>
          <w:bCs/>
          <w:szCs w:val="24"/>
          <w:lang w:val="en-US" w:eastAsia="da-DK"/>
        </w:rPr>
        <w:t>courses with teachers re</w:t>
      </w:r>
      <w:r w:rsidR="001C7D76">
        <w:rPr>
          <w:bCs/>
          <w:szCs w:val="24"/>
          <w:lang w:val="en-US" w:eastAsia="da-DK"/>
        </w:rPr>
        <w:t>cruited from the P</w:t>
      </w:r>
      <w:r w:rsidR="001C7D76" w:rsidRPr="00FA608A">
        <w:rPr>
          <w:bCs/>
          <w:szCs w:val="24"/>
          <w:lang w:val="en-US" w:eastAsia="da-DK"/>
        </w:rPr>
        <w:t xml:space="preserve">rosecution </w:t>
      </w:r>
      <w:r w:rsidR="001C7D76">
        <w:rPr>
          <w:bCs/>
          <w:szCs w:val="24"/>
          <w:lang w:val="en-US" w:eastAsia="da-DK"/>
        </w:rPr>
        <w:t>S</w:t>
      </w:r>
      <w:r w:rsidR="001C7D76" w:rsidRPr="00FA608A">
        <w:rPr>
          <w:bCs/>
          <w:szCs w:val="24"/>
          <w:lang w:val="en-US" w:eastAsia="da-DK"/>
        </w:rPr>
        <w:t>ervice itself and external teachers from the courts and private law firms. Some of the cours</w:t>
      </w:r>
      <w:r w:rsidR="001C7D76">
        <w:rPr>
          <w:bCs/>
          <w:szCs w:val="24"/>
          <w:lang w:val="en-US" w:eastAsia="da-DK"/>
        </w:rPr>
        <w:t>es mainly focus on human right</w:t>
      </w:r>
      <w:r w:rsidR="00EE4D56">
        <w:rPr>
          <w:bCs/>
          <w:szCs w:val="24"/>
          <w:lang w:val="en-US" w:eastAsia="da-DK"/>
        </w:rPr>
        <w:t>s</w:t>
      </w:r>
      <w:r w:rsidR="001C7D76">
        <w:rPr>
          <w:bCs/>
          <w:szCs w:val="24"/>
          <w:lang w:val="en-US" w:eastAsia="da-DK"/>
        </w:rPr>
        <w:t xml:space="preserve"> </w:t>
      </w:r>
      <w:r w:rsidR="001C7D76" w:rsidRPr="00FA608A">
        <w:rPr>
          <w:bCs/>
          <w:szCs w:val="24"/>
          <w:lang w:val="en-US" w:eastAsia="da-DK"/>
        </w:rPr>
        <w:t xml:space="preserve">and other international obligations. These courses are executed in cooperation with the courts and The Association of Danish Lawyers and are offered to prosecutors, judges and attorneys on all levels. Other courses </w:t>
      </w:r>
      <w:r w:rsidR="00AD08D7">
        <w:rPr>
          <w:bCs/>
          <w:szCs w:val="24"/>
          <w:lang w:val="en-US" w:eastAsia="da-DK"/>
        </w:rPr>
        <w:t>—</w:t>
      </w:r>
      <w:r w:rsidR="001C7D76" w:rsidRPr="00FA608A">
        <w:rPr>
          <w:bCs/>
          <w:szCs w:val="24"/>
          <w:lang w:val="en-US" w:eastAsia="da-DK"/>
        </w:rPr>
        <w:t xml:space="preserve"> both the mandatory and optional ones </w:t>
      </w:r>
      <w:r w:rsidR="00AD08D7">
        <w:rPr>
          <w:bCs/>
          <w:szCs w:val="24"/>
          <w:lang w:val="en-US" w:eastAsia="da-DK"/>
        </w:rPr>
        <w:t>—</w:t>
      </w:r>
      <w:r w:rsidR="001C7D76" w:rsidRPr="00FA608A">
        <w:rPr>
          <w:bCs/>
          <w:szCs w:val="24"/>
          <w:lang w:val="en-US" w:eastAsia="da-DK"/>
        </w:rPr>
        <w:t xml:space="preserve"> often involve human rights as an important part. In addition</w:t>
      </w:r>
      <w:r w:rsidR="001C7D76">
        <w:rPr>
          <w:bCs/>
          <w:szCs w:val="24"/>
          <w:lang w:val="en-US" w:eastAsia="da-DK"/>
        </w:rPr>
        <w:t>, t</w:t>
      </w:r>
      <w:r w:rsidR="001C7D76" w:rsidRPr="00FA608A">
        <w:rPr>
          <w:bCs/>
          <w:szCs w:val="24"/>
          <w:lang w:val="en-US" w:eastAsia="da-DK"/>
        </w:rPr>
        <w:t xml:space="preserve">he Director of Public Prosecutions also offers to host theme days or lectures on demand on any topic </w:t>
      </w:r>
      <w:r w:rsidR="00AD08D7">
        <w:rPr>
          <w:bCs/>
          <w:szCs w:val="24"/>
          <w:lang w:val="en-US" w:eastAsia="da-DK"/>
        </w:rPr>
        <w:t>—</w:t>
      </w:r>
      <w:r w:rsidR="001C7D76" w:rsidRPr="00FA608A">
        <w:rPr>
          <w:bCs/>
          <w:szCs w:val="24"/>
          <w:lang w:val="en-US" w:eastAsia="da-DK"/>
        </w:rPr>
        <w:t xml:space="preserve"> including human rights </w:t>
      </w:r>
      <w:r w:rsidR="00AD08D7">
        <w:rPr>
          <w:bCs/>
          <w:szCs w:val="24"/>
          <w:lang w:val="en-US" w:eastAsia="da-DK"/>
        </w:rPr>
        <w:t>—</w:t>
      </w:r>
      <w:r w:rsidR="001C7D76" w:rsidRPr="00FA608A">
        <w:rPr>
          <w:bCs/>
          <w:szCs w:val="24"/>
          <w:lang w:val="en-US" w:eastAsia="da-DK"/>
        </w:rPr>
        <w:t xml:space="preserve"> which a local part of the prosecution service might find to be of relevance.</w:t>
      </w:r>
    </w:p>
    <w:p w:rsidR="001C7D76" w:rsidRDefault="00A11A9E" w:rsidP="00A11A9E">
      <w:pPr>
        <w:pStyle w:val="SingleTxtG"/>
        <w:rPr>
          <w:bCs/>
          <w:szCs w:val="24"/>
          <w:lang w:val="en-US" w:eastAsia="da-DK"/>
        </w:rPr>
      </w:pPr>
      <w:r>
        <w:rPr>
          <w:bCs/>
          <w:szCs w:val="24"/>
          <w:lang w:val="en-US" w:eastAsia="da-DK"/>
        </w:rPr>
        <w:t>211.</w:t>
      </w:r>
      <w:r>
        <w:rPr>
          <w:bCs/>
          <w:szCs w:val="24"/>
          <w:lang w:val="en-US" w:eastAsia="da-DK"/>
        </w:rPr>
        <w:tab/>
      </w:r>
      <w:r w:rsidR="001C7D76" w:rsidRPr="0030770F">
        <w:rPr>
          <w:bCs/>
          <w:szCs w:val="24"/>
          <w:lang w:val="en-US" w:eastAsia="da-DK"/>
        </w:rPr>
        <w:t xml:space="preserve">The Association of Danish </w:t>
      </w:r>
      <w:r w:rsidR="001C7D76" w:rsidRPr="0077407B">
        <w:rPr>
          <w:bCs/>
          <w:szCs w:val="24"/>
          <w:lang w:val="en-US" w:eastAsia="da-DK"/>
        </w:rPr>
        <w:t>Lawyers provides regular and ongoing</w:t>
      </w:r>
      <w:r w:rsidR="001C7D76" w:rsidRPr="0030770F">
        <w:rPr>
          <w:bCs/>
          <w:szCs w:val="24"/>
          <w:lang w:val="en-US" w:eastAsia="da-DK"/>
        </w:rPr>
        <w:t xml:space="preserve"> courses for lawyers, judges and other legal professionals, </w:t>
      </w:r>
      <w:r w:rsidR="001C7D76">
        <w:rPr>
          <w:bCs/>
          <w:szCs w:val="24"/>
          <w:lang w:val="en-US" w:eastAsia="da-DK"/>
        </w:rPr>
        <w:t>including courses involving aspects of</w:t>
      </w:r>
      <w:r w:rsidR="001C7D76" w:rsidRPr="0030770F">
        <w:rPr>
          <w:bCs/>
          <w:szCs w:val="24"/>
          <w:lang w:val="en-US" w:eastAsia="da-DK"/>
        </w:rPr>
        <w:t xml:space="preserve"> human rights. </w:t>
      </w:r>
    </w:p>
    <w:p w:rsidR="001C7D76" w:rsidRDefault="00A11A9E" w:rsidP="00A11A9E">
      <w:pPr>
        <w:pStyle w:val="SingleTxtG"/>
        <w:rPr>
          <w:lang w:val="en-US"/>
        </w:rPr>
      </w:pPr>
      <w:r>
        <w:rPr>
          <w:lang w:val="en-US"/>
        </w:rPr>
        <w:t>212.</w:t>
      </w:r>
      <w:r>
        <w:rPr>
          <w:lang w:val="en-US"/>
        </w:rPr>
        <w:tab/>
      </w:r>
      <w:r w:rsidR="001C7D76" w:rsidRPr="00D06650">
        <w:rPr>
          <w:lang w:val="en-US"/>
        </w:rPr>
        <w:t xml:space="preserve">In Greenland, the Greenlandic delegation briefed the Government </w:t>
      </w:r>
      <w:r w:rsidR="001C7D76">
        <w:rPr>
          <w:lang w:val="en-US"/>
        </w:rPr>
        <w:t xml:space="preserve">of Greenland </w:t>
      </w:r>
      <w:r w:rsidR="001C7D76" w:rsidRPr="00D06650">
        <w:rPr>
          <w:lang w:val="en-US"/>
        </w:rPr>
        <w:t xml:space="preserve">after the consideration of the </w:t>
      </w:r>
      <w:r w:rsidR="00EE4D56">
        <w:rPr>
          <w:lang w:val="en-US"/>
        </w:rPr>
        <w:t>fourth</w:t>
      </w:r>
      <w:r w:rsidR="00EE4D56" w:rsidRPr="00D06650">
        <w:rPr>
          <w:lang w:val="en-US"/>
        </w:rPr>
        <w:t xml:space="preserve"> </w:t>
      </w:r>
      <w:r w:rsidR="001C7D76" w:rsidRPr="00D06650">
        <w:rPr>
          <w:lang w:val="en-US"/>
        </w:rPr>
        <w:t xml:space="preserve">periodic report. </w:t>
      </w:r>
      <w:r w:rsidR="001C7D76" w:rsidRPr="00D06650">
        <w:rPr>
          <w:lang w:val="en-US" w:eastAsia="nb-NO"/>
        </w:rPr>
        <w:t>As regards dissemination steps taken in the Faroe Islands, reference is made to the report of the Faroe Islands.</w:t>
      </w:r>
      <w:r w:rsidR="00AF685F">
        <w:rPr>
          <w:lang w:val="en-US" w:eastAsia="nb-NO"/>
        </w:rPr>
        <w:t xml:space="preserve"> </w:t>
      </w:r>
    </w:p>
    <w:p w:rsidR="001C7D76" w:rsidRPr="00385A8D" w:rsidRDefault="001E0E3B" w:rsidP="001E0E3B">
      <w:pPr>
        <w:pStyle w:val="HChG"/>
      </w:pPr>
      <w:bookmarkStart w:id="15" w:name="_Toc430941901"/>
      <w:r>
        <w:tab/>
      </w:r>
      <w:r w:rsidR="001C7D76">
        <w:t>III.</w:t>
      </w:r>
      <w:r>
        <w:tab/>
      </w:r>
      <w:r w:rsidR="001C7D76" w:rsidRPr="00385A8D">
        <w:t>Reporting on Greenland</w:t>
      </w:r>
      <w:bookmarkEnd w:id="15"/>
    </w:p>
    <w:p w:rsidR="001C7D76" w:rsidRPr="00A11A9E" w:rsidRDefault="00A11A9E" w:rsidP="00A11A9E">
      <w:pPr>
        <w:pStyle w:val="SingleTxtG"/>
        <w:rPr>
          <w:bCs/>
          <w:szCs w:val="24"/>
          <w:lang w:val="en-US" w:eastAsia="da-DK"/>
        </w:rPr>
      </w:pPr>
      <w:r w:rsidRPr="00A11A9E">
        <w:rPr>
          <w:bCs/>
          <w:szCs w:val="24"/>
          <w:lang w:val="en-US" w:eastAsia="da-DK"/>
        </w:rPr>
        <w:t>213.</w:t>
      </w:r>
      <w:r w:rsidRPr="00A11A9E">
        <w:rPr>
          <w:bCs/>
          <w:szCs w:val="24"/>
          <w:lang w:val="en-US" w:eastAsia="da-DK"/>
        </w:rPr>
        <w:tab/>
      </w:r>
      <w:r w:rsidR="001C7D76" w:rsidRPr="00D06650">
        <w:rPr>
          <w:lang w:val="en-US" w:eastAsia="nb-NO"/>
        </w:rPr>
        <w:t xml:space="preserve">Since the </w:t>
      </w:r>
      <w:r w:rsidR="001C7D76" w:rsidRPr="00D16671">
        <w:t>fifth periodic report</w:t>
      </w:r>
      <w:r w:rsidR="001C7D76">
        <w:t xml:space="preserve"> </w:t>
      </w:r>
      <w:r w:rsidR="001C7D76" w:rsidRPr="00D06650">
        <w:rPr>
          <w:lang w:val="en-US"/>
        </w:rPr>
        <w:t xml:space="preserve">there have been significant developments as regards the legal and institutional framework for human rights in Greenland. </w:t>
      </w:r>
      <w:r w:rsidR="00EE4D56">
        <w:rPr>
          <w:lang w:val="en-US"/>
        </w:rPr>
        <w:t>F</w:t>
      </w:r>
      <w:r w:rsidR="001C7D76" w:rsidRPr="00D06650">
        <w:rPr>
          <w:lang w:val="en-US"/>
        </w:rPr>
        <w:t>our of these are described</w:t>
      </w:r>
      <w:r w:rsidR="00EE4D56">
        <w:rPr>
          <w:lang w:val="en-US"/>
        </w:rPr>
        <w:t xml:space="preserve"> below</w:t>
      </w:r>
      <w:r w:rsidR="001C7D76" w:rsidRPr="00D06650">
        <w:rPr>
          <w:lang w:val="en-US"/>
        </w:rPr>
        <w:t>. Specific questions relating to Greenland, especially in areas under the competence of the Danish Government, are reported in the main report.</w:t>
      </w:r>
    </w:p>
    <w:p w:rsidR="001C7D76" w:rsidRPr="00D06650" w:rsidRDefault="001E0E3B" w:rsidP="001E0E3B">
      <w:pPr>
        <w:pStyle w:val="H1G"/>
        <w:rPr>
          <w:lang w:val="en-US"/>
        </w:rPr>
      </w:pPr>
      <w:r>
        <w:rPr>
          <w:lang w:val="en-US"/>
        </w:rPr>
        <w:tab/>
      </w:r>
      <w:r>
        <w:rPr>
          <w:lang w:val="en-US"/>
        </w:rPr>
        <w:tab/>
      </w:r>
      <w:r w:rsidR="001C7D76" w:rsidRPr="00D06650">
        <w:rPr>
          <w:lang w:val="en-US"/>
        </w:rPr>
        <w:t xml:space="preserve">The </w:t>
      </w:r>
      <w:r w:rsidR="001C7D76">
        <w:rPr>
          <w:lang w:val="en-US"/>
        </w:rPr>
        <w:t xml:space="preserve">Act on </w:t>
      </w:r>
      <w:r w:rsidR="001C7D76" w:rsidRPr="00D06650">
        <w:rPr>
          <w:lang w:val="en-US"/>
        </w:rPr>
        <w:t xml:space="preserve">Greenland Self-Government </w:t>
      </w:r>
    </w:p>
    <w:p w:rsidR="001C7D76" w:rsidRDefault="00A11A9E" w:rsidP="00A11A9E">
      <w:pPr>
        <w:pStyle w:val="SingleTxtG"/>
        <w:rPr>
          <w:lang w:val="en-US"/>
        </w:rPr>
      </w:pPr>
      <w:r>
        <w:rPr>
          <w:lang w:val="en-US"/>
        </w:rPr>
        <w:t>214.</w:t>
      </w:r>
      <w:r>
        <w:rPr>
          <w:lang w:val="en-US"/>
        </w:rPr>
        <w:tab/>
      </w:r>
      <w:r w:rsidR="001C7D76" w:rsidRPr="00D06650">
        <w:rPr>
          <w:lang w:val="en-US"/>
        </w:rPr>
        <w:t>On 21 June 2009, the Act on Greenland Self-Government (Self-Government Act) came into force. It replaced the Greenland Home Rule Arrangement established in 1979. The Self-Government Act is based on White Paper No. 1497 of 2008 by the Greenlandic-Danish Self-Government Commission. The White Paper is accessible at www.nanoq.gl. Prior to the entering into force of the Self-Government Act, a guiding referendum was held in Greenland on 25 November 2008. Of the votes cast, 75</w:t>
      </w:r>
      <w:r w:rsidR="007C4C22">
        <w:rPr>
          <w:lang w:val="en-US"/>
        </w:rPr>
        <w:t>.</w:t>
      </w:r>
      <w:r w:rsidR="001C7D76" w:rsidRPr="00D06650">
        <w:rPr>
          <w:lang w:val="en-US"/>
        </w:rPr>
        <w:t xml:space="preserve">5 </w:t>
      </w:r>
      <w:r w:rsidR="00DA706F">
        <w:rPr>
          <w:lang w:val="en-US"/>
        </w:rPr>
        <w:t>per cent</w:t>
      </w:r>
      <w:r w:rsidR="001C7D76" w:rsidRPr="00D06650">
        <w:rPr>
          <w:lang w:val="en-US"/>
        </w:rPr>
        <w:t xml:space="preserve"> were in favor and 23</w:t>
      </w:r>
      <w:r w:rsidR="007C4C22">
        <w:rPr>
          <w:lang w:val="en-US"/>
        </w:rPr>
        <w:t>.</w:t>
      </w:r>
      <w:r w:rsidR="001C7D76" w:rsidRPr="00D06650">
        <w:rPr>
          <w:lang w:val="en-US"/>
        </w:rPr>
        <w:t xml:space="preserve">6 </w:t>
      </w:r>
      <w:r w:rsidR="00DA706F">
        <w:rPr>
          <w:lang w:val="en-US"/>
        </w:rPr>
        <w:t>per cent</w:t>
      </w:r>
      <w:r w:rsidR="001C7D76" w:rsidRPr="00D06650">
        <w:rPr>
          <w:lang w:val="en-US"/>
        </w:rPr>
        <w:t xml:space="preserve"> </w:t>
      </w:r>
      <w:r w:rsidR="009243E2">
        <w:rPr>
          <w:lang w:val="en-US"/>
        </w:rPr>
        <w:t xml:space="preserve">were </w:t>
      </w:r>
      <w:r w:rsidR="001C7D76" w:rsidRPr="00D06650">
        <w:rPr>
          <w:lang w:val="en-US"/>
        </w:rPr>
        <w:t xml:space="preserve">against the introduction of self-government. </w:t>
      </w:r>
    </w:p>
    <w:p w:rsidR="001C7D76" w:rsidRDefault="00A11A9E" w:rsidP="00A11A9E">
      <w:pPr>
        <w:pStyle w:val="SingleTxtG"/>
        <w:rPr>
          <w:lang w:val="en-US"/>
        </w:rPr>
      </w:pPr>
      <w:r>
        <w:rPr>
          <w:lang w:val="en-US"/>
        </w:rPr>
        <w:t>215.</w:t>
      </w:r>
      <w:r>
        <w:rPr>
          <w:lang w:val="en-US"/>
        </w:rPr>
        <w:tab/>
      </w:r>
      <w:r w:rsidR="001C7D76" w:rsidRPr="00D06650">
        <w:rPr>
          <w:lang w:val="en-US"/>
        </w:rPr>
        <w:t xml:space="preserve">An essential novelty in the Self-Government arrangement is that in the preamble to the Act, it is recognized that the people of Greenland </w:t>
      </w:r>
      <w:r w:rsidR="00EE4D56">
        <w:rPr>
          <w:lang w:val="en-US"/>
        </w:rPr>
        <w:t>are</w:t>
      </w:r>
      <w:r w:rsidR="001C7D76" w:rsidRPr="00D06650">
        <w:rPr>
          <w:lang w:val="en-US"/>
        </w:rPr>
        <w:t xml:space="preserve"> a people with </w:t>
      </w:r>
      <w:r w:rsidR="00EE4D56">
        <w:rPr>
          <w:lang w:val="en-US"/>
        </w:rPr>
        <w:t xml:space="preserve">the </w:t>
      </w:r>
      <w:r w:rsidR="001C7D76" w:rsidRPr="00D06650">
        <w:rPr>
          <w:lang w:val="en-US"/>
        </w:rPr>
        <w:t>right to self-determination under international law. Accordingly, the Act is based on an agreement between the Greenland Government and the Danish Government as equal partners.</w:t>
      </w:r>
    </w:p>
    <w:p w:rsidR="001C7D76" w:rsidRDefault="00A11A9E" w:rsidP="00A11A9E">
      <w:pPr>
        <w:pStyle w:val="SingleTxtG"/>
        <w:rPr>
          <w:lang w:val="en-US"/>
        </w:rPr>
      </w:pPr>
      <w:r>
        <w:rPr>
          <w:lang w:val="en-US"/>
        </w:rPr>
        <w:t>216.</w:t>
      </w:r>
      <w:r>
        <w:rPr>
          <w:lang w:val="en-US"/>
        </w:rPr>
        <w:tab/>
      </w:r>
      <w:r w:rsidR="001C7D76" w:rsidRPr="00D06650">
        <w:rPr>
          <w:lang w:val="en-US"/>
        </w:rPr>
        <w:t xml:space="preserve">Together with the Danish Constitution, the Self-Government Act constitutes Greenland’s constitutional position in the Unity of the Realm. Two members of the Danish Parliament are elected in Greenland. </w:t>
      </w:r>
    </w:p>
    <w:p w:rsidR="001C7D76" w:rsidRDefault="00A11A9E" w:rsidP="00A11A9E">
      <w:pPr>
        <w:pStyle w:val="SingleTxtG"/>
        <w:rPr>
          <w:lang w:val="en-US"/>
        </w:rPr>
      </w:pPr>
      <w:r>
        <w:rPr>
          <w:lang w:val="en-US"/>
        </w:rPr>
        <w:t>217.</w:t>
      </w:r>
      <w:r>
        <w:rPr>
          <w:lang w:val="en-US"/>
        </w:rPr>
        <w:tab/>
      </w:r>
      <w:r w:rsidR="001C7D76" w:rsidRPr="00D06650">
        <w:rPr>
          <w:lang w:val="en-US"/>
        </w:rPr>
        <w:t xml:space="preserve">A principal objective of introducing self-government has been to facilitate the transfer of additional authority and thus responsibility to Greenlandic authorities in fields where this is constitutionally possible. </w:t>
      </w:r>
    </w:p>
    <w:p w:rsidR="001C7D76" w:rsidRDefault="00A11A9E" w:rsidP="00A11A9E">
      <w:pPr>
        <w:pStyle w:val="SingleTxtG"/>
        <w:rPr>
          <w:lang w:val="en-US"/>
        </w:rPr>
      </w:pPr>
      <w:r>
        <w:rPr>
          <w:lang w:val="en-US"/>
        </w:rPr>
        <w:t>218.</w:t>
      </w:r>
      <w:r>
        <w:rPr>
          <w:lang w:val="en-US"/>
        </w:rPr>
        <w:tab/>
      </w:r>
      <w:r w:rsidR="001C7D76" w:rsidRPr="00D06650">
        <w:rPr>
          <w:lang w:val="en-US"/>
        </w:rPr>
        <w:t xml:space="preserve">The </w:t>
      </w:r>
      <w:r w:rsidR="001C7D76">
        <w:rPr>
          <w:lang w:val="en-US"/>
        </w:rPr>
        <w:t>g</w:t>
      </w:r>
      <w:r w:rsidR="001C7D76" w:rsidRPr="00D06650">
        <w:rPr>
          <w:lang w:val="en-US"/>
        </w:rPr>
        <w:t xml:space="preserve">overnment authorities </w:t>
      </w:r>
      <w:r w:rsidR="001C7D76">
        <w:rPr>
          <w:lang w:val="en-US"/>
        </w:rPr>
        <w:t xml:space="preserve">in Greenland </w:t>
      </w:r>
      <w:r w:rsidR="001C7D76" w:rsidRPr="00D06650">
        <w:rPr>
          <w:lang w:val="en-US"/>
        </w:rPr>
        <w:t xml:space="preserve">comprise a democratically elected assembly </w:t>
      </w:r>
      <w:r w:rsidR="00AD08D7">
        <w:rPr>
          <w:lang w:val="en-US"/>
        </w:rPr>
        <w:t>—</w:t>
      </w:r>
      <w:r w:rsidR="001C7D76" w:rsidRPr="00D06650">
        <w:rPr>
          <w:lang w:val="en-US"/>
        </w:rPr>
        <w:t xml:space="preserve"> Naalakkersuisut (Government</w:t>
      </w:r>
      <w:r w:rsidR="001C7D76">
        <w:rPr>
          <w:lang w:val="en-US"/>
        </w:rPr>
        <w:t xml:space="preserve"> of Greenland</w:t>
      </w:r>
      <w:r w:rsidR="001C7D76" w:rsidRPr="00D06650">
        <w:rPr>
          <w:lang w:val="en-US"/>
        </w:rPr>
        <w:t xml:space="preserve">) and Inatsisartut (Greenland Parliament). The Self-Government Act does not contain specific rules and regulations regarding the composition, etc. of these bodies, but has left it up to the Self-Government authorities to lay down provisions in this regard. In the Self-Government Act, the Greenlandic terms for Parliament and Government are used. </w:t>
      </w:r>
    </w:p>
    <w:p w:rsidR="001C7D76" w:rsidRDefault="00A11A9E" w:rsidP="00A11A9E">
      <w:pPr>
        <w:pStyle w:val="SingleTxtG"/>
        <w:rPr>
          <w:lang w:val="en-US"/>
        </w:rPr>
      </w:pPr>
      <w:r>
        <w:rPr>
          <w:lang w:val="en-US"/>
        </w:rPr>
        <w:t>219.</w:t>
      </w:r>
      <w:r>
        <w:rPr>
          <w:lang w:val="en-US"/>
        </w:rPr>
        <w:tab/>
      </w:r>
      <w:r w:rsidR="001C7D76" w:rsidRPr="00D06650">
        <w:rPr>
          <w:lang w:val="en-US"/>
        </w:rPr>
        <w:t xml:space="preserve">The Self-Government Act recognizes the Greenlandic language as the official language in Greenland. Danish may still be used in official matters </w:t>
      </w:r>
      <w:r w:rsidR="00EE4D56">
        <w:rPr>
          <w:lang w:val="en-US"/>
        </w:rPr>
        <w:t>(</w:t>
      </w:r>
      <w:r w:rsidR="001C7D76" w:rsidRPr="00D06650">
        <w:rPr>
          <w:lang w:val="en-US"/>
        </w:rPr>
        <w:t>cf. Greenland Parliament Act on case handling procedures in public administration</w:t>
      </w:r>
      <w:r w:rsidR="00EE4D56">
        <w:rPr>
          <w:lang w:val="en-US"/>
        </w:rPr>
        <w:t>)</w:t>
      </w:r>
      <w:r w:rsidR="001C7D76" w:rsidRPr="00D06650">
        <w:rPr>
          <w:lang w:val="en-US"/>
        </w:rPr>
        <w:t>. The question of educational instruction in Danish is not governed by the Self-Government Act, but it is assumed that the Self-Government authorities must ensure provision of education in Danish and other relevant languages that would enable Greenlandic youth to pursue further education in Denmark and other countries.</w:t>
      </w:r>
    </w:p>
    <w:p w:rsidR="001C7D76" w:rsidRPr="00D35E45" w:rsidRDefault="00A11A9E" w:rsidP="00A11A9E">
      <w:pPr>
        <w:pStyle w:val="SingleTxtG"/>
        <w:rPr>
          <w:lang w:val="en-US"/>
        </w:rPr>
      </w:pPr>
      <w:r w:rsidRPr="00D35E45">
        <w:rPr>
          <w:lang w:val="en-US"/>
        </w:rPr>
        <w:t>220.</w:t>
      </w:r>
      <w:r w:rsidRPr="00D35E45">
        <w:rPr>
          <w:lang w:val="en-US"/>
        </w:rPr>
        <w:tab/>
      </w:r>
      <w:r w:rsidR="001C7D76" w:rsidRPr="00D35E45">
        <w:rPr>
          <w:lang w:val="en-US"/>
        </w:rPr>
        <w:t xml:space="preserve">On 7 October 2009 Denmark submitted a notification on the Act on Greenland Self-Government to the Secretary-General of </w:t>
      </w:r>
      <w:r w:rsidR="00EE4D56" w:rsidRPr="00D35E45">
        <w:rPr>
          <w:lang w:val="en-US"/>
        </w:rPr>
        <w:t>t</w:t>
      </w:r>
      <w:r w:rsidR="001C7D76" w:rsidRPr="00D35E45">
        <w:rPr>
          <w:lang w:val="en-US"/>
        </w:rPr>
        <w:t xml:space="preserve">he United Nations, and the notification was distributed to the General Assembly as document A/64/676. </w:t>
      </w:r>
    </w:p>
    <w:p w:rsidR="001C7D76" w:rsidRPr="00A11A9E" w:rsidRDefault="00A11A9E" w:rsidP="00A11A9E">
      <w:pPr>
        <w:pStyle w:val="SingleTxtG"/>
        <w:rPr>
          <w:lang w:val="en-US"/>
        </w:rPr>
      </w:pPr>
      <w:r w:rsidRPr="00A11A9E">
        <w:rPr>
          <w:lang w:val="en-US"/>
        </w:rPr>
        <w:t>221.</w:t>
      </w:r>
      <w:r w:rsidRPr="00A11A9E">
        <w:rPr>
          <w:lang w:val="en-US"/>
        </w:rPr>
        <w:tab/>
      </w:r>
      <w:r w:rsidR="001C7D76" w:rsidRPr="00D35E45">
        <w:rPr>
          <w:lang w:val="en-US"/>
        </w:rPr>
        <w:t>For a general description of the Greenland Self-Government arrangement, reference is made to the report from Denmark and Greenland to the Permanent Forum on Indigenous Issues</w:t>
      </w:r>
      <w:r w:rsidR="00EE4D56" w:rsidRPr="00D35E45">
        <w:rPr>
          <w:lang w:val="en-US"/>
        </w:rPr>
        <w:t xml:space="preserve"> at its</w:t>
      </w:r>
      <w:r w:rsidR="001C7D76" w:rsidRPr="00D35E45">
        <w:rPr>
          <w:lang w:val="en-US"/>
        </w:rPr>
        <w:t xml:space="preserve"> </w:t>
      </w:r>
      <w:r w:rsidR="00EE4D56" w:rsidRPr="00D35E45">
        <w:rPr>
          <w:lang w:val="en-US"/>
        </w:rPr>
        <w:t>e</w:t>
      </w:r>
      <w:r w:rsidR="001C7D76" w:rsidRPr="00D35E45">
        <w:rPr>
          <w:lang w:val="en-US"/>
        </w:rPr>
        <w:t xml:space="preserve">ighth </w:t>
      </w:r>
      <w:r w:rsidR="00EE4D56" w:rsidRPr="00D35E45">
        <w:rPr>
          <w:lang w:val="en-US"/>
        </w:rPr>
        <w:t>s</w:t>
      </w:r>
      <w:r w:rsidR="001C7D76" w:rsidRPr="00D35E45">
        <w:rPr>
          <w:lang w:val="en-US"/>
        </w:rPr>
        <w:t xml:space="preserve">ession (E/C.19/2009/4/Add.4). </w:t>
      </w:r>
    </w:p>
    <w:p w:rsidR="001C7D76" w:rsidRDefault="001E0E3B" w:rsidP="00A11A9E">
      <w:pPr>
        <w:pStyle w:val="H1G"/>
        <w:rPr>
          <w:lang w:val="en-US"/>
        </w:rPr>
      </w:pPr>
      <w:r>
        <w:rPr>
          <w:lang w:val="en-US"/>
        </w:rPr>
        <w:tab/>
      </w:r>
      <w:r>
        <w:rPr>
          <w:lang w:val="en-US"/>
        </w:rPr>
        <w:tab/>
      </w:r>
      <w:r w:rsidR="001C7D76" w:rsidRPr="00D06650">
        <w:rPr>
          <w:lang w:val="en-US"/>
        </w:rPr>
        <w:t>The Greenland Human Rights Council</w:t>
      </w:r>
    </w:p>
    <w:p w:rsidR="001C7D76" w:rsidRPr="00A11A9E" w:rsidRDefault="00A11A9E" w:rsidP="00A11A9E">
      <w:pPr>
        <w:pStyle w:val="SingleTxtG"/>
        <w:rPr>
          <w:lang w:val="en-US"/>
        </w:rPr>
      </w:pPr>
      <w:r w:rsidRPr="00A11A9E">
        <w:rPr>
          <w:lang w:val="en-US"/>
        </w:rPr>
        <w:t>222.</w:t>
      </w:r>
      <w:r w:rsidRPr="00A11A9E">
        <w:rPr>
          <w:lang w:val="en-US"/>
        </w:rPr>
        <w:tab/>
      </w:r>
      <w:r w:rsidR="001C7D76" w:rsidRPr="00EA7BD5">
        <w:rPr>
          <w:lang w:val="en-US"/>
        </w:rPr>
        <w:t>On 1 January 2013 the Greenland Human Rights Council was established (Inatsisartut Act No. 23 of 3 December 2012). The ta</w:t>
      </w:r>
      <w:r w:rsidR="001C7D76">
        <w:rPr>
          <w:lang w:val="en-US"/>
        </w:rPr>
        <w:t xml:space="preserve">sk of the Council is to promote, </w:t>
      </w:r>
      <w:r w:rsidR="001C7D76" w:rsidRPr="00EA7BD5">
        <w:rPr>
          <w:lang w:val="en-US"/>
        </w:rPr>
        <w:t xml:space="preserve">protect </w:t>
      </w:r>
      <w:r w:rsidR="001C7D76">
        <w:rPr>
          <w:lang w:val="en-US"/>
        </w:rPr>
        <w:t xml:space="preserve">and contribute to </w:t>
      </w:r>
      <w:r w:rsidR="001C7D76" w:rsidRPr="00EA7BD5">
        <w:rPr>
          <w:lang w:val="en-US"/>
        </w:rPr>
        <w:t xml:space="preserve">the advancement of knowledge </w:t>
      </w:r>
      <w:r w:rsidR="001C7D76">
        <w:rPr>
          <w:lang w:val="en-US"/>
        </w:rPr>
        <w:t xml:space="preserve">of </w:t>
      </w:r>
      <w:r w:rsidR="001C7D76" w:rsidRPr="00EA7BD5">
        <w:rPr>
          <w:lang w:val="en-US"/>
        </w:rPr>
        <w:t xml:space="preserve">and skills in human rights in Greenland. The Council is composed in a way </w:t>
      </w:r>
      <w:r w:rsidR="00EE4D56">
        <w:rPr>
          <w:lang w:val="en-US"/>
        </w:rPr>
        <w:t>that</w:t>
      </w:r>
      <w:r w:rsidR="00EE4D56" w:rsidRPr="00EA7BD5">
        <w:rPr>
          <w:lang w:val="en-US"/>
        </w:rPr>
        <w:t xml:space="preserve"> </w:t>
      </w:r>
      <w:r w:rsidR="001C7D76" w:rsidRPr="00EA7BD5">
        <w:rPr>
          <w:lang w:val="en-US"/>
        </w:rPr>
        <w:t>reflect</w:t>
      </w:r>
      <w:r w:rsidR="00EE4D56">
        <w:rPr>
          <w:lang w:val="en-US"/>
        </w:rPr>
        <w:t>s</w:t>
      </w:r>
      <w:r w:rsidR="001C7D76" w:rsidRPr="00EA7BD5">
        <w:rPr>
          <w:lang w:val="en-US"/>
        </w:rPr>
        <w:t xml:space="preserve"> the views which exist among civil society with </w:t>
      </w:r>
      <w:r w:rsidR="00EE4D56">
        <w:rPr>
          <w:lang w:val="en-US"/>
        </w:rPr>
        <w:t xml:space="preserve">a </w:t>
      </w:r>
      <w:r w:rsidR="001C7D76" w:rsidRPr="00EA7BD5">
        <w:rPr>
          <w:lang w:val="en-US"/>
        </w:rPr>
        <w:t xml:space="preserve">specific focus on human rights. The Council is funded through grants from the Greenlandic treasury. It cooperates with the </w:t>
      </w:r>
      <w:r w:rsidR="001C7D76">
        <w:rPr>
          <w:lang w:val="en-US"/>
        </w:rPr>
        <w:t>Danish Institute for Human Rights</w:t>
      </w:r>
      <w:r w:rsidR="00EE4D56">
        <w:rPr>
          <w:lang w:val="en-US"/>
        </w:rPr>
        <w:t>,</w:t>
      </w:r>
      <w:r w:rsidR="001C7D76" w:rsidRPr="00EA7BD5">
        <w:rPr>
          <w:lang w:val="en-US"/>
        </w:rPr>
        <w:t xml:space="preserve"> whose mandate was extended to Greenland. </w:t>
      </w:r>
    </w:p>
    <w:p w:rsidR="001C7D76" w:rsidRPr="00EA7BD5" w:rsidRDefault="001E0E3B" w:rsidP="00A11A9E">
      <w:pPr>
        <w:pStyle w:val="H1G"/>
        <w:rPr>
          <w:lang w:val="en-US"/>
        </w:rPr>
      </w:pPr>
      <w:r>
        <w:rPr>
          <w:lang w:val="en-US"/>
        </w:rPr>
        <w:tab/>
      </w:r>
      <w:r>
        <w:rPr>
          <w:lang w:val="en-US"/>
        </w:rPr>
        <w:tab/>
      </w:r>
      <w:r w:rsidR="001C7D76" w:rsidRPr="00EA7BD5">
        <w:rPr>
          <w:lang w:val="en-US"/>
        </w:rPr>
        <w:t>Reconciliation Commission</w:t>
      </w:r>
    </w:p>
    <w:p w:rsidR="001C7D76" w:rsidRPr="00A11A9E" w:rsidRDefault="00A11A9E" w:rsidP="00A11A9E">
      <w:pPr>
        <w:pStyle w:val="SingleTxtG"/>
        <w:rPr>
          <w:lang w:val="en-US"/>
        </w:rPr>
      </w:pPr>
      <w:r w:rsidRPr="00A11A9E">
        <w:rPr>
          <w:lang w:val="en-US"/>
        </w:rPr>
        <w:t>223.</w:t>
      </w:r>
      <w:r w:rsidRPr="00A11A9E">
        <w:rPr>
          <w:lang w:val="en-US"/>
        </w:rPr>
        <w:tab/>
      </w:r>
      <w:r w:rsidR="001C7D76" w:rsidRPr="00EA7BD5">
        <w:rPr>
          <w:lang w:val="en-US"/>
        </w:rPr>
        <w:t xml:space="preserve">The Reconciliation Commission was established by the National Budget Proposal for 2014 as approved by </w:t>
      </w:r>
      <w:r w:rsidR="001C7D76">
        <w:rPr>
          <w:lang w:val="en-US"/>
        </w:rPr>
        <w:t xml:space="preserve">the Parliament of Greenland </w:t>
      </w:r>
      <w:r w:rsidR="00B708F6">
        <w:rPr>
          <w:lang w:val="en-US"/>
        </w:rPr>
        <w:t>(</w:t>
      </w:r>
      <w:r w:rsidR="001C7D76" w:rsidRPr="00EA7BD5">
        <w:rPr>
          <w:lang w:val="en-US"/>
        </w:rPr>
        <w:t>Inatsisartut</w:t>
      </w:r>
      <w:r w:rsidR="00B708F6">
        <w:rPr>
          <w:lang w:val="en-US"/>
        </w:rPr>
        <w:t>)</w:t>
      </w:r>
      <w:r w:rsidR="001C7D76">
        <w:rPr>
          <w:lang w:val="en-US"/>
        </w:rPr>
        <w:t xml:space="preserve">, with the </w:t>
      </w:r>
      <w:r w:rsidR="00B708F6">
        <w:rPr>
          <w:lang w:val="en-US"/>
        </w:rPr>
        <w:t xml:space="preserve">aim of </w:t>
      </w:r>
      <w:r w:rsidR="001C7D76">
        <w:rPr>
          <w:lang w:val="en-US"/>
        </w:rPr>
        <w:t>reconciliation to take place among the population of Greenland</w:t>
      </w:r>
      <w:r w:rsidR="001C7D76" w:rsidRPr="00EA7BD5">
        <w:rPr>
          <w:lang w:val="en-US"/>
        </w:rPr>
        <w:t xml:space="preserve">. </w:t>
      </w:r>
      <w:r w:rsidR="001C7D76">
        <w:rPr>
          <w:lang w:val="en-US"/>
        </w:rPr>
        <w:t xml:space="preserve">The Reconciliation Commission has initiated various activities to uncover cultural and societal challenges resulting from colonial heritage that generate tension in the present. A </w:t>
      </w:r>
      <w:r w:rsidR="00B708F6">
        <w:rPr>
          <w:lang w:val="en-US"/>
        </w:rPr>
        <w:t xml:space="preserve">series </w:t>
      </w:r>
      <w:r w:rsidR="001C7D76">
        <w:rPr>
          <w:lang w:val="en-US"/>
        </w:rPr>
        <w:t xml:space="preserve">of public meetings in different settlements is being conducted by the Commission along with collecting narrative perspectives as told by residents of Greenland. The Commission will complete its work by the end of 2017 by presenting the recommendations and conclusions in a final report. </w:t>
      </w:r>
    </w:p>
    <w:p w:rsidR="001C7D76" w:rsidRDefault="001E0E3B" w:rsidP="00A11A9E">
      <w:pPr>
        <w:pStyle w:val="H1G"/>
        <w:rPr>
          <w:lang w:val="en-US"/>
        </w:rPr>
      </w:pPr>
      <w:r>
        <w:rPr>
          <w:lang w:val="en-US"/>
        </w:rPr>
        <w:tab/>
      </w:r>
      <w:r>
        <w:rPr>
          <w:lang w:val="en-US"/>
        </w:rPr>
        <w:tab/>
      </w:r>
      <w:r w:rsidR="001C7D76" w:rsidRPr="00EA7BD5">
        <w:rPr>
          <w:lang w:val="en-US"/>
        </w:rPr>
        <w:t>“Legally fatherless” Greenlanders</w:t>
      </w:r>
    </w:p>
    <w:p w:rsidR="001C7D76" w:rsidRDefault="00A11A9E" w:rsidP="00A11A9E">
      <w:pPr>
        <w:pStyle w:val="SingleTxtG"/>
        <w:rPr>
          <w:lang w:val="en-US"/>
        </w:rPr>
      </w:pPr>
      <w:r>
        <w:rPr>
          <w:lang w:val="en-US"/>
        </w:rPr>
        <w:t>224.</w:t>
      </w:r>
      <w:r>
        <w:rPr>
          <w:lang w:val="en-US"/>
        </w:rPr>
        <w:tab/>
      </w:r>
      <w:r w:rsidR="001C7D76" w:rsidRPr="00EA7BD5">
        <w:rPr>
          <w:lang w:val="en-US"/>
        </w:rPr>
        <w:t xml:space="preserve">Until 1963 </w:t>
      </w:r>
      <w:r w:rsidR="001C7D76">
        <w:rPr>
          <w:lang w:val="en-US"/>
        </w:rPr>
        <w:t xml:space="preserve">(1974 for North and East Greenland) </w:t>
      </w:r>
      <w:r w:rsidR="001C7D76" w:rsidRPr="00EA7BD5">
        <w:rPr>
          <w:lang w:val="en-US"/>
        </w:rPr>
        <w:t xml:space="preserve">the legislation for Greenland did not contain rules on paternity for children born out of wedlock. Thus, children born out of wedlock had no right to inheritance </w:t>
      </w:r>
      <w:r w:rsidR="00B708F6">
        <w:rPr>
          <w:lang w:val="en-US"/>
        </w:rPr>
        <w:t>from</w:t>
      </w:r>
      <w:r w:rsidR="00B708F6" w:rsidRPr="00EA7BD5">
        <w:rPr>
          <w:lang w:val="en-US"/>
        </w:rPr>
        <w:t xml:space="preserve"> </w:t>
      </w:r>
      <w:r w:rsidR="001C7D76" w:rsidRPr="00EA7BD5">
        <w:rPr>
          <w:lang w:val="en-US"/>
        </w:rPr>
        <w:t xml:space="preserve">their father. The term </w:t>
      </w:r>
      <w:r w:rsidR="00434343">
        <w:rPr>
          <w:lang w:val="en-US"/>
        </w:rPr>
        <w:t>“</w:t>
      </w:r>
      <w:r w:rsidR="001C7D76" w:rsidRPr="00EA7BD5">
        <w:rPr>
          <w:lang w:val="en-US"/>
        </w:rPr>
        <w:t>legally fatherless</w:t>
      </w:r>
      <w:r w:rsidR="00434343">
        <w:rPr>
          <w:lang w:val="en-US"/>
        </w:rPr>
        <w:t>”</w:t>
      </w:r>
      <w:r w:rsidR="001C7D76" w:rsidRPr="00EA7BD5">
        <w:rPr>
          <w:lang w:val="en-US"/>
        </w:rPr>
        <w:t xml:space="preserve"> is used when referring to such persons. </w:t>
      </w:r>
    </w:p>
    <w:p w:rsidR="001C7D76" w:rsidRDefault="00A11A9E" w:rsidP="00A11A9E">
      <w:pPr>
        <w:pStyle w:val="SingleTxtG"/>
        <w:rPr>
          <w:lang w:val="en-US"/>
        </w:rPr>
      </w:pPr>
      <w:r>
        <w:rPr>
          <w:lang w:val="en-US"/>
        </w:rPr>
        <w:t>225.</w:t>
      </w:r>
      <w:r>
        <w:rPr>
          <w:lang w:val="en-US"/>
        </w:rPr>
        <w:tab/>
      </w:r>
      <w:r w:rsidR="001C7D76" w:rsidRPr="00EA7BD5">
        <w:rPr>
          <w:lang w:val="en-US"/>
        </w:rPr>
        <w:t xml:space="preserve">In 2014 the Danish Parliament passed an Act aiming at improving the legal status of the </w:t>
      </w:r>
      <w:r w:rsidR="00434343">
        <w:rPr>
          <w:lang w:val="en-US"/>
        </w:rPr>
        <w:t>“</w:t>
      </w:r>
      <w:r w:rsidR="001C7D76" w:rsidRPr="00EA7BD5">
        <w:rPr>
          <w:lang w:val="en-US"/>
        </w:rPr>
        <w:t>legally fatherless</w:t>
      </w:r>
      <w:r w:rsidR="00434343">
        <w:rPr>
          <w:lang w:val="en-US"/>
        </w:rPr>
        <w:t>”</w:t>
      </w:r>
      <w:r w:rsidR="001C7D76" w:rsidRPr="00EA7BD5">
        <w:rPr>
          <w:lang w:val="en-US"/>
        </w:rPr>
        <w:t xml:space="preserve"> by giving them the possibility to initiate proceedings to legally determine who their biological father is. Paternity established according to these rules has the same legal consequences as ordinary paternity, including normal inheritance rights. However, paternity will not entail the reopening of closed estates. In practice this means that it is not possible to reopen an estate which has been completed before initiating the paternity case. </w:t>
      </w:r>
    </w:p>
    <w:p w:rsidR="001C7D76" w:rsidRPr="00A11A9E" w:rsidRDefault="00A11A9E" w:rsidP="00A11A9E">
      <w:pPr>
        <w:pStyle w:val="SingleTxtG"/>
        <w:rPr>
          <w:lang w:val="en-US"/>
        </w:rPr>
      </w:pPr>
      <w:r w:rsidRPr="00A11A9E">
        <w:rPr>
          <w:lang w:val="en-US"/>
        </w:rPr>
        <w:t>226.</w:t>
      </w:r>
      <w:r w:rsidRPr="00A11A9E">
        <w:rPr>
          <w:lang w:val="en-US"/>
        </w:rPr>
        <w:tab/>
      </w:r>
      <w:r w:rsidR="001C7D76" w:rsidRPr="00600D3E">
        <w:rPr>
          <w:lang w:val="en-US"/>
        </w:rPr>
        <w:t xml:space="preserve">A number of </w:t>
      </w:r>
      <w:r w:rsidR="00434343">
        <w:rPr>
          <w:lang w:val="en-US"/>
        </w:rPr>
        <w:t>“</w:t>
      </w:r>
      <w:r w:rsidR="001C7D76" w:rsidRPr="00600D3E">
        <w:rPr>
          <w:lang w:val="en-US"/>
        </w:rPr>
        <w:t>legally fatherless</w:t>
      </w:r>
      <w:r w:rsidR="00434343">
        <w:rPr>
          <w:lang w:val="en-US"/>
        </w:rPr>
        <w:t>”</w:t>
      </w:r>
      <w:r w:rsidR="001C7D76" w:rsidRPr="00600D3E">
        <w:rPr>
          <w:lang w:val="en-US"/>
        </w:rPr>
        <w:t xml:space="preserve"> Greenlanders have for many years been in a difficult situation due to not having had a legal father. Thus, when adopting the Act on the </w:t>
      </w:r>
      <w:r w:rsidR="00434343">
        <w:rPr>
          <w:lang w:val="en-US"/>
        </w:rPr>
        <w:t>“</w:t>
      </w:r>
      <w:r w:rsidR="001C7D76" w:rsidRPr="00600D3E">
        <w:rPr>
          <w:lang w:val="en-US"/>
        </w:rPr>
        <w:t>legally fatherless</w:t>
      </w:r>
      <w:r w:rsidR="00434343">
        <w:rPr>
          <w:lang w:val="en-US"/>
        </w:rPr>
        <w:t>”</w:t>
      </w:r>
      <w:r w:rsidR="001C7D76" w:rsidRPr="00600D3E">
        <w:rPr>
          <w:lang w:val="en-US"/>
        </w:rPr>
        <w:t>, the Danish Parliament</w:t>
      </w:r>
      <w:r w:rsidR="00434343">
        <w:rPr>
          <w:lang w:val="en-US"/>
        </w:rPr>
        <w:t xml:space="preserve"> </w:t>
      </w:r>
      <w:r w:rsidR="001C7D76" w:rsidRPr="00600D3E">
        <w:rPr>
          <w:lang w:val="en-US"/>
        </w:rPr>
        <w:t>called for a number of initiatives to be initiated concerning the “l</w:t>
      </w:r>
      <w:r w:rsidR="001C7D76">
        <w:rPr>
          <w:lang w:val="en-US"/>
        </w:rPr>
        <w:t>egally fatherless”, including i</w:t>
      </w:r>
      <w:r w:rsidR="001C7D76" w:rsidRPr="00600D3E">
        <w:rPr>
          <w:lang w:val="en-US"/>
        </w:rPr>
        <w:t xml:space="preserve">dentifying </w:t>
      </w:r>
      <w:r w:rsidR="00B708F6">
        <w:rPr>
          <w:lang w:val="en-US"/>
        </w:rPr>
        <w:t xml:space="preserve">the </w:t>
      </w:r>
      <w:r w:rsidR="001C7D76" w:rsidRPr="00600D3E">
        <w:rPr>
          <w:lang w:val="en-US"/>
        </w:rPr>
        <w:t xml:space="preserve">human consequences of having been </w:t>
      </w:r>
      <w:r w:rsidR="00434343">
        <w:rPr>
          <w:lang w:val="en-US"/>
        </w:rPr>
        <w:t>“</w:t>
      </w:r>
      <w:r w:rsidR="001C7D76" w:rsidRPr="00600D3E">
        <w:rPr>
          <w:lang w:val="en-US"/>
        </w:rPr>
        <w:t>legally fatherless</w:t>
      </w:r>
      <w:r w:rsidR="00434343">
        <w:rPr>
          <w:lang w:val="en-US"/>
        </w:rPr>
        <w:t xml:space="preserve">” </w:t>
      </w:r>
      <w:r w:rsidR="001C7D76" w:rsidRPr="00600D3E">
        <w:rPr>
          <w:lang w:val="en-US"/>
        </w:rPr>
        <w:t>and offering assistance to help com</w:t>
      </w:r>
      <w:r w:rsidR="00B708F6">
        <w:rPr>
          <w:lang w:val="en-US"/>
        </w:rPr>
        <w:t>e</w:t>
      </w:r>
      <w:r w:rsidR="001C7D76" w:rsidRPr="00600D3E">
        <w:rPr>
          <w:lang w:val="en-US"/>
        </w:rPr>
        <w:t xml:space="preserve"> to terms with having been </w:t>
      </w:r>
      <w:r w:rsidR="00434343">
        <w:rPr>
          <w:lang w:val="en-US"/>
        </w:rPr>
        <w:t>“</w:t>
      </w:r>
      <w:r w:rsidR="001C7D76" w:rsidRPr="00600D3E">
        <w:rPr>
          <w:lang w:val="en-US"/>
        </w:rPr>
        <w:t>legally fatherless</w:t>
      </w:r>
      <w:r w:rsidR="00434343">
        <w:rPr>
          <w:lang w:val="en-US"/>
        </w:rPr>
        <w:t>”</w:t>
      </w:r>
      <w:r w:rsidR="001C7D76" w:rsidRPr="00600D3E">
        <w:rPr>
          <w:lang w:val="en-US"/>
        </w:rPr>
        <w:t>. A joint working group with participation of Greenlandic and Danish authorities has been established to</w:t>
      </w:r>
      <w:r w:rsidR="001C7D76">
        <w:rPr>
          <w:lang w:val="en-US"/>
        </w:rPr>
        <w:t xml:space="preserve"> </w:t>
      </w:r>
      <w:r w:rsidR="001C7D76" w:rsidRPr="00600D3E">
        <w:rPr>
          <w:lang w:val="en-US"/>
        </w:rPr>
        <w:t>follow up on these initiatives.</w:t>
      </w:r>
      <w:r w:rsidR="001C7D76">
        <w:rPr>
          <w:sz w:val="24"/>
          <w:szCs w:val="24"/>
          <w:lang w:val="en-US"/>
        </w:rPr>
        <w:t xml:space="preserve"> </w:t>
      </w:r>
    </w:p>
    <w:p w:rsidR="001C7D76" w:rsidRDefault="001E0E3B" w:rsidP="001E0E3B">
      <w:pPr>
        <w:pStyle w:val="HChG"/>
        <w:rPr>
          <w:lang w:val="en-US" w:eastAsia="nb-NO"/>
        </w:rPr>
      </w:pPr>
      <w:bookmarkStart w:id="16" w:name="_Toc430941902"/>
      <w:r>
        <w:rPr>
          <w:lang w:val="en-US" w:eastAsia="nb-NO"/>
        </w:rPr>
        <w:tab/>
        <w:t>IV.</w:t>
      </w:r>
      <w:r>
        <w:rPr>
          <w:lang w:val="en-US" w:eastAsia="nb-NO"/>
        </w:rPr>
        <w:tab/>
      </w:r>
      <w:r w:rsidR="001C7D76">
        <w:rPr>
          <w:lang w:val="en-US" w:eastAsia="nb-NO"/>
        </w:rPr>
        <w:t>Reporting on the Faroe Islands</w:t>
      </w:r>
      <w:bookmarkEnd w:id="16"/>
      <w:r w:rsidR="001C7D76" w:rsidRPr="00E93D0B">
        <w:rPr>
          <w:lang w:val="en-US" w:eastAsia="nb-NO"/>
        </w:rPr>
        <w:t xml:space="preserve"> </w:t>
      </w:r>
    </w:p>
    <w:p w:rsidR="001C7D76" w:rsidRDefault="00A11A9E" w:rsidP="00A11A9E">
      <w:pPr>
        <w:pStyle w:val="SingleTxtG"/>
        <w:rPr>
          <w:lang w:val="en-US"/>
        </w:rPr>
      </w:pPr>
      <w:r>
        <w:rPr>
          <w:lang w:val="en-US"/>
        </w:rPr>
        <w:t>227.</w:t>
      </w:r>
      <w:r>
        <w:rPr>
          <w:lang w:val="en-US"/>
        </w:rPr>
        <w:tab/>
      </w:r>
      <w:r w:rsidR="001C7D76" w:rsidRPr="00EA7BD5">
        <w:rPr>
          <w:lang w:val="en-US"/>
        </w:rPr>
        <w:t xml:space="preserve">Human rights and democracy are fundamental values in Faroese society. Our democratic system of government and legislative framework provide the basis for the protection of all rights. The ICCPR has been in effect on the Faroe Islands since 1973. </w:t>
      </w:r>
    </w:p>
    <w:p w:rsidR="001C7D76" w:rsidRDefault="00A11A9E" w:rsidP="00A11A9E">
      <w:pPr>
        <w:pStyle w:val="SingleTxtG"/>
        <w:rPr>
          <w:lang w:val="en-US"/>
        </w:rPr>
      </w:pPr>
      <w:r>
        <w:rPr>
          <w:lang w:val="en-US"/>
        </w:rPr>
        <w:t>228.</w:t>
      </w:r>
      <w:r>
        <w:rPr>
          <w:lang w:val="en-US"/>
        </w:rPr>
        <w:tab/>
      </w:r>
      <w:r w:rsidR="001C7D76" w:rsidRPr="00EA7BD5">
        <w:rPr>
          <w:lang w:val="en-US"/>
        </w:rPr>
        <w:t>Pursuant to section 5 of the Home Government Act, the legislative and executive powers of the Faroes are bound by obligations under international treaties and conventions, including the ICCPR. In the event that a law is found inconsistent with the above</w:t>
      </w:r>
      <w:r w:rsidR="00AB4681">
        <w:rPr>
          <w:lang w:val="en-US"/>
        </w:rPr>
        <w:t>-</w:t>
      </w:r>
      <w:r w:rsidR="001C7D76" w:rsidRPr="00EA7BD5">
        <w:rPr>
          <w:lang w:val="en-US"/>
        </w:rPr>
        <w:t xml:space="preserve">mentioned Covenant, the legislation, or a relevant part of it, cannot be applied, pursuant to section 55 of the present Parliamentary act on home rule in the Faroes. </w:t>
      </w:r>
    </w:p>
    <w:p w:rsidR="001C7D76" w:rsidRDefault="00A11A9E" w:rsidP="00A11A9E">
      <w:pPr>
        <w:pStyle w:val="SingleTxtG"/>
        <w:rPr>
          <w:lang w:val="en-US"/>
        </w:rPr>
      </w:pPr>
      <w:r>
        <w:rPr>
          <w:lang w:val="en-US"/>
        </w:rPr>
        <w:t>229.</w:t>
      </w:r>
      <w:r>
        <w:rPr>
          <w:lang w:val="en-US"/>
        </w:rPr>
        <w:tab/>
      </w:r>
      <w:r w:rsidR="001C7D76" w:rsidRPr="00EA7BD5">
        <w:rPr>
          <w:lang w:val="en-US"/>
        </w:rPr>
        <w:t xml:space="preserve">Promotion and protection of human rights is an ongoing process. The Faroese Government considers the monitoring process of the UN a crucial element in the promotion and further protection of human rights nationally and internationally. The Faroese Government recognizes the advice of the Committee and gives it serious consideration in policy development on matters concerning human rights. </w:t>
      </w:r>
    </w:p>
    <w:p w:rsidR="001C7D76" w:rsidRDefault="00A11A9E" w:rsidP="00A11A9E">
      <w:pPr>
        <w:pStyle w:val="SingleTxtG"/>
        <w:rPr>
          <w:lang w:val="en-US"/>
        </w:rPr>
      </w:pPr>
      <w:r>
        <w:rPr>
          <w:lang w:val="en-US"/>
        </w:rPr>
        <w:t>230.</w:t>
      </w:r>
      <w:r>
        <w:rPr>
          <w:lang w:val="en-US"/>
        </w:rPr>
        <w:tab/>
      </w:r>
      <w:r w:rsidR="001C7D76" w:rsidRPr="00EA7BD5">
        <w:rPr>
          <w:lang w:val="en-US"/>
        </w:rPr>
        <w:t xml:space="preserve">The Faroese Government made a substantial contribution to the fifth periodic report </w:t>
      </w:r>
      <w:r w:rsidR="00B708F6">
        <w:rPr>
          <w:lang w:val="en-US"/>
        </w:rPr>
        <w:t>of</w:t>
      </w:r>
      <w:r w:rsidR="00B708F6" w:rsidRPr="00EA7BD5">
        <w:rPr>
          <w:lang w:val="en-US"/>
        </w:rPr>
        <w:t xml:space="preserve"> </w:t>
      </w:r>
      <w:r w:rsidR="001C7D76" w:rsidRPr="00EA7BD5">
        <w:rPr>
          <w:lang w:val="en-US"/>
        </w:rPr>
        <w:t xml:space="preserve">the Kingdom of Denmark, with a detailed elaboration of all articles in the </w:t>
      </w:r>
      <w:r w:rsidR="00AB4681">
        <w:rPr>
          <w:lang w:val="en-US"/>
        </w:rPr>
        <w:t>above-mentioned</w:t>
      </w:r>
      <w:r w:rsidR="001C7D76" w:rsidRPr="00EA7BD5">
        <w:rPr>
          <w:lang w:val="en-US"/>
        </w:rPr>
        <w:t xml:space="preserve"> Covenant. In line with the new </w:t>
      </w:r>
      <w:r w:rsidR="004036AE">
        <w:rPr>
          <w:lang w:val="en-US"/>
        </w:rPr>
        <w:t>list of issues prior to</w:t>
      </w:r>
      <w:r w:rsidR="001C7D76" w:rsidRPr="00EA7BD5">
        <w:rPr>
          <w:lang w:val="en-US"/>
        </w:rPr>
        <w:t xml:space="preserve"> reporting procedure, only new legislative, administrative and policy measures taken and developments relating to the implementation of the Covenant since the last report will be described. In addition, the questions in the List of Issues concerning the Faroe Islands will be addressed. Below is a brief account of measures taken and developments in relation to the implementation of the Covenant since the fifth periodic report. </w:t>
      </w:r>
    </w:p>
    <w:p w:rsidR="001C7D76" w:rsidRDefault="001E0E3B" w:rsidP="00A11A9E">
      <w:pPr>
        <w:pStyle w:val="H1G"/>
        <w:rPr>
          <w:lang w:val="en-US"/>
        </w:rPr>
      </w:pPr>
      <w:r>
        <w:rPr>
          <w:lang w:val="en-US"/>
        </w:rPr>
        <w:tab/>
      </w:r>
      <w:r>
        <w:rPr>
          <w:lang w:val="en-US"/>
        </w:rPr>
        <w:tab/>
      </w:r>
      <w:r w:rsidR="001C7D76" w:rsidRPr="00EA7BD5">
        <w:rPr>
          <w:lang w:val="en-US"/>
        </w:rPr>
        <w:t>Preventing domestic violence</w:t>
      </w:r>
    </w:p>
    <w:p w:rsidR="001C7D76" w:rsidRDefault="00A11A9E" w:rsidP="00A11A9E">
      <w:pPr>
        <w:pStyle w:val="SingleTxtG"/>
        <w:rPr>
          <w:lang w:val="en-US"/>
        </w:rPr>
      </w:pPr>
      <w:r>
        <w:rPr>
          <w:lang w:val="en-US"/>
        </w:rPr>
        <w:t>231.</w:t>
      </w:r>
      <w:r>
        <w:rPr>
          <w:lang w:val="en-US"/>
        </w:rPr>
        <w:tab/>
      </w:r>
      <w:r w:rsidR="001C7D76" w:rsidRPr="00EA7BD5">
        <w:rPr>
          <w:lang w:val="en-US"/>
        </w:rPr>
        <w:t xml:space="preserve">In an effort to prevent and end domestic violence, the Faroese Government adopted an Action Plan to Prevent Violence in Permanent and Close Relationships in 2011. This is the first plan of its kind in the Faroe Islands. </w:t>
      </w:r>
    </w:p>
    <w:p w:rsidR="001C7D76" w:rsidRDefault="00A11A9E" w:rsidP="00A11A9E">
      <w:pPr>
        <w:pStyle w:val="SingleTxtG"/>
        <w:rPr>
          <w:lang w:val="en-US"/>
        </w:rPr>
      </w:pPr>
      <w:r>
        <w:rPr>
          <w:lang w:val="en-US"/>
        </w:rPr>
        <w:t>232.</w:t>
      </w:r>
      <w:r>
        <w:rPr>
          <w:lang w:val="en-US"/>
        </w:rPr>
        <w:tab/>
      </w:r>
      <w:r w:rsidR="001C7D76" w:rsidRPr="00EA7BD5">
        <w:rPr>
          <w:lang w:val="en-US"/>
        </w:rPr>
        <w:t xml:space="preserve">The Action Plan to Combat Violence is a 5-year plan which defines violence as physical, psychological, sexual, financial and material violence. The plan comprises 18 different initiatives, which can be categorized under four headings: 1) Information and prevention, 2) Assistance and support for the victim, 3) Initiatives targeting occupational groups, 4) Treatment options for those who perpetrate violence. </w:t>
      </w:r>
    </w:p>
    <w:p w:rsidR="001C7D76" w:rsidRDefault="00A11A9E" w:rsidP="00A11A9E">
      <w:pPr>
        <w:pStyle w:val="SingleTxtG"/>
        <w:rPr>
          <w:lang w:val="en-US"/>
        </w:rPr>
      </w:pPr>
      <w:r>
        <w:rPr>
          <w:lang w:val="en-US"/>
        </w:rPr>
        <w:t>233.</w:t>
      </w:r>
      <w:r>
        <w:rPr>
          <w:lang w:val="en-US"/>
        </w:rPr>
        <w:tab/>
      </w:r>
      <w:r w:rsidR="001C7D76" w:rsidRPr="00EA7BD5">
        <w:rPr>
          <w:lang w:val="en-US"/>
        </w:rPr>
        <w:t xml:space="preserve">Implementation of the Action Plan </w:t>
      </w:r>
      <w:r w:rsidR="00B708F6">
        <w:rPr>
          <w:lang w:val="en-US"/>
        </w:rPr>
        <w:t>was begun</w:t>
      </w:r>
      <w:r w:rsidR="00B708F6" w:rsidRPr="00EA7BD5">
        <w:rPr>
          <w:lang w:val="en-US"/>
        </w:rPr>
        <w:t xml:space="preserve"> </w:t>
      </w:r>
      <w:r w:rsidR="001C7D76" w:rsidRPr="00EA7BD5">
        <w:rPr>
          <w:lang w:val="en-US"/>
        </w:rPr>
        <w:t xml:space="preserve">in 2012 by a project coordinator who </w:t>
      </w:r>
      <w:r w:rsidR="00B708F6">
        <w:rPr>
          <w:lang w:val="en-US"/>
        </w:rPr>
        <w:t xml:space="preserve">will </w:t>
      </w:r>
      <w:r w:rsidR="001C7D76" w:rsidRPr="00EA7BD5">
        <w:rPr>
          <w:lang w:val="en-US"/>
        </w:rPr>
        <w:t>work full time for a period of 5 years altogether.</w:t>
      </w:r>
      <w:r w:rsidR="00AF685F">
        <w:rPr>
          <w:lang w:val="en-US"/>
        </w:rPr>
        <w:t xml:space="preserve"> </w:t>
      </w:r>
      <w:r w:rsidR="001C7D76" w:rsidRPr="00EA7BD5">
        <w:rPr>
          <w:lang w:val="en-US"/>
        </w:rPr>
        <w:t xml:space="preserve">A number of information campaigns have been launched to raise awareness and disseminate information about the issue of violence, and with a view to breaking the silence that has surrounded this issue. </w:t>
      </w:r>
    </w:p>
    <w:p w:rsidR="001C7D76" w:rsidRPr="006A0B95" w:rsidRDefault="00A11A9E" w:rsidP="00A11A9E">
      <w:pPr>
        <w:pStyle w:val="SingleTxtG"/>
        <w:rPr>
          <w:lang w:val="en-US"/>
        </w:rPr>
      </w:pPr>
      <w:r w:rsidRPr="006A0B95">
        <w:rPr>
          <w:lang w:val="en-US"/>
        </w:rPr>
        <w:t>234.</w:t>
      </w:r>
      <w:r w:rsidRPr="006A0B95">
        <w:rPr>
          <w:lang w:val="en-US"/>
        </w:rPr>
        <w:tab/>
      </w:r>
      <w:r w:rsidR="001C7D76" w:rsidRPr="006A0B95">
        <w:rPr>
          <w:lang w:val="en-US"/>
        </w:rPr>
        <w:t xml:space="preserve">Following the Action Plan to Combat Violence, the Parliament requested the Government to draft a programme concerning sexual abuse as well. The purpose of the programme is to establish what initiatives are required in order to prevent and treat sexual abuse. Among these initiatives are: </w:t>
      </w:r>
    </w:p>
    <w:p w:rsidR="001C7D76" w:rsidRDefault="00A11A9E" w:rsidP="00A11A9E">
      <w:pPr>
        <w:pStyle w:val="Bullet1G"/>
        <w:numPr>
          <w:ilvl w:val="0"/>
          <w:numId w:val="0"/>
        </w:numPr>
        <w:tabs>
          <w:tab w:val="left" w:pos="1701"/>
        </w:tabs>
        <w:ind w:left="1701" w:hanging="170"/>
        <w:rPr>
          <w:lang w:val="en-US"/>
        </w:rPr>
      </w:pPr>
      <w:r>
        <w:rPr>
          <w:lang w:val="en-US"/>
        </w:rPr>
        <w:t>•</w:t>
      </w:r>
      <w:r>
        <w:rPr>
          <w:lang w:val="en-US"/>
        </w:rPr>
        <w:tab/>
      </w:r>
      <w:r w:rsidR="001C7D76" w:rsidRPr="0094744B">
        <w:rPr>
          <w:lang w:val="en-US"/>
        </w:rPr>
        <w:t>Treatment offers to those who suffer delayed effects caused by sexual abuse in childhood and treatment offers to those who commit sexual abuse</w:t>
      </w:r>
    </w:p>
    <w:p w:rsidR="001C7D76" w:rsidRDefault="00A11A9E" w:rsidP="00A11A9E">
      <w:pPr>
        <w:pStyle w:val="Bullet1G"/>
        <w:numPr>
          <w:ilvl w:val="0"/>
          <w:numId w:val="0"/>
        </w:numPr>
        <w:tabs>
          <w:tab w:val="left" w:pos="1701"/>
        </w:tabs>
        <w:ind w:left="1701" w:hanging="170"/>
        <w:rPr>
          <w:lang w:val="en-US"/>
        </w:rPr>
      </w:pPr>
      <w:r>
        <w:rPr>
          <w:lang w:val="en-US"/>
        </w:rPr>
        <w:t>•</w:t>
      </w:r>
      <w:r>
        <w:rPr>
          <w:lang w:val="en-US"/>
        </w:rPr>
        <w:tab/>
      </w:r>
      <w:r w:rsidR="001C7D76" w:rsidRPr="0094744B">
        <w:rPr>
          <w:lang w:val="en-US"/>
        </w:rPr>
        <w:t xml:space="preserve">Public information including the obligation to report sexual abuse </w:t>
      </w:r>
    </w:p>
    <w:p w:rsidR="001C7D76" w:rsidRDefault="00A11A9E" w:rsidP="00A11A9E">
      <w:pPr>
        <w:pStyle w:val="Bullet1G"/>
        <w:numPr>
          <w:ilvl w:val="0"/>
          <w:numId w:val="0"/>
        </w:numPr>
        <w:tabs>
          <w:tab w:val="left" w:pos="1701"/>
        </w:tabs>
        <w:ind w:left="1701" w:hanging="170"/>
        <w:rPr>
          <w:lang w:val="en-US"/>
        </w:rPr>
      </w:pPr>
      <w:r>
        <w:rPr>
          <w:lang w:val="en-US"/>
        </w:rPr>
        <w:t>•</w:t>
      </w:r>
      <w:r>
        <w:rPr>
          <w:lang w:val="en-US"/>
        </w:rPr>
        <w:tab/>
      </w:r>
      <w:r w:rsidR="00B708F6">
        <w:rPr>
          <w:lang w:val="en-US"/>
        </w:rPr>
        <w:t>A c</w:t>
      </w:r>
      <w:r w:rsidR="001C7D76" w:rsidRPr="0094744B">
        <w:rPr>
          <w:lang w:val="en-US"/>
        </w:rPr>
        <w:t xml:space="preserve">hild protection policy in institutions/schools and information </w:t>
      </w:r>
      <w:r w:rsidR="00B708F6">
        <w:rPr>
          <w:lang w:val="en-US"/>
        </w:rPr>
        <w:t>for</w:t>
      </w:r>
      <w:r w:rsidR="001C7D76" w:rsidRPr="0094744B">
        <w:rPr>
          <w:lang w:val="en-US"/>
        </w:rPr>
        <w:t xml:space="preserve"> parents/children on how to protect children and where to turn for support and guidance</w:t>
      </w:r>
    </w:p>
    <w:p w:rsidR="001C7D76" w:rsidRPr="0094744B" w:rsidRDefault="00A11A9E" w:rsidP="00A11A9E">
      <w:pPr>
        <w:pStyle w:val="Bullet1G"/>
        <w:numPr>
          <w:ilvl w:val="0"/>
          <w:numId w:val="0"/>
        </w:numPr>
        <w:tabs>
          <w:tab w:val="left" w:pos="1701"/>
        </w:tabs>
        <w:ind w:left="1701" w:hanging="170"/>
        <w:rPr>
          <w:lang w:val="en-US"/>
        </w:rPr>
      </w:pPr>
      <w:r w:rsidRPr="0094744B">
        <w:rPr>
          <w:lang w:val="en-US"/>
        </w:rPr>
        <w:t>•</w:t>
      </w:r>
      <w:r w:rsidRPr="0094744B">
        <w:rPr>
          <w:lang w:val="en-US"/>
        </w:rPr>
        <w:tab/>
      </w:r>
      <w:r w:rsidR="001C7D76" w:rsidRPr="0094744B">
        <w:rPr>
          <w:lang w:val="en-US"/>
        </w:rPr>
        <w:t xml:space="preserve">The “Programme concerning sexual abuse” is currently </w:t>
      </w:r>
      <w:r w:rsidR="00B708F6">
        <w:rPr>
          <w:lang w:val="en-US"/>
        </w:rPr>
        <w:t>under</w:t>
      </w:r>
      <w:r w:rsidR="001C7D76" w:rsidRPr="0094744B">
        <w:rPr>
          <w:lang w:val="en-US"/>
        </w:rPr>
        <w:t xml:space="preserve"> political consideration and is expected to enter into force 1 January 2016.</w:t>
      </w:r>
    </w:p>
    <w:p w:rsidR="001C7D76" w:rsidRDefault="001E0E3B" w:rsidP="00A11A9E">
      <w:pPr>
        <w:pStyle w:val="H1G"/>
        <w:rPr>
          <w:lang w:val="en-US"/>
        </w:rPr>
      </w:pPr>
      <w:r>
        <w:rPr>
          <w:lang w:val="en-US"/>
        </w:rPr>
        <w:tab/>
      </w:r>
      <w:r>
        <w:rPr>
          <w:lang w:val="en-US"/>
        </w:rPr>
        <w:tab/>
      </w:r>
      <w:r w:rsidR="001C7D76" w:rsidRPr="00EA7BD5">
        <w:rPr>
          <w:lang w:val="en-US"/>
        </w:rPr>
        <w:t>Prohibiting corporal punishment of children</w:t>
      </w:r>
    </w:p>
    <w:p w:rsidR="001C7D76" w:rsidRPr="00A11A9E" w:rsidRDefault="00A11A9E" w:rsidP="00A11A9E">
      <w:pPr>
        <w:pStyle w:val="SingleTxtG"/>
        <w:rPr>
          <w:lang w:val="en-US"/>
        </w:rPr>
      </w:pPr>
      <w:r w:rsidRPr="00A11A9E">
        <w:rPr>
          <w:lang w:val="en-US"/>
        </w:rPr>
        <w:t>235.</w:t>
      </w:r>
      <w:r w:rsidRPr="00A11A9E">
        <w:rPr>
          <w:lang w:val="en-US"/>
        </w:rPr>
        <w:tab/>
      </w:r>
      <w:r w:rsidR="001C7D76" w:rsidRPr="00B708F6">
        <w:rPr>
          <w:lang w:val="en-US"/>
        </w:rPr>
        <w:t>The fifth periodic report stated</w:t>
      </w:r>
      <w:r w:rsidR="00D35E45">
        <w:rPr>
          <w:lang w:val="en-US"/>
        </w:rPr>
        <w:t>,</w:t>
      </w:r>
      <w:r w:rsidR="001C7D76" w:rsidRPr="00B708F6">
        <w:rPr>
          <w:lang w:val="en-US"/>
        </w:rPr>
        <w:t xml:space="preserve"> in </w:t>
      </w:r>
      <w:r w:rsidR="00EB3722">
        <w:rPr>
          <w:lang w:val="en-US"/>
        </w:rPr>
        <w:t>annex 2, paragraph</w:t>
      </w:r>
      <w:r w:rsidR="00EB3722" w:rsidRPr="00B708F6">
        <w:rPr>
          <w:lang w:val="en-US"/>
        </w:rPr>
        <w:t xml:space="preserve"> </w:t>
      </w:r>
      <w:r w:rsidR="001C7D76" w:rsidRPr="00B708F6">
        <w:rPr>
          <w:lang w:val="en-US"/>
        </w:rPr>
        <w:t>36</w:t>
      </w:r>
      <w:r w:rsidR="00EB3722">
        <w:rPr>
          <w:lang w:val="en-US"/>
        </w:rPr>
        <w:t>,</w:t>
      </w:r>
      <w:r w:rsidR="001C7D76" w:rsidRPr="00B708F6">
        <w:rPr>
          <w:lang w:val="en-US"/>
        </w:rPr>
        <w:t xml:space="preserve"> that “parents in the Faroes have a limited right to inflict corporal punishment on their children. In January 200</w:t>
      </w:r>
      <w:r w:rsidR="006949ED">
        <w:rPr>
          <w:lang w:val="en-US"/>
        </w:rPr>
        <w:t>3</w:t>
      </w:r>
      <w:r w:rsidR="001C7D76" w:rsidRPr="00B708F6">
        <w:rPr>
          <w:lang w:val="en-US"/>
        </w:rPr>
        <w:t>, the Parliament put forward a bill to prohibit such punishment, but the bill was not passed due to legal technicalities”.</w:t>
      </w:r>
      <w:r w:rsidR="00AF685F" w:rsidRPr="00B708F6">
        <w:rPr>
          <w:lang w:val="en-US"/>
        </w:rPr>
        <w:t xml:space="preserve"> </w:t>
      </w:r>
    </w:p>
    <w:p w:rsidR="001C7D76" w:rsidRPr="00A11A9E" w:rsidRDefault="00A11A9E" w:rsidP="00A11A9E">
      <w:pPr>
        <w:pStyle w:val="SingleTxtG"/>
        <w:rPr>
          <w:iCs/>
          <w:lang w:val="en-US"/>
        </w:rPr>
      </w:pPr>
      <w:r w:rsidRPr="00A11A9E">
        <w:rPr>
          <w:iCs/>
          <w:lang w:val="en-US"/>
        </w:rPr>
        <w:t>236.</w:t>
      </w:r>
      <w:r w:rsidRPr="00A11A9E">
        <w:rPr>
          <w:iCs/>
          <w:lang w:val="en-US"/>
        </w:rPr>
        <w:tab/>
      </w:r>
      <w:r w:rsidR="001C7D76" w:rsidRPr="009226F2">
        <w:rPr>
          <w:lang w:val="en-US"/>
        </w:rPr>
        <w:t xml:space="preserve">These amendments to the law have been adopted. Pursuant to Article 2 of the Danish Act on </w:t>
      </w:r>
      <w:r w:rsidR="001C7D76">
        <w:rPr>
          <w:lang w:val="en-US"/>
        </w:rPr>
        <w:t xml:space="preserve">Custody and Access </w:t>
      </w:r>
      <w:r w:rsidR="001C7D76" w:rsidRPr="009226F2">
        <w:rPr>
          <w:lang w:val="en-US"/>
        </w:rPr>
        <w:t>(</w:t>
      </w:r>
      <w:r w:rsidR="001C7D76" w:rsidRPr="009226F2">
        <w:rPr>
          <w:i/>
          <w:lang w:val="en-US"/>
        </w:rPr>
        <w:t>forældremyndighed og samvær</w:t>
      </w:r>
      <w:r w:rsidR="001C7D76" w:rsidRPr="009226F2">
        <w:rPr>
          <w:lang w:val="en-US"/>
        </w:rPr>
        <w:t>) adopted by Royal Decree Law number 228 of 15 March 2007 corporal punishment or other degrading treatment of children is now prohibited by law. Article 2 section 2 sets out the rights of the child</w:t>
      </w:r>
      <w:r w:rsidR="00B708F6">
        <w:rPr>
          <w:lang w:val="en-US"/>
        </w:rPr>
        <w:t>:</w:t>
      </w:r>
      <w:r w:rsidR="001C7D76" w:rsidRPr="009226F2">
        <w:rPr>
          <w:lang w:val="en-US"/>
        </w:rPr>
        <w:t xml:space="preserve"> </w:t>
      </w:r>
      <w:r w:rsidR="001C7D76" w:rsidRPr="00A11A9E">
        <w:rPr>
          <w:iCs/>
          <w:lang w:val="en-US"/>
        </w:rPr>
        <w:t xml:space="preserve">“the child has a right to care and safety. The child is to be treated with respect and must not be subjected to corporal punishment or other degrading treatment”. </w:t>
      </w:r>
    </w:p>
    <w:p w:rsidR="001C7D76" w:rsidRPr="009226F2" w:rsidRDefault="001E0E3B" w:rsidP="00A11A9E">
      <w:pPr>
        <w:pStyle w:val="H1G"/>
        <w:rPr>
          <w:lang w:val="en-US"/>
        </w:rPr>
      </w:pPr>
      <w:r>
        <w:rPr>
          <w:lang w:val="en-US"/>
        </w:rPr>
        <w:tab/>
      </w:r>
      <w:r>
        <w:rPr>
          <w:lang w:val="en-US"/>
        </w:rPr>
        <w:tab/>
      </w:r>
      <w:r w:rsidR="001C7D76" w:rsidRPr="009226F2">
        <w:rPr>
          <w:lang w:val="en-US"/>
        </w:rPr>
        <w:t xml:space="preserve">Coercive measures </w:t>
      </w:r>
    </w:p>
    <w:p w:rsidR="001C7D76" w:rsidRPr="00A11A9E" w:rsidRDefault="00A11A9E" w:rsidP="00A11A9E">
      <w:pPr>
        <w:pStyle w:val="SingleTxtG"/>
        <w:rPr>
          <w:lang w:val="en-US"/>
        </w:rPr>
      </w:pPr>
      <w:r w:rsidRPr="00A11A9E">
        <w:rPr>
          <w:lang w:val="en-US"/>
        </w:rPr>
        <w:t>237.</w:t>
      </w:r>
      <w:r w:rsidRPr="00A11A9E">
        <w:rPr>
          <w:lang w:val="en-US"/>
        </w:rPr>
        <w:tab/>
      </w:r>
      <w:r w:rsidR="001C7D76" w:rsidRPr="00042473">
        <w:rPr>
          <w:lang w:val="en-US"/>
        </w:rPr>
        <w:t>In the Faroes there are two institutions in which people can be detained. One is the prison in Tórshavn, and the other is the psychiatric ward of the National Hospital. In 2009, a new law on the use of coercive measures in psychiatry was adopted. This act replaced an act from</w:t>
      </w:r>
      <w:r w:rsidR="00B708F6">
        <w:rPr>
          <w:lang w:val="en-US"/>
        </w:rPr>
        <w:t xml:space="preserve"> </w:t>
      </w:r>
      <w:r w:rsidR="001C7D76" w:rsidRPr="00042473">
        <w:rPr>
          <w:lang w:val="en-US"/>
        </w:rPr>
        <w:t>1938, which needed amendment. The new law changes the rules concerning legal security for psychiatric patients concerning detention and coercive measures in hospital admission, stay and treatment at the psychiatric ward. As a main rule, patients are to give their consent to treatment, receive information and have the opportunity to influence their own treatment. Use of coercion only applies when it is deemed absolutely necessary in order to help the patient. Clear rules are set up for the use of coercion. With the entry into force of this act the Faroese rules are in line with the Danish rules concerning the use of coercive measures in psychiatry.</w:t>
      </w:r>
    </w:p>
    <w:p w:rsidR="001E0E3B" w:rsidRDefault="006A300B">
      <w:pPr>
        <w:pStyle w:val="H1G"/>
      </w:pPr>
      <w:r>
        <w:tab/>
      </w:r>
      <w:r>
        <w:tab/>
      </w:r>
      <w:r w:rsidR="001C7D76" w:rsidRPr="001E0E3B">
        <w:t xml:space="preserve">Questions in the </w:t>
      </w:r>
      <w:r w:rsidR="00B62BCB">
        <w:t>l</w:t>
      </w:r>
      <w:r w:rsidR="001C7D76" w:rsidRPr="001E0E3B">
        <w:t xml:space="preserve">ist of </w:t>
      </w:r>
      <w:r w:rsidR="00B62BCB">
        <w:t>i</w:t>
      </w:r>
      <w:r w:rsidR="001C7D76" w:rsidRPr="001E0E3B">
        <w:t>ssues</w:t>
      </w:r>
      <w:r w:rsidR="001E0E3B" w:rsidRPr="001E0E3B">
        <w:t xml:space="preserve"> </w:t>
      </w:r>
      <w:r w:rsidR="00B62BCB">
        <w:t>on the c</w:t>
      </w:r>
      <w:r w:rsidR="001C7D76" w:rsidRPr="001E0E3B">
        <w:t>onstitutional and legal framework within which the Covenant is implemented (</w:t>
      </w:r>
      <w:r w:rsidR="00FF0EDD">
        <w:t>list of issues</w:t>
      </w:r>
      <w:r w:rsidR="00D05938">
        <w:t>,</w:t>
      </w:r>
      <w:r w:rsidR="001C7D76" w:rsidRPr="001E0E3B">
        <w:t xml:space="preserve"> para. 7)</w:t>
      </w:r>
    </w:p>
    <w:p w:rsidR="001C7D76" w:rsidRPr="001E0E3B" w:rsidRDefault="00A11A9E" w:rsidP="00A11A9E">
      <w:pPr>
        <w:pStyle w:val="SingleTxtG"/>
      </w:pPr>
      <w:r w:rsidRPr="001E0E3B">
        <w:t>238.</w:t>
      </w:r>
      <w:r w:rsidRPr="001E0E3B">
        <w:tab/>
      </w:r>
      <w:r w:rsidR="001C7D76" w:rsidRPr="001E0E3B">
        <w:t xml:space="preserve">The Kingdom of Denmark is the Contracting Party to the ICCPR. The Faroe Islands are, however, a separate jurisdiction hence there are separate responses from the Faroe Islands in relation to the review of the implementation of the obligations under the Covenant in the territory of the Faroe Islands. The mandate does not extend to the Faroe Islands. </w:t>
      </w:r>
    </w:p>
    <w:p w:rsidR="001C7D76" w:rsidRPr="001E0E3B" w:rsidRDefault="00A11A9E" w:rsidP="00A11A9E">
      <w:pPr>
        <w:pStyle w:val="SingleTxtG"/>
      </w:pPr>
      <w:r w:rsidRPr="001E0E3B">
        <w:t>239.</w:t>
      </w:r>
      <w:r w:rsidRPr="001E0E3B">
        <w:tab/>
      </w:r>
      <w:r w:rsidR="001C7D76" w:rsidRPr="001E0E3B">
        <w:t xml:space="preserve">The Faroese Authorities have assumed legislative and administrative responsibility in a substantial number of fields since 1948. The Faroese Government considers that conferring the mandate to the DIHR to monitor human rights in the Faroe Islands would not be in line with the political aim of taking full responsibility for areas that affect the daily lives of Faroese citizens. </w:t>
      </w:r>
    </w:p>
    <w:p w:rsidR="001C7D76" w:rsidRPr="001E0E3B" w:rsidRDefault="00A11A9E" w:rsidP="00A11A9E">
      <w:pPr>
        <w:pStyle w:val="SingleTxtG"/>
      </w:pPr>
      <w:r w:rsidRPr="001E0E3B">
        <w:t>240.</w:t>
      </w:r>
      <w:r w:rsidRPr="001E0E3B">
        <w:tab/>
      </w:r>
      <w:r w:rsidR="001C7D76" w:rsidRPr="001E0E3B">
        <w:t xml:space="preserve">The Faroese Government attaches great importance to the protection of fundamental human rights, including the rights under the Covenant. Civil and political rights outlined in the Covenant are implemented through a wide range of legislative acts endorsed by the Parliament of the Faroe Islands. </w:t>
      </w:r>
    </w:p>
    <w:p w:rsidR="001C7D76" w:rsidRPr="001E0E3B" w:rsidRDefault="00A11A9E" w:rsidP="00A11A9E">
      <w:pPr>
        <w:pStyle w:val="SingleTxtG"/>
      </w:pPr>
      <w:r w:rsidRPr="001E0E3B">
        <w:t>241.</w:t>
      </w:r>
      <w:r w:rsidRPr="001E0E3B">
        <w:tab/>
      </w:r>
      <w:r w:rsidR="001C7D76" w:rsidRPr="001E0E3B">
        <w:t xml:space="preserve">The UN reporting procedure has been strengthened in recent years. The Faroese Government submits a Faroese report as a separate part of the Danish report to the UN and actively participates in the UN human rights hearing processes. </w:t>
      </w:r>
    </w:p>
    <w:p w:rsidR="001C7D76" w:rsidRPr="001E0E3B" w:rsidRDefault="00A11A9E" w:rsidP="00A11A9E">
      <w:pPr>
        <w:pStyle w:val="SingleTxtG"/>
      </w:pPr>
      <w:r w:rsidRPr="001E0E3B">
        <w:t>242.</w:t>
      </w:r>
      <w:r w:rsidRPr="001E0E3B">
        <w:tab/>
      </w:r>
      <w:r w:rsidR="001C7D76" w:rsidRPr="001E0E3B">
        <w:t xml:space="preserve">Initiatives are taken to encourage civil society, NGOs and other stakeholders to become actively involved in the reporting process. The involvement of NGOs and civil society has put human rights on the political agenda and made the general public more aware of their rights. </w:t>
      </w:r>
    </w:p>
    <w:p w:rsidR="001C7D76" w:rsidRPr="001E0E3B" w:rsidRDefault="00A11A9E" w:rsidP="00A11A9E">
      <w:pPr>
        <w:pStyle w:val="SingleTxtG"/>
      </w:pPr>
      <w:r w:rsidRPr="001E0E3B">
        <w:t>243.</w:t>
      </w:r>
      <w:r w:rsidRPr="001E0E3B">
        <w:tab/>
      </w:r>
      <w:r w:rsidR="001C7D76" w:rsidRPr="001E0E3B">
        <w:t xml:space="preserve">This means that human rights are monitored by NGOs in the Faroe Islands and through various initiatives and authorities e.g. the Parliamentary Ombudsman, the Gender Equality Commission, the Faroese Data Protection Agency etc. </w:t>
      </w:r>
    </w:p>
    <w:p w:rsidR="001C7D76" w:rsidRPr="0031484E" w:rsidRDefault="001E0E3B" w:rsidP="001E0E3B">
      <w:pPr>
        <w:pStyle w:val="H1G"/>
        <w:rPr>
          <w:lang w:val="en-US"/>
        </w:rPr>
      </w:pPr>
      <w:r>
        <w:rPr>
          <w:lang w:val="en-US"/>
        </w:rPr>
        <w:tab/>
      </w:r>
      <w:r>
        <w:rPr>
          <w:lang w:val="en-US"/>
        </w:rPr>
        <w:tab/>
      </w:r>
      <w:r w:rsidR="001C7D76" w:rsidRPr="0031484E">
        <w:rPr>
          <w:lang w:val="en-US"/>
        </w:rPr>
        <w:t>Equality between men and women, non-discrimination, and political participation of women (</w:t>
      </w:r>
      <w:r w:rsidR="00FF0EDD">
        <w:rPr>
          <w:lang w:val="en-US"/>
        </w:rPr>
        <w:t>list of issues</w:t>
      </w:r>
      <w:r w:rsidR="001A400D">
        <w:rPr>
          <w:lang w:val="en-US"/>
        </w:rPr>
        <w:t>,</w:t>
      </w:r>
      <w:r w:rsidR="001C7D76" w:rsidRPr="0031484E">
        <w:rPr>
          <w:lang w:val="en-US"/>
        </w:rPr>
        <w:t xml:space="preserve"> para. 10)</w:t>
      </w:r>
    </w:p>
    <w:p w:rsidR="001C7D76" w:rsidRDefault="001E0E3B">
      <w:pPr>
        <w:pStyle w:val="H23G"/>
        <w:rPr>
          <w:lang w:val="en-US"/>
        </w:rPr>
      </w:pPr>
      <w:r>
        <w:rPr>
          <w:lang w:val="en-US"/>
        </w:rPr>
        <w:tab/>
      </w:r>
      <w:r>
        <w:rPr>
          <w:lang w:val="en-US"/>
        </w:rPr>
        <w:tab/>
      </w:r>
      <w:r w:rsidR="001C7D76" w:rsidRPr="00042473">
        <w:rPr>
          <w:lang w:val="en-US"/>
        </w:rPr>
        <w:t xml:space="preserve">Political </w:t>
      </w:r>
      <w:r w:rsidR="00D74D61">
        <w:rPr>
          <w:lang w:val="en-US"/>
        </w:rPr>
        <w:t>r</w:t>
      </w:r>
      <w:r w:rsidR="001C7D76" w:rsidRPr="00042473">
        <w:rPr>
          <w:lang w:val="en-US"/>
        </w:rPr>
        <w:t>ights</w:t>
      </w:r>
    </w:p>
    <w:p w:rsidR="001C7D76" w:rsidRDefault="00A11A9E" w:rsidP="00A11A9E">
      <w:pPr>
        <w:pStyle w:val="SingleTxtG"/>
        <w:rPr>
          <w:lang w:val="en-US"/>
        </w:rPr>
      </w:pPr>
      <w:r>
        <w:rPr>
          <w:lang w:val="en-US"/>
        </w:rPr>
        <w:t>244.</w:t>
      </w:r>
      <w:r>
        <w:rPr>
          <w:lang w:val="en-US"/>
        </w:rPr>
        <w:tab/>
      </w:r>
      <w:r w:rsidR="001C7D76" w:rsidRPr="00042473">
        <w:rPr>
          <w:lang w:val="en-US"/>
        </w:rPr>
        <w:t xml:space="preserve">To address the identified low participation of women in politics, the Faroese Government established an independent committee, Demokratia, explicitly tasked with encouraging more women to participate in politics. </w:t>
      </w:r>
    </w:p>
    <w:p w:rsidR="001C7D76" w:rsidRDefault="00A11A9E" w:rsidP="00A11A9E">
      <w:pPr>
        <w:pStyle w:val="SingleTxtG"/>
        <w:rPr>
          <w:lang w:val="en-US"/>
        </w:rPr>
      </w:pPr>
      <w:r>
        <w:rPr>
          <w:lang w:val="en-US"/>
        </w:rPr>
        <w:t>245.</w:t>
      </w:r>
      <w:r>
        <w:rPr>
          <w:lang w:val="en-US"/>
        </w:rPr>
        <w:tab/>
      </w:r>
      <w:r w:rsidR="001C7D76" w:rsidRPr="00042473">
        <w:rPr>
          <w:lang w:val="en-US"/>
        </w:rPr>
        <w:t xml:space="preserve">Demokratia has sought to raise awareness of gender equality by organizing public events and debates, as well as actively attracting media coverage to the issue of gender equality. Furthermore, Demokratia, in close cooperation with the Gender Equality Commission, has engaged in active exchanges with the political system, as well as the general public. </w:t>
      </w:r>
    </w:p>
    <w:p w:rsidR="001E0E3B" w:rsidRDefault="00A11A9E" w:rsidP="00A11A9E">
      <w:pPr>
        <w:pStyle w:val="SingleTxtG"/>
        <w:rPr>
          <w:lang w:val="en-US"/>
        </w:rPr>
      </w:pPr>
      <w:r>
        <w:rPr>
          <w:lang w:val="en-US"/>
        </w:rPr>
        <w:t>246.</w:t>
      </w:r>
      <w:r>
        <w:rPr>
          <w:lang w:val="en-US"/>
        </w:rPr>
        <w:tab/>
      </w:r>
      <w:r w:rsidR="001C7D76" w:rsidRPr="008C4D6F">
        <w:rPr>
          <w:lang w:val="en-US"/>
        </w:rPr>
        <w:t xml:space="preserve">Demokratia remains active on many fronts, including education. </w:t>
      </w:r>
      <w:r w:rsidR="001C7D76" w:rsidRPr="00460F40">
        <w:rPr>
          <w:lang w:val="en-US"/>
        </w:rPr>
        <w:t>The number of women in parliament has increased significantly</w:t>
      </w:r>
      <w:r w:rsidR="001C7D76" w:rsidRPr="00D36393">
        <w:rPr>
          <w:lang w:val="en-US"/>
        </w:rPr>
        <w:t xml:space="preserve"> </w:t>
      </w:r>
      <w:r w:rsidR="001C7D76" w:rsidRPr="004021C7">
        <w:rPr>
          <w:lang w:val="en-US"/>
        </w:rPr>
        <w:t>s</w:t>
      </w:r>
      <w:r w:rsidR="001C7D76" w:rsidRPr="002A125E">
        <w:rPr>
          <w:lang w:val="en-US"/>
        </w:rPr>
        <w:t>ince Demokratia started their work in 2006 as table 1 shows. This indicates that Demokratia</w:t>
      </w:r>
      <w:r w:rsidR="001C7D76" w:rsidRPr="006F46BC">
        <w:rPr>
          <w:lang w:val="en-US"/>
        </w:rPr>
        <w:t xml:space="preserve">’s efforts to raise awareness of gender in politics </w:t>
      </w:r>
      <w:r w:rsidR="001C7D76" w:rsidRPr="00D36393">
        <w:rPr>
          <w:lang w:val="en-US"/>
        </w:rPr>
        <w:t>ha</w:t>
      </w:r>
      <w:r w:rsidR="001C7D76">
        <w:rPr>
          <w:lang w:val="en-US"/>
        </w:rPr>
        <w:t>ve</w:t>
      </w:r>
      <w:r w:rsidR="001C7D76" w:rsidRPr="00D36393">
        <w:rPr>
          <w:lang w:val="en-US"/>
        </w:rPr>
        <w:t xml:space="preserve"> worked.</w:t>
      </w:r>
      <w:r w:rsidR="001C7D76" w:rsidRPr="002A125E">
        <w:rPr>
          <w:lang w:val="en-US"/>
        </w:rPr>
        <w:t xml:space="preserve"> However, other initiatives may have contributed </w:t>
      </w:r>
      <w:r w:rsidR="001C7D76" w:rsidRPr="006F46BC">
        <w:rPr>
          <w:lang w:val="en-US"/>
        </w:rPr>
        <w:t>as has a more general trend towards modernization and equality, where the relatively high level of education among women is likely to have led to an increased level of female participation in politics.</w:t>
      </w:r>
    </w:p>
    <w:p w:rsidR="00254D8C" w:rsidRPr="006A300B" w:rsidRDefault="006105DB" w:rsidP="00A11A9E">
      <w:pPr>
        <w:pStyle w:val="H23G"/>
        <w:keepLines w:val="0"/>
      </w:pPr>
      <w:r>
        <w:rPr>
          <w:lang w:val="en-US"/>
        </w:rPr>
        <w:tab/>
      </w:r>
      <w:r>
        <w:rPr>
          <w:lang w:val="en-US"/>
        </w:rPr>
        <w:tab/>
      </w:r>
      <w:r w:rsidR="00254D8C" w:rsidRPr="00A11A9E">
        <w:rPr>
          <w:b w:val="0"/>
          <w:bCs/>
          <w:lang w:val="en-US"/>
        </w:rPr>
        <w:t>Table 1</w:t>
      </w:r>
      <w:r w:rsidRPr="00A11A9E">
        <w:rPr>
          <w:b w:val="0"/>
          <w:bCs/>
          <w:lang w:val="en-US"/>
        </w:rPr>
        <w:br/>
      </w:r>
      <w:r w:rsidR="00254D8C" w:rsidRPr="00254D8C">
        <w:rPr>
          <w:lang w:val="en-US"/>
        </w:rPr>
        <w:t xml:space="preserve">Percentage of women in the Faroese Parliament 1998-2011 </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701"/>
        <w:gridCol w:w="1701"/>
        <w:gridCol w:w="1701"/>
      </w:tblGrid>
      <w:tr w:rsidR="006105DB" w:rsidRPr="006105DB" w:rsidTr="00A11A9E">
        <w:trPr>
          <w:tblHeader/>
        </w:trPr>
        <w:tc>
          <w:tcPr>
            <w:tcW w:w="2268" w:type="dxa"/>
            <w:tcBorders>
              <w:top w:val="single" w:sz="4" w:space="0" w:color="auto"/>
              <w:bottom w:val="single" w:sz="12" w:space="0" w:color="auto"/>
            </w:tcBorders>
            <w:shd w:val="clear" w:color="auto" w:fill="auto"/>
            <w:vAlign w:val="bottom"/>
          </w:tcPr>
          <w:p w:rsidR="00254D8C" w:rsidRPr="006105DB" w:rsidRDefault="00254D8C" w:rsidP="00A11A9E">
            <w:pPr>
              <w:keepNext/>
              <w:suppressAutoHyphens w:val="0"/>
              <w:spacing w:before="80" w:after="80" w:line="200" w:lineRule="exact"/>
              <w:rPr>
                <w:i/>
                <w:sz w:val="16"/>
              </w:rPr>
            </w:pPr>
            <w:r w:rsidRPr="006105DB">
              <w:rPr>
                <w:i/>
                <w:sz w:val="16"/>
              </w:rPr>
              <w:t>Elections</w:t>
            </w:r>
          </w:p>
        </w:tc>
        <w:tc>
          <w:tcPr>
            <w:tcW w:w="1701" w:type="dxa"/>
            <w:tcBorders>
              <w:top w:val="single" w:sz="4" w:space="0" w:color="auto"/>
              <w:bottom w:val="single" w:sz="12" w:space="0" w:color="auto"/>
            </w:tcBorders>
            <w:shd w:val="clear" w:color="auto" w:fill="auto"/>
            <w:vAlign w:val="bottom"/>
          </w:tcPr>
          <w:p w:rsidR="00254D8C" w:rsidRPr="00A11A9E" w:rsidRDefault="00254D8C" w:rsidP="00A11A9E">
            <w:pPr>
              <w:keepNext/>
              <w:suppressAutoHyphens w:val="0"/>
              <w:spacing w:before="80" w:after="80" w:line="200" w:lineRule="exact"/>
              <w:jc w:val="right"/>
              <w:rPr>
                <w:b/>
                <w:bCs/>
                <w:i/>
                <w:sz w:val="16"/>
              </w:rPr>
            </w:pPr>
            <w:r w:rsidRPr="00A11A9E">
              <w:rPr>
                <w:b/>
                <w:bCs/>
                <w:i/>
                <w:sz w:val="16"/>
              </w:rPr>
              <w:t>Total</w:t>
            </w:r>
          </w:p>
        </w:tc>
        <w:tc>
          <w:tcPr>
            <w:tcW w:w="1701" w:type="dxa"/>
            <w:tcBorders>
              <w:top w:val="single" w:sz="4" w:space="0" w:color="auto"/>
              <w:bottom w:val="single" w:sz="12" w:space="0" w:color="auto"/>
            </w:tcBorders>
            <w:shd w:val="clear" w:color="auto" w:fill="auto"/>
            <w:vAlign w:val="bottom"/>
          </w:tcPr>
          <w:p w:rsidR="00254D8C" w:rsidRPr="006105DB" w:rsidRDefault="00254D8C" w:rsidP="00A11A9E">
            <w:pPr>
              <w:keepNext/>
              <w:suppressAutoHyphens w:val="0"/>
              <w:spacing w:before="80" w:after="80" w:line="200" w:lineRule="exact"/>
              <w:jc w:val="right"/>
              <w:rPr>
                <w:i/>
                <w:sz w:val="16"/>
              </w:rPr>
            </w:pPr>
            <w:r w:rsidRPr="006105DB">
              <w:rPr>
                <w:i/>
                <w:sz w:val="16"/>
              </w:rPr>
              <w:t>Women</w:t>
            </w:r>
          </w:p>
        </w:tc>
        <w:tc>
          <w:tcPr>
            <w:tcW w:w="1701" w:type="dxa"/>
            <w:tcBorders>
              <w:top w:val="single" w:sz="4" w:space="0" w:color="auto"/>
              <w:bottom w:val="single" w:sz="12" w:space="0" w:color="auto"/>
            </w:tcBorders>
            <w:shd w:val="clear" w:color="auto" w:fill="auto"/>
            <w:vAlign w:val="bottom"/>
          </w:tcPr>
          <w:p w:rsidR="00254D8C" w:rsidRPr="006105DB" w:rsidRDefault="00254D8C" w:rsidP="00A11A9E">
            <w:pPr>
              <w:keepNext/>
              <w:suppressAutoHyphens w:val="0"/>
              <w:spacing w:before="80" w:after="80" w:line="200" w:lineRule="exact"/>
              <w:jc w:val="right"/>
              <w:rPr>
                <w:i/>
                <w:sz w:val="16"/>
              </w:rPr>
            </w:pPr>
            <w:r w:rsidRPr="006105DB">
              <w:rPr>
                <w:i/>
                <w:sz w:val="16"/>
                <w:lang w:val="en-US"/>
              </w:rPr>
              <w:t>Women by %</w:t>
            </w:r>
          </w:p>
        </w:tc>
      </w:tr>
      <w:tr w:rsidR="006105DB" w:rsidRPr="006105DB" w:rsidTr="00A11A9E">
        <w:tc>
          <w:tcPr>
            <w:tcW w:w="2268" w:type="dxa"/>
            <w:tcBorders>
              <w:top w:val="single" w:sz="12" w:space="0" w:color="auto"/>
            </w:tcBorders>
            <w:shd w:val="clear" w:color="auto" w:fill="auto"/>
          </w:tcPr>
          <w:p w:rsidR="00254D8C" w:rsidRPr="00A11A9E" w:rsidRDefault="00254D8C" w:rsidP="00A11A9E">
            <w:pPr>
              <w:keepNext/>
              <w:suppressAutoHyphens w:val="0"/>
              <w:spacing w:before="40" w:after="40" w:line="220" w:lineRule="exact"/>
              <w:rPr>
                <w:sz w:val="18"/>
              </w:rPr>
            </w:pPr>
            <w:r w:rsidRPr="00A11A9E">
              <w:rPr>
                <w:sz w:val="18"/>
              </w:rPr>
              <w:t>2015</w:t>
            </w:r>
          </w:p>
        </w:tc>
        <w:tc>
          <w:tcPr>
            <w:tcW w:w="1701" w:type="dxa"/>
            <w:tcBorders>
              <w:top w:val="single" w:sz="12" w:space="0" w:color="auto"/>
            </w:tcBorders>
            <w:shd w:val="clear" w:color="auto" w:fill="auto"/>
            <w:vAlign w:val="bottom"/>
          </w:tcPr>
          <w:p w:rsidR="00254D8C" w:rsidRPr="00A11A9E" w:rsidRDefault="00254D8C" w:rsidP="00A11A9E">
            <w:pPr>
              <w:keepNext/>
              <w:suppressAutoHyphens w:val="0"/>
              <w:spacing w:before="40" w:after="40" w:line="220" w:lineRule="exact"/>
              <w:jc w:val="right"/>
              <w:rPr>
                <w:b/>
                <w:bCs/>
                <w:sz w:val="18"/>
              </w:rPr>
            </w:pPr>
            <w:r w:rsidRPr="00A11A9E">
              <w:rPr>
                <w:b/>
                <w:bCs/>
                <w:sz w:val="18"/>
              </w:rPr>
              <w:t>33</w:t>
            </w:r>
          </w:p>
        </w:tc>
        <w:tc>
          <w:tcPr>
            <w:tcW w:w="1701" w:type="dxa"/>
            <w:tcBorders>
              <w:top w:val="single" w:sz="12" w:space="0" w:color="auto"/>
            </w:tcBorders>
            <w:shd w:val="clear" w:color="auto" w:fill="auto"/>
            <w:vAlign w:val="bottom"/>
          </w:tcPr>
          <w:p w:rsidR="00254D8C" w:rsidRPr="00A11A9E" w:rsidRDefault="00254D8C" w:rsidP="00A11A9E">
            <w:pPr>
              <w:keepNext/>
              <w:suppressAutoHyphens w:val="0"/>
              <w:spacing w:before="40" w:after="40" w:line="220" w:lineRule="exact"/>
              <w:jc w:val="right"/>
              <w:rPr>
                <w:sz w:val="18"/>
              </w:rPr>
            </w:pPr>
            <w:r w:rsidRPr="00A11A9E">
              <w:rPr>
                <w:sz w:val="18"/>
              </w:rPr>
              <w:t>11</w:t>
            </w:r>
          </w:p>
        </w:tc>
        <w:tc>
          <w:tcPr>
            <w:tcW w:w="1701" w:type="dxa"/>
            <w:tcBorders>
              <w:top w:val="single" w:sz="12" w:space="0" w:color="auto"/>
            </w:tcBorders>
            <w:shd w:val="clear" w:color="auto" w:fill="auto"/>
            <w:vAlign w:val="bottom"/>
          </w:tcPr>
          <w:p w:rsidR="00254D8C" w:rsidRPr="00A11A9E" w:rsidRDefault="00254D8C" w:rsidP="00A11A9E">
            <w:pPr>
              <w:keepNext/>
              <w:suppressAutoHyphens w:val="0"/>
              <w:spacing w:before="40" w:after="40" w:line="220" w:lineRule="exact"/>
              <w:jc w:val="right"/>
              <w:rPr>
                <w:sz w:val="18"/>
              </w:rPr>
            </w:pPr>
            <w:r w:rsidRPr="00A11A9E">
              <w:rPr>
                <w:sz w:val="18"/>
              </w:rPr>
              <w:t>36.3%</w:t>
            </w:r>
          </w:p>
        </w:tc>
      </w:tr>
      <w:tr w:rsidR="006105DB" w:rsidRPr="006105DB" w:rsidTr="00A11A9E">
        <w:tc>
          <w:tcPr>
            <w:tcW w:w="2268" w:type="dxa"/>
            <w:shd w:val="clear" w:color="auto" w:fill="auto"/>
          </w:tcPr>
          <w:p w:rsidR="00254D8C" w:rsidRPr="00A11A9E" w:rsidRDefault="00254D8C" w:rsidP="00A11A9E">
            <w:pPr>
              <w:suppressAutoHyphens w:val="0"/>
              <w:spacing w:before="40" w:after="40" w:line="220" w:lineRule="exact"/>
              <w:rPr>
                <w:sz w:val="18"/>
              </w:rPr>
            </w:pPr>
            <w:r w:rsidRPr="00A11A9E">
              <w:rPr>
                <w:sz w:val="18"/>
              </w:rPr>
              <w:t>2011</w:t>
            </w:r>
          </w:p>
        </w:tc>
        <w:tc>
          <w:tcPr>
            <w:tcW w:w="1701" w:type="dxa"/>
            <w:shd w:val="clear" w:color="auto" w:fill="auto"/>
            <w:vAlign w:val="bottom"/>
          </w:tcPr>
          <w:p w:rsidR="00254D8C" w:rsidRPr="00A11A9E" w:rsidRDefault="00254D8C" w:rsidP="00A11A9E">
            <w:pPr>
              <w:suppressAutoHyphens w:val="0"/>
              <w:spacing w:before="40" w:after="40" w:line="220" w:lineRule="exact"/>
              <w:jc w:val="right"/>
              <w:rPr>
                <w:b/>
                <w:bCs/>
                <w:sz w:val="18"/>
              </w:rPr>
            </w:pPr>
            <w:r w:rsidRPr="00A11A9E">
              <w:rPr>
                <w:b/>
                <w:bCs/>
                <w:sz w:val="18"/>
              </w:rPr>
              <w:t>33</w:t>
            </w:r>
          </w:p>
        </w:tc>
        <w:tc>
          <w:tcPr>
            <w:tcW w:w="1701" w:type="dxa"/>
            <w:shd w:val="clear" w:color="auto" w:fill="auto"/>
            <w:vAlign w:val="bottom"/>
          </w:tcPr>
          <w:p w:rsidR="00254D8C" w:rsidRPr="00A11A9E" w:rsidRDefault="00254D8C" w:rsidP="00A11A9E">
            <w:pPr>
              <w:suppressAutoHyphens w:val="0"/>
              <w:spacing w:before="40" w:after="40" w:line="220" w:lineRule="exact"/>
              <w:jc w:val="right"/>
              <w:rPr>
                <w:sz w:val="18"/>
              </w:rPr>
            </w:pPr>
            <w:r w:rsidRPr="00A11A9E">
              <w:rPr>
                <w:sz w:val="18"/>
              </w:rPr>
              <w:t>10</w:t>
            </w:r>
          </w:p>
        </w:tc>
        <w:tc>
          <w:tcPr>
            <w:tcW w:w="1701" w:type="dxa"/>
            <w:shd w:val="clear" w:color="auto" w:fill="auto"/>
            <w:vAlign w:val="bottom"/>
          </w:tcPr>
          <w:p w:rsidR="00254D8C" w:rsidRPr="00A11A9E" w:rsidRDefault="00254D8C" w:rsidP="00A11A9E">
            <w:pPr>
              <w:suppressAutoHyphens w:val="0"/>
              <w:spacing w:before="40" w:after="40" w:line="220" w:lineRule="exact"/>
              <w:jc w:val="right"/>
              <w:rPr>
                <w:sz w:val="18"/>
              </w:rPr>
            </w:pPr>
            <w:r w:rsidRPr="00A11A9E">
              <w:rPr>
                <w:sz w:val="18"/>
              </w:rPr>
              <w:t>30.3%</w:t>
            </w:r>
          </w:p>
        </w:tc>
      </w:tr>
      <w:tr w:rsidR="006105DB" w:rsidRPr="006105DB" w:rsidTr="00A11A9E">
        <w:tc>
          <w:tcPr>
            <w:tcW w:w="2268" w:type="dxa"/>
            <w:shd w:val="clear" w:color="auto" w:fill="auto"/>
          </w:tcPr>
          <w:p w:rsidR="00254D8C" w:rsidRPr="00A11A9E" w:rsidRDefault="00254D8C" w:rsidP="00A11A9E">
            <w:pPr>
              <w:suppressAutoHyphens w:val="0"/>
              <w:spacing w:before="40" w:after="40" w:line="220" w:lineRule="exact"/>
              <w:rPr>
                <w:sz w:val="18"/>
              </w:rPr>
            </w:pPr>
            <w:r w:rsidRPr="00A11A9E">
              <w:rPr>
                <w:sz w:val="18"/>
              </w:rPr>
              <w:t>2008</w:t>
            </w:r>
          </w:p>
        </w:tc>
        <w:tc>
          <w:tcPr>
            <w:tcW w:w="1701" w:type="dxa"/>
            <w:shd w:val="clear" w:color="auto" w:fill="auto"/>
            <w:vAlign w:val="bottom"/>
          </w:tcPr>
          <w:p w:rsidR="00254D8C" w:rsidRPr="00A11A9E" w:rsidRDefault="00254D8C" w:rsidP="00A11A9E">
            <w:pPr>
              <w:suppressAutoHyphens w:val="0"/>
              <w:spacing w:before="40" w:after="40" w:line="220" w:lineRule="exact"/>
              <w:jc w:val="right"/>
              <w:rPr>
                <w:b/>
                <w:bCs/>
                <w:sz w:val="18"/>
              </w:rPr>
            </w:pPr>
            <w:r w:rsidRPr="00A11A9E">
              <w:rPr>
                <w:b/>
                <w:bCs/>
                <w:sz w:val="18"/>
              </w:rPr>
              <w:t>33</w:t>
            </w:r>
          </w:p>
        </w:tc>
        <w:tc>
          <w:tcPr>
            <w:tcW w:w="1701" w:type="dxa"/>
            <w:shd w:val="clear" w:color="auto" w:fill="auto"/>
            <w:vAlign w:val="bottom"/>
          </w:tcPr>
          <w:p w:rsidR="00254D8C" w:rsidRPr="00A11A9E" w:rsidRDefault="00254D8C" w:rsidP="00A11A9E">
            <w:pPr>
              <w:suppressAutoHyphens w:val="0"/>
              <w:spacing w:before="40" w:after="40" w:line="220" w:lineRule="exact"/>
              <w:jc w:val="right"/>
              <w:rPr>
                <w:sz w:val="18"/>
              </w:rPr>
            </w:pPr>
            <w:r w:rsidRPr="00A11A9E">
              <w:rPr>
                <w:sz w:val="18"/>
              </w:rPr>
              <w:t>7</w:t>
            </w:r>
          </w:p>
        </w:tc>
        <w:tc>
          <w:tcPr>
            <w:tcW w:w="1701" w:type="dxa"/>
            <w:shd w:val="clear" w:color="auto" w:fill="auto"/>
            <w:vAlign w:val="bottom"/>
          </w:tcPr>
          <w:p w:rsidR="00254D8C" w:rsidRPr="00A11A9E" w:rsidRDefault="00254D8C" w:rsidP="00A11A9E">
            <w:pPr>
              <w:suppressAutoHyphens w:val="0"/>
              <w:spacing w:before="40" w:after="40" w:line="220" w:lineRule="exact"/>
              <w:jc w:val="right"/>
              <w:rPr>
                <w:sz w:val="18"/>
              </w:rPr>
            </w:pPr>
            <w:r w:rsidRPr="00A11A9E">
              <w:rPr>
                <w:sz w:val="18"/>
              </w:rPr>
              <w:t>21.2%</w:t>
            </w:r>
          </w:p>
        </w:tc>
      </w:tr>
      <w:tr w:rsidR="006105DB" w:rsidRPr="006105DB" w:rsidTr="00A11A9E">
        <w:tc>
          <w:tcPr>
            <w:tcW w:w="2268" w:type="dxa"/>
            <w:shd w:val="clear" w:color="auto" w:fill="auto"/>
          </w:tcPr>
          <w:p w:rsidR="00254D8C" w:rsidRPr="00A11A9E" w:rsidRDefault="00254D8C" w:rsidP="00A11A9E">
            <w:pPr>
              <w:suppressAutoHyphens w:val="0"/>
              <w:spacing w:before="40" w:after="40" w:line="220" w:lineRule="exact"/>
              <w:rPr>
                <w:sz w:val="18"/>
              </w:rPr>
            </w:pPr>
            <w:r w:rsidRPr="00A11A9E">
              <w:rPr>
                <w:sz w:val="18"/>
              </w:rPr>
              <w:t>2004</w:t>
            </w:r>
          </w:p>
        </w:tc>
        <w:tc>
          <w:tcPr>
            <w:tcW w:w="1701" w:type="dxa"/>
            <w:shd w:val="clear" w:color="auto" w:fill="auto"/>
            <w:vAlign w:val="bottom"/>
          </w:tcPr>
          <w:p w:rsidR="00254D8C" w:rsidRPr="00A11A9E" w:rsidRDefault="00254D8C" w:rsidP="00A11A9E">
            <w:pPr>
              <w:suppressAutoHyphens w:val="0"/>
              <w:spacing w:before="40" w:after="40" w:line="220" w:lineRule="exact"/>
              <w:jc w:val="right"/>
              <w:rPr>
                <w:b/>
                <w:bCs/>
                <w:sz w:val="18"/>
              </w:rPr>
            </w:pPr>
            <w:r w:rsidRPr="00A11A9E">
              <w:rPr>
                <w:b/>
                <w:bCs/>
                <w:sz w:val="18"/>
              </w:rPr>
              <w:t>32</w:t>
            </w:r>
          </w:p>
        </w:tc>
        <w:tc>
          <w:tcPr>
            <w:tcW w:w="1701" w:type="dxa"/>
            <w:shd w:val="clear" w:color="auto" w:fill="auto"/>
            <w:vAlign w:val="bottom"/>
          </w:tcPr>
          <w:p w:rsidR="00254D8C" w:rsidRPr="00A11A9E" w:rsidRDefault="00254D8C" w:rsidP="00A11A9E">
            <w:pPr>
              <w:suppressAutoHyphens w:val="0"/>
              <w:spacing w:before="40" w:after="40" w:line="220" w:lineRule="exact"/>
              <w:jc w:val="right"/>
              <w:rPr>
                <w:sz w:val="18"/>
              </w:rPr>
            </w:pPr>
            <w:r w:rsidRPr="00A11A9E">
              <w:rPr>
                <w:sz w:val="18"/>
              </w:rPr>
              <w:t>7</w:t>
            </w:r>
          </w:p>
        </w:tc>
        <w:tc>
          <w:tcPr>
            <w:tcW w:w="1701" w:type="dxa"/>
            <w:shd w:val="clear" w:color="auto" w:fill="auto"/>
            <w:vAlign w:val="bottom"/>
          </w:tcPr>
          <w:p w:rsidR="00254D8C" w:rsidRPr="00A11A9E" w:rsidRDefault="00254D8C" w:rsidP="00A11A9E">
            <w:pPr>
              <w:suppressAutoHyphens w:val="0"/>
              <w:spacing w:before="40" w:after="40" w:line="220" w:lineRule="exact"/>
              <w:jc w:val="right"/>
              <w:rPr>
                <w:sz w:val="18"/>
              </w:rPr>
            </w:pPr>
            <w:r w:rsidRPr="00A11A9E">
              <w:rPr>
                <w:sz w:val="18"/>
              </w:rPr>
              <w:t>21.2%</w:t>
            </w:r>
          </w:p>
        </w:tc>
      </w:tr>
      <w:tr w:rsidR="006105DB" w:rsidRPr="006105DB" w:rsidTr="00A11A9E">
        <w:tc>
          <w:tcPr>
            <w:tcW w:w="2268" w:type="dxa"/>
            <w:shd w:val="clear" w:color="auto" w:fill="auto"/>
          </w:tcPr>
          <w:p w:rsidR="00254D8C" w:rsidRPr="00A11A9E" w:rsidRDefault="00254D8C" w:rsidP="00A11A9E">
            <w:pPr>
              <w:suppressAutoHyphens w:val="0"/>
              <w:spacing w:before="40" w:after="40" w:line="220" w:lineRule="exact"/>
              <w:rPr>
                <w:sz w:val="18"/>
              </w:rPr>
            </w:pPr>
            <w:r w:rsidRPr="00A11A9E">
              <w:rPr>
                <w:sz w:val="18"/>
              </w:rPr>
              <w:t>2002</w:t>
            </w:r>
          </w:p>
        </w:tc>
        <w:tc>
          <w:tcPr>
            <w:tcW w:w="1701" w:type="dxa"/>
            <w:shd w:val="clear" w:color="auto" w:fill="auto"/>
            <w:vAlign w:val="bottom"/>
          </w:tcPr>
          <w:p w:rsidR="00254D8C" w:rsidRPr="00A11A9E" w:rsidRDefault="00254D8C" w:rsidP="00A11A9E">
            <w:pPr>
              <w:suppressAutoHyphens w:val="0"/>
              <w:spacing w:before="40" w:after="40" w:line="220" w:lineRule="exact"/>
              <w:jc w:val="right"/>
              <w:rPr>
                <w:b/>
                <w:bCs/>
                <w:sz w:val="18"/>
              </w:rPr>
            </w:pPr>
            <w:r w:rsidRPr="00A11A9E">
              <w:rPr>
                <w:b/>
                <w:bCs/>
                <w:sz w:val="18"/>
              </w:rPr>
              <w:t>32</w:t>
            </w:r>
          </w:p>
        </w:tc>
        <w:tc>
          <w:tcPr>
            <w:tcW w:w="1701" w:type="dxa"/>
            <w:shd w:val="clear" w:color="auto" w:fill="auto"/>
            <w:vAlign w:val="bottom"/>
          </w:tcPr>
          <w:p w:rsidR="00254D8C" w:rsidRPr="00A11A9E" w:rsidRDefault="00254D8C" w:rsidP="00A11A9E">
            <w:pPr>
              <w:suppressAutoHyphens w:val="0"/>
              <w:spacing w:before="40" w:after="40" w:line="220" w:lineRule="exact"/>
              <w:jc w:val="right"/>
              <w:rPr>
                <w:sz w:val="18"/>
              </w:rPr>
            </w:pPr>
            <w:r w:rsidRPr="00A11A9E">
              <w:rPr>
                <w:sz w:val="18"/>
              </w:rPr>
              <w:t>4</w:t>
            </w:r>
          </w:p>
        </w:tc>
        <w:tc>
          <w:tcPr>
            <w:tcW w:w="1701" w:type="dxa"/>
            <w:shd w:val="clear" w:color="auto" w:fill="auto"/>
            <w:vAlign w:val="bottom"/>
          </w:tcPr>
          <w:p w:rsidR="00254D8C" w:rsidRPr="00A11A9E" w:rsidRDefault="00254D8C" w:rsidP="00A11A9E">
            <w:pPr>
              <w:suppressAutoHyphens w:val="0"/>
              <w:spacing w:before="40" w:after="40" w:line="220" w:lineRule="exact"/>
              <w:jc w:val="right"/>
              <w:rPr>
                <w:sz w:val="18"/>
              </w:rPr>
            </w:pPr>
            <w:r w:rsidRPr="00A11A9E">
              <w:rPr>
                <w:sz w:val="18"/>
              </w:rPr>
              <w:t>12.5%</w:t>
            </w:r>
          </w:p>
        </w:tc>
      </w:tr>
      <w:tr w:rsidR="006105DB" w:rsidRPr="006105DB" w:rsidTr="00A11A9E">
        <w:tc>
          <w:tcPr>
            <w:tcW w:w="2268" w:type="dxa"/>
            <w:shd w:val="clear" w:color="auto" w:fill="auto"/>
          </w:tcPr>
          <w:p w:rsidR="00254D8C" w:rsidRPr="00A11A9E" w:rsidRDefault="00254D8C" w:rsidP="00A11A9E">
            <w:pPr>
              <w:suppressAutoHyphens w:val="0"/>
              <w:spacing w:before="40" w:after="40" w:line="220" w:lineRule="exact"/>
              <w:rPr>
                <w:sz w:val="18"/>
              </w:rPr>
            </w:pPr>
            <w:r w:rsidRPr="00A11A9E">
              <w:rPr>
                <w:sz w:val="18"/>
              </w:rPr>
              <w:t>1998</w:t>
            </w:r>
          </w:p>
        </w:tc>
        <w:tc>
          <w:tcPr>
            <w:tcW w:w="1701" w:type="dxa"/>
            <w:shd w:val="clear" w:color="auto" w:fill="auto"/>
            <w:vAlign w:val="bottom"/>
          </w:tcPr>
          <w:p w:rsidR="00254D8C" w:rsidRPr="00A11A9E" w:rsidRDefault="00254D8C" w:rsidP="00A11A9E">
            <w:pPr>
              <w:suppressAutoHyphens w:val="0"/>
              <w:spacing w:before="40" w:after="40" w:line="220" w:lineRule="exact"/>
              <w:jc w:val="right"/>
              <w:rPr>
                <w:b/>
                <w:bCs/>
                <w:sz w:val="18"/>
              </w:rPr>
            </w:pPr>
            <w:r w:rsidRPr="00A11A9E">
              <w:rPr>
                <w:b/>
                <w:bCs/>
                <w:sz w:val="18"/>
              </w:rPr>
              <w:t>32</w:t>
            </w:r>
          </w:p>
        </w:tc>
        <w:tc>
          <w:tcPr>
            <w:tcW w:w="1701" w:type="dxa"/>
            <w:shd w:val="clear" w:color="auto" w:fill="auto"/>
            <w:vAlign w:val="bottom"/>
          </w:tcPr>
          <w:p w:rsidR="00254D8C" w:rsidRPr="00A11A9E" w:rsidRDefault="00254D8C" w:rsidP="00A11A9E">
            <w:pPr>
              <w:suppressAutoHyphens w:val="0"/>
              <w:spacing w:before="40" w:after="40" w:line="220" w:lineRule="exact"/>
              <w:jc w:val="right"/>
              <w:rPr>
                <w:sz w:val="18"/>
              </w:rPr>
            </w:pPr>
            <w:r w:rsidRPr="00A11A9E">
              <w:rPr>
                <w:sz w:val="18"/>
              </w:rPr>
              <w:t>4</w:t>
            </w:r>
          </w:p>
        </w:tc>
        <w:tc>
          <w:tcPr>
            <w:tcW w:w="1701" w:type="dxa"/>
            <w:shd w:val="clear" w:color="auto" w:fill="auto"/>
            <w:vAlign w:val="bottom"/>
          </w:tcPr>
          <w:p w:rsidR="00254D8C" w:rsidRPr="00A11A9E" w:rsidRDefault="00254D8C" w:rsidP="00A11A9E">
            <w:pPr>
              <w:suppressAutoHyphens w:val="0"/>
              <w:spacing w:before="40" w:after="40" w:line="220" w:lineRule="exact"/>
              <w:jc w:val="right"/>
              <w:rPr>
                <w:sz w:val="18"/>
              </w:rPr>
            </w:pPr>
            <w:r w:rsidRPr="00A11A9E">
              <w:rPr>
                <w:sz w:val="18"/>
              </w:rPr>
              <w:t>12.5%</w:t>
            </w:r>
          </w:p>
        </w:tc>
      </w:tr>
    </w:tbl>
    <w:p w:rsidR="006105DB" w:rsidRPr="00A11A9E" w:rsidRDefault="006105DB" w:rsidP="00A11A9E">
      <w:pPr>
        <w:pStyle w:val="SingleTxtG"/>
        <w:spacing w:before="120" w:after="240"/>
        <w:ind w:firstLine="170"/>
        <w:jc w:val="left"/>
        <w:rPr>
          <w:sz w:val="18"/>
          <w:szCs w:val="18"/>
          <w:lang w:val="en-US"/>
        </w:rPr>
      </w:pPr>
      <w:r w:rsidRPr="00A11A9E">
        <w:rPr>
          <w:i/>
          <w:iCs/>
          <w:sz w:val="18"/>
          <w:szCs w:val="18"/>
          <w:lang w:val="en-US"/>
        </w:rPr>
        <w:t>Source</w:t>
      </w:r>
      <w:r w:rsidRPr="00A11A9E">
        <w:rPr>
          <w:sz w:val="18"/>
          <w:szCs w:val="18"/>
          <w:lang w:val="en-US"/>
        </w:rPr>
        <w:t>: Statistics Faroe Islands.</w:t>
      </w:r>
    </w:p>
    <w:p w:rsidR="001C7D76" w:rsidRDefault="00A11A9E" w:rsidP="00A11A9E">
      <w:pPr>
        <w:pStyle w:val="SingleTxtG"/>
        <w:rPr>
          <w:lang w:val="en-US"/>
        </w:rPr>
      </w:pPr>
      <w:r>
        <w:rPr>
          <w:lang w:val="en-US"/>
        </w:rPr>
        <w:t>247.</w:t>
      </w:r>
      <w:r>
        <w:rPr>
          <w:lang w:val="en-US"/>
        </w:rPr>
        <w:tab/>
      </w:r>
      <w:r w:rsidR="001C7D76" w:rsidRPr="0096261F">
        <w:rPr>
          <w:lang w:val="en-US"/>
        </w:rPr>
        <w:t xml:space="preserve">At the general elections in </w:t>
      </w:r>
      <w:r w:rsidR="001C7D76">
        <w:rPr>
          <w:lang w:val="en-US"/>
        </w:rPr>
        <w:t>September 2015</w:t>
      </w:r>
      <w:r w:rsidR="001C7D76" w:rsidRPr="0096261F">
        <w:rPr>
          <w:lang w:val="en-US"/>
        </w:rPr>
        <w:t>, the share of women in Parliament rose from 21.2</w:t>
      </w:r>
      <w:r w:rsidR="00D74D61">
        <w:rPr>
          <w:lang w:val="en-US"/>
        </w:rPr>
        <w:t xml:space="preserve"> per cent</w:t>
      </w:r>
      <w:r w:rsidR="001C7D76" w:rsidRPr="0096261F">
        <w:rPr>
          <w:lang w:val="en-US"/>
        </w:rPr>
        <w:t xml:space="preserve"> to 30.3</w:t>
      </w:r>
      <w:r w:rsidR="00D74D61">
        <w:rPr>
          <w:lang w:val="en-US"/>
        </w:rPr>
        <w:t xml:space="preserve"> per cent</w:t>
      </w:r>
      <w:r w:rsidR="001C7D76" w:rsidRPr="0096261F">
        <w:rPr>
          <w:lang w:val="en-US"/>
        </w:rPr>
        <w:t>. Over the past three general elections, the share of women in the Faroese Parliament has gone from less than 10</w:t>
      </w:r>
      <w:r w:rsidR="00D74D61">
        <w:rPr>
          <w:lang w:val="en-US"/>
        </w:rPr>
        <w:t xml:space="preserve"> per cent</w:t>
      </w:r>
      <w:r w:rsidR="001C7D76" w:rsidRPr="0096261F">
        <w:rPr>
          <w:lang w:val="en-US"/>
        </w:rPr>
        <w:t xml:space="preserve"> to over 30</w:t>
      </w:r>
      <w:r w:rsidR="00D74D61">
        <w:rPr>
          <w:lang w:val="en-US"/>
        </w:rPr>
        <w:t xml:space="preserve"> per cent</w:t>
      </w:r>
      <w:r w:rsidR="001C7D76" w:rsidRPr="0096261F">
        <w:rPr>
          <w:lang w:val="en-US"/>
        </w:rPr>
        <w:t>, i.e. more than tripled. Most importantly, these results seem to indicate that the relevance of gender equality in politics is now an accepted, integral part of public debate and public opinion.</w:t>
      </w:r>
      <w:r w:rsidR="00AF685F">
        <w:rPr>
          <w:lang w:val="en-US"/>
        </w:rPr>
        <w:t xml:space="preserve"> </w:t>
      </w:r>
    </w:p>
    <w:p w:rsidR="001C7D76" w:rsidRDefault="00A11A9E" w:rsidP="00A11A9E">
      <w:pPr>
        <w:pStyle w:val="SingleTxtG"/>
        <w:rPr>
          <w:lang w:val="en-US"/>
        </w:rPr>
      </w:pPr>
      <w:r>
        <w:rPr>
          <w:lang w:val="en-US"/>
        </w:rPr>
        <w:t>248.</w:t>
      </w:r>
      <w:r>
        <w:rPr>
          <w:lang w:val="en-US"/>
        </w:rPr>
        <w:tab/>
      </w:r>
      <w:r w:rsidR="001C7D76" w:rsidRPr="0096261F">
        <w:rPr>
          <w:lang w:val="en-US"/>
        </w:rPr>
        <w:t xml:space="preserve">This significant increase is in part explained by the combined efforts of the Faroese Government, the Gender Equality Commission, Demokratia, and NGOs to promote the role of women in politics. The response from government authorities, media, and the general public has, by and large, been positive. Most political parties have placed gender equality on their political agenda, and at the organizational level the parties have taken steps to improve their party structure, so as to encourage more women to run for Parliament. The public debate and the results of the general elections indicate a change in attitude with respect to the importance of gender equality in political and public fora. </w:t>
      </w:r>
    </w:p>
    <w:p w:rsidR="001C7D76" w:rsidRDefault="00A11A9E" w:rsidP="00A11A9E">
      <w:pPr>
        <w:pStyle w:val="SingleTxtG"/>
        <w:rPr>
          <w:lang w:val="en-US"/>
        </w:rPr>
      </w:pPr>
      <w:r>
        <w:rPr>
          <w:lang w:val="en-US"/>
        </w:rPr>
        <w:t>249.</w:t>
      </w:r>
      <w:r>
        <w:rPr>
          <w:lang w:val="en-US"/>
        </w:rPr>
        <w:tab/>
      </w:r>
      <w:r w:rsidR="001C7D76" w:rsidRPr="0096261F">
        <w:rPr>
          <w:lang w:val="en-US"/>
        </w:rPr>
        <w:t xml:space="preserve">However, ongoing efforts to further increase women’s representation in the political process are still warranted. The Faroese Government, the Gender Equality Commission and Demokratia will continue championing the issue and providing input for the political process. </w:t>
      </w:r>
    </w:p>
    <w:p w:rsidR="00254D8C" w:rsidRDefault="00254D8C" w:rsidP="00A11A9E">
      <w:pPr>
        <w:pStyle w:val="H4G"/>
        <w:rPr>
          <w:lang w:val="en-US"/>
        </w:rPr>
      </w:pPr>
      <w:r>
        <w:rPr>
          <w:lang w:val="en-US"/>
        </w:rPr>
        <w:tab/>
      </w:r>
      <w:r>
        <w:rPr>
          <w:lang w:val="en-US"/>
        </w:rPr>
        <w:tab/>
      </w:r>
      <w:r w:rsidR="001C7D76" w:rsidRPr="0096261F">
        <w:rPr>
          <w:lang w:val="en-US"/>
        </w:rPr>
        <w:t>The Faroese Government</w:t>
      </w:r>
    </w:p>
    <w:p w:rsidR="001C7D76" w:rsidRPr="00254D8C" w:rsidRDefault="00A11A9E" w:rsidP="00A11A9E">
      <w:pPr>
        <w:pStyle w:val="SingleTxtG"/>
      </w:pPr>
      <w:r w:rsidRPr="00254D8C">
        <w:t>250.</w:t>
      </w:r>
      <w:r w:rsidRPr="00254D8C">
        <w:tab/>
      </w:r>
      <w:r w:rsidR="001C7D76" w:rsidRPr="00254D8C">
        <w:t>Following the general elections in 2015, women’s representation in the Faroese executive power increased from 1 out of 8 ministerial seats to 4 out of 8 ministerial seats. In other words, the representation increased from 12.5</w:t>
      </w:r>
      <w:r w:rsidR="00D74D61">
        <w:t xml:space="preserve"> per cent</w:t>
      </w:r>
      <w:r w:rsidR="001C7D76" w:rsidRPr="00254D8C">
        <w:t xml:space="preserve"> to 50</w:t>
      </w:r>
      <w:r w:rsidR="00D74D61">
        <w:t xml:space="preserve"> per cent</w:t>
      </w:r>
      <w:r w:rsidR="001C7D76" w:rsidRPr="00254D8C">
        <w:t>. Hence, for the first time in Faroese history there is complete gender equality on the executive level.</w:t>
      </w:r>
    </w:p>
    <w:p w:rsidR="001C7D76" w:rsidRPr="006A300B" w:rsidRDefault="006105DB" w:rsidP="00A11A9E">
      <w:pPr>
        <w:pStyle w:val="H23G"/>
      </w:pPr>
      <w:r>
        <w:rPr>
          <w:lang w:val="en-US"/>
        </w:rPr>
        <w:tab/>
      </w:r>
      <w:r>
        <w:rPr>
          <w:lang w:val="en-US"/>
        </w:rPr>
        <w:tab/>
      </w:r>
      <w:r w:rsidR="001C7D76" w:rsidRPr="00A11A9E">
        <w:rPr>
          <w:b w:val="0"/>
          <w:bCs/>
          <w:lang w:val="en-US"/>
        </w:rPr>
        <w:t>Table 2</w:t>
      </w:r>
      <w:r w:rsidRPr="00A11A9E">
        <w:rPr>
          <w:b w:val="0"/>
          <w:bCs/>
          <w:lang w:val="en-US"/>
        </w:rPr>
        <w:br/>
      </w:r>
      <w:r w:rsidR="001C7D76" w:rsidRPr="00254D8C">
        <w:rPr>
          <w:lang w:val="en-US"/>
        </w:rPr>
        <w:t>Percentage of women in the Faroese Executive 1998-2011</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1701"/>
        <w:gridCol w:w="1701"/>
        <w:gridCol w:w="1701"/>
      </w:tblGrid>
      <w:tr w:rsidR="006105DB" w:rsidRPr="006105DB" w:rsidTr="00A11A9E">
        <w:trPr>
          <w:trHeight w:val="240"/>
          <w:tblHeader/>
        </w:trPr>
        <w:tc>
          <w:tcPr>
            <w:tcW w:w="2268" w:type="dxa"/>
            <w:tcBorders>
              <w:top w:val="single" w:sz="4" w:space="0" w:color="auto"/>
              <w:bottom w:val="single" w:sz="12" w:space="0" w:color="auto"/>
            </w:tcBorders>
            <w:shd w:val="clear" w:color="auto" w:fill="auto"/>
            <w:vAlign w:val="bottom"/>
          </w:tcPr>
          <w:p w:rsidR="001C7D76" w:rsidRPr="006105DB" w:rsidRDefault="001C7D76">
            <w:pPr>
              <w:suppressAutoHyphens w:val="0"/>
              <w:spacing w:before="80" w:after="80" w:line="200" w:lineRule="exact"/>
              <w:rPr>
                <w:i/>
                <w:sz w:val="16"/>
                <w:lang w:val="en-US"/>
              </w:rPr>
            </w:pPr>
            <w:r w:rsidRPr="006105DB">
              <w:rPr>
                <w:i/>
                <w:sz w:val="16"/>
                <w:lang w:val="en-US"/>
              </w:rPr>
              <w:t>The Faroese Executive</w:t>
            </w:r>
          </w:p>
        </w:tc>
        <w:tc>
          <w:tcPr>
            <w:tcW w:w="1701" w:type="dxa"/>
            <w:tcBorders>
              <w:top w:val="single" w:sz="4" w:space="0" w:color="auto"/>
              <w:bottom w:val="single" w:sz="12" w:space="0" w:color="auto"/>
            </w:tcBorders>
            <w:shd w:val="clear" w:color="auto" w:fill="auto"/>
            <w:vAlign w:val="bottom"/>
          </w:tcPr>
          <w:p w:rsidR="001C7D76" w:rsidRPr="00A11A9E" w:rsidRDefault="001C7D76" w:rsidP="00A11A9E">
            <w:pPr>
              <w:suppressAutoHyphens w:val="0"/>
              <w:spacing w:before="80" w:after="80" w:line="200" w:lineRule="exact"/>
              <w:jc w:val="right"/>
              <w:rPr>
                <w:b/>
                <w:bCs/>
                <w:i/>
                <w:sz w:val="16"/>
                <w:lang w:val="en-US"/>
              </w:rPr>
            </w:pPr>
            <w:r w:rsidRPr="00A11A9E">
              <w:rPr>
                <w:b/>
                <w:bCs/>
                <w:i/>
                <w:sz w:val="16"/>
                <w:lang w:val="en-US"/>
              </w:rPr>
              <w:t>Total</w:t>
            </w:r>
          </w:p>
        </w:tc>
        <w:tc>
          <w:tcPr>
            <w:tcW w:w="1701" w:type="dxa"/>
            <w:tcBorders>
              <w:top w:val="single" w:sz="4" w:space="0" w:color="auto"/>
              <w:bottom w:val="single" w:sz="12" w:space="0" w:color="auto"/>
            </w:tcBorders>
            <w:shd w:val="clear" w:color="auto" w:fill="auto"/>
            <w:vAlign w:val="bottom"/>
          </w:tcPr>
          <w:p w:rsidR="001C7D76" w:rsidRPr="006105DB" w:rsidRDefault="001C7D76" w:rsidP="00A11A9E">
            <w:pPr>
              <w:suppressAutoHyphens w:val="0"/>
              <w:spacing w:before="80" w:after="80" w:line="200" w:lineRule="exact"/>
              <w:jc w:val="right"/>
              <w:rPr>
                <w:i/>
                <w:sz w:val="16"/>
                <w:lang w:val="en-US"/>
              </w:rPr>
            </w:pPr>
            <w:r w:rsidRPr="006105DB">
              <w:rPr>
                <w:i/>
                <w:sz w:val="16"/>
                <w:lang w:val="en-US"/>
              </w:rPr>
              <w:t>Women</w:t>
            </w:r>
          </w:p>
        </w:tc>
        <w:tc>
          <w:tcPr>
            <w:tcW w:w="1701" w:type="dxa"/>
            <w:tcBorders>
              <w:top w:val="single" w:sz="4" w:space="0" w:color="auto"/>
              <w:bottom w:val="single" w:sz="12" w:space="0" w:color="auto"/>
            </w:tcBorders>
            <w:shd w:val="clear" w:color="auto" w:fill="auto"/>
            <w:vAlign w:val="bottom"/>
          </w:tcPr>
          <w:p w:rsidR="001C7D76" w:rsidRPr="006105DB" w:rsidRDefault="001C7D76" w:rsidP="00A11A9E">
            <w:pPr>
              <w:suppressAutoHyphens w:val="0"/>
              <w:spacing w:before="80" w:after="80" w:line="200" w:lineRule="exact"/>
              <w:jc w:val="right"/>
              <w:rPr>
                <w:i/>
                <w:sz w:val="16"/>
                <w:lang w:val="en-US"/>
              </w:rPr>
            </w:pPr>
            <w:r w:rsidRPr="006105DB">
              <w:rPr>
                <w:i/>
                <w:sz w:val="16"/>
                <w:lang w:val="en-US"/>
              </w:rPr>
              <w:t>Women by %</w:t>
            </w:r>
          </w:p>
        </w:tc>
      </w:tr>
      <w:tr w:rsidR="006105DB" w:rsidRPr="006105DB" w:rsidTr="00A11A9E">
        <w:trPr>
          <w:trHeight w:val="240"/>
        </w:trPr>
        <w:tc>
          <w:tcPr>
            <w:tcW w:w="2268" w:type="dxa"/>
            <w:tcBorders>
              <w:top w:val="single" w:sz="12" w:space="0" w:color="auto"/>
            </w:tcBorders>
            <w:shd w:val="clear" w:color="auto" w:fill="auto"/>
          </w:tcPr>
          <w:p w:rsidR="001C7D76" w:rsidRPr="00A11A9E" w:rsidRDefault="001C7D76" w:rsidP="00A11A9E">
            <w:pPr>
              <w:suppressAutoHyphens w:val="0"/>
              <w:spacing w:before="40" w:after="40" w:line="220" w:lineRule="exact"/>
              <w:rPr>
                <w:sz w:val="18"/>
                <w:lang w:val="en-US"/>
              </w:rPr>
            </w:pPr>
            <w:r w:rsidRPr="00A11A9E">
              <w:rPr>
                <w:sz w:val="18"/>
                <w:lang w:val="en-US"/>
              </w:rPr>
              <w:t>2015</w:t>
            </w:r>
          </w:p>
        </w:tc>
        <w:tc>
          <w:tcPr>
            <w:tcW w:w="1701"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b/>
                <w:bCs/>
                <w:sz w:val="18"/>
                <w:lang w:val="en-US"/>
              </w:rPr>
            </w:pPr>
            <w:r w:rsidRPr="00A11A9E">
              <w:rPr>
                <w:b/>
                <w:bCs/>
                <w:sz w:val="18"/>
                <w:lang w:val="en-US"/>
              </w:rPr>
              <w:t>8</w:t>
            </w:r>
          </w:p>
        </w:tc>
        <w:tc>
          <w:tcPr>
            <w:tcW w:w="1701"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4</w:t>
            </w:r>
          </w:p>
        </w:tc>
        <w:tc>
          <w:tcPr>
            <w:tcW w:w="1701"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50%</w:t>
            </w:r>
          </w:p>
        </w:tc>
      </w:tr>
      <w:tr w:rsidR="006105DB" w:rsidRPr="006105DB" w:rsidTr="00A11A9E">
        <w:trPr>
          <w:trHeight w:val="240"/>
        </w:trPr>
        <w:tc>
          <w:tcPr>
            <w:tcW w:w="2268" w:type="dxa"/>
            <w:shd w:val="clear" w:color="auto" w:fill="auto"/>
          </w:tcPr>
          <w:p w:rsidR="001C7D76" w:rsidRPr="00A11A9E" w:rsidRDefault="001C7D76" w:rsidP="00A11A9E">
            <w:pPr>
              <w:suppressAutoHyphens w:val="0"/>
              <w:spacing w:before="40" w:after="40" w:line="220" w:lineRule="exact"/>
              <w:rPr>
                <w:sz w:val="18"/>
                <w:lang w:val="en-US"/>
              </w:rPr>
            </w:pPr>
            <w:r w:rsidRPr="00A11A9E">
              <w:rPr>
                <w:sz w:val="18"/>
                <w:lang w:val="en-US"/>
              </w:rPr>
              <w:t>2011</w:t>
            </w:r>
          </w:p>
        </w:tc>
        <w:tc>
          <w:tcPr>
            <w:tcW w:w="1701" w:type="dxa"/>
            <w:shd w:val="clear" w:color="auto" w:fill="auto"/>
            <w:vAlign w:val="bottom"/>
          </w:tcPr>
          <w:p w:rsidR="001C7D76" w:rsidRPr="00A11A9E" w:rsidRDefault="001C7D76" w:rsidP="00A11A9E">
            <w:pPr>
              <w:suppressAutoHyphens w:val="0"/>
              <w:spacing w:before="40" w:after="40" w:line="220" w:lineRule="exact"/>
              <w:jc w:val="right"/>
              <w:rPr>
                <w:b/>
                <w:bCs/>
                <w:sz w:val="18"/>
                <w:lang w:val="en-US"/>
              </w:rPr>
            </w:pPr>
            <w:r w:rsidRPr="00A11A9E">
              <w:rPr>
                <w:b/>
                <w:bCs/>
                <w:sz w:val="18"/>
                <w:lang w:val="en-US"/>
              </w:rPr>
              <w:t>8</w:t>
            </w:r>
          </w:p>
        </w:tc>
        <w:tc>
          <w:tcPr>
            <w:tcW w:w="1701" w:type="dxa"/>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1</w:t>
            </w:r>
          </w:p>
        </w:tc>
        <w:tc>
          <w:tcPr>
            <w:tcW w:w="1701" w:type="dxa"/>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12.5%</w:t>
            </w:r>
          </w:p>
        </w:tc>
      </w:tr>
      <w:tr w:rsidR="006105DB" w:rsidRPr="006105DB" w:rsidTr="00A11A9E">
        <w:trPr>
          <w:trHeight w:val="240"/>
        </w:trPr>
        <w:tc>
          <w:tcPr>
            <w:tcW w:w="2268" w:type="dxa"/>
            <w:shd w:val="clear" w:color="auto" w:fill="auto"/>
          </w:tcPr>
          <w:p w:rsidR="001C7D76" w:rsidRPr="00A11A9E" w:rsidRDefault="001C7D76" w:rsidP="00A11A9E">
            <w:pPr>
              <w:suppressAutoHyphens w:val="0"/>
              <w:spacing w:before="40" w:after="40" w:line="220" w:lineRule="exact"/>
              <w:rPr>
                <w:sz w:val="18"/>
                <w:lang w:val="en-US"/>
              </w:rPr>
            </w:pPr>
            <w:r w:rsidRPr="00A11A9E">
              <w:rPr>
                <w:sz w:val="18"/>
                <w:lang w:val="en-US"/>
              </w:rPr>
              <w:t>2008</w:t>
            </w:r>
          </w:p>
        </w:tc>
        <w:tc>
          <w:tcPr>
            <w:tcW w:w="1701" w:type="dxa"/>
            <w:shd w:val="clear" w:color="auto" w:fill="auto"/>
            <w:vAlign w:val="bottom"/>
          </w:tcPr>
          <w:p w:rsidR="001C7D76" w:rsidRPr="00A11A9E" w:rsidRDefault="001C7D76" w:rsidP="00A11A9E">
            <w:pPr>
              <w:suppressAutoHyphens w:val="0"/>
              <w:spacing w:before="40" w:after="40" w:line="220" w:lineRule="exact"/>
              <w:jc w:val="right"/>
              <w:rPr>
                <w:b/>
                <w:bCs/>
                <w:sz w:val="18"/>
                <w:lang w:val="en-US"/>
              </w:rPr>
            </w:pPr>
            <w:r w:rsidRPr="00A11A9E">
              <w:rPr>
                <w:b/>
                <w:bCs/>
                <w:sz w:val="18"/>
                <w:lang w:val="en-US"/>
              </w:rPr>
              <w:t>8</w:t>
            </w:r>
          </w:p>
        </w:tc>
        <w:tc>
          <w:tcPr>
            <w:tcW w:w="1701" w:type="dxa"/>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3</w:t>
            </w:r>
          </w:p>
        </w:tc>
        <w:tc>
          <w:tcPr>
            <w:tcW w:w="1701" w:type="dxa"/>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37.5%</w:t>
            </w:r>
          </w:p>
        </w:tc>
      </w:tr>
      <w:tr w:rsidR="006105DB" w:rsidRPr="006105DB" w:rsidTr="00A11A9E">
        <w:trPr>
          <w:trHeight w:val="240"/>
        </w:trPr>
        <w:tc>
          <w:tcPr>
            <w:tcW w:w="2268" w:type="dxa"/>
            <w:shd w:val="clear" w:color="auto" w:fill="auto"/>
          </w:tcPr>
          <w:p w:rsidR="001C7D76" w:rsidRPr="00A11A9E" w:rsidRDefault="001C7D76" w:rsidP="00A11A9E">
            <w:pPr>
              <w:suppressAutoHyphens w:val="0"/>
              <w:spacing w:before="40" w:after="40" w:line="220" w:lineRule="exact"/>
              <w:rPr>
                <w:sz w:val="18"/>
                <w:lang w:val="en-US"/>
              </w:rPr>
            </w:pPr>
            <w:r w:rsidRPr="00A11A9E">
              <w:rPr>
                <w:sz w:val="18"/>
                <w:lang w:val="en-US"/>
              </w:rPr>
              <w:t>2004</w:t>
            </w:r>
          </w:p>
        </w:tc>
        <w:tc>
          <w:tcPr>
            <w:tcW w:w="1701" w:type="dxa"/>
            <w:shd w:val="clear" w:color="auto" w:fill="auto"/>
            <w:vAlign w:val="bottom"/>
          </w:tcPr>
          <w:p w:rsidR="001C7D76" w:rsidRPr="00A11A9E" w:rsidRDefault="001C7D76" w:rsidP="00A11A9E">
            <w:pPr>
              <w:suppressAutoHyphens w:val="0"/>
              <w:spacing w:before="40" w:after="40" w:line="220" w:lineRule="exact"/>
              <w:jc w:val="right"/>
              <w:rPr>
                <w:b/>
                <w:bCs/>
                <w:sz w:val="18"/>
                <w:lang w:val="en-US"/>
              </w:rPr>
            </w:pPr>
            <w:r w:rsidRPr="00A11A9E">
              <w:rPr>
                <w:b/>
                <w:bCs/>
                <w:sz w:val="18"/>
                <w:lang w:val="en-US"/>
              </w:rPr>
              <w:t>7</w:t>
            </w:r>
          </w:p>
        </w:tc>
        <w:tc>
          <w:tcPr>
            <w:tcW w:w="1701" w:type="dxa"/>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0</w:t>
            </w:r>
          </w:p>
        </w:tc>
        <w:tc>
          <w:tcPr>
            <w:tcW w:w="1701" w:type="dxa"/>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0%</w:t>
            </w:r>
          </w:p>
        </w:tc>
      </w:tr>
      <w:tr w:rsidR="006105DB" w:rsidRPr="006105DB" w:rsidTr="00A11A9E">
        <w:trPr>
          <w:trHeight w:val="240"/>
        </w:trPr>
        <w:tc>
          <w:tcPr>
            <w:tcW w:w="2268" w:type="dxa"/>
            <w:shd w:val="clear" w:color="auto" w:fill="auto"/>
          </w:tcPr>
          <w:p w:rsidR="001C7D76" w:rsidRPr="00A11A9E" w:rsidRDefault="001C7D76" w:rsidP="00A11A9E">
            <w:pPr>
              <w:suppressAutoHyphens w:val="0"/>
              <w:spacing w:before="40" w:after="40" w:line="220" w:lineRule="exact"/>
              <w:rPr>
                <w:sz w:val="18"/>
                <w:lang w:val="en-US"/>
              </w:rPr>
            </w:pPr>
            <w:r w:rsidRPr="00A11A9E">
              <w:rPr>
                <w:sz w:val="18"/>
                <w:lang w:val="en-US"/>
              </w:rPr>
              <w:t>2002</w:t>
            </w:r>
          </w:p>
        </w:tc>
        <w:tc>
          <w:tcPr>
            <w:tcW w:w="1701" w:type="dxa"/>
            <w:shd w:val="clear" w:color="auto" w:fill="auto"/>
            <w:vAlign w:val="bottom"/>
          </w:tcPr>
          <w:p w:rsidR="001C7D76" w:rsidRPr="00A11A9E" w:rsidRDefault="001C7D76" w:rsidP="00A11A9E">
            <w:pPr>
              <w:suppressAutoHyphens w:val="0"/>
              <w:spacing w:before="40" w:after="40" w:line="220" w:lineRule="exact"/>
              <w:jc w:val="right"/>
              <w:rPr>
                <w:b/>
                <w:bCs/>
                <w:sz w:val="18"/>
                <w:lang w:val="en-US"/>
              </w:rPr>
            </w:pPr>
            <w:r w:rsidRPr="00A11A9E">
              <w:rPr>
                <w:b/>
                <w:bCs/>
                <w:sz w:val="18"/>
                <w:lang w:val="en-US"/>
              </w:rPr>
              <w:t>9</w:t>
            </w:r>
          </w:p>
        </w:tc>
        <w:tc>
          <w:tcPr>
            <w:tcW w:w="1701" w:type="dxa"/>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1</w:t>
            </w:r>
          </w:p>
        </w:tc>
        <w:tc>
          <w:tcPr>
            <w:tcW w:w="1701" w:type="dxa"/>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11%</w:t>
            </w:r>
          </w:p>
        </w:tc>
      </w:tr>
      <w:tr w:rsidR="006105DB" w:rsidRPr="006105DB" w:rsidTr="00A11A9E">
        <w:trPr>
          <w:trHeight w:val="240"/>
        </w:trPr>
        <w:tc>
          <w:tcPr>
            <w:tcW w:w="2268" w:type="dxa"/>
            <w:shd w:val="clear" w:color="auto" w:fill="auto"/>
          </w:tcPr>
          <w:p w:rsidR="001C7D76" w:rsidRPr="00A11A9E" w:rsidRDefault="001C7D76" w:rsidP="00A11A9E">
            <w:pPr>
              <w:suppressAutoHyphens w:val="0"/>
              <w:spacing w:before="40" w:after="40" w:line="220" w:lineRule="exact"/>
              <w:rPr>
                <w:sz w:val="18"/>
                <w:lang w:val="en-US"/>
              </w:rPr>
            </w:pPr>
            <w:r w:rsidRPr="00A11A9E">
              <w:rPr>
                <w:sz w:val="18"/>
                <w:lang w:val="en-US"/>
              </w:rPr>
              <w:t>1998</w:t>
            </w:r>
          </w:p>
        </w:tc>
        <w:tc>
          <w:tcPr>
            <w:tcW w:w="1701" w:type="dxa"/>
            <w:shd w:val="clear" w:color="auto" w:fill="auto"/>
            <w:vAlign w:val="bottom"/>
          </w:tcPr>
          <w:p w:rsidR="001C7D76" w:rsidRPr="00A11A9E" w:rsidRDefault="001C7D76" w:rsidP="00A11A9E">
            <w:pPr>
              <w:suppressAutoHyphens w:val="0"/>
              <w:spacing w:before="40" w:after="40" w:line="220" w:lineRule="exact"/>
              <w:jc w:val="right"/>
              <w:rPr>
                <w:b/>
                <w:bCs/>
                <w:sz w:val="18"/>
                <w:lang w:val="en-US"/>
              </w:rPr>
            </w:pPr>
            <w:r w:rsidRPr="00A11A9E">
              <w:rPr>
                <w:b/>
                <w:bCs/>
                <w:sz w:val="18"/>
                <w:lang w:val="en-US"/>
              </w:rPr>
              <w:t>8</w:t>
            </w:r>
          </w:p>
        </w:tc>
        <w:tc>
          <w:tcPr>
            <w:tcW w:w="1701" w:type="dxa"/>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1</w:t>
            </w:r>
          </w:p>
        </w:tc>
        <w:tc>
          <w:tcPr>
            <w:tcW w:w="1701" w:type="dxa"/>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12.5%</w:t>
            </w:r>
          </w:p>
        </w:tc>
      </w:tr>
    </w:tbl>
    <w:p w:rsidR="001C7D76" w:rsidRPr="00A11A9E" w:rsidRDefault="001C7D76" w:rsidP="00A11A9E">
      <w:pPr>
        <w:pStyle w:val="SingleTxtG"/>
        <w:spacing w:before="120" w:after="240"/>
        <w:ind w:firstLine="170"/>
        <w:jc w:val="left"/>
        <w:rPr>
          <w:sz w:val="18"/>
          <w:szCs w:val="18"/>
          <w:lang w:val="en-US"/>
        </w:rPr>
      </w:pPr>
      <w:r w:rsidRPr="00A11A9E">
        <w:rPr>
          <w:i/>
          <w:iCs/>
          <w:sz w:val="18"/>
          <w:szCs w:val="18"/>
          <w:lang w:val="en-US"/>
        </w:rPr>
        <w:t>Source</w:t>
      </w:r>
      <w:r w:rsidRPr="00A11A9E">
        <w:rPr>
          <w:sz w:val="18"/>
          <w:szCs w:val="18"/>
          <w:lang w:val="en-US"/>
        </w:rPr>
        <w:t>: Statistics Faroe Islands</w:t>
      </w:r>
      <w:r w:rsidR="006105DB" w:rsidRPr="00A11A9E">
        <w:rPr>
          <w:sz w:val="18"/>
          <w:szCs w:val="18"/>
          <w:lang w:val="en-US"/>
        </w:rPr>
        <w:t>.</w:t>
      </w:r>
    </w:p>
    <w:p w:rsidR="00254D8C" w:rsidRDefault="00254D8C" w:rsidP="00254D8C">
      <w:pPr>
        <w:pStyle w:val="H23G"/>
        <w:rPr>
          <w:lang w:val="en-US"/>
        </w:rPr>
      </w:pPr>
      <w:r>
        <w:rPr>
          <w:lang w:val="en-US"/>
        </w:rPr>
        <w:tab/>
      </w:r>
      <w:r>
        <w:rPr>
          <w:lang w:val="en-US"/>
        </w:rPr>
        <w:tab/>
      </w:r>
      <w:r w:rsidR="001C7D76" w:rsidRPr="00A01F26">
        <w:rPr>
          <w:lang w:val="en-US"/>
        </w:rPr>
        <w:t>Municipal Local Government Councils</w:t>
      </w:r>
    </w:p>
    <w:p w:rsidR="001C7D76" w:rsidRDefault="00A11A9E" w:rsidP="00A11A9E">
      <w:pPr>
        <w:pStyle w:val="SingleTxtG"/>
        <w:rPr>
          <w:lang w:val="en-US"/>
        </w:rPr>
      </w:pPr>
      <w:r>
        <w:rPr>
          <w:lang w:val="en-US"/>
        </w:rPr>
        <w:t>251.</w:t>
      </w:r>
      <w:r>
        <w:rPr>
          <w:lang w:val="en-US"/>
        </w:rPr>
        <w:tab/>
      </w:r>
      <w:r w:rsidR="001C7D76" w:rsidRPr="00A01F26">
        <w:rPr>
          <w:lang w:val="en-US"/>
        </w:rPr>
        <w:t>Local elections were held in 2012</w:t>
      </w:r>
      <w:r w:rsidR="001C7D76">
        <w:rPr>
          <w:lang w:val="en-US"/>
        </w:rPr>
        <w:t xml:space="preserve"> and will be held again in 2016</w:t>
      </w:r>
      <w:r w:rsidR="001C7D76" w:rsidRPr="00A01F26">
        <w:rPr>
          <w:lang w:val="en-US"/>
        </w:rPr>
        <w:t xml:space="preserve">. The gender distribution on municipal local government councils indicated below shows that women are underrepresented </w:t>
      </w:r>
      <w:r w:rsidR="001C7D76">
        <w:rPr>
          <w:lang w:val="en-US"/>
        </w:rPr>
        <w:t>in</w:t>
      </w:r>
      <w:r w:rsidR="001C7D76" w:rsidRPr="00A01F26">
        <w:rPr>
          <w:lang w:val="en-US"/>
        </w:rPr>
        <w:t xml:space="preserve"> most municipal councils. </w:t>
      </w:r>
      <w:r w:rsidR="001C7D76">
        <w:rPr>
          <w:lang w:val="en-US"/>
        </w:rPr>
        <w:t>In</w:t>
      </w:r>
      <w:r w:rsidR="001C7D76" w:rsidRPr="00A01F26">
        <w:rPr>
          <w:lang w:val="en-US"/>
        </w:rPr>
        <w:t xml:space="preserve"> the Municipal Council of the capital Tórshavn, which is by far the largest municipality in the Faroe Islands, the representation of women and men is, however, equal with 7 men and 6 women. The same applies to the Municipality of Klaksvík, which is the second largest municipality</w:t>
      </w:r>
      <w:r w:rsidR="001C7D76">
        <w:rPr>
          <w:lang w:val="en-US"/>
        </w:rPr>
        <w:t>.</w:t>
      </w:r>
    </w:p>
    <w:p w:rsidR="001C7D76" w:rsidRPr="00254D8C" w:rsidRDefault="006105DB" w:rsidP="00A11A9E">
      <w:pPr>
        <w:pStyle w:val="H23G"/>
        <w:rPr>
          <w:lang w:val="en-US"/>
        </w:rPr>
      </w:pPr>
      <w:r>
        <w:rPr>
          <w:lang w:val="en-US"/>
        </w:rPr>
        <w:tab/>
      </w:r>
      <w:r>
        <w:rPr>
          <w:lang w:val="en-US"/>
        </w:rPr>
        <w:tab/>
      </w:r>
      <w:r w:rsidR="001C7D76" w:rsidRPr="00A11A9E">
        <w:rPr>
          <w:b w:val="0"/>
          <w:bCs/>
          <w:lang w:val="en-US"/>
        </w:rPr>
        <w:t>Table 3</w:t>
      </w:r>
      <w:r>
        <w:rPr>
          <w:lang w:val="en-US"/>
        </w:rPr>
        <w:br/>
      </w:r>
      <w:r w:rsidR="001C7D76" w:rsidRPr="006A300B">
        <w:t>Distribution</w:t>
      </w:r>
      <w:r w:rsidR="001C7D76" w:rsidRPr="00254D8C">
        <w:rPr>
          <w:lang w:val="en-US"/>
        </w:rPr>
        <w:t xml:space="preserve"> of women in municipal councils and administrations</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2268"/>
        <w:gridCol w:w="1134"/>
        <w:gridCol w:w="2268"/>
      </w:tblGrid>
      <w:tr w:rsidR="004B0366" w:rsidRPr="004B0366" w:rsidTr="00A11A9E">
        <w:trPr>
          <w:trHeight w:val="240"/>
          <w:tblHeader/>
        </w:trPr>
        <w:tc>
          <w:tcPr>
            <w:tcW w:w="1701" w:type="dxa"/>
            <w:tcBorders>
              <w:top w:val="single" w:sz="4" w:space="0" w:color="auto"/>
              <w:bottom w:val="single" w:sz="12" w:space="0" w:color="auto"/>
            </w:tcBorders>
            <w:shd w:val="clear" w:color="auto" w:fill="auto"/>
            <w:vAlign w:val="bottom"/>
          </w:tcPr>
          <w:p w:rsidR="001C7D76" w:rsidRPr="004B0366" w:rsidRDefault="001C7D76">
            <w:pPr>
              <w:suppressAutoHyphens w:val="0"/>
              <w:spacing w:before="80" w:after="80" w:line="200" w:lineRule="exact"/>
              <w:rPr>
                <w:i/>
                <w:sz w:val="16"/>
                <w:lang w:val="en-US"/>
              </w:rPr>
            </w:pPr>
            <w:r w:rsidRPr="004B0366">
              <w:rPr>
                <w:i/>
                <w:sz w:val="16"/>
                <w:lang w:val="en-US"/>
              </w:rPr>
              <w:t>Total</w:t>
            </w:r>
          </w:p>
        </w:tc>
        <w:tc>
          <w:tcPr>
            <w:tcW w:w="2268" w:type="dxa"/>
            <w:tcBorders>
              <w:top w:val="single" w:sz="4" w:space="0" w:color="auto"/>
              <w:bottom w:val="single" w:sz="12" w:space="0" w:color="auto"/>
            </w:tcBorders>
            <w:shd w:val="clear" w:color="auto" w:fill="auto"/>
            <w:vAlign w:val="bottom"/>
          </w:tcPr>
          <w:p w:rsidR="001C7D76" w:rsidRPr="004B0366" w:rsidRDefault="001C7D76" w:rsidP="00A11A9E">
            <w:pPr>
              <w:suppressAutoHyphens w:val="0"/>
              <w:spacing w:before="80" w:after="80" w:line="200" w:lineRule="exact"/>
              <w:jc w:val="right"/>
              <w:rPr>
                <w:i/>
                <w:sz w:val="16"/>
                <w:lang w:val="en-US"/>
              </w:rPr>
            </w:pPr>
            <w:r w:rsidRPr="004B0366">
              <w:rPr>
                <w:i/>
                <w:sz w:val="16"/>
                <w:lang w:val="en-US"/>
              </w:rPr>
              <w:t>Women council members (%)</w:t>
            </w:r>
          </w:p>
        </w:tc>
        <w:tc>
          <w:tcPr>
            <w:tcW w:w="1134" w:type="dxa"/>
            <w:tcBorders>
              <w:top w:val="single" w:sz="4" w:space="0" w:color="auto"/>
              <w:bottom w:val="single" w:sz="12" w:space="0" w:color="auto"/>
            </w:tcBorders>
            <w:shd w:val="clear" w:color="auto" w:fill="auto"/>
            <w:vAlign w:val="bottom"/>
          </w:tcPr>
          <w:p w:rsidR="001C7D76" w:rsidRPr="004B0366" w:rsidRDefault="001C7D76" w:rsidP="00A11A9E">
            <w:pPr>
              <w:suppressAutoHyphens w:val="0"/>
              <w:spacing w:before="80" w:after="80" w:line="200" w:lineRule="exact"/>
              <w:jc w:val="right"/>
              <w:rPr>
                <w:i/>
                <w:sz w:val="16"/>
                <w:lang w:val="en-US"/>
              </w:rPr>
            </w:pPr>
            <w:r w:rsidRPr="004B0366">
              <w:rPr>
                <w:i/>
                <w:sz w:val="16"/>
                <w:lang w:val="en-US"/>
              </w:rPr>
              <w:t>Mayor</w:t>
            </w:r>
          </w:p>
        </w:tc>
        <w:tc>
          <w:tcPr>
            <w:tcW w:w="2268" w:type="dxa"/>
            <w:tcBorders>
              <w:top w:val="single" w:sz="4" w:space="0" w:color="auto"/>
              <w:bottom w:val="single" w:sz="12" w:space="0" w:color="auto"/>
            </w:tcBorders>
            <w:shd w:val="clear" w:color="auto" w:fill="auto"/>
            <w:vAlign w:val="bottom"/>
          </w:tcPr>
          <w:p w:rsidR="001C7D76" w:rsidRPr="004B0366" w:rsidRDefault="001C7D76" w:rsidP="00A11A9E">
            <w:pPr>
              <w:suppressAutoHyphens w:val="0"/>
              <w:spacing w:before="80" w:after="80" w:line="200" w:lineRule="exact"/>
              <w:jc w:val="right"/>
              <w:rPr>
                <w:i/>
                <w:sz w:val="16"/>
                <w:lang w:val="en-US"/>
              </w:rPr>
            </w:pPr>
            <w:r w:rsidRPr="004B0366">
              <w:rPr>
                <w:i/>
                <w:sz w:val="16"/>
                <w:lang w:val="en-US"/>
              </w:rPr>
              <w:t>Head of Administration</w:t>
            </w:r>
          </w:p>
        </w:tc>
      </w:tr>
      <w:tr w:rsidR="004B0366" w:rsidRPr="004B0366" w:rsidTr="00A11A9E">
        <w:trPr>
          <w:trHeight w:val="240"/>
        </w:trPr>
        <w:tc>
          <w:tcPr>
            <w:tcW w:w="1701" w:type="dxa"/>
            <w:tcBorders>
              <w:top w:val="single" w:sz="12" w:space="0" w:color="auto"/>
            </w:tcBorders>
            <w:shd w:val="clear" w:color="auto" w:fill="auto"/>
          </w:tcPr>
          <w:p w:rsidR="001C7D76" w:rsidRPr="00A11A9E" w:rsidRDefault="001C7D76" w:rsidP="00A11A9E">
            <w:pPr>
              <w:suppressAutoHyphens w:val="0"/>
              <w:spacing w:before="40" w:after="40" w:line="220" w:lineRule="exact"/>
              <w:rPr>
                <w:sz w:val="18"/>
                <w:lang w:val="en-US"/>
              </w:rPr>
            </w:pPr>
          </w:p>
        </w:tc>
        <w:tc>
          <w:tcPr>
            <w:tcW w:w="2268"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27</w:t>
            </w:r>
            <w:r w:rsidR="00511BBC">
              <w:rPr>
                <w:sz w:val="18"/>
                <w:lang w:val="en-US"/>
              </w:rPr>
              <w:t>.</w:t>
            </w:r>
            <w:r w:rsidRPr="00A11A9E">
              <w:rPr>
                <w:sz w:val="18"/>
                <w:lang w:val="en-US"/>
              </w:rPr>
              <w:t>73%</w:t>
            </w:r>
          </w:p>
        </w:tc>
        <w:tc>
          <w:tcPr>
            <w:tcW w:w="1134"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8</w:t>
            </w:r>
            <w:r w:rsidR="00511BBC">
              <w:rPr>
                <w:sz w:val="18"/>
                <w:lang w:val="en-US"/>
              </w:rPr>
              <w:t>.</w:t>
            </w:r>
            <w:r w:rsidRPr="00A11A9E">
              <w:rPr>
                <w:sz w:val="18"/>
                <w:lang w:val="en-US"/>
              </w:rPr>
              <w:t>33%</w:t>
            </w:r>
          </w:p>
        </w:tc>
        <w:tc>
          <w:tcPr>
            <w:tcW w:w="2268"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62</w:t>
            </w:r>
            <w:r w:rsidR="00511BBC">
              <w:rPr>
                <w:sz w:val="18"/>
                <w:lang w:val="en-US"/>
              </w:rPr>
              <w:t>.</w:t>
            </w:r>
            <w:r w:rsidRPr="00A11A9E">
              <w:rPr>
                <w:sz w:val="18"/>
                <w:lang w:val="en-US"/>
              </w:rPr>
              <w:t>50%</w:t>
            </w:r>
          </w:p>
        </w:tc>
      </w:tr>
    </w:tbl>
    <w:p w:rsidR="001C7D76" w:rsidRPr="00A11A9E" w:rsidRDefault="001C7D76" w:rsidP="00A11A9E">
      <w:pPr>
        <w:pStyle w:val="SingleTxtG"/>
        <w:spacing w:before="120" w:after="240"/>
        <w:ind w:firstLine="170"/>
        <w:jc w:val="left"/>
        <w:rPr>
          <w:sz w:val="18"/>
          <w:szCs w:val="18"/>
          <w:lang w:val="en-US"/>
        </w:rPr>
      </w:pPr>
      <w:r w:rsidRPr="00A11A9E">
        <w:rPr>
          <w:i/>
          <w:iCs/>
          <w:sz w:val="18"/>
          <w:szCs w:val="18"/>
          <w:lang w:val="en-US"/>
        </w:rPr>
        <w:t>Source</w:t>
      </w:r>
      <w:r w:rsidRPr="00A11A9E">
        <w:rPr>
          <w:sz w:val="18"/>
          <w:szCs w:val="18"/>
          <w:lang w:val="en-US"/>
        </w:rPr>
        <w:t>: Statistics Faroe Islands. Note: Only municipalities with more than 1</w:t>
      </w:r>
      <w:r w:rsidR="006E10C2">
        <w:rPr>
          <w:sz w:val="18"/>
          <w:szCs w:val="18"/>
          <w:lang w:val="en-US"/>
        </w:rPr>
        <w:t>,</w:t>
      </w:r>
      <w:r w:rsidRPr="00A11A9E">
        <w:rPr>
          <w:sz w:val="18"/>
          <w:szCs w:val="18"/>
          <w:lang w:val="en-US"/>
        </w:rPr>
        <w:t>000 inhabitants are included</w:t>
      </w:r>
      <w:r w:rsidR="006105DB" w:rsidRPr="00A11A9E">
        <w:rPr>
          <w:sz w:val="18"/>
          <w:szCs w:val="18"/>
          <w:lang w:val="en-US"/>
        </w:rPr>
        <w:t>.</w:t>
      </w:r>
    </w:p>
    <w:p w:rsidR="001C7D76" w:rsidRPr="00D358D1" w:rsidRDefault="00A11A9E" w:rsidP="00A11A9E">
      <w:pPr>
        <w:pStyle w:val="SingleTxtG"/>
        <w:rPr>
          <w:lang w:val="en-US"/>
        </w:rPr>
      </w:pPr>
      <w:r w:rsidRPr="00D358D1">
        <w:rPr>
          <w:lang w:val="en-US"/>
        </w:rPr>
        <w:t>252.</w:t>
      </w:r>
      <w:r w:rsidRPr="00D358D1">
        <w:rPr>
          <w:lang w:val="en-US"/>
        </w:rPr>
        <w:tab/>
      </w:r>
      <w:r w:rsidR="001C7D76" w:rsidRPr="00D358D1">
        <w:rPr>
          <w:lang w:val="en-US"/>
        </w:rPr>
        <w:t>Counting all municipalities, a total of 149 men and 57 women were elected</w:t>
      </w:r>
      <w:r w:rsidR="00511BBC">
        <w:rPr>
          <w:lang w:val="en-US"/>
        </w:rPr>
        <w:t>,</w:t>
      </w:r>
      <w:r w:rsidR="001C7D76" w:rsidRPr="00D358D1">
        <w:rPr>
          <w:lang w:val="en-US"/>
        </w:rPr>
        <w:t xml:space="preserve"> corresponding to 72</w:t>
      </w:r>
      <w:r w:rsidR="00D74D61">
        <w:rPr>
          <w:lang w:val="en-US"/>
        </w:rPr>
        <w:t xml:space="preserve"> per cent</w:t>
      </w:r>
      <w:r w:rsidR="001C7D76" w:rsidRPr="00D358D1">
        <w:rPr>
          <w:lang w:val="en-US"/>
        </w:rPr>
        <w:t xml:space="preserve"> men and 28</w:t>
      </w:r>
      <w:r w:rsidR="00D74D61">
        <w:rPr>
          <w:lang w:val="en-US"/>
        </w:rPr>
        <w:t xml:space="preserve"> per cent</w:t>
      </w:r>
      <w:r w:rsidR="001C7D76" w:rsidRPr="00D358D1">
        <w:rPr>
          <w:lang w:val="en-US"/>
        </w:rPr>
        <w:t xml:space="preserve"> women. In comparison, in 2008, 145 men and 63 women were elected</w:t>
      </w:r>
      <w:r w:rsidR="00511BBC">
        <w:rPr>
          <w:lang w:val="en-US"/>
        </w:rPr>
        <w:t>,</w:t>
      </w:r>
      <w:r w:rsidR="001C7D76" w:rsidRPr="00D358D1">
        <w:rPr>
          <w:lang w:val="en-US"/>
        </w:rPr>
        <w:t xml:space="preserve"> corresponding to 70</w:t>
      </w:r>
      <w:r w:rsidR="00D74D61">
        <w:rPr>
          <w:lang w:val="en-US"/>
        </w:rPr>
        <w:t xml:space="preserve"> per cent</w:t>
      </w:r>
      <w:r w:rsidR="001C7D76" w:rsidRPr="00D358D1">
        <w:rPr>
          <w:lang w:val="en-US"/>
        </w:rPr>
        <w:t xml:space="preserve"> men and 30</w:t>
      </w:r>
      <w:r w:rsidR="00D74D61">
        <w:rPr>
          <w:lang w:val="en-US"/>
        </w:rPr>
        <w:t xml:space="preserve"> per cent</w:t>
      </w:r>
      <w:r w:rsidR="001C7D76" w:rsidRPr="00D358D1">
        <w:rPr>
          <w:lang w:val="en-US"/>
        </w:rPr>
        <w:t xml:space="preserve"> women.</w:t>
      </w:r>
    </w:p>
    <w:p w:rsidR="001C7D76" w:rsidRDefault="00254D8C" w:rsidP="00254D8C">
      <w:pPr>
        <w:pStyle w:val="H23G"/>
        <w:rPr>
          <w:lang w:val="en-US"/>
        </w:rPr>
      </w:pPr>
      <w:r>
        <w:rPr>
          <w:lang w:val="en-US"/>
        </w:rPr>
        <w:tab/>
      </w:r>
      <w:r>
        <w:rPr>
          <w:lang w:val="en-US"/>
        </w:rPr>
        <w:tab/>
      </w:r>
      <w:r w:rsidR="001C7D76" w:rsidRPr="003F04AB">
        <w:rPr>
          <w:lang w:val="en-US"/>
        </w:rPr>
        <w:t>Management of the Central Government Executive Administration</w:t>
      </w:r>
    </w:p>
    <w:p w:rsidR="001C7D76" w:rsidRDefault="00A11A9E" w:rsidP="00A11A9E">
      <w:pPr>
        <w:pStyle w:val="SingleTxtG"/>
        <w:rPr>
          <w:lang w:val="en-US"/>
        </w:rPr>
      </w:pPr>
      <w:r>
        <w:rPr>
          <w:lang w:val="en-US"/>
        </w:rPr>
        <w:t>253.</w:t>
      </w:r>
      <w:r>
        <w:rPr>
          <w:lang w:val="en-US"/>
        </w:rPr>
        <w:tab/>
      </w:r>
      <w:r w:rsidR="001C7D76" w:rsidRPr="003F04AB">
        <w:rPr>
          <w:lang w:val="en-US"/>
        </w:rPr>
        <w:t xml:space="preserve">There are currently </w:t>
      </w:r>
      <w:r w:rsidR="001C7D76">
        <w:rPr>
          <w:lang w:val="en-US"/>
        </w:rPr>
        <w:t>eight</w:t>
      </w:r>
      <w:r w:rsidR="001C7D76" w:rsidRPr="003F04AB">
        <w:rPr>
          <w:lang w:val="en-US"/>
        </w:rPr>
        <w:t xml:space="preserve"> ministries in the Faroe Islands. Three of the permanent secretaries are women.</w:t>
      </w:r>
      <w:r w:rsidR="001C7D76">
        <w:rPr>
          <w:lang w:val="en-US"/>
        </w:rPr>
        <w:t xml:space="preserve"> The position of the permanent secretary in the reestablished Ministry of Interior is to be set in the nearest future. </w:t>
      </w:r>
      <w:r w:rsidR="001C7D76" w:rsidRPr="003F04AB">
        <w:rPr>
          <w:lang w:val="en-US"/>
        </w:rPr>
        <w:t xml:space="preserve">The number of women permanent secretaries has grown from one to three since the last report. Currently the Ombudsman to the Faroese Parliament is a woman. </w:t>
      </w:r>
    </w:p>
    <w:p w:rsidR="001C7D76" w:rsidRDefault="00254D8C">
      <w:pPr>
        <w:pStyle w:val="H23G"/>
        <w:rPr>
          <w:lang w:val="en-US"/>
        </w:rPr>
      </w:pPr>
      <w:r>
        <w:rPr>
          <w:lang w:val="en-US"/>
        </w:rPr>
        <w:tab/>
      </w:r>
      <w:r>
        <w:rPr>
          <w:lang w:val="en-US"/>
        </w:rPr>
        <w:tab/>
      </w:r>
      <w:r w:rsidR="001C7D76" w:rsidRPr="003F04AB">
        <w:rPr>
          <w:lang w:val="en-US"/>
        </w:rPr>
        <w:t>Government-</w:t>
      </w:r>
      <w:r w:rsidR="00511BBC">
        <w:rPr>
          <w:lang w:val="en-US"/>
        </w:rPr>
        <w:t>a</w:t>
      </w:r>
      <w:r w:rsidR="001C7D76" w:rsidRPr="003F04AB">
        <w:rPr>
          <w:lang w:val="en-US"/>
        </w:rPr>
        <w:t xml:space="preserve">ppointed </w:t>
      </w:r>
      <w:r w:rsidR="00511BBC">
        <w:rPr>
          <w:lang w:val="en-US"/>
        </w:rPr>
        <w:t>c</w:t>
      </w:r>
      <w:r w:rsidR="001C7D76" w:rsidRPr="003F04AB">
        <w:rPr>
          <w:lang w:val="en-US"/>
        </w:rPr>
        <w:t xml:space="preserve">ommissions and </w:t>
      </w:r>
      <w:r w:rsidR="00511BBC">
        <w:rPr>
          <w:lang w:val="en-US"/>
        </w:rPr>
        <w:t>b</w:t>
      </w:r>
      <w:r w:rsidR="001C7D76" w:rsidRPr="003F04AB">
        <w:rPr>
          <w:lang w:val="en-US"/>
        </w:rPr>
        <w:t>oards</w:t>
      </w:r>
    </w:p>
    <w:p w:rsidR="001C7D76" w:rsidRPr="00D35E45" w:rsidRDefault="00A11A9E" w:rsidP="00A11A9E">
      <w:pPr>
        <w:pStyle w:val="SingleTxtG"/>
        <w:rPr>
          <w:lang w:val="en-US"/>
        </w:rPr>
      </w:pPr>
      <w:r w:rsidRPr="00D35E45">
        <w:rPr>
          <w:lang w:val="en-US"/>
        </w:rPr>
        <w:t>254.</w:t>
      </w:r>
      <w:r w:rsidRPr="00D35E45">
        <w:rPr>
          <w:lang w:val="en-US"/>
        </w:rPr>
        <w:tab/>
      </w:r>
      <w:r w:rsidR="001C7D76" w:rsidRPr="00D35E45">
        <w:rPr>
          <w:lang w:val="en-US"/>
        </w:rPr>
        <w:t xml:space="preserve">The Gender Equality Act stipulates that an equal number of women and men should serve on public commissions and boards. In this context, equality is defined as an equal number of women and men members. In case of an </w:t>
      </w:r>
      <w:r w:rsidR="00D35E45" w:rsidRPr="00D35E45">
        <w:rPr>
          <w:lang w:val="en-US"/>
        </w:rPr>
        <w:t xml:space="preserve">unequal </w:t>
      </w:r>
      <w:r w:rsidR="001C7D76" w:rsidRPr="00D35E45">
        <w:rPr>
          <w:lang w:val="en-US"/>
        </w:rPr>
        <w:t xml:space="preserve">number of members, either sex must only be overrepresented by a single member, i.e. on a board with 5 members equality is achieved if the gender distribution is 3 to 2, but not if it is 4 to 1. </w:t>
      </w:r>
    </w:p>
    <w:p w:rsidR="001C7D76" w:rsidRDefault="00A11A9E" w:rsidP="00A11A9E">
      <w:pPr>
        <w:pStyle w:val="SingleTxtG"/>
        <w:rPr>
          <w:lang w:val="en-US"/>
        </w:rPr>
      </w:pPr>
      <w:r>
        <w:rPr>
          <w:lang w:val="en-US"/>
        </w:rPr>
        <w:t>255.</w:t>
      </w:r>
      <w:r>
        <w:rPr>
          <w:lang w:val="en-US"/>
        </w:rPr>
        <w:tab/>
      </w:r>
      <w:r w:rsidR="001C7D76" w:rsidRPr="003F04AB">
        <w:rPr>
          <w:lang w:val="en-US"/>
        </w:rPr>
        <w:t>Since the law entered into effect, the Gender Equality Commission has worked diligently to ensure that the representation of women and men on public commissions and boards complies with the provisions set forth in the above-mentioned Act. In 2012, there were 64</w:t>
      </w:r>
      <w:r w:rsidR="00D74D61">
        <w:rPr>
          <w:lang w:val="en-US"/>
        </w:rPr>
        <w:t xml:space="preserve"> per cent</w:t>
      </w:r>
      <w:r w:rsidR="001C7D76" w:rsidRPr="003F04AB">
        <w:rPr>
          <w:lang w:val="en-US"/>
        </w:rPr>
        <w:t xml:space="preserve"> men and 36</w:t>
      </w:r>
      <w:r w:rsidR="00D74D61">
        <w:rPr>
          <w:lang w:val="en-US"/>
        </w:rPr>
        <w:t xml:space="preserve"> per cent</w:t>
      </w:r>
      <w:r w:rsidR="001C7D76" w:rsidRPr="003F04AB">
        <w:rPr>
          <w:lang w:val="en-US"/>
        </w:rPr>
        <w:t xml:space="preserve"> women serving on public commissions and boards. This is a slight increase compared to 2007, when there were 65</w:t>
      </w:r>
      <w:r w:rsidR="00D74D61">
        <w:rPr>
          <w:lang w:val="en-US"/>
        </w:rPr>
        <w:t xml:space="preserve"> per cent</w:t>
      </w:r>
      <w:r w:rsidR="001C7D76" w:rsidRPr="003F04AB">
        <w:rPr>
          <w:lang w:val="en-US"/>
        </w:rPr>
        <w:t xml:space="preserve"> men and 35</w:t>
      </w:r>
      <w:r w:rsidR="00D74D61">
        <w:rPr>
          <w:lang w:val="en-US"/>
        </w:rPr>
        <w:t xml:space="preserve"> per cent</w:t>
      </w:r>
      <w:r w:rsidR="001C7D76" w:rsidRPr="003F04AB">
        <w:rPr>
          <w:lang w:val="en-US"/>
        </w:rPr>
        <w:t xml:space="preserve"> </w:t>
      </w:r>
      <w:r w:rsidR="00B9492A">
        <w:rPr>
          <w:lang w:val="en-US"/>
        </w:rPr>
        <w:t>women</w:t>
      </w:r>
      <w:r w:rsidR="001C7D76" w:rsidRPr="003F04AB">
        <w:rPr>
          <w:lang w:val="en-US"/>
        </w:rPr>
        <w:t xml:space="preserve">. </w:t>
      </w:r>
    </w:p>
    <w:p w:rsidR="001C7D76" w:rsidRPr="005B5090" w:rsidRDefault="006105DB" w:rsidP="00A11A9E">
      <w:pPr>
        <w:pStyle w:val="H23G"/>
      </w:pPr>
      <w:r>
        <w:rPr>
          <w:lang w:val="en-US"/>
        </w:rPr>
        <w:tab/>
      </w:r>
      <w:r>
        <w:rPr>
          <w:lang w:val="en-US"/>
        </w:rPr>
        <w:tab/>
      </w:r>
      <w:r w:rsidR="001C7D76" w:rsidRPr="00A11A9E">
        <w:rPr>
          <w:b w:val="0"/>
          <w:bCs/>
          <w:lang w:val="en-US"/>
        </w:rPr>
        <w:t>Table 4</w:t>
      </w:r>
      <w:r w:rsidRPr="0094278A">
        <w:rPr>
          <w:lang w:val="en-US"/>
        </w:rPr>
        <w:br/>
      </w:r>
      <w:r w:rsidR="001C7D76" w:rsidRPr="00D35E45">
        <w:rPr>
          <w:lang w:val="en-US"/>
        </w:rPr>
        <w:t xml:space="preserve">Public </w:t>
      </w:r>
      <w:r w:rsidR="00B9492A" w:rsidRPr="00D35E45">
        <w:rPr>
          <w:lang w:val="en-US"/>
        </w:rPr>
        <w:t>c</w:t>
      </w:r>
      <w:r w:rsidR="001C7D76" w:rsidRPr="00D35E45">
        <w:rPr>
          <w:lang w:val="en-US"/>
        </w:rPr>
        <w:t xml:space="preserve">ommissions and </w:t>
      </w:r>
      <w:r w:rsidR="00B9492A" w:rsidRPr="00D35E45">
        <w:rPr>
          <w:lang w:val="en-US"/>
        </w:rPr>
        <w:t>b</w:t>
      </w:r>
      <w:r w:rsidR="001C7D76" w:rsidRPr="00D35E45">
        <w:rPr>
          <w:lang w:val="en-US"/>
        </w:rPr>
        <w:t>oards</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2552"/>
        <w:gridCol w:w="2552"/>
      </w:tblGrid>
      <w:tr w:rsidR="006105DB" w:rsidRPr="00D35E45" w:rsidTr="00A11A9E">
        <w:trPr>
          <w:tblHeader/>
        </w:trPr>
        <w:tc>
          <w:tcPr>
            <w:tcW w:w="2268" w:type="dxa"/>
            <w:tcBorders>
              <w:top w:val="single" w:sz="4" w:space="0" w:color="auto"/>
              <w:bottom w:val="single" w:sz="12" w:space="0" w:color="auto"/>
            </w:tcBorders>
            <w:shd w:val="clear" w:color="auto" w:fill="auto"/>
            <w:vAlign w:val="bottom"/>
          </w:tcPr>
          <w:p w:rsidR="00254D8C" w:rsidRPr="00A11A9E" w:rsidRDefault="00254D8C" w:rsidP="00A11A9E">
            <w:pPr>
              <w:suppressAutoHyphens w:val="0"/>
              <w:spacing w:before="80" w:after="80" w:line="200" w:lineRule="exact"/>
              <w:rPr>
                <w:i/>
                <w:sz w:val="16"/>
              </w:rPr>
            </w:pPr>
            <w:r w:rsidRPr="00A11A9E">
              <w:rPr>
                <w:i/>
                <w:sz w:val="16"/>
              </w:rPr>
              <w:t>Year</w:t>
            </w:r>
          </w:p>
        </w:tc>
        <w:tc>
          <w:tcPr>
            <w:tcW w:w="2552" w:type="dxa"/>
            <w:tcBorders>
              <w:top w:val="single" w:sz="4" w:space="0" w:color="auto"/>
              <w:bottom w:val="single" w:sz="12" w:space="0" w:color="auto"/>
            </w:tcBorders>
            <w:shd w:val="clear" w:color="auto" w:fill="auto"/>
            <w:vAlign w:val="bottom"/>
          </w:tcPr>
          <w:p w:rsidR="00254D8C" w:rsidRPr="00A11A9E" w:rsidRDefault="00254D8C" w:rsidP="00A11A9E">
            <w:pPr>
              <w:suppressAutoHyphens w:val="0"/>
              <w:spacing w:before="80" w:after="80" w:line="200" w:lineRule="exact"/>
              <w:jc w:val="right"/>
              <w:rPr>
                <w:i/>
                <w:sz w:val="16"/>
              </w:rPr>
            </w:pPr>
            <w:r w:rsidRPr="00A11A9E">
              <w:rPr>
                <w:i/>
                <w:sz w:val="16"/>
              </w:rPr>
              <w:t>Men</w:t>
            </w:r>
          </w:p>
        </w:tc>
        <w:tc>
          <w:tcPr>
            <w:tcW w:w="2552" w:type="dxa"/>
            <w:tcBorders>
              <w:top w:val="single" w:sz="4" w:space="0" w:color="auto"/>
              <w:bottom w:val="single" w:sz="12" w:space="0" w:color="auto"/>
            </w:tcBorders>
            <w:shd w:val="clear" w:color="auto" w:fill="auto"/>
            <w:vAlign w:val="bottom"/>
          </w:tcPr>
          <w:p w:rsidR="00254D8C" w:rsidRPr="00A11A9E" w:rsidRDefault="00254D8C" w:rsidP="00A11A9E">
            <w:pPr>
              <w:suppressAutoHyphens w:val="0"/>
              <w:spacing w:before="80" w:after="80" w:line="200" w:lineRule="exact"/>
              <w:jc w:val="right"/>
              <w:rPr>
                <w:i/>
                <w:sz w:val="16"/>
              </w:rPr>
            </w:pPr>
            <w:r w:rsidRPr="00A11A9E">
              <w:rPr>
                <w:i/>
                <w:sz w:val="16"/>
              </w:rPr>
              <w:t>Women</w:t>
            </w:r>
          </w:p>
        </w:tc>
      </w:tr>
      <w:tr w:rsidR="006105DB" w:rsidRPr="00D35E45" w:rsidTr="00A11A9E">
        <w:tc>
          <w:tcPr>
            <w:tcW w:w="2268" w:type="dxa"/>
            <w:tcBorders>
              <w:top w:val="single" w:sz="12" w:space="0" w:color="auto"/>
            </w:tcBorders>
            <w:shd w:val="clear" w:color="auto" w:fill="auto"/>
          </w:tcPr>
          <w:p w:rsidR="00254D8C" w:rsidRPr="00A11A9E" w:rsidRDefault="00254D8C" w:rsidP="00A11A9E">
            <w:pPr>
              <w:suppressAutoHyphens w:val="0"/>
              <w:spacing w:before="40" w:after="40" w:line="220" w:lineRule="exact"/>
              <w:rPr>
                <w:sz w:val="18"/>
              </w:rPr>
            </w:pPr>
            <w:r w:rsidRPr="00A11A9E">
              <w:rPr>
                <w:sz w:val="18"/>
              </w:rPr>
              <w:t>2015</w:t>
            </w:r>
          </w:p>
        </w:tc>
        <w:tc>
          <w:tcPr>
            <w:tcW w:w="2552" w:type="dxa"/>
            <w:tcBorders>
              <w:top w:val="single" w:sz="12" w:space="0" w:color="auto"/>
            </w:tcBorders>
            <w:shd w:val="clear" w:color="auto" w:fill="auto"/>
            <w:vAlign w:val="bottom"/>
          </w:tcPr>
          <w:p w:rsidR="00254D8C" w:rsidRPr="00A11A9E" w:rsidRDefault="00254D8C" w:rsidP="00A11A9E">
            <w:pPr>
              <w:suppressAutoHyphens w:val="0"/>
              <w:spacing w:before="40" w:after="40" w:line="220" w:lineRule="exact"/>
              <w:jc w:val="right"/>
              <w:rPr>
                <w:sz w:val="18"/>
              </w:rPr>
            </w:pPr>
            <w:r w:rsidRPr="00A11A9E">
              <w:rPr>
                <w:sz w:val="18"/>
              </w:rPr>
              <w:t>62%</w:t>
            </w:r>
          </w:p>
        </w:tc>
        <w:tc>
          <w:tcPr>
            <w:tcW w:w="2552" w:type="dxa"/>
            <w:tcBorders>
              <w:top w:val="single" w:sz="12" w:space="0" w:color="auto"/>
            </w:tcBorders>
            <w:shd w:val="clear" w:color="auto" w:fill="auto"/>
            <w:vAlign w:val="bottom"/>
          </w:tcPr>
          <w:p w:rsidR="00254D8C" w:rsidRPr="00A11A9E" w:rsidRDefault="00254D8C" w:rsidP="00A11A9E">
            <w:pPr>
              <w:suppressAutoHyphens w:val="0"/>
              <w:spacing w:before="40" w:after="40" w:line="220" w:lineRule="exact"/>
              <w:jc w:val="right"/>
              <w:rPr>
                <w:sz w:val="18"/>
              </w:rPr>
            </w:pPr>
            <w:r w:rsidRPr="00A11A9E">
              <w:rPr>
                <w:sz w:val="18"/>
              </w:rPr>
              <w:t>38%</w:t>
            </w:r>
          </w:p>
        </w:tc>
      </w:tr>
      <w:tr w:rsidR="006105DB" w:rsidRPr="00D35E45" w:rsidTr="00A11A9E">
        <w:tc>
          <w:tcPr>
            <w:tcW w:w="2268" w:type="dxa"/>
            <w:shd w:val="clear" w:color="auto" w:fill="auto"/>
          </w:tcPr>
          <w:p w:rsidR="00254D8C" w:rsidRPr="00A11A9E" w:rsidRDefault="00254D8C" w:rsidP="00A11A9E">
            <w:pPr>
              <w:suppressAutoHyphens w:val="0"/>
              <w:spacing w:before="40" w:after="40" w:line="220" w:lineRule="exact"/>
              <w:rPr>
                <w:sz w:val="18"/>
              </w:rPr>
            </w:pPr>
            <w:r w:rsidRPr="00A11A9E">
              <w:rPr>
                <w:sz w:val="18"/>
              </w:rPr>
              <w:t>2012</w:t>
            </w:r>
          </w:p>
        </w:tc>
        <w:tc>
          <w:tcPr>
            <w:tcW w:w="2552" w:type="dxa"/>
            <w:shd w:val="clear" w:color="auto" w:fill="auto"/>
            <w:vAlign w:val="bottom"/>
          </w:tcPr>
          <w:p w:rsidR="00254D8C" w:rsidRPr="00A11A9E" w:rsidRDefault="00254D8C" w:rsidP="00A11A9E">
            <w:pPr>
              <w:suppressAutoHyphens w:val="0"/>
              <w:spacing w:before="40" w:after="40" w:line="220" w:lineRule="exact"/>
              <w:jc w:val="right"/>
              <w:rPr>
                <w:sz w:val="18"/>
              </w:rPr>
            </w:pPr>
            <w:r w:rsidRPr="00A11A9E">
              <w:rPr>
                <w:sz w:val="18"/>
              </w:rPr>
              <w:t>64%</w:t>
            </w:r>
          </w:p>
        </w:tc>
        <w:tc>
          <w:tcPr>
            <w:tcW w:w="2552" w:type="dxa"/>
            <w:shd w:val="clear" w:color="auto" w:fill="auto"/>
            <w:vAlign w:val="bottom"/>
          </w:tcPr>
          <w:p w:rsidR="00254D8C" w:rsidRPr="00A11A9E" w:rsidRDefault="00254D8C" w:rsidP="00A11A9E">
            <w:pPr>
              <w:suppressAutoHyphens w:val="0"/>
              <w:spacing w:before="40" w:after="40" w:line="220" w:lineRule="exact"/>
              <w:jc w:val="right"/>
              <w:rPr>
                <w:sz w:val="18"/>
              </w:rPr>
            </w:pPr>
            <w:r w:rsidRPr="00A11A9E">
              <w:rPr>
                <w:sz w:val="18"/>
              </w:rPr>
              <w:t>36%</w:t>
            </w:r>
          </w:p>
        </w:tc>
      </w:tr>
      <w:tr w:rsidR="006105DB" w:rsidRPr="00D35E45" w:rsidTr="00A11A9E">
        <w:tc>
          <w:tcPr>
            <w:tcW w:w="2268" w:type="dxa"/>
            <w:shd w:val="clear" w:color="auto" w:fill="auto"/>
          </w:tcPr>
          <w:p w:rsidR="00254D8C" w:rsidRPr="00A11A9E" w:rsidRDefault="00254D8C" w:rsidP="00A11A9E">
            <w:pPr>
              <w:suppressAutoHyphens w:val="0"/>
              <w:spacing w:before="40" w:after="40" w:line="220" w:lineRule="exact"/>
              <w:rPr>
                <w:sz w:val="18"/>
              </w:rPr>
            </w:pPr>
            <w:r w:rsidRPr="00A11A9E">
              <w:rPr>
                <w:sz w:val="18"/>
              </w:rPr>
              <w:t>2007</w:t>
            </w:r>
          </w:p>
        </w:tc>
        <w:tc>
          <w:tcPr>
            <w:tcW w:w="2552" w:type="dxa"/>
            <w:shd w:val="clear" w:color="auto" w:fill="auto"/>
            <w:vAlign w:val="bottom"/>
          </w:tcPr>
          <w:p w:rsidR="00254D8C" w:rsidRPr="00A11A9E" w:rsidRDefault="00254D8C" w:rsidP="00A11A9E">
            <w:pPr>
              <w:suppressAutoHyphens w:val="0"/>
              <w:spacing w:before="40" w:after="40" w:line="220" w:lineRule="exact"/>
              <w:jc w:val="right"/>
              <w:rPr>
                <w:sz w:val="18"/>
              </w:rPr>
            </w:pPr>
            <w:r w:rsidRPr="00A11A9E">
              <w:rPr>
                <w:sz w:val="18"/>
              </w:rPr>
              <w:t>65%</w:t>
            </w:r>
          </w:p>
        </w:tc>
        <w:tc>
          <w:tcPr>
            <w:tcW w:w="2552" w:type="dxa"/>
            <w:shd w:val="clear" w:color="auto" w:fill="auto"/>
            <w:vAlign w:val="bottom"/>
          </w:tcPr>
          <w:p w:rsidR="00254D8C" w:rsidRPr="00A11A9E" w:rsidRDefault="00254D8C" w:rsidP="00A11A9E">
            <w:pPr>
              <w:suppressAutoHyphens w:val="0"/>
              <w:spacing w:before="40" w:after="40" w:line="220" w:lineRule="exact"/>
              <w:jc w:val="right"/>
              <w:rPr>
                <w:sz w:val="18"/>
              </w:rPr>
            </w:pPr>
            <w:r w:rsidRPr="00A11A9E">
              <w:rPr>
                <w:sz w:val="18"/>
              </w:rPr>
              <w:t>35%</w:t>
            </w:r>
          </w:p>
        </w:tc>
      </w:tr>
      <w:tr w:rsidR="006105DB" w:rsidRPr="00D35E45" w:rsidTr="00A11A9E">
        <w:tc>
          <w:tcPr>
            <w:tcW w:w="2268" w:type="dxa"/>
            <w:shd w:val="clear" w:color="auto" w:fill="auto"/>
          </w:tcPr>
          <w:p w:rsidR="00254D8C" w:rsidRPr="00A11A9E" w:rsidRDefault="00254D8C" w:rsidP="00A11A9E">
            <w:pPr>
              <w:suppressAutoHyphens w:val="0"/>
              <w:spacing w:before="40" w:after="40" w:line="220" w:lineRule="exact"/>
              <w:rPr>
                <w:sz w:val="18"/>
              </w:rPr>
            </w:pPr>
            <w:r w:rsidRPr="00A11A9E">
              <w:rPr>
                <w:sz w:val="18"/>
              </w:rPr>
              <w:t>2000</w:t>
            </w:r>
          </w:p>
        </w:tc>
        <w:tc>
          <w:tcPr>
            <w:tcW w:w="2552" w:type="dxa"/>
            <w:shd w:val="clear" w:color="auto" w:fill="auto"/>
            <w:vAlign w:val="bottom"/>
          </w:tcPr>
          <w:p w:rsidR="00254D8C" w:rsidRPr="00A11A9E" w:rsidRDefault="00254D8C" w:rsidP="00A11A9E">
            <w:pPr>
              <w:suppressAutoHyphens w:val="0"/>
              <w:spacing w:before="40" w:after="40" w:line="220" w:lineRule="exact"/>
              <w:jc w:val="right"/>
              <w:rPr>
                <w:sz w:val="18"/>
              </w:rPr>
            </w:pPr>
            <w:r w:rsidRPr="00A11A9E">
              <w:rPr>
                <w:sz w:val="18"/>
              </w:rPr>
              <w:t>70%</w:t>
            </w:r>
          </w:p>
        </w:tc>
        <w:tc>
          <w:tcPr>
            <w:tcW w:w="2552" w:type="dxa"/>
            <w:shd w:val="clear" w:color="auto" w:fill="auto"/>
            <w:vAlign w:val="bottom"/>
          </w:tcPr>
          <w:p w:rsidR="00254D8C" w:rsidRPr="00A11A9E" w:rsidRDefault="00254D8C" w:rsidP="00A11A9E">
            <w:pPr>
              <w:suppressAutoHyphens w:val="0"/>
              <w:spacing w:before="40" w:after="40" w:line="220" w:lineRule="exact"/>
              <w:jc w:val="right"/>
              <w:rPr>
                <w:sz w:val="18"/>
              </w:rPr>
            </w:pPr>
            <w:r w:rsidRPr="00A11A9E">
              <w:rPr>
                <w:sz w:val="18"/>
              </w:rPr>
              <w:t>30%</w:t>
            </w:r>
          </w:p>
        </w:tc>
      </w:tr>
    </w:tbl>
    <w:p w:rsidR="001C7D76" w:rsidRPr="00254D8C" w:rsidRDefault="006105DB" w:rsidP="00A11A9E">
      <w:pPr>
        <w:pStyle w:val="H23G"/>
        <w:rPr>
          <w:lang w:val="en-US"/>
        </w:rPr>
      </w:pPr>
      <w:r w:rsidRPr="0094278A">
        <w:rPr>
          <w:lang w:val="en-US"/>
        </w:rPr>
        <w:tab/>
      </w:r>
      <w:r w:rsidRPr="0094278A">
        <w:rPr>
          <w:lang w:val="en-US"/>
        </w:rPr>
        <w:tab/>
      </w:r>
      <w:r w:rsidR="001C7D76" w:rsidRPr="00A11A9E">
        <w:rPr>
          <w:b w:val="0"/>
          <w:bCs/>
          <w:lang w:val="en-US"/>
        </w:rPr>
        <w:t>Table 5</w:t>
      </w:r>
      <w:r w:rsidRPr="0094278A">
        <w:rPr>
          <w:lang w:val="en-US"/>
        </w:rPr>
        <w:br/>
      </w:r>
      <w:r w:rsidR="001C7D76" w:rsidRPr="00D35E45">
        <w:rPr>
          <w:lang w:val="en-US"/>
        </w:rPr>
        <w:t xml:space="preserve">Distribution by </w:t>
      </w:r>
      <w:r w:rsidR="00B9492A" w:rsidRPr="00D35E45">
        <w:rPr>
          <w:lang w:val="en-US"/>
        </w:rPr>
        <w:t>s</w:t>
      </w:r>
      <w:r w:rsidR="001C7D76" w:rsidRPr="00D35E45">
        <w:rPr>
          <w:lang w:val="en-US"/>
        </w:rPr>
        <w:t xml:space="preserve">ex on Government </w:t>
      </w:r>
      <w:r w:rsidR="00B9492A" w:rsidRPr="00D35E45">
        <w:rPr>
          <w:lang w:val="en-US"/>
        </w:rPr>
        <w:t>c</w:t>
      </w:r>
      <w:r w:rsidR="001C7D76" w:rsidRPr="00D35E45">
        <w:rPr>
          <w:lang w:val="en-US"/>
        </w:rPr>
        <w:t xml:space="preserve">ommissions and </w:t>
      </w:r>
      <w:r w:rsidR="00B9492A" w:rsidRPr="00D35E45">
        <w:rPr>
          <w:lang w:val="en-US"/>
        </w:rPr>
        <w:t>b</w:t>
      </w:r>
      <w:r w:rsidR="001C7D76" w:rsidRPr="00D35E45">
        <w:rPr>
          <w:lang w:val="en-US"/>
        </w:rPr>
        <w:t>oards</w:t>
      </w:r>
      <w:r w:rsidR="001C7D76" w:rsidRPr="00254D8C">
        <w:rPr>
          <w:lang w:val="en-US"/>
        </w:rPr>
        <w:t xml:space="preserve"> 2012</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103"/>
        <w:gridCol w:w="1134"/>
        <w:gridCol w:w="1134"/>
      </w:tblGrid>
      <w:tr w:rsidR="006105DB" w:rsidRPr="006105DB" w:rsidTr="00A11A9E">
        <w:trPr>
          <w:trHeight w:val="240"/>
          <w:tblHeader/>
        </w:trPr>
        <w:tc>
          <w:tcPr>
            <w:tcW w:w="5103" w:type="dxa"/>
            <w:tcBorders>
              <w:top w:val="single" w:sz="4" w:space="0" w:color="auto"/>
              <w:bottom w:val="single" w:sz="12" w:space="0" w:color="auto"/>
            </w:tcBorders>
            <w:shd w:val="clear" w:color="auto" w:fill="auto"/>
            <w:vAlign w:val="bottom"/>
          </w:tcPr>
          <w:p w:rsidR="001C7D76" w:rsidRPr="006105DB" w:rsidRDefault="001C7D76">
            <w:pPr>
              <w:suppressAutoHyphens w:val="0"/>
              <w:spacing w:before="80" w:after="80" w:line="200" w:lineRule="exact"/>
              <w:rPr>
                <w:i/>
                <w:sz w:val="16"/>
                <w:lang w:val="en-US"/>
              </w:rPr>
            </w:pPr>
            <w:r w:rsidRPr="006105DB">
              <w:rPr>
                <w:i/>
                <w:sz w:val="16"/>
                <w:lang w:val="en-US"/>
              </w:rPr>
              <w:t>Appointing Government Ministry</w:t>
            </w:r>
          </w:p>
        </w:tc>
        <w:tc>
          <w:tcPr>
            <w:tcW w:w="1134" w:type="dxa"/>
            <w:tcBorders>
              <w:top w:val="single" w:sz="4" w:space="0" w:color="auto"/>
              <w:bottom w:val="single" w:sz="12" w:space="0" w:color="auto"/>
            </w:tcBorders>
            <w:shd w:val="clear" w:color="auto" w:fill="auto"/>
            <w:vAlign w:val="bottom"/>
          </w:tcPr>
          <w:p w:rsidR="001C7D76" w:rsidRPr="006105DB" w:rsidRDefault="001C7D76" w:rsidP="00A11A9E">
            <w:pPr>
              <w:suppressAutoHyphens w:val="0"/>
              <w:spacing w:before="80" w:after="80" w:line="200" w:lineRule="exact"/>
              <w:jc w:val="right"/>
              <w:rPr>
                <w:i/>
                <w:sz w:val="16"/>
                <w:lang w:val="en-US"/>
              </w:rPr>
            </w:pPr>
            <w:r w:rsidRPr="006105DB">
              <w:rPr>
                <w:i/>
                <w:sz w:val="16"/>
                <w:lang w:val="en-US"/>
              </w:rPr>
              <w:t>Women in %</w:t>
            </w:r>
          </w:p>
        </w:tc>
        <w:tc>
          <w:tcPr>
            <w:tcW w:w="1134" w:type="dxa"/>
            <w:tcBorders>
              <w:top w:val="single" w:sz="4" w:space="0" w:color="auto"/>
              <w:bottom w:val="single" w:sz="12" w:space="0" w:color="auto"/>
            </w:tcBorders>
            <w:shd w:val="clear" w:color="auto" w:fill="auto"/>
            <w:vAlign w:val="bottom"/>
          </w:tcPr>
          <w:p w:rsidR="001C7D76" w:rsidRPr="006105DB" w:rsidRDefault="001C7D76" w:rsidP="00A11A9E">
            <w:pPr>
              <w:suppressAutoHyphens w:val="0"/>
              <w:spacing w:before="80" w:after="80" w:line="200" w:lineRule="exact"/>
              <w:jc w:val="right"/>
              <w:rPr>
                <w:i/>
                <w:sz w:val="16"/>
                <w:lang w:val="en-US"/>
              </w:rPr>
            </w:pPr>
            <w:r w:rsidRPr="006105DB">
              <w:rPr>
                <w:i/>
                <w:sz w:val="16"/>
                <w:lang w:val="en-US"/>
              </w:rPr>
              <w:t>Men in %</w:t>
            </w:r>
          </w:p>
        </w:tc>
      </w:tr>
      <w:tr w:rsidR="006105DB" w:rsidRPr="006105DB" w:rsidTr="00A11A9E">
        <w:trPr>
          <w:trHeight w:val="240"/>
        </w:trPr>
        <w:tc>
          <w:tcPr>
            <w:tcW w:w="5103" w:type="dxa"/>
            <w:tcBorders>
              <w:top w:val="single" w:sz="12" w:space="0" w:color="auto"/>
            </w:tcBorders>
            <w:shd w:val="clear" w:color="auto" w:fill="auto"/>
          </w:tcPr>
          <w:p w:rsidR="001C7D76" w:rsidRPr="00A11A9E" w:rsidRDefault="001C7D76" w:rsidP="00A11A9E">
            <w:pPr>
              <w:suppressAutoHyphens w:val="0"/>
              <w:spacing w:before="40" w:after="40" w:line="220" w:lineRule="exact"/>
              <w:rPr>
                <w:sz w:val="18"/>
                <w:lang w:val="en-US"/>
              </w:rPr>
            </w:pPr>
            <w:r w:rsidRPr="00A11A9E">
              <w:rPr>
                <w:sz w:val="18"/>
                <w:lang w:val="en-US"/>
              </w:rPr>
              <w:t>Prime Minister`s Office (Government of the Faroe Islands)</w:t>
            </w:r>
          </w:p>
        </w:tc>
        <w:tc>
          <w:tcPr>
            <w:tcW w:w="1134"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29</w:t>
            </w:r>
          </w:p>
        </w:tc>
        <w:tc>
          <w:tcPr>
            <w:tcW w:w="1134" w:type="dxa"/>
            <w:tcBorders>
              <w:top w:val="single" w:sz="12" w:space="0" w:color="auto"/>
            </w:tcBorders>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71</w:t>
            </w:r>
          </w:p>
        </w:tc>
      </w:tr>
      <w:tr w:rsidR="006105DB" w:rsidRPr="006105DB" w:rsidTr="00A11A9E">
        <w:trPr>
          <w:trHeight w:val="240"/>
        </w:trPr>
        <w:tc>
          <w:tcPr>
            <w:tcW w:w="5103" w:type="dxa"/>
            <w:shd w:val="clear" w:color="auto" w:fill="auto"/>
          </w:tcPr>
          <w:p w:rsidR="001C7D76" w:rsidRPr="00A11A9E" w:rsidRDefault="001C7D76" w:rsidP="00A11A9E">
            <w:pPr>
              <w:suppressAutoHyphens w:val="0"/>
              <w:spacing w:before="40" w:after="40" w:line="220" w:lineRule="exact"/>
              <w:rPr>
                <w:sz w:val="18"/>
                <w:lang w:val="en-US"/>
              </w:rPr>
            </w:pPr>
            <w:r w:rsidRPr="00A11A9E">
              <w:rPr>
                <w:sz w:val="18"/>
                <w:lang w:val="en-US"/>
              </w:rPr>
              <w:t>Ministry of Social Affairs</w:t>
            </w:r>
          </w:p>
        </w:tc>
        <w:tc>
          <w:tcPr>
            <w:tcW w:w="1134" w:type="dxa"/>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55</w:t>
            </w:r>
          </w:p>
        </w:tc>
        <w:tc>
          <w:tcPr>
            <w:tcW w:w="1134" w:type="dxa"/>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45</w:t>
            </w:r>
          </w:p>
        </w:tc>
      </w:tr>
      <w:tr w:rsidR="006105DB" w:rsidRPr="006105DB" w:rsidTr="00A11A9E">
        <w:trPr>
          <w:trHeight w:val="240"/>
        </w:trPr>
        <w:tc>
          <w:tcPr>
            <w:tcW w:w="5103" w:type="dxa"/>
            <w:shd w:val="clear" w:color="auto" w:fill="auto"/>
          </w:tcPr>
          <w:p w:rsidR="001C7D76" w:rsidRPr="00A11A9E" w:rsidRDefault="001C7D76" w:rsidP="00A11A9E">
            <w:pPr>
              <w:suppressAutoHyphens w:val="0"/>
              <w:spacing w:before="40" w:after="40" w:line="220" w:lineRule="exact"/>
              <w:rPr>
                <w:sz w:val="18"/>
                <w:lang w:val="en-US"/>
              </w:rPr>
            </w:pPr>
            <w:r w:rsidRPr="00A11A9E">
              <w:rPr>
                <w:sz w:val="18"/>
                <w:lang w:val="en-US"/>
              </w:rPr>
              <w:t>Ministry of Fisheries</w:t>
            </w:r>
          </w:p>
        </w:tc>
        <w:tc>
          <w:tcPr>
            <w:tcW w:w="1134" w:type="dxa"/>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29</w:t>
            </w:r>
          </w:p>
        </w:tc>
        <w:tc>
          <w:tcPr>
            <w:tcW w:w="1134" w:type="dxa"/>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71</w:t>
            </w:r>
          </w:p>
        </w:tc>
      </w:tr>
      <w:tr w:rsidR="006105DB" w:rsidRPr="006105DB" w:rsidTr="00A11A9E">
        <w:trPr>
          <w:trHeight w:val="240"/>
        </w:trPr>
        <w:tc>
          <w:tcPr>
            <w:tcW w:w="5103" w:type="dxa"/>
            <w:shd w:val="clear" w:color="auto" w:fill="auto"/>
          </w:tcPr>
          <w:p w:rsidR="001C7D76" w:rsidRPr="00A11A9E" w:rsidRDefault="001C7D76" w:rsidP="00A11A9E">
            <w:pPr>
              <w:suppressAutoHyphens w:val="0"/>
              <w:spacing w:before="40" w:after="40" w:line="220" w:lineRule="exact"/>
              <w:rPr>
                <w:sz w:val="18"/>
                <w:lang w:val="en-US"/>
              </w:rPr>
            </w:pPr>
            <w:r w:rsidRPr="00A11A9E">
              <w:rPr>
                <w:sz w:val="18"/>
                <w:lang w:val="en-US"/>
              </w:rPr>
              <w:t>Ministry of Finance</w:t>
            </w:r>
          </w:p>
        </w:tc>
        <w:tc>
          <w:tcPr>
            <w:tcW w:w="1134" w:type="dxa"/>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30</w:t>
            </w:r>
          </w:p>
        </w:tc>
        <w:tc>
          <w:tcPr>
            <w:tcW w:w="1134" w:type="dxa"/>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70</w:t>
            </w:r>
          </w:p>
        </w:tc>
      </w:tr>
      <w:tr w:rsidR="006105DB" w:rsidRPr="006105DB" w:rsidTr="00A11A9E">
        <w:trPr>
          <w:trHeight w:val="240"/>
        </w:trPr>
        <w:tc>
          <w:tcPr>
            <w:tcW w:w="5103" w:type="dxa"/>
            <w:shd w:val="clear" w:color="auto" w:fill="auto"/>
          </w:tcPr>
          <w:p w:rsidR="001C7D76" w:rsidRPr="00A11A9E" w:rsidRDefault="001C7D76" w:rsidP="00A11A9E">
            <w:pPr>
              <w:suppressAutoHyphens w:val="0"/>
              <w:spacing w:before="40" w:after="40" w:line="220" w:lineRule="exact"/>
              <w:rPr>
                <w:sz w:val="18"/>
                <w:lang w:val="en-US"/>
              </w:rPr>
            </w:pPr>
            <w:r w:rsidRPr="00A11A9E">
              <w:rPr>
                <w:sz w:val="18"/>
                <w:lang w:val="en-US"/>
              </w:rPr>
              <w:t>Ministry of Health Affairs</w:t>
            </w:r>
          </w:p>
        </w:tc>
        <w:tc>
          <w:tcPr>
            <w:tcW w:w="1134" w:type="dxa"/>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38</w:t>
            </w:r>
          </w:p>
        </w:tc>
        <w:tc>
          <w:tcPr>
            <w:tcW w:w="1134" w:type="dxa"/>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62</w:t>
            </w:r>
          </w:p>
        </w:tc>
      </w:tr>
      <w:tr w:rsidR="006105DB" w:rsidRPr="006105DB" w:rsidTr="00A11A9E">
        <w:trPr>
          <w:trHeight w:val="240"/>
        </w:trPr>
        <w:tc>
          <w:tcPr>
            <w:tcW w:w="5103" w:type="dxa"/>
            <w:shd w:val="clear" w:color="auto" w:fill="auto"/>
          </w:tcPr>
          <w:p w:rsidR="001C7D76" w:rsidRPr="00A11A9E" w:rsidRDefault="001C7D76" w:rsidP="00A11A9E">
            <w:pPr>
              <w:suppressAutoHyphens w:val="0"/>
              <w:spacing w:before="40" w:after="40" w:line="220" w:lineRule="exact"/>
              <w:rPr>
                <w:sz w:val="18"/>
                <w:lang w:val="en-US"/>
              </w:rPr>
            </w:pPr>
            <w:r w:rsidRPr="00A11A9E">
              <w:rPr>
                <w:sz w:val="18"/>
                <w:lang w:val="en-US"/>
              </w:rPr>
              <w:t>Ministry of the Interior*</w:t>
            </w:r>
          </w:p>
        </w:tc>
        <w:tc>
          <w:tcPr>
            <w:tcW w:w="1134" w:type="dxa"/>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33</w:t>
            </w:r>
          </w:p>
        </w:tc>
        <w:tc>
          <w:tcPr>
            <w:tcW w:w="1134" w:type="dxa"/>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67</w:t>
            </w:r>
          </w:p>
        </w:tc>
      </w:tr>
      <w:tr w:rsidR="006105DB" w:rsidRPr="006105DB" w:rsidTr="00A11A9E">
        <w:trPr>
          <w:trHeight w:val="240"/>
        </w:trPr>
        <w:tc>
          <w:tcPr>
            <w:tcW w:w="5103" w:type="dxa"/>
            <w:shd w:val="clear" w:color="auto" w:fill="auto"/>
          </w:tcPr>
          <w:p w:rsidR="001C7D76" w:rsidRPr="00A11A9E" w:rsidRDefault="001C7D76" w:rsidP="00A11A9E">
            <w:pPr>
              <w:suppressAutoHyphens w:val="0"/>
              <w:spacing w:before="40" w:after="40" w:line="220" w:lineRule="exact"/>
              <w:rPr>
                <w:sz w:val="18"/>
                <w:lang w:val="en-US"/>
              </w:rPr>
            </w:pPr>
            <w:r w:rsidRPr="00A11A9E">
              <w:rPr>
                <w:sz w:val="18"/>
                <w:lang w:val="en-US"/>
              </w:rPr>
              <w:t>Ministry of Education, Research and Culture</w:t>
            </w:r>
          </w:p>
        </w:tc>
        <w:tc>
          <w:tcPr>
            <w:tcW w:w="1134" w:type="dxa"/>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42</w:t>
            </w:r>
          </w:p>
        </w:tc>
        <w:tc>
          <w:tcPr>
            <w:tcW w:w="1134" w:type="dxa"/>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58</w:t>
            </w:r>
          </w:p>
        </w:tc>
      </w:tr>
      <w:tr w:rsidR="006105DB" w:rsidRPr="006105DB" w:rsidTr="00A11A9E">
        <w:trPr>
          <w:trHeight w:val="240"/>
        </w:trPr>
        <w:tc>
          <w:tcPr>
            <w:tcW w:w="5103" w:type="dxa"/>
            <w:tcBorders>
              <w:bottom w:val="single" w:sz="4" w:space="0" w:color="auto"/>
            </w:tcBorders>
            <w:shd w:val="clear" w:color="auto" w:fill="auto"/>
          </w:tcPr>
          <w:p w:rsidR="001C7D76" w:rsidRPr="00A11A9E" w:rsidRDefault="001C7D76" w:rsidP="00A11A9E">
            <w:pPr>
              <w:suppressAutoHyphens w:val="0"/>
              <w:spacing w:before="40" w:after="40" w:line="220" w:lineRule="exact"/>
              <w:rPr>
                <w:sz w:val="18"/>
                <w:lang w:val="en-US"/>
              </w:rPr>
            </w:pPr>
            <w:r w:rsidRPr="00A11A9E">
              <w:rPr>
                <w:sz w:val="18"/>
                <w:lang w:val="en-US"/>
              </w:rPr>
              <w:t>Ministry of Trade and Industry</w:t>
            </w:r>
          </w:p>
        </w:tc>
        <w:tc>
          <w:tcPr>
            <w:tcW w:w="1134" w:type="dxa"/>
            <w:tcBorders>
              <w:bottom w:val="single" w:sz="4" w:space="0" w:color="auto"/>
            </w:tcBorders>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41</w:t>
            </w:r>
          </w:p>
        </w:tc>
        <w:tc>
          <w:tcPr>
            <w:tcW w:w="1134" w:type="dxa"/>
            <w:tcBorders>
              <w:bottom w:val="single" w:sz="4" w:space="0" w:color="auto"/>
            </w:tcBorders>
            <w:shd w:val="clear" w:color="auto" w:fill="auto"/>
            <w:vAlign w:val="bottom"/>
          </w:tcPr>
          <w:p w:rsidR="001C7D76" w:rsidRPr="00A11A9E" w:rsidRDefault="001C7D76" w:rsidP="00A11A9E">
            <w:pPr>
              <w:suppressAutoHyphens w:val="0"/>
              <w:spacing w:before="40" w:after="40" w:line="220" w:lineRule="exact"/>
              <w:jc w:val="right"/>
              <w:rPr>
                <w:sz w:val="18"/>
                <w:lang w:val="en-US"/>
              </w:rPr>
            </w:pPr>
            <w:r w:rsidRPr="00A11A9E">
              <w:rPr>
                <w:sz w:val="18"/>
                <w:lang w:val="en-US"/>
              </w:rPr>
              <w:t>59</w:t>
            </w:r>
          </w:p>
        </w:tc>
      </w:tr>
      <w:tr w:rsidR="006105DB" w:rsidRPr="00905F93" w:rsidTr="00A11A9E">
        <w:trPr>
          <w:trHeight w:val="240"/>
        </w:trPr>
        <w:tc>
          <w:tcPr>
            <w:tcW w:w="5103" w:type="dxa"/>
            <w:tcBorders>
              <w:top w:val="single" w:sz="4" w:space="0" w:color="auto"/>
              <w:bottom w:val="single" w:sz="12" w:space="0" w:color="auto"/>
            </w:tcBorders>
            <w:shd w:val="clear" w:color="auto" w:fill="auto"/>
          </w:tcPr>
          <w:p w:rsidR="001C7D76" w:rsidRPr="00A11A9E" w:rsidRDefault="001C7D76" w:rsidP="00A11A9E">
            <w:pPr>
              <w:suppressAutoHyphens w:val="0"/>
              <w:spacing w:before="80" w:after="80" w:line="220" w:lineRule="exact"/>
              <w:ind w:left="284"/>
              <w:rPr>
                <w:b/>
                <w:bCs/>
                <w:sz w:val="18"/>
                <w:lang w:val="en-US"/>
              </w:rPr>
            </w:pPr>
            <w:r w:rsidRPr="00A11A9E">
              <w:rPr>
                <w:b/>
                <w:bCs/>
                <w:sz w:val="18"/>
                <w:lang w:val="en-US"/>
              </w:rPr>
              <w:t>Total</w:t>
            </w:r>
          </w:p>
        </w:tc>
        <w:tc>
          <w:tcPr>
            <w:tcW w:w="1134" w:type="dxa"/>
            <w:tcBorders>
              <w:top w:val="single" w:sz="4" w:space="0" w:color="auto"/>
              <w:bottom w:val="single" w:sz="12" w:space="0" w:color="auto"/>
            </w:tcBorders>
            <w:shd w:val="clear" w:color="auto" w:fill="auto"/>
            <w:vAlign w:val="bottom"/>
          </w:tcPr>
          <w:p w:rsidR="001C7D76" w:rsidRPr="00A11A9E" w:rsidRDefault="001C7D76" w:rsidP="00A11A9E">
            <w:pPr>
              <w:suppressAutoHyphens w:val="0"/>
              <w:spacing w:before="80" w:after="80" w:line="220" w:lineRule="exact"/>
              <w:jc w:val="right"/>
              <w:rPr>
                <w:b/>
                <w:bCs/>
                <w:sz w:val="18"/>
                <w:lang w:val="en-US"/>
              </w:rPr>
            </w:pPr>
            <w:r w:rsidRPr="00A11A9E">
              <w:rPr>
                <w:b/>
                <w:bCs/>
                <w:sz w:val="18"/>
                <w:lang w:val="en-US"/>
              </w:rPr>
              <w:t>38</w:t>
            </w:r>
          </w:p>
        </w:tc>
        <w:tc>
          <w:tcPr>
            <w:tcW w:w="1134" w:type="dxa"/>
            <w:tcBorders>
              <w:top w:val="single" w:sz="4" w:space="0" w:color="auto"/>
              <w:bottom w:val="single" w:sz="12" w:space="0" w:color="auto"/>
            </w:tcBorders>
            <w:shd w:val="clear" w:color="auto" w:fill="auto"/>
            <w:vAlign w:val="bottom"/>
          </w:tcPr>
          <w:p w:rsidR="001C7D76" w:rsidRPr="00A11A9E" w:rsidRDefault="001C7D76" w:rsidP="00A11A9E">
            <w:pPr>
              <w:suppressAutoHyphens w:val="0"/>
              <w:spacing w:before="80" w:after="80" w:line="220" w:lineRule="exact"/>
              <w:jc w:val="right"/>
              <w:rPr>
                <w:b/>
                <w:bCs/>
                <w:sz w:val="18"/>
                <w:lang w:val="en-US"/>
              </w:rPr>
            </w:pPr>
            <w:r w:rsidRPr="00A11A9E">
              <w:rPr>
                <w:b/>
                <w:bCs/>
                <w:sz w:val="18"/>
                <w:lang w:val="en-US"/>
              </w:rPr>
              <w:t>62</w:t>
            </w:r>
          </w:p>
        </w:tc>
      </w:tr>
    </w:tbl>
    <w:p w:rsidR="001C7D76" w:rsidRPr="00254D8C" w:rsidRDefault="001C7D76" w:rsidP="00A11A9E">
      <w:pPr>
        <w:pStyle w:val="SingleTxtG"/>
        <w:spacing w:before="120"/>
        <w:ind w:firstLine="170"/>
        <w:jc w:val="left"/>
        <w:rPr>
          <w:sz w:val="18"/>
          <w:szCs w:val="18"/>
          <w:lang w:val="en-US"/>
        </w:rPr>
      </w:pPr>
      <w:r w:rsidRPr="00254D8C">
        <w:rPr>
          <w:sz w:val="18"/>
          <w:szCs w:val="18"/>
          <w:lang w:val="en-US"/>
        </w:rPr>
        <w:t>*</w:t>
      </w:r>
      <w:r w:rsidR="005C2A17">
        <w:rPr>
          <w:sz w:val="18"/>
          <w:szCs w:val="18"/>
          <w:lang w:val="en-US"/>
        </w:rPr>
        <w:t xml:space="preserve">  </w:t>
      </w:r>
      <w:r w:rsidRPr="00254D8C">
        <w:rPr>
          <w:sz w:val="18"/>
          <w:szCs w:val="18"/>
          <w:lang w:val="en-US"/>
        </w:rPr>
        <w:t>The Ministry of Interior was dissolved as a separate ministry in October 2013.</w:t>
      </w:r>
      <w:r w:rsidR="00AF685F">
        <w:rPr>
          <w:sz w:val="18"/>
          <w:szCs w:val="18"/>
          <w:lang w:val="en-US"/>
        </w:rPr>
        <w:t xml:space="preserve"> </w:t>
      </w:r>
    </w:p>
    <w:p w:rsidR="001C7D76" w:rsidRPr="006A300B" w:rsidRDefault="00A11A9E" w:rsidP="00A11A9E">
      <w:pPr>
        <w:pStyle w:val="SingleTxtG"/>
      </w:pPr>
      <w:r w:rsidRPr="006A300B">
        <w:t>256.</w:t>
      </w:r>
      <w:r w:rsidRPr="006A300B">
        <w:tab/>
      </w:r>
      <w:r w:rsidR="001C7D76" w:rsidRPr="00254D8C">
        <w:rPr>
          <w:lang w:val="en-US"/>
        </w:rPr>
        <w:t xml:space="preserve">Table 5 represents the distribution by gender on Government Commissions </w:t>
      </w:r>
      <w:r w:rsidR="00D35E45">
        <w:rPr>
          <w:lang w:val="en-US"/>
        </w:rPr>
        <w:t>and</w:t>
      </w:r>
      <w:r w:rsidR="00D35E45" w:rsidRPr="00254D8C">
        <w:rPr>
          <w:lang w:val="en-US"/>
        </w:rPr>
        <w:t xml:space="preserve"> </w:t>
      </w:r>
      <w:r w:rsidR="001C7D76" w:rsidRPr="00254D8C">
        <w:rPr>
          <w:lang w:val="en-US"/>
        </w:rPr>
        <w:t>Boards in February 2015.</w:t>
      </w:r>
    </w:p>
    <w:p w:rsidR="001C7D76" w:rsidRPr="00A11A9E" w:rsidRDefault="00254D8C">
      <w:pPr>
        <w:pStyle w:val="H1G"/>
      </w:pPr>
      <w:r>
        <w:rPr>
          <w:lang w:val="en-US"/>
        </w:rPr>
        <w:tab/>
      </w:r>
      <w:r>
        <w:rPr>
          <w:lang w:val="en-US"/>
        </w:rPr>
        <w:tab/>
      </w:r>
      <w:r w:rsidR="001C7D76" w:rsidRPr="00C2177E">
        <w:rPr>
          <w:lang w:val="en-US"/>
        </w:rPr>
        <w:t>Dissemination of information relating to the Cove</w:t>
      </w:r>
      <w:r w:rsidR="001C7D76">
        <w:rPr>
          <w:lang w:val="en-US"/>
        </w:rPr>
        <w:t xml:space="preserve">nant and the Optional Protocol </w:t>
      </w:r>
      <w:r w:rsidR="001C7D76" w:rsidRPr="00C2177E">
        <w:rPr>
          <w:lang w:val="en-US"/>
        </w:rPr>
        <w:t>(</w:t>
      </w:r>
      <w:r w:rsidR="00FF0EDD">
        <w:rPr>
          <w:lang w:val="en-US"/>
        </w:rPr>
        <w:t>list of issues</w:t>
      </w:r>
      <w:r w:rsidR="001A400D">
        <w:rPr>
          <w:lang w:val="en-US"/>
        </w:rPr>
        <w:t>,</w:t>
      </w:r>
      <w:r w:rsidR="001C7D76" w:rsidRPr="0031484E">
        <w:rPr>
          <w:lang w:val="en-US"/>
        </w:rPr>
        <w:t xml:space="preserve"> </w:t>
      </w:r>
      <w:r w:rsidR="001C7D76" w:rsidRPr="00C2177E">
        <w:rPr>
          <w:lang w:val="en-US"/>
        </w:rPr>
        <w:t xml:space="preserve">para. 24) </w:t>
      </w:r>
    </w:p>
    <w:p w:rsidR="001C7D76" w:rsidRDefault="00A11A9E" w:rsidP="00A11A9E">
      <w:pPr>
        <w:pStyle w:val="SingleTxtG"/>
      </w:pPr>
      <w:r>
        <w:t>257.</w:t>
      </w:r>
      <w:r>
        <w:tab/>
      </w:r>
      <w:r w:rsidR="001C7D76" w:rsidRPr="008302D6">
        <w:t>In the Faroe Islands it is today an established practice to send out a press release on UN human rights hearing process</w:t>
      </w:r>
      <w:r w:rsidR="001C7D76">
        <w:t>es</w:t>
      </w:r>
      <w:r w:rsidR="001C7D76" w:rsidRPr="008302D6">
        <w:t xml:space="preserve">. The summary of conclusions and recommendations made by the </w:t>
      </w:r>
      <w:r w:rsidR="001C7D76">
        <w:t>UN</w:t>
      </w:r>
      <w:r w:rsidR="001C7D76" w:rsidRPr="008302D6">
        <w:t xml:space="preserve"> Human Rights Council is </w:t>
      </w:r>
      <w:r w:rsidR="001C7D76">
        <w:t xml:space="preserve">translated </w:t>
      </w:r>
      <w:r w:rsidR="001C7D76" w:rsidRPr="008302D6">
        <w:t>in</w:t>
      </w:r>
      <w:r w:rsidR="001C7D76">
        <w:t>to</w:t>
      </w:r>
      <w:r w:rsidR="001C7D76" w:rsidRPr="008302D6">
        <w:t xml:space="preserve"> </w:t>
      </w:r>
      <w:r w:rsidR="00B9492A">
        <w:t xml:space="preserve">the </w:t>
      </w:r>
      <w:r w:rsidR="001C7D76" w:rsidRPr="008302D6">
        <w:t>Faroese language and sent to the media and published on the website of the Foreign Service of the Faroe Islands.</w:t>
      </w:r>
      <w:r w:rsidR="001C7D76">
        <w:t xml:space="preserve"> </w:t>
      </w:r>
      <w:r w:rsidR="001C7D76" w:rsidRPr="008302D6">
        <w:t>In addition</w:t>
      </w:r>
      <w:r w:rsidR="001C7D76">
        <w:t>,</w:t>
      </w:r>
      <w:r w:rsidR="001C7D76" w:rsidRPr="008302D6">
        <w:t xml:space="preserve"> it has been decided that all the Faroese periodic reports as well as the concluding observations by the</w:t>
      </w:r>
      <w:r w:rsidR="001C7D76">
        <w:t xml:space="preserve"> Committee</w:t>
      </w:r>
      <w:r w:rsidR="001C7D76" w:rsidRPr="008302D6">
        <w:t xml:space="preserve"> are to be made available on the website of the Foreign Service at the Prime Minister’s Office in the Faroe Islands. </w:t>
      </w:r>
    </w:p>
    <w:p w:rsidR="001C7D76" w:rsidRDefault="00A11A9E" w:rsidP="00A11A9E">
      <w:pPr>
        <w:pStyle w:val="SingleTxtG"/>
      </w:pPr>
      <w:r>
        <w:t>258.</w:t>
      </w:r>
      <w:r>
        <w:tab/>
      </w:r>
      <w:r w:rsidR="001C7D76" w:rsidRPr="008302D6">
        <w:t xml:space="preserve">The involvement of Faroese NGOs in the work on the periodic report is greatly appreciated and ensured by way of regular and direct communication with the NGOs and by public announcement through the established media channels in the Faroe Islands. </w:t>
      </w:r>
    </w:p>
    <w:p w:rsidR="001C7D76" w:rsidRDefault="00A11A9E" w:rsidP="00A11A9E">
      <w:pPr>
        <w:pStyle w:val="SingleTxtG"/>
      </w:pPr>
      <w:r>
        <w:t>259.</w:t>
      </w:r>
      <w:r>
        <w:tab/>
      </w:r>
      <w:r w:rsidR="001C7D76" w:rsidRPr="008302D6">
        <w:t xml:space="preserve">To raise awareness of the </w:t>
      </w:r>
      <w:r w:rsidR="001C7D76" w:rsidRPr="00D40580">
        <w:t>Covenant</w:t>
      </w:r>
      <w:r w:rsidR="001C7D76" w:rsidRPr="008302D6">
        <w:t xml:space="preserve"> and its </w:t>
      </w:r>
      <w:r w:rsidR="001C7D76">
        <w:t>O</w:t>
      </w:r>
      <w:r w:rsidR="001C7D76" w:rsidRPr="008302D6">
        <w:t>ptional Protocol as well as human rights conventions in general</w:t>
      </w:r>
      <w:r w:rsidR="001C7D76">
        <w:t>,</w:t>
      </w:r>
      <w:r w:rsidR="001C7D76" w:rsidRPr="008302D6">
        <w:t xml:space="preserve"> among public officials, and particularly among</w:t>
      </w:r>
      <w:r w:rsidR="001C7D76">
        <w:t xml:space="preserve"> legal advisers </w:t>
      </w:r>
      <w:r w:rsidR="001C7D76" w:rsidRPr="008302D6">
        <w:t xml:space="preserve">and law enforcement officers, and to ensure that the Covenant is implemented into new laws and that Faroese laws are in conformity with the Covenant, the Department of Legislative Affairs scrutinizes draft legislation from all Ministries, before a Bill is introduced to the Faroese Parliament. </w:t>
      </w:r>
    </w:p>
    <w:p w:rsidR="001C7D76" w:rsidRDefault="00A11A9E" w:rsidP="00A11A9E">
      <w:pPr>
        <w:pStyle w:val="SingleTxtG"/>
      </w:pPr>
      <w:r>
        <w:t>260.</w:t>
      </w:r>
      <w:r>
        <w:tab/>
      </w:r>
      <w:r w:rsidR="001C7D76" w:rsidRPr="008302D6">
        <w:t xml:space="preserve">The draft legislation is examined to determine whether it complies with the Danish Constitution, </w:t>
      </w:r>
      <w:r w:rsidR="001C7D76">
        <w:t>t</w:t>
      </w:r>
      <w:r w:rsidR="001C7D76" w:rsidRPr="008302D6">
        <w:t xml:space="preserve">he Faroese Home Rule Law and other general rules and principles. The relationship </w:t>
      </w:r>
      <w:r w:rsidR="001C7D76">
        <w:t xml:space="preserve">with </w:t>
      </w:r>
      <w:r w:rsidR="001C7D76" w:rsidRPr="008302D6">
        <w:t xml:space="preserve">international conventions on human rights is examined to the extent that circumstances may </w:t>
      </w:r>
      <w:r w:rsidR="001C7D76">
        <w:t>warrant</w:t>
      </w:r>
      <w:r w:rsidR="001C7D76" w:rsidRPr="008302D6">
        <w:t>.</w:t>
      </w:r>
      <w:r w:rsidR="001C7D76">
        <w:t xml:space="preserve"> </w:t>
      </w:r>
    </w:p>
    <w:p w:rsidR="001C7D76" w:rsidRDefault="00A11A9E" w:rsidP="00A11A9E">
      <w:pPr>
        <w:pStyle w:val="SingleTxtG"/>
      </w:pPr>
      <w:r>
        <w:t>261.</w:t>
      </w:r>
      <w:r>
        <w:tab/>
      </w:r>
      <w:r w:rsidR="001C7D76" w:rsidRPr="008302D6">
        <w:t>The Department of Legislative Affairs has</w:t>
      </w:r>
      <w:r w:rsidR="001C7D76">
        <w:t xml:space="preserve"> formulated a set of guidelines</w:t>
      </w:r>
      <w:r w:rsidR="001C7D76" w:rsidRPr="008302D6">
        <w:t xml:space="preserve"> </w:t>
      </w:r>
      <w:r w:rsidR="001C7D76">
        <w:t xml:space="preserve">to support </w:t>
      </w:r>
      <w:r w:rsidR="001C7D76" w:rsidRPr="008302D6">
        <w:t xml:space="preserve">the </w:t>
      </w:r>
      <w:r w:rsidR="001C7D76">
        <w:t xml:space="preserve">preparation </w:t>
      </w:r>
      <w:r w:rsidR="001C7D76" w:rsidRPr="008302D6">
        <w:t xml:space="preserve">of legislation. Here it is stressed that international conventions on human rights must be </w:t>
      </w:r>
      <w:r w:rsidR="001C7D76">
        <w:t>taken into account</w:t>
      </w:r>
      <w:r w:rsidR="001C7D76" w:rsidRPr="008302D6">
        <w:t xml:space="preserve"> during the </w:t>
      </w:r>
      <w:r w:rsidR="001C7D76">
        <w:t>preparation</w:t>
      </w:r>
      <w:r w:rsidR="001C7D76" w:rsidRPr="008302D6">
        <w:t xml:space="preserve">. </w:t>
      </w:r>
      <w:r w:rsidR="001C7D76">
        <w:t>T</w:t>
      </w:r>
      <w:r w:rsidR="001C7D76" w:rsidRPr="008302D6">
        <w:t>he guide</w:t>
      </w:r>
      <w:r w:rsidR="001C7D76">
        <w:t xml:space="preserve"> also</w:t>
      </w:r>
      <w:r w:rsidR="001C7D76" w:rsidRPr="008302D6">
        <w:t xml:space="preserve"> </w:t>
      </w:r>
      <w:r w:rsidR="001C7D76">
        <w:t xml:space="preserve">comprises </w:t>
      </w:r>
      <w:r w:rsidR="001C7D76" w:rsidRPr="008302D6">
        <w:t xml:space="preserve">a </w:t>
      </w:r>
      <w:r w:rsidR="001C7D76">
        <w:t>table which calls for consideration of the impact on</w:t>
      </w:r>
      <w:r w:rsidR="001C7D76" w:rsidRPr="008302D6">
        <w:t xml:space="preserve"> financial, administrati</w:t>
      </w:r>
      <w:r w:rsidR="001C7D76">
        <w:t>ve</w:t>
      </w:r>
      <w:r w:rsidR="001C7D76" w:rsidRPr="008302D6">
        <w:t>, environmental, social and human right</w:t>
      </w:r>
      <w:r w:rsidR="001C7D76">
        <w:t>s issues at</w:t>
      </w:r>
      <w:r w:rsidR="001C7D76" w:rsidRPr="008302D6">
        <w:t xml:space="preserve"> governmental, regional and municipal level</w:t>
      </w:r>
      <w:r w:rsidR="001C7D76">
        <w:t>. Thus,</w:t>
      </w:r>
      <w:r w:rsidR="001C7D76" w:rsidRPr="008302D6">
        <w:t xml:space="preserve"> steps </w:t>
      </w:r>
      <w:r w:rsidR="001C7D76">
        <w:t xml:space="preserve">have been taken </w:t>
      </w:r>
      <w:r w:rsidR="001C7D76" w:rsidRPr="008302D6">
        <w:t>to raise the awareness among public officials and to ensure that Faroese laws are in conformity with the Covenant.</w:t>
      </w:r>
    </w:p>
    <w:p w:rsidR="00254D8C" w:rsidRPr="00254D8C" w:rsidRDefault="00254D8C">
      <w:pPr>
        <w:pStyle w:val="SingleTxtG"/>
        <w:spacing w:before="240" w:after="0"/>
        <w:jc w:val="center"/>
        <w:rPr>
          <w:u w:val="single"/>
        </w:rPr>
      </w:pPr>
      <w:r>
        <w:rPr>
          <w:u w:val="single"/>
        </w:rPr>
        <w:tab/>
      </w:r>
      <w:r>
        <w:rPr>
          <w:u w:val="single"/>
        </w:rPr>
        <w:tab/>
      </w:r>
      <w:r>
        <w:rPr>
          <w:u w:val="single"/>
        </w:rPr>
        <w:tab/>
      </w:r>
    </w:p>
    <w:sectPr w:rsidR="00254D8C" w:rsidRPr="00254D8C" w:rsidSect="00647451">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1T11:53:00Z" w:initials="Start">
    <w:p w:rsidR="00647451" w:rsidRDefault="0064745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NO&gt;&gt;N1525683E&lt;&lt;ODS JOB NO&gt;&gt;</w:t>
      </w:r>
    </w:p>
    <w:p w:rsidR="00647451" w:rsidRDefault="00647451">
      <w:pPr>
        <w:pStyle w:val="CommentText"/>
      </w:pPr>
      <w:r>
        <w:t>&lt;&lt;ODS DOC SYMBOL1&gt;&gt;CCPR/C/DNK/6&lt;&lt;ODS DOC SYMBOL1&gt;&gt;</w:t>
      </w:r>
    </w:p>
    <w:p w:rsidR="00647451" w:rsidRDefault="0064745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337D" w:rsidRDefault="002B337D"/>
  </w:endnote>
  <w:endnote w:type="continuationSeparator" w:id="0">
    <w:p w:rsidR="002B337D" w:rsidRDefault="002B337D"/>
  </w:endnote>
  <w:endnote w:type="continuationNotice" w:id="1">
    <w:p w:rsidR="002B337D" w:rsidRDefault="002B33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A87" w:rsidRPr="00003C19" w:rsidRDefault="002A2A87" w:rsidP="00003C19">
    <w:pPr>
      <w:pStyle w:val="Footer"/>
      <w:tabs>
        <w:tab w:val="right" w:pos="9638"/>
      </w:tabs>
    </w:pPr>
    <w:r w:rsidRPr="00003C19">
      <w:rPr>
        <w:b/>
        <w:sz w:val="18"/>
      </w:rPr>
      <w:fldChar w:fldCharType="begin"/>
    </w:r>
    <w:r w:rsidRPr="00003C19">
      <w:rPr>
        <w:b/>
        <w:sz w:val="18"/>
      </w:rPr>
      <w:instrText xml:space="preserve"> PAGE  \* MERGEFORMAT </w:instrText>
    </w:r>
    <w:r w:rsidRPr="00003C19">
      <w:rPr>
        <w:b/>
        <w:sz w:val="18"/>
      </w:rPr>
      <w:fldChar w:fldCharType="separate"/>
    </w:r>
    <w:r w:rsidR="00E9697E">
      <w:rPr>
        <w:b/>
        <w:noProof/>
        <w:sz w:val="18"/>
      </w:rPr>
      <w:t>42</w:t>
    </w:r>
    <w:r w:rsidRPr="00003C1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A87" w:rsidRPr="00003C19" w:rsidRDefault="002A2A87" w:rsidP="00003C19">
    <w:pPr>
      <w:pStyle w:val="Footer"/>
      <w:tabs>
        <w:tab w:val="right" w:pos="9638"/>
      </w:tabs>
      <w:rPr>
        <w:b/>
        <w:sz w:val="18"/>
      </w:rPr>
    </w:pPr>
    <w:r>
      <w:tab/>
    </w:r>
    <w:r w:rsidRPr="00003C19">
      <w:rPr>
        <w:b/>
        <w:sz w:val="18"/>
      </w:rPr>
      <w:fldChar w:fldCharType="begin"/>
    </w:r>
    <w:r w:rsidRPr="00003C19">
      <w:rPr>
        <w:b/>
        <w:sz w:val="18"/>
      </w:rPr>
      <w:instrText xml:space="preserve"> PAGE  \* MERGEFORMAT </w:instrText>
    </w:r>
    <w:r w:rsidRPr="00003C19">
      <w:rPr>
        <w:b/>
        <w:sz w:val="18"/>
      </w:rPr>
      <w:fldChar w:fldCharType="separate"/>
    </w:r>
    <w:r w:rsidR="00E9697E">
      <w:rPr>
        <w:b/>
        <w:noProof/>
        <w:sz w:val="18"/>
      </w:rPr>
      <w:t>43</w:t>
    </w:r>
    <w:r w:rsidRPr="00003C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647451" w:rsidTr="00647451">
      <w:tc>
        <w:tcPr>
          <w:tcW w:w="3614" w:type="dxa"/>
          <w:shd w:val="clear" w:color="auto" w:fill="auto"/>
        </w:tcPr>
        <w:p w:rsidR="00647451" w:rsidRDefault="00647451" w:rsidP="00647451">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CPR/C/DNK/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DNK/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GE.15-19619(E)</w:t>
          </w:r>
        </w:p>
        <w:p w:rsidR="00647451" w:rsidRPr="00647451" w:rsidRDefault="00647451" w:rsidP="00647451">
          <w:pPr>
            <w:pStyle w:val="Footer"/>
            <w:rPr>
              <w:rFonts w:ascii="Barcode 3 of 9 by request" w:hAnsi="Barcode 3 of 9 by request"/>
              <w:sz w:val="24"/>
            </w:rPr>
          </w:pPr>
          <w:r>
            <w:rPr>
              <w:rFonts w:ascii="Barcode 3 of 9 by request" w:hAnsi="Barcode 3 of 9 by request"/>
              <w:sz w:val="24"/>
            </w:rPr>
            <w:t>*1519619*</w:t>
          </w:r>
        </w:p>
      </w:tc>
      <w:tc>
        <w:tcPr>
          <w:tcW w:w="4752" w:type="dxa"/>
          <w:shd w:val="clear" w:color="auto" w:fill="auto"/>
        </w:tcPr>
        <w:p w:rsidR="00647451" w:rsidRDefault="00647451" w:rsidP="00647451">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647451" w:rsidRPr="00647451" w:rsidRDefault="00647451" w:rsidP="00647451">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337D" w:rsidRPr="000B175B" w:rsidRDefault="002B337D" w:rsidP="000B175B">
      <w:pPr>
        <w:tabs>
          <w:tab w:val="right" w:pos="2155"/>
        </w:tabs>
        <w:spacing w:after="80"/>
        <w:ind w:left="680"/>
        <w:rPr>
          <w:u w:val="single"/>
        </w:rPr>
      </w:pPr>
      <w:r>
        <w:rPr>
          <w:u w:val="single"/>
        </w:rPr>
        <w:tab/>
      </w:r>
    </w:p>
  </w:footnote>
  <w:footnote w:type="continuationSeparator" w:id="0">
    <w:p w:rsidR="002B337D" w:rsidRPr="00FC68B7" w:rsidRDefault="002B337D" w:rsidP="00FC68B7">
      <w:pPr>
        <w:tabs>
          <w:tab w:val="left" w:pos="2155"/>
        </w:tabs>
        <w:spacing w:after="80"/>
        <w:ind w:left="680"/>
        <w:rPr>
          <w:u w:val="single"/>
        </w:rPr>
      </w:pPr>
      <w:r>
        <w:rPr>
          <w:u w:val="single"/>
        </w:rPr>
        <w:tab/>
      </w:r>
    </w:p>
  </w:footnote>
  <w:footnote w:type="continuationNotice" w:id="1">
    <w:p w:rsidR="002B337D" w:rsidRDefault="002B337D"/>
  </w:footnote>
  <w:footnote w:id="2">
    <w:p w:rsidR="002A2A87" w:rsidRDefault="002A2A87" w:rsidP="00003C19">
      <w:pPr>
        <w:pStyle w:val="FootnoteText"/>
      </w:pPr>
      <w:r>
        <w:tab/>
      </w:r>
      <w:r w:rsidRPr="00F1743B">
        <w:rPr>
          <w:rStyle w:val="FootnoteReference"/>
          <w:sz w:val="20"/>
          <w:vertAlign w:val="baseline"/>
        </w:rPr>
        <w:t>*</w:t>
      </w:r>
      <w:r>
        <w:tab/>
        <w:t>The present document is being issued without formal editing</w:t>
      </w:r>
      <w:r>
        <w:rPr>
          <w:szCs w:val="18"/>
        </w:rPr>
        <w:t>.</w:t>
      </w:r>
    </w:p>
  </w:footnote>
  <w:footnote w:id="3">
    <w:p w:rsidR="002A2A87" w:rsidRPr="00A11A9E" w:rsidRDefault="002A2A87" w:rsidP="004856F8">
      <w:pPr>
        <w:pStyle w:val="FootnoteText"/>
        <w:rPr>
          <w:rStyle w:val="FootnoteReference"/>
          <w:sz w:val="20"/>
          <w:vertAlign w:val="baseline"/>
        </w:rPr>
      </w:pPr>
      <w:r w:rsidRPr="00B21393">
        <w:rPr>
          <w:rStyle w:val="FootnoteReference"/>
        </w:rPr>
        <w:tab/>
      </w:r>
      <w:r w:rsidRPr="00A11A9E">
        <w:rPr>
          <w:rStyle w:val="FootnoteReference"/>
          <w:sz w:val="20"/>
          <w:vertAlign w:val="baseline"/>
        </w:rPr>
        <w:t>**</w:t>
      </w:r>
      <w:r w:rsidRPr="002A2A87">
        <w:rPr>
          <w:rStyle w:val="FootnoteReference"/>
        </w:rPr>
        <w:tab/>
      </w:r>
      <w:r w:rsidRPr="002A2A87">
        <w:t xml:space="preserve">The annexes to the present report are on file with the Secretariat and are available for consultation. They may also be accessed from the web page of the </w:t>
      </w:r>
      <w:r w:rsidR="004856F8">
        <w:t>Human Rights Committee</w:t>
      </w:r>
      <w:r w:rsidRPr="002A2A87">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A87" w:rsidRPr="00003C19" w:rsidRDefault="002A2A87">
    <w:pPr>
      <w:pStyle w:val="Header"/>
    </w:pPr>
    <w:r>
      <w:t>CCPR/C/DNK/6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A87" w:rsidRPr="00003C19" w:rsidRDefault="002A2A87" w:rsidP="00003C19">
    <w:pPr>
      <w:pStyle w:val="Header"/>
      <w:jc w:val="right"/>
    </w:pPr>
    <w:r>
      <w:t>CCPR/C/DNK/6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CC509B"/>
    <w:multiLevelType w:val="hybridMultilevel"/>
    <w:tmpl w:val="71E2748E"/>
    <w:lvl w:ilvl="0" w:tplc="059EC566">
      <w:numFmt w:val="bullet"/>
      <w:lvlText w:val=""/>
      <w:lvlJc w:val="left"/>
      <w:pPr>
        <w:ind w:left="1689" w:hanging="555"/>
      </w:pPr>
      <w:rPr>
        <w:rFonts w:ascii="Symbol" w:eastAsia="Times New Roma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
    <w:nsid w:val="0B626EB3"/>
    <w:multiLevelType w:val="hybridMultilevel"/>
    <w:tmpl w:val="21B4828A"/>
    <w:lvl w:ilvl="0" w:tplc="0406000F">
      <w:start w:val="1"/>
      <w:numFmt w:val="decimal"/>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3">
    <w:nsid w:val="0BE90DB6"/>
    <w:multiLevelType w:val="hybridMultilevel"/>
    <w:tmpl w:val="5052C18A"/>
    <w:lvl w:ilvl="0" w:tplc="41304BDA">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0FCE74C2"/>
    <w:multiLevelType w:val="hybridMultilevel"/>
    <w:tmpl w:val="11CE845C"/>
    <w:lvl w:ilvl="0" w:tplc="04380001">
      <w:start w:val="1"/>
      <w:numFmt w:val="bullet"/>
      <w:lvlText w:val=""/>
      <w:lvlJc w:val="left"/>
      <w:pPr>
        <w:ind w:left="1080" w:hanging="360"/>
      </w:pPr>
      <w:rPr>
        <w:rFonts w:ascii="Symbol" w:hAnsi="Symbol" w:hint="default"/>
      </w:rPr>
    </w:lvl>
    <w:lvl w:ilvl="1" w:tplc="04380003" w:tentative="1">
      <w:start w:val="1"/>
      <w:numFmt w:val="bullet"/>
      <w:lvlText w:val="o"/>
      <w:lvlJc w:val="left"/>
      <w:pPr>
        <w:ind w:left="1800" w:hanging="360"/>
      </w:pPr>
      <w:rPr>
        <w:rFonts w:ascii="Courier New" w:hAnsi="Courier New" w:cs="Courier New" w:hint="default"/>
      </w:rPr>
    </w:lvl>
    <w:lvl w:ilvl="2" w:tplc="04380005" w:tentative="1">
      <w:start w:val="1"/>
      <w:numFmt w:val="bullet"/>
      <w:lvlText w:val=""/>
      <w:lvlJc w:val="left"/>
      <w:pPr>
        <w:ind w:left="2520" w:hanging="360"/>
      </w:pPr>
      <w:rPr>
        <w:rFonts w:ascii="Wingdings" w:hAnsi="Wingdings" w:hint="default"/>
      </w:rPr>
    </w:lvl>
    <w:lvl w:ilvl="3" w:tplc="04380001" w:tentative="1">
      <w:start w:val="1"/>
      <w:numFmt w:val="bullet"/>
      <w:lvlText w:val=""/>
      <w:lvlJc w:val="left"/>
      <w:pPr>
        <w:ind w:left="3240" w:hanging="360"/>
      </w:pPr>
      <w:rPr>
        <w:rFonts w:ascii="Symbol" w:hAnsi="Symbol" w:hint="default"/>
      </w:rPr>
    </w:lvl>
    <w:lvl w:ilvl="4" w:tplc="04380003" w:tentative="1">
      <w:start w:val="1"/>
      <w:numFmt w:val="bullet"/>
      <w:lvlText w:val="o"/>
      <w:lvlJc w:val="left"/>
      <w:pPr>
        <w:ind w:left="3960" w:hanging="360"/>
      </w:pPr>
      <w:rPr>
        <w:rFonts w:ascii="Courier New" w:hAnsi="Courier New" w:cs="Courier New" w:hint="default"/>
      </w:rPr>
    </w:lvl>
    <w:lvl w:ilvl="5" w:tplc="04380005" w:tentative="1">
      <w:start w:val="1"/>
      <w:numFmt w:val="bullet"/>
      <w:lvlText w:val=""/>
      <w:lvlJc w:val="left"/>
      <w:pPr>
        <w:ind w:left="4680" w:hanging="360"/>
      </w:pPr>
      <w:rPr>
        <w:rFonts w:ascii="Wingdings" w:hAnsi="Wingdings" w:hint="default"/>
      </w:rPr>
    </w:lvl>
    <w:lvl w:ilvl="6" w:tplc="04380001" w:tentative="1">
      <w:start w:val="1"/>
      <w:numFmt w:val="bullet"/>
      <w:lvlText w:val=""/>
      <w:lvlJc w:val="left"/>
      <w:pPr>
        <w:ind w:left="5400" w:hanging="360"/>
      </w:pPr>
      <w:rPr>
        <w:rFonts w:ascii="Symbol" w:hAnsi="Symbol" w:hint="default"/>
      </w:rPr>
    </w:lvl>
    <w:lvl w:ilvl="7" w:tplc="04380003" w:tentative="1">
      <w:start w:val="1"/>
      <w:numFmt w:val="bullet"/>
      <w:lvlText w:val="o"/>
      <w:lvlJc w:val="left"/>
      <w:pPr>
        <w:ind w:left="6120" w:hanging="360"/>
      </w:pPr>
      <w:rPr>
        <w:rFonts w:ascii="Courier New" w:hAnsi="Courier New" w:cs="Courier New" w:hint="default"/>
      </w:rPr>
    </w:lvl>
    <w:lvl w:ilvl="8" w:tplc="04380005" w:tentative="1">
      <w:start w:val="1"/>
      <w:numFmt w:val="bullet"/>
      <w:lvlText w:val=""/>
      <w:lvlJc w:val="left"/>
      <w:pPr>
        <w:ind w:left="6840" w:hanging="360"/>
      </w:pPr>
      <w:rPr>
        <w:rFonts w:ascii="Wingdings" w:hAnsi="Wingdings" w:hint="default"/>
      </w:rPr>
    </w:lvl>
  </w:abstractNum>
  <w:abstractNum w:abstractNumId="5">
    <w:nsid w:val="1A2A05C0"/>
    <w:multiLevelType w:val="hybridMultilevel"/>
    <w:tmpl w:val="AC8E30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2FEC22E4"/>
    <w:multiLevelType w:val="hybridMultilevel"/>
    <w:tmpl w:val="9A02BCCA"/>
    <w:lvl w:ilvl="0" w:tplc="3E1888BC">
      <w:start w:val="1"/>
      <w:numFmt w:val="decimal"/>
      <w:lvlText w:val="%1."/>
      <w:lvlJc w:val="left"/>
      <w:pPr>
        <w:ind w:left="644" w:hanging="360"/>
      </w:pPr>
      <w:rPr>
        <w:rFonts w:ascii="Times New Roman" w:hAnsi="Times New Roman" w:cs="Times New Roman" w:hint="default"/>
        <w:b w:val="0"/>
        <w:i w:val="0"/>
        <w:color w:val="auto"/>
        <w:sz w:val="20"/>
        <w:szCs w:val="20"/>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7">
    <w:nsid w:val="32470233"/>
    <w:multiLevelType w:val="hybridMultilevel"/>
    <w:tmpl w:val="B92E9DE6"/>
    <w:lvl w:ilvl="0" w:tplc="0CCE78BC">
      <w:start w:val="1"/>
      <w:numFmt w:val="bullet"/>
      <w:lvlText w:val="-"/>
      <w:lvlJc w:val="left"/>
      <w:pPr>
        <w:ind w:left="720" w:hanging="360"/>
      </w:pPr>
      <w:rPr>
        <w:rFonts w:ascii="Calibri" w:eastAsia="Calibri" w:hAnsi="Calibri" w:cs="Times New Roman" w:hint="default"/>
        <w:lang w:val="en-US"/>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8">
    <w:nsid w:val="3B8D3D7B"/>
    <w:multiLevelType w:val="hybridMultilevel"/>
    <w:tmpl w:val="A778473E"/>
    <w:lvl w:ilvl="0" w:tplc="059EC566">
      <w:numFmt w:val="bullet"/>
      <w:lvlText w:val=""/>
      <w:lvlJc w:val="left"/>
      <w:pPr>
        <w:ind w:left="2409" w:hanging="555"/>
      </w:pPr>
      <w:rPr>
        <w:rFonts w:ascii="Symbol" w:eastAsia="Times New Roman" w:hAnsi="Symbol"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461712EA"/>
    <w:multiLevelType w:val="hybridMultilevel"/>
    <w:tmpl w:val="9B603F0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0">
    <w:nsid w:val="4645154F"/>
    <w:multiLevelType w:val="hybridMultilevel"/>
    <w:tmpl w:val="9A02BCCA"/>
    <w:lvl w:ilvl="0" w:tplc="3E1888BC">
      <w:start w:val="1"/>
      <w:numFmt w:val="decimal"/>
      <w:lvlText w:val="%1."/>
      <w:lvlJc w:val="left"/>
      <w:pPr>
        <w:ind w:left="644" w:hanging="360"/>
      </w:pPr>
      <w:rPr>
        <w:rFonts w:ascii="Times New Roman" w:hAnsi="Times New Roman" w:cs="Times New Roman" w:hint="default"/>
        <w:b w:val="0"/>
        <w:i w:val="0"/>
        <w:color w:val="auto"/>
        <w:sz w:val="20"/>
        <w:szCs w:val="20"/>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1">
    <w:nsid w:val="47F83689"/>
    <w:multiLevelType w:val="hybridMultilevel"/>
    <w:tmpl w:val="B52E3B6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nsid w:val="53313EC9"/>
    <w:multiLevelType w:val="hybridMultilevel"/>
    <w:tmpl w:val="F9DAAD24"/>
    <w:lvl w:ilvl="0" w:tplc="33EC67C2">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53C03388"/>
    <w:multiLevelType w:val="hybridMultilevel"/>
    <w:tmpl w:val="03007EB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4">
    <w:nsid w:val="586E4240"/>
    <w:multiLevelType w:val="hybridMultilevel"/>
    <w:tmpl w:val="3F32EE18"/>
    <w:lvl w:ilvl="0" w:tplc="3E1888BC">
      <w:start w:val="1"/>
      <w:numFmt w:val="decimal"/>
      <w:lvlText w:val="%1."/>
      <w:lvlJc w:val="left"/>
      <w:pPr>
        <w:ind w:left="644" w:hanging="360"/>
      </w:pPr>
      <w:rPr>
        <w:rFonts w:ascii="Times New Roman" w:hAnsi="Times New Roman" w:cs="Times New Roman" w:hint="default"/>
        <w:b w:val="0"/>
        <w:i w:val="0"/>
        <w:color w:val="auto"/>
        <w:sz w:val="20"/>
        <w:szCs w:val="20"/>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5">
    <w:nsid w:val="5CCC5617"/>
    <w:multiLevelType w:val="hybridMultilevel"/>
    <w:tmpl w:val="BD6C8D8E"/>
    <w:lvl w:ilvl="0" w:tplc="3E1888BC">
      <w:start w:val="1"/>
      <w:numFmt w:val="decimal"/>
      <w:lvlText w:val="%1."/>
      <w:lvlJc w:val="left"/>
      <w:pPr>
        <w:ind w:left="644" w:hanging="360"/>
      </w:pPr>
      <w:rPr>
        <w:rFonts w:ascii="Times New Roman" w:hAnsi="Times New Roman" w:cs="Times New Roman" w:hint="default"/>
        <w:b w:val="0"/>
        <w:i w:val="0"/>
        <w:color w:val="auto"/>
        <w:sz w:val="20"/>
        <w:szCs w:val="20"/>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2A2043B"/>
    <w:multiLevelType w:val="hybridMultilevel"/>
    <w:tmpl w:val="15A6F0F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8">
    <w:nsid w:val="77A671D0"/>
    <w:multiLevelType w:val="hybridMultilevel"/>
    <w:tmpl w:val="1AC68DB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B4D01CE"/>
    <w:multiLevelType w:val="hybridMultilevel"/>
    <w:tmpl w:val="DB62F3C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0"/>
  </w:num>
  <w:num w:numId="2">
    <w:abstractNumId w:val="16"/>
  </w:num>
  <w:num w:numId="3">
    <w:abstractNumId w:val="13"/>
  </w:num>
  <w:num w:numId="4">
    <w:abstractNumId w:val="19"/>
  </w:num>
  <w:num w:numId="5">
    <w:abstractNumId w:val="9"/>
  </w:num>
  <w:num w:numId="6">
    <w:abstractNumId w:val="14"/>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0"/>
  </w:num>
  <w:num w:numId="10">
    <w:abstractNumId w:val="6"/>
  </w:num>
  <w:num w:numId="11">
    <w:abstractNumId w:val="2"/>
  </w:num>
  <w:num w:numId="12">
    <w:abstractNumId w:val="4"/>
  </w:num>
  <w:num w:numId="13">
    <w:abstractNumId w:val="15"/>
  </w:num>
  <w:num w:numId="14">
    <w:abstractNumId w:val="5"/>
  </w:num>
  <w:num w:numId="15">
    <w:abstractNumId w:val="18"/>
  </w:num>
  <w:num w:numId="16">
    <w:abstractNumId w:val="11"/>
  </w:num>
  <w:num w:numId="17">
    <w:abstractNumId w:val="1"/>
  </w:num>
  <w:num w:numId="18">
    <w:abstractNumId w:val="8"/>
  </w:num>
  <w:num w:numId="19">
    <w:abstractNumId w:val="12"/>
  </w:num>
  <w:num w:numId="20">
    <w:abstractNumId w:val="17"/>
  </w:num>
  <w:num w:numId="21">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C19"/>
    <w:rsid w:val="00003C19"/>
    <w:rsid w:val="0001668D"/>
    <w:rsid w:val="00017FF1"/>
    <w:rsid w:val="000272B3"/>
    <w:rsid w:val="0002730B"/>
    <w:rsid w:val="00037C25"/>
    <w:rsid w:val="00050F6B"/>
    <w:rsid w:val="00057E97"/>
    <w:rsid w:val="00060C3A"/>
    <w:rsid w:val="00072C8C"/>
    <w:rsid w:val="000733B5"/>
    <w:rsid w:val="00076375"/>
    <w:rsid w:val="00081815"/>
    <w:rsid w:val="00082928"/>
    <w:rsid w:val="00084035"/>
    <w:rsid w:val="000931C0"/>
    <w:rsid w:val="00093397"/>
    <w:rsid w:val="000A5889"/>
    <w:rsid w:val="000B04B0"/>
    <w:rsid w:val="000B175B"/>
    <w:rsid w:val="000B3A0F"/>
    <w:rsid w:val="000B4ACD"/>
    <w:rsid w:val="000B4EF7"/>
    <w:rsid w:val="000B5772"/>
    <w:rsid w:val="000C2C03"/>
    <w:rsid w:val="000C2D2E"/>
    <w:rsid w:val="000E0415"/>
    <w:rsid w:val="001103AA"/>
    <w:rsid w:val="00130F5E"/>
    <w:rsid w:val="00150FD9"/>
    <w:rsid w:val="00155128"/>
    <w:rsid w:val="00163A55"/>
    <w:rsid w:val="00165F3A"/>
    <w:rsid w:val="00167D5C"/>
    <w:rsid w:val="00177A80"/>
    <w:rsid w:val="00183968"/>
    <w:rsid w:val="001A400D"/>
    <w:rsid w:val="001A521A"/>
    <w:rsid w:val="001A6686"/>
    <w:rsid w:val="001B4B04"/>
    <w:rsid w:val="001C6663"/>
    <w:rsid w:val="001C70EC"/>
    <w:rsid w:val="001C7895"/>
    <w:rsid w:val="001C7D76"/>
    <w:rsid w:val="001D0C8C"/>
    <w:rsid w:val="001D26DF"/>
    <w:rsid w:val="001D3A03"/>
    <w:rsid w:val="001E0E3B"/>
    <w:rsid w:val="001E1F9C"/>
    <w:rsid w:val="00202DA8"/>
    <w:rsid w:val="00210ACC"/>
    <w:rsid w:val="00211E0B"/>
    <w:rsid w:val="0023210C"/>
    <w:rsid w:val="00254444"/>
    <w:rsid w:val="00254D8C"/>
    <w:rsid w:val="00267F5F"/>
    <w:rsid w:val="00271DBD"/>
    <w:rsid w:val="00286B4D"/>
    <w:rsid w:val="002A264D"/>
    <w:rsid w:val="002A2A87"/>
    <w:rsid w:val="002B337D"/>
    <w:rsid w:val="002E3458"/>
    <w:rsid w:val="002F175C"/>
    <w:rsid w:val="003229D8"/>
    <w:rsid w:val="00346E73"/>
    <w:rsid w:val="00352709"/>
    <w:rsid w:val="00356BED"/>
    <w:rsid w:val="00367567"/>
    <w:rsid w:val="00371178"/>
    <w:rsid w:val="00372988"/>
    <w:rsid w:val="0038336C"/>
    <w:rsid w:val="003A1A4D"/>
    <w:rsid w:val="003A6810"/>
    <w:rsid w:val="003C1BB8"/>
    <w:rsid w:val="003C2CC4"/>
    <w:rsid w:val="003C46EF"/>
    <w:rsid w:val="003D4B23"/>
    <w:rsid w:val="004036AE"/>
    <w:rsid w:val="00404B6F"/>
    <w:rsid w:val="00410C89"/>
    <w:rsid w:val="00422977"/>
    <w:rsid w:val="00426B9B"/>
    <w:rsid w:val="004325CB"/>
    <w:rsid w:val="00434343"/>
    <w:rsid w:val="00436B33"/>
    <w:rsid w:val="00442A83"/>
    <w:rsid w:val="004447C0"/>
    <w:rsid w:val="0045495B"/>
    <w:rsid w:val="0047486C"/>
    <w:rsid w:val="00475842"/>
    <w:rsid w:val="004856F8"/>
    <w:rsid w:val="00486FF9"/>
    <w:rsid w:val="00487488"/>
    <w:rsid w:val="004965C1"/>
    <w:rsid w:val="004B0366"/>
    <w:rsid w:val="004E14ED"/>
    <w:rsid w:val="004E4425"/>
    <w:rsid w:val="004F1CFB"/>
    <w:rsid w:val="00502188"/>
    <w:rsid w:val="00503AFD"/>
    <w:rsid w:val="00505E3F"/>
    <w:rsid w:val="00511BBC"/>
    <w:rsid w:val="0052136D"/>
    <w:rsid w:val="0052775E"/>
    <w:rsid w:val="005420F2"/>
    <w:rsid w:val="005628B6"/>
    <w:rsid w:val="0058153B"/>
    <w:rsid w:val="005848B3"/>
    <w:rsid w:val="00590F87"/>
    <w:rsid w:val="00592C4A"/>
    <w:rsid w:val="005A144C"/>
    <w:rsid w:val="005B3DB3"/>
    <w:rsid w:val="005B5090"/>
    <w:rsid w:val="005B5648"/>
    <w:rsid w:val="005B6C29"/>
    <w:rsid w:val="005C2A17"/>
    <w:rsid w:val="005F0E9F"/>
    <w:rsid w:val="005F3957"/>
    <w:rsid w:val="005F52B3"/>
    <w:rsid w:val="005F7717"/>
    <w:rsid w:val="005F7B75"/>
    <w:rsid w:val="006001EE"/>
    <w:rsid w:val="00605042"/>
    <w:rsid w:val="006105DB"/>
    <w:rsid w:val="00611FC4"/>
    <w:rsid w:val="0061736B"/>
    <w:rsid w:val="006176FB"/>
    <w:rsid w:val="0062001E"/>
    <w:rsid w:val="006373F1"/>
    <w:rsid w:val="00640B26"/>
    <w:rsid w:val="00647451"/>
    <w:rsid w:val="00652D0A"/>
    <w:rsid w:val="00652DCD"/>
    <w:rsid w:val="00662BB6"/>
    <w:rsid w:val="00682083"/>
    <w:rsid w:val="00684C21"/>
    <w:rsid w:val="00685879"/>
    <w:rsid w:val="006949ED"/>
    <w:rsid w:val="006A300B"/>
    <w:rsid w:val="006C2069"/>
    <w:rsid w:val="006D37AF"/>
    <w:rsid w:val="006D51D0"/>
    <w:rsid w:val="006E10C2"/>
    <w:rsid w:val="006E564B"/>
    <w:rsid w:val="006E7191"/>
    <w:rsid w:val="00701274"/>
    <w:rsid w:val="00703577"/>
    <w:rsid w:val="00706D55"/>
    <w:rsid w:val="00716185"/>
    <w:rsid w:val="0072632A"/>
    <w:rsid w:val="007327D5"/>
    <w:rsid w:val="00732BA6"/>
    <w:rsid w:val="007629C8"/>
    <w:rsid w:val="00775FCE"/>
    <w:rsid w:val="007944AD"/>
    <w:rsid w:val="007B6BA5"/>
    <w:rsid w:val="007B7F91"/>
    <w:rsid w:val="007C18EA"/>
    <w:rsid w:val="007C3390"/>
    <w:rsid w:val="007C4C22"/>
    <w:rsid w:val="007C4F4B"/>
    <w:rsid w:val="007C784F"/>
    <w:rsid w:val="007E0B2D"/>
    <w:rsid w:val="007E4BA2"/>
    <w:rsid w:val="007F0B3B"/>
    <w:rsid w:val="007F6611"/>
    <w:rsid w:val="00801AF7"/>
    <w:rsid w:val="008105B8"/>
    <w:rsid w:val="008242D7"/>
    <w:rsid w:val="008257B1"/>
    <w:rsid w:val="0083661D"/>
    <w:rsid w:val="00843767"/>
    <w:rsid w:val="00853205"/>
    <w:rsid w:val="00861287"/>
    <w:rsid w:val="008679D9"/>
    <w:rsid w:val="008979B1"/>
    <w:rsid w:val="008A1DB2"/>
    <w:rsid w:val="008A6B25"/>
    <w:rsid w:val="008A6C4F"/>
    <w:rsid w:val="008A6FF2"/>
    <w:rsid w:val="008B2335"/>
    <w:rsid w:val="008B4FF9"/>
    <w:rsid w:val="008C48FD"/>
    <w:rsid w:val="008D4475"/>
    <w:rsid w:val="008D5675"/>
    <w:rsid w:val="008E0678"/>
    <w:rsid w:val="008E42A5"/>
    <w:rsid w:val="008F793B"/>
    <w:rsid w:val="00904E11"/>
    <w:rsid w:val="00905F93"/>
    <w:rsid w:val="00910F40"/>
    <w:rsid w:val="00912C08"/>
    <w:rsid w:val="00920042"/>
    <w:rsid w:val="009223CA"/>
    <w:rsid w:val="009243E2"/>
    <w:rsid w:val="009340C3"/>
    <w:rsid w:val="00940F93"/>
    <w:rsid w:val="0094278A"/>
    <w:rsid w:val="00945F20"/>
    <w:rsid w:val="0095347F"/>
    <w:rsid w:val="009634BB"/>
    <w:rsid w:val="009760F3"/>
    <w:rsid w:val="00985923"/>
    <w:rsid w:val="009909F5"/>
    <w:rsid w:val="009A0E8D"/>
    <w:rsid w:val="009B26E7"/>
    <w:rsid w:val="009B5B3E"/>
    <w:rsid w:val="009F4479"/>
    <w:rsid w:val="009F4977"/>
    <w:rsid w:val="00A009FD"/>
    <w:rsid w:val="00A00A3F"/>
    <w:rsid w:val="00A01489"/>
    <w:rsid w:val="00A11A9E"/>
    <w:rsid w:val="00A2717E"/>
    <w:rsid w:val="00A338F1"/>
    <w:rsid w:val="00A400D9"/>
    <w:rsid w:val="00A40642"/>
    <w:rsid w:val="00A44615"/>
    <w:rsid w:val="00A72F22"/>
    <w:rsid w:val="00A7360F"/>
    <w:rsid w:val="00A748A6"/>
    <w:rsid w:val="00A769F4"/>
    <w:rsid w:val="00A776B4"/>
    <w:rsid w:val="00A94361"/>
    <w:rsid w:val="00AA293C"/>
    <w:rsid w:val="00AB4681"/>
    <w:rsid w:val="00AC5F88"/>
    <w:rsid w:val="00AD08D7"/>
    <w:rsid w:val="00AD395A"/>
    <w:rsid w:val="00AD6BE1"/>
    <w:rsid w:val="00AF685F"/>
    <w:rsid w:val="00B13E9B"/>
    <w:rsid w:val="00B30179"/>
    <w:rsid w:val="00B339A7"/>
    <w:rsid w:val="00B47DA1"/>
    <w:rsid w:val="00B56E4A"/>
    <w:rsid w:val="00B56E9C"/>
    <w:rsid w:val="00B60892"/>
    <w:rsid w:val="00B62BCB"/>
    <w:rsid w:val="00B64B1F"/>
    <w:rsid w:val="00B6553F"/>
    <w:rsid w:val="00B66E5E"/>
    <w:rsid w:val="00B708F6"/>
    <w:rsid w:val="00B70FE0"/>
    <w:rsid w:val="00B77D05"/>
    <w:rsid w:val="00B81206"/>
    <w:rsid w:val="00B81E12"/>
    <w:rsid w:val="00B84BB6"/>
    <w:rsid w:val="00B9067B"/>
    <w:rsid w:val="00B9492A"/>
    <w:rsid w:val="00BB09A1"/>
    <w:rsid w:val="00BC1AB0"/>
    <w:rsid w:val="00BC2C23"/>
    <w:rsid w:val="00BC74E9"/>
    <w:rsid w:val="00BE1CB3"/>
    <w:rsid w:val="00BF68A8"/>
    <w:rsid w:val="00C1123F"/>
    <w:rsid w:val="00C11A03"/>
    <w:rsid w:val="00C15F20"/>
    <w:rsid w:val="00C31EB7"/>
    <w:rsid w:val="00C463DD"/>
    <w:rsid w:val="00C4724C"/>
    <w:rsid w:val="00C629A0"/>
    <w:rsid w:val="00C745C3"/>
    <w:rsid w:val="00CA7F9E"/>
    <w:rsid w:val="00CE4A8F"/>
    <w:rsid w:val="00CE53C7"/>
    <w:rsid w:val="00CF21B4"/>
    <w:rsid w:val="00D05453"/>
    <w:rsid w:val="00D05938"/>
    <w:rsid w:val="00D12C85"/>
    <w:rsid w:val="00D2031B"/>
    <w:rsid w:val="00D246BC"/>
    <w:rsid w:val="00D25FE2"/>
    <w:rsid w:val="00D35E45"/>
    <w:rsid w:val="00D43252"/>
    <w:rsid w:val="00D47EEA"/>
    <w:rsid w:val="00D61358"/>
    <w:rsid w:val="00D7005A"/>
    <w:rsid w:val="00D74D61"/>
    <w:rsid w:val="00D95303"/>
    <w:rsid w:val="00D978C6"/>
    <w:rsid w:val="00DA0323"/>
    <w:rsid w:val="00DA0D5D"/>
    <w:rsid w:val="00DA3111"/>
    <w:rsid w:val="00DA3C1C"/>
    <w:rsid w:val="00DA706F"/>
    <w:rsid w:val="00DB0C79"/>
    <w:rsid w:val="00DB2CEA"/>
    <w:rsid w:val="00DB54D7"/>
    <w:rsid w:val="00DC6216"/>
    <w:rsid w:val="00DD297F"/>
    <w:rsid w:val="00E228DD"/>
    <w:rsid w:val="00E27346"/>
    <w:rsid w:val="00E32FA0"/>
    <w:rsid w:val="00E45EAA"/>
    <w:rsid w:val="00E71BC8"/>
    <w:rsid w:val="00E7260F"/>
    <w:rsid w:val="00E77588"/>
    <w:rsid w:val="00E779FC"/>
    <w:rsid w:val="00E847CC"/>
    <w:rsid w:val="00E96630"/>
    <w:rsid w:val="00E9697E"/>
    <w:rsid w:val="00EB2581"/>
    <w:rsid w:val="00EB3722"/>
    <w:rsid w:val="00ED7A2A"/>
    <w:rsid w:val="00EE0ED9"/>
    <w:rsid w:val="00EE4D56"/>
    <w:rsid w:val="00EF1D7F"/>
    <w:rsid w:val="00EF602B"/>
    <w:rsid w:val="00F07732"/>
    <w:rsid w:val="00F1743B"/>
    <w:rsid w:val="00F20C3D"/>
    <w:rsid w:val="00F21079"/>
    <w:rsid w:val="00F432FF"/>
    <w:rsid w:val="00F43E9E"/>
    <w:rsid w:val="00F56BA6"/>
    <w:rsid w:val="00F602AA"/>
    <w:rsid w:val="00F72B80"/>
    <w:rsid w:val="00F763C1"/>
    <w:rsid w:val="00F76DD0"/>
    <w:rsid w:val="00F9057C"/>
    <w:rsid w:val="00F906D7"/>
    <w:rsid w:val="00F93781"/>
    <w:rsid w:val="00FA0937"/>
    <w:rsid w:val="00FB613B"/>
    <w:rsid w:val="00FC68B7"/>
    <w:rsid w:val="00FE106A"/>
    <w:rsid w:val="00FE69D2"/>
    <w:rsid w:val="00FF0EDD"/>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annotation text" w:uiPriority="99"/>
    <w:lsdException w:name="footer" w:uiPriority="99"/>
    <w:lsdException w:name="caption" w:semiHidden="1" w:unhideWhenUsed="1" w:qFormat="1"/>
    <w:lsdException w:name="footnote reference" w:qFormat="1"/>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uiPriority="20" w:qFormat="1"/>
    <w:lsdException w:name="Plain Text"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0272B3"/>
    <w:pPr>
      <w:spacing w:after="0" w:line="240" w:lineRule="auto"/>
      <w:ind w:right="0"/>
      <w:jc w:val="left"/>
      <w:outlineLvl w:val="0"/>
    </w:pPr>
  </w:style>
  <w:style w:type="paragraph" w:styleId="Heading2">
    <w:name w:val="heading 2"/>
    <w:basedOn w:val="Normal"/>
    <w:next w:val="Normal"/>
    <w:link w:val="Heading2Char"/>
    <w:uiPriority w:val="9"/>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link w:val="HMGCar"/>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F1743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uiPriority w:val="99"/>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uiPriority w:val="99"/>
    <w:rsid w:val="000272B3"/>
    <w:rPr>
      <w:rFonts w:ascii="Times New Roman" w:hAnsi="Times New Roman"/>
      <w:sz w:val="18"/>
      <w:vertAlign w:val="superscript"/>
    </w:rPr>
  </w:style>
  <w:style w:type="character" w:styleId="FootnoteReference">
    <w:name w:val="footnote reference"/>
    <w:aliases w:val="4_G"/>
    <w:qFormat/>
    <w:rsid w:val="00F1743B"/>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003C19"/>
    <w:rPr>
      <w:rFonts w:eastAsia="SimSun"/>
      <w:sz w:val="18"/>
      <w:lang w:val="en-US" w:eastAsia="zh-CN"/>
    </w:rPr>
  </w:style>
  <w:style w:type="character" w:customStyle="1" w:styleId="SingleTxtGChar">
    <w:name w:val="_ Single Txt_G Char"/>
    <w:link w:val="SingleTxtG"/>
    <w:locked/>
    <w:rsid w:val="00003C19"/>
    <w:rPr>
      <w:lang w:eastAsia="en-US"/>
    </w:rPr>
  </w:style>
  <w:style w:type="character" w:customStyle="1" w:styleId="HMGCar">
    <w:name w:val="_ H __M_G Car"/>
    <w:link w:val="HMG"/>
    <w:locked/>
    <w:rsid w:val="00003C19"/>
    <w:rPr>
      <w:b/>
      <w:sz w:val="34"/>
      <w:lang w:eastAsia="en-US"/>
    </w:rPr>
  </w:style>
  <w:style w:type="character" w:customStyle="1" w:styleId="Heading1Char">
    <w:name w:val="Heading 1 Char"/>
    <w:aliases w:val="Table_G Char"/>
    <w:link w:val="Heading1"/>
    <w:uiPriority w:val="9"/>
    <w:rsid w:val="00B47DA1"/>
    <w:rPr>
      <w:lang w:eastAsia="en-US"/>
    </w:rPr>
  </w:style>
  <w:style w:type="character" w:customStyle="1" w:styleId="Heading2Char">
    <w:name w:val="Heading 2 Char"/>
    <w:link w:val="Heading2"/>
    <w:uiPriority w:val="9"/>
    <w:rsid w:val="00B47DA1"/>
    <w:rPr>
      <w:lang w:eastAsia="en-US"/>
    </w:rPr>
  </w:style>
  <w:style w:type="paragraph" w:styleId="TOCHeading">
    <w:name w:val="TOC Heading"/>
    <w:basedOn w:val="Heading1"/>
    <w:next w:val="Normal"/>
    <w:uiPriority w:val="39"/>
    <w:semiHidden/>
    <w:unhideWhenUsed/>
    <w:qFormat/>
    <w:rsid w:val="00B47DA1"/>
    <w:pPr>
      <w:keepNext/>
      <w:keepLines/>
      <w:suppressAutoHyphens w:val="0"/>
      <w:spacing w:before="480" w:line="276" w:lineRule="auto"/>
      <w:ind w:left="0"/>
      <w:outlineLvl w:val="9"/>
    </w:pPr>
    <w:rPr>
      <w:rFonts w:ascii="Cambria" w:hAnsi="Cambria"/>
      <w:b/>
      <w:bCs/>
      <w:color w:val="365F91"/>
      <w:sz w:val="28"/>
      <w:szCs w:val="28"/>
      <w:lang w:val="da-DK" w:eastAsia="da-DK"/>
    </w:rPr>
  </w:style>
  <w:style w:type="paragraph" w:styleId="TOC1">
    <w:name w:val="toc 1"/>
    <w:basedOn w:val="Normal"/>
    <w:next w:val="Normal"/>
    <w:autoRedefine/>
    <w:uiPriority w:val="39"/>
    <w:unhideWhenUsed/>
    <w:rsid w:val="00B47DA1"/>
    <w:pPr>
      <w:suppressAutoHyphens w:val="0"/>
      <w:spacing w:after="200" w:line="276" w:lineRule="auto"/>
    </w:pPr>
    <w:rPr>
      <w:rFonts w:eastAsia="Calibri"/>
    </w:rPr>
  </w:style>
  <w:style w:type="paragraph" w:styleId="TOC2">
    <w:name w:val="toc 2"/>
    <w:basedOn w:val="Normal"/>
    <w:next w:val="Normal"/>
    <w:autoRedefine/>
    <w:uiPriority w:val="39"/>
    <w:unhideWhenUsed/>
    <w:rsid w:val="00B47DA1"/>
    <w:pPr>
      <w:suppressAutoHyphens w:val="0"/>
      <w:spacing w:after="200" w:line="276" w:lineRule="auto"/>
      <w:ind w:left="200"/>
    </w:pPr>
    <w:rPr>
      <w:rFonts w:eastAsia="Calibri"/>
    </w:rPr>
  </w:style>
  <w:style w:type="character" w:customStyle="1" w:styleId="HeaderChar">
    <w:name w:val="Header Char"/>
    <w:aliases w:val="6_G Char"/>
    <w:link w:val="Header"/>
    <w:rsid w:val="00B47DA1"/>
    <w:rPr>
      <w:b/>
      <w:sz w:val="18"/>
      <w:lang w:eastAsia="en-US"/>
    </w:rPr>
  </w:style>
  <w:style w:type="character" w:customStyle="1" w:styleId="FooterChar">
    <w:name w:val="Footer Char"/>
    <w:aliases w:val="3_G Char"/>
    <w:link w:val="Footer"/>
    <w:uiPriority w:val="99"/>
    <w:rsid w:val="00B47DA1"/>
    <w:rPr>
      <w:sz w:val="16"/>
      <w:lang w:eastAsia="en-US"/>
    </w:rPr>
  </w:style>
  <w:style w:type="paragraph" w:styleId="BalloonText">
    <w:name w:val="Balloon Text"/>
    <w:basedOn w:val="Normal"/>
    <w:link w:val="BalloonTextChar"/>
    <w:uiPriority w:val="99"/>
    <w:unhideWhenUsed/>
    <w:rsid w:val="00B47DA1"/>
    <w:pPr>
      <w:suppressAutoHyphens w:val="0"/>
      <w:spacing w:line="240" w:lineRule="auto"/>
    </w:pPr>
    <w:rPr>
      <w:rFonts w:ascii="Tahoma" w:eastAsia="Calibri" w:hAnsi="Tahoma" w:cs="Tahoma"/>
      <w:sz w:val="16"/>
      <w:szCs w:val="16"/>
    </w:rPr>
  </w:style>
  <w:style w:type="character" w:customStyle="1" w:styleId="BalloonTextChar">
    <w:name w:val="Balloon Text Char"/>
    <w:link w:val="BalloonText"/>
    <w:uiPriority w:val="99"/>
    <w:rsid w:val="00B47DA1"/>
    <w:rPr>
      <w:rFonts w:ascii="Tahoma" w:eastAsia="Calibri" w:hAnsi="Tahoma" w:cs="Tahoma"/>
      <w:sz w:val="16"/>
      <w:szCs w:val="16"/>
      <w:lang w:eastAsia="en-US"/>
    </w:rPr>
  </w:style>
  <w:style w:type="paragraph" w:customStyle="1" w:styleId="tekstgenerel">
    <w:name w:val="tekstgenerel"/>
    <w:basedOn w:val="Normal"/>
    <w:rsid w:val="00B47DA1"/>
    <w:pPr>
      <w:suppressAutoHyphens w:val="0"/>
      <w:spacing w:line="240" w:lineRule="auto"/>
    </w:pPr>
    <w:rPr>
      <w:rFonts w:ascii="Tahoma" w:hAnsi="Tahoma" w:cs="Tahoma"/>
      <w:color w:val="000000"/>
      <w:sz w:val="24"/>
      <w:szCs w:val="24"/>
      <w:lang w:val="da-DK" w:eastAsia="da-DK"/>
    </w:rPr>
  </w:style>
  <w:style w:type="paragraph" w:styleId="NoSpacing">
    <w:name w:val="No Spacing"/>
    <w:uiPriority w:val="1"/>
    <w:qFormat/>
    <w:rsid w:val="00B47DA1"/>
    <w:rPr>
      <w:rFonts w:ascii="Calibri" w:eastAsia="Calibri" w:hAnsi="Calibri"/>
      <w:sz w:val="22"/>
      <w:szCs w:val="22"/>
      <w:lang w:val="da-DK" w:eastAsia="en-US"/>
    </w:rPr>
  </w:style>
  <w:style w:type="paragraph" w:customStyle="1" w:styleId="BMBrdtekst">
    <w:name w:val="BMBrødtekst"/>
    <w:basedOn w:val="Normal"/>
    <w:rsid w:val="00B47DA1"/>
    <w:pPr>
      <w:suppressAutoHyphens w:val="0"/>
      <w:spacing w:line="260" w:lineRule="atLeast"/>
    </w:pPr>
    <w:rPr>
      <w:sz w:val="22"/>
      <w:szCs w:val="24"/>
      <w:lang w:val="da-DK" w:eastAsia="da-DK"/>
    </w:rPr>
  </w:style>
  <w:style w:type="paragraph" w:customStyle="1" w:styleId="BMOverskrift1">
    <w:name w:val="BMOverskrift1"/>
    <w:basedOn w:val="BMBrdtekst"/>
    <w:next w:val="BMBrdtekst"/>
    <w:rsid w:val="00B47DA1"/>
    <w:rPr>
      <w:rFonts w:ascii="Arial" w:hAnsi="Arial"/>
      <w:b/>
      <w:sz w:val="20"/>
    </w:rPr>
  </w:style>
  <w:style w:type="paragraph" w:styleId="ListParagraph">
    <w:name w:val="List Paragraph"/>
    <w:basedOn w:val="Normal"/>
    <w:uiPriority w:val="34"/>
    <w:qFormat/>
    <w:rsid w:val="00B47DA1"/>
    <w:pPr>
      <w:suppressAutoHyphens w:val="0"/>
      <w:spacing w:line="240" w:lineRule="auto"/>
      <w:ind w:left="720"/>
    </w:pPr>
    <w:rPr>
      <w:rFonts w:ascii="Calibri" w:eastAsia="Calibri" w:hAnsi="Calibri"/>
      <w:sz w:val="22"/>
      <w:szCs w:val="22"/>
      <w:lang w:val="da-DK"/>
    </w:rPr>
  </w:style>
  <w:style w:type="paragraph" w:customStyle="1" w:styleId="Default">
    <w:name w:val="Default"/>
    <w:uiPriority w:val="99"/>
    <w:rsid w:val="00B47DA1"/>
    <w:pPr>
      <w:autoSpaceDE w:val="0"/>
      <w:autoSpaceDN w:val="0"/>
      <w:adjustRightInd w:val="0"/>
    </w:pPr>
    <w:rPr>
      <w:rFonts w:ascii="Garamond" w:eastAsia="Calibri" w:hAnsi="Garamond" w:cs="Garamond"/>
      <w:color w:val="000000"/>
      <w:sz w:val="24"/>
      <w:szCs w:val="24"/>
      <w:lang w:val="da-DK" w:eastAsia="en-US"/>
    </w:rPr>
  </w:style>
  <w:style w:type="character" w:styleId="CommentReference">
    <w:name w:val="annotation reference"/>
    <w:uiPriority w:val="99"/>
    <w:unhideWhenUsed/>
    <w:rsid w:val="00B47DA1"/>
    <w:rPr>
      <w:sz w:val="16"/>
      <w:szCs w:val="16"/>
    </w:rPr>
  </w:style>
  <w:style w:type="paragraph" w:styleId="CommentText">
    <w:name w:val="annotation text"/>
    <w:basedOn w:val="Normal"/>
    <w:link w:val="CommentTextChar"/>
    <w:uiPriority w:val="99"/>
    <w:unhideWhenUsed/>
    <w:rsid w:val="00B47DA1"/>
    <w:pPr>
      <w:suppressAutoHyphens w:val="0"/>
      <w:spacing w:after="200" w:line="276" w:lineRule="auto"/>
    </w:pPr>
    <w:rPr>
      <w:rFonts w:eastAsia="Calibri"/>
    </w:rPr>
  </w:style>
  <w:style w:type="character" w:customStyle="1" w:styleId="CommentTextChar">
    <w:name w:val="Comment Text Char"/>
    <w:link w:val="CommentText"/>
    <w:uiPriority w:val="99"/>
    <w:rsid w:val="00B47DA1"/>
    <w:rPr>
      <w:rFonts w:eastAsia="Calibri"/>
      <w:lang w:eastAsia="en-US"/>
    </w:rPr>
  </w:style>
  <w:style w:type="paragraph" w:styleId="CommentSubject">
    <w:name w:val="annotation subject"/>
    <w:basedOn w:val="CommentText"/>
    <w:next w:val="CommentText"/>
    <w:link w:val="CommentSubjectChar"/>
    <w:uiPriority w:val="99"/>
    <w:unhideWhenUsed/>
    <w:rsid w:val="00B47DA1"/>
    <w:rPr>
      <w:b/>
      <w:bCs/>
    </w:rPr>
  </w:style>
  <w:style w:type="character" w:customStyle="1" w:styleId="CommentSubjectChar">
    <w:name w:val="Comment Subject Char"/>
    <w:link w:val="CommentSubject"/>
    <w:uiPriority w:val="99"/>
    <w:rsid w:val="00B47DA1"/>
    <w:rPr>
      <w:rFonts w:eastAsia="Calibri"/>
      <w:b/>
      <w:bCs/>
      <w:lang w:eastAsia="en-US"/>
    </w:rPr>
  </w:style>
  <w:style w:type="character" w:customStyle="1" w:styleId="hps">
    <w:name w:val="hps"/>
    <w:basedOn w:val="DefaultParagraphFont"/>
    <w:rsid w:val="00B47DA1"/>
  </w:style>
  <w:style w:type="paragraph" w:customStyle="1" w:styleId="Lovtxt">
    <w:name w:val="Lovtxt"/>
    <w:basedOn w:val="Normal"/>
    <w:link w:val="LovtxtTegn"/>
    <w:rsid w:val="00B47DA1"/>
    <w:pPr>
      <w:tabs>
        <w:tab w:val="left" w:pos="227"/>
      </w:tabs>
      <w:suppressAutoHyphens w:val="0"/>
      <w:spacing w:after="225" w:line="225" w:lineRule="exact"/>
      <w:contextualSpacing/>
      <w:jc w:val="both"/>
    </w:pPr>
    <w:rPr>
      <w:spacing w:val="-2"/>
      <w:sz w:val="19"/>
      <w:szCs w:val="18"/>
      <w:lang w:eastAsia="da-DK"/>
    </w:rPr>
  </w:style>
  <w:style w:type="character" w:customStyle="1" w:styleId="LovtxtTegn">
    <w:name w:val="Lovtxt Tegn"/>
    <w:link w:val="Lovtxt"/>
    <w:rsid w:val="00B47DA1"/>
    <w:rPr>
      <w:spacing w:val="-2"/>
      <w:sz w:val="19"/>
      <w:szCs w:val="18"/>
      <w:lang w:eastAsia="da-DK"/>
    </w:rPr>
  </w:style>
  <w:style w:type="paragraph" w:styleId="PlainText">
    <w:name w:val="Plain Text"/>
    <w:basedOn w:val="Normal"/>
    <w:link w:val="PlainTextChar"/>
    <w:uiPriority w:val="99"/>
    <w:unhideWhenUsed/>
    <w:rsid w:val="00B47DA1"/>
    <w:pPr>
      <w:suppressAutoHyphens w:val="0"/>
      <w:spacing w:line="288" w:lineRule="auto"/>
    </w:pPr>
    <w:rPr>
      <w:rFonts w:ascii="Courier New" w:eastAsia="Calibri" w:hAnsi="Courier New" w:cs="Courier New"/>
      <w:lang w:val="da-DK" w:eastAsia="da-DK"/>
    </w:rPr>
  </w:style>
  <w:style w:type="character" w:customStyle="1" w:styleId="PlainTextChar">
    <w:name w:val="Plain Text Char"/>
    <w:link w:val="PlainText"/>
    <w:uiPriority w:val="99"/>
    <w:rsid w:val="00B47DA1"/>
    <w:rPr>
      <w:rFonts w:ascii="Courier New" w:eastAsia="Calibri" w:hAnsi="Courier New" w:cs="Courier New"/>
      <w:lang w:val="da-DK" w:eastAsia="da-DK"/>
    </w:rPr>
  </w:style>
  <w:style w:type="paragraph" w:styleId="Revision">
    <w:name w:val="Revision"/>
    <w:hidden/>
    <w:uiPriority w:val="99"/>
    <w:semiHidden/>
    <w:rsid w:val="00B47DA1"/>
    <w:rPr>
      <w:rFonts w:eastAsia="Calibri"/>
      <w:lang w:eastAsia="en-US"/>
    </w:rPr>
  </w:style>
  <w:style w:type="character" w:styleId="Emphasis">
    <w:name w:val="Emphasis"/>
    <w:uiPriority w:val="20"/>
    <w:qFormat/>
    <w:rsid w:val="00B47DA1"/>
    <w:rPr>
      <w:b/>
      <w:bCs/>
      <w:i w:val="0"/>
      <w:iCs w:val="0"/>
    </w:rPr>
  </w:style>
  <w:style w:type="character" w:customStyle="1" w:styleId="st">
    <w:name w:val="st"/>
    <w:rsid w:val="00B47DA1"/>
  </w:style>
  <w:style w:type="character" w:customStyle="1" w:styleId="EndnoteTextChar">
    <w:name w:val="Endnote Text Char"/>
    <w:aliases w:val="2_G Char"/>
    <w:link w:val="EndnoteText"/>
    <w:uiPriority w:val="99"/>
    <w:rsid w:val="00B47DA1"/>
    <w:rPr>
      <w:sz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annotation text" w:uiPriority="99"/>
    <w:lsdException w:name="footer" w:uiPriority="99"/>
    <w:lsdException w:name="caption" w:semiHidden="1" w:unhideWhenUsed="1" w:qFormat="1"/>
    <w:lsdException w:name="footnote reference" w:qFormat="1"/>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uiPriority="20" w:qFormat="1"/>
    <w:lsdException w:name="Plain Text"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0272B3"/>
    <w:pPr>
      <w:spacing w:after="0" w:line="240" w:lineRule="auto"/>
      <w:ind w:right="0"/>
      <w:jc w:val="left"/>
      <w:outlineLvl w:val="0"/>
    </w:pPr>
  </w:style>
  <w:style w:type="paragraph" w:styleId="Heading2">
    <w:name w:val="heading 2"/>
    <w:basedOn w:val="Normal"/>
    <w:next w:val="Normal"/>
    <w:link w:val="Heading2Char"/>
    <w:uiPriority w:val="9"/>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link w:val="HMGCar"/>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F1743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uiPriority w:val="99"/>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uiPriority w:val="99"/>
    <w:rsid w:val="000272B3"/>
    <w:rPr>
      <w:rFonts w:ascii="Times New Roman" w:hAnsi="Times New Roman"/>
      <w:sz w:val="18"/>
      <w:vertAlign w:val="superscript"/>
    </w:rPr>
  </w:style>
  <w:style w:type="character" w:styleId="FootnoteReference">
    <w:name w:val="footnote reference"/>
    <w:aliases w:val="4_G"/>
    <w:qFormat/>
    <w:rsid w:val="00F1743B"/>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003C19"/>
    <w:rPr>
      <w:rFonts w:eastAsia="SimSun"/>
      <w:sz w:val="18"/>
      <w:lang w:val="en-US" w:eastAsia="zh-CN"/>
    </w:rPr>
  </w:style>
  <w:style w:type="character" w:customStyle="1" w:styleId="SingleTxtGChar">
    <w:name w:val="_ Single Txt_G Char"/>
    <w:link w:val="SingleTxtG"/>
    <w:locked/>
    <w:rsid w:val="00003C19"/>
    <w:rPr>
      <w:lang w:eastAsia="en-US"/>
    </w:rPr>
  </w:style>
  <w:style w:type="character" w:customStyle="1" w:styleId="HMGCar">
    <w:name w:val="_ H __M_G Car"/>
    <w:link w:val="HMG"/>
    <w:locked/>
    <w:rsid w:val="00003C19"/>
    <w:rPr>
      <w:b/>
      <w:sz w:val="34"/>
      <w:lang w:eastAsia="en-US"/>
    </w:rPr>
  </w:style>
  <w:style w:type="character" w:customStyle="1" w:styleId="Heading1Char">
    <w:name w:val="Heading 1 Char"/>
    <w:aliases w:val="Table_G Char"/>
    <w:link w:val="Heading1"/>
    <w:uiPriority w:val="9"/>
    <w:rsid w:val="00B47DA1"/>
    <w:rPr>
      <w:lang w:eastAsia="en-US"/>
    </w:rPr>
  </w:style>
  <w:style w:type="character" w:customStyle="1" w:styleId="Heading2Char">
    <w:name w:val="Heading 2 Char"/>
    <w:link w:val="Heading2"/>
    <w:uiPriority w:val="9"/>
    <w:rsid w:val="00B47DA1"/>
    <w:rPr>
      <w:lang w:eastAsia="en-US"/>
    </w:rPr>
  </w:style>
  <w:style w:type="paragraph" w:styleId="TOCHeading">
    <w:name w:val="TOC Heading"/>
    <w:basedOn w:val="Heading1"/>
    <w:next w:val="Normal"/>
    <w:uiPriority w:val="39"/>
    <w:semiHidden/>
    <w:unhideWhenUsed/>
    <w:qFormat/>
    <w:rsid w:val="00B47DA1"/>
    <w:pPr>
      <w:keepNext/>
      <w:keepLines/>
      <w:suppressAutoHyphens w:val="0"/>
      <w:spacing w:before="480" w:line="276" w:lineRule="auto"/>
      <w:ind w:left="0"/>
      <w:outlineLvl w:val="9"/>
    </w:pPr>
    <w:rPr>
      <w:rFonts w:ascii="Cambria" w:hAnsi="Cambria"/>
      <w:b/>
      <w:bCs/>
      <w:color w:val="365F91"/>
      <w:sz w:val="28"/>
      <w:szCs w:val="28"/>
      <w:lang w:val="da-DK" w:eastAsia="da-DK"/>
    </w:rPr>
  </w:style>
  <w:style w:type="paragraph" w:styleId="TOC1">
    <w:name w:val="toc 1"/>
    <w:basedOn w:val="Normal"/>
    <w:next w:val="Normal"/>
    <w:autoRedefine/>
    <w:uiPriority w:val="39"/>
    <w:unhideWhenUsed/>
    <w:rsid w:val="00B47DA1"/>
    <w:pPr>
      <w:suppressAutoHyphens w:val="0"/>
      <w:spacing w:after="200" w:line="276" w:lineRule="auto"/>
    </w:pPr>
    <w:rPr>
      <w:rFonts w:eastAsia="Calibri"/>
    </w:rPr>
  </w:style>
  <w:style w:type="paragraph" w:styleId="TOC2">
    <w:name w:val="toc 2"/>
    <w:basedOn w:val="Normal"/>
    <w:next w:val="Normal"/>
    <w:autoRedefine/>
    <w:uiPriority w:val="39"/>
    <w:unhideWhenUsed/>
    <w:rsid w:val="00B47DA1"/>
    <w:pPr>
      <w:suppressAutoHyphens w:val="0"/>
      <w:spacing w:after="200" w:line="276" w:lineRule="auto"/>
      <w:ind w:left="200"/>
    </w:pPr>
    <w:rPr>
      <w:rFonts w:eastAsia="Calibri"/>
    </w:rPr>
  </w:style>
  <w:style w:type="character" w:customStyle="1" w:styleId="HeaderChar">
    <w:name w:val="Header Char"/>
    <w:aliases w:val="6_G Char"/>
    <w:link w:val="Header"/>
    <w:rsid w:val="00B47DA1"/>
    <w:rPr>
      <w:b/>
      <w:sz w:val="18"/>
      <w:lang w:eastAsia="en-US"/>
    </w:rPr>
  </w:style>
  <w:style w:type="character" w:customStyle="1" w:styleId="FooterChar">
    <w:name w:val="Footer Char"/>
    <w:aliases w:val="3_G Char"/>
    <w:link w:val="Footer"/>
    <w:uiPriority w:val="99"/>
    <w:rsid w:val="00B47DA1"/>
    <w:rPr>
      <w:sz w:val="16"/>
      <w:lang w:eastAsia="en-US"/>
    </w:rPr>
  </w:style>
  <w:style w:type="paragraph" w:styleId="BalloonText">
    <w:name w:val="Balloon Text"/>
    <w:basedOn w:val="Normal"/>
    <w:link w:val="BalloonTextChar"/>
    <w:uiPriority w:val="99"/>
    <w:unhideWhenUsed/>
    <w:rsid w:val="00B47DA1"/>
    <w:pPr>
      <w:suppressAutoHyphens w:val="0"/>
      <w:spacing w:line="240" w:lineRule="auto"/>
    </w:pPr>
    <w:rPr>
      <w:rFonts w:ascii="Tahoma" w:eastAsia="Calibri" w:hAnsi="Tahoma" w:cs="Tahoma"/>
      <w:sz w:val="16"/>
      <w:szCs w:val="16"/>
    </w:rPr>
  </w:style>
  <w:style w:type="character" w:customStyle="1" w:styleId="BalloonTextChar">
    <w:name w:val="Balloon Text Char"/>
    <w:link w:val="BalloonText"/>
    <w:uiPriority w:val="99"/>
    <w:rsid w:val="00B47DA1"/>
    <w:rPr>
      <w:rFonts w:ascii="Tahoma" w:eastAsia="Calibri" w:hAnsi="Tahoma" w:cs="Tahoma"/>
      <w:sz w:val="16"/>
      <w:szCs w:val="16"/>
      <w:lang w:eastAsia="en-US"/>
    </w:rPr>
  </w:style>
  <w:style w:type="paragraph" w:customStyle="1" w:styleId="tekstgenerel">
    <w:name w:val="tekstgenerel"/>
    <w:basedOn w:val="Normal"/>
    <w:rsid w:val="00B47DA1"/>
    <w:pPr>
      <w:suppressAutoHyphens w:val="0"/>
      <w:spacing w:line="240" w:lineRule="auto"/>
    </w:pPr>
    <w:rPr>
      <w:rFonts w:ascii="Tahoma" w:hAnsi="Tahoma" w:cs="Tahoma"/>
      <w:color w:val="000000"/>
      <w:sz w:val="24"/>
      <w:szCs w:val="24"/>
      <w:lang w:val="da-DK" w:eastAsia="da-DK"/>
    </w:rPr>
  </w:style>
  <w:style w:type="paragraph" w:styleId="NoSpacing">
    <w:name w:val="No Spacing"/>
    <w:uiPriority w:val="1"/>
    <w:qFormat/>
    <w:rsid w:val="00B47DA1"/>
    <w:rPr>
      <w:rFonts w:ascii="Calibri" w:eastAsia="Calibri" w:hAnsi="Calibri"/>
      <w:sz w:val="22"/>
      <w:szCs w:val="22"/>
      <w:lang w:val="da-DK" w:eastAsia="en-US"/>
    </w:rPr>
  </w:style>
  <w:style w:type="paragraph" w:customStyle="1" w:styleId="BMBrdtekst">
    <w:name w:val="BMBrødtekst"/>
    <w:basedOn w:val="Normal"/>
    <w:rsid w:val="00B47DA1"/>
    <w:pPr>
      <w:suppressAutoHyphens w:val="0"/>
      <w:spacing w:line="260" w:lineRule="atLeast"/>
    </w:pPr>
    <w:rPr>
      <w:sz w:val="22"/>
      <w:szCs w:val="24"/>
      <w:lang w:val="da-DK" w:eastAsia="da-DK"/>
    </w:rPr>
  </w:style>
  <w:style w:type="paragraph" w:customStyle="1" w:styleId="BMOverskrift1">
    <w:name w:val="BMOverskrift1"/>
    <w:basedOn w:val="BMBrdtekst"/>
    <w:next w:val="BMBrdtekst"/>
    <w:rsid w:val="00B47DA1"/>
    <w:rPr>
      <w:rFonts w:ascii="Arial" w:hAnsi="Arial"/>
      <w:b/>
      <w:sz w:val="20"/>
    </w:rPr>
  </w:style>
  <w:style w:type="paragraph" w:styleId="ListParagraph">
    <w:name w:val="List Paragraph"/>
    <w:basedOn w:val="Normal"/>
    <w:uiPriority w:val="34"/>
    <w:qFormat/>
    <w:rsid w:val="00B47DA1"/>
    <w:pPr>
      <w:suppressAutoHyphens w:val="0"/>
      <w:spacing w:line="240" w:lineRule="auto"/>
      <w:ind w:left="720"/>
    </w:pPr>
    <w:rPr>
      <w:rFonts w:ascii="Calibri" w:eastAsia="Calibri" w:hAnsi="Calibri"/>
      <w:sz w:val="22"/>
      <w:szCs w:val="22"/>
      <w:lang w:val="da-DK"/>
    </w:rPr>
  </w:style>
  <w:style w:type="paragraph" w:customStyle="1" w:styleId="Default">
    <w:name w:val="Default"/>
    <w:uiPriority w:val="99"/>
    <w:rsid w:val="00B47DA1"/>
    <w:pPr>
      <w:autoSpaceDE w:val="0"/>
      <w:autoSpaceDN w:val="0"/>
      <w:adjustRightInd w:val="0"/>
    </w:pPr>
    <w:rPr>
      <w:rFonts w:ascii="Garamond" w:eastAsia="Calibri" w:hAnsi="Garamond" w:cs="Garamond"/>
      <w:color w:val="000000"/>
      <w:sz w:val="24"/>
      <w:szCs w:val="24"/>
      <w:lang w:val="da-DK" w:eastAsia="en-US"/>
    </w:rPr>
  </w:style>
  <w:style w:type="character" w:styleId="CommentReference">
    <w:name w:val="annotation reference"/>
    <w:uiPriority w:val="99"/>
    <w:unhideWhenUsed/>
    <w:rsid w:val="00B47DA1"/>
    <w:rPr>
      <w:sz w:val="16"/>
      <w:szCs w:val="16"/>
    </w:rPr>
  </w:style>
  <w:style w:type="paragraph" w:styleId="CommentText">
    <w:name w:val="annotation text"/>
    <w:basedOn w:val="Normal"/>
    <w:link w:val="CommentTextChar"/>
    <w:uiPriority w:val="99"/>
    <w:unhideWhenUsed/>
    <w:rsid w:val="00B47DA1"/>
    <w:pPr>
      <w:suppressAutoHyphens w:val="0"/>
      <w:spacing w:after="200" w:line="276" w:lineRule="auto"/>
    </w:pPr>
    <w:rPr>
      <w:rFonts w:eastAsia="Calibri"/>
    </w:rPr>
  </w:style>
  <w:style w:type="character" w:customStyle="1" w:styleId="CommentTextChar">
    <w:name w:val="Comment Text Char"/>
    <w:link w:val="CommentText"/>
    <w:uiPriority w:val="99"/>
    <w:rsid w:val="00B47DA1"/>
    <w:rPr>
      <w:rFonts w:eastAsia="Calibri"/>
      <w:lang w:eastAsia="en-US"/>
    </w:rPr>
  </w:style>
  <w:style w:type="paragraph" w:styleId="CommentSubject">
    <w:name w:val="annotation subject"/>
    <w:basedOn w:val="CommentText"/>
    <w:next w:val="CommentText"/>
    <w:link w:val="CommentSubjectChar"/>
    <w:uiPriority w:val="99"/>
    <w:unhideWhenUsed/>
    <w:rsid w:val="00B47DA1"/>
    <w:rPr>
      <w:b/>
      <w:bCs/>
    </w:rPr>
  </w:style>
  <w:style w:type="character" w:customStyle="1" w:styleId="CommentSubjectChar">
    <w:name w:val="Comment Subject Char"/>
    <w:link w:val="CommentSubject"/>
    <w:uiPriority w:val="99"/>
    <w:rsid w:val="00B47DA1"/>
    <w:rPr>
      <w:rFonts w:eastAsia="Calibri"/>
      <w:b/>
      <w:bCs/>
      <w:lang w:eastAsia="en-US"/>
    </w:rPr>
  </w:style>
  <w:style w:type="character" w:customStyle="1" w:styleId="hps">
    <w:name w:val="hps"/>
    <w:basedOn w:val="DefaultParagraphFont"/>
    <w:rsid w:val="00B47DA1"/>
  </w:style>
  <w:style w:type="paragraph" w:customStyle="1" w:styleId="Lovtxt">
    <w:name w:val="Lovtxt"/>
    <w:basedOn w:val="Normal"/>
    <w:link w:val="LovtxtTegn"/>
    <w:rsid w:val="00B47DA1"/>
    <w:pPr>
      <w:tabs>
        <w:tab w:val="left" w:pos="227"/>
      </w:tabs>
      <w:suppressAutoHyphens w:val="0"/>
      <w:spacing w:after="225" w:line="225" w:lineRule="exact"/>
      <w:contextualSpacing/>
      <w:jc w:val="both"/>
    </w:pPr>
    <w:rPr>
      <w:spacing w:val="-2"/>
      <w:sz w:val="19"/>
      <w:szCs w:val="18"/>
      <w:lang w:eastAsia="da-DK"/>
    </w:rPr>
  </w:style>
  <w:style w:type="character" w:customStyle="1" w:styleId="LovtxtTegn">
    <w:name w:val="Lovtxt Tegn"/>
    <w:link w:val="Lovtxt"/>
    <w:rsid w:val="00B47DA1"/>
    <w:rPr>
      <w:spacing w:val="-2"/>
      <w:sz w:val="19"/>
      <w:szCs w:val="18"/>
      <w:lang w:eastAsia="da-DK"/>
    </w:rPr>
  </w:style>
  <w:style w:type="paragraph" w:styleId="PlainText">
    <w:name w:val="Plain Text"/>
    <w:basedOn w:val="Normal"/>
    <w:link w:val="PlainTextChar"/>
    <w:uiPriority w:val="99"/>
    <w:unhideWhenUsed/>
    <w:rsid w:val="00B47DA1"/>
    <w:pPr>
      <w:suppressAutoHyphens w:val="0"/>
      <w:spacing w:line="288" w:lineRule="auto"/>
    </w:pPr>
    <w:rPr>
      <w:rFonts w:ascii="Courier New" w:eastAsia="Calibri" w:hAnsi="Courier New" w:cs="Courier New"/>
      <w:lang w:val="da-DK" w:eastAsia="da-DK"/>
    </w:rPr>
  </w:style>
  <w:style w:type="character" w:customStyle="1" w:styleId="PlainTextChar">
    <w:name w:val="Plain Text Char"/>
    <w:link w:val="PlainText"/>
    <w:uiPriority w:val="99"/>
    <w:rsid w:val="00B47DA1"/>
    <w:rPr>
      <w:rFonts w:ascii="Courier New" w:eastAsia="Calibri" w:hAnsi="Courier New" w:cs="Courier New"/>
      <w:lang w:val="da-DK" w:eastAsia="da-DK"/>
    </w:rPr>
  </w:style>
  <w:style w:type="paragraph" w:styleId="Revision">
    <w:name w:val="Revision"/>
    <w:hidden/>
    <w:uiPriority w:val="99"/>
    <w:semiHidden/>
    <w:rsid w:val="00B47DA1"/>
    <w:rPr>
      <w:rFonts w:eastAsia="Calibri"/>
      <w:lang w:eastAsia="en-US"/>
    </w:rPr>
  </w:style>
  <w:style w:type="character" w:styleId="Emphasis">
    <w:name w:val="Emphasis"/>
    <w:uiPriority w:val="20"/>
    <w:qFormat/>
    <w:rsid w:val="00B47DA1"/>
    <w:rPr>
      <w:b/>
      <w:bCs/>
      <w:i w:val="0"/>
      <w:iCs w:val="0"/>
    </w:rPr>
  </w:style>
  <w:style w:type="character" w:customStyle="1" w:styleId="st">
    <w:name w:val="st"/>
    <w:rsid w:val="00B47DA1"/>
  </w:style>
  <w:style w:type="character" w:customStyle="1" w:styleId="EndnoteTextChar">
    <w:name w:val="Endnote Text Char"/>
    <w:aliases w:val="2_G Char"/>
    <w:link w:val="EndnoteText"/>
    <w:uiPriority w:val="99"/>
    <w:rsid w:val="00B47DA1"/>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9F1187-C973-4EED-8946-205F56823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43</Pages>
  <Words>20628</Words>
  <Characters>117586</Characters>
  <Application>Microsoft Office Word</Application>
  <DocSecurity>0</DocSecurity>
  <Lines>979</Lines>
  <Paragraphs>275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137939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pdfeng</cp:lastModifiedBy>
  <cp:revision>2</cp:revision>
  <cp:lastPrinted>2008-01-29T10:04:00Z</cp:lastPrinted>
  <dcterms:created xsi:type="dcterms:W3CDTF">2015-11-11T10:53:00Z</dcterms:created>
  <dcterms:modified xsi:type="dcterms:W3CDTF">2015-11-11T10:53:00Z</dcterms:modified>
</cp:coreProperties>
</file>