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9E1F6" w14:textId="77777777" w:rsidR="00BC7E88" w:rsidRPr="00D53490" w:rsidRDefault="00BC7E88" w:rsidP="00BC7E88">
      <w:pPr>
        <w:spacing w:line="240" w:lineRule="auto"/>
        <w:rPr>
          <w:sz w:val="2"/>
        </w:rPr>
        <w:sectPr w:rsidR="00BC7E88" w:rsidRPr="00D53490" w:rsidSect="00D863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53490">
        <w:rPr>
          <w:rStyle w:val="CommentReference"/>
        </w:rPr>
        <w:commentReference w:id="0"/>
      </w:r>
    </w:p>
    <w:p w14:paraId="709D0BBD" w14:textId="77777777" w:rsidR="00D863A6" w:rsidRPr="00D53490" w:rsidRDefault="00D863A6" w:rsidP="009750CC">
      <w:pPr>
        <w:pStyle w:val="H1"/>
        <w:ind w:left="0" w:right="4080" w:firstLine="0"/>
      </w:pPr>
      <w:r w:rsidRPr="00D53490">
        <w:t xml:space="preserve">Committee on the Elimination of Discrimination against Women </w:t>
      </w:r>
    </w:p>
    <w:p w14:paraId="53D843C6" w14:textId="77777777" w:rsidR="00D863A6" w:rsidRPr="00D53490" w:rsidRDefault="00D863A6" w:rsidP="004F4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53490">
        <w:rPr>
          <w:lang w:val="en-GB"/>
        </w:rPr>
        <w:t>Pre-sessional working group</w:t>
      </w:r>
    </w:p>
    <w:p w14:paraId="2AACF559" w14:textId="77777777" w:rsidR="00D863A6" w:rsidRPr="00D53490" w:rsidRDefault="00D863A6" w:rsidP="004F4978">
      <w:pPr>
        <w:pStyle w:val="Session"/>
        <w:rPr>
          <w:lang w:val="en-GB"/>
        </w:rPr>
      </w:pPr>
      <w:r w:rsidRPr="00D53490">
        <w:rPr>
          <w:lang w:val="en-GB"/>
        </w:rPr>
        <w:t>Seventy-third session</w:t>
      </w:r>
    </w:p>
    <w:p w14:paraId="484D18D2" w14:textId="77777777" w:rsidR="00D863A6" w:rsidRPr="00D53490" w:rsidRDefault="00D863A6" w:rsidP="004F4978">
      <w:r w:rsidRPr="00D53490">
        <w:t>12–16 November 2018</w:t>
      </w:r>
    </w:p>
    <w:p w14:paraId="7DA1F42B" w14:textId="77777777" w:rsidR="004F4978" w:rsidRPr="00D53490" w:rsidRDefault="004F4978" w:rsidP="004F4978">
      <w:pPr>
        <w:pStyle w:val="SingleTxt"/>
        <w:spacing w:after="0" w:line="120" w:lineRule="exact"/>
        <w:rPr>
          <w:sz w:val="10"/>
        </w:rPr>
      </w:pPr>
    </w:p>
    <w:p w14:paraId="13ED813C" w14:textId="77777777" w:rsidR="004F4978" w:rsidRPr="00D53490" w:rsidRDefault="004F4978" w:rsidP="004F4978">
      <w:pPr>
        <w:pStyle w:val="SingleTxt"/>
        <w:spacing w:after="0" w:line="120" w:lineRule="exact"/>
        <w:rPr>
          <w:sz w:val="10"/>
        </w:rPr>
      </w:pPr>
    </w:p>
    <w:p w14:paraId="681DF7C7" w14:textId="77777777" w:rsidR="004F4978" w:rsidRPr="00D53490" w:rsidRDefault="004F4978" w:rsidP="004F4978">
      <w:pPr>
        <w:pStyle w:val="SingleTxt"/>
        <w:spacing w:after="0" w:line="120" w:lineRule="exact"/>
        <w:rPr>
          <w:sz w:val="10"/>
        </w:rPr>
      </w:pPr>
    </w:p>
    <w:p w14:paraId="50BE00B0" w14:textId="198395FE" w:rsidR="00D863A6" w:rsidRPr="00D53490" w:rsidRDefault="00D863A6" w:rsidP="004F4978">
      <w:pPr>
        <w:pStyle w:val="TitleHCH"/>
        <w:ind w:left="1267" w:right="1260" w:hanging="1267"/>
      </w:pPr>
      <w:r w:rsidRPr="00D53490">
        <w:tab/>
      </w:r>
      <w:r w:rsidRPr="00D53490">
        <w:tab/>
        <w:t>Consideration of reports submitted by States parties under article 18 of the Convention on the Elimin</w:t>
      </w:r>
      <w:bookmarkStart w:id="1" w:name="_GoBack"/>
      <w:bookmarkEnd w:id="1"/>
      <w:r w:rsidRPr="00D53490">
        <w:t>ation of All Forms of Discrimination against Women</w:t>
      </w:r>
    </w:p>
    <w:p w14:paraId="7C4BF7D9" w14:textId="77777777" w:rsidR="004F4978" w:rsidRPr="00D53490" w:rsidRDefault="004F4978" w:rsidP="004F4978">
      <w:pPr>
        <w:pStyle w:val="SingleTxt"/>
        <w:spacing w:after="0" w:line="120" w:lineRule="exact"/>
        <w:rPr>
          <w:sz w:val="10"/>
        </w:rPr>
      </w:pPr>
    </w:p>
    <w:p w14:paraId="335AFF53" w14:textId="77777777" w:rsidR="004F4978" w:rsidRPr="00D53490" w:rsidRDefault="004F4978" w:rsidP="004F4978">
      <w:pPr>
        <w:pStyle w:val="SingleTxt"/>
        <w:spacing w:after="0" w:line="120" w:lineRule="exact"/>
        <w:rPr>
          <w:sz w:val="10"/>
        </w:rPr>
      </w:pPr>
    </w:p>
    <w:p w14:paraId="242D35F5" w14:textId="097046DB" w:rsidR="00D863A6" w:rsidRPr="00D53490" w:rsidRDefault="00D863A6" w:rsidP="004F4978">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53490">
        <w:tab/>
      </w:r>
      <w:r w:rsidRPr="00D53490">
        <w:tab/>
        <w:t>Report of the pre-sessional working group</w:t>
      </w:r>
    </w:p>
    <w:p w14:paraId="737DDA02" w14:textId="77777777" w:rsidR="004F4978" w:rsidRPr="00D53490" w:rsidRDefault="004F4978" w:rsidP="004F4978">
      <w:pPr>
        <w:pStyle w:val="SingleTxt"/>
        <w:spacing w:after="0" w:line="120" w:lineRule="exact"/>
        <w:rPr>
          <w:sz w:val="10"/>
        </w:rPr>
      </w:pPr>
    </w:p>
    <w:p w14:paraId="22075090" w14:textId="77777777" w:rsidR="004F4978" w:rsidRPr="00D53490" w:rsidRDefault="004F4978" w:rsidP="004F4978">
      <w:pPr>
        <w:pStyle w:val="SingleTxt"/>
        <w:spacing w:after="0" w:line="120" w:lineRule="exact"/>
        <w:rPr>
          <w:sz w:val="10"/>
        </w:rPr>
      </w:pPr>
    </w:p>
    <w:p w14:paraId="757BBF8F" w14:textId="3E216408" w:rsidR="00D863A6" w:rsidRPr="00D53490" w:rsidRDefault="00D863A6" w:rsidP="00D863A6">
      <w:pPr>
        <w:pStyle w:val="SingleTxt"/>
      </w:pPr>
      <w:r w:rsidRPr="00D53490">
        <w:t>1.</w:t>
      </w:r>
      <w:r w:rsidRPr="00D53490">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upcoming sessions.</w:t>
      </w:r>
    </w:p>
    <w:p w14:paraId="2770BCB3" w14:textId="77777777" w:rsidR="00D863A6" w:rsidRPr="00D53490" w:rsidRDefault="00D863A6" w:rsidP="00D863A6">
      <w:pPr>
        <w:pStyle w:val="SingleTxt"/>
      </w:pPr>
      <w:r w:rsidRPr="00D53490">
        <w:t>2.</w:t>
      </w:r>
      <w:r w:rsidRPr="00D53490">
        <w:tab/>
        <w:t>The Committee decided that the pre-sessional working group for the seventy-third session of the Committee would meet from 12 to 16 November 2018, immediately after the seventy-first session, in order to ensure that sufficient time would be available to States parties to submit their written replies to the lists of issues and questions and to ensure their timely translation.</w:t>
      </w:r>
    </w:p>
    <w:p w14:paraId="2B03DA4C" w14:textId="77777777" w:rsidR="00D863A6" w:rsidRPr="00D53490" w:rsidRDefault="00D863A6" w:rsidP="00D863A6">
      <w:pPr>
        <w:pStyle w:val="SingleTxt"/>
      </w:pPr>
      <w:r w:rsidRPr="00D53490">
        <w:t>3.</w:t>
      </w:r>
      <w:r w:rsidRPr="00D53490">
        <w:tab/>
        <w:t>The following experts were designated as members of the pre-sessional working group and attended the session:</w:t>
      </w:r>
    </w:p>
    <w:p w14:paraId="4DDA6316" w14:textId="4CDCB4BA" w:rsidR="00D863A6" w:rsidRPr="00D53490" w:rsidRDefault="00D863A6" w:rsidP="00397523">
      <w:pPr>
        <w:pStyle w:val="SingleTxt"/>
        <w:spacing w:after="0"/>
      </w:pPr>
      <w:r w:rsidRPr="00D53490">
        <w:tab/>
        <w:t>Gladys Acosta Vargas</w:t>
      </w:r>
      <w:bookmarkStart w:id="2" w:name="BeginPage"/>
      <w:bookmarkEnd w:id="2"/>
    </w:p>
    <w:p w14:paraId="4E1815CA" w14:textId="77777777" w:rsidR="00D863A6" w:rsidRPr="00D53490" w:rsidRDefault="00D863A6" w:rsidP="00397523">
      <w:pPr>
        <w:pStyle w:val="SingleTxt"/>
        <w:spacing w:after="0"/>
      </w:pPr>
      <w:r w:rsidRPr="00D53490">
        <w:tab/>
        <w:t>Esther Eghobamien-Mshelia</w:t>
      </w:r>
    </w:p>
    <w:p w14:paraId="0D08B536" w14:textId="77777777" w:rsidR="00D863A6" w:rsidRPr="00D53490" w:rsidRDefault="00D863A6" w:rsidP="00397523">
      <w:pPr>
        <w:pStyle w:val="SingleTxt"/>
        <w:spacing w:after="0"/>
      </w:pPr>
      <w:r w:rsidRPr="00D53490">
        <w:tab/>
        <w:t>Lilian Hofmeister</w:t>
      </w:r>
    </w:p>
    <w:p w14:paraId="221C8F64" w14:textId="77777777" w:rsidR="00D863A6" w:rsidRPr="00D53490" w:rsidRDefault="00D863A6" w:rsidP="00397523">
      <w:pPr>
        <w:pStyle w:val="SingleTxt"/>
        <w:spacing w:after="0"/>
      </w:pPr>
      <w:r w:rsidRPr="00D53490">
        <w:tab/>
        <w:t>Dalia Leinarte</w:t>
      </w:r>
    </w:p>
    <w:p w14:paraId="3CB5C0B3" w14:textId="14F31797" w:rsidR="00D863A6" w:rsidRPr="00D53490" w:rsidRDefault="00D863A6" w:rsidP="00D863A6">
      <w:pPr>
        <w:pStyle w:val="SingleTxt"/>
      </w:pPr>
      <w:r w:rsidRPr="00D53490">
        <w:tab/>
        <w:t>Bandana Rana</w:t>
      </w:r>
    </w:p>
    <w:p w14:paraId="23AE76E9" w14:textId="77777777" w:rsidR="00D863A6" w:rsidRPr="00D53490" w:rsidRDefault="00D863A6" w:rsidP="00D863A6">
      <w:pPr>
        <w:pStyle w:val="SingleTxt"/>
      </w:pPr>
      <w:r w:rsidRPr="00D53490">
        <w:t>4.</w:t>
      </w:r>
      <w:r w:rsidRPr="00D53490">
        <w:tab/>
        <w:t>The pre-sessional working group elected Ms. Acosta Vargas as its Chair.</w:t>
      </w:r>
    </w:p>
    <w:p w14:paraId="771480FD" w14:textId="4443E27B" w:rsidR="00D863A6" w:rsidRPr="00D53490" w:rsidRDefault="00D863A6" w:rsidP="00D863A6">
      <w:pPr>
        <w:pStyle w:val="SingleTxt"/>
      </w:pPr>
      <w:r w:rsidRPr="00D53490">
        <w:t>5.</w:t>
      </w:r>
      <w:r w:rsidRPr="00D53490">
        <w:tab/>
        <w:t xml:space="preserve">The pre-sessional working group prepared lists of issues and questions with regard to the reports of Austria, Bahrain, Cabo Verde, Côte d’Ivoire, the Democratic Republic of the Congo, Guyana, Mozambique and Qatar. In that regard, it was guided by Committee decisions 49/IX, </w:t>
      </w:r>
      <w:r w:rsidR="006A272A" w:rsidRPr="00D53490">
        <w:t>59/4</w:t>
      </w:r>
      <w:r w:rsidRPr="00D53490">
        <w:t xml:space="preserve"> and </w:t>
      </w:r>
      <w:r w:rsidR="006A272A" w:rsidRPr="00D53490">
        <w:t>64/2</w:t>
      </w:r>
      <w:r w:rsidRPr="00D53490">
        <w:t>, according to which the Committee decided to limit lists of issues and questions and list of issues prior to reporting to 20</w:t>
      </w:r>
      <w:r w:rsidR="00D53490">
        <w:t> </w:t>
      </w:r>
      <w:r w:rsidRPr="00D53490">
        <w:t>and 25 paragraphs, respectively. However, in practice and exceptionally, some lists</w:t>
      </w:r>
      <w:r w:rsidR="00397523" w:rsidRPr="00D53490">
        <w:t xml:space="preserve"> c</w:t>
      </w:r>
      <w:r w:rsidRPr="00D53490">
        <w:t>ontain a maximum of 23 paragraphs.</w:t>
      </w:r>
    </w:p>
    <w:p w14:paraId="68A55A86" w14:textId="5B7C66A9" w:rsidR="00D863A6" w:rsidRPr="00D53490" w:rsidRDefault="00D863A6" w:rsidP="00D863A6">
      <w:pPr>
        <w:pStyle w:val="SingleTxt"/>
      </w:pPr>
      <w:r w:rsidRPr="00D53490">
        <w:lastRenderedPageBreak/>
        <w:t>6.</w:t>
      </w:r>
      <w:r w:rsidRPr="00D53490">
        <w:tab/>
        <w:t>To assist in the preparation of the lists of issues and questions, the pre</w:t>
      </w:r>
      <w:r w:rsidR="006A272A" w:rsidRPr="00D53490">
        <w:t>-</w:t>
      </w:r>
      <w:r w:rsidRPr="00D53490">
        <w:t>sessional working group had at its disposal electronic versions of the reports of the States parties listed above, in addition to the core documents of those States parties, with the exception of the core documents of Bahrain, Côte d’Ivoire, Mozambique and Qatar; the general recommendations adopted by the Committee; draft lists of issues and questions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2A8EC72F" w14:textId="77777777" w:rsidR="00D863A6" w:rsidRPr="00D53490" w:rsidRDefault="00D863A6" w:rsidP="00D863A6">
      <w:pPr>
        <w:pStyle w:val="SingleTxt"/>
      </w:pPr>
      <w:r w:rsidRPr="00D53490">
        <w:t>7.</w:t>
      </w:r>
      <w:r w:rsidRPr="00D53490">
        <w:tab/>
        <w:t>The pre-sessional working group benefited from written and oral information submitted by entities of the United Nations system, non-governmental organizations and national human rights institutions with regard to the States parties listed above.</w:t>
      </w:r>
    </w:p>
    <w:p w14:paraId="427C1D42" w14:textId="77777777" w:rsidR="00D863A6" w:rsidRPr="00D53490" w:rsidRDefault="00D863A6" w:rsidP="00D863A6">
      <w:pPr>
        <w:pStyle w:val="SingleTxt"/>
      </w:pPr>
      <w:r w:rsidRPr="00D53490">
        <w:t>8.</w:t>
      </w:r>
      <w:r w:rsidRPr="00D53490">
        <w:tab/>
        <w:t>The lists of issues and questions adopted by the pre-sessional working group were transmitted to the States parties concerned and are contained in the following documents:</w:t>
      </w:r>
    </w:p>
    <w:p w14:paraId="2E7B35E2" w14:textId="6C0D7E1B" w:rsidR="00D863A6" w:rsidRPr="00D53490" w:rsidRDefault="00D863A6" w:rsidP="00D863A6">
      <w:pPr>
        <w:pStyle w:val="SingleTxt"/>
      </w:pPr>
      <w:r w:rsidRPr="00D53490">
        <w:tab/>
        <w:t>(a)</w:t>
      </w:r>
      <w:r w:rsidRPr="00D53490">
        <w:tab/>
        <w:t>List of issues and questions in relation to the ninth periodic report of Austria (</w:t>
      </w:r>
      <w:hyperlink r:id="rId15" w:history="1">
        <w:r w:rsidRPr="00D53490">
          <w:rPr>
            <w:rStyle w:val="Hyperlink"/>
          </w:rPr>
          <w:t>CEDAW/C/AUT/Q/9</w:t>
        </w:r>
      </w:hyperlink>
      <w:r w:rsidRPr="00D53490">
        <w:t>);</w:t>
      </w:r>
    </w:p>
    <w:p w14:paraId="47CEEED3" w14:textId="5CABC68C" w:rsidR="00D863A6" w:rsidRPr="00D53490" w:rsidRDefault="00D863A6" w:rsidP="00D863A6">
      <w:pPr>
        <w:pStyle w:val="SingleTxt"/>
      </w:pPr>
      <w:r w:rsidRPr="00D53490">
        <w:tab/>
        <w:t>(b)</w:t>
      </w:r>
      <w:r w:rsidRPr="00D53490">
        <w:tab/>
        <w:t>List of issues and questions in relation to the fourth periodic report of Bahrain (</w:t>
      </w:r>
      <w:hyperlink r:id="rId16" w:history="1">
        <w:r w:rsidRPr="00D53490">
          <w:rPr>
            <w:rStyle w:val="Hyperlink"/>
          </w:rPr>
          <w:t>CEDAW/C/BHR/Q/4</w:t>
        </w:r>
      </w:hyperlink>
      <w:r w:rsidRPr="00D53490">
        <w:t>);</w:t>
      </w:r>
    </w:p>
    <w:p w14:paraId="68ACF8AE" w14:textId="44ECC2B3" w:rsidR="00D863A6" w:rsidRPr="00D53490" w:rsidRDefault="00D863A6" w:rsidP="00D863A6">
      <w:pPr>
        <w:pStyle w:val="SingleTxt"/>
      </w:pPr>
      <w:r w:rsidRPr="00D53490">
        <w:tab/>
        <w:t>(c)</w:t>
      </w:r>
      <w:r w:rsidRPr="00D53490">
        <w:tab/>
        <w:t>List of issues and questions in relation to the ninth periodic report of Cabo Verde (</w:t>
      </w:r>
      <w:hyperlink r:id="rId17" w:history="1">
        <w:r w:rsidRPr="00D53490">
          <w:rPr>
            <w:rStyle w:val="Hyperlink"/>
          </w:rPr>
          <w:t>CEDAW/C/CPV/Q/9</w:t>
        </w:r>
      </w:hyperlink>
      <w:r w:rsidRPr="00D53490">
        <w:t>);</w:t>
      </w:r>
    </w:p>
    <w:p w14:paraId="4ECD17DB" w14:textId="49F61EB3" w:rsidR="00D863A6" w:rsidRPr="00D53490" w:rsidRDefault="00D863A6" w:rsidP="00D863A6">
      <w:pPr>
        <w:pStyle w:val="SingleTxt"/>
      </w:pPr>
      <w:r w:rsidRPr="00D53490">
        <w:tab/>
        <w:t>(d)</w:t>
      </w:r>
      <w:r w:rsidRPr="00D53490">
        <w:tab/>
        <w:t>List of issues and questions in relation to the fourth periodic report of Côte d’Ivoire (</w:t>
      </w:r>
      <w:hyperlink r:id="rId18" w:history="1">
        <w:r w:rsidRPr="00D53490">
          <w:rPr>
            <w:rStyle w:val="Hyperlink"/>
          </w:rPr>
          <w:t>CEDAW/C/CIV/Q/4</w:t>
        </w:r>
      </w:hyperlink>
      <w:r w:rsidRPr="00D53490">
        <w:t>);</w:t>
      </w:r>
    </w:p>
    <w:p w14:paraId="2D1914EF" w14:textId="0204926C" w:rsidR="00D863A6" w:rsidRPr="00D53490" w:rsidRDefault="00D863A6" w:rsidP="00D863A6">
      <w:pPr>
        <w:pStyle w:val="SingleTxt"/>
      </w:pPr>
      <w:r w:rsidRPr="00D53490">
        <w:tab/>
        <w:t>(e)</w:t>
      </w:r>
      <w:r w:rsidRPr="00D53490">
        <w:tab/>
        <w:t>List of issues and questions in relation to the eighth periodic report of the Democratic Republic of the Congo (</w:t>
      </w:r>
      <w:hyperlink r:id="rId19" w:history="1">
        <w:r w:rsidRPr="00D53490">
          <w:rPr>
            <w:rStyle w:val="Hyperlink"/>
          </w:rPr>
          <w:t>CEDAW/C/COD/Q/8</w:t>
        </w:r>
      </w:hyperlink>
      <w:r w:rsidRPr="00D53490">
        <w:t>);</w:t>
      </w:r>
    </w:p>
    <w:p w14:paraId="3644EFA3" w14:textId="0471E11A" w:rsidR="00D863A6" w:rsidRPr="00D53490" w:rsidRDefault="00D863A6" w:rsidP="00D863A6">
      <w:pPr>
        <w:pStyle w:val="SingleTxt"/>
      </w:pPr>
      <w:r w:rsidRPr="00D53490">
        <w:tab/>
        <w:t>(f)</w:t>
      </w:r>
      <w:r w:rsidRPr="00D53490">
        <w:tab/>
        <w:t>List of issues and questions in relation to the ninth periodic report of Guyana (</w:t>
      </w:r>
      <w:hyperlink r:id="rId20" w:history="1">
        <w:r w:rsidRPr="00D53490">
          <w:rPr>
            <w:rStyle w:val="Hyperlink"/>
          </w:rPr>
          <w:t>CEDAW/C/GUY/Q/9</w:t>
        </w:r>
      </w:hyperlink>
      <w:r w:rsidRPr="00D53490">
        <w:t>);</w:t>
      </w:r>
    </w:p>
    <w:p w14:paraId="0DAA1FC0" w14:textId="1FD547D7" w:rsidR="00D863A6" w:rsidRPr="00D53490" w:rsidRDefault="00D863A6" w:rsidP="00D863A6">
      <w:pPr>
        <w:pStyle w:val="SingleTxt"/>
      </w:pPr>
      <w:r w:rsidRPr="00D53490">
        <w:tab/>
        <w:t>(g)</w:t>
      </w:r>
      <w:r w:rsidRPr="00D53490">
        <w:tab/>
        <w:t>List of issues and questions in relation to the combined third to fifth periodic reports of Mozambique (</w:t>
      </w:r>
      <w:hyperlink r:id="rId21" w:history="1">
        <w:r w:rsidRPr="00D53490">
          <w:rPr>
            <w:rStyle w:val="Hyperlink"/>
          </w:rPr>
          <w:t>CEDAW/C/MOZ/Q/3-5</w:t>
        </w:r>
      </w:hyperlink>
      <w:r w:rsidRPr="00D53490">
        <w:t>);</w:t>
      </w:r>
    </w:p>
    <w:p w14:paraId="5290D2EE" w14:textId="5431BFB6" w:rsidR="00D863A6" w:rsidRPr="00D53490" w:rsidRDefault="00D863A6" w:rsidP="00D863A6">
      <w:pPr>
        <w:pStyle w:val="SingleTxt"/>
      </w:pPr>
      <w:r w:rsidRPr="00D53490">
        <w:tab/>
        <w:t>(h)</w:t>
      </w:r>
      <w:r w:rsidRPr="00D53490">
        <w:tab/>
        <w:t>List of issues and questions in relation to the second periodic report of Qatar (</w:t>
      </w:r>
      <w:hyperlink r:id="rId22" w:history="1">
        <w:r w:rsidRPr="00D53490">
          <w:rPr>
            <w:rStyle w:val="Hyperlink"/>
          </w:rPr>
          <w:t>CEDAW/C/QAT/Q/2</w:t>
        </w:r>
      </w:hyperlink>
      <w:r w:rsidRPr="00D53490">
        <w:t>).</w:t>
      </w:r>
    </w:p>
    <w:p w14:paraId="18F8C78F" w14:textId="1A582066" w:rsidR="00D863A6" w:rsidRPr="00D53490" w:rsidRDefault="00D863A6" w:rsidP="00D863A6">
      <w:pPr>
        <w:pStyle w:val="SingleTxt"/>
      </w:pPr>
      <w:r w:rsidRPr="00D53490">
        <w:t>9.</w:t>
      </w:r>
      <w:r w:rsidRPr="00D53490">
        <w:tab/>
        <w:t>The lists of issues prior to reporting in relation to the eighth periodic report of the Dominican Republic (</w:t>
      </w:r>
      <w:hyperlink r:id="rId23" w:history="1">
        <w:r w:rsidRPr="00D53490">
          <w:rPr>
            <w:rStyle w:val="Hyperlink"/>
          </w:rPr>
          <w:t>CEDAW/C/DOM/QPR/8</w:t>
        </w:r>
      </w:hyperlink>
      <w:r w:rsidRPr="00D53490">
        <w:t>), the tenth periodic report of Mongolia (</w:t>
      </w:r>
      <w:hyperlink r:id="rId24" w:history="1">
        <w:r w:rsidRPr="00D53490">
          <w:rPr>
            <w:rStyle w:val="Hyperlink"/>
          </w:rPr>
          <w:t>CEDAW/C/MNG/QPR/10</w:t>
        </w:r>
      </w:hyperlink>
      <w:r w:rsidRPr="00D53490">
        <w:t>) and the eighth periodic report of Panama (</w:t>
      </w:r>
      <w:hyperlink r:id="rId25" w:history="1">
        <w:r w:rsidRPr="00D53490">
          <w:rPr>
            <w:rStyle w:val="Hyperlink"/>
          </w:rPr>
          <w:t>CEDAW/C/PAN/QPR/8</w:t>
        </w:r>
      </w:hyperlink>
      <w:r w:rsidRPr="00D53490">
        <w:t>) will be submitted to the Committee for approval at its seventy-second session (18 February–8 March 2019), before being transmitted to the State party.</w:t>
      </w:r>
    </w:p>
    <w:p w14:paraId="1B0C7D49" w14:textId="77777777" w:rsidR="00D863A6" w:rsidRPr="00D53490" w:rsidRDefault="00D863A6" w:rsidP="00D863A6">
      <w:pPr>
        <w:pStyle w:val="SingleTxt"/>
      </w:pPr>
      <w:r w:rsidRPr="00D53490">
        <w:t>10.</w:t>
      </w:r>
      <w:r w:rsidRPr="00D53490">
        <w:tab/>
        <w:t xml:space="preserve">In accordance with Committee decisions 22/IV, 25/II and 31/III, the lists of issues and questions focused on themes addressed by the Convention, as well as on the linkages between relevant themes and target 5.1 of the Sustainable Development Goals. Those themes include the constitutional and legislative framework; access to justice; women and peace and security, where applicable; national machinery for the advancement of women; temporary special measures for the advancement of women; stereotypes and harmful practices; gender-based violence against women and girls, including domestic violence; trafficking in women and exploitation of prostitution; participation of women in political and public life; nationality; education; employment; health; economic and social life; disaster risk reduction and climate change; rural women; the situation of members of disadvantaged groups, such as older </w:t>
      </w:r>
      <w:r w:rsidRPr="00D53490">
        <w:lastRenderedPageBreak/>
        <w:t>women, women with disabilities, women in detention, indigenous women, women belonging to ethnic minority groups, refugee women and migrant women, lesbian, bisexual and transgender women and intersex persons; equality before the law; and equality in marriage and family relations.</w:t>
      </w:r>
    </w:p>
    <w:p w14:paraId="1BD38736" w14:textId="0BB1B10D" w:rsidR="00BC7E88" w:rsidRPr="00D53490" w:rsidRDefault="00D863A6" w:rsidP="00D863A6">
      <w:pPr>
        <w:pStyle w:val="SingleTxt"/>
      </w:pPr>
      <w:r w:rsidRPr="00D53490">
        <w:rPr>
          <w:noProof/>
          <w:w w:val="100"/>
        </w:rPr>
        <mc:AlternateContent>
          <mc:Choice Requires="wps">
            <w:drawing>
              <wp:anchor distT="0" distB="0" distL="114300" distR="114300" simplePos="0" relativeHeight="251659264" behindDoc="0" locked="0" layoutInCell="1" allowOverlap="1" wp14:anchorId="3AE1E57D" wp14:editId="7663FAC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094F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C7E88" w:rsidRPr="00D53490" w:rsidSect="00D863A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4T13:44:00Z" w:initials="Start">
    <w:p w14:paraId="016DD815" w14:textId="77777777" w:rsidR="00BC7E88" w:rsidRDefault="00BC7E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NO&gt;&gt;N1839128E&lt;&lt;ODS JOB NO&gt;&gt;</w:t>
      </w:r>
    </w:p>
    <w:p w14:paraId="6E074650" w14:textId="77777777" w:rsidR="00BC7E88" w:rsidRDefault="00BC7E88">
      <w:pPr>
        <w:pStyle w:val="CommentText"/>
      </w:pPr>
      <w:r>
        <w:t>&lt;&lt;ODS DOC SYMBOL1&gt;&gt;CEDAW/C/PSWG/73/1&lt;&lt;ODS DOC SYMBOL1&gt;&gt;</w:t>
      </w:r>
    </w:p>
    <w:p w14:paraId="28215D1B" w14:textId="77777777" w:rsidR="00BC7E88" w:rsidRDefault="00BC7E8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215D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01518" w14:textId="77777777" w:rsidR="00183F19" w:rsidRDefault="00183F19" w:rsidP="00556720">
      <w:r>
        <w:separator/>
      </w:r>
    </w:p>
  </w:endnote>
  <w:endnote w:type="continuationSeparator" w:id="0">
    <w:p w14:paraId="5DB93106" w14:textId="77777777" w:rsidR="00183F19" w:rsidRDefault="00183F1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7E88" w14:paraId="3EA13A64" w14:textId="77777777" w:rsidTr="00BC7E88">
      <w:tc>
        <w:tcPr>
          <w:tcW w:w="4920" w:type="dxa"/>
          <w:shd w:val="clear" w:color="auto" w:fill="auto"/>
        </w:tcPr>
        <w:p w14:paraId="258D391D" w14:textId="4529EF18" w:rsidR="00BC7E88" w:rsidRPr="00BC7E88" w:rsidRDefault="00BC7E88" w:rsidP="00BC7E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216">
            <w:rPr>
              <w:b w:val="0"/>
              <w:w w:val="103"/>
              <w:sz w:val="14"/>
            </w:rPr>
            <w:t>18-19865</w:t>
          </w:r>
          <w:r>
            <w:rPr>
              <w:b w:val="0"/>
              <w:w w:val="103"/>
              <w:sz w:val="14"/>
            </w:rPr>
            <w:fldChar w:fldCharType="end"/>
          </w:r>
        </w:p>
      </w:tc>
      <w:tc>
        <w:tcPr>
          <w:tcW w:w="4920" w:type="dxa"/>
          <w:shd w:val="clear" w:color="auto" w:fill="auto"/>
        </w:tcPr>
        <w:p w14:paraId="35D4C548" w14:textId="2C04FB29" w:rsidR="00BC7E88" w:rsidRPr="00BC7E88" w:rsidRDefault="00BC7E88" w:rsidP="00BC7E88">
          <w:pPr>
            <w:pStyle w:val="Footer"/>
            <w:rPr>
              <w:w w:val="103"/>
            </w:rPr>
          </w:pPr>
          <w:r>
            <w:rPr>
              <w:w w:val="103"/>
            </w:rPr>
            <w:fldChar w:fldCharType="begin"/>
          </w:r>
          <w:r>
            <w:rPr>
              <w:w w:val="103"/>
            </w:rPr>
            <w:instrText xml:space="preserve"> PAGE  \* Arabic  \* MERGEFORMAT </w:instrText>
          </w:r>
          <w:r>
            <w:rPr>
              <w:w w:val="103"/>
            </w:rPr>
            <w:fldChar w:fldCharType="separate"/>
          </w:r>
          <w:r w:rsidR="003B121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1216">
            <w:rPr>
              <w:w w:val="103"/>
            </w:rPr>
            <w:t>3</w:t>
          </w:r>
          <w:r>
            <w:rPr>
              <w:w w:val="103"/>
            </w:rPr>
            <w:fldChar w:fldCharType="end"/>
          </w:r>
        </w:p>
      </w:tc>
    </w:tr>
  </w:tbl>
  <w:p w14:paraId="4A49E2FF" w14:textId="77777777" w:rsidR="00BC7E88" w:rsidRPr="00BC7E88" w:rsidRDefault="00BC7E88" w:rsidP="00BC7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7E88" w14:paraId="5C9A1A57" w14:textId="77777777" w:rsidTr="00BC7E88">
      <w:tc>
        <w:tcPr>
          <w:tcW w:w="4920" w:type="dxa"/>
          <w:shd w:val="clear" w:color="auto" w:fill="auto"/>
        </w:tcPr>
        <w:p w14:paraId="105E0B2F" w14:textId="207FD904" w:rsidR="00BC7E88" w:rsidRPr="00BC7E88" w:rsidRDefault="00BC7E88" w:rsidP="00BC7E8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1216">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1216">
            <w:rPr>
              <w:w w:val="103"/>
            </w:rPr>
            <w:t>3</w:t>
          </w:r>
          <w:r>
            <w:rPr>
              <w:w w:val="103"/>
            </w:rPr>
            <w:fldChar w:fldCharType="end"/>
          </w:r>
        </w:p>
      </w:tc>
      <w:tc>
        <w:tcPr>
          <w:tcW w:w="4920" w:type="dxa"/>
          <w:shd w:val="clear" w:color="auto" w:fill="auto"/>
        </w:tcPr>
        <w:p w14:paraId="02DFBE74" w14:textId="47DC5DF6" w:rsidR="00BC7E88" w:rsidRPr="00BC7E88" w:rsidRDefault="00BC7E88" w:rsidP="00BC7E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1216">
            <w:rPr>
              <w:b w:val="0"/>
              <w:w w:val="103"/>
              <w:sz w:val="14"/>
            </w:rPr>
            <w:t>18-19865</w:t>
          </w:r>
          <w:r>
            <w:rPr>
              <w:b w:val="0"/>
              <w:w w:val="103"/>
              <w:sz w:val="14"/>
            </w:rPr>
            <w:fldChar w:fldCharType="end"/>
          </w:r>
        </w:p>
      </w:tc>
    </w:tr>
  </w:tbl>
  <w:p w14:paraId="1EF17046" w14:textId="77777777" w:rsidR="00BC7E88" w:rsidRPr="00BC7E88" w:rsidRDefault="00BC7E88" w:rsidP="00BC7E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C7E88" w14:paraId="57AE2EED" w14:textId="77777777" w:rsidTr="00BC7E88">
      <w:tc>
        <w:tcPr>
          <w:tcW w:w="3801" w:type="dxa"/>
        </w:tcPr>
        <w:p w14:paraId="16648DD3" w14:textId="2E11C7DE" w:rsidR="00BC7E88" w:rsidRDefault="00BC7E88" w:rsidP="00BC7E88">
          <w:pPr>
            <w:pStyle w:val="ReleaseDate0"/>
          </w:pPr>
          <w:r>
            <w:rPr>
              <w:noProof/>
            </w:rPr>
            <w:drawing>
              <wp:anchor distT="0" distB="0" distL="114300" distR="114300" simplePos="0" relativeHeight="251658240" behindDoc="0" locked="0" layoutInCell="1" allowOverlap="1" wp14:anchorId="1B02D80C" wp14:editId="5726FE2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WG/73/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3/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18-19865 (E)    041218    </w:t>
          </w:r>
        </w:p>
        <w:p w14:paraId="2AA18C67" w14:textId="77777777" w:rsidR="00BC7E88" w:rsidRPr="00BC7E88" w:rsidRDefault="00BC7E88" w:rsidP="00BC7E8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*1819865*</w:t>
          </w:r>
        </w:p>
      </w:tc>
      <w:tc>
        <w:tcPr>
          <w:tcW w:w="4920" w:type="dxa"/>
        </w:tcPr>
        <w:p w14:paraId="12942077" w14:textId="77777777" w:rsidR="00BC7E88" w:rsidRDefault="00BC7E88" w:rsidP="00BC7E88">
          <w:pPr>
            <w:pStyle w:val="Footer"/>
            <w:jc w:val="right"/>
            <w:rPr>
              <w:b w:val="0"/>
              <w:sz w:val="20"/>
            </w:rPr>
          </w:pPr>
          <w:r>
            <w:rPr>
              <w:b w:val="0"/>
              <w:sz w:val="20"/>
            </w:rPr>
            <w:drawing>
              <wp:inline distT="0" distB="0" distL="0" distR="0" wp14:anchorId="0DF0138E" wp14:editId="4E2AE0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04B0EB1" w14:textId="77777777" w:rsidR="00BC7E88" w:rsidRPr="00BC7E88" w:rsidRDefault="00BC7E88" w:rsidP="00BC7E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83626" w14:textId="77777777" w:rsidR="00183F19" w:rsidRDefault="00183F19" w:rsidP="00556720">
      <w:r>
        <w:separator/>
      </w:r>
    </w:p>
  </w:footnote>
  <w:footnote w:type="continuationSeparator" w:id="0">
    <w:p w14:paraId="274EF130" w14:textId="77777777" w:rsidR="00183F19" w:rsidRDefault="00183F1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7E88" w14:paraId="37A785F3" w14:textId="77777777" w:rsidTr="00BC7E88">
      <w:trPr>
        <w:trHeight w:hRule="exact" w:val="864"/>
      </w:trPr>
      <w:tc>
        <w:tcPr>
          <w:tcW w:w="4920" w:type="dxa"/>
          <w:shd w:val="clear" w:color="auto" w:fill="auto"/>
          <w:vAlign w:val="bottom"/>
        </w:tcPr>
        <w:p w14:paraId="73EEE0EE" w14:textId="41CEBEAF" w:rsidR="00BC7E88" w:rsidRPr="00BC7E88" w:rsidRDefault="00BC7E88" w:rsidP="00BC7E88">
          <w:pPr>
            <w:pStyle w:val="Header"/>
            <w:spacing w:after="80"/>
            <w:rPr>
              <w:b/>
            </w:rPr>
          </w:pPr>
          <w:r>
            <w:rPr>
              <w:b/>
            </w:rPr>
            <w:fldChar w:fldCharType="begin"/>
          </w:r>
          <w:r>
            <w:rPr>
              <w:b/>
            </w:rPr>
            <w:instrText xml:space="preserve"> DOCVARIABLE "sss1" \* MERGEFORMAT </w:instrText>
          </w:r>
          <w:r>
            <w:rPr>
              <w:b/>
            </w:rPr>
            <w:fldChar w:fldCharType="separate"/>
          </w:r>
          <w:r w:rsidR="003B1216">
            <w:rPr>
              <w:b/>
            </w:rPr>
            <w:t>CEDAW/C/PSWG/73/1</w:t>
          </w:r>
          <w:r>
            <w:rPr>
              <w:b/>
            </w:rPr>
            <w:fldChar w:fldCharType="end"/>
          </w:r>
        </w:p>
      </w:tc>
      <w:tc>
        <w:tcPr>
          <w:tcW w:w="4920" w:type="dxa"/>
          <w:shd w:val="clear" w:color="auto" w:fill="auto"/>
          <w:vAlign w:val="bottom"/>
        </w:tcPr>
        <w:p w14:paraId="2E380F16" w14:textId="77777777" w:rsidR="00BC7E88" w:rsidRDefault="00BC7E88" w:rsidP="00BC7E88">
          <w:pPr>
            <w:pStyle w:val="Header"/>
          </w:pPr>
        </w:p>
      </w:tc>
    </w:tr>
  </w:tbl>
  <w:p w14:paraId="30CA95A4" w14:textId="77777777" w:rsidR="00BC7E88" w:rsidRPr="00BC7E88" w:rsidRDefault="00BC7E88" w:rsidP="00BC7E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7E88" w14:paraId="28DD01C6" w14:textId="77777777" w:rsidTr="00BC7E88">
      <w:trPr>
        <w:trHeight w:hRule="exact" w:val="864"/>
      </w:trPr>
      <w:tc>
        <w:tcPr>
          <w:tcW w:w="4920" w:type="dxa"/>
          <w:shd w:val="clear" w:color="auto" w:fill="auto"/>
          <w:vAlign w:val="bottom"/>
        </w:tcPr>
        <w:p w14:paraId="1049ACAB" w14:textId="77777777" w:rsidR="00BC7E88" w:rsidRDefault="00BC7E88" w:rsidP="00BC7E88">
          <w:pPr>
            <w:pStyle w:val="Header"/>
          </w:pPr>
        </w:p>
      </w:tc>
      <w:tc>
        <w:tcPr>
          <w:tcW w:w="4920" w:type="dxa"/>
          <w:shd w:val="clear" w:color="auto" w:fill="auto"/>
          <w:vAlign w:val="bottom"/>
        </w:tcPr>
        <w:p w14:paraId="7571C69A" w14:textId="5332DAC4" w:rsidR="00BC7E88" w:rsidRPr="00BC7E88" w:rsidRDefault="00BC7E88" w:rsidP="00BC7E88">
          <w:pPr>
            <w:pStyle w:val="Header"/>
            <w:spacing w:after="80"/>
            <w:jc w:val="right"/>
            <w:rPr>
              <w:b/>
            </w:rPr>
          </w:pPr>
          <w:r>
            <w:rPr>
              <w:b/>
            </w:rPr>
            <w:fldChar w:fldCharType="begin"/>
          </w:r>
          <w:r>
            <w:rPr>
              <w:b/>
            </w:rPr>
            <w:instrText xml:space="preserve"> DOCVARIABLE "sss1" \* MERGEFORMAT </w:instrText>
          </w:r>
          <w:r>
            <w:rPr>
              <w:b/>
            </w:rPr>
            <w:fldChar w:fldCharType="separate"/>
          </w:r>
          <w:r w:rsidR="003B1216">
            <w:rPr>
              <w:b/>
            </w:rPr>
            <w:t>CEDAW/C/PSWG/73/1</w:t>
          </w:r>
          <w:r>
            <w:rPr>
              <w:b/>
            </w:rPr>
            <w:fldChar w:fldCharType="end"/>
          </w:r>
        </w:p>
      </w:tc>
    </w:tr>
  </w:tbl>
  <w:p w14:paraId="4199DE46" w14:textId="77777777" w:rsidR="00BC7E88" w:rsidRPr="00BC7E88" w:rsidRDefault="00BC7E88" w:rsidP="00BC7E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C7E88" w14:paraId="766B3022" w14:textId="77777777" w:rsidTr="00BC7E88">
      <w:trPr>
        <w:trHeight w:hRule="exact" w:val="864"/>
      </w:trPr>
      <w:tc>
        <w:tcPr>
          <w:tcW w:w="1267" w:type="dxa"/>
          <w:tcBorders>
            <w:bottom w:val="single" w:sz="4" w:space="0" w:color="auto"/>
          </w:tcBorders>
          <w:shd w:val="clear" w:color="auto" w:fill="auto"/>
          <w:vAlign w:val="bottom"/>
        </w:tcPr>
        <w:p w14:paraId="015E5A8A" w14:textId="77777777" w:rsidR="00BC7E88" w:rsidRDefault="00BC7E88" w:rsidP="00BC7E88">
          <w:pPr>
            <w:pStyle w:val="Header"/>
            <w:spacing w:after="120"/>
          </w:pPr>
        </w:p>
      </w:tc>
      <w:tc>
        <w:tcPr>
          <w:tcW w:w="1872" w:type="dxa"/>
          <w:tcBorders>
            <w:bottom w:val="single" w:sz="4" w:space="0" w:color="auto"/>
          </w:tcBorders>
          <w:shd w:val="clear" w:color="auto" w:fill="auto"/>
          <w:vAlign w:val="bottom"/>
        </w:tcPr>
        <w:p w14:paraId="1BC41BDA" w14:textId="77777777" w:rsidR="00BC7E88" w:rsidRPr="00BC7E88" w:rsidRDefault="00BC7E88" w:rsidP="00BC7E8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6D4B1E" w14:textId="77777777" w:rsidR="00BC7E88" w:rsidRDefault="00BC7E88" w:rsidP="00BC7E88">
          <w:pPr>
            <w:pStyle w:val="Header"/>
            <w:spacing w:after="120"/>
          </w:pPr>
        </w:p>
      </w:tc>
      <w:tc>
        <w:tcPr>
          <w:tcW w:w="6466" w:type="dxa"/>
          <w:gridSpan w:val="4"/>
          <w:tcBorders>
            <w:bottom w:val="single" w:sz="4" w:space="0" w:color="auto"/>
          </w:tcBorders>
          <w:shd w:val="clear" w:color="auto" w:fill="auto"/>
          <w:vAlign w:val="bottom"/>
        </w:tcPr>
        <w:p w14:paraId="74E7A9D4" w14:textId="77777777" w:rsidR="00BC7E88" w:rsidRPr="00BC7E88" w:rsidRDefault="00BC7E88" w:rsidP="00BC7E88">
          <w:pPr>
            <w:spacing w:after="80" w:line="240" w:lineRule="auto"/>
            <w:jc w:val="right"/>
            <w:rPr>
              <w:position w:val="-4"/>
            </w:rPr>
          </w:pPr>
          <w:r>
            <w:rPr>
              <w:position w:val="-4"/>
              <w:sz w:val="40"/>
            </w:rPr>
            <w:t>CEDAW</w:t>
          </w:r>
          <w:r>
            <w:rPr>
              <w:position w:val="-4"/>
            </w:rPr>
            <w:t>/C/PSWG/73/1</w:t>
          </w:r>
        </w:p>
      </w:tc>
    </w:tr>
    <w:tr w:rsidR="00BC7E88" w:rsidRPr="00BC7E88" w14:paraId="1F280C24" w14:textId="77777777" w:rsidTr="00BC7E88">
      <w:trPr>
        <w:gridAfter w:val="1"/>
        <w:wAfter w:w="15" w:type="dxa"/>
        <w:trHeight w:hRule="exact" w:val="2880"/>
      </w:trPr>
      <w:tc>
        <w:tcPr>
          <w:tcW w:w="1267" w:type="dxa"/>
          <w:tcBorders>
            <w:top w:val="single" w:sz="4" w:space="0" w:color="auto"/>
            <w:bottom w:val="single" w:sz="12" w:space="0" w:color="auto"/>
          </w:tcBorders>
          <w:shd w:val="clear" w:color="auto" w:fill="auto"/>
        </w:tcPr>
        <w:p w14:paraId="09228DF4" w14:textId="77777777" w:rsidR="00BC7E88" w:rsidRPr="00BC7E88" w:rsidRDefault="00BC7E88" w:rsidP="00BC7E88">
          <w:pPr>
            <w:pStyle w:val="Header"/>
            <w:spacing w:before="120"/>
            <w:jc w:val="center"/>
          </w:pPr>
          <w:r>
            <w:t xml:space="preserve"> </w:t>
          </w:r>
          <w:r>
            <w:drawing>
              <wp:inline distT="0" distB="0" distL="0" distR="0" wp14:anchorId="78EEBE4F" wp14:editId="7A07DEF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AC7806" w14:textId="77777777" w:rsidR="00BC7E88" w:rsidRPr="00BC7E88" w:rsidRDefault="00BC7E88" w:rsidP="00BC7E8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85425E" w14:textId="77777777" w:rsidR="00BC7E88" w:rsidRPr="00BC7E88" w:rsidRDefault="00BC7E88" w:rsidP="00BC7E88">
          <w:pPr>
            <w:pStyle w:val="Header"/>
            <w:spacing w:before="109"/>
          </w:pPr>
        </w:p>
      </w:tc>
      <w:tc>
        <w:tcPr>
          <w:tcW w:w="3096" w:type="dxa"/>
          <w:tcBorders>
            <w:top w:val="single" w:sz="4" w:space="0" w:color="auto"/>
            <w:bottom w:val="single" w:sz="12" w:space="0" w:color="auto"/>
          </w:tcBorders>
          <w:shd w:val="clear" w:color="auto" w:fill="auto"/>
        </w:tcPr>
        <w:p w14:paraId="0F4FCEDE" w14:textId="77777777" w:rsidR="00BC7E88" w:rsidRDefault="00BC7E88" w:rsidP="00BC7E88">
          <w:pPr>
            <w:pStyle w:val="Publication"/>
            <w:spacing w:before="240"/>
            <w:rPr>
              <w:color w:val="010000"/>
            </w:rPr>
          </w:pPr>
          <w:r>
            <w:rPr>
              <w:color w:val="010000"/>
            </w:rPr>
            <w:t>Distr.: General</w:t>
          </w:r>
        </w:p>
        <w:p w14:paraId="03BFCF67" w14:textId="77777777" w:rsidR="00BC7E88" w:rsidRDefault="00BC7E88" w:rsidP="00BC7E88">
          <w:r>
            <w:t>20 November 2018</w:t>
          </w:r>
        </w:p>
        <w:p w14:paraId="70845118" w14:textId="5B9A2FE7" w:rsidR="00BC7E88" w:rsidRPr="00BC7E88" w:rsidRDefault="00BC7E88" w:rsidP="00BC7E88">
          <w:pPr>
            <w:spacing w:before="120"/>
          </w:pPr>
          <w:r>
            <w:t>Original: English</w:t>
          </w:r>
          <w:r w:rsidR="00820299">
            <w:br/>
          </w:r>
          <w:r w:rsidR="00820299" w:rsidRPr="00820299">
            <w:t>English, French and Spanish only</w:t>
          </w:r>
        </w:p>
      </w:tc>
    </w:tr>
  </w:tbl>
  <w:p w14:paraId="5E6695D2" w14:textId="77777777" w:rsidR="00BC7E88" w:rsidRPr="00BC7E88" w:rsidRDefault="00BC7E88" w:rsidP="00BC7E8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865*"/>
    <w:docVar w:name="CreationDt" w:val="04/12/2018 1:44: PM"/>
    <w:docVar w:name="DocCategory" w:val="Doc"/>
    <w:docVar w:name="DocType" w:val="Final"/>
    <w:docVar w:name="DutyStation" w:val="New York"/>
    <w:docVar w:name="FooterJN" w:val="18-19865"/>
    <w:docVar w:name="jobn" w:val="18-19865 (E)"/>
    <w:docVar w:name="jobnDT" w:val="18-19865 (E)   041218"/>
    <w:docVar w:name="jobnDTDT" w:val="18-19865 (E)   041218   041218"/>
    <w:docVar w:name="JobNo" w:val="1819865E"/>
    <w:docVar w:name="JobNo2" w:val="1839128E"/>
    <w:docVar w:name="LocalDrive" w:val="0"/>
    <w:docVar w:name="OandT" w:val="EF"/>
    <w:docVar w:name="sss1" w:val="CEDAW/C/PSWG/73/1"/>
    <w:docVar w:name="sss2" w:val="-"/>
    <w:docVar w:name="Symbol1" w:val="CEDAW/C/PSWG/73/1"/>
    <w:docVar w:name="Symbol2" w:val="-"/>
  </w:docVars>
  <w:rsids>
    <w:rsidRoot w:val="004976AB"/>
    <w:rsid w:val="00004E56"/>
    <w:rsid w:val="0001325F"/>
    <w:rsid w:val="00017FCF"/>
    <w:rsid w:val="00021AF4"/>
    <w:rsid w:val="00024D1E"/>
    <w:rsid w:val="00030BB2"/>
    <w:rsid w:val="0009054D"/>
    <w:rsid w:val="000A3581"/>
    <w:rsid w:val="000A3BA1"/>
    <w:rsid w:val="000A3C03"/>
    <w:rsid w:val="000A6A28"/>
    <w:rsid w:val="000B3288"/>
    <w:rsid w:val="000C4C9C"/>
    <w:rsid w:val="000C5C77"/>
    <w:rsid w:val="000D4EC8"/>
    <w:rsid w:val="000E1DA7"/>
    <w:rsid w:val="000F3DB1"/>
    <w:rsid w:val="001254EE"/>
    <w:rsid w:val="00141BF3"/>
    <w:rsid w:val="00160D19"/>
    <w:rsid w:val="00181A00"/>
    <w:rsid w:val="00183F19"/>
    <w:rsid w:val="00187867"/>
    <w:rsid w:val="001924D6"/>
    <w:rsid w:val="001A207A"/>
    <w:rsid w:val="001C011F"/>
    <w:rsid w:val="001C5D94"/>
    <w:rsid w:val="001E0F0C"/>
    <w:rsid w:val="002007C7"/>
    <w:rsid w:val="00200F9C"/>
    <w:rsid w:val="00203455"/>
    <w:rsid w:val="0021247E"/>
    <w:rsid w:val="00214645"/>
    <w:rsid w:val="00243771"/>
    <w:rsid w:val="00246EB7"/>
    <w:rsid w:val="00254EC1"/>
    <w:rsid w:val="002706A2"/>
    <w:rsid w:val="002824D1"/>
    <w:rsid w:val="00282D36"/>
    <w:rsid w:val="002A6A04"/>
    <w:rsid w:val="002C2B06"/>
    <w:rsid w:val="002D5A6F"/>
    <w:rsid w:val="002E0476"/>
    <w:rsid w:val="002E09A8"/>
    <w:rsid w:val="002E2BE0"/>
    <w:rsid w:val="002E4D1B"/>
    <w:rsid w:val="00314D83"/>
    <w:rsid w:val="00330D93"/>
    <w:rsid w:val="00337BD0"/>
    <w:rsid w:val="00346E64"/>
    <w:rsid w:val="00347234"/>
    <w:rsid w:val="00352C47"/>
    <w:rsid w:val="00355611"/>
    <w:rsid w:val="00360474"/>
    <w:rsid w:val="00374445"/>
    <w:rsid w:val="0039362D"/>
    <w:rsid w:val="00397523"/>
    <w:rsid w:val="003B1216"/>
    <w:rsid w:val="003B5DC0"/>
    <w:rsid w:val="003B71FB"/>
    <w:rsid w:val="003C6EDF"/>
    <w:rsid w:val="003D159A"/>
    <w:rsid w:val="003E3B08"/>
    <w:rsid w:val="003E723B"/>
    <w:rsid w:val="00422952"/>
    <w:rsid w:val="0043436B"/>
    <w:rsid w:val="004346E9"/>
    <w:rsid w:val="0044179B"/>
    <w:rsid w:val="00465EC1"/>
    <w:rsid w:val="0047378C"/>
    <w:rsid w:val="004817D4"/>
    <w:rsid w:val="00484D84"/>
    <w:rsid w:val="004856CD"/>
    <w:rsid w:val="004976AB"/>
    <w:rsid w:val="004B0B18"/>
    <w:rsid w:val="004B4C46"/>
    <w:rsid w:val="004D17DB"/>
    <w:rsid w:val="004F115F"/>
    <w:rsid w:val="004F4978"/>
    <w:rsid w:val="00542EB9"/>
    <w:rsid w:val="00553A9C"/>
    <w:rsid w:val="0055548E"/>
    <w:rsid w:val="00556720"/>
    <w:rsid w:val="00564C70"/>
    <w:rsid w:val="00594B33"/>
    <w:rsid w:val="005A6DBD"/>
    <w:rsid w:val="005B18FB"/>
    <w:rsid w:val="005B6342"/>
    <w:rsid w:val="005C49C8"/>
    <w:rsid w:val="005F0B1B"/>
    <w:rsid w:val="005F2F1C"/>
    <w:rsid w:val="005F60C1"/>
    <w:rsid w:val="00612565"/>
    <w:rsid w:val="006137E4"/>
    <w:rsid w:val="00624924"/>
    <w:rsid w:val="00627B27"/>
    <w:rsid w:val="00674235"/>
    <w:rsid w:val="006A272A"/>
    <w:rsid w:val="006B5B09"/>
    <w:rsid w:val="006D1706"/>
    <w:rsid w:val="006F2ECC"/>
    <w:rsid w:val="00702E01"/>
    <w:rsid w:val="00707CAD"/>
    <w:rsid w:val="00716626"/>
    <w:rsid w:val="00736599"/>
    <w:rsid w:val="0076048B"/>
    <w:rsid w:val="00763268"/>
    <w:rsid w:val="00764DD9"/>
    <w:rsid w:val="007706E5"/>
    <w:rsid w:val="00777887"/>
    <w:rsid w:val="0078019E"/>
    <w:rsid w:val="007862CB"/>
    <w:rsid w:val="00792AA1"/>
    <w:rsid w:val="007A620C"/>
    <w:rsid w:val="007C45C2"/>
    <w:rsid w:val="007E7608"/>
    <w:rsid w:val="007F1EE6"/>
    <w:rsid w:val="00802881"/>
    <w:rsid w:val="0080351E"/>
    <w:rsid w:val="00805BBA"/>
    <w:rsid w:val="00811F17"/>
    <w:rsid w:val="00820299"/>
    <w:rsid w:val="008279E1"/>
    <w:rsid w:val="00846D29"/>
    <w:rsid w:val="00855FFA"/>
    <w:rsid w:val="00857CD2"/>
    <w:rsid w:val="00865591"/>
    <w:rsid w:val="00871FDE"/>
    <w:rsid w:val="008723C3"/>
    <w:rsid w:val="00897EB1"/>
    <w:rsid w:val="008A0B13"/>
    <w:rsid w:val="008A156F"/>
    <w:rsid w:val="008B0B5B"/>
    <w:rsid w:val="008B2480"/>
    <w:rsid w:val="008C2A79"/>
    <w:rsid w:val="008D04C4"/>
    <w:rsid w:val="008F1C5D"/>
    <w:rsid w:val="0092532E"/>
    <w:rsid w:val="00927830"/>
    <w:rsid w:val="0095152A"/>
    <w:rsid w:val="00956832"/>
    <w:rsid w:val="009750CC"/>
    <w:rsid w:val="0098076F"/>
    <w:rsid w:val="00982E36"/>
    <w:rsid w:val="009A562C"/>
    <w:rsid w:val="009D73C1"/>
    <w:rsid w:val="009E1969"/>
    <w:rsid w:val="00A02659"/>
    <w:rsid w:val="00A20AC0"/>
    <w:rsid w:val="00A24693"/>
    <w:rsid w:val="00A26CAB"/>
    <w:rsid w:val="00A93A73"/>
    <w:rsid w:val="00AA2E74"/>
    <w:rsid w:val="00AB5C84"/>
    <w:rsid w:val="00AC617F"/>
    <w:rsid w:val="00AD0B51"/>
    <w:rsid w:val="00AD368E"/>
    <w:rsid w:val="00B05C6E"/>
    <w:rsid w:val="00B05E2D"/>
    <w:rsid w:val="00B1614B"/>
    <w:rsid w:val="00B16461"/>
    <w:rsid w:val="00B27E2C"/>
    <w:rsid w:val="00B40842"/>
    <w:rsid w:val="00B41634"/>
    <w:rsid w:val="00B73709"/>
    <w:rsid w:val="00B841CF"/>
    <w:rsid w:val="00B9517E"/>
    <w:rsid w:val="00BB5C7D"/>
    <w:rsid w:val="00BC7704"/>
    <w:rsid w:val="00BC7E88"/>
    <w:rsid w:val="00BE2B29"/>
    <w:rsid w:val="00BF2128"/>
    <w:rsid w:val="00BF4E3E"/>
    <w:rsid w:val="00BF5B27"/>
    <w:rsid w:val="00BF6BE0"/>
    <w:rsid w:val="00C15A79"/>
    <w:rsid w:val="00C42BFB"/>
    <w:rsid w:val="00C52F9B"/>
    <w:rsid w:val="00C779E4"/>
    <w:rsid w:val="00C876DA"/>
    <w:rsid w:val="00C92D35"/>
    <w:rsid w:val="00C93EAB"/>
    <w:rsid w:val="00CB4882"/>
    <w:rsid w:val="00CB57AC"/>
    <w:rsid w:val="00CD4AC4"/>
    <w:rsid w:val="00D26AFA"/>
    <w:rsid w:val="00D36DC7"/>
    <w:rsid w:val="00D45F15"/>
    <w:rsid w:val="00D507FE"/>
    <w:rsid w:val="00D520EC"/>
    <w:rsid w:val="00D526E8"/>
    <w:rsid w:val="00D53490"/>
    <w:rsid w:val="00D863A6"/>
    <w:rsid w:val="00DB5D47"/>
    <w:rsid w:val="00DC7B16"/>
    <w:rsid w:val="00DD2EF9"/>
    <w:rsid w:val="00DD5549"/>
    <w:rsid w:val="00DF3967"/>
    <w:rsid w:val="00E10B66"/>
    <w:rsid w:val="00E157B6"/>
    <w:rsid w:val="00E3342C"/>
    <w:rsid w:val="00E37FF9"/>
    <w:rsid w:val="00E45731"/>
    <w:rsid w:val="00E72549"/>
    <w:rsid w:val="00E870C2"/>
    <w:rsid w:val="00E95572"/>
    <w:rsid w:val="00EA725D"/>
    <w:rsid w:val="00EB59F8"/>
    <w:rsid w:val="00ED42F5"/>
    <w:rsid w:val="00EF25A2"/>
    <w:rsid w:val="00F03569"/>
    <w:rsid w:val="00F16BEC"/>
    <w:rsid w:val="00F27BF6"/>
    <w:rsid w:val="00F30184"/>
    <w:rsid w:val="00F5593E"/>
    <w:rsid w:val="00F6606D"/>
    <w:rsid w:val="00F73708"/>
    <w:rsid w:val="00F824BD"/>
    <w:rsid w:val="00F8600E"/>
    <w:rsid w:val="00F8796C"/>
    <w:rsid w:val="00F94BC6"/>
    <w:rsid w:val="00FA6E9A"/>
    <w:rsid w:val="00FC0FCC"/>
    <w:rsid w:val="00FC49F5"/>
    <w:rsid w:val="00FC58C1"/>
    <w:rsid w:val="00FF6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FB93D0"/>
  <w15:chartTrackingRefBased/>
  <w15:docId w15:val="{830A4958-A191-4546-9E29-741C0B5A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25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A725D"/>
    <w:pPr>
      <w:spacing w:line="300" w:lineRule="exact"/>
      <w:ind w:left="0" w:right="0" w:firstLine="0"/>
    </w:pPr>
    <w:rPr>
      <w:spacing w:val="-2"/>
      <w:sz w:val="28"/>
    </w:rPr>
  </w:style>
  <w:style w:type="paragraph" w:customStyle="1" w:styleId="HM">
    <w:name w:val="_ H __M"/>
    <w:basedOn w:val="HCh"/>
    <w:next w:val="Normal"/>
    <w:rsid w:val="00EA725D"/>
    <w:pPr>
      <w:spacing w:line="360" w:lineRule="exact"/>
    </w:pPr>
    <w:rPr>
      <w:spacing w:val="-3"/>
      <w:w w:val="99"/>
      <w:sz w:val="34"/>
    </w:rPr>
  </w:style>
  <w:style w:type="paragraph" w:customStyle="1" w:styleId="H23">
    <w:name w:val="_ H_2/3"/>
    <w:basedOn w:val="Normal"/>
    <w:next w:val="SingleTxt"/>
    <w:rsid w:val="00EA725D"/>
    <w:pPr>
      <w:outlineLvl w:val="1"/>
    </w:pPr>
    <w:rPr>
      <w:b/>
      <w:lang w:val="en-US"/>
    </w:rPr>
  </w:style>
  <w:style w:type="paragraph" w:customStyle="1" w:styleId="H4">
    <w:name w:val="_ H_4"/>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A72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2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25D"/>
    <w:pPr>
      <w:spacing w:line="540" w:lineRule="exact"/>
    </w:pPr>
    <w:rPr>
      <w:spacing w:val="-8"/>
      <w:w w:val="96"/>
      <w:sz w:val="57"/>
    </w:rPr>
  </w:style>
  <w:style w:type="paragraph" w:customStyle="1" w:styleId="SS">
    <w:name w:val="__S_S"/>
    <w:basedOn w:val="HCh"/>
    <w:next w:val="Normal"/>
    <w:rsid w:val="00EA725D"/>
    <w:pPr>
      <w:ind w:left="1267" w:right="1267"/>
    </w:pPr>
  </w:style>
  <w:style w:type="paragraph" w:customStyle="1" w:styleId="SingleTxt">
    <w:name w:val="__Single Txt"/>
    <w:basedOn w:val="Normal"/>
    <w:rsid w:val="00EA72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A725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A725D"/>
    <w:pPr>
      <w:spacing w:line="240" w:lineRule="exact"/>
      <w:ind w:left="0" w:right="5040" w:firstLine="0"/>
      <w:outlineLvl w:val="1"/>
    </w:pPr>
    <w:rPr>
      <w:sz w:val="20"/>
    </w:rPr>
  </w:style>
  <w:style w:type="paragraph" w:styleId="BalloonText">
    <w:name w:val="Balloon Text"/>
    <w:basedOn w:val="Normal"/>
    <w:link w:val="BalloonTextChar"/>
    <w:semiHidden/>
    <w:rsid w:val="00EA725D"/>
    <w:rPr>
      <w:rFonts w:ascii="Tahoma" w:hAnsi="Tahoma" w:cs="Tahoma"/>
      <w:sz w:val="16"/>
      <w:szCs w:val="16"/>
    </w:rPr>
  </w:style>
  <w:style w:type="character" w:customStyle="1" w:styleId="BalloonTextChar">
    <w:name w:val="Balloon Text Char"/>
    <w:basedOn w:val="DefaultParagraphFont"/>
    <w:link w:val="BalloonText"/>
    <w:semiHidden/>
    <w:rsid w:val="00EA725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A725D"/>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A725D"/>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A725D"/>
    <w:rPr>
      <w:sz w:val="6"/>
    </w:rPr>
  </w:style>
  <w:style w:type="paragraph" w:customStyle="1" w:styleId="Distribution">
    <w:name w:val="Distribution"/>
    <w:next w:val="Normal"/>
    <w:rsid w:val="00EA725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A725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A725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A725D"/>
  </w:style>
  <w:style w:type="character" w:customStyle="1" w:styleId="EndnoteTextChar">
    <w:name w:val="Endnote Text Char"/>
    <w:basedOn w:val="DefaultParagraphFont"/>
    <w:link w:val="EndnoteText"/>
    <w:semiHidden/>
    <w:rsid w:val="00EA725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A725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A725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A725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A725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A725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A725D"/>
    <w:pPr>
      <w:tabs>
        <w:tab w:val="right" w:pos="9965"/>
      </w:tabs>
      <w:spacing w:line="210" w:lineRule="exact"/>
    </w:pPr>
    <w:rPr>
      <w:spacing w:val="5"/>
      <w:w w:val="104"/>
      <w:sz w:val="17"/>
    </w:rPr>
  </w:style>
  <w:style w:type="paragraph" w:customStyle="1" w:styleId="SmallX">
    <w:name w:val="SmallX"/>
    <w:basedOn w:val="Small"/>
    <w:next w:val="Normal"/>
    <w:rsid w:val="00EA725D"/>
    <w:pPr>
      <w:spacing w:line="180" w:lineRule="exact"/>
      <w:jc w:val="right"/>
    </w:pPr>
    <w:rPr>
      <w:spacing w:val="6"/>
      <w:w w:val="106"/>
      <w:sz w:val="14"/>
    </w:rPr>
  </w:style>
  <w:style w:type="paragraph" w:customStyle="1" w:styleId="TitleHCH">
    <w:name w:val="Title_H_CH"/>
    <w:basedOn w:val="H1"/>
    <w:next w:val="Normal"/>
    <w:qFormat/>
    <w:rsid w:val="00EA725D"/>
    <w:pPr>
      <w:spacing w:line="300" w:lineRule="exact"/>
      <w:ind w:left="0" w:right="0" w:firstLine="0"/>
    </w:pPr>
    <w:rPr>
      <w:spacing w:val="-2"/>
      <w:sz w:val="28"/>
    </w:rPr>
  </w:style>
  <w:style w:type="paragraph" w:customStyle="1" w:styleId="TitleH2">
    <w:name w:val="Title_H2"/>
    <w:basedOn w:val="Normal"/>
    <w:next w:val="Normal"/>
    <w:qFormat/>
    <w:rsid w:val="00EA725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A725D"/>
    <w:pPr>
      <w:spacing w:line="390" w:lineRule="exact"/>
    </w:pPr>
    <w:rPr>
      <w:spacing w:val="-4"/>
      <w:w w:val="98"/>
      <w:sz w:val="40"/>
    </w:rPr>
  </w:style>
  <w:style w:type="character" w:styleId="Hyperlink">
    <w:name w:val="Hyperlink"/>
    <w:basedOn w:val="DefaultParagraphFont"/>
    <w:rsid w:val="00EA725D"/>
    <w:rPr>
      <w:color w:val="0000FF" w:themeColor="hyperlink"/>
      <w:u w:val="none"/>
    </w:rPr>
  </w:style>
  <w:style w:type="paragraph" w:styleId="PlainText">
    <w:name w:val="Plain Text"/>
    <w:basedOn w:val="Normal"/>
    <w:link w:val="PlainTextChar"/>
    <w:rsid w:val="00EA725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A725D"/>
    <w:rPr>
      <w:rFonts w:ascii="Courier New" w:eastAsia="Times New Roman" w:hAnsi="Courier New" w:cs="Times New Roman"/>
      <w:sz w:val="20"/>
      <w:szCs w:val="20"/>
      <w:lang w:val="en-US" w:eastAsia="en-GB"/>
    </w:rPr>
  </w:style>
  <w:style w:type="paragraph" w:customStyle="1" w:styleId="ReleaseDate0">
    <w:name w:val="Release Date"/>
    <w:next w:val="Footer"/>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A725D"/>
  </w:style>
  <w:style w:type="table" w:styleId="TableGrid">
    <w:name w:val="Table Grid"/>
    <w:basedOn w:val="TableNormal"/>
    <w:rsid w:val="00EA725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C7E88"/>
    <w:pPr>
      <w:spacing w:line="240" w:lineRule="auto"/>
    </w:pPr>
  </w:style>
  <w:style w:type="character" w:customStyle="1" w:styleId="CommentTextChar">
    <w:name w:val="Comment Text Char"/>
    <w:basedOn w:val="DefaultParagraphFont"/>
    <w:link w:val="CommentText"/>
    <w:uiPriority w:val="99"/>
    <w:semiHidden/>
    <w:rsid w:val="00BC7E8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C7E88"/>
    <w:rPr>
      <w:b/>
      <w:bCs/>
    </w:rPr>
  </w:style>
  <w:style w:type="character" w:customStyle="1" w:styleId="CommentSubjectChar">
    <w:name w:val="Comment Subject Char"/>
    <w:basedOn w:val="CommentTextChar"/>
    <w:link w:val="CommentSubject"/>
    <w:uiPriority w:val="99"/>
    <w:semiHidden/>
    <w:rsid w:val="00BC7E8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97523"/>
    <w:rPr>
      <w:color w:val="0000FF"/>
      <w:u w:val="none"/>
    </w:rPr>
  </w:style>
  <w:style w:type="character" w:styleId="UnresolvedMention">
    <w:name w:val="Unresolved Mention"/>
    <w:basedOn w:val="DefaultParagraphFont"/>
    <w:uiPriority w:val="99"/>
    <w:semiHidden/>
    <w:unhideWhenUsed/>
    <w:rsid w:val="00397523"/>
    <w:rPr>
      <w:color w:val="808080"/>
      <w:shd w:val="clear" w:color="auto" w:fill="E6E6E6"/>
    </w:rPr>
  </w:style>
  <w:style w:type="paragraph" w:styleId="Revision">
    <w:name w:val="Revision"/>
    <w:hidden/>
    <w:uiPriority w:val="99"/>
    <w:semiHidden/>
    <w:rsid w:val="003B71F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IV/Q/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CEDAW/C/MOZ/Q/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PV/Q/9" TargetMode="External"/><Relationship Id="rId25" Type="http://schemas.openxmlformats.org/officeDocument/2006/relationships/hyperlink" Target="https://undocs.org/CEDAW/C/PAN/QPR/8" TargetMode="External"/><Relationship Id="rId2" Type="http://schemas.openxmlformats.org/officeDocument/2006/relationships/styles" Target="styles.xml"/><Relationship Id="rId16" Type="http://schemas.openxmlformats.org/officeDocument/2006/relationships/hyperlink" Target="https://undocs.org/CEDAW/C/BHR/Q/4" TargetMode="External"/><Relationship Id="rId20" Type="http://schemas.openxmlformats.org/officeDocument/2006/relationships/hyperlink" Target="https://undocs.org/CEDAW/C/GUY/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MNG/QPR/10" TargetMode="External"/><Relationship Id="rId5" Type="http://schemas.openxmlformats.org/officeDocument/2006/relationships/footnotes" Target="footnotes.xml"/><Relationship Id="rId15" Type="http://schemas.openxmlformats.org/officeDocument/2006/relationships/hyperlink" Target="https://undocs.org/CEDAW/C/AUT/Q/9" TargetMode="External"/><Relationship Id="rId23" Type="http://schemas.openxmlformats.org/officeDocument/2006/relationships/hyperlink" Target="https://undocs.org/CEDAW/C/DOM/QPR/8" TargetMode="External"/><Relationship Id="rId10" Type="http://schemas.openxmlformats.org/officeDocument/2006/relationships/footer" Target="footer2.xml"/><Relationship Id="rId19" Type="http://schemas.openxmlformats.org/officeDocument/2006/relationships/hyperlink" Target="https://undocs.org/CEDAW/C/COD/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QAT/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913</Words>
  <Characters>5199</Characters>
  <Application>Microsoft Office Word</Application>
  <DocSecurity>0</DocSecurity>
  <Lines>106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George Romaka</cp:lastModifiedBy>
  <cp:revision>3</cp:revision>
  <cp:lastPrinted>2018-12-04T19:28:00Z</cp:lastPrinted>
  <dcterms:created xsi:type="dcterms:W3CDTF">2018-12-04T19:28:00Z</dcterms:created>
  <dcterms:modified xsi:type="dcterms:W3CDTF">2018-12-04T19:28:00Z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1819865</vt:lpwstr>
  </property>
  <property fmtid="{D5CDD505-2E9C-101B-9397-08002B2CF9AE}" pid="3" name="ODSRefJobNo">
    <vt:lpwstr>1839128E</vt:lpwstr>
  </property>
  <property fmtid="{D5CDD505-2E9C-101B-9397-08002B2CF9AE}" pid="4" name="Symbol1">
    <vt:lpwstr>CEDAW/C/PSWG/73/1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Title1">
    <vt:lpwstr>		Consideration of reports submitted by States parties under article 18 of the Convention on the Elimination of All Forms of Discrimination against Women_x000d_</vt:lpwstr>
  </property>
  <property fmtid="{D5CDD505-2E9C-101B-9397-08002B2CF9AE}" pid="12" name="Title2">
    <vt:lpwstr>		Report of the pre-sessional working group_x000d_</vt:lpwstr>
  </property>
  <property fmtid="{D5CDD505-2E9C-101B-9397-08002B2CF9AE}" pid="13" name="Comment">
    <vt:lpwstr/>
  </property>
  <property fmtid="{D5CDD505-2E9C-101B-9397-08002B2CF9AE}" pid="14" name="DraftPages">
    <vt:lpwstr>3</vt:lpwstr>
  </property>
  <property fmtid="{D5CDD505-2E9C-101B-9397-08002B2CF9AE}" pid="15" name="Operator">
    <vt:lpwstr>GR (f)</vt:lpwstr>
  </property>
</Properties>
</file>