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5D1002E4" w14:textId="77777777" w:rsidTr="00281242">
        <w:trPr>
          <w:trHeight w:hRule="exact" w:val="851"/>
        </w:trPr>
        <w:tc>
          <w:tcPr>
            <w:tcW w:w="1274" w:type="dxa"/>
            <w:tcBorders>
              <w:bottom w:val="single" w:sz="4" w:space="0" w:color="auto"/>
            </w:tcBorders>
            <w:shd w:val="clear" w:color="auto" w:fill="auto"/>
          </w:tcPr>
          <w:p w14:paraId="676299B9" w14:textId="77777777" w:rsidR="006B3E27" w:rsidRPr="00BE5849" w:rsidRDefault="006B3E27" w:rsidP="00EF1B2D">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4CB04F62"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22E24223" w14:textId="1F3D64D8" w:rsidR="006B3E27" w:rsidRPr="00436944" w:rsidRDefault="00436944" w:rsidP="00436944">
            <w:pPr>
              <w:bidi w:val="0"/>
              <w:rPr>
                <w:szCs w:val="20"/>
                <w:lang w:eastAsia="zh-TW"/>
              </w:rPr>
            </w:pPr>
            <w:r w:rsidRPr="00436944">
              <w:rPr>
                <w:sz w:val="40"/>
                <w:szCs w:val="20"/>
                <w:lang w:eastAsia="zh-TW"/>
              </w:rPr>
              <w:t>A</w:t>
            </w:r>
            <w:r>
              <w:rPr>
                <w:szCs w:val="20"/>
                <w:lang w:eastAsia="zh-TW"/>
              </w:rPr>
              <w:t>/HRC/RES/47/2</w:t>
            </w:r>
          </w:p>
        </w:tc>
      </w:tr>
      <w:tr w:rsidR="006B3E27" w:rsidRPr="00AC03B4" w14:paraId="115AC283" w14:textId="77777777" w:rsidTr="00281242">
        <w:trPr>
          <w:trHeight w:hRule="exact" w:val="2835"/>
        </w:trPr>
        <w:tc>
          <w:tcPr>
            <w:tcW w:w="1274" w:type="dxa"/>
            <w:tcBorders>
              <w:top w:val="single" w:sz="4" w:space="0" w:color="auto"/>
              <w:bottom w:val="single" w:sz="12" w:space="0" w:color="auto"/>
            </w:tcBorders>
            <w:shd w:val="clear" w:color="auto" w:fill="auto"/>
          </w:tcPr>
          <w:p w14:paraId="4A4BDE49"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0BBC2BE9" wp14:editId="4CED4463">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B9B8137"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2B68C99A" w14:textId="77777777" w:rsidR="003B32FE" w:rsidRDefault="003B32FE" w:rsidP="003B32FE">
            <w:pPr>
              <w:bidi w:val="0"/>
              <w:spacing w:before="240" w:line="240" w:lineRule="exact"/>
            </w:pPr>
            <w:r>
              <w:t>Distr.: General</w:t>
            </w:r>
          </w:p>
          <w:p w14:paraId="6E0AD21D" w14:textId="77777777" w:rsidR="003B32FE" w:rsidRDefault="003B32FE" w:rsidP="003B32FE">
            <w:pPr>
              <w:bidi w:val="0"/>
              <w:spacing w:line="240" w:lineRule="exact"/>
            </w:pPr>
            <w:r>
              <w:t>26 July 2021</w:t>
            </w:r>
          </w:p>
          <w:p w14:paraId="302B9314" w14:textId="3D46EBC6" w:rsidR="003B32FE" w:rsidRDefault="003B32FE" w:rsidP="003B32FE">
            <w:pPr>
              <w:bidi w:val="0"/>
              <w:spacing w:line="240" w:lineRule="exact"/>
            </w:pPr>
            <w:r>
              <w:t>Arabic</w:t>
            </w:r>
          </w:p>
          <w:p w14:paraId="77B90DFE" w14:textId="12B63984" w:rsidR="00436944" w:rsidRPr="00436944" w:rsidRDefault="003B32FE" w:rsidP="003B32FE">
            <w:pPr>
              <w:bidi w:val="0"/>
              <w:spacing w:line="240" w:lineRule="exact"/>
              <w:jc w:val="left"/>
              <w:rPr>
                <w:szCs w:val="20"/>
              </w:rPr>
            </w:pPr>
            <w:r>
              <w:t>Original: English</w:t>
            </w:r>
          </w:p>
        </w:tc>
      </w:tr>
    </w:tbl>
    <w:bookmarkEnd w:id="0"/>
    <w:p w14:paraId="61E4CB2B" w14:textId="77777777" w:rsidR="00BE5849" w:rsidRPr="00FF1E99" w:rsidRDefault="00F3032E" w:rsidP="00FF1E99">
      <w:pPr>
        <w:pStyle w:val="SingleTxtGA"/>
        <w:spacing w:before="120" w:after="0"/>
        <w:ind w:left="0" w:right="4252"/>
        <w:jc w:val="left"/>
        <w:rPr>
          <w:b/>
          <w:bCs/>
          <w:sz w:val="26"/>
          <w:szCs w:val="26"/>
          <w:rtl/>
          <w:lang w:eastAsia="zh-TW"/>
        </w:rPr>
      </w:pPr>
      <w:r w:rsidRPr="00FF1E99">
        <w:rPr>
          <w:rFonts w:hint="cs"/>
          <w:b/>
          <w:bCs/>
          <w:sz w:val="26"/>
          <w:szCs w:val="26"/>
          <w:rtl/>
          <w:lang w:eastAsia="zh-TW"/>
        </w:rPr>
        <w:t>مجلس حقوق الإنسان</w:t>
      </w:r>
    </w:p>
    <w:p w14:paraId="6325B914" w14:textId="77777777" w:rsidR="003B32FE" w:rsidRPr="0056459B" w:rsidRDefault="003B32FE" w:rsidP="003B32FE">
      <w:pPr>
        <w:spacing w:line="360" w:lineRule="exact"/>
        <w:textDirection w:val="tbRlV"/>
        <w:rPr>
          <w:rFonts w:eastAsiaTheme="minorEastAsia"/>
          <w:b/>
          <w:sz w:val="22"/>
          <w:lang w:val="ar-SA" w:eastAsia="zh-TW" w:bidi="en-GB"/>
        </w:rPr>
      </w:pPr>
      <w:r w:rsidRPr="0056459B">
        <w:rPr>
          <w:rFonts w:eastAsiaTheme="minorEastAsia"/>
          <w:b/>
          <w:bCs/>
          <w:sz w:val="22"/>
          <w:rtl/>
        </w:rPr>
        <w:t>الدورة السابعة والأربعون</w:t>
      </w:r>
    </w:p>
    <w:p w14:paraId="393A2C74" w14:textId="77777777" w:rsidR="003B32FE" w:rsidRPr="0056459B" w:rsidRDefault="003B32FE" w:rsidP="003B32FE">
      <w:pPr>
        <w:spacing w:line="360" w:lineRule="exact"/>
        <w:textDirection w:val="tbRlV"/>
        <w:rPr>
          <w:rFonts w:eastAsiaTheme="minorEastAsia"/>
          <w:sz w:val="22"/>
          <w:lang w:val="ar-SA" w:eastAsia="zh-TW" w:bidi="en-GB"/>
        </w:rPr>
      </w:pPr>
      <w:r w:rsidRPr="0056459B">
        <w:rPr>
          <w:rFonts w:eastAsiaTheme="minorEastAsia"/>
          <w:sz w:val="22"/>
          <w:rtl/>
        </w:rPr>
        <w:t>21 حزيران/</w:t>
      </w:r>
      <w:proofErr w:type="gramStart"/>
      <w:r w:rsidRPr="0056459B">
        <w:rPr>
          <w:rFonts w:eastAsiaTheme="minorEastAsia"/>
          <w:sz w:val="22"/>
          <w:rtl/>
        </w:rPr>
        <w:t>يوني</w:t>
      </w:r>
      <w:r w:rsidRPr="0056459B">
        <w:rPr>
          <w:rFonts w:eastAsiaTheme="minorEastAsia" w:hint="cs"/>
          <w:sz w:val="22"/>
          <w:rtl/>
        </w:rPr>
        <w:t>ه</w:t>
      </w:r>
      <w:proofErr w:type="gramEnd"/>
      <w:r w:rsidRPr="0056459B">
        <w:rPr>
          <w:rFonts w:eastAsiaTheme="minorEastAsia"/>
          <w:sz w:val="22"/>
          <w:rtl/>
        </w:rPr>
        <w:t xml:space="preserve"> - 1</w:t>
      </w:r>
      <w:r>
        <w:rPr>
          <w:rFonts w:eastAsiaTheme="minorEastAsia" w:hint="cs"/>
          <w:sz w:val="22"/>
          <w:rtl/>
        </w:rPr>
        <w:t>4</w:t>
      </w:r>
      <w:r w:rsidRPr="0056459B">
        <w:rPr>
          <w:rFonts w:eastAsiaTheme="minorEastAsia"/>
          <w:sz w:val="22"/>
          <w:rtl/>
        </w:rPr>
        <w:t xml:space="preserve"> تموز/يولي</w:t>
      </w:r>
      <w:r w:rsidRPr="0056459B">
        <w:rPr>
          <w:rFonts w:eastAsiaTheme="minorEastAsia" w:hint="cs"/>
          <w:sz w:val="22"/>
          <w:rtl/>
        </w:rPr>
        <w:t>ه</w:t>
      </w:r>
      <w:r w:rsidRPr="0056459B">
        <w:rPr>
          <w:rFonts w:eastAsiaTheme="minorEastAsia"/>
          <w:sz w:val="22"/>
          <w:rtl/>
        </w:rPr>
        <w:t xml:space="preserve"> 2021</w:t>
      </w:r>
    </w:p>
    <w:p w14:paraId="07C81F1B" w14:textId="77777777" w:rsidR="003B32FE" w:rsidRPr="0056459B" w:rsidRDefault="003B32FE" w:rsidP="003B32FE">
      <w:pPr>
        <w:spacing w:line="360" w:lineRule="exact"/>
        <w:textDirection w:val="tbRlV"/>
        <w:rPr>
          <w:rFonts w:eastAsiaTheme="minorEastAsia"/>
          <w:sz w:val="22"/>
          <w:lang w:eastAsia="zh-TW" w:bidi="en-GB"/>
        </w:rPr>
      </w:pPr>
      <w:r w:rsidRPr="0056459B">
        <w:rPr>
          <w:rFonts w:eastAsiaTheme="minorEastAsia"/>
          <w:sz w:val="22"/>
          <w:rtl/>
        </w:rPr>
        <w:t>البند 2 من جدول الأعمال</w:t>
      </w:r>
    </w:p>
    <w:p w14:paraId="235E14CB" w14:textId="77777777" w:rsidR="003B32FE" w:rsidRPr="0056459B" w:rsidRDefault="003B32FE" w:rsidP="003B32FE">
      <w:pPr>
        <w:spacing w:line="360" w:lineRule="exact"/>
        <w:ind w:right="5245"/>
        <w:textDirection w:val="tbRlV"/>
        <w:rPr>
          <w:rFonts w:eastAsiaTheme="minorEastAsia"/>
          <w:b/>
          <w:sz w:val="22"/>
          <w:lang w:val="ar-SA" w:eastAsia="zh-TW" w:bidi="en-GB"/>
        </w:rPr>
      </w:pPr>
      <w:r w:rsidRPr="0056459B">
        <w:rPr>
          <w:rFonts w:eastAsiaTheme="minorEastAsia"/>
          <w:b/>
          <w:bCs/>
          <w:sz w:val="22"/>
          <w:rtl/>
        </w:rPr>
        <w:t>التقرير السنوي لمفوضة الأمم المتحدة السامية لحقوق الإنسان وتقارير المفوضية السامية والأمين العام</w:t>
      </w:r>
    </w:p>
    <w:p w14:paraId="6B507C3F" w14:textId="1A4A02D0" w:rsidR="003B32FE" w:rsidRPr="00C200ED" w:rsidRDefault="003B32FE" w:rsidP="003B32FE">
      <w:pPr>
        <w:pStyle w:val="HChGA"/>
        <w:rPr>
          <w:rtl/>
          <w:lang w:eastAsia="zh-TW" w:bidi="ar-YE"/>
        </w:rPr>
      </w:pPr>
      <w:r w:rsidRPr="0056459B">
        <w:rPr>
          <w:rtl/>
        </w:rPr>
        <w:tab/>
      </w:r>
      <w:r w:rsidRPr="0056459B">
        <w:rPr>
          <w:rtl/>
        </w:rPr>
        <w:tab/>
      </w:r>
      <w:r w:rsidRPr="008E3E08">
        <w:rPr>
          <w:rtl/>
        </w:rPr>
        <w:t>قرار</w:t>
      </w:r>
      <w:r>
        <w:rPr>
          <w:rFonts w:hint="cs"/>
          <w:rtl/>
          <w:lang w:eastAsia="zh-TW" w:bidi="ar-YE"/>
        </w:rPr>
        <w:t xml:space="preserve"> اعتمده مجلس حقوق الإنسان </w:t>
      </w:r>
      <w:r w:rsidR="003F7492">
        <w:rPr>
          <w:rFonts w:hint="cs"/>
          <w:rtl/>
          <w:lang w:eastAsia="zh-TW" w:bidi="ar-YE"/>
        </w:rPr>
        <w:t>في</w:t>
      </w:r>
      <w:r>
        <w:rPr>
          <w:rFonts w:hint="cs"/>
          <w:rtl/>
          <w:lang w:eastAsia="zh-TW" w:bidi="ar-YE"/>
        </w:rPr>
        <w:t xml:space="preserve"> 12 تموز/يوليه 2021</w:t>
      </w:r>
    </w:p>
    <w:p w14:paraId="09BB6830" w14:textId="462D69C2" w:rsidR="003B32FE" w:rsidRPr="0056459B" w:rsidRDefault="003B32FE" w:rsidP="003B32FE">
      <w:pPr>
        <w:pStyle w:val="H1GA"/>
        <w:rPr>
          <w:lang w:val="en-US" w:eastAsia="zh-TW" w:bidi="en-GB"/>
        </w:rPr>
      </w:pPr>
      <w:r w:rsidRPr="0056459B">
        <w:rPr>
          <w:rtl/>
        </w:rPr>
        <w:tab/>
        <w:t>47/</w:t>
      </w:r>
      <w:r>
        <w:rPr>
          <w:rFonts w:hint="cs"/>
          <w:rtl/>
        </w:rPr>
        <w:t>2</w:t>
      </w:r>
      <w:r>
        <w:rPr>
          <w:rFonts w:hint="cs"/>
          <w:rtl/>
        </w:rPr>
        <w:t>-</w:t>
      </w:r>
      <w:r w:rsidRPr="0056459B">
        <w:rPr>
          <w:rtl/>
        </w:rPr>
        <w:tab/>
        <w:t>حالة حقوق الإنسان في إريتريا</w:t>
      </w:r>
    </w:p>
    <w:p w14:paraId="7598B11B" w14:textId="77777777" w:rsidR="003B32FE" w:rsidRPr="0056459B" w:rsidRDefault="003B32FE" w:rsidP="003B32FE">
      <w:pPr>
        <w:pStyle w:val="SingleTxtGA"/>
        <w:rPr>
          <w:rFonts w:eastAsiaTheme="minorEastAsia"/>
          <w:lang w:val="ar-SA" w:eastAsia="zh-TW" w:bidi="en-GB"/>
        </w:rPr>
      </w:pPr>
      <w:r w:rsidRPr="0056459B">
        <w:rPr>
          <w:rFonts w:eastAsiaTheme="minorEastAsia"/>
          <w:rtl/>
        </w:rPr>
        <w:tab/>
      </w:r>
      <w:r w:rsidRPr="0056459B">
        <w:rPr>
          <w:rFonts w:eastAsiaTheme="minorEastAsia"/>
          <w:i/>
          <w:iCs/>
          <w:rtl/>
        </w:rPr>
        <w:t>إن مجلس حقوق الإنسان</w:t>
      </w:r>
      <w:r w:rsidRPr="0056459B">
        <w:rPr>
          <w:rFonts w:eastAsiaTheme="minorEastAsia"/>
          <w:rtl/>
        </w:rPr>
        <w:t>،</w:t>
      </w:r>
    </w:p>
    <w:p w14:paraId="7DCF576F" w14:textId="77777777" w:rsidR="003B32FE" w:rsidRPr="0056459B" w:rsidRDefault="003B32FE" w:rsidP="003B32FE">
      <w:pPr>
        <w:pStyle w:val="SingleTxtGA"/>
        <w:rPr>
          <w:lang w:val="ar-SA" w:eastAsia="zh-TW" w:bidi="en-GB"/>
        </w:rPr>
      </w:pPr>
      <w:r w:rsidRPr="0056459B">
        <w:rPr>
          <w:rtl/>
        </w:rPr>
        <w:tab/>
      </w:r>
      <w:r w:rsidRPr="0056459B">
        <w:rPr>
          <w:i/>
          <w:iCs/>
          <w:rtl/>
        </w:rPr>
        <w:t xml:space="preserve">إذ يسترشد </w:t>
      </w:r>
      <w:r w:rsidRPr="0056459B">
        <w:rPr>
          <w:rtl/>
        </w:rPr>
        <w:t>بميثاق الأمم المتحدة، والإعلان العالمي لحقوق الإنسان، و‎‎العهدين الدوليين الخاصين بحقوق الإنسان‏، وسائر الصكوك الدولية لحقوق الإنسان ذات الصلة،</w:t>
      </w:r>
    </w:p>
    <w:p w14:paraId="165A3CA1" w14:textId="77777777" w:rsidR="003B32FE" w:rsidRPr="0056459B" w:rsidRDefault="003B32FE" w:rsidP="003B32FE">
      <w:pPr>
        <w:pStyle w:val="SingleTxtGA"/>
        <w:rPr>
          <w:rFonts w:eastAsiaTheme="minorEastAsia"/>
          <w:lang w:val="ar-SA" w:eastAsia="zh-TW" w:bidi="en-GB"/>
        </w:rPr>
      </w:pPr>
      <w:r w:rsidRPr="0056459B">
        <w:rPr>
          <w:rFonts w:eastAsiaTheme="minorEastAsia"/>
          <w:rtl/>
        </w:rPr>
        <w:tab/>
      </w:r>
      <w:r w:rsidRPr="0056459B">
        <w:rPr>
          <w:rFonts w:eastAsiaTheme="minorEastAsia"/>
          <w:i/>
          <w:iCs/>
          <w:rtl/>
        </w:rPr>
        <w:t xml:space="preserve">وإذ يشير </w:t>
      </w:r>
      <w:r w:rsidRPr="0056459B">
        <w:rPr>
          <w:rFonts w:eastAsiaTheme="minorEastAsia"/>
          <w:rtl/>
        </w:rPr>
        <w:t>إلى قرار الجمعية العامة 60/251 المؤرخ 15 آذار/مارس 2006، وقراري مجلس حقوق الإنسان 5/1 و5/2، المؤرخين معا</w:t>
      </w:r>
      <w:r>
        <w:rPr>
          <w:rFonts w:eastAsiaTheme="minorEastAsia" w:hint="cs"/>
          <w:rtl/>
        </w:rPr>
        <w:t>ً</w:t>
      </w:r>
      <w:r w:rsidRPr="0056459B">
        <w:rPr>
          <w:rFonts w:eastAsiaTheme="minorEastAsia"/>
          <w:rtl/>
        </w:rPr>
        <w:t xml:space="preserve"> 18 حزيران/</w:t>
      </w:r>
      <w:proofErr w:type="gramStart"/>
      <w:r w:rsidRPr="0056459B">
        <w:rPr>
          <w:rFonts w:eastAsiaTheme="minorEastAsia"/>
          <w:rtl/>
        </w:rPr>
        <w:t>يونيه</w:t>
      </w:r>
      <w:proofErr w:type="gramEnd"/>
      <w:r w:rsidRPr="0056459B">
        <w:rPr>
          <w:rFonts w:eastAsiaTheme="minorEastAsia"/>
          <w:rtl/>
        </w:rPr>
        <w:t xml:space="preserve"> 2007، والقرار 91 للجنة الأفريقية لحقوق الإنسان والشعوب ومقرراتها 250/2002 و275/2003 و428/12، وجميع قرارات المجلس السابقة المتعلقة بحالة حقوق الإنسان في إريتريا،</w:t>
      </w:r>
    </w:p>
    <w:p w14:paraId="1ED4B758" w14:textId="77777777" w:rsidR="003B32FE" w:rsidRPr="0056459B" w:rsidRDefault="003B32FE" w:rsidP="003B32FE">
      <w:pPr>
        <w:pStyle w:val="SingleTxtGA"/>
        <w:rPr>
          <w:rFonts w:eastAsiaTheme="minorEastAsia"/>
          <w:lang w:val="ar-SA" w:eastAsia="zh-TW" w:bidi="en-GB"/>
        </w:rPr>
      </w:pPr>
      <w:r w:rsidRPr="0056459B">
        <w:rPr>
          <w:rFonts w:eastAsiaTheme="minorEastAsia"/>
          <w:rtl/>
        </w:rPr>
        <w:tab/>
      </w:r>
      <w:r w:rsidRPr="0056459B">
        <w:rPr>
          <w:rFonts w:eastAsiaTheme="minorEastAsia"/>
          <w:i/>
          <w:iCs/>
          <w:rtl/>
        </w:rPr>
        <w:t xml:space="preserve">وإذ يلاحظ </w:t>
      </w:r>
      <w:r w:rsidRPr="0056459B">
        <w:rPr>
          <w:rFonts w:eastAsiaTheme="minorEastAsia"/>
          <w:rtl/>
        </w:rPr>
        <w:t>التطورات الإقليمية التي شهدتها الأشهر الأخيرة والآثار المترتبة عنها، بما في ذلك آثارها على حقوق الإنسان في إريتريا،</w:t>
      </w:r>
    </w:p>
    <w:p w14:paraId="618A700D" w14:textId="77777777" w:rsidR="003B32FE" w:rsidRPr="0056459B" w:rsidRDefault="003B32FE" w:rsidP="003B32FE">
      <w:pPr>
        <w:pStyle w:val="SingleTxtGA"/>
        <w:rPr>
          <w:rFonts w:eastAsiaTheme="minorEastAsia"/>
          <w:lang w:val="ar-SA" w:eastAsia="zh-TW" w:bidi="en-GB"/>
        </w:rPr>
      </w:pPr>
      <w:r w:rsidRPr="0056459B">
        <w:rPr>
          <w:rFonts w:eastAsiaTheme="minorEastAsia"/>
          <w:rtl/>
        </w:rPr>
        <w:tab/>
      </w:r>
      <w:r w:rsidRPr="0056459B">
        <w:rPr>
          <w:rFonts w:eastAsiaTheme="minorEastAsia"/>
          <w:i/>
          <w:iCs/>
          <w:rtl/>
        </w:rPr>
        <w:t xml:space="preserve">وإذ يرحب </w:t>
      </w:r>
      <w:r w:rsidRPr="0056459B">
        <w:rPr>
          <w:rFonts w:eastAsiaTheme="minorEastAsia"/>
          <w:rtl/>
        </w:rPr>
        <w:t xml:space="preserve">بتقرير المقرر الخاص المعني بحالة حقوق الإنسان في </w:t>
      </w:r>
      <w:proofErr w:type="gramStart"/>
      <w:r w:rsidRPr="0056459B">
        <w:rPr>
          <w:rFonts w:eastAsiaTheme="minorEastAsia"/>
          <w:rtl/>
        </w:rPr>
        <w:t>إريتريا</w:t>
      </w:r>
      <w:r w:rsidRPr="0056459B">
        <w:rPr>
          <w:vertAlign w:val="superscript"/>
          <w:rtl/>
        </w:rPr>
        <w:t>(</w:t>
      </w:r>
      <w:proofErr w:type="gramEnd"/>
      <w:r w:rsidRPr="0056459B">
        <w:rPr>
          <w:rStyle w:val="FootnoteReference"/>
          <w:szCs w:val="22"/>
          <w:rtl/>
        </w:rPr>
        <w:footnoteReference w:id="1"/>
      </w:r>
      <w:r w:rsidRPr="0056459B">
        <w:rPr>
          <w:vertAlign w:val="superscript"/>
          <w:rtl/>
        </w:rPr>
        <w:t>)</w:t>
      </w:r>
      <w:r w:rsidRPr="0056459B">
        <w:rPr>
          <w:rFonts w:eastAsiaTheme="minorEastAsia" w:hint="cs"/>
          <w:rtl/>
        </w:rPr>
        <w:t xml:space="preserve"> </w:t>
      </w:r>
      <w:r w:rsidRPr="0056459B">
        <w:rPr>
          <w:rFonts w:eastAsiaTheme="minorEastAsia"/>
          <w:rtl/>
        </w:rPr>
        <w:t>و</w:t>
      </w:r>
      <w:r>
        <w:rPr>
          <w:rFonts w:eastAsiaTheme="minorEastAsia" w:hint="cs"/>
          <w:rtl/>
        </w:rPr>
        <w:t>بال</w:t>
      </w:r>
      <w:r w:rsidRPr="0056459B">
        <w:rPr>
          <w:rFonts w:eastAsiaTheme="minorEastAsia"/>
          <w:rtl/>
        </w:rPr>
        <w:t>استنتاجات</w:t>
      </w:r>
      <w:r>
        <w:rPr>
          <w:rFonts w:eastAsiaTheme="minorEastAsia" w:hint="cs"/>
          <w:rtl/>
        </w:rPr>
        <w:t xml:space="preserve"> التي ضمّنها في</w:t>
      </w:r>
      <w:r w:rsidRPr="0056459B">
        <w:rPr>
          <w:rFonts w:eastAsiaTheme="minorEastAsia"/>
          <w:rtl/>
        </w:rPr>
        <w:t>ه،</w:t>
      </w:r>
    </w:p>
    <w:p w14:paraId="16F98EB2" w14:textId="77777777" w:rsidR="003B32FE" w:rsidRPr="0056459B" w:rsidRDefault="003B32FE" w:rsidP="003B32FE">
      <w:pPr>
        <w:pStyle w:val="SingleTxtGA"/>
        <w:rPr>
          <w:rFonts w:eastAsiaTheme="minorEastAsia"/>
          <w:rtl/>
        </w:rPr>
      </w:pPr>
      <w:r w:rsidRPr="0056459B">
        <w:rPr>
          <w:rFonts w:eastAsiaTheme="minorEastAsia"/>
          <w:rtl/>
        </w:rPr>
        <w:tab/>
      </w:r>
      <w:r w:rsidRPr="0056459B">
        <w:rPr>
          <w:rFonts w:eastAsiaTheme="minorEastAsia"/>
          <w:i/>
          <w:iCs/>
          <w:rtl/>
        </w:rPr>
        <w:t>وإذ يعرب عن بالغ قلقه</w:t>
      </w:r>
      <w:r w:rsidRPr="0056459B">
        <w:rPr>
          <w:rFonts w:eastAsiaTheme="minorEastAsia"/>
          <w:rtl/>
        </w:rPr>
        <w:t xml:space="preserve"> إزاء الانتهاكات والتجاوزات المستمرة التي تطال حقوق الإنسان، وفقا</w:t>
      </w:r>
      <w:r>
        <w:rPr>
          <w:rFonts w:eastAsiaTheme="minorEastAsia" w:hint="cs"/>
          <w:rtl/>
        </w:rPr>
        <w:t>ً</w:t>
      </w:r>
      <w:r w:rsidRPr="0056459B">
        <w:rPr>
          <w:rFonts w:eastAsiaTheme="minorEastAsia"/>
          <w:rtl/>
        </w:rPr>
        <w:t xml:space="preserve"> لما أورده المقرر الخاص في تقريره، </w:t>
      </w:r>
    </w:p>
    <w:p w14:paraId="7EE412AF" w14:textId="77777777" w:rsidR="003B32FE" w:rsidRPr="00F40E50" w:rsidRDefault="003B32FE" w:rsidP="003B32FE">
      <w:pPr>
        <w:pStyle w:val="SingleTxtGA"/>
        <w:rPr>
          <w:rFonts w:eastAsiaTheme="minorEastAsia"/>
          <w:lang w:val="en-US" w:eastAsia="zh-TW" w:bidi="en-GB"/>
        </w:rPr>
      </w:pPr>
      <w:r w:rsidRPr="0056459B">
        <w:rPr>
          <w:rFonts w:eastAsiaTheme="minorEastAsia"/>
          <w:rtl/>
        </w:rPr>
        <w:tab/>
        <w:t>1-</w:t>
      </w:r>
      <w:r w:rsidRPr="0056459B">
        <w:rPr>
          <w:rFonts w:eastAsiaTheme="minorEastAsia"/>
          <w:rtl/>
        </w:rPr>
        <w:tab/>
      </w:r>
      <w:r w:rsidRPr="0056459B">
        <w:rPr>
          <w:rFonts w:eastAsiaTheme="minorEastAsia"/>
          <w:i/>
          <w:iCs/>
          <w:rtl/>
        </w:rPr>
        <w:t xml:space="preserve">يطلب </w:t>
      </w:r>
      <w:r w:rsidRPr="0056459B">
        <w:rPr>
          <w:rFonts w:eastAsiaTheme="minorEastAsia"/>
          <w:rtl/>
        </w:rPr>
        <w:t>إلى مفوضية الأمم المتحدة</w:t>
      </w:r>
      <w:r w:rsidRPr="0056459B">
        <w:rPr>
          <w:rFonts w:eastAsiaTheme="minorEastAsia"/>
          <w:rtl/>
          <w:lang w:val="en-US" w:bidi="ar-YE"/>
        </w:rPr>
        <w:t xml:space="preserve"> السامية</w:t>
      </w:r>
      <w:r w:rsidRPr="0056459B">
        <w:rPr>
          <w:rFonts w:eastAsiaTheme="minorEastAsia"/>
          <w:rtl/>
        </w:rPr>
        <w:t xml:space="preserve"> لحقوق الإنسان أن تقدم إلى مجلس حقوق الإنسان في دورته التاسعة والأربعين تقريرا</w:t>
      </w:r>
      <w:r>
        <w:rPr>
          <w:rFonts w:eastAsiaTheme="minorEastAsia" w:hint="cs"/>
          <w:rtl/>
        </w:rPr>
        <w:t>ً</w:t>
      </w:r>
      <w:r w:rsidRPr="0056459B">
        <w:rPr>
          <w:rFonts w:eastAsiaTheme="minorEastAsia"/>
          <w:rtl/>
        </w:rPr>
        <w:t xml:space="preserve"> شفويا</w:t>
      </w:r>
      <w:r>
        <w:rPr>
          <w:rFonts w:eastAsiaTheme="minorEastAsia" w:hint="cs"/>
          <w:rtl/>
        </w:rPr>
        <w:t>ً</w:t>
      </w:r>
      <w:r w:rsidRPr="0056459B">
        <w:rPr>
          <w:rFonts w:eastAsiaTheme="minorEastAsia"/>
          <w:rtl/>
        </w:rPr>
        <w:t xml:space="preserve"> بآخر المستجدات المتعلقة بالتقدم المحرز في التعاون بين إريتريا والمفوضية، وأثره على حالة حقوق الإنسان في إريتريا؛</w:t>
      </w:r>
    </w:p>
    <w:p w14:paraId="0EADC37B" w14:textId="77777777" w:rsidR="003B32FE" w:rsidRPr="0056459B" w:rsidRDefault="003B32FE" w:rsidP="003B32FE">
      <w:pPr>
        <w:pStyle w:val="SingleTxtGA"/>
        <w:rPr>
          <w:rFonts w:eastAsiaTheme="minorEastAsia"/>
          <w:lang w:val="ar-SA" w:eastAsia="zh-TW" w:bidi="en-GB"/>
        </w:rPr>
      </w:pPr>
      <w:r w:rsidRPr="0056459B">
        <w:rPr>
          <w:rFonts w:eastAsiaTheme="minorEastAsia"/>
          <w:rtl/>
        </w:rPr>
        <w:lastRenderedPageBreak/>
        <w:tab/>
        <w:t>2-</w:t>
      </w:r>
      <w:r w:rsidRPr="0056459B">
        <w:rPr>
          <w:rFonts w:eastAsiaTheme="minorEastAsia"/>
          <w:rtl/>
        </w:rPr>
        <w:tab/>
        <w:t>و</w:t>
      </w:r>
      <w:r w:rsidRPr="0056459B">
        <w:rPr>
          <w:rFonts w:eastAsiaTheme="minorEastAsia"/>
          <w:i/>
          <w:iCs/>
          <w:rtl/>
        </w:rPr>
        <w:t xml:space="preserve">يقرر </w:t>
      </w:r>
      <w:r w:rsidRPr="0056459B">
        <w:rPr>
          <w:rFonts w:eastAsiaTheme="minorEastAsia"/>
          <w:rtl/>
        </w:rPr>
        <w:t>تمديد ولاية المقرر الخاص المعني بحالة حقوق الإنسان في إريتريا سنةً أخرى، ومواصلة تقييم حالة حقوق الإنسان وتقديم تقارير عنها في إطار متابعة تقرير المقرر الخاص، ويطلب إلى المقرر الخاص تقديم تقرير شفوي إلى مجلس حقوق الإنسان في دورته التاسعة والأربعين أثناء إحدى جلسات التحاور، وأن يقدم أثناء إحدى جلسات التحاور تقريرا</w:t>
      </w:r>
      <w:r>
        <w:rPr>
          <w:rFonts w:eastAsiaTheme="minorEastAsia" w:hint="cs"/>
          <w:rtl/>
        </w:rPr>
        <w:t>ً</w:t>
      </w:r>
      <w:r w:rsidRPr="0056459B">
        <w:rPr>
          <w:rFonts w:eastAsiaTheme="minorEastAsia"/>
          <w:rtl/>
        </w:rPr>
        <w:t xml:space="preserve"> عن تنفيذ الولاية إلى المجلس في دورته الخمسين وإلى الجمعية العامة في دورتها السادسة والسبعين؛</w:t>
      </w:r>
    </w:p>
    <w:p w14:paraId="3B30FB8F" w14:textId="77777777" w:rsidR="003B32FE" w:rsidRPr="0056459B" w:rsidRDefault="003B32FE" w:rsidP="003B32FE">
      <w:pPr>
        <w:pStyle w:val="SingleTxtGA"/>
        <w:rPr>
          <w:rFonts w:eastAsiaTheme="minorEastAsia"/>
          <w:lang w:val="en-US" w:eastAsia="zh-TW" w:bidi="en-GB"/>
        </w:rPr>
      </w:pPr>
      <w:r w:rsidRPr="0056459B">
        <w:rPr>
          <w:rFonts w:eastAsiaTheme="minorEastAsia"/>
          <w:rtl/>
        </w:rPr>
        <w:tab/>
        <w:t>3-</w:t>
      </w:r>
      <w:r w:rsidRPr="0056459B">
        <w:rPr>
          <w:rFonts w:eastAsiaTheme="minorEastAsia"/>
          <w:rtl/>
        </w:rPr>
        <w:tab/>
        <w:t>و</w:t>
      </w:r>
      <w:r w:rsidRPr="0056459B">
        <w:rPr>
          <w:rFonts w:eastAsiaTheme="minorEastAsia"/>
          <w:i/>
          <w:iCs/>
          <w:rtl/>
        </w:rPr>
        <w:t>يطلب</w:t>
      </w:r>
      <w:r w:rsidRPr="0056459B">
        <w:rPr>
          <w:rFonts w:eastAsiaTheme="minorEastAsia"/>
          <w:rtl/>
        </w:rPr>
        <w:t xml:space="preserve"> إلى حكومة إريتريا أن تتعاون تعاونا</w:t>
      </w:r>
      <w:r>
        <w:rPr>
          <w:rFonts w:eastAsiaTheme="minorEastAsia" w:hint="cs"/>
          <w:rtl/>
        </w:rPr>
        <w:t>ً</w:t>
      </w:r>
      <w:r w:rsidRPr="0056459B">
        <w:rPr>
          <w:rFonts w:eastAsiaTheme="minorEastAsia"/>
          <w:rtl/>
        </w:rPr>
        <w:t xml:space="preserve"> كاملا</w:t>
      </w:r>
      <w:r>
        <w:rPr>
          <w:rFonts w:eastAsiaTheme="minorEastAsia" w:hint="cs"/>
          <w:rtl/>
        </w:rPr>
        <w:t>ً</w:t>
      </w:r>
      <w:r w:rsidRPr="0056459B">
        <w:rPr>
          <w:rFonts w:eastAsiaTheme="minorEastAsia"/>
          <w:rtl/>
        </w:rPr>
        <w:t xml:space="preserve"> مع المقرر الخاص، عن طريق القيام بأمور من بينها السماح له بالدخول إلى البلد والالتزام بإحراز تقدم بشأن المعايير التي اقترحتها المكلفة السابقة </w:t>
      </w:r>
      <w:proofErr w:type="gramStart"/>
      <w:r w:rsidRPr="0056459B">
        <w:rPr>
          <w:rFonts w:eastAsiaTheme="minorEastAsia"/>
          <w:rtl/>
        </w:rPr>
        <w:t>بالولاية</w:t>
      </w:r>
      <w:r w:rsidRPr="0056459B">
        <w:rPr>
          <w:rFonts w:eastAsiaTheme="minorEastAsia" w:hint="cs"/>
          <w:vertAlign w:val="superscript"/>
          <w:rtl/>
        </w:rPr>
        <w:t>(</w:t>
      </w:r>
      <w:proofErr w:type="gramEnd"/>
      <w:r w:rsidRPr="0056459B">
        <w:rPr>
          <w:rStyle w:val="FootnoteReference"/>
          <w:rFonts w:eastAsiaTheme="minorEastAsia"/>
          <w:b/>
          <w:szCs w:val="22"/>
          <w:rtl/>
        </w:rPr>
        <w:footnoteReference w:id="2"/>
      </w:r>
      <w:r w:rsidRPr="0056459B">
        <w:rPr>
          <w:rFonts w:eastAsiaTheme="minorEastAsia" w:hint="cs"/>
          <w:vertAlign w:val="superscript"/>
          <w:rtl/>
        </w:rPr>
        <w:t>)</w:t>
      </w:r>
      <w:r w:rsidRPr="0056459B">
        <w:rPr>
          <w:rFonts w:eastAsiaTheme="minorEastAsia"/>
          <w:rtl/>
        </w:rPr>
        <w:t>؛</w:t>
      </w:r>
    </w:p>
    <w:p w14:paraId="612F676D" w14:textId="77777777" w:rsidR="003B32FE" w:rsidRPr="0056459B" w:rsidRDefault="003B32FE" w:rsidP="003B32FE">
      <w:pPr>
        <w:pStyle w:val="SingleTxtGA"/>
        <w:rPr>
          <w:rFonts w:eastAsiaTheme="minorEastAsia"/>
          <w:lang w:val="en-US" w:eastAsia="zh-TW" w:bidi="en-GB"/>
        </w:rPr>
      </w:pPr>
      <w:r w:rsidRPr="0056459B">
        <w:rPr>
          <w:rFonts w:eastAsiaTheme="minorEastAsia"/>
          <w:rtl/>
        </w:rPr>
        <w:tab/>
        <w:t>4-</w:t>
      </w:r>
      <w:r w:rsidRPr="0056459B">
        <w:rPr>
          <w:rFonts w:eastAsiaTheme="minorEastAsia"/>
          <w:rtl/>
        </w:rPr>
        <w:tab/>
        <w:t>و</w:t>
      </w:r>
      <w:r w:rsidRPr="0056459B">
        <w:rPr>
          <w:rFonts w:eastAsiaTheme="minorEastAsia"/>
          <w:i/>
          <w:iCs/>
          <w:rtl/>
        </w:rPr>
        <w:t>يرجو</w:t>
      </w:r>
      <w:r w:rsidRPr="0056459B">
        <w:rPr>
          <w:rFonts w:eastAsiaTheme="minorEastAsia"/>
          <w:rtl/>
        </w:rPr>
        <w:t xml:space="preserve"> من الأمين العام أن يزود المقرر الخاص بجميع المعلومات والموارد اللازمة للاضطلاع بولايته؛</w:t>
      </w:r>
    </w:p>
    <w:p w14:paraId="729FAF90" w14:textId="77777777" w:rsidR="003B32FE" w:rsidRDefault="003B32FE" w:rsidP="003B32FE">
      <w:pPr>
        <w:pStyle w:val="SingleTxtGA"/>
        <w:rPr>
          <w:rFonts w:eastAsiaTheme="minorEastAsia"/>
          <w:rtl/>
          <w:lang w:val="en-US" w:eastAsia="zh-TW"/>
        </w:rPr>
      </w:pPr>
      <w:r w:rsidRPr="0056459B">
        <w:rPr>
          <w:rFonts w:eastAsiaTheme="minorEastAsia"/>
          <w:rtl/>
        </w:rPr>
        <w:tab/>
        <w:t>5-</w:t>
      </w:r>
      <w:r w:rsidRPr="0056459B">
        <w:rPr>
          <w:rFonts w:eastAsiaTheme="minorEastAsia"/>
          <w:rtl/>
        </w:rPr>
        <w:tab/>
        <w:t>و</w:t>
      </w:r>
      <w:r w:rsidRPr="0056459B">
        <w:rPr>
          <w:rFonts w:eastAsiaTheme="minorEastAsia"/>
          <w:i/>
          <w:iCs/>
          <w:rtl/>
        </w:rPr>
        <w:t>يقرر</w:t>
      </w:r>
      <w:r w:rsidRPr="0056459B">
        <w:rPr>
          <w:rFonts w:eastAsiaTheme="minorEastAsia"/>
          <w:rtl/>
        </w:rPr>
        <w:t xml:space="preserve"> أن يبقي المسألة قيد نظره.</w:t>
      </w:r>
    </w:p>
    <w:p w14:paraId="7053190A" w14:textId="285D2F8D" w:rsidR="003B32FE" w:rsidRPr="003B32FE" w:rsidRDefault="003B32FE" w:rsidP="003B32FE">
      <w:pPr>
        <w:pStyle w:val="SingleTxtGA"/>
        <w:jc w:val="right"/>
        <w:rPr>
          <w:i/>
          <w:iCs/>
          <w:rtl/>
          <w:lang w:eastAsia="zh-TW"/>
        </w:rPr>
      </w:pPr>
      <w:r w:rsidRPr="003B32FE">
        <w:rPr>
          <w:rFonts w:hint="cs"/>
          <w:i/>
          <w:iCs/>
          <w:rtl/>
          <w:lang w:eastAsia="zh-TW"/>
        </w:rPr>
        <w:t>الجلسة 35</w:t>
      </w:r>
      <w:r w:rsidRPr="003B32FE">
        <w:rPr>
          <w:i/>
          <w:iCs/>
          <w:rtl/>
          <w:lang w:eastAsia="zh-TW"/>
        </w:rPr>
        <w:br/>
      </w:r>
      <w:r w:rsidRPr="003B32FE">
        <w:rPr>
          <w:rFonts w:hint="cs"/>
          <w:i/>
          <w:iCs/>
          <w:rtl/>
          <w:lang w:eastAsia="zh-TW"/>
        </w:rPr>
        <w:t>12 تموز/يوليه 2021</w:t>
      </w:r>
    </w:p>
    <w:p w14:paraId="3EF49210" w14:textId="77777777" w:rsidR="003B32FE" w:rsidRDefault="003B32FE" w:rsidP="003B32FE">
      <w:pPr>
        <w:pStyle w:val="SingleTxtGA"/>
        <w:rPr>
          <w:rtl/>
        </w:rPr>
      </w:pPr>
      <w:r>
        <w:rPr>
          <w:rtl/>
        </w:rPr>
        <w:t xml:space="preserve">[اعتُمد بتصويت مسجل بأغلبية </w:t>
      </w:r>
      <w:r>
        <w:rPr>
          <w:rFonts w:hint="cs"/>
          <w:rtl/>
        </w:rPr>
        <w:t xml:space="preserve">21 </w:t>
      </w:r>
      <w:r>
        <w:rPr>
          <w:rtl/>
        </w:rPr>
        <w:t xml:space="preserve">صوتاً مقابل 13 صوتاً، مع امتناع </w:t>
      </w:r>
      <w:r>
        <w:rPr>
          <w:rFonts w:hint="cs"/>
          <w:rtl/>
        </w:rPr>
        <w:t xml:space="preserve">13 عضواً </w:t>
      </w:r>
      <w:r>
        <w:rPr>
          <w:rtl/>
        </w:rPr>
        <w:t>عن التصويت. وكانت نتيجة التصويت كما يلي:</w:t>
      </w:r>
    </w:p>
    <w:p w14:paraId="47944C59" w14:textId="77777777" w:rsidR="003B32FE" w:rsidRDefault="003B32FE" w:rsidP="003B32FE">
      <w:pPr>
        <w:pStyle w:val="SingleTxtGA"/>
        <w:ind w:left="1928"/>
        <w:rPr>
          <w:rFonts w:ascii="Simplified Arabic" w:eastAsia="Times New Roman" w:hAnsi="Simplified Arabic"/>
          <w:color w:val="212529"/>
          <w:sz w:val="28"/>
          <w:szCs w:val="28"/>
          <w:rtl/>
          <w:lang w:eastAsia="zh-CN"/>
        </w:rPr>
      </w:pPr>
      <w:r w:rsidRPr="004F0988">
        <w:rPr>
          <w:i/>
          <w:iCs/>
          <w:rtl/>
        </w:rPr>
        <w:t>المؤيدون:</w:t>
      </w:r>
      <w:r>
        <w:rPr>
          <w:rFonts w:ascii="Simplified Arabic" w:eastAsia="Times New Roman" w:hAnsi="Simplified Arabic" w:hint="cs"/>
          <w:color w:val="212529"/>
          <w:sz w:val="28"/>
          <w:szCs w:val="28"/>
          <w:rtl/>
          <w:lang w:eastAsia="zh-CN"/>
        </w:rPr>
        <w:t xml:space="preserve"> </w:t>
      </w:r>
    </w:p>
    <w:p w14:paraId="1F41D8B0" w14:textId="77777777" w:rsidR="003B32FE" w:rsidRPr="003B32FE" w:rsidRDefault="003B32FE" w:rsidP="003B32FE">
      <w:pPr>
        <w:pStyle w:val="SingleTxtGA"/>
        <w:ind w:left="2438"/>
        <w:rPr>
          <w:spacing w:val="-2"/>
          <w:rtl/>
          <w:lang w:eastAsia="zh-TW" w:bidi="ar-YE"/>
        </w:rPr>
      </w:pPr>
      <w:r w:rsidRPr="003B32FE">
        <w:rPr>
          <w:rFonts w:ascii="Simplified Arabic" w:eastAsia="Times New Roman" w:hAnsi="Simplified Arabic" w:hint="eastAsia"/>
          <w:color w:val="212529"/>
          <w:spacing w:val="-2"/>
          <w:rtl/>
          <w:lang w:eastAsia="zh-CN"/>
        </w:rPr>
        <w:t>ا</w:t>
      </w:r>
      <w:r w:rsidRPr="003B32FE">
        <w:rPr>
          <w:rFonts w:ascii="Simplified Arabic" w:eastAsia="Times New Roman" w:hAnsi="Simplified Arabic"/>
          <w:color w:val="212529"/>
          <w:spacing w:val="-2"/>
          <w:rtl/>
          <w:lang w:eastAsia="zh-CN"/>
        </w:rPr>
        <w:t>لأرجنتين، وأرمينيا، وألمانيا، وأوروغواي، وأوكرانيا، وإيطاليا، والبرازيل، وبلغاريا، وبولندا، وتشيكيا، وجزر البهاما، وجزر مارشال، وجمهورية كوريا، والدانمرك، وفرنسا، وفيجي، والمكسيك، والمملكة المتحدة لبريطانيا العظمى وأيرلندا الشمالية، والنمسا، وهولندا، واليابان</w:t>
      </w:r>
    </w:p>
    <w:p w14:paraId="14FD6B2A" w14:textId="77777777" w:rsidR="003B32FE" w:rsidRPr="00860ED3" w:rsidRDefault="003B32FE" w:rsidP="003B32FE">
      <w:pPr>
        <w:pStyle w:val="SingleTxtGA"/>
        <w:ind w:left="1928"/>
        <w:rPr>
          <w:rtl/>
          <w:lang w:eastAsia="zh-TW"/>
        </w:rPr>
      </w:pPr>
      <w:r w:rsidRPr="00860ED3">
        <w:rPr>
          <w:i/>
          <w:iCs/>
          <w:rtl/>
        </w:rPr>
        <w:t>المعارضون:</w:t>
      </w:r>
    </w:p>
    <w:p w14:paraId="5904EA52" w14:textId="77777777" w:rsidR="003B32FE" w:rsidRPr="00F40E50" w:rsidRDefault="003B32FE" w:rsidP="003B32FE">
      <w:pPr>
        <w:pStyle w:val="SingleTxtGA"/>
        <w:ind w:left="2438"/>
        <w:rPr>
          <w:rFonts w:ascii="Simplified Arabic" w:hAnsi="Simplified Arabic"/>
          <w:rtl/>
          <w:lang w:eastAsia="zh-TW"/>
        </w:rPr>
      </w:pPr>
      <w:r w:rsidRPr="00F40E50">
        <w:rPr>
          <w:rFonts w:ascii="Simplified Arabic" w:hAnsi="Simplified Arabic"/>
          <w:color w:val="212529"/>
          <w:shd w:val="clear" w:color="auto" w:fill="FFFFFF"/>
          <w:rtl/>
        </w:rPr>
        <w:t xml:space="preserve">الاتحاد الروسي، وإريتريا، وباكستان، والبحرين، وبوليفيا (دولة - المتعددة القوميات)، والسودان، والصومال، </w:t>
      </w:r>
      <w:r w:rsidRPr="003B32FE">
        <w:rPr>
          <w:rFonts w:ascii="Simplified Arabic" w:eastAsia="Times New Roman" w:hAnsi="Simplified Arabic"/>
          <w:color w:val="212529"/>
          <w:rtl/>
          <w:lang w:eastAsia="zh-CN"/>
        </w:rPr>
        <w:t>والصين</w:t>
      </w:r>
      <w:r w:rsidRPr="00F40E50">
        <w:rPr>
          <w:rFonts w:ascii="Simplified Arabic" w:hAnsi="Simplified Arabic"/>
          <w:color w:val="212529"/>
          <w:shd w:val="clear" w:color="auto" w:fill="FFFFFF"/>
          <w:rtl/>
        </w:rPr>
        <w:t xml:space="preserve">، والفلبين، وفنزويلا (جمهورية – </w:t>
      </w:r>
      <w:proofErr w:type="spellStart"/>
      <w:r w:rsidRPr="00F40E50">
        <w:rPr>
          <w:rFonts w:ascii="Simplified Arabic" w:hAnsi="Simplified Arabic"/>
          <w:color w:val="212529"/>
          <w:shd w:val="clear" w:color="auto" w:fill="FFFFFF"/>
          <w:rtl/>
        </w:rPr>
        <w:t>البوليفارية</w:t>
      </w:r>
      <w:proofErr w:type="spellEnd"/>
      <w:r w:rsidRPr="00F40E50">
        <w:rPr>
          <w:rFonts w:ascii="Simplified Arabic" w:hAnsi="Simplified Arabic"/>
          <w:color w:val="212529"/>
          <w:shd w:val="clear" w:color="auto" w:fill="FFFFFF"/>
          <w:rtl/>
        </w:rPr>
        <w:t>)، والكاميرون، وكوبا، والهند</w:t>
      </w:r>
    </w:p>
    <w:p w14:paraId="4C5B7C70" w14:textId="2596536C" w:rsidR="003B32FE" w:rsidRDefault="003B32FE" w:rsidP="003B32FE">
      <w:pPr>
        <w:pStyle w:val="SingleTxtGA"/>
        <w:ind w:left="1928"/>
        <w:rPr>
          <w:rFonts w:ascii="Simplified Arabic" w:eastAsia="Times New Roman" w:hAnsi="Simplified Arabic"/>
          <w:color w:val="212529"/>
          <w:rtl/>
          <w:lang w:eastAsia="zh-CN"/>
        </w:rPr>
      </w:pPr>
      <w:r w:rsidRPr="00F40E50">
        <w:rPr>
          <w:i/>
          <w:iCs/>
          <w:rtl/>
        </w:rPr>
        <w:t>الممتنعون</w:t>
      </w:r>
      <w:r>
        <w:rPr>
          <w:rFonts w:hint="cs"/>
          <w:i/>
          <w:iCs/>
          <w:rtl/>
        </w:rPr>
        <w:t xml:space="preserve"> عن التصويت</w:t>
      </w:r>
      <w:r w:rsidRPr="00F40E50">
        <w:rPr>
          <w:i/>
          <w:iCs/>
          <w:rtl/>
        </w:rPr>
        <w:t xml:space="preserve">: </w:t>
      </w:r>
    </w:p>
    <w:p w14:paraId="4BD3EF1D" w14:textId="76C839CC" w:rsidR="003B32FE" w:rsidRDefault="003B32FE" w:rsidP="003B32FE">
      <w:pPr>
        <w:pStyle w:val="SingleTxtGA"/>
        <w:ind w:left="2438"/>
        <w:rPr>
          <w:rtl/>
        </w:rPr>
      </w:pPr>
      <w:r w:rsidRPr="00F40E50">
        <w:rPr>
          <w:rFonts w:ascii="Simplified Arabic" w:eastAsia="Times New Roman" w:hAnsi="Simplified Arabic"/>
          <w:color w:val="212529"/>
          <w:rtl/>
          <w:lang w:eastAsia="zh-CN"/>
        </w:rPr>
        <w:t>إندونيسيا، وأوزبكستان، وبنغلاديش، وبوركينا فاسو، وتوغو، والسنغال، وغابون، وكوت ديفوار، وليبيا، وملاوي، وموريتانيا، وناميبيا، ونيبال</w:t>
      </w:r>
      <w:r w:rsidRPr="00F40E50">
        <w:rPr>
          <w:rtl/>
        </w:rPr>
        <w:t>.]</w:t>
      </w:r>
    </w:p>
    <w:p w14:paraId="648EA22A" w14:textId="4EF0210A" w:rsidR="003B32FE" w:rsidRPr="003B32FE" w:rsidRDefault="003B32FE" w:rsidP="003B32FE">
      <w:pPr>
        <w:pStyle w:val="SingleTxtGA"/>
        <w:jc w:val="center"/>
        <w:rPr>
          <w:u w:val="single"/>
          <w:rtl/>
          <w:lang w:eastAsia="zh-CN"/>
        </w:rPr>
      </w:pPr>
      <w:r>
        <w:rPr>
          <w:u w:val="single"/>
          <w:rtl/>
          <w:lang w:eastAsia="zh-CN"/>
        </w:rPr>
        <w:tab/>
      </w:r>
      <w:r>
        <w:rPr>
          <w:u w:val="single"/>
          <w:rtl/>
          <w:lang w:eastAsia="zh-CN"/>
        </w:rPr>
        <w:tab/>
      </w:r>
      <w:r>
        <w:rPr>
          <w:u w:val="single"/>
          <w:rtl/>
          <w:lang w:eastAsia="zh-CN"/>
        </w:rPr>
        <w:tab/>
      </w:r>
    </w:p>
    <w:sectPr w:rsidR="003B32FE" w:rsidRPr="003B32FE" w:rsidSect="0043694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B1A8A1" w14:textId="77777777" w:rsidR="00677EE6" w:rsidRPr="002901D9" w:rsidRDefault="00677EE6" w:rsidP="00AD3834">
      <w:pPr>
        <w:spacing w:after="60" w:line="240" w:lineRule="auto"/>
        <w:ind w:left="57"/>
        <w:rPr>
          <w:i/>
          <w:iCs/>
        </w:rPr>
      </w:pPr>
      <w:r>
        <w:rPr>
          <w:rFonts w:hint="cs"/>
          <w:i/>
          <w:iCs/>
          <w:rtl/>
        </w:rPr>
        <w:t>الحواشي</w:t>
      </w:r>
    </w:p>
  </w:endnote>
  <w:endnote w:type="continuationSeparator" w:id="0">
    <w:p w14:paraId="56B6275C" w14:textId="77777777" w:rsidR="00677EE6" w:rsidRDefault="00677EE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2C9D41" w14:textId="1365BC36" w:rsidR="00EF1B2D" w:rsidRPr="00EF1B2D" w:rsidRDefault="00EF1B2D" w:rsidP="00EF1B2D">
    <w:pPr>
      <w:pStyle w:val="Footer"/>
      <w:tabs>
        <w:tab w:val="right" w:pos="9638"/>
      </w:tabs>
      <w:rPr>
        <w:b/>
        <w:sz w:val="18"/>
        <w:lang w:val="en-US"/>
      </w:rPr>
    </w:pPr>
    <w:r>
      <w:rPr>
        <w:lang w:val="en-US"/>
      </w:rPr>
      <w:t>GE.21-10293</w:t>
    </w:r>
    <w:r>
      <w:rPr>
        <w:lang w:val="en-US"/>
      </w:rPr>
      <w:tab/>
    </w:r>
    <w:r w:rsidRPr="00EF1B2D">
      <w:rPr>
        <w:b/>
        <w:sz w:val="18"/>
        <w:lang w:val="en-US"/>
      </w:rPr>
      <w:fldChar w:fldCharType="begin"/>
    </w:r>
    <w:r w:rsidRPr="00EF1B2D">
      <w:rPr>
        <w:b/>
        <w:sz w:val="18"/>
        <w:lang w:val="en-US"/>
      </w:rPr>
      <w:instrText xml:space="preserve"> PAGE  \* MERGEFORMAT </w:instrText>
    </w:r>
    <w:r w:rsidRPr="00EF1B2D">
      <w:rPr>
        <w:b/>
        <w:sz w:val="18"/>
        <w:lang w:val="en-US"/>
      </w:rPr>
      <w:fldChar w:fldCharType="separate"/>
    </w:r>
    <w:r w:rsidRPr="00EF1B2D">
      <w:rPr>
        <w:b/>
        <w:noProof/>
        <w:sz w:val="18"/>
        <w:lang w:val="en-US"/>
      </w:rPr>
      <w:t>2</w:t>
    </w:r>
    <w:r w:rsidRPr="00EF1B2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695F22" w14:textId="5F889444" w:rsidR="006959B0" w:rsidRPr="00EF1B2D" w:rsidRDefault="00EF1B2D" w:rsidP="00EF1B2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GE.21-10293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6051E" w14:textId="09F7D1A3" w:rsidR="00FD4BC9" w:rsidRPr="00EF1B2D" w:rsidRDefault="00EF1B2D" w:rsidP="00EF1B2D">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302CC1C9" wp14:editId="685BECC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21-10293 (A)</w:t>
    </w:r>
    <w:r>
      <w:rPr>
        <w:noProof/>
        <w:sz w:val="20"/>
        <w:lang w:val="en-US"/>
      </w:rPr>
      <w:drawing>
        <wp:anchor distT="0" distB="0" distL="114300" distR="114300" simplePos="0" relativeHeight="251659264" behindDoc="0" locked="0" layoutInCell="1" allowOverlap="1" wp14:anchorId="1A6F3067" wp14:editId="27D38F2D">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657364" w14:textId="77777777" w:rsidR="00677EE6" w:rsidRPr="00A350CC" w:rsidRDefault="00677EE6"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430708E0" w14:textId="77777777" w:rsidR="00677EE6" w:rsidRDefault="00677EE6" w:rsidP="00656392">
      <w:pPr>
        <w:spacing w:line="240" w:lineRule="auto"/>
      </w:pPr>
      <w:r>
        <w:continuationSeparator/>
      </w:r>
    </w:p>
  </w:footnote>
  <w:footnote w:id="1">
    <w:p w14:paraId="1C891257" w14:textId="77777777" w:rsidR="003B32FE" w:rsidRPr="0056459B" w:rsidRDefault="003B32FE" w:rsidP="003B32FE">
      <w:pPr>
        <w:pStyle w:val="FootnoteText1"/>
        <w:rPr>
          <w:rFonts w:eastAsiaTheme="minorEastAsia"/>
          <w:rtl/>
        </w:rPr>
      </w:pPr>
      <w:r w:rsidRPr="0056459B">
        <w:rPr>
          <w:rFonts w:eastAsiaTheme="minorEastAsia"/>
          <w:rtl/>
        </w:rPr>
        <w:t>(</w:t>
      </w:r>
      <w:r w:rsidRPr="0056459B">
        <w:rPr>
          <w:rStyle w:val="FootnoteReference"/>
          <w:rFonts w:eastAsiaTheme="minorEastAsia"/>
          <w:vertAlign w:val="baseline"/>
          <w:rtl/>
        </w:rPr>
        <w:footnoteRef/>
      </w:r>
      <w:r w:rsidRPr="0056459B">
        <w:rPr>
          <w:rFonts w:eastAsiaTheme="minorEastAsia"/>
          <w:rtl/>
        </w:rPr>
        <w:t>)</w:t>
      </w:r>
      <w:r w:rsidRPr="0056459B">
        <w:rPr>
          <w:rFonts w:eastAsiaTheme="minorEastAsia"/>
          <w:rtl/>
        </w:rPr>
        <w:tab/>
      </w:r>
      <w:r w:rsidRPr="0056459B">
        <w:rPr>
          <w:rFonts w:eastAsiaTheme="minorEastAsia"/>
        </w:rPr>
        <w:t>A/HRC/47/21</w:t>
      </w:r>
      <w:r w:rsidRPr="0056459B">
        <w:rPr>
          <w:rFonts w:eastAsiaTheme="minorEastAsia" w:hint="cs"/>
          <w:rtl/>
        </w:rPr>
        <w:t>.</w:t>
      </w:r>
    </w:p>
  </w:footnote>
  <w:footnote w:id="2">
    <w:p w14:paraId="51914F2C" w14:textId="72D9ACF8" w:rsidR="003B32FE" w:rsidRPr="0056459B" w:rsidRDefault="003B32FE" w:rsidP="003B32FE">
      <w:pPr>
        <w:pStyle w:val="FootnoteText1"/>
        <w:textDirection w:val="tbRlV"/>
        <w:rPr>
          <w:rFonts w:eastAsiaTheme="minorEastAsia"/>
          <w:lang w:eastAsia="zh-TW" w:bidi="en-GB"/>
        </w:rPr>
      </w:pPr>
      <w:r w:rsidRPr="0056459B">
        <w:rPr>
          <w:rFonts w:eastAsiaTheme="minorEastAsia"/>
          <w:rtl/>
        </w:rPr>
        <w:t>(</w:t>
      </w:r>
      <w:r w:rsidRPr="0056459B">
        <w:rPr>
          <w:rStyle w:val="FootnoteReference"/>
          <w:rFonts w:eastAsiaTheme="minorEastAsia"/>
          <w:vertAlign w:val="baseline"/>
          <w:rtl/>
        </w:rPr>
        <w:footnoteRef/>
      </w:r>
      <w:r w:rsidRPr="0056459B">
        <w:rPr>
          <w:rFonts w:eastAsiaTheme="minorEastAsia"/>
          <w:rtl/>
        </w:rPr>
        <w:t>)</w:t>
      </w:r>
      <w:r w:rsidRPr="0056459B">
        <w:rPr>
          <w:rFonts w:eastAsiaTheme="minorEastAsia"/>
          <w:rtl/>
        </w:rPr>
        <w:tab/>
      </w:r>
      <w:r>
        <w:rPr>
          <w:rFonts w:eastAsiaTheme="minorEastAsia" w:hint="cs"/>
          <w:rtl/>
        </w:rPr>
        <w:t>ا</w:t>
      </w:r>
      <w:r w:rsidRPr="0056459B">
        <w:rPr>
          <w:rFonts w:eastAsiaTheme="minorEastAsia"/>
          <w:rtl/>
        </w:rPr>
        <w:t xml:space="preserve">نظر </w:t>
      </w:r>
      <w:r w:rsidRPr="0056459B">
        <w:rPr>
          <w:rFonts w:eastAsiaTheme="minorEastAsia"/>
        </w:rPr>
        <w:t>A/HRC/41/53</w:t>
      </w:r>
      <w:r w:rsidRPr="0056459B">
        <w:rPr>
          <w:rFonts w:eastAsiaTheme="minorEastAsia"/>
          <w:rtl/>
        </w:rPr>
        <w:t>، الفقرات 78-82.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12CCA" w14:textId="255D8E52" w:rsidR="00EF1B2D" w:rsidRPr="00EF1B2D" w:rsidRDefault="00EF1B2D" w:rsidP="00EF1B2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A/HRC/RES/47/2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ED93B" w14:textId="6AFA6578" w:rsidR="00EF1B2D" w:rsidRPr="00EF1B2D" w:rsidRDefault="00EF1B2D" w:rsidP="00EF1B2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A/HRC/RES/47/2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45883"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attachedTemplate r:id="rId1"/>
  <w:defaultTabStop w:val="567"/>
  <w:evenAndOddHeaders/>
  <w:characterSpacingControl w:val="doNotCompress"/>
  <w:savePreviewPicture/>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EE6"/>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0F2E"/>
    <w:rsid w:val="00364427"/>
    <w:rsid w:val="00374341"/>
    <w:rsid w:val="003773BF"/>
    <w:rsid w:val="003814C2"/>
    <w:rsid w:val="003B19AB"/>
    <w:rsid w:val="003B32FE"/>
    <w:rsid w:val="003B3CEF"/>
    <w:rsid w:val="003B588A"/>
    <w:rsid w:val="003C2724"/>
    <w:rsid w:val="003D1062"/>
    <w:rsid w:val="003E159A"/>
    <w:rsid w:val="003F7492"/>
    <w:rsid w:val="0040107A"/>
    <w:rsid w:val="00404EB3"/>
    <w:rsid w:val="004205C7"/>
    <w:rsid w:val="00420D7B"/>
    <w:rsid w:val="004213AF"/>
    <w:rsid w:val="00436429"/>
    <w:rsid w:val="00436944"/>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77EE6"/>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B2D"/>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1"/>
    </o:shapelayout>
  </w:shapeDefaults>
  <w:decimalSymbol w:val="."/>
  <w:listSeparator w:val=";"/>
  <w14:docId w14:val="3665A634"/>
  <w15:docId w15:val="{0FC5CCE5-0E04-4760-98A3-0EC2D8CE9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
    <w:link w:val="Char2"/>
    <w:uiPriority w:val="99"/>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4BCCA-CECA-41F5-A469-0BB4B6570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439</Words>
  <Characters>2521</Characters>
  <Application>Microsoft Office Word</Application>
  <DocSecurity>0</DocSecurity>
  <Lines>60</Lines>
  <Paragraphs>33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A/HRC/RES/47/2</vt:lpstr>
      <vt:lpstr>    قرار اعتمده مجلس حقوق الإنسان بتاريخ 12 تموز/يوليه 2021</vt:lpstr>
      <vt:lpstr>        47/2-	حالة حقوق الإنسان في إريتريا</vt:lpstr>
    </vt:vector>
  </TitlesOfParts>
  <Company>DCM</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A/HRC/RES/47/2</dc:title>
  <dc:subject>GE.2110293(A)</dc:subject>
  <dc:creator>Ibrahim BALAN - </dc:creator>
  <cp:keywords>GE.(A)</cp:keywords>
  <dc:description>_x000d_
_x000d_
Arabic_x000d_
</dc:description>
  <cp:lastModifiedBy>Ibrahim Balan</cp:lastModifiedBy>
  <cp:revision>2</cp:revision>
  <dcterms:created xsi:type="dcterms:W3CDTF">2021-08-27T15:20:00Z</dcterms:created>
  <dcterms:modified xsi:type="dcterms:W3CDTF">2021-08-27T15:20:00Z</dcterms:modified>
  <cp:category>Final</cp:category>
</cp:coreProperties>
</file>