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234DD">
        <w:trPr>
          <w:trHeight w:hRule="exact" w:val="851"/>
        </w:trPr>
        <w:tc>
          <w:tcPr>
            <w:tcW w:w="1280" w:type="dxa"/>
            <w:tcBorders>
              <w:bottom w:val="single" w:sz="4" w:space="0" w:color="auto"/>
            </w:tcBorders>
          </w:tcPr>
          <w:p w:rsidR="007234DD" w:rsidRDefault="007234DD">
            <w:pPr>
              <w:rPr>
                <w:rFonts w:hint="eastAsia"/>
              </w:rPr>
            </w:pPr>
          </w:p>
        </w:tc>
        <w:tc>
          <w:tcPr>
            <w:tcW w:w="2273" w:type="dxa"/>
            <w:tcBorders>
              <w:bottom w:val="single" w:sz="4" w:space="0" w:color="auto"/>
            </w:tcBorders>
            <w:vAlign w:val="bottom"/>
          </w:tcPr>
          <w:p w:rsidR="007234DD" w:rsidRDefault="007234D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234DD" w:rsidRDefault="007234DD">
            <w:pPr>
              <w:spacing w:line="240" w:lineRule="atLeast"/>
              <w:jc w:val="right"/>
              <w:rPr>
                <w:szCs w:val="21"/>
              </w:rPr>
            </w:pPr>
            <w:r>
              <w:rPr>
                <w:sz w:val="40"/>
                <w:szCs w:val="40"/>
              </w:rPr>
              <w:t>C</w:t>
            </w:r>
            <w:r>
              <w:rPr>
                <w:rFonts w:hint="eastAsia"/>
                <w:sz w:val="40"/>
                <w:szCs w:val="40"/>
              </w:rPr>
              <w:t>EDAW</w:t>
            </w:r>
            <w:r>
              <w:rPr>
                <w:sz w:val="20"/>
              </w:rPr>
              <w:t>/C/QAT/1</w:t>
            </w:r>
          </w:p>
        </w:tc>
      </w:tr>
      <w:tr w:rsidR="007234DD">
        <w:trPr>
          <w:trHeight w:hRule="exact" w:val="2835"/>
        </w:trPr>
        <w:tc>
          <w:tcPr>
            <w:tcW w:w="1280" w:type="dxa"/>
            <w:tcBorders>
              <w:top w:val="single" w:sz="4" w:space="0" w:color="auto"/>
              <w:bottom w:val="single" w:sz="12" w:space="0" w:color="auto"/>
            </w:tcBorders>
          </w:tcPr>
          <w:p w:rsidR="007234DD" w:rsidRDefault="007234DD">
            <w:pPr>
              <w:spacing w:line="120" w:lineRule="atLeast"/>
              <w:rPr>
                <w:sz w:val="10"/>
                <w:szCs w:val="10"/>
              </w:rPr>
            </w:pPr>
          </w:p>
          <w:p w:rsidR="007234DD" w:rsidRDefault="007234D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234DD" w:rsidRDefault="007234DD">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7234DD" w:rsidRDefault="007234DD">
            <w:pPr>
              <w:spacing w:before="240" w:line="240" w:lineRule="atLeast"/>
              <w:rPr>
                <w:sz w:val="20"/>
              </w:rPr>
            </w:pPr>
            <w:r>
              <w:rPr>
                <w:sz w:val="20"/>
              </w:rPr>
              <w:t>Distr.: General</w:t>
            </w:r>
          </w:p>
          <w:p w:rsidR="007234DD" w:rsidRDefault="007234DD">
            <w:pPr>
              <w:spacing w:line="240" w:lineRule="atLeast"/>
              <w:rPr>
                <w:sz w:val="20"/>
              </w:rPr>
            </w:pPr>
            <w:r>
              <w:rPr>
                <w:sz w:val="20"/>
                <w:lang w:val="en-GB"/>
              </w:rPr>
              <w:t>2</w:t>
            </w:r>
            <w:r>
              <w:rPr>
                <w:rFonts w:hint="eastAsia"/>
                <w:sz w:val="20"/>
                <w:lang w:val="en-GB"/>
              </w:rPr>
              <w:t>1</w:t>
            </w:r>
            <w:r>
              <w:rPr>
                <w:sz w:val="20"/>
                <w:lang w:val="en-GB"/>
              </w:rPr>
              <w:t xml:space="preserve"> March 2012</w:t>
            </w:r>
          </w:p>
          <w:p w:rsidR="007234DD" w:rsidRDefault="007234DD">
            <w:pPr>
              <w:spacing w:line="240" w:lineRule="atLeast"/>
              <w:rPr>
                <w:sz w:val="20"/>
              </w:rPr>
            </w:pPr>
            <w:r>
              <w:rPr>
                <w:sz w:val="20"/>
              </w:rPr>
              <w:t xml:space="preserve">Chinese </w:t>
            </w:r>
          </w:p>
          <w:p w:rsidR="007234DD" w:rsidRDefault="007234DD">
            <w:pPr>
              <w:spacing w:line="240" w:lineRule="atLeast"/>
              <w:rPr>
                <w:rFonts w:hint="eastAsia"/>
                <w:sz w:val="20"/>
              </w:rPr>
            </w:pPr>
            <w:r>
              <w:rPr>
                <w:sz w:val="20"/>
              </w:rPr>
              <w:t>Original: Arabic</w:t>
            </w:r>
          </w:p>
        </w:tc>
      </w:tr>
    </w:tbl>
    <w:p w:rsidR="007234DD" w:rsidRDefault="007234DD">
      <w:pPr>
        <w:spacing w:before="120"/>
        <w:rPr>
          <w:rFonts w:eastAsia="SimHei" w:hint="eastAsia"/>
          <w:sz w:val="24"/>
          <w:szCs w:val="24"/>
        </w:rPr>
      </w:pPr>
      <w:r>
        <w:rPr>
          <w:rFonts w:eastAsia="SimHei" w:hint="eastAsia"/>
          <w:sz w:val="24"/>
          <w:szCs w:val="24"/>
        </w:rPr>
        <w:t>消除对妇女歧视委员会</w:t>
      </w:r>
    </w:p>
    <w:p w:rsidR="007234DD" w:rsidRDefault="007234DD">
      <w:pPr>
        <w:pStyle w:val="HMGC"/>
        <w:rPr>
          <w:lang w:val="fr-CH"/>
        </w:rPr>
      </w:pPr>
      <w:r>
        <w:tab/>
      </w:r>
      <w:r>
        <w:tab/>
      </w:r>
      <w:r>
        <w:rPr>
          <w:rFonts w:hint="eastAsia"/>
        </w:rPr>
        <w:t>审议缔约国根据《消除对妇女一切形式歧视</w:t>
      </w:r>
      <w:r>
        <w:br/>
      </w:r>
      <w:r>
        <w:rPr>
          <w:rFonts w:hint="eastAsia"/>
        </w:rPr>
        <w:t>公约》第十八条提交的报告</w:t>
      </w:r>
    </w:p>
    <w:p w:rsidR="007234DD" w:rsidRDefault="007234DD">
      <w:pPr>
        <w:pStyle w:val="HChGC"/>
      </w:pPr>
      <w:r>
        <w:tab/>
      </w:r>
      <w:r>
        <w:tab/>
      </w:r>
      <w:bookmarkStart w:id="0" w:name="_Toc324430296"/>
      <w:r>
        <w:t>缔约国的</w:t>
      </w:r>
      <w:r>
        <w:rPr>
          <w:rFonts w:hint="eastAsia"/>
        </w:rPr>
        <w:t>初次</w:t>
      </w:r>
      <w:r>
        <w:t>报告</w:t>
      </w:r>
      <w:bookmarkEnd w:id="0"/>
    </w:p>
    <w:p w:rsidR="007234DD" w:rsidRDefault="007234DD">
      <w:pPr>
        <w:pStyle w:val="HMGC"/>
        <w:rPr>
          <w:szCs w:val="28"/>
          <w:vertAlign w:val="superscript"/>
          <w:lang w:val="fr-CH"/>
        </w:rPr>
      </w:pPr>
      <w:r>
        <w:rPr>
          <w:lang w:val="fr-CH"/>
        </w:rPr>
        <w:tab/>
      </w:r>
      <w:r>
        <w:rPr>
          <w:lang w:val="fr-CH"/>
        </w:rPr>
        <w:tab/>
      </w:r>
      <w:r>
        <w:rPr>
          <w:rFonts w:hint="eastAsia"/>
        </w:rPr>
        <w:t>卡塔尔</w:t>
      </w:r>
      <w:r>
        <w:rPr>
          <w:rStyle w:val="FootnoteReference"/>
          <w:b/>
          <w:position w:val="6"/>
          <w:sz w:val="34"/>
          <w:szCs w:val="34"/>
          <w:vertAlign w:val="baseline"/>
          <w:lang w:val="fr-CH"/>
        </w:rPr>
        <w:footnoteReference w:customMarkFollows="1" w:id="1"/>
        <w:t>*</w:t>
      </w:r>
    </w:p>
    <w:p w:rsidR="007234DD" w:rsidRDefault="007234DD">
      <w:pPr>
        <w:tabs>
          <w:tab w:val="clear" w:pos="431"/>
        </w:tabs>
        <w:suppressAutoHyphens/>
        <w:overflowPunct/>
        <w:adjustRightInd/>
        <w:snapToGrid/>
        <w:spacing w:line="240" w:lineRule="atLeast"/>
        <w:ind w:right="1134"/>
        <w:jc w:val="right"/>
        <w:rPr>
          <w:rFonts w:hint="eastAsia"/>
          <w:lang w:val="fr-CH"/>
        </w:rPr>
      </w:pPr>
      <w:r>
        <w:rPr>
          <w:rFonts w:hint="eastAsia"/>
          <w:szCs w:val="21"/>
          <w:lang w:val="fr-FR"/>
        </w:rPr>
        <w:t>[</w:t>
      </w:r>
      <w:smartTag w:uri="urn:schemas-microsoft-com:office:smarttags" w:element="chsdate">
        <w:smartTagPr>
          <w:attr w:name="Year" w:val="2011"/>
          <w:attr w:name="Month" w:val="11"/>
          <w:attr w:name="Day" w:val="28"/>
          <w:attr w:name="IsLunarDate" w:val="False"/>
          <w:attr w:name="IsROCDate" w:val="False"/>
        </w:smartTagPr>
        <w:r>
          <w:rPr>
            <w:rFonts w:hint="eastAsia"/>
            <w:szCs w:val="21"/>
            <w:lang w:val="fr-FR"/>
          </w:rPr>
          <w:t>2011</w:t>
        </w:r>
        <w:r>
          <w:rPr>
            <w:rFonts w:hint="eastAsia"/>
            <w:szCs w:val="21"/>
            <w:lang w:val="fr-FR"/>
          </w:rPr>
          <w:t>年</w:t>
        </w:r>
        <w:r>
          <w:rPr>
            <w:snapToGrid/>
            <w:szCs w:val="21"/>
            <w:lang w:val="fr-FR"/>
          </w:rPr>
          <w:t>11</w:t>
        </w:r>
        <w:r>
          <w:rPr>
            <w:rFonts w:hint="eastAsia"/>
            <w:szCs w:val="21"/>
            <w:lang w:val="fr-FR"/>
          </w:rPr>
          <w:t>月</w:t>
        </w:r>
        <w:r>
          <w:rPr>
            <w:szCs w:val="21"/>
            <w:lang w:val="fr-FR"/>
          </w:rPr>
          <w:t>28</w:t>
        </w:r>
        <w:r>
          <w:rPr>
            <w:rFonts w:hint="eastAsia"/>
            <w:szCs w:val="21"/>
            <w:lang w:val="fr-FR"/>
          </w:rPr>
          <w:t>日</w:t>
        </w:r>
      </w:smartTag>
      <w:r>
        <w:rPr>
          <w:rFonts w:hint="eastAsia"/>
          <w:szCs w:val="21"/>
          <w:lang w:val="fr-FR"/>
        </w:rPr>
        <w:t>]</w:t>
      </w:r>
    </w:p>
    <w:p w:rsidR="007234DD" w:rsidRDefault="007234DD">
      <w:pPr>
        <w:spacing w:after="120"/>
        <w:rPr>
          <w:sz w:val="28"/>
          <w:szCs w:val="28"/>
        </w:rPr>
      </w:pPr>
      <w:r>
        <w:rPr>
          <w:sz w:val="28"/>
          <w:szCs w:val="28"/>
        </w:rPr>
        <w:br w:type="page"/>
      </w:r>
      <w:r>
        <w:rPr>
          <w:rFonts w:hint="eastAsia"/>
          <w:sz w:val="28"/>
          <w:szCs w:val="28"/>
        </w:rPr>
        <w:t>目录</w:t>
      </w:r>
    </w:p>
    <w:p w:rsidR="007234DD" w:rsidRDefault="007234DD">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134" w:right="4252" w:hanging="1134"/>
        <w:rPr>
          <w:rFonts w:hint="eastAsia"/>
          <w:spacing w:val="0"/>
          <w:sz w:val="21"/>
          <w:lang w:val="fr-CH"/>
        </w:rPr>
      </w:pPr>
      <w:r>
        <w:rPr>
          <w:spacing w:val="0"/>
          <w:sz w:val="21"/>
          <w:lang w:val="fr-CH"/>
        </w:rPr>
        <w:tab/>
      </w:r>
      <w:r>
        <w:rPr>
          <w:rFonts w:hint="eastAsia"/>
          <w:spacing w:val="0"/>
          <w:sz w:val="21"/>
          <w:lang w:val="fr-CH"/>
        </w:rPr>
        <w:t>一</w:t>
      </w:r>
      <w:r>
        <w:rPr>
          <w:spacing w:val="0"/>
          <w:sz w:val="21"/>
          <w:lang w:val="fr-CH"/>
        </w:rPr>
        <w:t>.</w:t>
      </w:r>
      <w:r>
        <w:rPr>
          <w:spacing w:val="0"/>
          <w:sz w:val="21"/>
          <w:lang w:val="fr-CH"/>
        </w:rPr>
        <w:tab/>
      </w:r>
      <w:r>
        <w:rPr>
          <w:rFonts w:hint="eastAsia"/>
          <w:spacing w:val="0"/>
          <w:sz w:val="21"/>
        </w:rPr>
        <w:t>导言</w:t>
      </w:r>
      <w:r>
        <w:rPr>
          <w:spacing w:val="0"/>
          <w:sz w:val="21"/>
          <w:lang w:val="fr-CH"/>
        </w:rPr>
        <w:t>...................</w:t>
      </w:r>
      <w:r>
        <w:rPr>
          <w:spacing w:val="0"/>
          <w:sz w:val="21"/>
          <w:lang w:val="fr-CH"/>
        </w:rPr>
        <w:tab/>
      </w:r>
      <w:r>
        <w:rPr>
          <w:spacing w:val="0"/>
          <w:sz w:val="21"/>
          <w:lang w:val="fr-CH"/>
        </w:rPr>
        <w:tab/>
        <w:t>1-12</w:t>
      </w:r>
      <w:r>
        <w:rPr>
          <w:spacing w:val="0"/>
          <w:sz w:val="21"/>
          <w:lang w:val="fr-CH"/>
        </w:rPr>
        <w:tab/>
      </w:r>
      <w:r>
        <w:rPr>
          <w:rFonts w:hint="eastAsia"/>
          <w:spacing w:val="0"/>
          <w:sz w:val="21"/>
          <w:lang w:val="fr-CH"/>
        </w:rPr>
        <w:t>3</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134" w:right="4252" w:hanging="1134"/>
        <w:rPr>
          <w:rFonts w:hint="eastAsia"/>
          <w:spacing w:val="0"/>
          <w:sz w:val="21"/>
          <w:lang w:val="fr-CH"/>
        </w:rPr>
      </w:pPr>
      <w:r>
        <w:rPr>
          <w:rFonts w:hint="eastAsia"/>
          <w:spacing w:val="0"/>
          <w:sz w:val="21"/>
          <w:lang w:val="fr-CH"/>
        </w:rPr>
        <w:tab/>
      </w:r>
      <w:r>
        <w:rPr>
          <w:rFonts w:hint="eastAsia"/>
          <w:spacing w:val="0"/>
          <w:sz w:val="21"/>
          <w:lang w:val="fr-CH"/>
        </w:rPr>
        <w:t>二</w:t>
      </w:r>
      <w:r>
        <w:rPr>
          <w:rFonts w:hint="eastAsia"/>
          <w:spacing w:val="0"/>
          <w:sz w:val="21"/>
          <w:lang w:val="fr-CH"/>
        </w:rPr>
        <w:t>.</w:t>
      </w:r>
      <w:r>
        <w:rPr>
          <w:rFonts w:hint="eastAsia"/>
          <w:spacing w:val="0"/>
          <w:sz w:val="21"/>
          <w:lang w:val="fr-CH"/>
        </w:rPr>
        <w:tab/>
      </w:r>
      <w:r>
        <w:rPr>
          <w:rFonts w:hint="eastAsia"/>
          <w:spacing w:val="0"/>
          <w:sz w:val="21"/>
        </w:rPr>
        <w:t>共同</w:t>
      </w:r>
      <w:r>
        <w:rPr>
          <w:rFonts w:hint="eastAsia"/>
          <w:spacing w:val="0"/>
          <w:sz w:val="21"/>
          <w:lang w:val="fr-CH"/>
        </w:rPr>
        <w:t>核心文件</w:t>
      </w:r>
      <w:r>
        <w:rPr>
          <w:spacing w:val="0"/>
          <w:sz w:val="21"/>
          <w:lang w:val="fr-CH"/>
        </w:rPr>
        <w:tab/>
      </w:r>
      <w:r>
        <w:rPr>
          <w:spacing w:val="0"/>
          <w:sz w:val="21"/>
          <w:lang w:val="fr-CH"/>
        </w:rPr>
        <w:tab/>
        <w:t>13-99</w:t>
      </w:r>
      <w:r>
        <w:rPr>
          <w:spacing w:val="0"/>
          <w:sz w:val="21"/>
          <w:lang w:val="fr-CH"/>
        </w:rPr>
        <w:tab/>
      </w:r>
      <w:r>
        <w:rPr>
          <w:rFonts w:hint="eastAsia"/>
          <w:spacing w:val="0"/>
          <w:sz w:val="21"/>
          <w:lang w:val="fr-CH"/>
        </w:rPr>
        <w:t>5</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565" w:right="4252" w:hanging="1565"/>
        <w:rPr>
          <w:rFonts w:hint="eastAsia"/>
          <w:spacing w:val="0"/>
          <w:sz w:val="21"/>
          <w:lang w:val="fr-FR"/>
        </w:rPr>
      </w:pPr>
      <w:r>
        <w:rPr>
          <w:rFonts w:hint="eastAsia"/>
          <w:spacing w:val="0"/>
          <w:sz w:val="21"/>
          <w:lang w:val="fr-CH"/>
        </w:rPr>
        <w:tab/>
      </w:r>
      <w:r>
        <w:rPr>
          <w:rFonts w:hint="eastAsia"/>
          <w:spacing w:val="0"/>
          <w:sz w:val="21"/>
          <w:lang w:val="fr-CH"/>
        </w:rPr>
        <w:tab/>
      </w:r>
      <w:r>
        <w:rPr>
          <w:spacing w:val="0"/>
          <w:sz w:val="21"/>
          <w:lang w:val="fr-FR"/>
        </w:rPr>
        <w:t>A</w:t>
      </w:r>
      <w:r>
        <w:rPr>
          <w:rFonts w:hint="eastAsia"/>
          <w:spacing w:val="0"/>
          <w:sz w:val="21"/>
          <w:lang w:val="fr-CH"/>
        </w:rPr>
        <w:t>.</w:t>
      </w:r>
      <w:r>
        <w:rPr>
          <w:rFonts w:hint="eastAsia"/>
          <w:spacing w:val="0"/>
          <w:sz w:val="21"/>
          <w:lang w:val="fr-CH"/>
        </w:rPr>
        <w:tab/>
      </w:r>
      <w:r>
        <w:rPr>
          <w:rFonts w:hint="eastAsia"/>
          <w:spacing w:val="0"/>
          <w:sz w:val="21"/>
          <w:lang w:val="fr-FR"/>
        </w:rPr>
        <w:t>土地和人口</w:t>
      </w:r>
      <w:r>
        <w:rPr>
          <w:spacing w:val="0"/>
          <w:sz w:val="21"/>
          <w:lang w:val="fr-FR"/>
        </w:rPr>
        <w:tab/>
      </w:r>
      <w:r>
        <w:rPr>
          <w:spacing w:val="0"/>
          <w:sz w:val="21"/>
          <w:lang w:val="fr-FR"/>
        </w:rPr>
        <w:tab/>
        <w:t>13-30</w:t>
      </w:r>
      <w:r>
        <w:rPr>
          <w:spacing w:val="0"/>
          <w:sz w:val="21"/>
          <w:lang w:val="fr-FR"/>
        </w:rPr>
        <w:tab/>
      </w:r>
      <w:r>
        <w:rPr>
          <w:rFonts w:hint="eastAsia"/>
          <w:spacing w:val="0"/>
          <w:sz w:val="21"/>
          <w:lang w:val="fr-FR"/>
        </w:rPr>
        <w:t>5</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565" w:right="4252" w:hanging="1565"/>
        <w:rPr>
          <w:rFonts w:hint="eastAsia"/>
          <w:spacing w:val="0"/>
          <w:sz w:val="21"/>
          <w:lang w:val="fr-FR"/>
        </w:rPr>
      </w:pPr>
      <w:r>
        <w:rPr>
          <w:rFonts w:hint="eastAsia"/>
          <w:spacing w:val="0"/>
          <w:sz w:val="21"/>
          <w:lang w:val="fr-FR"/>
        </w:rPr>
        <w:tab/>
      </w:r>
      <w:r>
        <w:rPr>
          <w:rFonts w:hint="eastAsia"/>
          <w:spacing w:val="0"/>
          <w:sz w:val="21"/>
          <w:lang w:val="fr-FR"/>
        </w:rPr>
        <w:tab/>
      </w:r>
      <w:r>
        <w:rPr>
          <w:spacing w:val="0"/>
          <w:sz w:val="21"/>
          <w:lang w:val="fr-FR"/>
        </w:rPr>
        <w:t>B</w:t>
      </w:r>
      <w:r>
        <w:rPr>
          <w:rFonts w:hint="eastAsia"/>
          <w:spacing w:val="0"/>
          <w:sz w:val="21"/>
          <w:lang w:val="fr-FR"/>
        </w:rPr>
        <w:t>.</w:t>
      </w:r>
      <w:r>
        <w:rPr>
          <w:rFonts w:hint="eastAsia"/>
          <w:spacing w:val="0"/>
          <w:sz w:val="21"/>
          <w:lang w:val="fr-FR"/>
        </w:rPr>
        <w:tab/>
      </w:r>
      <w:r>
        <w:rPr>
          <w:rFonts w:hint="eastAsia"/>
          <w:spacing w:val="0"/>
          <w:sz w:val="21"/>
          <w:lang w:val="fr-FR"/>
        </w:rPr>
        <w:t>国家的宪法、政治和法律结构</w:t>
      </w:r>
      <w:r>
        <w:rPr>
          <w:spacing w:val="0"/>
          <w:sz w:val="21"/>
          <w:lang w:val="fr-FR"/>
        </w:rPr>
        <w:tab/>
      </w:r>
      <w:r>
        <w:rPr>
          <w:spacing w:val="0"/>
          <w:sz w:val="21"/>
          <w:lang w:val="fr-FR"/>
        </w:rPr>
        <w:tab/>
        <w:t>31-48</w:t>
      </w:r>
      <w:r>
        <w:rPr>
          <w:spacing w:val="0"/>
          <w:sz w:val="21"/>
          <w:lang w:val="fr-FR"/>
        </w:rPr>
        <w:tab/>
      </w:r>
      <w:r>
        <w:rPr>
          <w:rFonts w:hint="eastAsia"/>
          <w:spacing w:val="0"/>
          <w:sz w:val="21"/>
          <w:lang w:val="fr-FR"/>
        </w:rPr>
        <w:t>11</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565" w:right="4252" w:hanging="1565"/>
        <w:rPr>
          <w:rFonts w:hint="eastAsia"/>
          <w:spacing w:val="0"/>
          <w:sz w:val="21"/>
          <w:lang w:val="fr-FR"/>
        </w:rPr>
      </w:pPr>
      <w:r>
        <w:rPr>
          <w:rFonts w:hint="eastAsia"/>
          <w:spacing w:val="0"/>
          <w:sz w:val="21"/>
          <w:lang w:val="fr-FR"/>
        </w:rPr>
        <w:tab/>
      </w:r>
      <w:r>
        <w:rPr>
          <w:rFonts w:hint="eastAsia"/>
          <w:spacing w:val="0"/>
          <w:sz w:val="21"/>
          <w:lang w:val="fr-FR"/>
        </w:rPr>
        <w:tab/>
      </w:r>
      <w:r>
        <w:rPr>
          <w:spacing w:val="0"/>
          <w:sz w:val="21"/>
          <w:lang w:val="fr-FR"/>
        </w:rPr>
        <w:t>C</w:t>
      </w:r>
      <w:r>
        <w:rPr>
          <w:rFonts w:hint="eastAsia"/>
          <w:spacing w:val="0"/>
          <w:sz w:val="21"/>
          <w:lang w:val="fr-FR"/>
        </w:rPr>
        <w:t>.</w:t>
      </w:r>
      <w:r>
        <w:rPr>
          <w:rFonts w:hint="eastAsia"/>
          <w:spacing w:val="0"/>
          <w:sz w:val="21"/>
          <w:lang w:val="fr-FR"/>
        </w:rPr>
        <w:tab/>
      </w:r>
      <w:r>
        <w:rPr>
          <w:rFonts w:hint="eastAsia"/>
          <w:spacing w:val="0"/>
          <w:sz w:val="21"/>
          <w:lang w:val="fr-FR"/>
        </w:rPr>
        <w:t>促进和保护人权的总框架</w:t>
      </w:r>
      <w:r>
        <w:rPr>
          <w:spacing w:val="0"/>
          <w:sz w:val="21"/>
          <w:lang w:val="fr-FR"/>
        </w:rPr>
        <w:tab/>
      </w:r>
      <w:r>
        <w:rPr>
          <w:spacing w:val="0"/>
          <w:sz w:val="21"/>
          <w:lang w:val="fr-FR"/>
        </w:rPr>
        <w:tab/>
        <w:t>49-55</w:t>
      </w:r>
      <w:r>
        <w:rPr>
          <w:spacing w:val="0"/>
          <w:sz w:val="21"/>
          <w:lang w:val="fr-FR"/>
        </w:rPr>
        <w:tab/>
      </w:r>
      <w:r>
        <w:rPr>
          <w:rFonts w:hint="eastAsia"/>
          <w:spacing w:val="0"/>
          <w:sz w:val="21"/>
          <w:lang w:val="fr-FR"/>
        </w:rPr>
        <w:t>14</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565" w:right="4252" w:hanging="1565"/>
        <w:rPr>
          <w:rFonts w:hint="eastAsia"/>
          <w:spacing w:val="0"/>
          <w:sz w:val="21"/>
          <w:lang w:val="fr-FR"/>
        </w:rPr>
      </w:pPr>
      <w:r>
        <w:rPr>
          <w:rFonts w:hint="eastAsia"/>
          <w:spacing w:val="0"/>
          <w:sz w:val="21"/>
          <w:lang w:val="fr-FR"/>
        </w:rPr>
        <w:tab/>
      </w:r>
      <w:r>
        <w:rPr>
          <w:rFonts w:hint="eastAsia"/>
          <w:spacing w:val="0"/>
          <w:sz w:val="21"/>
          <w:lang w:val="fr-FR"/>
        </w:rPr>
        <w:tab/>
      </w:r>
      <w:r>
        <w:rPr>
          <w:spacing w:val="0"/>
          <w:sz w:val="21"/>
          <w:lang w:val="fr-FR"/>
        </w:rPr>
        <w:t>D</w:t>
      </w:r>
      <w:r>
        <w:rPr>
          <w:rFonts w:hint="eastAsia"/>
          <w:spacing w:val="0"/>
          <w:sz w:val="21"/>
          <w:lang w:val="fr-FR"/>
        </w:rPr>
        <w:t>.</w:t>
      </w:r>
      <w:r>
        <w:rPr>
          <w:rFonts w:hint="eastAsia"/>
          <w:spacing w:val="0"/>
          <w:sz w:val="21"/>
          <w:lang w:val="fr-FR"/>
        </w:rPr>
        <w:tab/>
      </w:r>
      <w:r>
        <w:rPr>
          <w:rFonts w:hint="eastAsia"/>
          <w:spacing w:val="0"/>
          <w:sz w:val="21"/>
          <w:lang w:val="fr-FR"/>
        </w:rPr>
        <w:t>国家一级促进人权的框架</w:t>
      </w:r>
      <w:r>
        <w:rPr>
          <w:spacing w:val="0"/>
          <w:sz w:val="21"/>
          <w:lang w:val="fr-FR"/>
        </w:rPr>
        <w:tab/>
      </w:r>
      <w:r>
        <w:rPr>
          <w:spacing w:val="0"/>
          <w:sz w:val="21"/>
          <w:lang w:val="fr-FR"/>
        </w:rPr>
        <w:tab/>
        <w:t>56-93</w:t>
      </w:r>
      <w:r>
        <w:rPr>
          <w:spacing w:val="0"/>
          <w:sz w:val="21"/>
          <w:lang w:val="fr-FR"/>
        </w:rPr>
        <w:tab/>
      </w:r>
      <w:r>
        <w:rPr>
          <w:rFonts w:hint="eastAsia"/>
          <w:spacing w:val="0"/>
          <w:sz w:val="21"/>
          <w:lang w:val="fr-FR"/>
        </w:rPr>
        <w:t>16</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565" w:right="4252" w:hanging="1565"/>
        <w:rPr>
          <w:rFonts w:hint="eastAsia"/>
          <w:spacing w:val="0"/>
          <w:sz w:val="21"/>
          <w:lang w:val="fr-FR"/>
        </w:rPr>
      </w:pPr>
      <w:r>
        <w:rPr>
          <w:rFonts w:hint="eastAsia"/>
          <w:spacing w:val="0"/>
          <w:sz w:val="21"/>
          <w:lang w:val="fr-FR"/>
        </w:rPr>
        <w:tab/>
      </w:r>
      <w:r>
        <w:rPr>
          <w:rFonts w:hint="eastAsia"/>
          <w:spacing w:val="0"/>
          <w:sz w:val="21"/>
          <w:lang w:val="fr-FR"/>
        </w:rPr>
        <w:tab/>
      </w:r>
      <w:r>
        <w:rPr>
          <w:spacing w:val="0"/>
          <w:sz w:val="21"/>
          <w:lang w:val="fr-FR"/>
        </w:rPr>
        <w:t>E</w:t>
      </w:r>
      <w:r>
        <w:rPr>
          <w:rFonts w:hint="eastAsia"/>
          <w:spacing w:val="0"/>
          <w:sz w:val="21"/>
          <w:lang w:val="fr-FR"/>
        </w:rPr>
        <w:t>.</w:t>
      </w:r>
      <w:r>
        <w:rPr>
          <w:rFonts w:hint="eastAsia"/>
          <w:spacing w:val="0"/>
          <w:sz w:val="21"/>
          <w:lang w:val="fr-FR"/>
        </w:rPr>
        <w:tab/>
      </w:r>
      <w:r>
        <w:rPr>
          <w:rFonts w:hint="eastAsia"/>
          <w:spacing w:val="0"/>
          <w:sz w:val="21"/>
          <w:lang w:val="fr-FR"/>
        </w:rPr>
        <w:t>国家提供的发展援助</w:t>
      </w:r>
      <w:r>
        <w:rPr>
          <w:spacing w:val="0"/>
          <w:sz w:val="21"/>
          <w:lang w:val="fr-FR"/>
        </w:rPr>
        <w:tab/>
      </w:r>
      <w:r>
        <w:rPr>
          <w:spacing w:val="0"/>
          <w:sz w:val="21"/>
          <w:lang w:val="fr-FR"/>
        </w:rPr>
        <w:tab/>
        <w:t>94-96</w:t>
      </w:r>
      <w:r>
        <w:rPr>
          <w:spacing w:val="0"/>
          <w:sz w:val="21"/>
          <w:lang w:val="fr-FR"/>
        </w:rPr>
        <w:tab/>
      </w:r>
      <w:r>
        <w:rPr>
          <w:rFonts w:hint="eastAsia"/>
          <w:spacing w:val="0"/>
          <w:sz w:val="21"/>
          <w:lang w:val="fr-FR"/>
        </w:rPr>
        <w:t>24</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565" w:right="4252" w:hanging="1565"/>
        <w:rPr>
          <w:rFonts w:hint="eastAsia"/>
          <w:spacing w:val="0"/>
          <w:sz w:val="21"/>
          <w:lang w:val="fr-FR"/>
        </w:rPr>
      </w:pPr>
      <w:r>
        <w:rPr>
          <w:rFonts w:hint="eastAsia"/>
          <w:spacing w:val="0"/>
          <w:sz w:val="21"/>
          <w:lang w:val="fr-FR"/>
        </w:rPr>
        <w:tab/>
      </w:r>
      <w:r>
        <w:rPr>
          <w:rFonts w:hint="eastAsia"/>
          <w:spacing w:val="0"/>
          <w:sz w:val="21"/>
          <w:lang w:val="fr-FR"/>
        </w:rPr>
        <w:tab/>
      </w:r>
      <w:r>
        <w:rPr>
          <w:spacing w:val="0"/>
          <w:sz w:val="21"/>
          <w:lang w:val="fr-FR"/>
        </w:rPr>
        <w:t>F</w:t>
      </w:r>
      <w:r>
        <w:rPr>
          <w:rFonts w:hint="eastAsia"/>
          <w:spacing w:val="0"/>
          <w:sz w:val="21"/>
          <w:lang w:val="fr-FR"/>
        </w:rPr>
        <w:t>.</w:t>
      </w:r>
      <w:r>
        <w:rPr>
          <w:rFonts w:hint="eastAsia"/>
          <w:spacing w:val="0"/>
          <w:sz w:val="21"/>
          <w:lang w:val="fr-FR"/>
        </w:rPr>
        <w:tab/>
      </w:r>
      <w:r>
        <w:rPr>
          <w:rFonts w:hint="eastAsia"/>
          <w:spacing w:val="0"/>
          <w:sz w:val="21"/>
          <w:lang w:val="fr-FR"/>
        </w:rPr>
        <w:t>国家一级的报告程序</w:t>
      </w:r>
      <w:r>
        <w:rPr>
          <w:spacing w:val="0"/>
          <w:sz w:val="21"/>
          <w:lang w:val="fr-FR"/>
        </w:rPr>
        <w:tab/>
      </w:r>
      <w:r>
        <w:rPr>
          <w:spacing w:val="0"/>
          <w:sz w:val="21"/>
          <w:lang w:val="fr-FR"/>
        </w:rPr>
        <w:tab/>
        <w:t>97-99</w:t>
      </w:r>
      <w:r>
        <w:rPr>
          <w:spacing w:val="0"/>
          <w:sz w:val="21"/>
          <w:lang w:val="fr-FR"/>
        </w:rPr>
        <w:tab/>
      </w:r>
      <w:r>
        <w:rPr>
          <w:rFonts w:hint="eastAsia"/>
          <w:spacing w:val="0"/>
          <w:sz w:val="21"/>
          <w:lang w:val="fr-FR"/>
        </w:rPr>
        <w:t>25</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134" w:right="3138" w:hanging="1134"/>
        <w:rPr>
          <w:rFonts w:hint="eastAsia"/>
          <w:spacing w:val="0"/>
          <w:sz w:val="21"/>
          <w:lang w:val="fr-CH"/>
        </w:rPr>
      </w:pPr>
      <w:r>
        <w:rPr>
          <w:rFonts w:hint="eastAsia"/>
          <w:spacing w:val="0"/>
          <w:sz w:val="21"/>
          <w:lang w:val="fr-FR"/>
        </w:rPr>
        <w:tab/>
      </w:r>
      <w:r>
        <w:rPr>
          <w:rFonts w:hint="eastAsia"/>
          <w:spacing w:val="0"/>
          <w:sz w:val="21"/>
          <w:lang w:val="fr-CH"/>
        </w:rPr>
        <w:t>三</w:t>
      </w:r>
      <w:r>
        <w:rPr>
          <w:rFonts w:hint="eastAsia"/>
          <w:spacing w:val="0"/>
          <w:sz w:val="21"/>
          <w:lang w:val="fr-FR"/>
        </w:rPr>
        <w:t>.</w:t>
      </w:r>
      <w:r>
        <w:rPr>
          <w:rFonts w:hint="eastAsia"/>
          <w:spacing w:val="0"/>
          <w:sz w:val="21"/>
          <w:lang w:val="fr-FR"/>
        </w:rPr>
        <w:tab/>
      </w:r>
      <w:r>
        <w:rPr>
          <w:rFonts w:hint="eastAsia"/>
          <w:spacing w:val="0"/>
          <w:sz w:val="21"/>
          <w:lang w:val="fr-CH"/>
        </w:rPr>
        <w:t>关于《公约》条款的信息和对各条款的实质性讨论</w:t>
      </w:r>
      <w:r w:rsidR="00781B78">
        <w:rPr>
          <w:spacing w:val="0"/>
          <w:sz w:val="21"/>
          <w:lang w:val="fr-CH"/>
        </w:rPr>
        <w:tab/>
      </w:r>
      <w:r w:rsidR="00781B78">
        <w:rPr>
          <w:spacing w:val="0"/>
          <w:sz w:val="21"/>
          <w:lang w:val="fr-CH"/>
        </w:rPr>
        <w:tab/>
        <w:t>100</w:t>
      </w:r>
      <w:r>
        <w:rPr>
          <w:spacing w:val="0"/>
          <w:sz w:val="21"/>
          <w:lang w:val="fr-CH"/>
        </w:rPr>
        <w:t>-457</w:t>
      </w:r>
      <w:r>
        <w:rPr>
          <w:spacing w:val="0"/>
          <w:sz w:val="21"/>
          <w:lang w:val="fr-CH"/>
        </w:rPr>
        <w:tab/>
      </w:r>
      <w:r>
        <w:rPr>
          <w:rFonts w:hint="eastAsia"/>
          <w:spacing w:val="0"/>
          <w:sz w:val="21"/>
          <w:lang w:val="fr-CH"/>
        </w:rPr>
        <w:t>26</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rFonts w:hint="eastAsia"/>
          <w:spacing w:val="0"/>
          <w:sz w:val="21"/>
          <w:lang w:val="fr-FR"/>
        </w:rPr>
        <w:tab/>
      </w:r>
      <w:r>
        <w:rPr>
          <w:rFonts w:hint="eastAsia"/>
          <w:spacing w:val="0"/>
          <w:sz w:val="21"/>
          <w:lang w:val="fr-FR"/>
        </w:rPr>
        <w:t>第</w:t>
      </w:r>
      <w:r>
        <w:rPr>
          <w:spacing w:val="0"/>
          <w:sz w:val="21"/>
          <w:lang w:val="fr-FR"/>
        </w:rPr>
        <w:t xml:space="preserve"> </w:t>
      </w:r>
      <w:r>
        <w:rPr>
          <w:rFonts w:hint="eastAsia"/>
          <w:spacing w:val="0"/>
          <w:sz w:val="21"/>
          <w:lang w:val="fr-FR"/>
        </w:rPr>
        <w:t>一</w:t>
      </w:r>
      <w:r>
        <w:rPr>
          <w:spacing w:val="0"/>
          <w:sz w:val="21"/>
          <w:lang w:val="fr-FR"/>
        </w:rPr>
        <w:t xml:space="preserve"> </w:t>
      </w:r>
      <w:r>
        <w:rPr>
          <w:rFonts w:hint="eastAsia"/>
          <w:spacing w:val="0"/>
          <w:sz w:val="21"/>
          <w:lang w:val="fr-FR"/>
        </w:rPr>
        <w:t>条</w:t>
      </w:r>
      <w:r>
        <w:rPr>
          <w:spacing w:val="0"/>
          <w:sz w:val="21"/>
          <w:lang w:val="fr-FR"/>
        </w:rPr>
        <w:tab/>
      </w:r>
      <w:r>
        <w:rPr>
          <w:rFonts w:hint="eastAsia"/>
          <w:spacing w:val="0"/>
          <w:sz w:val="21"/>
          <w:lang w:val="fr-FR"/>
        </w:rPr>
        <w:t>对妇女的歧视</w:t>
      </w:r>
      <w:r>
        <w:rPr>
          <w:spacing w:val="0"/>
          <w:sz w:val="21"/>
          <w:lang w:val="fr-FR"/>
        </w:rPr>
        <w:tab/>
      </w:r>
      <w:r>
        <w:rPr>
          <w:spacing w:val="0"/>
          <w:sz w:val="21"/>
          <w:lang w:val="fr-FR"/>
        </w:rPr>
        <w:tab/>
        <w:t>101-106</w:t>
      </w:r>
      <w:r>
        <w:rPr>
          <w:spacing w:val="0"/>
          <w:sz w:val="21"/>
          <w:lang w:val="fr-FR"/>
        </w:rPr>
        <w:tab/>
      </w:r>
      <w:r>
        <w:rPr>
          <w:rFonts w:hint="eastAsia"/>
          <w:spacing w:val="0"/>
          <w:sz w:val="21"/>
          <w:lang w:val="fr-FR"/>
        </w:rPr>
        <w:t>26</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w:t>
      </w:r>
      <w:r>
        <w:rPr>
          <w:spacing w:val="0"/>
          <w:sz w:val="21"/>
          <w:lang w:val="fr-FR"/>
        </w:rPr>
        <w:t xml:space="preserve"> </w:t>
      </w:r>
      <w:r>
        <w:rPr>
          <w:rFonts w:hint="eastAsia"/>
          <w:spacing w:val="0"/>
          <w:sz w:val="21"/>
          <w:lang w:val="fr-FR"/>
        </w:rPr>
        <w:t>二</w:t>
      </w:r>
      <w:r>
        <w:rPr>
          <w:spacing w:val="0"/>
          <w:sz w:val="21"/>
          <w:lang w:val="fr-FR"/>
        </w:rPr>
        <w:t xml:space="preserve"> </w:t>
      </w:r>
      <w:r>
        <w:rPr>
          <w:rFonts w:hint="eastAsia"/>
          <w:spacing w:val="0"/>
          <w:sz w:val="21"/>
          <w:lang w:val="fr-FR"/>
        </w:rPr>
        <w:t>条</w:t>
      </w:r>
      <w:r>
        <w:rPr>
          <w:spacing w:val="0"/>
          <w:sz w:val="21"/>
          <w:lang w:val="fr-FR"/>
        </w:rPr>
        <w:tab/>
      </w:r>
      <w:r>
        <w:rPr>
          <w:rFonts w:hint="eastAsia"/>
          <w:spacing w:val="0"/>
          <w:sz w:val="21"/>
          <w:lang w:val="fr-FR"/>
        </w:rPr>
        <w:t>缔约国对消除歧视的承诺</w:t>
      </w:r>
      <w:r>
        <w:rPr>
          <w:spacing w:val="0"/>
          <w:sz w:val="21"/>
          <w:lang w:val="fr-FR"/>
        </w:rPr>
        <w:tab/>
      </w:r>
      <w:r>
        <w:rPr>
          <w:spacing w:val="0"/>
          <w:sz w:val="21"/>
          <w:lang w:val="fr-FR"/>
        </w:rPr>
        <w:tab/>
        <w:t>107-118</w:t>
      </w:r>
      <w:r>
        <w:rPr>
          <w:spacing w:val="0"/>
          <w:sz w:val="21"/>
          <w:lang w:val="fr-FR"/>
        </w:rPr>
        <w:tab/>
      </w:r>
      <w:r>
        <w:rPr>
          <w:rFonts w:hint="eastAsia"/>
          <w:spacing w:val="0"/>
          <w:sz w:val="21"/>
          <w:lang w:val="fr-FR"/>
        </w:rPr>
        <w:t>28</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w:t>
      </w:r>
      <w:r>
        <w:rPr>
          <w:spacing w:val="0"/>
          <w:sz w:val="21"/>
          <w:lang w:val="fr-FR"/>
        </w:rPr>
        <w:t xml:space="preserve"> </w:t>
      </w:r>
      <w:r>
        <w:rPr>
          <w:rFonts w:hint="eastAsia"/>
          <w:spacing w:val="0"/>
          <w:sz w:val="21"/>
          <w:lang w:val="fr-FR"/>
        </w:rPr>
        <w:t>三</w:t>
      </w:r>
      <w:r>
        <w:rPr>
          <w:spacing w:val="0"/>
          <w:sz w:val="21"/>
          <w:lang w:val="fr-FR"/>
        </w:rPr>
        <w:t xml:space="preserve"> </w:t>
      </w:r>
      <w:r>
        <w:rPr>
          <w:rFonts w:hint="eastAsia"/>
          <w:spacing w:val="0"/>
          <w:sz w:val="21"/>
          <w:lang w:val="fr-FR"/>
        </w:rPr>
        <w:t>条</w:t>
      </w:r>
      <w:r>
        <w:rPr>
          <w:spacing w:val="0"/>
          <w:sz w:val="21"/>
          <w:lang w:val="fr-FR"/>
        </w:rPr>
        <w:tab/>
      </w:r>
      <w:r>
        <w:rPr>
          <w:rFonts w:hint="eastAsia"/>
          <w:spacing w:val="0"/>
          <w:sz w:val="21"/>
          <w:lang w:val="fr-FR"/>
        </w:rPr>
        <w:t>基本权利和自由</w:t>
      </w:r>
      <w:r>
        <w:rPr>
          <w:rFonts w:hint="eastAsia"/>
          <w:spacing w:val="0"/>
          <w:sz w:val="21"/>
          <w:lang w:val="fr-FR"/>
        </w:rPr>
        <w:t>(</w:t>
      </w:r>
      <w:r>
        <w:rPr>
          <w:rFonts w:hint="eastAsia"/>
          <w:spacing w:val="0"/>
          <w:sz w:val="21"/>
          <w:lang w:val="fr-FR"/>
        </w:rPr>
        <w:t>妇女的发展和妇女地位的提高</w:t>
      </w:r>
      <w:r>
        <w:rPr>
          <w:rFonts w:hint="eastAsia"/>
          <w:spacing w:val="0"/>
          <w:sz w:val="21"/>
          <w:lang w:val="fr-FR"/>
        </w:rPr>
        <w:t>)</w:t>
      </w:r>
      <w:r>
        <w:rPr>
          <w:spacing w:val="0"/>
          <w:sz w:val="21"/>
          <w:lang w:val="fr-FR"/>
        </w:rPr>
        <w:tab/>
      </w:r>
      <w:r>
        <w:rPr>
          <w:spacing w:val="0"/>
          <w:sz w:val="21"/>
          <w:lang w:val="fr-FR"/>
        </w:rPr>
        <w:tab/>
        <w:t>119-136</w:t>
      </w:r>
      <w:r>
        <w:rPr>
          <w:spacing w:val="0"/>
          <w:sz w:val="21"/>
          <w:lang w:val="fr-FR"/>
        </w:rPr>
        <w:tab/>
      </w:r>
      <w:r>
        <w:rPr>
          <w:rFonts w:hint="eastAsia"/>
          <w:spacing w:val="0"/>
          <w:sz w:val="21"/>
          <w:lang w:val="fr-FR"/>
        </w:rPr>
        <w:t>30</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w:t>
      </w:r>
      <w:r>
        <w:rPr>
          <w:spacing w:val="0"/>
          <w:sz w:val="21"/>
          <w:lang w:val="fr-FR"/>
        </w:rPr>
        <w:t xml:space="preserve"> </w:t>
      </w:r>
      <w:r>
        <w:rPr>
          <w:rFonts w:hint="eastAsia"/>
          <w:spacing w:val="0"/>
          <w:sz w:val="21"/>
          <w:lang w:val="fr-FR"/>
        </w:rPr>
        <w:t>四</w:t>
      </w:r>
      <w:r>
        <w:rPr>
          <w:spacing w:val="0"/>
          <w:sz w:val="21"/>
          <w:lang w:val="fr-FR"/>
        </w:rPr>
        <w:t xml:space="preserve"> </w:t>
      </w:r>
      <w:r>
        <w:rPr>
          <w:rFonts w:hint="eastAsia"/>
          <w:spacing w:val="0"/>
          <w:sz w:val="21"/>
          <w:lang w:val="fr-FR"/>
        </w:rPr>
        <w:t>条</w:t>
      </w:r>
      <w:r>
        <w:rPr>
          <w:spacing w:val="0"/>
          <w:sz w:val="21"/>
          <w:lang w:val="fr-FR"/>
        </w:rPr>
        <w:tab/>
      </w:r>
      <w:r>
        <w:rPr>
          <w:rFonts w:hint="eastAsia"/>
          <w:spacing w:val="0"/>
          <w:sz w:val="21"/>
          <w:lang w:val="fr-FR"/>
        </w:rPr>
        <w:t>特别措施</w:t>
      </w:r>
      <w:r>
        <w:rPr>
          <w:spacing w:val="0"/>
          <w:sz w:val="21"/>
          <w:lang w:val="fr-FR"/>
        </w:rPr>
        <w:tab/>
      </w:r>
      <w:r>
        <w:rPr>
          <w:spacing w:val="0"/>
          <w:sz w:val="21"/>
          <w:lang w:val="fr-FR"/>
        </w:rPr>
        <w:tab/>
        <w:t>137-141</w:t>
      </w:r>
      <w:r>
        <w:rPr>
          <w:spacing w:val="0"/>
          <w:sz w:val="21"/>
          <w:lang w:val="fr-FR"/>
        </w:rPr>
        <w:tab/>
      </w:r>
      <w:r>
        <w:rPr>
          <w:rFonts w:hint="eastAsia"/>
          <w:spacing w:val="0"/>
          <w:sz w:val="21"/>
          <w:lang w:val="fr-FR"/>
        </w:rPr>
        <w:t>33</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w:t>
      </w:r>
      <w:r>
        <w:rPr>
          <w:spacing w:val="0"/>
          <w:sz w:val="21"/>
          <w:lang w:val="fr-FR"/>
        </w:rPr>
        <w:t xml:space="preserve"> </w:t>
      </w:r>
      <w:r>
        <w:rPr>
          <w:rFonts w:hint="eastAsia"/>
          <w:spacing w:val="0"/>
          <w:sz w:val="21"/>
          <w:lang w:val="fr-FR"/>
        </w:rPr>
        <w:t>五</w:t>
      </w:r>
      <w:r>
        <w:rPr>
          <w:spacing w:val="0"/>
          <w:sz w:val="21"/>
          <w:lang w:val="fr-FR"/>
        </w:rPr>
        <w:t xml:space="preserve"> </w:t>
      </w:r>
      <w:r>
        <w:rPr>
          <w:rFonts w:hint="eastAsia"/>
          <w:spacing w:val="0"/>
          <w:sz w:val="21"/>
          <w:lang w:val="fr-FR"/>
        </w:rPr>
        <w:t>条</w:t>
      </w:r>
      <w:r>
        <w:rPr>
          <w:spacing w:val="0"/>
          <w:sz w:val="21"/>
          <w:lang w:val="fr-FR"/>
        </w:rPr>
        <w:tab/>
      </w:r>
      <w:r>
        <w:rPr>
          <w:rFonts w:hint="eastAsia"/>
          <w:spacing w:val="0"/>
          <w:sz w:val="21"/>
          <w:lang w:val="fr-FR"/>
        </w:rPr>
        <w:t>社会模式</w:t>
      </w:r>
      <w:r>
        <w:rPr>
          <w:rFonts w:hint="eastAsia"/>
          <w:spacing w:val="0"/>
          <w:sz w:val="21"/>
          <w:lang w:val="fr-FR"/>
        </w:rPr>
        <w:t>(</w:t>
      </w:r>
      <w:r>
        <w:rPr>
          <w:rFonts w:hint="eastAsia"/>
          <w:spacing w:val="0"/>
          <w:sz w:val="21"/>
          <w:lang w:val="fr-FR"/>
        </w:rPr>
        <w:t>基于个人性别的定型角色</w:t>
      </w:r>
      <w:r>
        <w:rPr>
          <w:rFonts w:hint="eastAsia"/>
          <w:spacing w:val="0"/>
          <w:sz w:val="21"/>
          <w:lang w:val="fr-FR"/>
        </w:rPr>
        <w:t>)</w:t>
      </w:r>
      <w:r>
        <w:rPr>
          <w:rFonts w:hint="eastAsia"/>
          <w:spacing w:val="0"/>
          <w:sz w:val="21"/>
          <w:lang w:val="fr-FR"/>
        </w:rPr>
        <w:tab/>
      </w:r>
      <w:r>
        <w:rPr>
          <w:rFonts w:hint="eastAsia"/>
          <w:spacing w:val="0"/>
          <w:sz w:val="21"/>
          <w:lang w:val="fr-FR"/>
        </w:rPr>
        <w:tab/>
      </w:r>
      <w:r>
        <w:rPr>
          <w:spacing w:val="0"/>
          <w:sz w:val="21"/>
          <w:lang w:val="fr-FR"/>
        </w:rPr>
        <w:t>142</w:t>
      </w:r>
      <w:r>
        <w:rPr>
          <w:rFonts w:hint="eastAsia"/>
          <w:spacing w:val="0"/>
          <w:sz w:val="21"/>
          <w:lang w:val="fr-FR"/>
        </w:rPr>
        <w:t>-</w:t>
      </w:r>
      <w:r>
        <w:rPr>
          <w:spacing w:val="0"/>
          <w:sz w:val="21"/>
          <w:lang w:val="fr-FR"/>
        </w:rPr>
        <w:t>160</w:t>
      </w:r>
      <w:r>
        <w:rPr>
          <w:rFonts w:hint="eastAsia"/>
          <w:spacing w:val="0"/>
          <w:sz w:val="21"/>
          <w:lang w:val="fr-FR"/>
        </w:rPr>
        <w:tab/>
        <w:t>35</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w:t>
      </w:r>
      <w:r>
        <w:rPr>
          <w:spacing w:val="0"/>
          <w:sz w:val="21"/>
          <w:lang w:val="fr-FR"/>
        </w:rPr>
        <w:t xml:space="preserve"> </w:t>
      </w:r>
      <w:r>
        <w:rPr>
          <w:rFonts w:hint="eastAsia"/>
          <w:spacing w:val="0"/>
          <w:sz w:val="21"/>
          <w:lang w:val="fr-FR"/>
        </w:rPr>
        <w:t>六</w:t>
      </w:r>
      <w:r>
        <w:rPr>
          <w:spacing w:val="0"/>
          <w:sz w:val="21"/>
          <w:lang w:val="fr-FR"/>
        </w:rPr>
        <w:t xml:space="preserve"> </w:t>
      </w:r>
      <w:r>
        <w:rPr>
          <w:rFonts w:hint="eastAsia"/>
          <w:spacing w:val="0"/>
          <w:sz w:val="21"/>
          <w:lang w:val="fr-FR"/>
        </w:rPr>
        <w:t>条</w:t>
      </w:r>
      <w:r>
        <w:rPr>
          <w:spacing w:val="0"/>
          <w:sz w:val="21"/>
          <w:lang w:val="fr-FR"/>
        </w:rPr>
        <w:tab/>
      </w:r>
      <w:r>
        <w:rPr>
          <w:rFonts w:hint="eastAsia"/>
          <w:spacing w:val="0"/>
          <w:sz w:val="21"/>
          <w:lang w:val="fr-FR"/>
        </w:rPr>
        <w:t>贩运妇女</w:t>
      </w:r>
      <w:r>
        <w:rPr>
          <w:spacing w:val="0"/>
          <w:sz w:val="21"/>
          <w:lang w:val="fr-FR"/>
        </w:rPr>
        <w:tab/>
      </w:r>
      <w:r>
        <w:rPr>
          <w:spacing w:val="0"/>
          <w:sz w:val="21"/>
          <w:lang w:val="fr-FR"/>
        </w:rPr>
        <w:tab/>
        <w:t>161-176</w:t>
      </w:r>
      <w:r>
        <w:rPr>
          <w:spacing w:val="0"/>
          <w:sz w:val="21"/>
          <w:lang w:val="fr-FR"/>
        </w:rPr>
        <w:tab/>
      </w:r>
      <w:r>
        <w:rPr>
          <w:rFonts w:hint="eastAsia"/>
          <w:spacing w:val="0"/>
          <w:sz w:val="21"/>
          <w:lang w:val="fr-FR"/>
        </w:rPr>
        <w:t>38</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w:t>
      </w:r>
      <w:r>
        <w:rPr>
          <w:spacing w:val="0"/>
          <w:sz w:val="21"/>
          <w:lang w:val="fr-FR"/>
        </w:rPr>
        <w:t xml:space="preserve"> </w:t>
      </w:r>
      <w:r>
        <w:rPr>
          <w:rFonts w:hint="eastAsia"/>
          <w:spacing w:val="0"/>
          <w:sz w:val="21"/>
          <w:lang w:val="fr-FR"/>
        </w:rPr>
        <w:t>七</w:t>
      </w:r>
      <w:r>
        <w:rPr>
          <w:spacing w:val="0"/>
          <w:sz w:val="21"/>
          <w:lang w:val="fr-FR"/>
        </w:rPr>
        <w:t xml:space="preserve"> </w:t>
      </w:r>
      <w:r>
        <w:rPr>
          <w:rFonts w:hint="eastAsia"/>
          <w:spacing w:val="0"/>
          <w:sz w:val="21"/>
          <w:lang w:val="fr-FR"/>
        </w:rPr>
        <w:t>条</w:t>
      </w:r>
      <w:r>
        <w:rPr>
          <w:spacing w:val="0"/>
          <w:sz w:val="21"/>
          <w:lang w:val="fr-FR"/>
        </w:rPr>
        <w:tab/>
      </w:r>
      <w:r>
        <w:rPr>
          <w:rFonts w:hint="eastAsia"/>
          <w:spacing w:val="0"/>
          <w:sz w:val="21"/>
          <w:lang w:val="fr-FR"/>
        </w:rPr>
        <w:t>政治生活</w:t>
      </w:r>
      <w:r>
        <w:rPr>
          <w:spacing w:val="0"/>
          <w:sz w:val="21"/>
          <w:lang w:val="fr-FR"/>
        </w:rPr>
        <w:tab/>
      </w:r>
      <w:r>
        <w:rPr>
          <w:spacing w:val="0"/>
          <w:sz w:val="21"/>
          <w:lang w:val="fr-FR"/>
        </w:rPr>
        <w:tab/>
        <w:t>177-193</w:t>
      </w:r>
      <w:r>
        <w:rPr>
          <w:spacing w:val="0"/>
          <w:sz w:val="21"/>
          <w:lang w:val="fr-FR"/>
        </w:rPr>
        <w:tab/>
      </w:r>
      <w:r>
        <w:rPr>
          <w:rFonts w:hint="eastAsia"/>
          <w:spacing w:val="0"/>
          <w:sz w:val="21"/>
          <w:lang w:val="fr-FR"/>
        </w:rPr>
        <w:t>42</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w:t>
      </w:r>
      <w:r>
        <w:rPr>
          <w:spacing w:val="0"/>
          <w:sz w:val="21"/>
          <w:lang w:val="fr-FR"/>
        </w:rPr>
        <w:t xml:space="preserve"> </w:t>
      </w:r>
      <w:r>
        <w:rPr>
          <w:rFonts w:hint="eastAsia"/>
          <w:spacing w:val="0"/>
          <w:sz w:val="21"/>
          <w:lang w:val="fr-FR"/>
        </w:rPr>
        <w:t>八</w:t>
      </w:r>
      <w:r>
        <w:rPr>
          <w:spacing w:val="0"/>
          <w:sz w:val="21"/>
          <w:lang w:val="fr-FR"/>
        </w:rPr>
        <w:t xml:space="preserve"> </w:t>
      </w:r>
      <w:r>
        <w:rPr>
          <w:rFonts w:hint="eastAsia"/>
          <w:spacing w:val="0"/>
          <w:sz w:val="21"/>
          <w:lang w:val="fr-FR"/>
        </w:rPr>
        <w:t>条</w:t>
      </w:r>
      <w:r>
        <w:rPr>
          <w:spacing w:val="0"/>
          <w:sz w:val="21"/>
          <w:lang w:val="fr-FR"/>
        </w:rPr>
        <w:tab/>
      </w:r>
      <w:r>
        <w:rPr>
          <w:rFonts w:hint="eastAsia"/>
          <w:spacing w:val="0"/>
          <w:sz w:val="21"/>
          <w:lang w:val="fr-FR"/>
        </w:rPr>
        <w:t>国际代表情况</w:t>
      </w:r>
      <w:r>
        <w:rPr>
          <w:spacing w:val="0"/>
          <w:sz w:val="21"/>
          <w:lang w:val="fr-FR"/>
        </w:rPr>
        <w:tab/>
      </w:r>
      <w:r>
        <w:rPr>
          <w:spacing w:val="0"/>
          <w:sz w:val="21"/>
          <w:lang w:val="fr-FR"/>
        </w:rPr>
        <w:tab/>
        <w:t>194-206</w:t>
      </w:r>
      <w:r>
        <w:rPr>
          <w:spacing w:val="0"/>
          <w:sz w:val="21"/>
          <w:lang w:val="fr-FR"/>
        </w:rPr>
        <w:tab/>
      </w:r>
      <w:r>
        <w:rPr>
          <w:rFonts w:hint="eastAsia"/>
          <w:spacing w:val="0"/>
          <w:sz w:val="21"/>
          <w:lang w:val="fr-FR"/>
        </w:rPr>
        <w:t>44</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w:t>
      </w:r>
      <w:r>
        <w:rPr>
          <w:spacing w:val="0"/>
          <w:sz w:val="21"/>
          <w:lang w:val="fr-FR"/>
        </w:rPr>
        <w:t xml:space="preserve"> </w:t>
      </w:r>
      <w:r>
        <w:rPr>
          <w:rFonts w:hint="eastAsia"/>
          <w:spacing w:val="0"/>
          <w:sz w:val="21"/>
          <w:lang w:val="fr-FR"/>
        </w:rPr>
        <w:t>九</w:t>
      </w:r>
      <w:r>
        <w:rPr>
          <w:spacing w:val="0"/>
          <w:sz w:val="21"/>
          <w:lang w:val="fr-FR"/>
        </w:rPr>
        <w:t xml:space="preserve"> </w:t>
      </w:r>
      <w:r>
        <w:rPr>
          <w:rFonts w:hint="eastAsia"/>
          <w:spacing w:val="0"/>
          <w:sz w:val="21"/>
          <w:lang w:val="fr-FR"/>
        </w:rPr>
        <w:t>条</w:t>
      </w:r>
      <w:r>
        <w:rPr>
          <w:spacing w:val="0"/>
          <w:sz w:val="21"/>
          <w:lang w:val="fr-FR"/>
        </w:rPr>
        <w:tab/>
      </w:r>
      <w:r>
        <w:rPr>
          <w:rFonts w:hint="eastAsia"/>
          <w:spacing w:val="0"/>
          <w:sz w:val="21"/>
          <w:lang w:val="fr-FR"/>
        </w:rPr>
        <w:t>国籍</w:t>
      </w:r>
      <w:r>
        <w:rPr>
          <w:spacing w:val="0"/>
          <w:sz w:val="21"/>
          <w:lang w:val="fr-FR"/>
        </w:rPr>
        <w:tab/>
      </w:r>
      <w:r>
        <w:rPr>
          <w:spacing w:val="0"/>
          <w:sz w:val="21"/>
          <w:lang w:val="fr-FR"/>
        </w:rPr>
        <w:tab/>
        <w:t>207-213</w:t>
      </w:r>
      <w:r>
        <w:rPr>
          <w:spacing w:val="0"/>
          <w:sz w:val="21"/>
          <w:lang w:val="fr-FR"/>
        </w:rPr>
        <w:tab/>
      </w:r>
      <w:r>
        <w:rPr>
          <w:rFonts w:hint="eastAsia"/>
          <w:spacing w:val="0"/>
          <w:sz w:val="21"/>
          <w:lang w:val="fr-FR"/>
        </w:rPr>
        <w:t>46</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w:t>
      </w:r>
      <w:r>
        <w:rPr>
          <w:spacing w:val="0"/>
          <w:sz w:val="21"/>
          <w:lang w:val="fr-FR"/>
        </w:rPr>
        <w:t xml:space="preserve"> </w:t>
      </w:r>
      <w:r>
        <w:rPr>
          <w:rFonts w:hint="eastAsia"/>
          <w:spacing w:val="0"/>
          <w:sz w:val="21"/>
          <w:lang w:val="fr-FR"/>
        </w:rPr>
        <w:t>十</w:t>
      </w:r>
      <w:r>
        <w:rPr>
          <w:spacing w:val="0"/>
          <w:sz w:val="21"/>
          <w:lang w:val="fr-FR"/>
        </w:rPr>
        <w:t xml:space="preserve"> </w:t>
      </w:r>
      <w:r>
        <w:rPr>
          <w:rFonts w:hint="eastAsia"/>
          <w:spacing w:val="0"/>
          <w:sz w:val="21"/>
          <w:lang w:val="fr-FR"/>
        </w:rPr>
        <w:t>条</w:t>
      </w:r>
      <w:r>
        <w:rPr>
          <w:spacing w:val="0"/>
          <w:sz w:val="21"/>
          <w:lang w:val="fr-FR"/>
        </w:rPr>
        <w:tab/>
      </w:r>
      <w:r>
        <w:rPr>
          <w:rFonts w:hint="eastAsia"/>
          <w:spacing w:val="0"/>
          <w:sz w:val="21"/>
          <w:lang w:val="fr-FR"/>
        </w:rPr>
        <w:t>教育</w:t>
      </w:r>
      <w:r>
        <w:rPr>
          <w:spacing w:val="0"/>
          <w:sz w:val="21"/>
          <w:lang w:val="fr-FR"/>
        </w:rPr>
        <w:tab/>
      </w:r>
      <w:r>
        <w:rPr>
          <w:spacing w:val="0"/>
          <w:sz w:val="21"/>
          <w:lang w:val="fr-FR"/>
        </w:rPr>
        <w:tab/>
        <w:t>214-258</w:t>
      </w:r>
      <w:r>
        <w:rPr>
          <w:spacing w:val="0"/>
          <w:sz w:val="21"/>
          <w:lang w:val="fr-FR"/>
        </w:rPr>
        <w:tab/>
      </w:r>
      <w:r>
        <w:rPr>
          <w:rFonts w:hint="eastAsia"/>
          <w:spacing w:val="0"/>
          <w:sz w:val="21"/>
          <w:lang w:val="fr-FR"/>
        </w:rPr>
        <w:t>48</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第十一条</w:t>
      </w:r>
      <w:r>
        <w:rPr>
          <w:spacing w:val="0"/>
          <w:sz w:val="21"/>
          <w:lang w:val="fr-FR"/>
        </w:rPr>
        <w:tab/>
      </w:r>
      <w:r>
        <w:rPr>
          <w:rFonts w:hint="eastAsia"/>
          <w:spacing w:val="0"/>
          <w:sz w:val="21"/>
          <w:lang w:val="fr-FR"/>
        </w:rPr>
        <w:t>就业</w:t>
      </w:r>
      <w:r>
        <w:rPr>
          <w:spacing w:val="0"/>
          <w:sz w:val="21"/>
          <w:lang w:val="fr-FR"/>
        </w:rPr>
        <w:tab/>
      </w:r>
      <w:r>
        <w:rPr>
          <w:spacing w:val="0"/>
          <w:sz w:val="21"/>
          <w:lang w:val="fr-FR"/>
        </w:rPr>
        <w:tab/>
        <w:t>259-311</w:t>
      </w:r>
      <w:r>
        <w:rPr>
          <w:spacing w:val="0"/>
          <w:sz w:val="21"/>
          <w:lang w:val="fr-FR"/>
        </w:rPr>
        <w:tab/>
      </w:r>
      <w:r>
        <w:rPr>
          <w:rFonts w:hint="eastAsia"/>
          <w:spacing w:val="0"/>
          <w:sz w:val="21"/>
          <w:lang w:val="fr-FR"/>
        </w:rPr>
        <w:t>57</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第十二条</w:t>
      </w:r>
      <w:r>
        <w:rPr>
          <w:spacing w:val="0"/>
          <w:sz w:val="21"/>
          <w:lang w:val="fr-FR"/>
        </w:rPr>
        <w:tab/>
      </w:r>
      <w:r>
        <w:rPr>
          <w:rFonts w:hint="eastAsia"/>
          <w:spacing w:val="0"/>
          <w:sz w:val="21"/>
          <w:lang w:val="fr-FR"/>
        </w:rPr>
        <w:t>卫生</w:t>
      </w:r>
      <w:r>
        <w:rPr>
          <w:spacing w:val="0"/>
          <w:sz w:val="21"/>
          <w:lang w:val="fr-FR"/>
        </w:rPr>
        <w:tab/>
      </w:r>
      <w:r>
        <w:rPr>
          <w:spacing w:val="0"/>
          <w:sz w:val="21"/>
          <w:lang w:val="fr-FR"/>
        </w:rPr>
        <w:tab/>
        <w:t>312-370</w:t>
      </w:r>
      <w:r>
        <w:rPr>
          <w:spacing w:val="0"/>
          <w:sz w:val="21"/>
          <w:lang w:val="fr-FR"/>
        </w:rPr>
        <w:tab/>
      </w:r>
      <w:r>
        <w:rPr>
          <w:rFonts w:hint="eastAsia"/>
          <w:spacing w:val="0"/>
          <w:sz w:val="21"/>
          <w:lang w:val="fr-FR"/>
        </w:rPr>
        <w:t>69</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第十三条</w:t>
      </w:r>
      <w:r>
        <w:rPr>
          <w:spacing w:val="0"/>
          <w:sz w:val="21"/>
          <w:lang w:val="fr-FR"/>
        </w:rPr>
        <w:tab/>
      </w:r>
      <w:r>
        <w:rPr>
          <w:rFonts w:hint="eastAsia"/>
          <w:spacing w:val="0"/>
          <w:sz w:val="21"/>
          <w:lang w:val="fr-FR"/>
        </w:rPr>
        <w:t>经济和社会福利</w:t>
      </w:r>
      <w:r>
        <w:rPr>
          <w:spacing w:val="0"/>
          <w:sz w:val="21"/>
          <w:lang w:val="fr-FR"/>
        </w:rPr>
        <w:tab/>
      </w:r>
      <w:r>
        <w:rPr>
          <w:spacing w:val="0"/>
          <w:sz w:val="21"/>
          <w:lang w:val="fr-FR"/>
        </w:rPr>
        <w:tab/>
        <w:t>371-383</w:t>
      </w:r>
      <w:r>
        <w:rPr>
          <w:spacing w:val="0"/>
          <w:sz w:val="21"/>
          <w:lang w:val="fr-FR"/>
        </w:rPr>
        <w:tab/>
      </w:r>
      <w:r>
        <w:rPr>
          <w:rFonts w:hint="eastAsia"/>
          <w:spacing w:val="0"/>
          <w:sz w:val="21"/>
          <w:lang w:val="fr-FR"/>
        </w:rPr>
        <w:t>81</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第十四条</w:t>
      </w:r>
      <w:r>
        <w:rPr>
          <w:spacing w:val="0"/>
          <w:sz w:val="21"/>
          <w:lang w:val="fr-FR"/>
        </w:rPr>
        <w:tab/>
      </w:r>
      <w:r>
        <w:rPr>
          <w:rFonts w:hint="eastAsia"/>
          <w:spacing w:val="0"/>
          <w:sz w:val="21"/>
          <w:lang w:val="fr-FR"/>
        </w:rPr>
        <w:t>农村妇女</w:t>
      </w:r>
      <w:r>
        <w:rPr>
          <w:spacing w:val="0"/>
          <w:sz w:val="21"/>
          <w:lang w:val="fr-FR"/>
        </w:rPr>
        <w:tab/>
      </w:r>
      <w:r>
        <w:rPr>
          <w:spacing w:val="0"/>
          <w:sz w:val="21"/>
          <w:lang w:val="fr-FR"/>
        </w:rPr>
        <w:tab/>
        <w:t>384-389</w:t>
      </w:r>
      <w:r>
        <w:rPr>
          <w:spacing w:val="0"/>
          <w:sz w:val="21"/>
          <w:lang w:val="fr-FR"/>
        </w:rPr>
        <w:tab/>
      </w:r>
      <w:r>
        <w:rPr>
          <w:rFonts w:hint="eastAsia"/>
          <w:spacing w:val="0"/>
          <w:sz w:val="21"/>
          <w:lang w:val="fr-FR"/>
        </w:rPr>
        <w:t>83</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第十五条</w:t>
      </w:r>
      <w:r>
        <w:rPr>
          <w:spacing w:val="0"/>
          <w:sz w:val="21"/>
          <w:lang w:val="fr-FR"/>
        </w:rPr>
        <w:tab/>
      </w:r>
      <w:r>
        <w:rPr>
          <w:rFonts w:hint="eastAsia"/>
          <w:spacing w:val="0"/>
          <w:sz w:val="21"/>
          <w:lang w:val="fr-FR"/>
        </w:rPr>
        <w:t>公民权利</w:t>
      </w:r>
      <w:r>
        <w:rPr>
          <w:spacing w:val="0"/>
          <w:sz w:val="21"/>
          <w:lang w:val="fr-FR"/>
        </w:rPr>
        <w:tab/>
      </w:r>
      <w:r>
        <w:rPr>
          <w:spacing w:val="0"/>
          <w:sz w:val="21"/>
          <w:lang w:val="fr-FR"/>
        </w:rPr>
        <w:tab/>
        <w:t>390-410</w:t>
      </w:r>
      <w:r>
        <w:rPr>
          <w:spacing w:val="0"/>
          <w:sz w:val="21"/>
          <w:lang w:val="fr-FR"/>
        </w:rPr>
        <w:tab/>
      </w:r>
      <w:r>
        <w:rPr>
          <w:rFonts w:hint="eastAsia"/>
          <w:spacing w:val="0"/>
          <w:sz w:val="21"/>
          <w:lang w:val="fr-FR"/>
        </w:rPr>
        <w:t>85</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21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第十六条</w:t>
      </w:r>
      <w:r>
        <w:rPr>
          <w:spacing w:val="0"/>
          <w:sz w:val="21"/>
          <w:lang w:val="fr-FR"/>
        </w:rPr>
        <w:tab/>
      </w:r>
      <w:r>
        <w:rPr>
          <w:rFonts w:hint="eastAsia"/>
          <w:spacing w:val="0"/>
          <w:sz w:val="21"/>
          <w:lang w:val="fr-FR"/>
        </w:rPr>
        <w:t>婚姻和家庭生活</w:t>
      </w:r>
      <w:r>
        <w:rPr>
          <w:spacing w:val="0"/>
          <w:sz w:val="21"/>
          <w:lang w:val="fr-FR"/>
        </w:rPr>
        <w:tab/>
      </w:r>
      <w:r>
        <w:rPr>
          <w:spacing w:val="0"/>
          <w:sz w:val="21"/>
          <w:lang w:val="fr-FR"/>
        </w:rPr>
        <w:tab/>
        <w:t>411-456</w:t>
      </w:r>
      <w:r>
        <w:rPr>
          <w:spacing w:val="0"/>
          <w:sz w:val="21"/>
          <w:lang w:val="fr-FR"/>
        </w:rPr>
        <w:tab/>
      </w:r>
      <w:r>
        <w:rPr>
          <w:rFonts w:hint="eastAsia"/>
          <w:spacing w:val="0"/>
          <w:sz w:val="21"/>
          <w:lang w:val="fr-FR"/>
        </w:rPr>
        <w:t>89</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left" w:pos="2080"/>
          <w:tab w:val="left" w:pos="2340"/>
          <w:tab w:val="right" w:leader="dot" w:pos="7654"/>
          <w:tab w:val="right" w:pos="8787"/>
          <w:tab w:val="right" w:pos="9553"/>
        </w:tabs>
        <w:spacing w:after="120" w:line="260" w:lineRule="exact"/>
        <w:ind w:left="1134" w:right="2748"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第二十九条</w:t>
      </w:r>
      <w:r>
        <w:rPr>
          <w:spacing w:val="0"/>
          <w:sz w:val="21"/>
          <w:lang w:val="fr-FR"/>
        </w:rPr>
        <w:tab/>
      </w:r>
      <w:r>
        <w:rPr>
          <w:rFonts w:hint="eastAsia"/>
          <w:spacing w:val="0"/>
          <w:sz w:val="21"/>
          <w:lang w:val="fr-FR"/>
        </w:rPr>
        <w:t>关于《公约》第二十九条的解释性声明</w:t>
      </w:r>
      <w:r>
        <w:rPr>
          <w:spacing w:val="0"/>
          <w:sz w:val="21"/>
          <w:lang w:val="fr-FR"/>
        </w:rPr>
        <w:tab/>
      </w:r>
      <w:r>
        <w:rPr>
          <w:spacing w:val="0"/>
          <w:sz w:val="21"/>
          <w:lang w:val="fr-FR"/>
        </w:rPr>
        <w:tab/>
        <w:t>457-458</w:t>
      </w:r>
      <w:r>
        <w:rPr>
          <w:spacing w:val="0"/>
          <w:sz w:val="21"/>
          <w:lang w:val="fr-FR"/>
        </w:rPr>
        <w:tab/>
      </w:r>
      <w:r>
        <w:rPr>
          <w:rFonts w:hint="eastAsia"/>
          <w:spacing w:val="0"/>
          <w:sz w:val="21"/>
          <w:lang w:val="fr-FR"/>
        </w:rPr>
        <w:t>96</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134" w:right="4252" w:hanging="1134"/>
        <w:rPr>
          <w:rFonts w:hint="eastAsia"/>
          <w:spacing w:val="0"/>
          <w:sz w:val="21"/>
          <w:lang w:val="fr-FR"/>
        </w:rPr>
      </w:pPr>
      <w:r>
        <w:rPr>
          <w:rFonts w:hint="eastAsia"/>
          <w:spacing w:val="0"/>
          <w:sz w:val="21"/>
          <w:lang w:val="fr-FR"/>
        </w:rPr>
        <w:tab/>
      </w:r>
      <w:r>
        <w:rPr>
          <w:spacing w:val="0"/>
          <w:sz w:val="21"/>
          <w:lang w:val="fr-FR"/>
        </w:rPr>
        <w:tab/>
      </w:r>
      <w:r>
        <w:rPr>
          <w:rFonts w:hint="eastAsia"/>
          <w:spacing w:val="0"/>
          <w:sz w:val="21"/>
          <w:lang w:val="fr-FR"/>
        </w:rPr>
        <w:t>结论</w:t>
      </w:r>
      <w:r>
        <w:rPr>
          <w:spacing w:val="0"/>
          <w:sz w:val="21"/>
          <w:lang w:val="fr-FR"/>
        </w:rPr>
        <w:t>...</w:t>
      </w:r>
      <w:r>
        <w:rPr>
          <w:spacing w:val="0"/>
          <w:sz w:val="21"/>
          <w:lang w:val="fr-FR"/>
        </w:rPr>
        <w:tab/>
      </w:r>
      <w:r>
        <w:rPr>
          <w:spacing w:val="0"/>
          <w:sz w:val="21"/>
          <w:lang w:val="fr-FR"/>
        </w:rPr>
        <w:tab/>
        <w:t>459-460</w:t>
      </w:r>
      <w:r>
        <w:rPr>
          <w:spacing w:val="0"/>
          <w:sz w:val="21"/>
          <w:lang w:val="fr-FR"/>
        </w:rPr>
        <w:tab/>
      </w:r>
      <w:r>
        <w:rPr>
          <w:rFonts w:hint="eastAsia"/>
          <w:spacing w:val="0"/>
          <w:sz w:val="21"/>
          <w:lang w:val="fr-FR"/>
        </w:rPr>
        <w:t>96</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7654"/>
          <w:tab w:val="right" w:pos="8787"/>
          <w:tab w:val="right" w:pos="9553"/>
        </w:tabs>
        <w:spacing w:after="120" w:line="260" w:lineRule="exact"/>
        <w:ind w:left="1134" w:right="4252" w:hanging="1134"/>
        <w:rPr>
          <w:rFonts w:hint="eastAsia"/>
          <w:spacing w:val="0"/>
          <w:sz w:val="21"/>
          <w:lang w:val="fr-CH"/>
        </w:rPr>
      </w:pPr>
      <w:r>
        <w:rPr>
          <w:rFonts w:hint="eastAsia"/>
          <w:spacing w:val="0"/>
          <w:sz w:val="21"/>
          <w:lang w:val="fr-FR"/>
        </w:rPr>
        <w:t>附件</w:t>
      </w:r>
    </w:p>
    <w:p w:rsidR="007234DD" w:rsidRDefault="007234DD">
      <w:pPr>
        <w:pStyle w:val="a1"/>
        <w:tabs>
          <w:tab w:val="clear" w:pos="510"/>
          <w:tab w:val="clear" w:pos="1021"/>
          <w:tab w:val="clear" w:pos="1531"/>
          <w:tab w:val="clear" w:pos="2041"/>
          <w:tab w:val="clear" w:pos="6804"/>
          <w:tab w:val="clear" w:pos="7371"/>
          <w:tab w:val="clear" w:pos="7541"/>
          <w:tab w:val="clear" w:pos="7711"/>
          <w:tab w:val="clear" w:pos="9185"/>
          <w:tab w:val="right" w:pos="850"/>
          <w:tab w:val="left" w:pos="1134"/>
          <w:tab w:val="left" w:pos="1565"/>
          <w:tab w:val="right" w:leader="dot" w:pos="8710"/>
          <w:tab w:val="right" w:pos="9553"/>
        </w:tabs>
        <w:spacing w:after="120" w:line="260" w:lineRule="exact"/>
        <w:ind w:left="1134" w:right="4252" w:hanging="1134"/>
        <w:rPr>
          <w:rFonts w:hint="eastAsia"/>
          <w:spacing w:val="0"/>
          <w:sz w:val="21"/>
          <w:lang w:val="fr-FR"/>
        </w:rPr>
      </w:pPr>
      <w:r>
        <w:rPr>
          <w:rFonts w:hint="eastAsia"/>
          <w:spacing w:val="0"/>
          <w:sz w:val="21"/>
          <w:lang w:val="fr-CH"/>
        </w:rPr>
        <w:tab/>
      </w:r>
      <w:r>
        <w:rPr>
          <w:spacing w:val="0"/>
          <w:sz w:val="21"/>
          <w:lang w:val="fr-FR"/>
        </w:rPr>
        <w:tab/>
      </w:r>
      <w:r>
        <w:rPr>
          <w:rFonts w:hint="eastAsia"/>
          <w:spacing w:val="0"/>
          <w:sz w:val="21"/>
        </w:rPr>
        <w:t>法律</w:t>
      </w:r>
      <w:r>
        <w:rPr>
          <w:rFonts w:hint="eastAsia"/>
          <w:spacing w:val="0"/>
          <w:sz w:val="21"/>
          <w:lang w:val="fr-FR"/>
        </w:rPr>
        <w:t>、决定和命令</w:t>
      </w:r>
      <w:r>
        <w:rPr>
          <w:spacing w:val="0"/>
          <w:sz w:val="21"/>
          <w:lang w:val="fr-FR"/>
        </w:rPr>
        <w:tab/>
      </w:r>
      <w:r>
        <w:rPr>
          <w:spacing w:val="0"/>
          <w:sz w:val="21"/>
          <w:lang w:val="fr-FR"/>
        </w:rPr>
        <w:tab/>
      </w:r>
      <w:r>
        <w:rPr>
          <w:rFonts w:hint="eastAsia"/>
          <w:spacing w:val="0"/>
          <w:sz w:val="21"/>
          <w:lang w:val="fr-FR"/>
        </w:rPr>
        <w:t>98</w:t>
      </w:r>
    </w:p>
    <w:p w:rsidR="007234DD" w:rsidRDefault="007234DD">
      <w:pPr>
        <w:pStyle w:val="HChGC"/>
        <w:rPr>
          <w:rFonts w:hint="eastAsia"/>
        </w:rPr>
      </w:pPr>
      <w:r>
        <w:rPr>
          <w:rFonts w:eastAsia="KaiTi_GB2312"/>
          <w:sz w:val="23"/>
          <w:szCs w:val="23"/>
          <w:lang w:val="fr-FR"/>
        </w:rPr>
        <w:br w:type="page"/>
      </w:r>
      <w:r>
        <w:tab/>
      </w:r>
      <w:r>
        <w:tab/>
      </w:r>
      <w:r>
        <w:rPr>
          <w:rFonts w:hint="eastAsia"/>
        </w:rPr>
        <w:t>卡塔尔关于《消除对妇女一切形式歧视公约》</w:t>
      </w:r>
      <w:r>
        <w:br/>
      </w:r>
      <w:r>
        <w:rPr>
          <w:rFonts w:hint="eastAsia"/>
        </w:rPr>
        <w:t>执行情况的初次报告</w:t>
      </w:r>
    </w:p>
    <w:p w:rsidR="007234DD" w:rsidRDefault="007234DD">
      <w:pPr>
        <w:pStyle w:val="HChGC"/>
        <w:rPr>
          <w:rFonts w:hint="eastAsia"/>
          <w:lang w:val="fr-FR"/>
        </w:rPr>
      </w:pPr>
      <w:r>
        <w:rPr>
          <w:rFonts w:hint="eastAsia"/>
          <w:lang w:val="fr-FR"/>
        </w:rPr>
        <w:tab/>
      </w:r>
      <w:r>
        <w:rPr>
          <w:rFonts w:hint="eastAsia"/>
          <w:lang w:val="fr-FR"/>
        </w:rPr>
        <w:t>一</w:t>
      </w:r>
      <w:r>
        <w:rPr>
          <w:lang w:val="fr-FR"/>
        </w:rPr>
        <w:t>.</w:t>
      </w:r>
      <w:r>
        <w:rPr>
          <w:lang w:val="fr-FR"/>
        </w:rPr>
        <w:tab/>
      </w:r>
      <w:r>
        <w:rPr>
          <w:rFonts w:hint="eastAsia"/>
          <w:lang w:val="fr-FR"/>
        </w:rPr>
        <w:t>导言</w:t>
      </w:r>
    </w:p>
    <w:p w:rsidR="007234DD" w:rsidRDefault="007234DD">
      <w:pPr>
        <w:pStyle w:val="SingleTxtGC"/>
      </w:pPr>
      <w:r>
        <w:t xml:space="preserve">1.  </w:t>
      </w:r>
      <w:r>
        <w:rPr>
          <w:rFonts w:hint="eastAsia"/>
        </w:rPr>
        <w:t>卡塔尔国相当重视促进性别平等、提高男子和妇女的地位以及旨在确保他们参与国家发展的赋权增能工作。因此，卡塔尔根据其关于所有公民，不论男女，一律平等享有公共权利和承担公共义务的宪法规定，于</w:t>
      </w:r>
      <w:smartTag w:uri="urn:schemas-microsoft-com:office:smarttags" w:element="chsdate">
        <w:smartTagPr>
          <w:attr w:name="Year" w:val="2009"/>
          <w:attr w:name="Month" w:val="3"/>
          <w:attr w:name="Day" w:val="24"/>
          <w:attr w:name="IsLunarDate" w:val="False"/>
          <w:attr w:name="IsROCDate" w:val="False"/>
        </w:smartTagPr>
        <w:r>
          <w:rPr>
            <w:rFonts w:hint="eastAsia"/>
          </w:rPr>
          <w:t>2009</w:t>
        </w:r>
        <w:r>
          <w:rPr>
            <w:rFonts w:hint="eastAsia"/>
          </w:rPr>
          <w:t>年</w:t>
        </w:r>
        <w:r>
          <w:rPr>
            <w:rFonts w:hint="eastAsia"/>
          </w:rPr>
          <w:t>3</w:t>
        </w:r>
        <w:r>
          <w:rPr>
            <w:rFonts w:hint="eastAsia"/>
          </w:rPr>
          <w:t>月</w:t>
        </w:r>
        <w:r>
          <w:rPr>
            <w:rFonts w:hint="eastAsia"/>
          </w:rPr>
          <w:t>24</w:t>
        </w:r>
        <w:r>
          <w:rPr>
            <w:rFonts w:hint="eastAsia"/>
          </w:rPr>
          <w:t>日</w:t>
        </w:r>
      </w:smartTag>
      <w:r>
        <w:rPr>
          <w:rFonts w:hint="eastAsia"/>
        </w:rPr>
        <w:t>加入了《消除对妇女一切形式歧视公约》。《公约》由大会在第</w:t>
      </w:r>
      <w:r>
        <w:rPr>
          <w:rFonts w:hint="eastAsia"/>
        </w:rPr>
        <w:t>34/180</w:t>
      </w:r>
      <w:r>
        <w:rPr>
          <w:rFonts w:hint="eastAsia"/>
        </w:rPr>
        <w:t>号决议中通过，并根据其第二十七条第</w:t>
      </w:r>
      <w:r>
        <w:rPr>
          <w:rFonts w:hint="eastAsia"/>
        </w:rPr>
        <w:t>1</w:t>
      </w:r>
      <w:r>
        <w:rPr>
          <w:rFonts w:hint="eastAsia"/>
        </w:rPr>
        <w:t>款于</w:t>
      </w:r>
      <w:smartTag w:uri="urn:schemas-microsoft-com:office:smarttags" w:element="chsdate">
        <w:smartTagPr>
          <w:attr w:name="Year" w:val="1981"/>
          <w:attr w:name="Month" w:val="9"/>
          <w:attr w:name="Day" w:val="3"/>
          <w:attr w:name="IsLunarDate" w:val="False"/>
          <w:attr w:name="IsROCDate" w:val="False"/>
        </w:smartTagPr>
        <w:r>
          <w:rPr>
            <w:rFonts w:hint="eastAsia"/>
          </w:rPr>
          <w:t>1981</w:t>
        </w:r>
        <w:r>
          <w:rPr>
            <w:rFonts w:hint="eastAsia"/>
          </w:rPr>
          <w:t>年</w:t>
        </w:r>
        <w:r>
          <w:rPr>
            <w:rFonts w:hint="eastAsia"/>
          </w:rPr>
          <w:t>9</w:t>
        </w:r>
        <w:r>
          <w:rPr>
            <w:rFonts w:hint="eastAsia"/>
          </w:rPr>
          <w:t>月</w:t>
        </w:r>
        <w:r>
          <w:rPr>
            <w:rFonts w:hint="eastAsia"/>
          </w:rPr>
          <w:t>3</w:t>
        </w:r>
        <w:r>
          <w:rPr>
            <w:rFonts w:hint="eastAsia"/>
          </w:rPr>
          <w:t>日</w:t>
        </w:r>
      </w:smartTag>
      <w:r>
        <w:rPr>
          <w:rFonts w:hint="eastAsia"/>
        </w:rPr>
        <w:t>生效。卡塔尔通过</w:t>
      </w:r>
      <w:smartTag w:uri="urn:schemas-microsoft-com:office:smarttags" w:element="chsdate">
        <w:smartTagPr>
          <w:attr w:name="Year" w:val="2009"/>
          <w:attr w:name="Month" w:val="6"/>
          <w:attr w:name="Day" w:val="23"/>
          <w:attr w:name="IsLunarDate" w:val="False"/>
          <w:attr w:name="IsROCDate" w:val="False"/>
        </w:smartTagPr>
        <w:r>
          <w:rPr>
            <w:rFonts w:hint="eastAsia"/>
          </w:rPr>
          <w:t>2009</w:t>
        </w:r>
        <w:r>
          <w:rPr>
            <w:rFonts w:hint="eastAsia"/>
          </w:rPr>
          <w:t>年</w:t>
        </w:r>
        <w:r>
          <w:rPr>
            <w:rFonts w:hint="eastAsia"/>
          </w:rPr>
          <w:t>6</w:t>
        </w:r>
        <w:r>
          <w:rPr>
            <w:rFonts w:hint="eastAsia"/>
          </w:rPr>
          <w:t>月</w:t>
        </w:r>
        <w:r>
          <w:rPr>
            <w:rFonts w:hint="eastAsia"/>
          </w:rPr>
          <w:t>23</w:t>
        </w:r>
        <w:r>
          <w:rPr>
            <w:rFonts w:hint="eastAsia"/>
          </w:rPr>
          <w:t>日</w:t>
        </w:r>
      </w:smartTag>
      <w:r>
        <w:rPr>
          <w:rFonts w:hint="eastAsia"/>
        </w:rPr>
        <w:t>发布的</w:t>
      </w:r>
      <w:r>
        <w:rPr>
          <w:rFonts w:hint="eastAsia"/>
        </w:rPr>
        <w:t>2009</w:t>
      </w:r>
      <w:r>
        <w:rPr>
          <w:rFonts w:hint="eastAsia"/>
        </w:rPr>
        <w:t>年第</w:t>
      </w:r>
      <w:r>
        <w:rPr>
          <w:rFonts w:hint="eastAsia"/>
        </w:rPr>
        <w:t>28</w:t>
      </w:r>
      <w:r>
        <w:rPr>
          <w:rFonts w:hint="eastAsia"/>
        </w:rPr>
        <w:t>号令加入《公约》。该法令第</w:t>
      </w:r>
      <w:r>
        <w:rPr>
          <w:rFonts w:hint="eastAsia"/>
        </w:rPr>
        <w:t>1</w:t>
      </w:r>
      <w:r>
        <w:rPr>
          <w:rFonts w:hint="eastAsia"/>
        </w:rPr>
        <w:t>条声明，根据《宪法》第</w:t>
      </w:r>
      <w:r>
        <w:rPr>
          <w:rFonts w:hint="eastAsia"/>
        </w:rPr>
        <w:t>68</w:t>
      </w:r>
      <w:r>
        <w:rPr>
          <w:rFonts w:hint="eastAsia"/>
        </w:rPr>
        <w:t>条，《公约》具有法律效力，但必须适当考虑到加入书中所作保留和声明。</w:t>
      </w:r>
      <w:smartTag w:uri="urn:schemas-microsoft-com:office:smarttags" w:element="chsdate">
        <w:smartTagPr>
          <w:attr w:name="Year" w:val="2009"/>
          <w:attr w:name="Month" w:val="6"/>
          <w:attr w:name="Day" w:val="23"/>
          <w:attr w:name="IsLunarDate" w:val="False"/>
          <w:attr w:name="IsROCDate" w:val="False"/>
        </w:smartTagPr>
        <w:r>
          <w:rPr>
            <w:rFonts w:hint="eastAsia"/>
          </w:rPr>
          <w:t>2009</w:t>
        </w:r>
        <w:r>
          <w:rPr>
            <w:rFonts w:hint="eastAsia"/>
          </w:rPr>
          <w:t>年</w:t>
        </w:r>
        <w:r>
          <w:rPr>
            <w:rFonts w:hint="eastAsia"/>
          </w:rPr>
          <w:t>6</w:t>
        </w:r>
        <w:r>
          <w:rPr>
            <w:rFonts w:hint="eastAsia"/>
          </w:rPr>
          <w:t>月</w:t>
        </w:r>
        <w:r>
          <w:rPr>
            <w:rFonts w:hint="eastAsia"/>
          </w:rPr>
          <w:t>23</w:t>
        </w:r>
        <w:r>
          <w:rPr>
            <w:rFonts w:hint="eastAsia"/>
          </w:rPr>
          <w:t>日</w:t>
        </w:r>
      </w:smartTag>
      <w:r>
        <w:rPr>
          <w:rFonts w:hint="eastAsia"/>
        </w:rPr>
        <w:t>的《官方公报》第</w:t>
      </w:r>
      <w:r>
        <w:rPr>
          <w:rFonts w:hint="eastAsia"/>
        </w:rPr>
        <w:t>8</w:t>
      </w:r>
      <w:r>
        <w:rPr>
          <w:rFonts w:hint="eastAsia"/>
        </w:rPr>
        <w:t>期登载了《公约》。</w:t>
      </w:r>
    </w:p>
    <w:p w:rsidR="007234DD" w:rsidRDefault="007234DD">
      <w:pPr>
        <w:pStyle w:val="SingleTxtG"/>
        <w:spacing w:line="320" w:lineRule="exact"/>
        <w:rPr>
          <w:rFonts w:hint="eastAsia"/>
          <w:sz w:val="21"/>
          <w:lang w:eastAsia="zh-CN"/>
        </w:rPr>
      </w:pPr>
      <w:r>
        <w:rPr>
          <w:sz w:val="21"/>
          <w:lang w:eastAsia="zh-CN"/>
        </w:rPr>
        <w:t>2.</w:t>
      </w:r>
      <w:r>
        <w:rPr>
          <w:sz w:val="21"/>
          <w:lang w:eastAsia="zh-CN"/>
        </w:rPr>
        <w:tab/>
        <w:t xml:space="preserve">  </w:t>
      </w:r>
      <w:r>
        <w:rPr>
          <w:rFonts w:hint="eastAsia"/>
          <w:sz w:val="21"/>
          <w:lang w:eastAsia="zh-CN"/>
        </w:rPr>
        <w:t>在加入《公约》时，卡塔尔对下列条款作出保留：</w:t>
      </w:r>
    </w:p>
    <w:p w:rsidR="007234DD" w:rsidRDefault="007234DD">
      <w:pPr>
        <w:pStyle w:val="Bullet1GC"/>
      </w:pPr>
      <w:r>
        <w:rPr>
          <w:rFonts w:hint="eastAsia"/>
        </w:rPr>
        <w:t>第二条</w:t>
      </w:r>
      <w:r>
        <w:t>(a)</w:t>
      </w:r>
      <w:r>
        <w:rPr>
          <w:rFonts w:hint="eastAsia"/>
        </w:rPr>
        <w:t>款</w:t>
      </w:r>
      <w:r>
        <w:rPr>
          <w:rFonts w:hint="eastAsia"/>
          <w:spacing w:val="-50"/>
        </w:rPr>
        <w:t>―</w:t>
      </w:r>
      <w:r>
        <w:rPr>
          <w:rFonts w:hint="eastAsia"/>
          <w:spacing w:val="10"/>
        </w:rPr>
        <w:t>―</w:t>
      </w:r>
      <w:r>
        <w:rPr>
          <w:rFonts w:hint="eastAsia"/>
        </w:rPr>
        <w:t>涉及权力世袭传承规则，因为它与《宪法》第</w:t>
      </w:r>
      <w:r>
        <w:rPr>
          <w:rFonts w:hint="eastAsia"/>
        </w:rPr>
        <w:t>8</w:t>
      </w:r>
      <w:r>
        <w:rPr>
          <w:rFonts w:hint="eastAsia"/>
        </w:rPr>
        <w:t>条规定相抵触</w:t>
      </w:r>
    </w:p>
    <w:p w:rsidR="007234DD" w:rsidRDefault="007234DD">
      <w:pPr>
        <w:pStyle w:val="Bullet1GC"/>
      </w:pPr>
      <w:r>
        <w:rPr>
          <w:rFonts w:hint="eastAsia"/>
        </w:rPr>
        <w:t>第九条第</w:t>
      </w:r>
      <w:r>
        <w:rPr>
          <w:rFonts w:hint="eastAsia"/>
        </w:rPr>
        <w:t>2</w:t>
      </w:r>
      <w:r>
        <w:rPr>
          <w:rFonts w:hint="eastAsia"/>
        </w:rPr>
        <w:t>款，因为它与卡塔尔公民法相抵触</w:t>
      </w:r>
    </w:p>
    <w:p w:rsidR="007234DD" w:rsidRDefault="007234DD">
      <w:pPr>
        <w:pStyle w:val="Bullet1GC"/>
      </w:pPr>
      <w:r>
        <w:rPr>
          <w:rFonts w:hint="eastAsia"/>
        </w:rPr>
        <w:t>第十五条第</w:t>
      </w:r>
      <w:r>
        <w:rPr>
          <w:rFonts w:hint="eastAsia"/>
        </w:rPr>
        <w:t>1</w:t>
      </w:r>
      <w:r>
        <w:rPr>
          <w:rFonts w:hint="eastAsia"/>
        </w:rPr>
        <w:t>款</w:t>
      </w:r>
      <w:r>
        <w:rPr>
          <w:rFonts w:hint="eastAsia"/>
          <w:spacing w:val="-50"/>
        </w:rPr>
        <w:t>―</w:t>
      </w:r>
      <w:r>
        <w:rPr>
          <w:rFonts w:hint="eastAsia"/>
          <w:spacing w:val="10"/>
        </w:rPr>
        <w:t>―</w:t>
      </w:r>
      <w:r>
        <w:rPr>
          <w:rFonts w:hint="eastAsia"/>
        </w:rPr>
        <w:t>涉及继承和证词，因为它与伊斯兰教法的规定相抵触</w:t>
      </w:r>
    </w:p>
    <w:p w:rsidR="007234DD" w:rsidRDefault="007234DD">
      <w:pPr>
        <w:pStyle w:val="Bullet1GC"/>
      </w:pPr>
      <w:r>
        <w:rPr>
          <w:rFonts w:hint="eastAsia"/>
        </w:rPr>
        <w:t>第十五条第</w:t>
      </w:r>
      <w:r>
        <w:rPr>
          <w:rFonts w:hint="eastAsia"/>
        </w:rPr>
        <w:t>4</w:t>
      </w:r>
      <w:r>
        <w:rPr>
          <w:rFonts w:hint="eastAsia"/>
        </w:rPr>
        <w:t>款，因为它与家庭法的规定和既定做法相抵触</w:t>
      </w:r>
    </w:p>
    <w:p w:rsidR="007234DD" w:rsidRDefault="007234DD">
      <w:pPr>
        <w:pStyle w:val="Bullet1GC"/>
      </w:pPr>
      <w:r>
        <w:rPr>
          <w:rFonts w:hint="eastAsia"/>
        </w:rPr>
        <w:t>第十六条第</w:t>
      </w:r>
      <w:r>
        <w:t>1</w:t>
      </w:r>
      <w:r>
        <w:rPr>
          <w:rFonts w:hint="eastAsia"/>
        </w:rPr>
        <w:t>款</w:t>
      </w:r>
      <w:r>
        <w:t>(a)</w:t>
      </w:r>
      <w:r>
        <w:rPr>
          <w:rFonts w:hint="eastAsia"/>
        </w:rPr>
        <w:t>项和</w:t>
      </w:r>
      <w:r>
        <w:t>(c)</w:t>
      </w:r>
      <w:r>
        <w:rPr>
          <w:rFonts w:hint="eastAsia"/>
        </w:rPr>
        <w:t>项，因为它们与伊斯兰教法的规定相抵触</w:t>
      </w:r>
    </w:p>
    <w:p w:rsidR="007234DD" w:rsidRDefault="007234DD">
      <w:pPr>
        <w:pStyle w:val="Bullet1GC"/>
      </w:pPr>
      <w:r>
        <w:rPr>
          <w:rFonts w:hint="eastAsia"/>
        </w:rPr>
        <w:t>第十六条第</w:t>
      </w:r>
      <w:r>
        <w:t>1</w:t>
      </w:r>
      <w:r>
        <w:rPr>
          <w:rFonts w:hint="eastAsia"/>
        </w:rPr>
        <w:t>款</w:t>
      </w:r>
      <w:r>
        <w:t>(f)</w:t>
      </w:r>
      <w:r>
        <w:rPr>
          <w:rFonts w:hint="eastAsia"/>
        </w:rPr>
        <w:t>项，因为它与伊斯兰教法和家庭法的规定相抵触</w:t>
      </w:r>
    </w:p>
    <w:p w:rsidR="007234DD" w:rsidRDefault="007234DD">
      <w:pPr>
        <w:pStyle w:val="SingleTxtGC"/>
      </w:pPr>
      <w:r>
        <w:t>3.</w:t>
      </w:r>
      <w:r>
        <w:rPr>
          <w:rFonts w:hint="eastAsia"/>
        </w:rPr>
        <w:t xml:space="preserve">  </w:t>
      </w:r>
      <w:r>
        <w:rPr>
          <w:rFonts w:hint="eastAsia"/>
        </w:rPr>
        <w:t>卡塔尔国声明，其所有相关国家法律均有利于促进社会团结。本报告第三部分将探讨作出这些保留的理由。</w:t>
      </w:r>
    </w:p>
    <w:p w:rsidR="007234DD" w:rsidRDefault="007234DD">
      <w:pPr>
        <w:pStyle w:val="SingleTxtGC"/>
      </w:pPr>
      <w:r>
        <w:t xml:space="preserve">4.  </w:t>
      </w:r>
      <w:r>
        <w:rPr>
          <w:rFonts w:hint="eastAsia"/>
        </w:rPr>
        <w:t>卡塔尔在《公约》加入书中声明如下：</w:t>
      </w:r>
    </w:p>
    <w:p w:rsidR="007234DD" w:rsidRDefault="007234DD">
      <w:pPr>
        <w:pStyle w:val="SingleTxtGC"/>
        <w:numPr>
          <w:ilvl w:val="0"/>
          <w:numId w:val="26"/>
        </w:numPr>
      </w:pPr>
      <w:r>
        <w:rPr>
          <w:rFonts w:hint="eastAsia"/>
        </w:rPr>
        <w:t>“卡塔尔国政府在下列条件下接受《公约》第一条的案文：按照伊斯兰教法和卡塔尔法律的规定，‘不论已婚未婚’的表述不是为了鼓励合法婚姻外的家庭关系。它保留按照这种理解执行《公约》的权利。”</w:t>
      </w:r>
    </w:p>
    <w:p w:rsidR="007234DD" w:rsidRDefault="007234DD">
      <w:pPr>
        <w:pStyle w:val="SingleTxtGC"/>
        <w:numPr>
          <w:ilvl w:val="0"/>
          <w:numId w:val="26"/>
        </w:numPr>
        <w:rPr>
          <w:rFonts w:hint="eastAsia"/>
        </w:rPr>
      </w:pPr>
      <w:r>
        <w:rPr>
          <w:rFonts w:hint="eastAsia"/>
        </w:rPr>
        <w:t>“卡塔尔国声明，第五条</w:t>
      </w:r>
      <w:r>
        <w:t>(a)</w:t>
      </w:r>
      <w:r>
        <w:rPr>
          <w:rFonts w:hint="eastAsia"/>
        </w:rPr>
        <w:t>项提到的改变‘模式’问题不应被理解为鼓励妇女放弃其作为母亲的角色及其抚养子女的角色，从而破坏家庭的结构。”</w:t>
      </w:r>
    </w:p>
    <w:p w:rsidR="007234DD" w:rsidRDefault="007234DD">
      <w:pPr>
        <w:pStyle w:val="SingleTxtGC"/>
        <w:numPr>
          <w:ilvl w:val="0"/>
          <w:numId w:val="26"/>
        </w:numPr>
      </w:pPr>
      <w:r>
        <w:rPr>
          <w:rFonts w:hint="eastAsia"/>
        </w:rPr>
        <w:t>“根据《公约》第二十九条第</w:t>
      </w:r>
      <w:r>
        <w:rPr>
          <w:rFonts w:hint="eastAsia"/>
        </w:rPr>
        <w:t>2</w:t>
      </w:r>
      <w:r>
        <w:rPr>
          <w:rFonts w:hint="eastAsia"/>
        </w:rPr>
        <w:t>款，卡塔尔国声明，根据该款案文的规定，它认为本国不受该条第</w:t>
      </w:r>
      <w:r>
        <w:rPr>
          <w:rFonts w:hint="eastAsia"/>
        </w:rPr>
        <w:t>1</w:t>
      </w:r>
      <w:r>
        <w:rPr>
          <w:rFonts w:hint="eastAsia"/>
        </w:rPr>
        <w:t>款的约束。”</w:t>
      </w:r>
    </w:p>
    <w:p w:rsidR="007234DD" w:rsidRDefault="007234DD">
      <w:pPr>
        <w:pStyle w:val="SingleTxtGC"/>
      </w:pPr>
      <w:r>
        <w:t xml:space="preserve">5.  </w:t>
      </w:r>
      <w:r>
        <w:rPr>
          <w:rFonts w:hint="eastAsia"/>
        </w:rPr>
        <w:t>由于卡塔尔致力于执行《公约》的各项条款，它尽量减少对《公约》所作保留的数量，避免作出一般性保留或对整个条款的保留。本报告第三部分将详细讨论其所作保留。卡塔尔决心执行《公约》，以实现消除对妇女歧视的目标。</w:t>
      </w:r>
    </w:p>
    <w:p w:rsidR="007234DD" w:rsidRDefault="007234DD">
      <w:pPr>
        <w:pStyle w:val="SingleTxtGC"/>
        <w:rPr>
          <w:rFonts w:hint="eastAsia"/>
        </w:rPr>
      </w:pPr>
      <w:r>
        <w:t xml:space="preserve">6.  </w:t>
      </w:r>
      <w:r>
        <w:rPr>
          <w:rFonts w:hint="eastAsia"/>
        </w:rPr>
        <w:t>卡塔尔政府系根据《公约》第十八条向消除对妇女歧视委员会提交其初次报告。该条款规定：“缔约各国应就本国实行公约各项规定所采取的立法、司法、行政或其他措施以及所取得的进展，向联合国秘书长提出报告，供委员会审议：</w:t>
      </w:r>
    </w:p>
    <w:p w:rsidR="007234DD" w:rsidRDefault="007234DD">
      <w:pPr>
        <w:pStyle w:val="SingleTxtGC"/>
        <w:tabs>
          <w:tab w:val="clear" w:pos="1565"/>
          <w:tab w:val="clear" w:pos="1996"/>
          <w:tab w:val="clear" w:pos="2427"/>
          <w:tab w:val="left" w:pos="1430"/>
          <w:tab w:val="left" w:pos="2080"/>
        </w:tabs>
      </w:pPr>
      <w:r>
        <w:rPr>
          <w:rFonts w:hint="eastAsia"/>
        </w:rPr>
        <w:tab/>
      </w:r>
      <w:r>
        <w:rPr>
          <w:rFonts w:hint="eastAsia"/>
        </w:rPr>
        <w:t>“</w:t>
      </w:r>
      <w:r>
        <w:t>(a)</w:t>
      </w:r>
      <w:r>
        <w:tab/>
      </w:r>
      <w:r>
        <w:rPr>
          <w:rFonts w:hint="eastAsia"/>
        </w:rPr>
        <w:t>在公约对本国生效后一年内提出，并且</w:t>
      </w:r>
    </w:p>
    <w:p w:rsidR="007234DD" w:rsidRDefault="007234DD" w:rsidP="00CE2194">
      <w:pPr>
        <w:pStyle w:val="SingleTxtGC"/>
        <w:tabs>
          <w:tab w:val="clear" w:pos="1565"/>
          <w:tab w:val="clear" w:pos="1996"/>
          <w:tab w:val="clear" w:pos="2427"/>
          <w:tab w:val="left" w:pos="1430"/>
          <w:tab w:val="left" w:pos="2080"/>
        </w:tabs>
      </w:pPr>
      <w:r>
        <w:rPr>
          <w:rFonts w:hint="eastAsia"/>
        </w:rPr>
        <w:tab/>
      </w:r>
      <w:r>
        <w:rPr>
          <w:rFonts w:hint="eastAsia"/>
        </w:rPr>
        <w:t>“</w:t>
      </w:r>
      <w:r>
        <w:t>(</w:t>
      </w:r>
      <w:r w:rsidR="00CE2194">
        <w:t>b</w:t>
      </w:r>
      <w:r>
        <w:t>)</w:t>
      </w:r>
      <w:r>
        <w:rPr>
          <w:rFonts w:hint="eastAsia"/>
        </w:rPr>
        <w:tab/>
      </w:r>
      <w:r>
        <w:rPr>
          <w:rFonts w:hint="eastAsia"/>
        </w:rPr>
        <w:t>自此以后，至少每四年并随时在委员会的请求下提出。”</w:t>
      </w:r>
    </w:p>
    <w:p w:rsidR="007234DD" w:rsidRDefault="007234DD">
      <w:pPr>
        <w:pStyle w:val="H23GC"/>
        <w:rPr>
          <w:rFonts w:hint="eastAsia"/>
        </w:rPr>
      </w:pPr>
      <w:r>
        <w:rPr>
          <w:rFonts w:hint="eastAsia"/>
        </w:rPr>
        <w:tab/>
      </w:r>
      <w:r>
        <w:rPr>
          <w:rFonts w:hint="eastAsia"/>
        </w:rPr>
        <w:tab/>
      </w:r>
      <w:r>
        <w:rPr>
          <w:rFonts w:hint="eastAsia"/>
        </w:rPr>
        <w:t>起草方法和程序</w:t>
      </w:r>
    </w:p>
    <w:p w:rsidR="007234DD" w:rsidRDefault="007234DD">
      <w:pPr>
        <w:pStyle w:val="SingleTxtGC"/>
      </w:pPr>
      <w:r>
        <w:t xml:space="preserve">7.  </w:t>
      </w:r>
      <w:r>
        <w:rPr>
          <w:rFonts w:hint="eastAsia"/>
        </w:rPr>
        <w:t>根据大臣会议在</w:t>
      </w:r>
      <w:smartTag w:uri="urn:schemas-microsoft-com:office:smarttags" w:element="chsdate">
        <w:smartTagPr>
          <w:attr w:name="Year" w:val="2009"/>
          <w:attr w:name="Month" w:val="12"/>
          <w:attr w:name="Day" w:val="30"/>
          <w:attr w:name="IsLunarDate" w:val="False"/>
          <w:attr w:name="IsROCDate" w:val="False"/>
        </w:smartTagPr>
        <w:r>
          <w:rPr>
            <w:rFonts w:hint="eastAsia"/>
          </w:rPr>
          <w:t>2009</w:t>
        </w:r>
        <w:r>
          <w:rPr>
            <w:rFonts w:hint="eastAsia"/>
          </w:rPr>
          <w:t>年</w:t>
        </w:r>
        <w:r>
          <w:rPr>
            <w:rFonts w:hint="eastAsia"/>
          </w:rPr>
          <w:t>12</w:t>
        </w:r>
        <w:r>
          <w:rPr>
            <w:rFonts w:hint="eastAsia"/>
          </w:rPr>
          <w:t>月</w:t>
        </w:r>
        <w:r>
          <w:rPr>
            <w:rFonts w:hint="eastAsia"/>
          </w:rPr>
          <w:t>30</w:t>
        </w:r>
        <w:r>
          <w:rPr>
            <w:rFonts w:hint="eastAsia"/>
          </w:rPr>
          <w:t>日</w:t>
        </w:r>
      </w:smartTag>
      <w:r>
        <w:rPr>
          <w:rFonts w:hint="eastAsia"/>
        </w:rPr>
        <w:t>举行的第三十九届常会上作出的决定，成立了国家起草委员会。该委员会的主席由最高家庭事务委员会的代表担任，其成员包括外交部、内政部、宗教基金和伊斯兰事务部、司法部、劳动部、社会事务部、最高卫生委员会、最高教育委员会、发展规划秘书处、检察署、卡塔尔打击人口贩运基金会、卡塔尔保护儿童和妇女基金会、家庭投资中心和国家人权委员会的代表。</w:t>
      </w:r>
    </w:p>
    <w:p w:rsidR="007234DD" w:rsidRDefault="007234DD">
      <w:pPr>
        <w:pStyle w:val="SingleTxtGC"/>
      </w:pPr>
      <w:r>
        <w:t xml:space="preserve">8.  </w:t>
      </w:r>
      <w:r>
        <w:rPr>
          <w:rFonts w:hint="eastAsia"/>
        </w:rPr>
        <w:t>在编写报告中，题为“国际人权条约缔约国所提交报告的形式和内容指导方针汇编”的文件</w:t>
      </w:r>
      <w:r>
        <w:rPr>
          <w:rFonts w:hint="eastAsia"/>
        </w:rPr>
        <w:t>(HRI/GEN/Rev.6)</w:t>
      </w:r>
      <w:r>
        <w:rPr>
          <w:rFonts w:hint="eastAsia"/>
        </w:rPr>
        <w:t>被用来作为参考。委员会的一些一般性建议获得了考虑，特别是：有关统计数据的第</w:t>
      </w:r>
      <w:r>
        <w:rPr>
          <w:rFonts w:hint="eastAsia"/>
        </w:rPr>
        <w:t>9</w:t>
      </w:r>
      <w:r>
        <w:rPr>
          <w:rFonts w:hint="eastAsia"/>
        </w:rPr>
        <w:t>号一般性建议</w:t>
      </w:r>
      <w:r>
        <w:rPr>
          <w:rFonts w:hint="eastAsia"/>
        </w:rPr>
        <w:t>(1989</w:t>
      </w:r>
      <w:r>
        <w:rPr>
          <w:rFonts w:hint="eastAsia"/>
        </w:rPr>
        <w:t>年</w:t>
      </w:r>
      <w:r>
        <w:rPr>
          <w:rFonts w:hint="eastAsia"/>
        </w:rPr>
        <w:t>)</w:t>
      </w:r>
      <w:r>
        <w:rPr>
          <w:rFonts w:hint="eastAsia"/>
        </w:rPr>
        <w:t>；关于同工同酬的第</w:t>
      </w:r>
      <w:r>
        <w:rPr>
          <w:rFonts w:hint="eastAsia"/>
        </w:rPr>
        <w:t>13</w:t>
      </w:r>
      <w:r>
        <w:rPr>
          <w:rFonts w:hint="eastAsia"/>
        </w:rPr>
        <w:t>号一般性建议</w:t>
      </w:r>
      <w:r>
        <w:rPr>
          <w:rFonts w:hint="eastAsia"/>
        </w:rPr>
        <w:t>(1989</w:t>
      </w:r>
      <w:r>
        <w:rPr>
          <w:rFonts w:hint="eastAsia"/>
        </w:rPr>
        <w:t>年</w:t>
      </w:r>
      <w:r>
        <w:rPr>
          <w:rFonts w:hint="eastAsia"/>
        </w:rPr>
        <w:t>)</w:t>
      </w:r>
      <w:r>
        <w:rPr>
          <w:rFonts w:hint="eastAsia"/>
        </w:rPr>
        <w:t>；关于残疾妇女的第</w:t>
      </w:r>
      <w:r>
        <w:rPr>
          <w:rFonts w:hint="eastAsia"/>
        </w:rPr>
        <w:t>18</w:t>
      </w:r>
      <w:r>
        <w:rPr>
          <w:rFonts w:hint="eastAsia"/>
        </w:rPr>
        <w:t>号一般性建议</w:t>
      </w:r>
      <w:r>
        <w:rPr>
          <w:rFonts w:hint="eastAsia"/>
        </w:rPr>
        <w:t>(1991</w:t>
      </w:r>
      <w:r>
        <w:rPr>
          <w:rFonts w:hint="eastAsia"/>
        </w:rPr>
        <w:t>年</w:t>
      </w:r>
      <w:r>
        <w:rPr>
          <w:rFonts w:hint="eastAsia"/>
        </w:rPr>
        <w:t>)</w:t>
      </w:r>
      <w:r>
        <w:rPr>
          <w:rFonts w:hint="eastAsia"/>
        </w:rPr>
        <w:t>；关于对妇女的暴力行为的第</w:t>
      </w:r>
      <w:r>
        <w:rPr>
          <w:rFonts w:hint="eastAsia"/>
        </w:rPr>
        <w:t>19</w:t>
      </w:r>
      <w:r>
        <w:rPr>
          <w:rFonts w:hint="eastAsia"/>
        </w:rPr>
        <w:t>号一般性建议</w:t>
      </w:r>
      <w:r>
        <w:rPr>
          <w:rFonts w:hint="eastAsia"/>
        </w:rPr>
        <w:t>(1992</w:t>
      </w:r>
      <w:r>
        <w:rPr>
          <w:rFonts w:hint="eastAsia"/>
        </w:rPr>
        <w:t>年</w:t>
      </w:r>
      <w:r>
        <w:rPr>
          <w:rFonts w:hint="eastAsia"/>
        </w:rPr>
        <w:t>)</w:t>
      </w:r>
      <w:r>
        <w:rPr>
          <w:rFonts w:hint="eastAsia"/>
        </w:rPr>
        <w:t>；关于婚姻和家庭关系中的平等的第</w:t>
      </w:r>
      <w:r>
        <w:rPr>
          <w:rFonts w:hint="eastAsia"/>
        </w:rPr>
        <w:t>21</w:t>
      </w:r>
      <w:r>
        <w:rPr>
          <w:rFonts w:hint="eastAsia"/>
        </w:rPr>
        <w:t>号一般性建议</w:t>
      </w:r>
      <w:r>
        <w:rPr>
          <w:rFonts w:hint="eastAsia"/>
        </w:rPr>
        <w:t>(1994</w:t>
      </w:r>
      <w:r>
        <w:rPr>
          <w:rFonts w:hint="eastAsia"/>
        </w:rPr>
        <w:t>年</w:t>
      </w:r>
      <w:r>
        <w:rPr>
          <w:rFonts w:hint="eastAsia"/>
        </w:rPr>
        <w:t>)</w:t>
      </w:r>
      <w:r>
        <w:rPr>
          <w:rFonts w:hint="eastAsia"/>
        </w:rPr>
        <w:t>；关于政治和公共生活的第</w:t>
      </w:r>
      <w:r>
        <w:rPr>
          <w:rFonts w:hint="eastAsia"/>
        </w:rPr>
        <w:t>23</w:t>
      </w:r>
      <w:r>
        <w:rPr>
          <w:rFonts w:hint="eastAsia"/>
        </w:rPr>
        <w:t>号一般性建议</w:t>
      </w:r>
      <w:r>
        <w:rPr>
          <w:rFonts w:hint="eastAsia"/>
        </w:rPr>
        <w:t>(1997</w:t>
      </w:r>
      <w:r>
        <w:rPr>
          <w:rFonts w:hint="eastAsia"/>
        </w:rPr>
        <w:t>年</w:t>
      </w:r>
      <w:r>
        <w:rPr>
          <w:rFonts w:hint="eastAsia"/>
        </w:rPr>
        <w:t>)</w:t>
      </w:r>
      <w:r>
        <w:rPr>
          <w:rFonts w:hint="eastAsia"/>
        </w:rPr>
        <w:t>；关于妇女与卫生的第</w:t>
      </w:r>
      <w:r>
        <w:rPr>
          <w:rFonts w:hint="eastAsia"/>
        </w:rPr>
        <w:t>24</w:t>
      </w:r>
      <w:r>
        <w:rPr>
          <w:rFonts w:hint="eastAsia"/>
        </w:rPr>
        <w:t>号一般性建议</w:t>
      </w:r>
      <w:r>
        <w:rPr>
          <w:rFonts w:hint="eastAsia"/>
        </w:rPr>
        <w:t>(1999</w:t>
      </w:r>
      <w:r>
        <w:rPr>
          <w:rFonts w:hint="eastAsia"/>
        </w:rPr>
        <w:t>年</w:t>
      </w:r>
      <w:r>
        <w:rPr>
          <w:rFonts w:hint="eastAsia"/>
        </w:rPr>
        <w:t>)</w:t>
      </w:r>
      <w:r>
        <w:rPr>
          <w:rFonts w:hint="eastAsia"/>
        </w:rPr>
        <w:t>；以及委员会就《公约》具体条款提出的意见。</w:t>
      </w:r>
    </w:p>
    <w:p w:rsidR="007234DD" w:rsidRDefault="007234DD">
      <w:pPr>
        <w:pStyle w:val="SingleTxtGC"/>
      </w:pPr>
      <w:r>
        <w:t xml:space="preserve">9.  </w:t>
      </w:r>
      <w:r>
        <w:rPr>
          <w:rFonts w:hint="eastAsia"/>
        </w:rPr>
        <w:t>从</w:t>
      </w:r>
      <w:smartTag w:uri="urn:schemas-microsoft-com:office:smarttags" w:element="chsdate">
        <w:smartTagPr>
          <w:attr w:name="Year" w:val="2010"/>
          <w:attr w:name="Month" w:val="3"/>
          <w:attr w:name="Day" w:val="1"/>
          <w:attr w:name="IsLunarDate" w:val="False"/>
          <w:attr w:name="IsROCDate" w:val="False"/>
        </w:smartTagPr>
        <w:r>
          <w:rPr>
            <w:rFonts w:hint="eastAsia"/>
          </w:rPr>
          <w:t>2010</w:t>
        </w:r>
        <w:r>
          <w:rPr>
            <w:rFonts w:hint="eastAsia"/>
          </w:rPr>
          <w:t>年</w:t>
        </w:r>
        <w:r>
          <w:rPr>
            <w:rFonts w:hint="eastAsia"/>
          </w:rPr>
          <w:t>3</w:t>
        </w:r>
        <w:r>
          <w:rPr>
            <w:rFonts w:hint="eastAsia"/>
          </w:rPr>
          <w:t>月</w:t>
        </w:r>
        <w:r>
          <w:rPr>
            <w:rFonts w:hint="eastAsia"/>
          </w:rPr>
          <w:t>1</w:t>
        </w:r>
        <w:r>
          <w:rPr>
            <w:rFonts w:hint="eastAsia"/>
          </w:rPr>
          <w:t>日</w:t>
        </w:r>
      </w:smartTag>
      <w:r>
        <w:rPr>
          <w:rFonts w:hint="eastAsia"/>
        </w:rPr>
        <w:t>至</w:t>
      </w:r>
      <w:r>
        <w:rPr>
          <w:rFonts w:hint="eastAsia"/>
        </w:rPr>
        <w:t>4</w:t>
      </w:r>
      <w:r>
        <w:rPr>
          <w:rFonts w:hint="eastAsia"/>
        </w:rPr>
        <w:t>日，最高家庭事务委员会就《消除对妇女一切形式歧视公约》报告的编写方法为起草委员会开办了专门课程。起草委员会的代表参加了西亚经济社会委员会</w:t>
      </w:r>
      <w:r>
        <w:rPr>
          <w:rFonts w:hint="eastAsia"/>
        </w:rPr>
        <w:t>(</w:t>
      </w:r>
      <w:r>
        <w:rPr>
          <w:rFonts w:hint="eastAsia"/>
        </w:rPr>
        <w:t>西亚经社会</w:t>
      </w:r>
      <w:r>
        <w:rPr>
          <w:rFonts w:hint="eastAsia"/>
        </w:rPr>
        <w:t>)</w:t>
      </w:r>
      <w:r>
        <w:rPr>
          <w:rFonts w:hint="eastAsia"/>
        </w:rPr>
        <w:t>于</w:t>
      </w:r>
      <w:smartTag w:uri="urn:schemas-microsoft-com:office:smarttags" w:element="chsdate">
        <w:smartTagPr>
          <w:attr w:name="Year" w:val="2010"/>
          <w:attr w:name="Month" w:val="4"/>
          <w:attr w:name="Day" w:val="28"/>
          <w:attr w:name="IsLunarDate" w:val="False"/>
          <w:attr w:name="IsROCDate" w:val="False"/>
        </w:smartTagPr>
        <w:r>
          <w:rPr>
            <w:rFonts w:hint="eastAsia"/>
          </w:rPr>
          <w:t>2010</w:t>
        </w:r>
        <w:r>
          <w:rPr>
            <w:rFonts w:hint="eastAsia"/>
          </w:rPr>
          <w:t>年</w:t>
        </w:r>
        <w:r>
          <w:rPr>
            <w:rFonts w:hint="eastAsia"/>
          </w:rPr>
          <w:t>4</w:t>
        </w:r>
        <w:r>
          <w:rPr>
            <w:rFonts w:hint="eastAsia"/>
          </w:rPr>
          <w:t>月</w:t>
        </w:r>
        <w:r>
          <w:rPr>
            <w:rFonts w:hint="eastAsia"/>
          </w:rPr>
          <w:t>28</w:t>
        </w:r>
        <w:r>
          <w:rPr>
            <w:rFonts w:hint="eastAsia"/>
          </w:rPr>
          <w:t>日</w:t>
        </w:r>
      </w:smartTag>
      <w:r>
        <w:rPr>
          <w:rFonts w:hint="eastAsia"/>
        </w:rPr>
        <w:t>和</w:t>
      </w:r>
      <w:r>
        <w:rPr>
          <w:rFonts w:hint="eastAsia"/>
        </w:rPr>
        <w:t>29</w:t>
      </w:r>
      <w:r>
        <w:rPr>
          <w:rFonts w:hint="eastAsia"/>
        </w:rPr>
        <w:t>日举办的关于国家妇女机构在促进《公约》在西亚经社会区域的执行中的作用的区域讲习班。</w:t>
      </w:r>
    </w:p>
    <w:p w:rsidR="007234DD" w:rsidRDefault="007234DD">
      <w:pPr>
        <w:pStyle w:val="SingleTxtGC"/>
      </w:pPr>
      <w:r>
        <w:t xml:space="preserve">10.  </w:t>
      </w:r>
      <w:r>
        <w:rPr>
          <w:rFonts w:hint="eastAsia"/>
        </w:rPr>
        <w:t>本报告的起草工作是在国家刚刚根据联合国大会关于人权理事会的第</w:t>
      </w:r>
      <w:r>
        <w:rPr>
          <w:rFonts w:hint="eastAsia"/>
        </w:rPr>
        <w:t>60/251</w:t>
      </w:r>
      <w:r>
        <w:rPr>
          <w:rFonts w:hint="eastAsia"/>
        </w:rPr>
        <w:t>号决议第</w:t>
      </w:r>
      <w:r>
        <w:rPr>
          <w:rFonts w:hint="eastAsia"/>
        </w:rPr>
        <w:t>5</w:t>
      </w:r>
      <w:r>
        <w:t>(</w:t>
      </w:r>
      <w:r>
        <w:rPr>
          <w:rFonts w:hint="eastAsia"/>
        </w:rPr>
        <w:t>j</w:t>
      </w:r>
      <w:r>
        <w:t>)</w:t>
      </w:r>
      <w:r>
        <w:rPr>
          <w:rFonts w:hint="eastAsia"/>
        </w:rPr>
        <w:t>条和人权理事会关于理事会的结构和机构的第</w:t>
      </w:r>
      <w:r>
        <w:rPr>
          <w:rFonts w:hint="eastAsia"/>
        </w:rPr>
        <w:t>5/1</w:t>
      </w:r>
      <w:r>
        <w:rPr>
          <w:rFonts w:hint="eastAsia"/>
        </w:rPr>
        <w:t>号决议所列准则编写并提交其国家人权状况报告之后进行的。在那份报告中，卡塔尔力图清楚、透明地阐述其人权状况以及为在实践中促进人权所采取的措施。卡塔尔提请大家注意在以所要求的方式落实人权上面临的困难和挑战，并详细介绍了它今后打算采取的措施，包括考虑批准它尚未加入的一些条约的计划。</w:t>
      </w:r>
    </w:p>
    <w:p w:rsidR="007234DD" w:rsidRDefault="007234DD">
      <w:pPr>
        <w:pStyle w:val="SingleTxtGC"/>
      </w:pPr>
      <w:r>
        <w:t xml:space="preserve">11.  </w:t>
      </w:r>
      <w:r>
        <w:rPr>
          <w:rFonts w:hint="eastAsia"/>
        </w:rPr>
        <w:t>卡塔尔对关于《北京宣言和行动纲要》</w:t>
      </w:r>
      <w:r>
        <w:rPr>
          <w:rFonts w:hint="eastAsia"/>
        </w:rPr>
        <w:t>(1995</w:t>
      </w:r>
      <w:r>
        <w:rPr>
          <w:rFonts w:hint="eastAsia"/>
        </w:rPr>
        <w:t>年</w:t>
      </w:r>
      <w:r>
        <w:rPr>
          <w:rFonts w:hint="eastAsia"/>
        </w:rPr>
        <w:t>)</w:t>
      </w:r>
      <w:r>
        <w:rPr>
          <w:rFonts w:hint="eastAsia"/>
        </w:rPr>
        <w:t>执行情况和关于大会第二十三届特别会议</w:t>
      </w:r>
      <w:r>
        <w:rPr>
          <w:rFonts w:hint="eastAsia"/>
        </w:rPr>
        <w:t>(2000</w:t>
      </w:r>
      <w:r>
        <w:rPr>
          <w:rFonts w:hint="eastAsia"/>
        </w:rPr>
        <w:t>年</w:t>
      </w:r>
      <w:r>
        <w:rPr>
          <w:rFonts w:hint="eastAsia"/>
        </w:rPr>
        <w:t>)</w:t>
      </w:r>
      <w:r>
        <w:rPr>
          <w:rFonts w:hint="eastAsia"/>
        </w:rPr>
        <w:t>成果的问卷进行了答复。该问卷于</w:t>
      </w:r>
      <w:r>
        <w:rPr>
          <w:rFonts w:hint="eastAsia"/>
        </w:rPr>
        <w:t>2010</w:t>
      </w:r>
      <w:r>
        <w:rPr>
          <w:rFonts w:hint="eastAsia"/>
        </w:rPr>
        <w:t>年作为为纪念《北京宣言和行动纲要》十五周年进行的区域审查和评估的筹备工作一部分发送给各国政府。它还参加了消除对妇女歧视委员会第五十四届会议。</w:t>
      </w:r>
    </w:p>
    <w:p w:rsidR="007234DD" w:rsidRDefault="007234DD">
      <w:pPr>
        <w:pStyle w:val="SingleTxtGC"/>
      </w:pPr>
      <w:r>
        <w:t xml:space="preserve">12.  </w:t>
      </w:r>
      <w:r>
        <w:rPr>
          <w:rFonts w:hint="eastAsia"/>
        </w:rPr>
        <w:t>起草委员会审查了各种国家实体</w:t>
      </w:r>
      <w:r>
        <w:rPr>
          <w:rFonts w:hint="eastAsia"/>
          <w:spacing w:val="-50"/>
        </w:rPr>
        <w:t>―</w:t>
      </w:r>
      <w:r>
        <w:rPr>
          <w:rFonts w:hint="eastAsia"/>
          <w:spacing w:val="10"/>
        </w:rPr>
        <w:t>―</w:t>
      </w:r>
      <w:r>
        <w:rPr>
          <w:rFonts w:hint="eastAsia"/>
        </w:rPr>
        <w:t>特别是最高家庭事务委员会、统计局、发展规划秘书处和人口事务常设委员会</w:t>
      </w:r>
      <w:r>
        <w:rPr>
          <w:rFonts w:hint="eastAsia"/>
          <w:spacing w:val="-50"/>
        </w:rPr>
        <w:t>―</w:t>
      </w:r>
      <w:r>
        <w:rPr>
          <w:rFonts w:hint="eastAsia"/>
          <w:spacing w:val="10"/>
        </w:rPr>
        <w:t>―</w:t>
      </w:r>
      <w:r>
        <w:rPr>
          <w:rFonts w:hint="eastAsia"/>
        </w:rPr>
        <w:t>就卡塔尔妇女权利问题发布的报告和研究报告。它还研究了国家人权委员会和各民间社会机构的报告。起草委员会审查了卡塔尔向各联合国机构提交的报告，特别是其在普遍定期审议的框架内向人权理事会提交的国家人权状况报告。卡塔尔对作为为纪念《北京宣言和行动纲要》十五周年进行的区域审查和评估的筹备工作一部分发送给各国政府的关于《北京宣言和行动纲要》</w:t>
      </w:r>
      <w:r>
        <w:rPr>
          <w:rFonts w:hint="eastAsia"/>
        </w:rPr>
        <w:t>(1995</w:t>
      </w:r>
      <w:r>
        <w:rPr>
          <w:rFonts w:hint="eastAsia"/>
        </w:rPr>
        <w:t>年</w:t>
      </w:r>
      <w:r>
        <w:rPr>
          <w:rFonts w:hint="eastAsia"/>
        </w:rPr>
        <w:t>)</w:t>
      </w:r>
      <w:r>
        <w:rPr>
          <w:rFonts w:hint="eastAsia"/>
        </w:rPr>
        <w:t>执行情况和关于大会第二十三届特别会议</w:t>
      </w:r>
      <w:r>
        <w:rPr>
          <w:rFonts w:hint="eastAsia"/>
        </w:rPr>
        <w:t>(2000</w:t>
      </w:r>
      <w:r>
        <w:rPr>
          <w:rFonts w:hint="eastAsia"/>
        </w:rPr>
        <w:t>年</w:t>
      </w:r>
      <w:r>
        <w:rPr>
          <w:rFonts w:hint="eastAsia"/>
        </w:rPr>
        <w:t>)</w:t>
      </w:r>
      <w:r>
        <w:rPr>
          <w:rFonts w:hint="eastAsia"/>
        </w:rPr>
        <w:t>成果的问卷进行了答复。它还审查了人权理事会和各条约机构关于《消除对妇女一切形式歧视公约》这一主题的意见。</w:t>
      </w:r>
    </w:p>
    <w:p w:rsidR="007234DD" w:rsidRDefault="007234DD">
      <w:pPr>
        <w:pStyle w:val="HChGC"/>
        <w:rPr>
          <w:rFonts w:hint="eastAsia"/>
          <w:lang w:val="fr-FR"/>
        </w:rPr>
      </w:pPr>
      <w:r>
        <w:rPr>
          <w:lang w:val="fr-FR"/>
        </w:rPr>
        <w:tab/>
      </w:r>
      <w:r>
        <w:rPr>
          <w:rFonts w:hint="eastAsia"/>
          <w:lang w:val="fr-FR"/>
        </w:rPr>
        <w:t>二</w:t>
      </w:r>
      <w:r>
        <w:rPr>
          <w:lang w:val="fr-FR"/>
        </w:rPr>
        <w:t>.</w:t>
      </w:r>
      <w:r>
        <w:rPr>
          <w:lang w:val="fr-FR"/>
        </w:rPr>
        <w:tab/>
      </w:r>
      <w:r>
        <w:rPr>
          <w:rFonts w:hint="eastAsia"/>
          <w:lang w:val="fr-FR"/>
        </w:rPr>
        <w:t>共同核心文件</w:t>
      </w:r>
    </w:p>
    <w:p w:rsidR="007234DD" w:rsidRDefault="007234DD">
      <w:pPr>
        <w:pStyle w:val="H1GC"/>
        <w:rPr>
          <w:lang w:val="fr-FR"/>
        </w:rPr>
      </w:pPr>
      <w:r>
        <w:rPr>
          <w:lang w:val="fr-FR"/>
        </w:rPr>
        <w:tab/>
        <w:t>A.</w:t>
      </w:r>
      <w:r>
        <w:rPr>
          <w:lang w:val="fr-FR"/>
        </w:rPr>
        <w:tab/>
      </w:r>
      <w:r>
        <w:t>土地和人口</w:t>
      </w:r>
    </w:p>
    <w:p w:rsidR="007234DD" w:rsidRDefault="007234DD">
      <w:pPr>
        <w:pStyle w:val="H23GC"/>
        <w:rPr>
          <w:rFonts w:hint="eastAsia"/>
        </w:rPr>
      </w:pPr>
      <w:r>
        <w:rPr>
          <w:rFonts w:hint="eastAsia"/>
          <w:lang w:val="fr-FR"/>
        </w:rPr>
        <w:tab/>
      </w:r>
      <w:r>
        <w:rPr>
          <w:rFonts w:hint="eastAsia"/>
          <w:lang w:val="fr-FR"/>
        </w:rPr>
        <w:tab/>
      </w:r>
      <w:r>
        <w:rPr>
          <w:rFonts w:hint="eastAsia"/>
        </w:rPr>
        <w:t>地理位置和地形</w:t>
      </w:r>
    </w:p>
    <w:p w:rsidR="007234DD" w:rsidRDefault="007234DD">
      <w:pPr>
        <w:pStyle w:val="SingleTxtGC"/>
      </w:pPr>
      <w:r>
        <w:t xml:space="preserve">13.  </w:t>
      </w:r>
      <w:r>
        <w:rPr>
          <w:rFonts w:hint="eastAsia"/>
        </w:rPr>
        <w:t>卡塔尔是一个半岛，位于阿拉伯湾西岸中段，地处北纬</w:t>
      </w:r>
      <w:r>
        <w:rPr>
          <w:rFonts w:hint="eastAsia"/>
        </w:rPr>
        <w:t>24</w:t>
      </w:r>
      <w:r>
        <w:rPr>
          <w:rFonts w:hint="eastAsia"/>
        </w:rPr>
        <w:t>°</w:t>
      </w:r>
      <w:r>
        <w:rPr>
          <w:rFonts w:hint="eastAsia"/>
        </w:rPr>
        <w:t>27'</w:t>
      </w:r>
      <w:r>
        <w:rPr>
          <w:rFonts w:hint="eastAsia"/>
        </w:rPr>
        <w:t>至</w:t>
      </w:r>
      <w:r>
        <w:rPr>
          <w:rFonts w:hint="eastAsia"/>
        </w:rPr>
        <w:t>26</w:t>
      </w:r>
      <w:r>
        <w:rPr>
          <w:rFonts w:hint="eastAsia"/>
        </w:rPr>
        <w:t>°</w:t>
      </w:r>
      <w:r>
        <w:rPr>
          <w:rFonts w:hint="eastAsia"/>
        </w:rPr>
        <w:t>10'</w:t>
      </w:r>
      <w:r>
        <w:rPr>
          <w:rFonts w:hint="eastAsia"/>
        </w:rPr>
        <w:t>、东经</w:t>
      </w:r>
      <w:r>
        <w:rPr>
          <w:rFonts w:hint="eastAsia"/>
        </w:rPr>
        <w:t>50</w:t>
      </w:r>
      <w:r>
        <w:rPr>
          <w:rFonts w:hint="eastAsia"/>
        </w:rPr>
        <w:t>°</w:t>
      </w:r>
      <w:r>
        <w:rPr>
          <w:rFonts w:hint="eastAsia"/>
        </w:rPr>
        <w:t>45'</w:t>
      </w:r>
      <w:r>
        <w:rPr>
          <w:rFonts w:hint="eastAsia"/>
        </w:rPr>
        <w:t>至</w:t>
      </w:r>
      <w:r>
        <w:rPr>
          <w:rFonts w:hint="eastAsia"/>
        </w:rPr>
        <w:t>51</w:t>
      </w:r>
      <w:r>
        <w:rPr>
          <w:rFonts w:hint="eastAsia"/>
        </w:rPr>
        <w:t>°</w:t>
      </w:r>
      <w:r>
        <w:rPr>
          <w:rFonts w:hint="eastAsia"/>
        </w:rPr>
        <w:t>40'</w:t>
      </w:r>
      <w:r>
        <w:rPr>
          <w:rFonts w:hint="eastAsia"/>
        </w:rPr>
        <w:t>之间。半岛向北延伸，总面积</w:t>
      </w:r>
      <w:r>
        <w:rPr>
          <w:rFonts w:hint="eastAsia"/>
        </w:rPr>
        <w:t>11,521</w:t>
      </w:r>
      <w:r>
        <w:rPr>
          <w:rFonts w:hint="eastAsia"/>
        </w:rPr>
        <w:t>平方公里。领土包括几个岛屿和一些石山以及卡塔尔最著名的几个岛屿周围的浅水区。这些岛屿是：</w:t>
      </w:r>
      <w:r>
        <w:t>Halul</w:t>
      </w:r>
      <w:r>
        <w:rPr>
          <w:rFonts w:hint="eastAsia"/>
        </w:rPr>
        <w:t>、</w:t>
      </w:r>
      <w:r>
        <w:t>Shira`ouh</w:t>
      </w:r>
      <w:r>
        <w:rPr>
          <w:rFonts w:hint="eastAsia"/>
        </w:rPr>
        <w:t>、</w:t>
      </w:r>
      <w:r>
        <w:t>Al-Ashat</w:t>
      </w:r>
      <w:r>
        <w:rPr>
          <w:rFonts w:hint="eastAsia"/>
        </w:rPr>
        <w:t>、</w:t>
      </w:r>
      <w:r>
        <w:t>Al-Bashiriya</w:t>
      </w:r>
      <w:r>
        <w:rPr>
          <w:rFonts w:hint="eastAsia"/>
        </w:rPr>
        <w:t>、</w:t>
      </w:r>
      <w:r>
        <w:t>Al-Aliyah</w:t>
      </w:r>
      <w:r>
        <w:rPr>
          <w:rFonts w:hint="eastAsia"/>
        </w:rPr>
        <w:t>和</w:t>
      </w:r>
      <w:r>
        <w:t>Al-Safiliyah</w:t>
      </w:r>
      <w:r>
        <w:rPr>
          <w:rFonts w:hint="eastAsia"/>
        </w:rPr>
        <w:t>。半岛长</w:t>
      </w:r>
      <w:r>
        <w:rPr>
          <w:rFonts w:hint="eastAsia"/>
        </w:rPr>
        <w:t>185</w:t>
      </w:r>
      <w:r>
        <w:rPr>
          <w:rFonts w:hint="eastAsia"/>
        </w:rPr>
        <w:t>公里，宽</w:t>
      </w:r>
      <w:r>
        <w:rPr>
          <w:rFonts w:hint="eastAsia"/>
        </w:rPr>
        <w:t>85</w:t>
      </w:r>
      <w:r>
        <w:rPr>
          <w:rFonts w:hint="eastAsia"/>
        </w:rPr>
        <w:t>公里，几乎完全被阿拉伯湾水域包围。它与沙特阿拉伯王国之间的陆地边界长约</w:t>
      </w:r>
      <w:r>
        <w:rPr>
          <w:rFonts w:hint="eastAsia"/>
        </w:rPr>
        <w:t>60</w:t>
      </w:r>
      <w:r>
        <w:rPr>
          <w:rFonts w:hint="eastAsia"/>
        </w:rPr>
        <w:t>公里，东与阿拉伯联合酋长国接壤。卡塔尔领海向东延伸约</w:t>
      </w:r>
      <w:r>
        <w:rPr>
          <w:rFonts w:hint="eastAsia"/>
        </w:rPr>
        <w:t>95</w:t>
      </w:r>
      <w:r>
        <w:rPr>
          <w:rFonts w:hint="eastAsia"/>
        </w:rPr>
        <w:t>英里，向北延伸约</w:t>
      </w:r>
      <w:r>
        <w:rPr>
          <w:rFonts w:hint="eastAsia"/>
        </w:rPr>
        <w:t>51</w:t>
      </w:r>
      <w:r>
        <w:rPr>
          <w:rFonts w:hint="eastAsia"/>
        </w:rPr>
        <w:t>英里，深入阿拉伯湾。</w:t>
      </w:r>
    </w:p>
    <w:p w:rsidR="007234DD" w:rsidRDefault="007234DD">
      <w:pPr>
        <w:pStyle w:val="SingleTxtGC"/>
      </w:pPr>
      <w:r>
        <w:t xml:space="preserve">14.  </w:t>
      </w:r>
      <w:r>
        <w:rPr>
          <w:rFonts w:hint="eastAsia"/>
        </w:rPr>
        <w:t>卡塔尔多岩石、地势平坦，西部的</w:t>
      </w:r>
      <w:r>
        <w:t>Dukhan</w:t>
      </w:r>
      <w:r>
        <w:rPr>
          <w:rFonts w:hint="eastAsia"/>
        </w:rPr>
        <w:t>地区和北部的</w:t>
      </w:r>
      <w:r>
        <w:t>Jabal Fiwairit</w:t>
      </w:r>
      <w:r>
        <w:rPr>
          <w:rFonts w:hint="eastAsia"/>
        </w:rPr>
        <w:t>地区有一些低矮的岩石裸露。它拥有许多小港湾、小海湾、低地和雨水排放盆地</w:t>
      </w:r>
      <w:r>
        <w:rPr>
          <w:rFonts w:hint="eastAsia"/>
          <w:spacing w:val="-50"/>
        </w:rPr>
        <w:t>―</w:t>
      </w:r>
      <w:r>
        <w:rPr>
          <w:rFonts w:hint="eastAsia"/>
          <w:spacing w:val="10"/>
        </w:rPr>
        <w:t>―</w:t>
      </w:r>
      <w:r>
        <w:rPr>
          <w:rFonts w:hint="eastAsia"/>
        </w:rPr>
        <w:t>被称为</w:t>
      </w:r>
      <w:r>
        <w:rPr>
          <w:rFonts w:hint="eastAsia"/>
        </w:rPr>
        <w:t>rawdat</w:t>
      </w:r>
      <w:r>
        <w:rPr>
          <w:rFonts w:hint="eastAsia"/>
        </w:rPr>
        <w:t>，主要分布于半岛的北部和中部。这些地区拥有最肥沃的土壤和丰富的植被。</w:t>
      </w:r>
    </w:p>
    <w:p w:rsidR="007234DD" w:rsidRDefault="007234DD">
      <w:pPr>
        <w:pStyle w:val="H23GC"/>
        <w:rPr>
          <w:rFonts w:hint="eastAsia"/>
        </w:rPr>
      </w:pPr>
      <w:r>
        <w:tab/>
      </w:r>
      <w:r>
        <w:tab/>
      </w:r>
      <w:r>
        <w:rPr>
          <w:rFonts w:hint="eastAsia"/>
        </w:rPr>
        <w:t>人口</w:t>
      </w:r>
    </w:p>
    <w:p w:rsidR="007234DD" w:rsidRDefault="007234DD">
      <w:pPr>
        <w:pStyle w:val="SingleTxtGC"/>
      </w:pPr>
      <w:r>
        <w:t xml:space="preserve">15.  </w:t>
      </w:r>
      <w:r>
        <w:rPr>
          <w:rFonts w:hint="eastAsia"/>
        </w:rPr>
        <w:t>根据</w:t>
      </w:r>
      <w:r>
        <w:rPr>
          <w:rFonts w:hint="eastAsia"/>
        </w:rPr>
        <w:t>2010</w:t>
      </w:r>
      <w:r>
        <w:rPr>
          <w:rFonts w:hint="eastAsia"/>
        </w:rPr>
        <w:t>年的普查，卡塔尔人口为</w:t>
      </w:r>
      <w:r>
        <w:t>1,699,563</w:t>
      </w:r>
      <w:r>
        <w:rPr>
          <w:rFonts w:hint="eastAsia"/>
        </w:rPr>
        <w:t>人，其中男性</w:t>
      </w:r>
      <w:r>
        <w:t>1,284,867</w:t>
      </w:r>
      <w:r>
        <w:rPr>
          <w:rFonts w:hint="eastAsia"/>
        </w:rPr>
        <w:t>人</w:t>
      </w:r>
      <w:r>
        <w:rPr>
          <w:rFonts w:hint="eastAsia"/>
        </w:rPr>
        <w:t>(76%)</w:t>
      </w:r>
      <w:r>
        <w:rPr>
          <w:rFonts w:hint="eastAsia"/>
        </w:rPr>
        <w:t>，女性</w:t>
      </w:r>
      <w:r>
        <w:rPr>
          <w:rFonts w:hint="eastAsia"/>
        </w:rPr>
        <w:t>411,696</w:t>
      </w:r>
      <w:r>
        <w:rPr>
          <w:rFonts w:hint="eastAsia"/>
        </w:rPr>
        <w:t>人</w:t>
      </w:r>
      <w:r>
        <w:rPr>
          <w:rFonts w:hint="eastAsia"/>
        </w:rPr>
        <w:t>(24%)</w:t>
      </w:r>
      <w:r>
        <w:rPr>
          <w:rFonts w:hint="eastAsia"/>
        </w:rPr>
        <w:t>。男性在人口中的比例之所以这么高，是因为卡塔尔的居民大部分是</w:t>
      </w:r>
      <w:r>
        <w:t>移徙工人</w:t>
      </w:r>
      <w:r>
        <w:rPr>
          <w:rFonts w:hint="eastAsia"/>
        </w:rPr>
        <w:t>。表</w:t>
      </w:r>
      <w:r>
        <w:rPr>
          <w:rFonts w:hint="eastAsia"/>
        </w:rPr>
        <w:t>1</w:t>
      </w:r>
      <w:r>
        <w:rPr>
          <w:rFonts w:hint="eastAsia"/>
        </w:rPr>
        <w:t>提供了</w:t>
      </w:r>
      <w:r>
        <w:rPr>
          <w:rFonts w:hint="eastAsia"/>
        </w:rPr>
        <w:t>1986</w:t>
      </w:r>
      <w:r>
        <w:rPr>
          <w:rFonts w:hint="eastAsia"/>
        </w:rPr>
        <w:t>年至</w:t>
      </w:r>
      <w:r>
        <w:rPr>
          <w:rFonts w:hint="eastAsia"/>
        </w:rPr>
        <w:t>2010</w:t>
      </w:r>
      <w:r>
        <w:rPr>
          <w:rFonts w:hint="eastAsia"/>
        </w:rPr>
        <w:t>年期间卡塔尔按性别和年龄组</w:t>
      </w:r>
      <w:r>
        <w:rPr>
          <w:rFonts w:hint="eastAsia"/>
        </w:rPr>
        <w:t>(</w:t>
      </w:r>
      <w:r>
        <w:rPr>
          <w:rFonts w:hint="eastAsia"/>
        </w:rPr>
        <w:t>从</w:t>
      </w:r>
      <w:r>
        <w:t>5</w:t>
      </w:r>
      <w:r>
        <w:rPr>
          <w:rFonts w:hint="eastAsia"/>
        </w:rPr>
        <w:t>-</w:t>
      </w:r>
      <w:r>
        <w:t>13</w:t>
      </w:r>
      <w:r>
        <w:rPr>
          <w:rFonts w:hint="eastAsia"/>
        </w:rPr>
        <w:t>岁到</w:t>
      </w:r>
      <w:r>
        <w:rPr>
          <w:rFonts w:hint="eastAsia"/>
        </w:rPr>
        <w:t>65</w:t>
      </w:r>
      <w:r>
        <w:rPr>
          <w:rFonts w:hint="eastAsia"/>
        </w:rPr>
        <w:t>岁以上</w:t>
      </w:r>
      <w:r>
        <w:rPr>
          <w:rFonts w:hint="eastAsia"/>
        </w:rPr>
        <w:t>)</w:t>
      </w:r>
      <w:r>
        <w:rPr>
          <w:rFonts w:hint="eastAsia"/>
        </w:rPr>
        <w:t>分列的人口数字。图</w:t>
      </w:r>
      <w:r>
        <w:rPr>
          <w:rFonts w:hint="eastAsia"/>
        </w:rPr>
        <w:t>1</w:t>
      </w:r>
      <w:r>
        <w:rPr>
          <w:rFonts w:hint="eastAsia"/>
        </w:rPr>
        <w:t>显示，卡塔尔人口呈金字塔结构。</w:t>
      </w:r>
    </w:p>
    <w:p w:rsidR="007234DD" w:rsidRDefault="007234DD">
      <w:pPr>
        <w:pStyle w:val="SingleTxtGC"/>
        <w:rPr>
          <w:rFonts w:eastAsia="SimHei" w:hint="eastAsia"/>
        </w:rPr>
      </w:pPr>
      <w:r>
        <w:br w:type="page"/>
      </w:r>
      <w:r>
        <w:rPr>
          <w:rFonts w:hint="eastAsia"/>
        </w:rPr>
        <w:t>表</w:t>
      </w:r>
      <w:r>
        <w:t>1</w:t>
      </w:r>
      <w:r>
        <w:rPr>
          <w:rFonts w:hint="eastAsia"/>
        </w:rPr>
        <w:br/>
      </w:r>
      <w:r>
        <w:rPr>
          <w:rFonts w:eastAsia="SimHei" w:hint="eastAsia"/>
        </w:rPr>
        <w:t>卡塔尔按性别和广义年龄组分列的人口规模变化情况</w:t>
      </w:r>
    </w:p>
    <w:tbl>
      <w:tblPr>
        <w:tblW w:w="9637" w:type="dxa"/>
        <w:tblLayout w:type="fixed"/>
        <w:tblCellMar>
          <w:left w:w="0" w:type="dxa"/>
          <w:right w:w="0" w:type="dxa"/>
        </w:tblCellMar>
        <w:tblLook w:val="0000" w:firstRow="0" w:lastRow="0" w:firstColumn="0" w:lastColumn="0" w:noHBand="0" w:noVBand="0"/>
      </w:tblPr>
      <w:tblGrid>
        <w:gridCol w:w="708"/>
        <w:gridCol w:w="822"/>
        <w:gridCol w:w="971"/>
        <w:gridCol w:w="971"/>
        <w:gridCol w:w="1066"/>
        <w:gridCol w:w="953"/>
        <w:gridCol w:w="953"/>
        <w:gridCol w:w="1054"/>
        <w:gridCol w:w="1162"/>
        <w:gridCol w:w="977"/>
      </w:tblGrid>
      <w:tr w:rsidR="007234DD">
        <w:trPr>
          <w:cantSplit/>
          <w:trHeight w:val="20"/>
        </w:trPr>
        <w:tc>
          <w:tcPr>
            <w:tcW w:w="709" w:type="dxa"/>
            <w:vMerge w:val="restart"/>
            <w:tcBorders>
              <w:top w:val="single" w:sz="4" w:space="0" w:color="auto"/>
              <w:bottom w:val="single" w:sz="12" w:space="0" w:color="auto"/>
            </w:tcBorders>
            <w:shd w:val="clear" w:color="auto" w:fill="auto"/>
            <w:vAlign w:val="bottom"/>
          </w:tcPr>
          <w:p w:rsidR="007234DD" w:rsidRDefault="007234DD">
            <w:pPr>
              <w:pStyle w:val="a0"/>
              <w:ind w:right="0"/>
              <w:rPr>
                <w:rtl/>
                <w:lang w:bidi="ar-QA"/>
              </w:rPr>
            </w:pPr>
            <w:r>
              <w:rPr>
                <w:lang w:bidi="ar-QA"/>
              </w:rPr>
              <w:t>年份</w:t>
            </w:r>
          </w:p>
        </w:tc>
        <w:tc>
          <w:tcPr>
            <w:tcW w:w="2765" w:type="dxa"/>
            <w:gridSpan w:val="3"/>
            <w:tcBorders>
              <w:top w:val="single" w:sz="4" w:space="0" w:color="auto"/>
              <w:bottom w:val="single" w:sz="6" w:space="0" w:color="auto"/>
            </w:tcBorders>
            <w:shd w:val="clear" w:color="auto" w:fill="auto"/>
            <w:vAlign w:val="bottom"/>
          </w:tcPr>
          <w:p w:rsidR="007234DD" w:rsidRDefault="007234DD">
            <w:pPr>
              <w:pStyle w:val="a0"/>
              <w:ind w:right="0"/>
              <w:jc w:val="center"/>
              <w:rPr>
                <w:rtl/>
                <w:lang w:bidi="ar-QA"/>
              </w:rPr>
            </w:pPr>
            <w:r>
              <w:t>男性</w:t>
            </w:r>
          </w:p>
        </w:tc>
        <w:tc>
          <w:tcPr>
            <w:tcW w:w="1066" w:type="dxa"/>
            <w:vMerge w:val="restart"/>
            <w:tcBorders>
              <w:top w:val="single" w:sz="4" w:space="0" w:color="auto"/>
              <w:bottom w:val="single" w:sz="12" w:space="0" w:color="auto"/>
            </w:tcBorders>
            <w:shd w:val="clear" w:color="auto" w:fill="auto"/>
            <w:vAlign w:val="bottom"/>
          </w:tcPr>
          <w:p w:rsidR="007234DD" w:rsidRDefault="007234DD">
            <w:pPr>
              <w:pStyle w:val="a0"/>
              <w:ind w:right="0"/>
              <w:jc w:val="right"/>
              <w:rPr>
                <w:b/>
                <w:rtl/>
                <w:lang w:bidi="ar-QA"/>
              </w:rPr>
            </w:pPr>
            <w:r>
              <w:rPr>
                <w:b/>
              </w:rPr>
              <w:t>男性合计</w:t>
            </w:r>
          </w:p>
        </w:tc>
        <w:tc>
          <w:tcPr>
            <w:tcW w:w="2960" w:type="dxa"/>
            <w:gridSpan w:val="3"/>
            <w:tcBorders>
              <w:top w:val="single" w:sz="4" w:space="0" w:color="auto"/>
              <w:bottom w:val="single" w:sz="6" w:space="0" w:color="auto"/>
            </w:tcBorders>
            <w:shd w:val="clear" w:color="auto" w:fill="auto"/>
            <w:vAlign w:val="bottom"/>
          </w:tcPr>
          <w:p w:rsidR="007234DD" w:rsidRDefault="007234DD">
            <w:pPr>
              <w:pStyle w:val="a0"/>
              <w:ind w:right="0"/>
              <w:jc w:val="center"/>
              <w:rPr>
                <w:rtl/>
                <w:lang w:bidi="ar-QA"/>
              </w:rPr>
            </w:pPr>
            <w:r>
              <w:t>女性</w:t>
            </w:r>
          </w:p>
        </w:tc>
        <w:tc>
          <w:tcPr>
            <w:tcW w:w="1162" w:type="dxa"/>
            <w:vMerge w:val="restart"/>
            <w:tcBorders>
              <w:top w:val="single" w:sz="4" w:space="0" w:color="auto"/>
              <w:bottom w:val="single" w:sz="12" w:space="0" w:color="auto"/>
            </w:tcBorders>
            <w:shd w:val="clear" w:color="auto" w:fill="auto"/>
            <w:vAlign w:val="bottom"/>
          </w:tcPr>
          <w:p w:rsidR="007234DD" w:rsidRDefault="007234DD">
            <w:pPr>
              <w:pStyle w:val="a0"/>
              <w:ind w:right="0"/>
              <w:jc w:val="right"/>
              <w:rPr>
                <w:b/>
                <w:rtl/>
              </w:rPr>
            </w:pPr>
            <w:r>
              <w:rPr>
                <w:b/>
              </w:rPr>
              <w:t>女性合计</w:t>
            </w:r>
          </w:p>
        </w:tc>
        <w:tc>
          <w:tcPr>
            <w:tcW w:w="977" w:type="dxa"/>
            <w:vMerge w:val="restart"/>
            <w:tcBorders>
              <w:top w:val="single" w:sz="4" w:space="0" w:color="auto"/>
              <w:bottom w:val="single" w:sz="12" w:space="0" w:color="auto"/>
            </w:tcBorders>
            <w:shd w:val="clear" w:color="auto" w:fill="auto"/>
            <w:vAlign w:val="bottom"/>
          </w:tcPr>
          <w:p w:rsidR="007234DD" w:rsidRDefault="007234DD">
            <w:pPr>
              <w:pStyle w:val="a0"/>
              <w:ind w:right="0"/>
              <w:jc w:val="right"/>
              <w:rPr>
                <w:b/>
                <w:rtl/>
              </w:rPr>
            </w:pPr>
            <w:r>
              <w:rPr>
                <w:b/>
              </w:rPr>
              <w:t>总计</w:t>
            </w:r>
          </w:p>
        </w:tc>
      </w:tr>
      <w:tr w:rsidR="007234DD">
        <w:trPr>
          <w:cantSplit/>
          <w:trHeight w:val="20"/>
        </w:trPr>
        <w:tc>
          <w:tcPr>
            <w:tcW w:w="709" w:type="dxa"/>
            <w:vMerge/>
            <w:tcBorders>
              <w:top w:val="single" w:sz="12" w:space="0" w:color="auto"/>
              <w:bottom w:val="single" w:sz="12" w:space="0" w:color="auto"/>
            </w:tcBorders>
            <w:shd w:val="clear" w:color="auto" w:fill="auto"/>
          </w:tcPr>
          <w:p w:rsidR="007234DD" w:rsidRDefault="007234DD">
            <w:pPr>
              <w:pStyle w:val="a5"/>
              <w:rPr>
                <w:rtl/>
                <w:lang w:bidi="ar-QA"/>
              </w:rPr>
            </w:pPr>
          </w:p>
        </w:tc>
        <w:tc>
          <w:tcPr>
            <w:tcW w:w="823"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t>0–14</w:t>
            </w:r>
            <w:r>
              <w:rPr>
                <w:rFonts w:hint="eastAsia"/>
              </w:rPr>
              <w:t>岁</w:t>
            </w:r>
          </w:p>
        </w:tc>
        <w:tc>
          <w:tcPr>
            <w:tcW w:w="971"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t>15–64</w:t>
            </w:r>
            <w:r>
              <w:rPr>
                <w:rFonts w:hint="eastAsia"/>
              </w:rPr>
              <w:t>岁</w:t>
            </w:r>
          </w:p>
        </w:tc>
        <w:tc>
          <w:tcPr>
            <w:tcW w:w="971" w:type="dxa"/>
            <w:tcBorders>
              <w:top w:val="single" w:sz="6" w:space="0" w:color="auto"/>
              <w:bottom w:val="single" w:sz="12" w:space="0" w:color="auto"/>
            </w:tcBorders>
            <w:shd w:val="clear" w:color="auto" w:fill="auto"/>
          </w:tcPr>
          <w:p w:rsidR="007234DD" w:rsidRDefault="007234DD">
            <w:pPr>
              <w:pStyle w:val="a0"/>
              <w:ind w:right="0"/>
              <w:jc w:val="right"/>
              <w:rPr>
                <w:rtl/>
              </w:rPr>
            </w:pPr>
            <w:r>
              <w:t>6</w:t>
            </w:r>
            <w:r>
              <w:rPr>
                <w:rFonts w:hint="eastAsia"/>
              </w:rPr>
              <w:t>5</w:t>
            </w:r>
            <w:r>
              <w:rPr>
                <w:rFonts w:hint="eastAsia"/>
              </w:rPr>
              <w:t>岁及以上</w:t>
            </w:r>
          </w:p>
        </w:tc>
        <w:tc>
          <w:tcPr>
            <w:tcW w:w="1066" w:type="dxa"/>
            <w:vMerge/>
            <w:tcBorders>
              <w:top w:val="single" w:sz="12" w:space="0" w:color="auto"/>
              <w:bottom w:val="single" w:sz="12" w:space="0" w:color="auto"/>
            </w:tcBorders>
            <w:shd w:val="clear" w:color="auto" w:fill="auto"/>
          </w:tcPr>
          <w:p w:rsidR="007234DD" w:rsidRDefault="007234DD">
            <w:pPr>
              <w:pStyle w:val="a5"/>
              <w:ind w:right="0"/>
              <w:jc w:val="right"/>
              <w:rPr>
                <w:rtl/>
                <w:lang w:bidi="ar-QA"/>
              </w:rPr>
            </w:pPr>
          </w:p>
        </w:tc>
        <w:tc>
          <w:tcPr>
            <w:tcW w:w="953"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t>0–14</w:t>
            </w:r>
            <w:r>
              <w:rPr>
                <w:rFonts w:hint="eastAsia"/>
              </w:rPr>
              <w:t>岁</w:t>
            </w:r>
          </w:p>
        </w:tc>
        <w:tc>
          <w:tcPr>
            <w:tcW w:w="953"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t>15–64</w:t>
            </w:r>
            <w:r>
              <w:rPr>
                <w:rFonts w:hint="eastAsia"/>
              </w:rPr>
              <w:t>岁</w:t>
            </w:r>
          </w:p>
        </w:tc>
        <w:tc>
          <w:tcPr>
            <w:tcW w:w="1054"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t>65</w:t>
            </w:r>
            <w:r>
              <w:rPr>
                <w:rFonts w:hint="eastAsia"/>
              </w:rPr>
              <w:t>岁及以上</w:t>
            </w:r>
          </w:p>
        </w:tc>
        <w:tc>
          <w:tcPr>
            <w:tcW w:w="1162" w:type="dxa"/>
            <w:vMerge/>
            <w:tcBorders>
              <w:bottom w:val="single" w:sz="12" w:space="0" w:color="auto"/>
            </w:tcBorders>
            <w:shd w:val="clear" w:color="auto" w:fill="auto"/>
          </w:tcPr>
          <w:p w:rsidR="007234DD" w:rsidRDefault="007234DD">
            <w:pPr>
              <w:pStyle w:val="a5"/>
              <w:ind w:right="0"/>
              <w:jc w:val="right"/>
              <w:rPr>
                <w:rtl/>
                <w:lang w:bidi="ar-QA"/>
              </w:rPr>
            </w:pPr>
          </w:p>
        </w:tc>
        <w:tc>
          <w:tcPr>
            <w:tcW w:w="977" w:type="dxa"/>
            <w:vMerge/>
            <w:tcBorders>
              <w:bottom w:val="single" w:sz="12" w:space="0" w:color="auto"/>
            </w:tcBorders>
            <w:shd w:val="clear" w:color="auto" w:fill="auto"/>
          </w:tcPr>
          <w:p w:rsidR="007234DD" w:rsidRDefault="007234DD">
            <w:pPr>
              <w:pStyle w:val="a5"/>
              <w:ind w:right="0"/>
              <w:jc w:val="right"/>
              <w:rPr>
                <w:rtl/>
                <w:lang w:bidi="ar-QA"/>
              </w:rPr>
            </w:pPr>
          </w:p>
        </w:tc>
      </w:tr>
      <w:tr w:rsidR="007234DD">
        <w:trPr>
          <w:cantSplit/>
          <w:trHeight w:val="20"/>
        </w:trPr>
        <w:tc>
          <w:tcPr>
            <w:tcW w:w="709" w:type="dxa"/>
            <w:tcBorders>
              <w:top w:val="single" w:sz="12" w:space="0" w:color="auto"/>
            </w:tcBorders>
            <w:shd w:val="clear" w:color="auto" w:fill="auto"/>
          </w:tcPr>
          <w:p w:rsidR="007234DD" w:rsidRDefault="007234DD">
            <w:pPr>
              <w:pStyle w:val="a5"/>
              <w:rPr>
                <w:rFonts w:hint="eastAsia"/>
              </w:rPr>
            </w:pPr>
            <w:r>
              <w:t>1986</w:t>
            </w:r>
          </w:p>
        </w:tc>
        <w:tc>
          <w:tcPr>
            <w:tcW w:w="823" w:type="dxa"/>
            <w:tcBorders>
              <w:top w:val="single" w:sz="12" w:space="0" w:color="auto"/>
            </w:tcBorders>
            <w:shd w:val="clear" w:color="auto" w:fill="auto"/>
          </w:tcPr>
          <w:p w:rsidR="007234DD" w:rsidRDefault="007234DD">
            <w:pPr>
              <w:pStyle w:val="a5"/>
              <w:ind w:right="0"/>
              <w:jc w:val="right"/>
            </w:pPr>
            <w:r>
              <w:t>53,038</w:t>
            </w:r>
          </w:p>
        </w:tc>
        <w:tc>
          <w:tcPr>
            <w:tcW w:w="971" w:type="dxa"/>
            <w:tcBorders>
              <w:top w:val="single" w:sz="12" w:space="0" w:color="auto"/>
            </w:tcBorders>
            <w:shd w:val="clear" w:color="auto" w:fill="auto"/>
          </w:tcPr>
          <w:p w:rsidR="007234DD" w:rsidRDefault="007234DD">
            <w:pPr>
              <w:pStyle w:val="a5"/>
              <w:ind w:right="0"/>
              <w:jc w:val="right"/>
            </w:pPr>
            <w:r>
              <w:t>194,850</w:t>
            </w:r>
          </w:p>
        </w:tc>
        <w:tc>
          <w:tcPr>
            <w:tcW w:w="971" w:type="dxa"/>
            <w:tcBorders>
              <w:top w:val="single" w:sz="12" w:space="0" w:color="auto"/>
            </w:tcBorders>
            <w:shd w:val="clear" w:color="auto" w:fill="auto"/>
          </w:tcPr>
          <w:p w:rsidR="007234DD" w:rsidRDefault="007234DD">
            <w:pPr>
              <w:pStyle w:val="a5"/>
              <w:ind w:right="0"/>
              <w:jc w:val="right"/>
            </w:pPr>
            <w:r>
              <w:t>2,207</w:t>
            </w:r>
          </w:p>
        </w:tc>
        <w:tc>
          <w:tcPr>
            <w:tcW w:w="1066" w:type="dxa"/>
            <w:tcBorders>
              <w:top w:val="single" w:sz="12" w:space="0" w:color="auto"/>
            </w:tcBorders>
            <w:shd w:val="clear" w:color="auto" w:fill="auto"/>
          </w:tcPr>
          <w:p w:rsidR="007234DD" w:rsidRDefault="007234DD">
            <w:pPr>
              <w:pStyle w:val="a5"/>
              <w:ind w:right="0"/>
              <w:jc w:val="right"/>
              <w:rPr>
                <w:b/>
              </w:rPr>
            </w:pPr>
            <w:r>
              <w:rPr>
                <w:b/>
              </w:rPr>
              <w:t>250,095</w:t>
            </w:r>
          </w:p>
        </w:tc>
        <w:tc>
          <w:tcPr>
            <w:tcW w:w="953" w:type="dxa"/>
            <w:tcBorders>
              <w:top w:val="single" w:sz="12" w:space="0" w:color="auto"/>
            </w:tcBorders>
            <w:shd w:val="clear" w:color="auto" w:fill="auto"/>
          </w:tcPr>
          <w:p w:rsidR="007234DD" w:rsidRDefault="007234DD">
            <w:pPr>
              <w:pStyle w:val="a5"/>
              <w:ind w:right="0"/>
              <w:jc w:val="right"/>
            </w:pPr>
            <w:r>
              <w:t>50,248</w:t>
            </w:r>
          </w:p>
        </w:tc>
        <w:tc>
          <w:tcPr>
            <w:tcW w:w="953" w:type="dxa"/>
            <w:tcBorders>
              <w:top w:val="single" w:sz="12" w:space="0" w:color="auto"/>
            </w:tcBorders>
            <w:shd w:val="clear" w:color="auto" w:fill="auto"/>
          </w:tcPr>
          <w:p w:rsidR="007234DD" w:rsidRDefault="007234DD">
            <w:pPr>
              <w:pStyle w:val="a5"/>
              <w:ind w:right="0"/>
              <w:jc w:val="right"/>
            </w:pPr>
            <w:r>
              <w:t>70,493</w:t>
            </w:r>
          </w:p>
        </w:tc>
        <w:tc>
          <w:tcPr>
            <w:tcW w:w="1054" w:type="dxa"/>
            <w:tcBorders>
              <w:top w:val="single" w:sz="12" w:space="0" w:color="auto"/>
            </w:tcBorders>
            <w:shd w:val="clear" w:color="auto" w:fill="auto"/>
          </w:tcPr>
          <w:p w:rsidR="007234DD" w:rsidRDefault="007234DD">
            <w:pPr>
              <w:pStyle w:val="a5"/>
              <w:ind w:right="0"/>
              <w:jc w:val="right"/>
            </w:pPr>
            <w:r>
              <w:t>1,595</w:t>
            </w:r>
          </w:p>
        </w:tc>
        <w:tc>
          <w:tcPr>
            <w:tcW w:w="1162" w:type="dxa"/>
            <w:tcBorders>
              <w:top w:val="single" w:sz="12" w:space="0" w:color="auto"/>
            </w:tcBorders>
            <w:shd w:val="clear" w:color="auto" w:fill="auto"/>
          </w:tcPr>
          <w:p w:rsidR="007234DD" w:rsidRDefault="007234DD">
            <w:pPr>
              <w:pStyle w:val="a5"/>
              <w:ind w:right="0"/>
              <w:jc w:val="right"/>
              <w:rPr>
                <w:rFonts w:hint="eastAsia"/>
                <w:b/>
              </w:rPr>
            </w:pPr>
            <w:r>
              <w:rPr>
                <w:rFonts w:hint="eastAsia"/>
                <w:b/>
              </w:rPr>
              <w:t>122,336</w:t>
            </w:r>
          </w:p>
        </w:tc>
        <w:tc>
          <w:tcPr>
            <w:tcW w:w="977" w:type="dxa"/>
            <w:tcBorders>
              <w:top w:val="single" w:sz="12" w:space="0" w:color="auto"/>
            </w:tcBorders>
            <w:shd w:val="clear" w:color="auto" w:fill="auto"/>
          </w:tcPr>
          <w:p w:rsidR="007234DD" w:rsidRDefault="007234DD">
            <w:pPr>
              <w:pStyle w:val="a5"/>
              <w:ind w:right="0"/>
              <w:jc w:val="right"/>
              <w:rPr>
                <w:rFonts w:hint="eastAsia"/>
                <w:b/>
              </w:rPr>
            </w:pPr>
            <w:r>
              <w:rPr>
                <w:rFonts w:hint="eastAsia"/>
                <w:b/>
              </w:rPr>
              <w:t>372,431</w:t>
            </w:r>
          </w:p>
        </w:tc>
      </w:tr>
      <w:tr w:rsidR="007234DD">
        <w:trPr>
          <w:cantSplit/>
          <w:trHeight w:val="20"/>
        </w:trPr>
        <w:tc>
          <w:tcPr>
            <w:tcW w:w="709" w:type="dxa"/>
            <w:shd w:val="clear" w:color="auto" w:fill="auto"/>
          </w:tcPr>
          <w:p w:rsidR="007234DD" w:rsidRDefault="007234DD">
            <w:pPr>
              <w:pStyle w:val="a5"/>
              <w:rPr>
                <w:rFonts w:hint="eastAsia"/>
              </w:rPr>
            </w:pPr>
            <w:r>
              <w:t>1997</w:t>
            </w:r>
          </w:p>
        </w:tc>
        <w:tc>
          <w:tcPr>
            <w:tcW w:w="823" w:type="dxa"/>
            <w:shd w:val="clear" w:color="auto" w:fill="auto"/>
          </w:tcPr>
          <w:p w:rsidR="007234DD" w:rsidRDefault="007234DD">
            <w:pPr>
              <w:pStyle w:val="a5"/>
              <w:ind w:right="0"/>
              <w:jc w:val="right"/>
            </w:pPr>
            <w:r>
              <w:t>71,753</w:t>
            </w:r>
          </w:p>
        </w:tc>
        <w:tc>
          <w:tcPr>
            <w:tcW w:w="971" w:type="dxa"/>
            <w:shd w:val="clear" w:color="auto" w:fill="auto"/>
          </w:tcPr>
          <w:p w:rsidR="007234DD" w:rsidRDefault="007234DD">
            <w:pPr>
              <w:pStyle w:val="a5"/>
              <w:ind w:right="0"/>
              <w:jc w:val="right"/>
            </w:pPr>
            <w:r>
              <w:t>224,846</w:t>
            </w:r>
          </w:p>
        </w:tc>
        <w:tc>
          <w:tcPr>
            <w:tcW w:w="971" w:type="dxa"/>
            <w:shd w:val="clear" w:color="auto" w:fill="auto"/>
          </w:tcPr>
          <w:p w:rsidR="007234DD" w:rsidRDefault="007234DD">
            <w:pPr>
              <w:pStyle w:val="a5"/>
              <w:ind w:right="0"/>
              <w:jc w:val="right"/>
            </w:pPr>
            <w:r>
              <w:t>4,911</w:t>
            </w:r>
          </w:p>
        </w:tc>
        <w:tc>
          <w:tcPr>
            <w:tcW w:w="1066" w:type="dxa"/>
            <w:shd w:val="clear" w:color="auto" w:fill="auto"/>
          </w:tcPr>
          <w:p w:rsidR="007234DD" w:rsidRDefault="007234DD">
            <w:pPr>
              <w:pStyle w:val="a5"/>
              <w:ind w:right="0"/>
              <w:jc w:val="right"/>
              <w:rPr>
                <w:b/>
              </w:rPr>
            </w:pPr>
            <w:r>
              <w:rPr>
                <w:b/>
              </w:rPr>
              <w:t>301,510</w:t>
            </w:r>
          </w:p>
        </w:tc>
        <w:tc>
          <w:tcPr>
            <w:tcW w:w="953" w:type="dxa"/>
            <w:shd w:val="clear" w:color="auto" w:fill="auto"/>
          </w:tcPr>
          <w:p w:rsidR="007234DD" w:rsidRDefault="007234DD">
            <w:pPr>
              <w:pStyle w:val="a5"/>
              <w:ind w:right="0"/>
              <w:jc w:val="right"/>
            </w:pPr>
            <w:r>
              <w:t>68,011</w:t>
            </w:r>
          </w:p>
        </w:tc>
        <w:tc>
          <w:tcPr>
            <w:tcW w:w="953" w:type="dxa"/>
            <w:shd w:val="clear" w:color="auto" w:fill="auto"/>
          </w:tcPr>
          <w:p w:rsidR="007234DD" w:rsidRDefault="007234DD">
            <w:pPr>
              <w:pStyle w:val="a5"/>
              <w:ind w:right="0"/>
              <w:jc w:val="right"/>
            </w:pPr>
            <w:r>
              <w:t>111,413</w:t>
            </w:r>
          </w:p>
        </w:tc>
        <w:tc>
          <w:tcPr>
            <w:tcW w:w="1054" w:type="dxa"/>
            <w:shd w:val="clear" w:color="auto" w:fill="auto"/>
          </w:tcPr>
          <w:p w:rsidR="007234DD" w:rsidRDefault="007234DD">
            <w:pPr>
              <w:pStyle w:val="a5"/>
              <w:ind w:right="0"/>
              <w:jc w:val="right"/>
            </w:pPr>
            <w:r>
              <w:t>2,889</w:t>
            </w:r>
          </w:p>
        </w:tc>
        <w:tc>
          <w:tcPr>
            <w:tcW w:w="1162" w:type="dxa"/>
            <w:shd w:val="clear" w:color="auto" w:fill="auto"/>
          </w:tcPr>
          <w:p w:rsidR="007234DD" w:rsidRDefault="007234DD">
            <w:pPr>
              <w:pStyle w:val="a5"/>
              <w:ind w:right="0"/>
              <w:jc w:val="right"/>
              <w:rPr>
                <w:rFonts w:hint="eastAsia"/>
                <w:b/>
              </w:rPr>
            </w:pPr>
            <w:r>
              <w:rPr>
                <w:rFonts w:hint="eastAsia"/>
                <w:b/>
              </w:rPr>
              <w:t>182,313</w:t>
            </w:r>
          </w:p>
        </w:tc>
        <w:tc>
          <w:tcPr>
            <w:tcW w:w="977" w:type="dxa"/>
            <w:shd w:val="clear" w:color="auto" w:fill="auto"/>
          </w:tcPr>
          <w:p w:rsidR="007234DD" w:rsidRDefault="007234DD">
            <w:pPr>
              <w:pStyle w:val="a5"/>
              <w:ind w:right="0"/>
              <w:jc w:val="right"/>
              <w:rPr>
                <w:rFonts w:hint="eastAsia"/>
                <w:b/>
              </w:rPr>
            </w:pPr>
            <w:r>
              <w:rPr>
                <w:rFonts w:hint="eastAsia"/>
                <w:b/>
              </w:rPr>
              <w:t>483,823</w:t>
            </w:r>
          </w:p>
        </w:tc>
      </w:tr>
      <w:tr w:rsidR="007234DD">
        <w:trPr>
          <w:cantSplit/>
          <w:trHeight w:val="20"/>
        </w:trPr>
        <w:tc>
          <w:tcPr>
            <w:tcW w:w="709" w:type="dxa"/>
            <w:shd w:val="clear" w:color="auto" w:fill="auto"/>
          </w:tcPr>
          <w:p w:rsidR="007234DD" w:rsidRDefault="007234DD">
            <w:pPr>
              <w:pStyle w:val="a5"/>
              <w:rPr>
                <w:rFonts w:hint="eastAsia"/>
              </w:rPr>
            </w:pPr>
            <w:r>
              <w:t>2004</w:t>
            </w:r>
          </w:p>
        </w:tc>
        <w:tc>
          <w:tcPr>
            <w:tcW w:w="823" w:type="dxa"/>
            <w:shd w:val="clear" w:color="auto" w:fill="auto"/>
          </w:tcPr>
          <w:p w:rsidR="007234DD" w:rsidRDefault="007234DD">
            <w:pPr>
              <w:pStyle w:val="a5"/>
              <w:ind w:right="0"/>
              <w:jc w:val="right"/>
            </w:pPr>
            <w:r>
              <w:t>67,912</w:t>
            </w:r>
          </w:p>
        </w:tc>
        <w:tc>
          <w:tcPr>
            <w:tcW w:w="971" w:type="dxa"/>
            <w:shd w:val="clear" w:color="auto" w:fill="auto"/>
          </w:tcPr>
          <w:p w:rsidR="007234DD" w:rsidRDefault="007234DD">
            <w:pPr>
              <w:pStyle w:val="a5"/>
              <w:ind w:right="0"/>
              <w:jc w:val="right"/>
            </w:pPr>
            <w:r>
              <w:t>478,354</w:t>
            </w:r>
          </w:p>
        </w:tc>
        <w:tc>
          <w:tcPr>
            <w:tcW w:w="971" w:type="dxa"/>
            <w:shd w:val="clear" w:color="auto" w:fill="auto"/>
          </w:tcPr>
          <w:p w:rsidR="007234DD" w:rsidRDefault="007234DD">
            <w:pPr>
              <w:pStyle w:val="a5"/>
              <w:ind w:right="0"/>
              <w:jc w:val="right"/>
            </w:pPr>
            <w:r>
              <w:t>6,550</w:t>
            </w:r>
          </w:p>
        </w:tc>
        <w:tc>
          <w:tcPr>
            <w:tcW w:w="1066" w:type="dxa"/>
            <w:shd w:val="clear" w:color="auto" w:fill="auto"/>
          </w:tcPr>
          <w:p w:rsidR="007234DD" w:rsidRDefault="007234DD">
            <w:pPr>
              <w:pStyle w:val="a5"/>
              <w:ind w:right="0"/>
              <w:jc w:val="right"/>
              <w:rPr>
                <w:b/>
              </w:rPr>
            </w:pPr>
            <w:r>
              <w:rPr>
                <w:b/>
              </w:rPr>
              <w:t>552,816</w:t>
            </w:r>
          </w:p>
        </w:tc>
        <w:tc>
          <w:tcPr>
            <w:tcW w:w="953" w:type="dxa"/>
            <w:shd w:val="clear" w:color="auto" w:fill="auto"/>
          </w:tcPr>
          <w:p w:rsidR="007234DD" w:rsidRDefault="007234DD">
            <w:pPr>
              <w:pStyle w:val="a5"/>
              <w:ind w:right="0"/>
              <w:jc w:val="right"/>
            </w:pPr>
            <w:r>
              <w:t>64,716</w:t>
            </w:r>
          </w:p>
        </w:tc>
        <w:tc>
          <w:tcPr>
            <w:tcW w:w="953" w:type="dxa"/>
            <w:shd w:val="clear" w:color="auto" w:fill="auto"/>
          </w:tcPr>
          <w:p w:rsidR="007234DD" w:rsidRDefault="007234DD">
            <w:pPr>
              <w:pStyle w:val="a5"/>
              <w:ind w:right="0"/>
              <w:jc w:val="right"/>
            </w:pPr>
            <w:r>
              <w:t>139,085</w:t>
            </w:r>
          </w:p>
        </w:tc>
        <w:tc>
          <w:tcPr>
            <w:tcW w:w="1054" w:type="dxa"/>
            <w:shd w:val="clear" w:color="auto" w:fill="auto"/>
          </w:tcPr>
          <w:p w:rsidR="007234DD" w:rsidRDefault="007234DD">
            <w:pPr>
              <w:pStyle w:val="a5"/>
              <w:ind w:right="0"/>
              <w:jc w:val="right"/>
            </w:pPr>
            <w:r>
              <w:t>4,329</w:t>
            </w:r>
          </w:p>
        </w:tc>
        <w:tc>
          <w:tcPr>
            <w:tcW w:w="1162" w:type="dxa"/>
            <w:shd w:val="clear" w:color="auto" w:fill="auto"/>
          </w:tcPr>
          <w:p w:rsidR="007234DD" w:rsidRDefault="007234DD">
            <w:pPr>
              <w:pStyle w:val="a5"/>
              <w:ind w:right="0"/>
              <w:jc w:val="right"/>
              <w:rPr>
                <w:rFonts w:hint="eastAsia"/>
                <w:b/>
              </w:rPr>
            </w:pPr>
            <w:r>
              <w:rPr>
                <w:rFonts w:hint="eastAsia"/>
                <w:b/>
              </w:rPr>
              <w:t>208,130</w:t>
            </w:r>
          </w:p>
        </w:tc>
        <w:tc>
          <w:tcPr>
            <w:tcW w:w="977" w:type="dxa"/>
            <w:shd w:val="clear" w:color="auto" w:fill="auto"/>
          </w:tcPr>
          <w:p w:rsidR="007234DD" w:rsidRDefault="007234DD">
            <w:pPr>
              <w:pStyle w:val="a5"/>
              <w:ind w:right="0"/>
              <w:jc w:val="right"/>
              <w:rPr>
                <w:rFonts w:hint="eastAsia"/>
                <w:b/>
              </w:rPr>
            </w:pPr>
            <w:r>
              <w:rPr>
                <w:rFonts w:hint="eastAsia"/>
                <w:b/>
              </w:rPr>
              <w:t>760,946</w:t>
            </w:r>
          </w:p>
        </w:tc>
      </w:tr>
      <w:tr w:rsidR="007234DD">
        <w:trPr>
          <w:cantSplit/>
          <w:trHeight w:val="20"/>
        </w:trPr>
        <w:tc>
          <w:tcPr>
            <w:tcW w:w="709" w:type="dxa"/>
            <w:tcBorders>
              <w:bottom w:val="single" w:sz="12" w:space="0" w:color="auto"/>
            </w:tcBorders>
            <w:shd w:val="clear" w:color="auto" w:fill="auto"/>
          </w:tcPr>
          <w:p w:rsidR="007234DD" w:rsidRDefault="007234DD">
            <w:pPr>
              <w:pStyle w:val="a5"/>
              <w:rPr>
                <w:rFonts w:hint="eastAsia"/>
              </w:rPr>
            </w:pPr>
            <w:r>
              <w:t>2009</w:t>
            </w:r>
          </w:p>
        </w:tc>
        <w:tc>
          <w:tcPr>
            <w:tcW w:w="823" w:type="dxa"/>
            <w:tcBorders>
              <w:bottom w:val="single" w:sz="12" w:space="0" w:color="auto"/>
            </w:tcBorders>
            <w:shd w:val="clear" w:color="auto" w:fill="auto"/>
          </w:tcPr>
          <w:p w:rsidR="007234DD" w:rsidRDefault="007234DD">
            <w:pPr>
              <w:pStyle w:val="a5"/>
              <w:ind w:right="0"/>
              <w:jc w:val="right"/>
            </w:pPr>
            <w:r>
              <w:t>115,485</w:t>
            </w:r>
          </w:p>
        </w:tc>
        <w:tc>
          <w:tcPr>
            <w:tcW w:w="971" w:type="dxa"/>
            <w:tcBorders>
              <w:bottom w:val="single" w:sz="12" w:space="0" w:color="auto"/>
            </w:tcBorders>
            <w:shd w:val="clear" w:color="auto" w:fill="auto"/>
          </w:tcPr>
          <w:p w:rsidR="007234DD" w:rsidRDefault="007234DD">
            <w:pPr>
              <w:pStyle w:val="a5"/>
              <w:ind w:right="0"/>
              <w:jc w:val="right"/>
            </w:pPr>
            <w:r>
              <w:t>1,139,986</w:t>
            </w:r>
          </w:p>
        </w:tc>
        <w:tc>
          <w:tcPr>
            <w:tcW w:w="971" w:type="dxa"/>
            <w:tcBorders>
              <w:bottom w:val="single" w:sz="12" w:space="0" w:color="auto"/>
            </w:tcBorders>
            <w:shd w:val="clear" w:color="auto" w:fill="auto"/>
          </w:tcPr>
          <w:p w:rsidR="007234DD" w:rsidRDefault="007234DD">
            <w:pPr>
              <w:pStyle w:val="a5"/>
              <w:ind w:right="0"/>
              <w:jc w:val="right"/>
            </w:pPr>
            <w:r>
              <w:t>9,675</w:t>
            </w:r>
          </w:p>
        </w:tc>
        <w:tc>
          <w:tcPr>
            <w:tcW w:w="1066" w:type="dxa"/>
            <w:tcBorders>
              <w:bottom w:val="single" w:sz="12" w:space="0" w:color="auto"/>
            </w:tcBorders>
            <w:shd w:val="clear" w:color="auto" w:fill="auto"/>
          </w:tcPr>
          <w:p w:rsidR="007234DD" w:rsidRDefault="007234DD">
            <w:pPr>
              <w:pStyle w:val="a5"/>
              <w:ind w:right="0"/>
              <w:jc w:val="right"/>
              <w:rPr>
                <w:b/>
              </w:rPr>
            </w:pPr>
            <w:r>
              <w:rPr>
                <w:b/>
              </w:rPr>
              <w:t>1,265,146</w:t>
            </w:r>
          </w:p>
        </w:tc>
        <w:tc>
          <w:tcPr>
            <w:tcW w:w="953" w:type="dxa"/>
            <w:tcBorders>
              <w:bottom w:val="single" w:sz="12" w:space="0" w:color="auto"/>
            </w:tcBorders>
            <w:shd w:val="clear" w:color="auto" w:fill="auto"/>
          </w:tcPr>
          <w:p w:rsidR="007234DD" w:rsidRDefault="007234DD">
            <w:pPr>
              <w:pStyle w:val="a5"/>
              <w:ind w:right="0"/>
              <w:jc w:val="right"/>
            </w:pPr>
            <w:r>
              <w:t>108,281</w:t>
            </w:r>
          </w:p>
        </w:tc>
        <w:tc>
          <w:tcPr>
            <w:tcW w:w="953" w:type="dxa"/>
            <w:tcBorders>
              <w:bottom w:val="single" w:sz="12" w:space="0" w:color="auto"/>
            </w:tcBorders>
            <w:shd w:val="clear" w:color="auto" w:fill="auto"/>
          </w:tcPr>
          <w:p w:rsidR="007234DD" w:rsidRDefault="007234DD">
            <w:pPr>
              <w:pStyle w:val="a5"/>
              <w:ind w:right="0"/>
              <w:jc w:val="right"/>
            </w:pPr>
            <w:r>
              <w:t>259,173</w:t>
            </w:r>
          </w:p>
        </w:tc>
        <w:tc>
          <w:tcPr>
            <w:tcW w:w="1054" w:type="dxa"/>
            <w:tcBorders>
              <w:bottom w:val="single" w:sz="12" w:space="0" w:color="auto"/>
            </w:tcBorders>
            <w:shd w:val="clear" w:color="auto" w:fill="auto"/>
          </w:tcPr>
          <w:p w:rsidR="007234DD" w:rsidRDefault="007234DD">
            <w:pPr>
              <w:pStyle w:val="a5"/>
              <w:ind w:right="0"/>
              <w:jc w:val="right"/>
            </w:pPr>
            <w:r>
              <w:t>6,026</w:t>
            </w:r>
          </w:p>
        </w:tc>
        <w:tc>
          <w:tcPr>
            <w:tcW w:w="1162" w:type="dxa"/>
            <w:tcBorders>
              <w:bottom w:val="single" w:sz="12" w:space="0" w:color="auto"/>
            </w:tcBorders>
            <w:shd w:val="clear" w:color="auto" w:fill="auto"/>
          </w:tcPr>
          <w:p w:rsidR="007234DD" w:rsidRDefault="007234DD">
            <w:pPr>
              <w:pStyle w:val="a5"/>
              <w:ind w:right="0"/>
              <w:jc w:val="right"/>
              <w:rPr>
                <w:rFonts w:hint="eastAsia"/>
                <w:b/>
              </w:rPr>
            </w:pPr>
            <w:r>
              <w:rPr>
                <w:rFonts w:hint="eastAsia"/>
                <w:b/>
              </w:rPr>
              <w:t>373,480</w:t>
            </w:r>
          </w:p>
        </w:tc>
        <w:tc>
          <w:tcPr>
            <w:tcW w:w="977" w:type="dxa"/>
            <w:tcBorders>
              <w:bottom w:val="single" w:sz="12" w:space="0" w:color="auto"/>
            </w:tcBorders>
            <w:shd w:val="clear" w:color="auto" w:fill="auto"/>
          </w:tcPr>
          <w:p w:rsidR="007234DD" w:rsidRDefault="007234DD">
            <w:pPr>
              <w:pStyle w:val="a5"/>
              <w:ind w:right="0"/>
              <w:jc w:val="right"/>
              <w:rPr>
                <w:rFonts w:hint="eastAsia"/>
                <w:b/>
              </w:rPr>
            </w:pPr>
            <w:r>
              <w:rPr>
                <w:rFonts w:hint="eastAsia"/>
                <w:b/>
              </w:rPr>
              <w:t>1,638,626</w:t>
            </w:r>
          </w:p>
        </w:tc>
      </w:tr>
    </w:tbl>
    <w:p w:rsidR="007234DD" w:rsidRDefault="0046422A" w:rsidP="0046422A">
      <w:pPr>
        <w:pStyle w:val="SingleTxtGC"/>
        <w:tabs>
          <w:tab w:val="left" w:pos="170"/>
        </w:tabs>
        <w:spacing w:before="120"/>
        <w:ind w:left="0"/>
        <w:rPr>
          <w:rFonts w:hint="eastAsia"/>
          <w:sz w:val="19"/>
          <w:szCs w:val="19"/>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统计局，《年度摘要》，各种版本。</w:t>
      </w:r>
    </w:p>
    <w:p w:rsidR="007234DD" w:rsidRDefault="007234DD">
      <w:pPr>
        <w:pStyle w:val="SingleTxtGC"/>
        <w:rPr>
          <w:rFonts w:eastAsia="SimHei"/>
        </w:rPr>
      </w:pPr>
      <w:r>
        <w:rPr>
          <w:rFonts w:hint="eastAsia"/>
        </w:rPr>
        <w:t>图</w:t>
      </w:r>
      <w:r>
        <w:t>1</w:t>
      </w:r>
      <w:r>
        <w:rPr>
          <w:rFonts w:hint="eastAsia"/>
        </w:rPr>
        <w:br/>
      </w:r>
      <w:r>
        <w:rPr>
          <w:rFonts w:eastAsia="SimHei"/>
        </w:rPr>
        <w:t>2009</w:t>
      </w:r>
      <w:r>
        <w:rPr>
          <w:rFonts w:eastAsia="SimHei"/>
        </w:rPr>
        <w:t>年人口金字塔</w:t>
      </w:r>
    </w:p>
    <w:p w:rsidR="007234DD" w:rsidRDefault="007234DD">
      <w:pPr>
        <w:pStyle w:val="SingleTxtGC"/>
        <w:rPr>
          <w:rFonts w:hint="eastAsia"/>
          <w:szCs w:val="16"/>
        </w:rPr>
      </w:pPr>
      <w:r>
        <w:rPr>
          <w:noProof/>
          <w:sz w:val="20"/>
          <w:szCs w:val="16"/>
        </w:rPr>
        <w:pict>
          <v:shapetype id="_x0000_t202" coordsize="21600,21600" o:spt="202" path="m,l,21600r21600,l21600,xe">
            <v:stroke joinstyle="miter"/>
            <v:path gradientshapeok="t" o:connecttype="rect"/>
          </v:shapetype>
          <v:shape id="_x0000_s1151" type="#_x0000_t202" style="position:absolute;left:0;text-align:left;margin-left:357.5pt;margin-top:121.15pt;width:19.5pt;height:32.6pt;z-index:4;mso-wrap-edited:f" stroked="f">
            <v:textbox style="mso-next-textbox:#_x0000_s1151" inset="0,0,0,0">
              <w:txbxContent>
                <w:p w:rsidR="007234DD" w:rsidRDefault="007234DD">
                  <w:pPr>
                    <w:widowControl w:val="0"/>
                    <w:spacing w:before="40" w:line="200" w:lineRule="exact"/>
                    <w:rPr>
                      <w:rFonts w:hint="eastAsia"/>
                      <w:sz w:val="16"/>
                      <w:szCs w:val="16"/>
                    </w:rPr>
                  </w:pPr>
                  <w:r>
                    <w:rPr>
                      <w:rFonts w:hint="eastAsia"/>
                      <w:sz w:val="16"/>
                      <w:szCs w:val="16"/>
                    </w:rPr>
                    <w:t>女性</w:t>
                  </w:r>
                </w:p>
                <w:p w:rsidR="007234DD" w:rsidRDefault="007234DD">
                  <w:pPr>
                    <w:widowControl w:val="0"/>
                    <w:spacing w:before="120" w:line="200" w:lineRule="exact"/>
                    <w:rPr>
                      <w:rFonts w:hint="eastAsia"/>
                      <w:sz w:val="16"/>
                      <w:szCs w:val="16"/>
                    </w:rPr>
                  </w:pPr>
                  <w:r>
                    <w:rPr>
                      <w:rFonts w:hint="eastAsia"/>
                      <w:sz w:val="16"/>
                      <w:szCs w:val="16"/>
                    </w:rPr>
                    <w:t>男性</w:t>
                  </w:r>
                </w:p>
              </w:txbxContent>
            </v:textbox>
          </v:shape>
        </w:pict>
      </w:r>
      <w:r>
        <w:rPr>
          <w:rFonts w:hint="eastAsia"/>
          <w:noProof/>
          <w:snapToGrid/>
          <w:szCs w:val="16"/>
        </w:rPr>
        <w:pict>
          <v:shape id="Picture 6" o:spid="_x0000_s1150" type="#_x0000_t75" style="position:absolute;left:0;text-align:left;margin-left:58.5pt;margin-top:28.35pt;width:172.9pt;height:215.05pt;z-index:3;visibility:visible" o:allowoverlap="f">
            <v:imagedata r:id="rId8" o:title="" cropbottom="-72f"/>
            <w10:wrap type="topAndBottom"/>
          </v:shape>
        </w:pict>
      </w:r>
      <w:r>
        <w:rPr>
          <w:noProof/>
        </w:rPr>
        <w:pict>
          <v:shape id="Chart 4" o:spid="_x0000_s1143" type="#_x0000_t75" style="position:absolute;left:0;text-align:left;margin-left:234pt;margin-top:27.4pt;width:153.6pt;height:3in;z-index:2;visibility:visible;mso-wrap-distance-bottom:.1267mm"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">
            <v:imagedata r:id="rId9" o:title=""/>
            <o:lock v:ext="edit" aspectratio="f"/>
          </v:shape>
        </w:pict>
      </w:r>
      <w:r>
        <w:rPr>
          <w:rFonts w:hint="eastAsia"/>
          <w:szCs w:val="16"/>
        </w:rPr>
        <w:t>卡塔尔居民</w:t>
      </w:r>
      <w:r>
        <w:rPr>
          <w:rFonts w:hint="eastAsia"/>
          <w:szCs w:val="16"/>
        </w:rPr>
        <w:tab/>
      </w:r>
      <w:r>
        <w:rPr>
          <w:rFonts w:hint="eastAsia"/>
          <w:szCs w:val="16"/>
        </w:rPr>
        <w:t>卡塔尔人口</w:t>
      </w:r>
    </w:p>
    <w:p w:rsidR="007234DD" w:rsidRDefault="007234DD">
      <w:pPr>
        <w:spacing w:line="200" w:lineRule="exact"/>
        <w:ind w:left="1134" w:right="1134" w:firstLine="170"/>
        <w:rPr>
          <w:rFonts w:ascii="STKaiti" w:eastAsia="KaiTi_GB2312" w:hAnsi="STKaiti" w:hint="eastAsia"/>
          <w:sz w:val="18"/>
        </w:rPr>
      </w:pPr>
    </w:p>
    <w:p w:rsidR="007234DD" w:rsidRDefault="007234DD">
      <w:pPr>
        <w:pStyle w:val="SingleTxtGC"/>
        <w:rPr>
          <w:rFonts w:hint="eastAsia"/>
          <w:sz w:val="19"/>
          <w:szCs w:val="19"/>
        </w:rPr>
      </w:pPr>
      <w:r>
        <w:rPr>
          <w:rFonts w:eastAsia="KaiTi_GB2312" w:hint="eastAsia"/>
          <w:sz w:val="19"/>
          <w:szCs w:val="19"/>
        </w:rPr>
        <w:t>资料来源：</w:t>
      </w:r>
      <w:r>
        <w:rPr>
          <w:rFonts w:hint="eastAsia"/>
          <w:sz w:val="19"/>
          <w:szCs w:val="19"/>
        </w:rPr>
        <w:t>卡塔尔统计局，</w:t>
      </w:r>
      <w:r>
        <w:rPr>
          <w:rFonts w:hint="eastAsia"/>
          <w:sz w:val="19"/>
          <w:szCs w:val="19"/>
        </w:rPr>
        <w:t>2009</w:t>
      </w:r>
      <w:r>
        <w:rPr>
          <w:rFonts w:hint="eastAsia"/>
          <w:sz w:val="19"/>
          <w:szCs w:val="19"/>
        </w:rPr>
        <w:t>年普查。</w:t>
      </w:r>
    </w:p>
    <w:p w:rsidR="007234DD" w:rsidRDefault="007234DD">
      <w:pPr>
        <w:pStyle w:val="SingleTxtGC"/>
        <w:rPr>
          <w:rFonts w:hint="eastAsia"/>
        </w:rPr>
      </w:pPr>
      <w:r>
        <w:t xml:space="preserve">16.  </w:t>
      </w:r>
      <w:r>
        <w:rPr>
          <w:rFonts w:hint="eastAsia"/>
        </w:rPr>
        <w:t>卡塔尔人信仰伊斯兰教，其中绝大多数是逊尼派穆斯林。由于每年吸收大量的移徙工人</w:t>
      </w:r>
      <w:r>
        <w:rPr>
          <w:rFonts w:hint="eastAsia"/>
          <w:spacing w:val="-50"/>
        </w:rPr>
        <w:t>―</w:t>
      </w:r>
      <w:r>
        <w:rPr>
          <w:rFonts w:hint="eastAsia"/>
          <w:spacing w:val="10"/>
        </w:rPr>
        <w:t>―</w:t>
      </w:r>
      <w:r>
        <w:rPr>
          <w:rFonts w:hint="eastAsia"/>
        </w:rPr>
        <w:t>雇用他们以满足卡塔尔各层面和各领域雄心勃勃的发展计划的要求，卡塔尔也有其他信仰团体。事实上，移徙工人占了卡塔尔人口的五分之四以上。这些工人来自地球的四面八方，与持不同宗教信仰、文化和生活方式的人毗邻而居。经验表明，卡塔尔大量移徙工人的存在以及民族、信仰组织和文化的高度多元化并没有阻碍社会不同成员之间的和谐共处。事实上，卡塔尔社会已成为持不同信仰和文化者共存的典范。</w:t>
      </w:r>
    </w:p>
    <w:p w:rsidR="007234DD" w:rsidRDefault="007234DD">
      <w:pPr>
        <w:pStyle w:val="SingleTxtGC"/>
        <w:rPr>
          <w:rFonts w:eastAsia="SimHei"/>
        </w:rPr>
      </w:pPr>
      <w:r>
        <w:br w:type="page"/>
      </w:r>
      <w:r>
        <w:rPr>
          <w:rFonts w:hint="eastAsia"/>
        </w:rPr>
        <w:t>图</w:t>
      </w:r>
      <w:r>
        <w:t>2</w:t>
      </w:r>
      <w:r>
        <w:rPr>
          <w:rFonts w:hint="eastAsia"/>
        </w:rPr>
        <w:br/>
      </w:r>
      <w:r>
        <w:rPr>
          <w:rFonts w:eastAsia="SimHei"/>
        </w:rPr>
        <w:t>2009</w:t>
      </w:r>
      <w:r>
        <w:rPr>
          <w:rFonts w:eastAsia="SimHei"/>
        </w:rPr>
        <w:t>年卡塔尔的民族多样性</w:t>
      </w:r>
    </w:p>
    <w:p w:rsidR="007234DD" w:rsidRDefault="007234DD">
      <w:pPr>
        <w:jc w:val="center"/>
      </w:pPr>
      <w:r>
        <w:rPr>
          <w:noProof/>
        </w:rPr>
        <w:pict>
          <v:group id="_x0000_s1115" editas="canvas" style="position:absolute;margin-left:0;margin-top:0;width:368.5pt;height:153.05pt;z-index:1;mso-position-horizontal-relative:char;mso-position-vertical-relative:line" coordorigin="2269,10543" coordsize="7370,3061">
            <o:lock v:ext="edit" aspectratio="t"/>
            <v:shape id="_x0000_s1116" type="#_x0000_t75" style="position:absolute;left:2269;top:10543;width:7370;height:3061" o:preferrelative="f">
              <v:fill o:detectmouseclick="t"/>
              <v:path o:extrusionok="t" o:connecttype="none"/>
              <o:lock v:ext="edit" text="t"/>
            </v:shape>
            <v:shape id="_x0000_s1117" style="position:absolute;left:6002;top:11313;width:319;height:983" coordsize="348,1071" path="m348,516l,,,555r348,516l348,516xe" fillcolor="#303" strokeweight=".6pt">
              <v:path arrowok="t"/>
            </v:shape>
            <v:shape id="_x0000_s1118" style="position:absolute;left:6002;top:11313;width:319;height:473" coordsize="348,516" path="m,l50,r87,l174,r50,l311,r37,l348,516,,xe" fillcolor="#606" strokeweight=".6pt">
              <v:path arrowok="t"/>
            </v:shape>
            <v:shape id="_x0000_s1119" style="position:absolute;left:6162;top:10666;width:331;height:647" coordsize="29,71" path="m29,l17,,,71e" filled="f" strokeweight="0">
              <v:path arrowok="t"/>
            </v:shape>
            <v:shape id="_x0000_s1120" style="position:absolute;left:5830;top:11322;width:480;height:974" coordsize="523,1061" path="m523,506l,,,555r523,506l523,506xe" fillcolor="#668080" strokeweight=".6pt">
              <v:path arrowok="t"/>
            </v:shape>
            <v:shape id="_x0000_s1121" style="position:absolute;left:5830;top:11313;width:480;height:473" coordsize="523,516" path="m,10r50,l137,r37,l523,516,,10xe" fillcolor="#cff" strokeweight=".6pt">
              <v:path arrowok="t"/>
            </v:shape>
            <v:shape id="_x0000_s1122" style="position:absolute;left:5533;top:10958;width:377;height:364" coordsize="33,40" path="m,l,12,33,40e" filled="f" strokeweight="0">
              <v:path arrowok="t"/>
            </v:shape>
            <v:shape id="_x0000_s1123" style="position:absolute;left:5624;top:11331;width:676;height:965" coordsize="735,1051" path="m735,496l,,,555r735,496l735,496xe" fillcolor="#808066" strokeweight=".6pt">
              <v:path arrowok="t"/>
            </v:shape>
            <v:shape id="_x0000_s1124" style="position:absolute;left:5624;top:11322;width:676;height:464" coordsize="735,506" path="m,10r50,l87,10,137,r,l174,r38,l735,506,,10xe" fillcolor="#ffc" strokeweight=".6pt">
              <v:path arrowok="t"/>
            </v:shape>
            <v:shape id="_x0000_s1125" style="position:absolute;left:4778;top:10703;width:927;height:628" coordsize="81,69" path="m,l12,,81,69e" filled="f" strokeweight="0">
              <v:path arrowok="t"/>
            </v:shape>
            <v:shape id="_x0000_s1126" style="position:absolute;left:8630;top:11795;width:103;height:655" coordsize="112,713" path="m112,r,10l112,20r-12,9l100,49r,10l87,69r,10l75,79r,10l62,99,50,109,38,129r-13,9l13,148,,158,,713r13,-9l25,694,38,684,50,664,62,654,75,644r,-10l87,634r,-10l100,614r,-10l100,585r12,-10l112,565r,-10l112,xe" fillcolor="#4d4d80" strokeweight=".6pt">
              <v:path arrowok="t"/>
            </v:shape>
            <v:shape id="_x0000_s1127" style="position:absolute;left:6425;top:11795;width:2194;height:647" coordsize="2390,704" path="m,l2390,148r,556l,555,,xe" fillcolor="#4d4d80" strokeweight=".6pt">
              <v:path arrowok="t"/>
            </v:shape>
            <v:shape id="_x0000_s1128" style="position:absolute;left:6425;top:11322;width:2308;height:618" coordsize="2514,674" path="m,l49,r87,l174,r50,l311,r37,l398,r87,10l522,10r50,l647,20r50,l734,20r50,l859,30r37,l946,40r74,l1058,50r49,l1182,60r38,l1257,70r75,10l1369,80r37,9l1481,99r37,l1543,109r75,10l1643,129r37,l1742,139r38,10l1805,159r62,10l1892,179r37,10l1979,198r25,10l2029,208r25,10l2103,238r25,l2153,248r38,20l2215,278r25,l2278,298r12,10l2315,317r25,10l2365,337r12,10l2402,367r13,10l2427,387r25,10l2452,407r12,10l2477,436r12,10l2489,456r13,20l2502,486r,10l2514,506r,10l2514,526r,10l2502,555r,10l2502,575r-13,20l2477,595r,10l2452,625r,10l2440,645r-25,19l2402,674,,516,,xe" fillcolor="#99f" strokeweight=".6pt">
              <v:path arrowok="t"/>
            </v:shape>
            <v:shape id="_x0000_s1129" style="position:absolute;left:3969;top:11803;width:4504;height:993" coordsize="4905,1081" path="m4905,159r-12,l4868,179r-25,10l4831,199r-38,19l4781,218r-25,10l4719,248r-25,10l4681,268r-49,10l4607,288r-25,10l4532,308r-25,10l4482,327r-50,10l4395,347r-25,l4308,367r-25,l4246,377r-25,10l4146,397r-25,l4084,407r-62,10l3984,427r-37,l3872,437r-37,9l3797,446r-74,10l3685,466r-37,l3561,476r-37,l3486,486r-87,l3362,496r-38,l3237,496r-37,10l3150,506r-75,l3026,516r-38,l2901,516r-50,l2814,516r-87,10l2677,526r-37,l2553,526r-50,l2465,526r-87,l2328,526r-37,l2204,516r-50,l2117,516r-50,l1980,516r-37,-10l1905,506r-87,l1768,496r-37,l1644,496r-38,-10l1569,486r-87,-10l1445,476r-38,-10l1333,466r-38,-10l1245,456r-74,-10l1146,437r-38,l1034,427,996,417r-37,l897,397r-38,l822,387,760,377,735,367r-37,l648,347r-37,l586,337,523,327r-25,-9l474,308,424,298,399,288,374,278,337,268,312,258,287,248,274,238,237,218r-25,l200,209,162,189,150,179,137,169,113,159,100,149,88,139,63,119,50,109,38,99,25,80r,l13,70r,-20l,40,,30,,10,,,,555r,10l,585r,10l13,605r,20l25,635r,l38,655r12,10l63,674r25,20l100,704r13,10l137,724r13,10l162,744r38,20l212,774r25,l274,793r13,10l312,813r25,10l374,833r25,10l424,853r50,10l498,873r25,10l586,893r25,9l648,902r50,20l735,922r25,10l822,942r37,10l897,952r62,20l996,972r38,10l1108,992r38,l1171,1002r74,9l1295,1011r38,10l1407,1021r38,10l1482,1031r87,10l1606,1041r38,10l1731,1051r37,l1818,1061r87,l1943,1061r37,10l2067,1071r50,l2154,1071r50,l2291,1081r37,l2378,1081r87,l2503,1081r50,l2640,1081r37,l2727,1081r87,-10l2851,1071r50,l2988,1071r38,l3075,1061r75,l3200,1061r37,-10l3324,1051r38,l3399,1041r87,l3524,1031r37,l3648,1021r37,l3723,1011r74,-9l3835,1002r37,-10l3947,982r37,l4022,972r62,-10l4121,952r25,l4221,942r25,-10l4283,922r25,l4370,902r25,l4432,893r50,-10l4507,873r25,-10l4582,853r25,-10l4632,833r49,-10l4694,813r25,-10l4756,783r25,-9l4793,774r38,-20l4843,744r25,-10l4893,714r12,l4905,159xe" fillcolor="#80804d" strokeweight=".6pt">
              <v:path arrowok="t"/>
            </v:shape>
            <v:shape id="_x0000_s1130" style="position:absolute;left:3955;top:11376;width:4504;height:939" coordsize="4905,1021" path="m4905,654r-12,l4868,674r-25,10l4831,694r-38,19l4781,713r-25,10l4719,743r-25,10l4681,763r-49,10l4607,783r-25,10l4532,803r-25,10l4482,822r-50,10l4395,842r-25,l4308,862r-25,l4246,872r-63,10l4146,892r-25,l4046,912r-24,l3984,922r-74,10l3872,932r-37,9l3760,951r-37,l3685,961r-74,l3561,971r-37,l3449,981r-50,l3362,991r-75,l3237,991r-37,10l3113,1001r-38,l3026,1011r-87,l2901,1011r-50,l2764,1011r-37,10l2677,1021r-87,l2553,1021r-50,l2416,1021r-38,l2328,1021r-87,-10l2204,1011r-50,l2067,1011r-37,l1980,1011r-75,-10l1855,1001r-37,l1731,991r-37,l1644,991r-75,-10l1532,981r-50,-10l1407,961r-37,l1333,961r-88,-10l1208,941r-37,l1108,932r-37,-10l1034,922,959,912,922,902,897,892,822,882r-25,l760,872,698,862,673,852,648,842,586,832,561,822r-38,l474,803,449,793r-25,l374,773,362,763r-25,l287,743,274,733,249,723,212,713r-12,-9l175,694,150,674,137,664,125,654,100,644,88,634,75,624,50,604,38,594r,-9l25,575,13,565r,-10l,535,,525,,515,,495,,485r,-9l,466,13,456r,-10l25,426r,-10l38,406,50,386,63,376r12,l100,357r13,-10l125,337r25,-20l162,307r13,l212,287r25,-10l249,267r38,-10l312,248r25,-10l374,218r25,l424,208r50,-20l498,188r25,-10l586,168r25,-10l648,148r50,-10l735,129r25,-10l822,109r37,l897,99,959,89,996,79r38,l1108,69r38,-10l1171,59r74,-10l1295,39r38,l1407,29r38,l1482,20r87,l1606,10r38,l1731,r37,l2503,495,4905,654xe" fillcolor="#ff9" strokeweight=".6pt">
              <v:path arrowok="t"/>
            </v:shape>
            <v:rect id="_x0000_s1131" style="position:absolute;left:5121;top:11983;width:1048;height:320" filled="f" stroked="f">
              <v:textbox style="mso-next-textbox:#_x0000_s1131;mso-fit-shape-to-text:t" inset="0,0,0,0">
                <w:txbxContent>
                  <w:p w:rsidR="007234DD" w:rsidRDefault="007234DD">
                    <w:pPr>
                      <w:rPr>
                        <w:sz w:val="18"/>
                        <w:szCs w:val="18"/>
                      </w:rPr>
                    </w:pPr>
                    <w:r>
                      <w:rPr>
                        <w:rFonts w:hint="eastAsia"/>
                        <w:color w:val="000000"/>
                        <w:sz w:val="18"/>
                        <w:szCs w:val="18"/>
                      </w:rPr>
                      <w:t>亚洲人：</w:t>
                    </w:r>
                    <w:r>
                      <w:rPr>
                        <w:color w:val="000000"/>
                        <w:sz w:val="18"/>
                        <w:szCs w:val="18"/>
                      </w:rPr>
                      <w:t>65.6</w:t>
                    </w:r>
                  </w:p>
                </w:txbxContent>
              </v:textbox>
            </v:rect>
            <v:rect id="_x0000_s1132" style="position:absolute;left:6683;top:11443;width:1490;height:320" filled="f" stroked="f">
              <v:textbox style="mso-next-textbox:#_x0000_s1132;mso-fit-shape-to-text:t" inset="0,0,0,0">
                <w:txbxContent>
                  <w:p w:rsidR="007234DD" w:rsidRDefault="007234DD">
                    <w:pPr>
                      <w:rPr>
                        <w:sz w:val="18"/>
                        <w:szCs w:val="18"/>
                      </w:rPr>
                    </w:pPr>
                    <w:r>
                      <w:rPr>
                        <w:rFonts w:hint="eastAsia"/>
                        <w:color w:val="000000"/>
                        <w:sz w:val="18"/>
                        <w:szCs w:val="18"/>
                      </w:rPr>
                      <w:t>阿拉伯人：</w:t>
                    </w:r>
                    <w:r>
                      <w:rPr>
                        <w:color w:val="000000"/>
                        <w:sz w:val="18"/>
                        <w:szCs w:val="18"/>
                      </w:rPr>
                      <w:t>29.7</w:t>
                    </w:r>
                  </w:p>
                </w:txbxContent>
              </v:textbox>
            </v:rect>
            <v:rect id="_x0000_s1133" style="position:absolute;left:3769;top:10663;width:1062;height:320" filled="f" stroked="f">
              <v:textbox style="mso-next-textbox:#_x0000_s1133;mso-fit-shape-to-text:t" inset="0,0,0,0">
                <w:txbxContent>
                  <w:p w:rsidR="007234DD" w:rsidRDefault="007234DD">
                    <w:pPr>
                      <w:rPr>
                        <w:sz w:val="18"/>
                        <w:szCs w:val="18"/>
                      </w:rPr>
                    </w:pPr>
                    <w:r>
                      <w:rPr>
                        <w:rFonts w:hint="eastAsia"/>
                        <w:color w:val="000000"/>
                        <w:sz w:val="18"/>
                        <w:szCs w:val="18"/>
                      </w:rPr>
                      <w:t>非洲人：</w:t>
                    </w:r>
                    <w:r>
                      <w:rPr>
                        <w:color w:val="000000"/>
                        <w:sz w:val="18"/>
                        <w:szCs w:val="18"/>
                      </w:rPr>
                      <w:t>1.5</w:t>
                    </w:r>
                  </w:p>
                </w:txbxContent>
              </v:textbox>
            </v:rect>
            <v:rect id="_x0000_s1134" style="position:absolute;left:5169;top:10663;width:1200;height:320" filled="f" stroked="f">
              <v:textbox style="mso-next-textbox:#_x0000_s1134;mso-fit-shape-to-text:t" inset="0,0,0,0">
                <w:txbxContent>
                  <w:p w:rsidR="007234DD" w:rsidRDefault="007234DD">
                    <w:pPr>
                      <w:rPr>
                        <w:sz w:val="18"/>
                        <w:szCs w:val="18"/>
                      </w:rPr>
                    </w:pPr>
                    <w:r>
                      <w:rPr>
                        <w:rFonts w:hint="eastAsia"/>
                        <w:color w:val="000000"/>
                        <w:sz w:val="18"/>
                        <w:szCs w:val="18"/>
                      </w:rPr>
                      <w:t>欧洲人：</w:t>
                    </w:r>
                    <w:r>
                      <w:rPr>
                        <w:color w:val="000000"/>
                        <w:sz w:val="18"/>
                        <w:szCs w:val="18"/>
                      </w:rPr>
                      <w:t>1.1</w:t>
                    </w:r>
                  </w:p>
                </w:txbxContent>
              </v:textbox>
            </v:rect>
            <v:rect id="_x0000_s1135" style="position:absolute;left:6469;top:10543;width:943;height:320" filled="f" stroked="f">
              <v:textbox style="mso-next-textbox:#_x0000_s1135;mso-fit-shape-to-text:t" inset="0,0,0,0">
                <w:txbxContent>
                  <w:p w:rsidR="007234DD" w:rsidRDefault="007234DD">
                    <w:pPr>
                      <w:rPr>
                        <w:sz w:val="18"/>
                        <w:szCs w:val="18"/>
                      </w:rPr>
                    </w:pPr>
                    <w:r>
                      <w:rPr>
                        <w:rFonts w:hint="eastAsia"/>
                        <w:color w:val="000000"/>
                        <w:sz w:val="18"/>
                        <w:szCs w:val="18"/>
                      </w:rPr>
                      <w:t>其他：</w:t>
                    </w:r>
                    <w:r>
                      <w:rPr>
                        <w:color w:val="000000"/>
                        <w:sz w:val="18"/>
                        <w:szCs w:val="18"/>
                      </w:rPr>
                      <w:t>2.1</w:t>
                    </w:r>
                  </w:p>
                </w:txbxContent>
              </v:textbox>
            </v:rect>
            <v:rect id="_x0000_s1136" style="position:absolute;left:2275;top:10549;width:7358;height:3049" filled="f" strokeweight=".6pt"/>
          </v:group>
        </w:pict>
      </w:r>
      <w:r>
        <w:pict>
          <v:shape id="_x0000_i1026" type="#_x0000_t75" style="width:368.25pt;height:153pt">
            <v:imagedata croptop="-65520f" cropbottom="65520f"/>
          </v:shape>
        </w:pict>
      </w:r>
    </w:p>
    <w:p w:rsidR="007234DD" w:rsidRDefault="007234DD">
      <w:pPr>
        <w:jc w:val="center"/>
      </w:pPr>
    </w:p>
    <w:p w:rsidR="007234DD" w:rsidRDefault="007234DD">
      <w:pPr>
        <w:jc w:val="center"/>
      </w:pPr>
    </w:p>
    <w:p w:rsidR="007234DD" w:rsidRDefault="007234DD">
      <w:pPr>
        <w:jc w:val="center"/>
      </w:pPr>
    </w:p>
    <w:p w:rsidR="007234DD" w:rsidRDefault="007234DD">
      <w:pPr>
        <w:jc w:val="center"/>
      </w:pPr>
    </w:p>
    <w:p w:rsidR="007234DD" w:rsidRDefault="007234DD">
      <w:pPr>
        <w:jc w:val="center"/>
      </w:pPr>
    </w:p>
    <w:p w:rsidR="007234DD" w:rsidRDefault="007234DD">
      <w:pPr>
        <w:jc w:val="center"/>
      </w:pPr>
    </w:p>
    <w:p w:rsidR="007234DD" w:rsidRDefault="007234DD">
      <w:pPr>
        <w:jc w:val="center"/>
      </w:pPr>
    </w:p>
    <w:p w:rsidR="007234DD" w:rsidRDefault="007234DD">
      <w:pPr>
        <w:jc w:val="center"/>
      </w:pPr>
    </w:p>
    <w:p w:rsidR="007234DD" w:rsidRDefault="007234DD">
      <w:pPr>
        <w:jc w:val="center"/>
      </w:pPr>
    </w:p>
    <w:p w:rsidR="007234DD" w:rsidRDefault="007234DD">
      <w:pPr>
        <w:pStyle w:val="SingleTxtGC"/>
        <w:spacing w:after="0" w:line="200" w:lineRule="exact"/>
        <w:rPr>
          <w:rFonts w:hint="eastAsia"/>
        </w:rPr>
      </w:pPr>
    </w:p>
    <w:p w:rsidR="007234DD" w:rsidRDefault="007234DD">
      <w:pPr>
        <w:pStyle w:val="SingleTxtGC"/>
        <w:rPr>
          <w:rFonts w:hint="eastAsia"/>
        </w:rPr>
      </w:pPr>
      <w:r>
        <w:rPr>
          <w:rFonts w:eastAsia="KaiTi_GB2312" w:hint="eastAsia"/>
          <w:sz w:val="19"/>
          <w:szCs w:val="19"/>
        </w:rPr>
        <w:t>资料来源：</w:t>
      </w:r>
      <w:r>
        <w:rPr>
          <w:rFonts w:hint="eastAsia"/>
          <w:sz w:val="19"/>
          <w:szCs w:val="19"/>
        </w:rPr>
        <w:t>卡塔尔国，</w:t>
      </w:r>
      <w:r>
        <w:rPr>
          <w:rFonts w:hint="eastAsia"/>
          <w:sz w:val="19"/>
          <w:szCs w:val="19"/>
        </w:rPr>
        <w:t>2010</w:t>
      </w:r>
      <w:r>
        <w:rPr>
          <w:rFonts w:hint="eastAsia"/>
          <w:sz w:val="19"/>
          <w:szCs w:val="19"/>
        </w:rPr>
        <w:t>年：《不同文明联盟国家计划》，卡塔尔不同文明联盟委员会，</w:t>
      </w:r>
      <w:r>
        <w:rPr>
          <w:rFonts w:hint="eastAsia"/>
          <w:sz w:val="19"/>
          <w:szCs w:val="19"/>
        </w:rPr>
        <w:t>2010</w:t>
      </w:r>
      <w:r>
        <w:rPr>
          <w:rFonts w:hint="eastAsia"/>
          <w:sz w:val="19"/>
          <w:szCs w:val="19"/>
        </w:rPr>
        <w:t>年。</w:t>
      </w:r>
    </w:p>
    <w:p w:rsidR="007234DD" w:rsidRDefault="007234DD">
      <w:pPr>
        <w:pStyle w:val="H23GC"/>
        <w:rPr>
          <w:rFonts w:hint="eastAsia"/>
        </w:rPr>
      </w:pPr>
      <w:r>
        <w:rPr>
          <w:rFonts w:hint="eastAsia"/>
        </w:rPr>
        <w:tab/>
      </w:r>
      <w:r>
        <w:rPr>
          <w:rFonts w:hint="eastAsia"/>
        </w:rPr>
        <w:tab/>
      </w:r>
      <w:r>
        <w:rPr>
          <w:rFonts w:hint="eastAsia"/>
        </w:rPr>
        <w:t>历史概览</w:t>
      </w:r>
    </w:p>
    <w:p w:rsidR="007234DD" w:rsidRDefault="007234DD">
      <w:pPr>
        <w:pStyle w:val="SingleTxtGC"/>
        <w:rPr>
          <w:rFonts w:hint="eastAsia"/>
        </w:rPr>
      </w:pPr>
      <w:r>
        <w:t xml:space="preserve">17.  </w:t>
      </w:r>
      <w:r>
        <w:rPr>
          <w:rFonts w:hint="eastAsia"/>
        </w:rPr>
        <w:t>阿勒萨尼家族自十八世纪初起统治卡塔尔。谢赫·贾西姆·本·穆罕默德·阿勒萨尼从</w:t>
      </w:r>
      <w:r>
        <w:t>1878</w:t>
      </w:r>
      <w:r>
        <w:rPr>
          <w:rFonts w:hint="eastAsia"/>
        </w:rPr>
        <w:t>年至</w:t>
      </w:r>
      <w:r>
        <w:t>1913</w:t>
      </w:r>
      <w:r>
        <w:rPr>
          <w:rFonts w:hint="eastAsia"/>
        </w:rPr>
        <w:t>年统治这个国家，是现代卡塔尔国的创始人。</w:t>
      </w:r>
      <w:smartTag w:uri="urn:schemas-microsoft-com:office:smarttags" w:element="chsdate">
        <w:smartTagPr>
          <w:attr w:name="Year" w:val="2012"/>
          <w:attr w:name="Month" w:val="12"/>
          <w:attr w:name="Day" w:val="18"/>
          <w:attr w:name="IsLunarDate" w:val="False"/>
          <w:attr w:name="IsROCDate" w:val="False"/>
        </w:smartTagPr>
        <w:r>
          <w:t>12</w:t>
        </w:r>
        <w:r>
          <w:rPr>
            <w:rFonts w:hint="eastAsia"/>
          </w:rPr>
          <w:t>月</w:t>
        </w:r>
        <w:r>
          <w:t>18</w:t>
        </w:r>
        <w:r>
          <w:rPr>
            <w:rFonts w:hint="eastAsia"/>
          </w:rPr>
          <w:t>日</w:t>
        </w:r>
      </w:smartTag>
      <w:r>
        <w:rPr>
          <w:rFonts w:hint="eastAsia"/>
        </w:rPr>
        <w:t>是谢赫·贾西姆上台之日，卡塔尔将这一天作为国庆日每年进行庆祝。第一次世界大战的爆发和影响促使卡塔尔于</w:t>
      </w:r>
      <w:r>
        <w:t>1916</w:t>
      </w:r>
      <w:r>
        <w:rPr>
          <w:rFonts w:hint="eastAsia"/>
        </w:rPr>
        <w:t>年与英国签订条约，为卡塔尔领土和卡塔尔国民提供保护。然而，英国对卡塔尔的影响仅限于监督某些行政事项。当卡塔尔在</w:t>
      </w:r>
      <w:r>
        <w:t>1971</w:t>
      </w:r>
      <w:r>
        <w:rPr>
          <w:rFonts w:hint="eastAsia"/>
        </w:rPr>
        <w:t>年获得独立时，这种安排随之结束。</w:t>
      </w:r>
    </w:p>
    <w:p w:rsidR="007234DD" w:rsidRDefault="007234DD">
      <w:pPr>
        <w:pStyle w:val="SingleTxtGC"/>
        <w:rPr>
          <w:rFonts w:hint="eastAsia"/>
        </w:rPr>
      </w:pPr>
      <w:r>
        <w:t xml:space="preserve">18.  </w:t>
      </w:r>
      <w:r>
        <w:rPr>
          <w:rFonts w:hint="eastAsia"/>
        </w:rPr>
        <w:t>卡塔尔直到二十世纪中期才进入现代。例如，在教育领域，第一所面向男童的学校是在</w:t>
      </w:r>
      <w:r>
        <w:t>1950/51</w:t>
      </w:r>
      <w:r>
        <w:rPr>
          <w:rFonts w:hint="eastAsia"/>
        </w:rPr>
        <w:t>学年开办的。这是第一所按照现代教学标准运作的学校，提供初等教育，有</w:t>
      </w:r>
      <w:r>
        <w:rPr>
          <w:rFonts w:hint="eastAsia"/>
        </w:rPr>
        <w:t>4</w:t>
      </w:r>
      <w:r>
        <w:rPr>
          <w:rFonts w:hint="eastAsia"/>
        </w:rPr>
        <w:t>个班共</w:t>
      </w:r>
      <w:r>
        <w:rPr>
          <w:rFonts w:hint="eastAsia"/>
        </w:rPr>
        <w:t>190</w:t>
      </w:r>
      <w:r>
        <w:rPr>
          <w:rFonts w:hint="eastAsia"/>
        </w:rPr>
        <w:t>名学生。第一所面向女童的小学于</w:t>
      </w:r>
      <w:r>
        <w:t>1953/54</w:t>
      </w:r>
      <w:r>
        <w:rPr>
          <w:rFonts w:hint="eastAsia"/>
        </w:rPr>
        <w:t>学年开始时开办。</w:t>
      </w:r>
      <w:r>
        <w:t>1957/58</w:t>
      </w:r>
      <w:r>
        <w:rPr>
          <w:rFonts w:hint="eastAsia"/>
        </w:rPr>
        <w:t xml:space="preserve"> </w:t>
      </w:r>
      <w:r>
        <w:rPr>
          <w:rFonts w:hint="eastAsia"/>
        </w:rPr>
        <w:t>学年开始时成立了“教学部”，这是卡塔尔有史以来的第一个部。它为各级免费教育的推广与发展以及义务初等教育制度的建立铺平了道路。</w:t>
      </w:r>
      <w:r>
        <w:rPr>
          <w:rFonts w:hint="eastAsia"/>
        </w:rPr>
        <w:t>1973</w:t>
      </w:r>
      <w:r>
        <w:rPr>
          <w:rFonts w:hint="eastAsia"/>
        </w:rPr>
        <w:t>年首次设立了一些高等教育机构，创办了一些面向男女的教育学院，学生人数达</w:t>
      </w:r>
      <w:r>
        <w:rPr>
          <w:rFonts w:hint="eastAsia"/>
        </w:rPr>
        <w:t>150</w:t>
      </w:r>
      <w:r>
        <w:rPr>
          <w:rFonts w:hint="eastAsia"/>
        </w:rPr>
        <w:t>名。然后，卡塔尔大学</w:t>
      </w:r>
      <w:r>
        <w:rPr>
          <w:rFonts w:hint="eastAsia"/>
        </w:rPr>
        <w:t>(</w:t>
      </w:r>
      <w:r>
        <w:rPr>
          <w:rFonts w:hint="eastAsia"/>
        </w:rPr>
        <w:t>全国性国立大学</w:t>
      </w:r>
      <w:r>
        <w:rPr>
          <w:rFonts w:hint="eastAsia"/>
        </w:rPr>
        <w:t>)</w:t>
      </w:r>
      <w:r>
        <w:rPr>
          <w:rFonts w:hint="eastAsia"/>
        </w:rPr>
        <w:t>于</w:t>
      </w:r>
      <w:r>
        <w:rPr>
          <w:rFonts w:hint="eastAsia"/>
        </w:rPr>
        <w:t>1977</w:t>
      </w:r>
      <w:r>
        <w:rPr>
          <w:rFonts w:hint="eastAsia"/>
        </w:rPr>
        <w:t>年成立。该大学目前有</w:t>
      </w:r>
      <w:r>
        <w:rPr>
          <w:rFonts w:hint="eastAsia"/>
        </w:rPr>
        <w:t>7</w:t>
      </w:r>
      <w:r>
        <w:rPr>
          <w:rFonts w:hint="eastAsia"/>
        </w:rPr>
        <w:t>个学院，分别是：文理学院、工程学院、管理和经济学院、伊斯兰教法和伊斯兰研究学院、法学院、教育学院以及药学院。</w:t>
      </w:r>
    </w:p>
    <w:p w:rsidR="007234DD" w:rsidRDefault="007234DD">
      <w:pPr>
        <w:pStyle w:val="SingleTxtGC"/>
        <w:rPr>
          <w:rFonts w:hint="eastAsia"/>
        </w:rPr>
      </w:pPr>
      <w:r>
        <w:t xml:space="preserve">19.  </w:t>
      </w:r>
      <w:r>
        <w:rPr>
          <w:rFonts w:hint="eastAsia"/>
        </w:rPr>
        <w:t>至于卫生部门，第一所医院创办于</w:t>
      </w:r>
      <w:r>
        <w:rPr>
          <w:rFonts w:hint="eastAsia"/>
        </w:rPr>
        <w:t>1945</w:t>
      </w:r>
      <w:r>
        <w:rPr>
          <w:rFonts w:hint="eastAsia"/>
        </w:rPr>
        <w:t>年。然后，于</w:t>
      </w:r>
      <w:r>
        <w:rPr>
          <w:rFonts w:hint="eastAsia"/>
        </w:rPr>
        <w:t>1951</w:t>
      </w:r>
      <w:r>
        <w:rPr>
          <w:rFonts w:hint="eastAsia"/>
        </w:rPr>
        <w:t>年成立了医学部，免费公共医疗保健服务自该部成立之日起提供。</w:t>
      </w:r>
      <w:r>
        <w:rPr>
          <w:rFonts w:hint="eastAsia"/>
        </w:rPr>
        <w:t>1953</w:t>
      </w:r>
      <w:r>
        <w:rPr>
          <w:rFonts w:hint="eastAsia"/>
        </w:rPr>
        <w:t>年，公共卫生部成立，负责监督医疗保健服务的各个方面。</w:t>
      </w:r>
      <w:r>
        <w:rPr>
          <w:rFonts w:hint="eastAsia"/>
        </w:rPr>
        <w:t>1954</w:t>
      </w:r>
      <w:r>
        <w:rPr>
          <w:rFonts w:hint="eastAsia"/>
        </w:rPr>
        <w:t>年成立了三家政府诊所，而且如果在卡塔尔国内无法提供治疗，所有公民和非卡塔尔籍公务员都有权赴国外寻求治疗，费用由国家承担。</w:t>
      </w:r>
      <w:r>
        <w:rPr>
          <w:rFonts w:hint="eastAsia"/>
        </w:rPr>
        <w:t>1970</w:t>
      </w:r>
      <w:r>
        <w:rPr>
          <w:rFonts w:hint="eastAsia"/>
        </w:rPr>
        <w:t>年，在最终成立了卫生部之后，创办了一系列的政府专科医院。</w:t>
      </w:r>
    </w:p>
    <w:p w:rsidR="007234DD" w:rsidRDefault="007234DD">
      <w:pPr>
        <w:pStyle w:val="SingleTxtGC"/>
        <w:rPr>
          <w:rFonts w:hint="eastAsia"/>
        </w:rPr>
      </w:pPr>
      <w:r>
        <w:t xml:space="preserve">20.  </w:t>
      </w:r>
      <w:r>
        <w:rPr>
          <w:rFonts w:hint="eastAsia"/>
        </w:rPr>
        <w:t>卡塔尔妇</w:t>
      </w:r>
      <w:r>
        <w:rPr>
          <w:rFonts w:ascii="SimSun" w:hAnsi="SimSun" w:cs="SimSun" w:hint="eastAsia"/>
        </w:rPr>
        <w:t>女生活在一种崇尚温顺以及</w:t>
      </w:r>
      <w:r>
        <w:rPr>
          <w:rFonts w:hint="eastAsia"/>
        </w:rPr>
        <w:t>家庭生活建立在大家庭模式和紧密家庭关系基础上</w:t>
      </w:r>
      <w:r>
        <w:rPr>
          <w:rFonts w:ascii="SimSun" w:hAnsi="SimSun" w:cs="SimSun" w:hint="eastAsia"/>
        </w:rPr>
        <w:t>的社会制度中。</w:t>
      </w:r>
      <w:r>
        <w:rPr>
          <w:rFonts w:hint="eastAsia"/>
        </w:rPr>
        <w:t>在发现石油之前，妇女参加许多传统的经济活动，特别是在男性外出数月采集珍珠时。随着石油生产和销售带来繁荣，以及随着对于由妇女生产的一些传统产品的需求下降，妇女的经济作用减少了，她们的责任仅限于抚养子女和操持家务。随着新的社会环境的出现，妇女在家庭以外的工作受到了一些限制，这些限制成为一系列社会价值观的一部分。过去二十年社会发生的变化以及教育的普及</w:t>
      </w:r>
      <w:r>
        <w:rPr>
          <w:rFonts w:hint="eastAsia"/>
        </w:rPr>
        <w:t>(</w:t>
      </w:r>
      <w:r>
        <w:rPr>
          <w:rFonts w:hint="eastAsia"/>
        </w:rPr>
        <w:t>特别是在妇女当中</w:t>
      </w:r>
      <w:r>
        <w:rPr>
          <w:rFonts w:hint="eastAsia"/>
        </w:rPr>
        <w:t>)</w:t>
      </w:r>
      <w:r>
        <w:rPr>
          <w:rFonts w:hint="eastAsia"/>
        </w:rPr>
        <w:t>，对消除这些限制及其在各个生活领域对妇女贡献的影响起到了巨大的作用。</w:t>
      </w:r>
    </w:p>
    <w:p w:rsidR="007234DD" w:rsidRDefault="007234DD">
      <w:pPr>
        <w:pStyle w:val="SingleTxtGC"/>
      </w:pPr>
      <w:r>
        <w:t xml:space="preserve">21.  </w:t>
      </w:r>
      <w:r>
        <w:rPr>
          <w:rFonts w:hint="eastAsia"/>
        </w:rPr>
        <w:t>自</w:t>
      </w:r>
      <w:r>
        <w:rPr>
          <w:rFonts w:hint="eastAsia"/>
        </w:rPr>
        <w:t>1995</w:t>
      </w:r>
      <w:r>
        <w:rPr>
          <w:rFonts w:hint="eastAsia"/>
        </w:rPr>
        <w:t>年以来，在谢赫·哈马德·本·哈利法·阿勒萨尼殿下的领导下，卡塔尔的各行各业全面发展。卡塔尔埃米尔殿下采取了多种措施，以在加强协商和民主进程以及加强公民对影响他们的决定和国家决策的参与基础上，完成建设一个现代化国家的工作。根据</w:t>
      </w:r>
      <w:r>
        <w:rPr>
          <w:rFonts w:hint="eastAsia"/>
        </w:rPr>
        <w:t>1999</w:t>
      </w:r>
      <w:r>
        <w:rPr>
          <w:rFonts w:hint="eastAsia"/>
        </w:rPr>
        <w:t>年第</w:t>
      </w:r>
      <w:r>
        <w:rPr>
          <w:rFonts w:hint="eastAsia"/>
        </w:rPr>
        <w:t>11</w:t>
      </w:r>
      <w:r>
        <w:rPr>
          <w:rFonts w:hint="eastAsia"/>
        </w:rPr>
        <w:t>号埃米尔令，成立了一个委员会，负责起草《永久宪法》案文，这项工作已于</w:t>
      </w:r>
      <w:r>
        <w:rPr>
          <w:rFonts w:hint="eastAsia"/>
        </w:rPr>
        <w:t>2002</w:t>
      </w:r>
      <w:r>
        <w:rPr>
          <w:rFonts w:hint="eastAsia"/>
        </w:rPr>
        <w:t>年完成。</w:t>
      </w:r>
      <w:r>
        <w:rPr>
          <w:rFonts w:hint="eastAsia"/>
        </w:rPr>
        <w:t>2003</w:t>
      </w:r>
      <w:r>
        <w:rPr>
          <w:rFonts w:hint="eastAsia"/>
        </w:rPr>
        <w:t>年</w:t>
      </w:r>
      <w:r>
        <w:rPr>
          <w:rFonts w:hint="eastAsia"/>
        </w:rPr>
        <w:t>4</w:t>
      </w:r>
      <w:r>
        <w:rPr>
          <w:rFonts w:hint="eastAsia"/>
        </w:rPr>
        <w:t>月，卡塔尔的男男女女参加了关于《宪法》的公民投票。《宪法》在拥有投票权的卡塔尔公民中以</w:t>
      </w:r>
      <w:r>
        <w:rPr>
          <w:rFonts w:hint="eastAsia"/>
        </w:rPr>
        <w:t>96.64%</w:t>
      </w:r>
      <w:r>
        <w:rPr>
          <w:rFonts w:hint="eastAsia"/>
        </w:rPr>
        <w:t>的支持率获得通过。</w:t>
      </w:r>
    </w:p>
    <w:p w:rsidR="007234DD" w:rsidRDefault="007234DD">
      <w:pPr>
        <w:pStyle w:val="SingleTxtGC"/>
      </w:pPr>
      <w:r>
        <w:t xml:space="preserve">22.  </w:t>
      </w:r>
      <w:r>
        <w:rPr>
          <w:rFonts w:hint="eastAsia"/>
        </w:rPr>
        <w:t>卡塔尔依照《宪法》，以开明的政治眼光，采取分步进行的办法促进性别平等，其中考虑到斯兰教的崇高目标以及实行开放发展政策的紧迫性。将妇女作为发展的参与者和受益者纳入该进程已经成为国家的优先事项。结果，女性劳动力参与率上升到了</w:t>
      </w:r>
      <w:r>
        <w:rPr>
          <w:rFonts w:hint="eastAsia"/>
        </w:rPr>
        <w:t>36%</w:t>
      </w:r>
      <w:r>
        <w:rPr>
          <w:rFonts w:hint="eastAsia"/>
        </w:rPr>
        <w:t>以上</w:t>
      </w:r>
      <w:r>
        <w:rPr>
          <w:rFonts w:hint="eastAsia"/>
          <w:spacing w:val="-50"/>
        </w:rPr>
        <w:t>―</w:t>
      </w:r>
      <w:r>
        <w:rPr>
          <w:rFonts w:hint="eastAsia"/>
          <w:spacing w:val="10"/>
        </w:rPr>
        <w:t>―</w:t>
      </w:r>
      <w:r>
        <w:rPr>
          <w:rFonts w:hint="eastAsia"/>
        </w:rPr>
        <w:t>是阿拉伯国家中比率最高的国家之一</w:t>
      </w:r>
      <w:r>
        <w:rPr>
          <w:rFonts w:hint="eastAsia"/>
          <w:spacing w:val="-50"/>
        </w:rPr>
        <w:t>―</w:t>
      </w:r>
      <w:r>
        <w:rPr>
          <w:rFonts w:hint="eastAsia"/>
          <w:spacing w:val="10"/>
        </w:rPr>
        <w:t>―</w:t>
      </w:r>
      <w:r>
        <w:rPr>
          <w:rFonts w:hint="eastAsia"/>
        </w:rPr>
        <w:t>并且卡塔尔妇女已有机会担任一些最高决策职位，谢哈·马哈穆德阁下于</w:t>
      </w:r>
      <w:r>
        <w:rPr>
          <w:rFonts w:hint="eastAsia"/>
        </w:rPr>
        <w:t>2003</w:t>
      </w:r>
      <w:r>
        <w:rPr>
          <w:rFonts w:hint="eastAsia"/>
        </w:rPr>
        <w:t>年被任命为教育大臣</w:t>
      </w:r>
      <w:r>
        <w:rPr>
          <w:rFonts w:hint="eastAsia"/>
          <w:spacing w:val="-50"/>
        </w:rPr>
        <w:t>―</w:t>
      </w:r>
      <w:r>
        <w:rPr>
          <w:rFonts w:hint="eastAsia"/>
          <w:spacing w:val="10"/>
        </w:rPr>
        <w:t>―</w:t>
      </w:r>
      <w:r>
        <w:rPr>
          <w:rFonts w:hint="eastAsia"/>
        </w:rPr>
        <w:t>海湾国家第一位担任大臣职位的妇女，其任期一直持续到</w:t>
      </w:r>
      <w:r>
        <w:rPr>
          <w:rFonts w:hint="eastAsia"/>
        </w:rPr>
        <w:t>2009</w:t>
      </w:r>
      <w:r>
        <w:rPr>
          <w:rFonts w:hint="eastAsia"/>
        </w:rPr>
        <w:t>年。此外，谢哈·加丽亚·阿勒萨尼阁下于</w:t>
      </w:r>
      <w:r>
        <w:rPr>
          <w:rFonts w:hint="eastAsia"/>
        </w:rPr>
        <w:t>2008</w:t>
      </w:r>
      <w:r>
        <w:rPr>
          <w:rFonts w:hint="eastAsia"/>
        </w:rPr>
        <w:t>年至</w:t>
      </w:r>
      <w:r>
        <w:rPr>
          <w:rFonts w:hint="eastAsia"/>
        </w:rPr>
        <w:t>2009</w:t>
      </w:r>
      <w:r>
        <w:rPr>
          <w:rFonts w:hint="eastAsia"/>
        </w:rPr>
        <w:t>年期间担任卫生大臣。在</w:t>
      </w:r>
      <w:r>
        <w:rPr>
          <w:rFonts w:hint="eastAsia"/>
        </w:rPr>
        <w:t>2008</w:t>
      </w:r>
      <w:r>
        <w:rPr>
          <w:rFonts w:hint="eastAsia"/>
        </w:rPr>
        <w:t>年调往卫生部之前，她从</w:t>
      </w:r>
      <w:r>
        <w:rPr>
          <w:rFonts w:hint="eastAsia"/>
        </w:rPr>
        <w:t>2005</w:t>
      </w:r>
      <w:r>
        <w:rPr>
          <w:rFonts w:hint="eastAsia"/>
        </w:rPr>
        <w:t>年开始一直担任国家卫生局局长。</w:t>
      </w:r>
    </w:p>
    <w:p w:rsidR="007234DD" w:rsidRDefault="007234DD">
      <w:pPr>
        <w:pStyle w:val="SingleTxtGC"/>
      </w:pPr>
      <w:r>
        <w:t xml:space="preserve">23.  </w:t>
      </w:r>
      <w:r>
        <w:rPr>
          <w:rFonts w:hint="eastAsia"/>
        </w:rPr>
        <w:t>埃米尔殿下的夫人</w:t>
      </w:r>
      <w:r>
        <w:t>谢哈</w:t>
      </w:r>
      <w:r>
        <w:rPr>
          <w:rFonts w:hint="eastAsia"/>
        </w:rPr>
        <w:t>·</w:t>
      </w:r>
      <w:r>
        <w:t>穆扎</w:t>
      </w:r>
      <w:r>
        <w:rPr>
          <w:rFonts w:hint="eastAsia"/>
        </w:rPr>
        <w:t>·</w:t>
      </w:r>
      <w:r>
        <w:t>宾特</w:t>
      </w:r>
      <w:r>
        <w:rPr>
          <w:rFonts w:hint="eastAsia"/>
        </w:rPr>
        <w:t>·</w:t>
      </w:r>
      <w:r>
        <w:t>纳赛尔</w:t>
      </w:r>
      <w:r>
        <w:rPr>
          <w:rFonts w:hint="eastAsia"/>
        </w:rPr>
        <w:t>·</w:t>
      </w:r>
      <w:r>
        <w:t>阿勒米斯纳德</w:t>
      </w:r>
      <w:r>
        <w:rPr>
          <w:rFonts w:hint="eastAsia"/>
        </w:rPr>
        <w:t>殿下通过其在国内担任的各种职务，在促进妇女地位的提高和妇女的参与中发挥了重大作用。她是卡塔尔教育、科学与社区发展基金会</w:t>
      </w:r>
      <w:r>
        <w:rPr>
          <w:rFonts w:hint="eastAsia"/>
        </w:rPr>
        <w:t>(</w:t>
      </w:r>
      <w:r>
        <w:rPr>
          <w:rFonts w:hint="eastAsia"/>
        </w:rPr>
        <w:t>埃米尔于</w:t>
      </w:r>
      <w:r>
        <w:rPr>
          <w:rFonts w:hint="eastAsia"/>
        </w:rPr>
        <w:t>1995</w:t>
      </w:r>
      <w:r>
        <w:rPr>
          <w:rFonts w:hint="eastAsia"/>
        </w:rPr>
        <w:t>年成立的非政府基金会，通过投资教育以及促进科研和社会发展，为卡塔尔的社会发展做出了巨大贡献</w:t>
      </w:r>
      <w:r>
        <w:rPr>
          <w:rFonts w:hint="eastAsia"/>
        </w:rPr>
        <w:t>)</w:t>
      </w:r>
      <w:r>
        <w:rPr>
          <w:rFonts w:hint="eastAsia"/>
        </w:rPr>
        <w:t>的理事会主席和最高教育委员会和最高卫生委员会的副主席。在</w:t>
      </w:r>
      <w:r>
        <w:rPr>
          <w:rFonts w:hint="eastAsia"/>
        </w:rPr>
        <w:t>1998</w:t>
      </w:r>
      <w:r>
        <w:rPr>
          <w:rFonts w:hint="eastAsia"/>
        </w:rPr>
        <w:t>年至</w:t>
      </w:r>
      <w:r>
        <w:rPr>
          <w:rFonts w:hint="eastAsia"/>
        </w:rPr>
        <w:t>2009</w:t>
      </w:r>
      <w:r>
        <w:rPr>
          <w:rFonts w:hint="eastAsia"/>
        </w:rPr>
        <w:t>年</w:t>
      </w:r>
      <w:r>
        <w:rPr>
          <w:rFonts w:hint="eastAsia"/>
        </w:rPr>
        <w:t>4</w:t>
      </w:r>
      <w:r>
        <w:rPr>
          <w:rFonts w:hint="eastAsia"/>
        </w:rPr>
        <w:t>月期间，她还担任最高家庭事务委员会主席。在区域一级和国际一级，她以联合国教育、科学及文化组织</w:t>
      </w:r>
      <w:r>
        <w:rPr>
          <w:rFonts w:hint="eastAsia"/>
        </w:rPr>
        <w:t>(</w:t>
      </w:r>
      <w:r>
        <w:rPr>
          <w:rFonts w:hint="eastAsia"/>
        </w:rPr>
        <w:t>教科文组织</w:t>
      </w:r>
      <w:r>
        <w:rPr>
          <w:rFonts w:hint="eastAsia"/>
        </w:rPr>
        <w:t>)</w:t>
      </w:r>
      <w:r>
        <w:rPr>
          <w:rFonts w:hint="eastAsia"/>
        </w:rPr>
        <w:t>基础和高等教育特使、联合国不同文明联盟和联合国为在全世界促进实现千年发展目标和消除贫困而成立的国际高级别倡导小组成员以及国际</w:t>
      </w:r>
      <w:r>
        <w:rPr>
          <w:rFonts w:hint="eastAsia"/>
        </w:rPr>
        <w:t>Silatech</w:t>
      </w:r>
      <w:r>
        <w:rPr>
          <w:rFonts w:hint="eastAsia"/>
        </w:rPr>
        <w:t>倡议委员会主席的身份，发挥了重要作用。</w:t>
      </w:r>
    </w:p>
    <w:p w:rsidR="007234DD" w:rsidRDefault="007234DD">
      <w:pPr>
        <w:pStyle w:val="SingleTxtGC"/>
      </w:pPr>
      <w:r>
        <w:t xml:space="preserve">24.  </w:t>
      </w:r>
      <w:r>
        <w:rPr>
          <w:rFonts w:hint="eastAsia"/>
        </w:rPr>
        <w:t>敬爱的卡塔尔埃米尔</w:t>
      </w:r>
      <w:r>
        <w:t>谢赫</w:t>
      </w:r>
      <w:r>
        <w:rPr>
          <w:rFonts w:hint="eastAsia"/>
        </w:rPr>
        <w:t>·</w:t>
      </w:r>
      <w:r>
        <w:t>哈马德</w:t>
      </w:r>
      <w:r>
        <w:rPr>
          <w:rFonts w:hint="eastAsia"/>
        </w:rPr>
        <w:t>·</w:t>
      </w:r>
      <w:r>
        <w:t>本</w:t>
      </w:r>
      <w:r>
        <w:rPr>
          <w:rFonts w:hint="eastAsia"/>
        </w:rPr>
        <w:t>·</w:t>
      </w:r>
      <w:r>
        <w:t>哈利法</w:t>
      </w:r>
      <w:r>
        <w:rPr>
          <w:rFonts w:hint="eastAsia"/>
        </w:rPr>
        <w:t>·</w:t>
      </w:r>
      <w:r>
        <w:t>阿勒萨尼</w:t>
      </w:r>
      <w:r>
        <w:rPr>
          <w:rFonts w:hint="eastAsia"/>
        </w:rPr>
        <w:t>殿下发布了</w:t>
      </w:r>
      <w:r>
        <w:rPr>
          <w:rFonts w:hint="eastAsia"/>
        </w:rPr>
        <w:t>2008</w:t>
      </w:r>
      <w:r>
        <w:rPr>
          <w:rFonts w:hint="eastAsia"/>
        </w:rPr>
        <w:t>年第</w:t>
      </w:r>
      <w:r>
        <w:rPr>
          <w:rFonts w:hint="eastAsia"/>
        </w:rPr>
        <w:t>44</w:t>
      </w:r>
      <w:r>
        <w:rPr>
          <w:rFonts w:hint="eastAsia"/>
        </w:rPr>
        <w:t>号令，批准“卡塔尔</w:t>
      </w:r>
      <w:r>
        <w:rPr>
          <w:rFonts w:hint="eastAsia"/>
        </w:rPr>
        <w:t>2030</w:t>
      </w:r>
      <w:r>
        <w:rPr>
          <w:rFonts w:hint="eastAsia"/>
        </w:rPr>
        <w:t>年国家愿景”文件。该文件提供了一个全方位的发展愿景。</w:t>
      </w:r>
      <w:r>
        <w:rPr>
          <w:rFonts w:hint="eastAsia"/>
        </w:rPr>
        <w:t>2008</w:t>
      </w:r>
      <w:r>
        <w:rPr>
          <w:rFonts w:hint="eastAsia"/>
        </w:rPr>
        <w:t>年第</w:t>
      </w:r>
      <w:r>
        <w:rPr>
          <w:rFonts w:hint="eastAsia"/>
        </w:rPr>
        <w:t>44</w:t>
      </w:r>
      <w:r>
        <w:rPr>
          <w:rFonts w:hint="eastAsia"/>
        </w:rPr>
        <w:t>号令要求执行该文件规定的措施并在《官方公报》上公布该文件。这一愿景着眼于将卡塔尔发展成为一个高瞻远瞩、能够实现可持续发展的国家。在国家愿景文件中，《宪法》和一些政治领导指令中阐述的关于发展一个建立在正义、仁爱、平等、保护一般自由、道德和宗教价值观及传统、实现机会平等以及加强安全与稳定基础上的社会原则获得了考虑。</w:t>
      </w:r>
    </w:p>
    <w:p w:rsidR="007234DD" w:rsidRDefault="007234DD">
      <w:pPr>
        <w:pStyle w:val="SingleTxtGC"/>
      </w:pPr>
      <w:r>
        <w:t xml:space="preserve">25.  </w:t>
      </w:r>
      <w:r>
        <w:rPr>
          <w:rFonts w:hint="eastAsia"/>
        </w:rPr>
        <w:t>国家愿景侧重于四个专题领域：</w:t>
      </w:r>
      <w:r>
        <w:t>(a)</w:t>
      </w:r>
      <w:r>
        <w:rPr>
          <w:rFonts w:hint="eastAsia"/>
        </w:rPr>
        <w:t xml:space="preserve"> </w:t>
      </w:r>
      <w:r>
        <w:rPr>
          <w:rFonts w:hint="eastAsia"/>
        </w:rPr>
        <w:t>人类发展</w:t>
      </w:r>
      <w:r>
        <w:rPr>
          <w:rFonts w:hint="eastAsia"/>
          <w:spacing w:val="-50"/>
        </w:rPr>
        <w:t>―</w:t>
      </w:r>
      <w:r>
        <w:rPr>
          <w:rFonts w:hint="eastAsia"/>
          <w:spacing w:val="10"/>
        </w:rPr>
        <w:t>―</w:t>
      </w:r>
      <w:r>
        <w:rPr>
          <w:rFonts w:hint="eastAsia"/>
        </w:rPr>
        <w:t>使卡塔尔居民能够建立一个繁荣的社会；</w:t>
      </w:r>
      <w:r>
        <w:t>(b)</w:t>
      </w:r>
      <w:r>
        <w:rPr>
          <w:rFonts w:hint="eastAsia"/>
        </w:rPr>
        <w:t xml:space="preserve"> </w:t>
      </w:r>
      <w:r>
        <w:rPr>
          <w:rFonts w:hint="eastAsia"/>
        </w:rPr>
        <w:t>社会发展</w:t>
      </w:r>
      <w:r>
        <w:rPr>
          <w:rFonts w:hint="eastAsia"/>
          <w:spacing w:val="-50"/>
        </w:rPr>
        <w:t>―</w:t>
      </w:r>
      <w:r>
        <w:rPr>
          <w:rFonts w:hint="eastAsia"/>
          <w:spacing w:val="10"/>
        </w:rPr>
        <w:t>―</w:t>
      </w:r>
      <w:r>
        <w:rPr>
          <w:rFonts w:hint="eastAsia"/>
        </w:rPr>
        <w:t>以创建一个建立在积极道德价值观和社会福利原则基础上并能够与其他社会互动的公正和安全的社会；</w:t>
      </w:r>
      <w:r>
        <w:t>(c)</w:t>
      </w:r>
      <w:r>
        <w:rPr>
          <w:rFonts w:hint="eastAsia"/>
        </w:rPr>
        <w:t xml:space="preserve"> </w:t>
      </w:r>
      <w:r>
        <w:rPr>
          <w:rFonts w:hint="eastAsia"/>
        </w:rPr>
        <w:t>经济发展</w:t>
      </w:r>
      <w:r>
        <w:rPr>
          <w:rFonts w:hint="eastAsia"/>
          <w:spacing w:val="-50"/>
        </w:rPr>
        <w:t>―</w:t>
      </w:r>
      <w:r>
        <w:rPr>
          <w:rFonts w:hint="eastAsia"/>
          <w:spacing w:val="10"/>
        </w:rPr>
        <w:t>―</w:t>
      </w:r>
      <w:r>
        <w:rPr>
          <w:rFonts w:hint="eastAsia"/>
        </w:rPr>
        <w:t>目标是创建多元化、具有竞争力并能够满足卡塔尔公民的需要的国家经济；</w:t>
      </w:r>
      <w:r>
        <w:t>(d)</w:t>
      </w:r>
      <w:r>
        <w:rPr>
          <w:rFonts w:hint="eastAsia"/>
        </w:rPr>
        <w:t xml:space="preserve"> </w:t>
      </w:r>
      <w:r>
        <w:rPr>
          <w:rFonts w:hint="eastAsia"/>
        </w:rPr>
        <w:t>环境发展</w:t>
      </w:r>
      <w:r>
        <w:rPr>
          <w:rFonts w:hint="eastAsia"/>
          <w:spacing w:val="-50"/>
        </w:rPr>
        <w:t>―</w:t>
      </w:r>
      <w:r>
        <w:rPr>
          <w:rFonts w:hint="eastAsia"/>
          <w:spacing w:val="10"/>
        </w:rPr>
        <w:t>―</w:t>
      </w:r>
      <w:r>
        <w:rPr>
          <w:rFonts w:hint="eastAsia"/>
        </w:rPr>
        <w:t>其中在社会经济发展和保护环境的迫切需要之间取得平衡。该愿景包括一些实施战略和计划，为今后的行动提供了一个框架。</w:t>
      </w:r>
    </w:p>
    <w:p w:rsidR="007234DD" w:rsidRDefault="007234DD">
      <w:pPr>
        <w:pStyle w:val="SingleTxtGC"/>
      </w:pPr>
      <w:r>
        <w:t>26.</w:t>
      </w:r>
      <w:r>
        <w:rPr>
          <w:rFonts w:hint="eastAsia"/>
        </w:rPr>
        <w:t xml:space="preserve">  </w:t>
      </w:r>
      <w:r>
        <w:rPr>
          <w:rFonts w:hint="eastAsia"/>
        </w:rPr>
        <w:t>在这些专题下，最重要的主题是：增加妇女的就业机会；为妇女的职业发展提供支持；在卡塔尔社会各个生活领域</w:t>
      </w:r>
      <w:r>
        <w:rPr>
          <w:rFonts w:hint="eastAsia"/>
          <w:spacing w:val="-50"/>
        </w:rPr>
        <w:t>―</w:t>
      </w:r>
      <w:r>
        <w:rPr>
          <w:rFonts w:hint="eastAsia"/>
          <w:spacing w:val="10"/>
        </w:rPr>
        <w:t>―</w:t>
      </w:r>
      <w:r>
        <w:rPr>
          <w:rFonts w:hint="eastAsia"/>
        </w:rPr>
        <w:t>特别是在政治和经济决策领域</w:t>
      </w:r>
      <w:r>
        <w:rPr>
          <w:rFonts w:hint="eastAsia"/>
          <w:spacing w:val="-50"/>
        </w:rPr>
        <w:t>―</w:t>
      </w:r>
      <w:r>
        <w:rPr>
          <w:rFonts w:hint="eastAsia"/>
          <w:spacing w:val="10"/>
        </w:rPr>
        <w:t>―</w:t>
      </w:r>
      <w:r>
        <w:rPr>
          <w:rFonts w:hint="eastAsia"/>
        </w:rPr>
        <w:t>赋予妇女积极角色；提升妇女的能力；促进妇女参与政治和经济生活；为妇女的赋权增能提供持续的政治支持；以及加强妇女对所有领域的参与。</w:t>
      </w:r>
    </w:p>
    <w:p w:rsidR="007234DD" w:rsidRDefault="007234DD">
      <w:pPr>
        <w:pStyle w:val="H23GC"/>
        <w:rPr>
          <w:rFonts w:hint="eastAsia"/>
        </w:rPr>
      </w:pPr>
      <w:r>
        <w:rPr>
          <w:rFonts w:hint="eastAsia"/>
        </w:rPr>
        <w:tab/>
      </w:r>
      <w:r>
        <w:rPr>
          <w:rFonts w:hint="eastAsia"/>
        </w:rPr>
        <w:tab/>
      </w:r>
      <w:r>
        <w:rPr>
          <w:rFonts w:hint="eastAsia"/>
        </w:rPr>
        <w:t>社会经济指标</w:t>
      </w:r>
    </w:p>
    <w:p w:rsidR="007234DD" w:rsidRDefault="007234DD">
      <w:pPr>
        <w:pStyle w:val="SingleTxtGC"/>
        <w:rPr>
          <w:rFonts w:hint="eastAsia"/>
        </w:rPr>
      </w:pPr>
      <w:r>
        <w:t>27.</w:t>
      </w:r>
      <w:r>
        <w:rPr>
          <w:rFonts w:hint="eastAsia"/>
        </w:rPr>
        <w:t xml:space="preserve">  </w:t>
      </w:r>
      <w:r>
        <w:rPr>
          <w:rFonts w:hint="eastAsia"/>
        </w:rPr>
        <w:t>卡塔尔提供经过更新的书面统计。统计局成立于</w:t>
      </w:r>
      <w:r>
        <w:rPr>
          <w:rFonts w:hint="eastAsia"/>
        </w:rPr>
        <w:t>2007</w:t>
      </w:r>
      <w:r>
        <w:rPr>
          <w:rFonts w:hint="eastAsia"/>
        </w:rPr>
        <w:t>年</w:t>
      </w:r>
      <w:r>
        <w:rPr>
          <w:rFonts w:hint="eastAsia"/>
        </w:rPr>
        <w:t>6</w:t>
      </w:r>
      <w:r>
        <w:rPr>
          <w:rFonts w:hint="eastAsia"/>
        </w:rPr>
        <w:t>月，它作为一个独立的机构，取代了规划部的统计司。统计局是统计信息的官方提供者。劳动部、内政部、财政部和卡塔尔中央银行等政府机构也提供官方统计数据。国家统计系统包括卡塔尔的所有官方统计方案。统计局制定了一项统计发展战略，以加强国家统计系统的整体能力。该战略的目标与国家的发展目标和政策相一致，而后者则是基于国际标准。它囊括了统计的所有方面，包括数据的收集、分析，传播和利用，其中特别侧重于性别统计的发展。</w:t>
      </w:r>
    </w:p>
    <w:p w:rsidR="007234DD" w:rsidRDefault="007234DD">
      <w:pPr>
        <w:pStyle w:val="SingleTxtGC"/>
      </w:pPr>
      <w:r>
        <w:t xml:space="preserve">28.  </w:t>
      </w:r>
      <w:r>
        <w:rPr>
          <w:rFonts w:hint="eastAsia"/>
        </w:rPr>
        <w:t>2008</w:t>
      </w:r>
      <w:r>
        <w:rPr>
          <w:rFonts w:hint="eastAsia"/>
        </w:rPr>
        <w:t>年</w:t>
      </w:r>
      <w:r>
        <w:rPr>
          <w:rFonts w:hint="eastAsia"/>
        </w:rPr>
        <w:t>6</w:t>
      </w:r>
      <w:r>
        <w:rPr>
          <w:rFonts w:hint="eastAsia"/>
        </w:rPr>
        <w:t>月，卡塔尔推出了“卡塔尔信息交换”项目，并建立了一个网站</w:t>
      </w:r>
      <w:r>
        <w:rPr>
          <w:rFonts w:hint="eastAsia"/>
        </w:rPr>
        <w:t>(www.qix.gov.qa)</w:t>
      </w:r>
      <w:r>
        <w:rPr>
          <w:rFonts w:hint="eastAsia"/>
        </w:rPr>
        <w:t>，利用多个同步并统一的数据源进行平行比较并按时间序列编制</w:t>
      </w:r>
      <w:r>
        <w:rPr>
          <w:rFonts w:hint="eastAsia"/>
        </w:rPr>
        <w:t>1984</w:t>
      </w:r>
      <w:r>
        <w:rPr>
          <w:rFonts w:hint="eastAsia"/>
        </w:rPr>
        <w:t>年至</w:t>
      </w:r>
      <w:r>
        <w:rPr>
          <w:rFonts w:hint="eastAsia"/>
        </w:rPr>
        <w:t>2010</w:t>
      </w:r>
      <w:r>
        <w:rPr>
          <w:rFonts w:hint="eastAsia"/>
        </w:rPr>
        <w:t>年期间的互动信息。该数据库有三大人口符号：人口、家庭生活和劳动力市场。人口数据从社会环境、教育和生产的角度对个人进行描述。家庭生活数据涉及家庭成员之间的变化、关系和互动的统计方面。劳动力市场信息包括人口数据、其经济地位和人口成员之间的相互关系。所有这些数据都来自人口普查等一般调查，或来自有针对性的调查或从有人口信息的交叉调查或平行调查采集的关键综合指标。</w:t>
      </w:r>
    </w:p>
    <w:p w:rsidR="007234DD" w:rsidRDefault="007234DD">
      <w:pPr>
        <w:pStyle w:val="SingleTxtGC"/>
      </w:pPr>
      <w:r>
        <w:t xml:space="preserve">29.  </w:t>
      </w:r>
      <w:r>
        <w:rPr>
          <w:rFonts w:hint="eastAsia"/>
        </w:rPr>
        <w:t>最新统计数据显示，卡塔尔正在经历其历史上的一个不同寻常的阶段，正在大踏步地实现充分、全面的发展。诚然，卡塔尔已经取得了无以伦比的经济增长和繁荣；在</w:t>
      </w:r>
      <w:r>
        <w:rPr>
          <w:rFonts w:hint="eastAsia"/>
        </w:rPr>
        <w:t>2004</w:t>
      </w:r>
      <w:r>
        <w:rPr>
          <w:rFonts w:hint="eastAsia"/>
        </w:rPr>
        <w:t>年至</w:t>
      </w:r>
      <w:r>
        <w:rPr>
          <w:rFonts w:hint="eastAsia"/>
        </w:rPr>
        <w:t>2009</w:t>
      </w:r>
      <w:r>
        <w:rPr>
          <w:rFonts w:hint="eastAsia"/>
        </w:rPr>
        <w:t>年期间，国内生产总值每年增长</w:t>
      </w:r>
      <w:r>
        <w:rPr>
          <w:rFonts w:hint="eastAsia"/>
        </w:rPr>
        <w:t>7.6%</w:t>
      </w:r>
      <w:r>
        <w:rPr>
          <w:rFonts w:hint="eastAsia"/>
        </w:rPr>
        <w:t>至</w:t>
      </w:r>
      <w:r>
        <w:rPr>
          <w:rFonts w:hint="eastAsia"/>
        </w:rPr>
        <w:t>26.8%(</w:t>
      </w:r>
      <w:r>
        <w:rPr>
          <w:rFonts w:hint="eastAsia"/>
        </w:rPr>
        <w:t>按</w:t>
      </w:r>
      <w:r>
        <w:rPr>
          <w:rFonts w:hint="eastAsia"/>
        </w:rPr>
        <w:t>2004</w:t>
      </w:r>
      <w:r>
        <w:rPr>
          <w:rFonts w:hint="eastAsia"/>
        </w:rPr>
        <w:t>年不变价格计算</w:t>
      </w:r>
      <w:r>
        <w:rPr>
          <w:rFonts w:hint="eastAsia"/>
        </w:rPr>
        <w:t>)</w:t>
      </w:r>
      <w:r>
        <w:rPr>
          <w:rFonts w:hint="eastAsia"/>
        </w:rPr>
        <w:t>。此外，政府的总支出也有所增加：国家预算从</w:t>
      </w:r>
      <w:r>
        <w:rPr>
          <w:rFonts w:hint="eastAsia"/>
        </w:rPr>
        <w:t>2009-2010</w:t>
      </w:r>
      <w:r>
        <w:rPr>
          <w:rFonts w:hint="eastAsia"/>
        </w:rPr>
        <w:t>年的约</w:t>
      </w:r>
      <w:r>
        <w:rPr>
          <w:rFonts w:hint="eastAsia"/>
        </w:rPr>
        <w:t>950</w:t>
      </w:r>
      <w:r>
        <w:rPr>
          <w:rFonts w:hint="eastAsia"/>
        </w:rPr>
        <w:t>亿卡塔尔里亚尔增加到</w:t>
      </w:r>
      <w:r>
        <w:rPr>
          <w:rFonts w:hint="eastAsia"/>
        </w:rPr>
        <w:t>2010-2011</w:t>
      </w:r>
      <w:r>
        <w:rPr>
          <w:rFonts w:hint="eastAsia"/>
        </w:rPr>
        <w:t>年的</w:t>
      </w:r>
      <w:r>
        <w:rPr>
          <w:rFonts w:hint="eastAsia"/>
        </w:rPr>
        <w:t>1,275</w:t>
      </w:r>
      <w:r>
        <w:rPr>
          <w:rFonts w:hint="eastAsia"/>
        </w:rPr>
        <w:t>亿卡塔尔里亚尔。卡塔尔是世界上享有较高人类发展水平的少数国家之一。在联合国开发计划署</w:t>
      </w:r>
      <w:r>
        <w:rPr>
          <w:rFonts w:hint="eastAsia"/>
        </w:rPr>
        <w:t>(</w:t>
      </w:r>
      <w:r>
        <w:rPr>
          <w:rFonts w:hint="eastAsia"/>
        </w:rPr>
        <w:t>开发署</w:t>
      </w:r>
      <w:r>
        <w:rPr>
          <w:rFonts w:hint="eastAsia"/>
        </w:rPr>
        <w:t>)</w:t>
      </w:r>
      <w:r>
        <w:rPr>
          <w:rFonts w:hint="eastAsia"/>
        </w:rPr>
        <w:t>发布的《</w:t>
      </w:r>
      <w:r>
        <w:rPr>
          <w:rFonts w:hint="eastAsia"/>
        </w:rPr>
        <w:t>2009</w:t>
      </w:r>
      <w:r>
        <w:rPr>
          <w:rFonts w:hint="eastAsia"/>
        </w:rPr>
        <w:t>年人类发展报告》中，卡塔尔位列全世界第三十三名。这一新排名反映卡塔尔在人类发展领域取得了相当大的持续进步。报告显示，卡塔尔的人类发展指数已大幅改善，从</w:t>
      </w:r>
      <w:r>
        <w:rPr>
          <w:rFonts w:hint="eastAsia"/>
        </w:rPr>
        <w:t>0.875</w:t>
      </w:r>
      <w:r>
        <w:rPr>
          <w:rFonts w:hint="eastAsia"/>
        </w:rPr>
        <w:t>上升到了</w:t>
      </w:r>
      <w:r>
        <w:rPr>
          <w:rFonts w:hint="eastAsia"/>
        </w:rPr>
        <w:t>0.910</w:t>
      </w:r>
      <w:r>
        <w:rPr>
          <w:rFonts w:hint="eastAsia"/>
        </w:rPr>
        <w:t>。这是由于在教育、卫生和国内生产总值增长领域取得了进展。该报告还显示，卡塔尔的文盲率已经下降到</w:t>
      </w:r>
      <w:r>
        <w:rPr>
          <w:rFonts w:hint="eastAsia"/>
        </w:rPr>
        <w:t>6.9%</w:t>
      </w:r>
      <w:r>
        <w:rPr>
          <w:rFonts w:hint="eastAsia"/>
        </w:rPr>
        <w:t>，学校入学率上升至</w:t>
      </w:r>
      <w:r>
        <w:rPr>
          <w:rFonts w:hint="eastAsia"/>
        </w:rPr>
        <w:t>80.4%</w:t>
      </w:r>
      <w:r>
        <w:rPr>
          <w:rFonts w:hint="eastAsia"/>
        </w:rPr>
        <w:t>，而上一年只有</w:t>
      </w:r>
      <w:r>
        <w:rPr>
          <w:rFonts w:hint="eastAsia"/>
        </w:rPr>
        <w:t>77.7%</w:t>
      </w:r>
      <w:r>
        <w:rPr>
          <w:rFonts w:hint="eastAsia"/>
        </w:rPr>
        <w:t>。在卫生领域，存活率从上一年的平均</w:t>
      </w:r>
      <w:r>
        <w:rPr>
          <w:rFonts w:hint="eastAsia"/>
        </w:rPr>
        <w:t>75</w:t>
      </w:r>
      <w:r>
        <w:rPr>
          <w:rFonts w:hint="eastAsia"/>
        </w:rPr>
        <w:t>岁上升到报告年度的</w:t>
      </w:r>
      <w:r>
        <w:rPr>
          <w:rFonts w:hint="eastAsia"/>
        </w:rPr>
        <w:t>75.5</w:t>
      </w:r>
      <w:r>
        <w:rPr>
          <w:rFonts w:hint="eastAsia"/>
        </w:rPr>
        <w:t>岁。人均收入也大幅增加，</w:t>
      </w:r>
      <w:r>
        <w:rPr>
          <w:rFonts w:hint="eastAsia"/>
        </w:rPr>
        <w:t>2009</w:t>
      </w:r>
      <w:r>
        <w:rPr>
          <w:rFonts w:hint="eastAsia"/>
        </w:rPr>
        <w:t>年达到了</w:t>
      </w:r>
      <w:r>
        <w:rPr>
          <w:rFonts w:hint="eastAsia"/>
        </w:rPr>
        <w:t>74,882</w:t>
      </w:r>
      <w:r>
        <w:rPr>
          <w:rFonts w:hint="eastAsia"/>
        </w:rPr>
        <w:t>美元。</w:t>
      </w:r>
    </w:p>
    <w:p w:rsidR="007234DD" w:rsidRDefault="007234DD">
      <w:pPr>
        <w:pStyle w:val="SingleTxtGC"/>
      </w:pPr>
      <w:r>
        <w:t xml:space="preserve">30.  </w:t>
      </w:r>
      <w:r>
        <w:rPr>
          <w:rFonts w:hint="eastAsia"/>
        </w:rPr>
        <w:t>卡塔尔致力于评估在实现千年发展目标方面取得的进展。它已经发布了</w:t>
      </w:r>
      <w:r>
        <w:rPr>
          <w:rFonts w:hint="eastAsia"/>
        </w:rPr>
        <w:t>3</w:t>
      </w:r>
      <w:r>
        <w:rPr>
          <w:rFonts w:hint="eastAsia"/>
        </w:rPr>
        <w:t>份关于该主题的报告，最近一份于</w:t>
      </w:r>
      <w:r>
        <w:rPr>
          <w:rFonts w:hint="eastAsia"/>
        </w:rPr>
        <w:t>2010</w:t>
      </w:r>
      <w:r>
        <w:rPr>
          <w:rFonts w:hint="eastAsia"/>
        </w:rPr>
        <w:t>年</w:t>
      </w:r>
      <w:r>
        <w:rPr>
          <w:rFonts w:hint="eastAsia"/>
        </w:rPr>
        <w:t>8</w:t>
      </w:r>
      <w:r>
        <w:rPr>
          <w:rFonts w:hint="eastAsia"/>
        </w:rPr>
        <w:t>月发布。该报告显示，卡塔尔已实现大部分千年发展目标，在尚未实现的目标上也已经取得实质性进展。以下是第三份报告的主要结论。</w:t>
      </w:r>
    </w:p>
    <w:p w:rsidR="007234DD" w:rsidRDefault="007234DD">
      <w:pPr>
        <w:pStyle w:val="H23GC"/>
        <w:rPr>
          <w:rFonts w:hint="eastAsia"/>
        </w:rPr>
      </w:pPr>
      <w:r>
        <w:rPr>
          <w:rFonts w:hint="eastAsia"/>
        </w:rPr>
        <w:tab/>
      </w:r>
      <w:r>
        <w:rPr>
          <w:rFonts w:hint="eastAsia"/>
        </w:rPr>
        <w:tab/>
      </w:r>
      <w:r>
        <w:rPr>
          <w:rFonts w:hint="eastAsia"/>
        </w:rPr>
        <w:t>无贫穷人口</w:t>
      </w:r>
      <w:r>
        <w:rPr>
          <w:rFonts w:hint="eastAsia"/>
        </w:rPr>
        <w:t>(</w:t>
      </w:r>
      <w:r>
        <w:rPr>
          <w:rFonts w:hint="eastAsia"/>
        </w:rPr>
        <w:t>日收入少于</w:t>
      </w:r>
      <w:r>
        <w:rPr>
          <w:rFonts w:hint="eastAsia"/>
        </w:rPr>
        <w:t>1</w:t>
      </w:r>
      <w:r>
        <w:rPr>
          <w:rFonts w:hint="eastAsia"/>
        </w:rPr>
        <w:t>美元的人口</w:t>
      </w:r>
      <w:r>
        <w:rPr>
          <w:rFonts w:hint="eastAsia"/>
        </w:rPr>
        <w:t>)</w:t>
      </w:r>
    </w:p>
    <w:p w:rsidR="007234DD" w:rsidRDefault="007234DD">
      <w:pPr>
        <w:pStyle w:val="Bullet1GC"/>
      </w:pPr>
      <w:r>
        <w:rPr>
          <w:rFonts w:hint="eastAsia"/>
        </w:rPr>
        <w:t>2009</w:t>
      </w:r>
      <w:r>
        <w:rPr>
          <w:rFonts w:hint="eastAsia"/>
        </w:rPr>
        <w:t>年工作人口的比例为</w:t>
      </w:r>
      <w:r>
        <w:rPr>
          <w:rFonts w:hint="eastAsia"/>
        </w:rPr>
        <w:t>76%</w:t>
      </w:r>
      <w:r>
        <w:rPr>
          <w:rFonts w:hint="eastAsia"/>
        </w:rPr>
        <w:t>，而</w:t>
      </w:r>
      <w:r>
        <w:rPr>
          <w:rFonts w:hint="eastAsia"/>
        </w:rPr>
        <w:t>2004</w:t>
      </w:r>
      <w:r>
        <w:rPr>
          <w:rFonts w:hint="eastAsia"/>
        </w:rPr>
        <w:t>年不超过</w:t>
      </w:r>
      <w:r>
        <w:rPr>
          <w:rFonts w:hint="eastAsia"/>
        </w:rPr>
        <w:t>60%</w:t>
      </w:r>
    </w:p>
    <w:p w:rsidR="007234DD" w:rsidRDefault="007234DD">
      <w:pPr>
        <w:pStyle w:val="Bullet1GC"/>
      </w:pPr>
      <w:r>
        <w:rPr>
          <w:rFonts w:hint="eastAsia"/>
        </w:rPr>
        <w:t>2005</w:t>
      </w:r>
      <w:r>
        <w:rPr>
          <w:rFonts w:hint="eastAsia"/>
        </w:rPr>
        <w:t>年至</w:t>
      </w:r>
      <w:r>
        <w:rPr>
          <w:rFonts w:hint="eastAsia"/>
        </w:rPr>
        <w:t>2009</w:t>
      </w:r>
      <w:r>
        <w:rPr>
          <w:rFonts w:hint="eastAsia"/>
        </w:rPr>
        <w:t>年期间，初等教育净入学率为：男童介于</w:t>
      </w:r>
      <w:r>
        <w:rPr>
          <w:rFonts w:hint="eastAsia"/>
        </w:rPr>
        <w:t>88%</w:t>
      </w:r>
      <w:r>
        <w:rPr>
          <w:rFonts w:hint="eastAsia"/>
        </w:rPr>
        <w:t>至</w:t>
      </w:r>
      <w:r>
        <w:rPr>
          <w:rFonts w:hint="eastAsia"/>
        </w:rPr>
        <w:t>92%</w:t>
      </w:r>
      <w:r>
        <w:rPr>
          <w:rFonts w:hint="eastAsia"/>
        </w:rPr>
        <w:t>之间，女童介于</w:t>
      </w:r>
      <w:r>
        <w:rPr>
          <w:rFonts w:hint="eastAsia"/>
        </w:rPr>
        <w:t>93%</w:t>
      </w:r>
      <w:r>
        <w:rPr>
          <w:rFonts w:hint="eastAsia"/>
        </w:rPr>
        <w:t>至</w:t>
      </w:r>
      <w:r>
        <w:rPr>
          <w:rFonts w:hint="eastAsia"/>
        </w:rPr>
        <w:t>95%</w:t>
      </w:r>
      <w:r>
        <w:rPr>
          <w:rFonts w:hint="eastAsia"/>
        </w:rPr>
        <w:t>之间</w:t>
      </w:r>
    </w:p>
    <w:p w:rsidR="007234DD" w:rsidRDefault="007234DD">
      <w:pPr>
        <w:pStyle w:val="Bullet1GC"/>
      </w:pPr>
      <w:r>
        <w:rPr>
          <w:rFonts w:hint="eastAsia"/>
        </w:rPr>
        <w:t>2009</w:t>
      </w:r>
      <w:r>
        <w:rPr>
          <w:rFonts w:hint="eastAsia"/>
        </w:rPr>
        <w:t>年，</w:t>
      </w:r>
      <w:r>
        <w:rPr>
          <w:rFonts w:hint="eastAsia"/>
        </w:rPr>
        <w:t>15</w:t>
      </w:r>
      <w:r>
        <w:rPr>
          <w:rFonts w:hint="eastAsia"/>
        </w:rPr>
        <w:t>至</w:t>
      </w:r>
      <w:r>
        <w:rPr>
          <w:rFonts w:hint="eastAsia"/>
        </w:rPr>
        <w:t>24</w:t>
      </w:r>
      <w:r>
        <w:rPr>
          <w:rFonts w:hint="eastAsia"/>
        </w:rPr>
        <w:t>岁之间的男性和女性的识字率为</w:t>
      </w:r>
      <w:r>
        <w:rPr>
          <w:rFonts w:hint="eastAsia"/>
        </w:rPr>
        <w:t>98%</w:t>
      </w:r>
    </w:p>
    <w:p w:rsidR="007234DD" w:rsidRDefault="007234DD">
      <w:pPr>
        <w:pStyle w:val="Bullet1GC"/>
      </w:pPr>
      <w:r>
        <w:rPr>
          <w:rFonts w:hint="eastAsia"/>
        </w:rPr>
        <w:t>卡塔尔妇女占</w:t>
      </w:r>
      <w:r>
        <w:rPr>
          <w:rFonts w:hint="eastAsia"/>
        </w:rPr>
        <w:t>2008/09</w:t>
      </w:r>
      <w:r>
        <w:rPr>
          <w:rFonts w:hint="eastAsia"/>
        </w:rPr>
        <w:t>学年卡塔尔大学所有入学学生的</w:t>
      </w:r>
      <w:r>
        <w:rPr>
          <w:rFonts w:hint="eastAsia"/>
        </w:rPr>
        <w:t>82%</w:t>
      </w:r>
    </w:p>
    <w:p w:rsidR="007234DD" w:rsidRDefault="007234DD">
      <w:pPr>
        <w:pStyle w:val="Bullet1GC"/>
      </w:pPr>
      <w:r>
        <w:rPr>
          <w:rFonts w:hint="eastAsia"/>
        </w:rPr>
        <w:t>2009</w:t>
      </w:r>
      <w:r>
        <w:rPr>
          <w:rFonts w:hint="eastAsia"/>
        </w:rPr>
        <w:t>年，</w:t>
      </w:r>
      <w:r>
        <w:rPr>
          <w:rFonts w:hint="eastAsia"/>
        </w:rPr>
        <w:t>15</w:t>
      </w:r>
      <w:r>
        <w:rPr>
          <w:rFonts w:hint="eastAsia"/>
        </w:rPr>
        <w:t>至</w:t>
      </w:r>
      <w:r>
        <w:rPr>
          <w:rFonts w:hint="eastAsia"/>
        </w:rPr>
        <w:t>24</w:t>
      </w:r>
      <w:r>
        <w:rPr>
          <w:rFonts w:hint="eastAsia"/>
        </w:rPr>
        <w:t>岁年龄组女性与男性之间的识字比率为</w:t>
      </w:r>
      <w:r>
        <w:rPr>
          <w:rFonts w:hint="eastAsia"/>
        </w:rPr>
        <w:t>100.2%</w:t>
      </w:r>
    </w:p>
    <w:p w:rsidR="007234DD" w:rsidRDefault="007234DD">
      <w:pPr>
        <w:pStyle w:val="Bullet1GC"/>
      </w:pPr>
      <w:r>
        <w:rPr>
          <w:rFonts w:hint="eastAsia"/>
        </w:rPr>
        <w:t>女性劳动力参与率从</w:t>
      </w:r>
      <w:r>
        <w:rPr>
          <w:rFonts w:hint="eastAsia"/>
        </w:rPr>
        <w:t>2004</w:t>
      </w:r>
      <w:r>
        <w:rPr>
          <w:rFonts w:hint="eastAsia"/>
        </w:rPr>
        <w:t>年的</w:t>
      </w:r>
      <w:r>
        <w:rPr>
          <w:rFonts w:hint="eastAsia"/>
        </w:rPr>
        <w:t>30.3%</w:t>
      </w:r>
      <w:r>
        <w:rPr>
          <w:rFonts w:hint="eastAsia"/>
        </w:rPr>
        <w:t>增加到了</w:t>
      </w:r>
      <w:r>
        <w:rPr>
          <w:rFonts w:hint="eastAsia"/>
        </w:rPr>
        <w:t>2009</w:t>
      </w:r>
      <w:r>
        <w:rPr>
          <w:rFonts w:hint="eastAsia"/>
        </w:rPr>
        <w:t>年的</w:t>
      </w:r>
      <w:r>
        <w:rPr>
          <w:rFonts w:hint="eastAsia"/>
        </w:rPr>
        <w:t>36.4%</w:t>
      </w:r>
    </w:p>
    <w:p w:rsidR="007234DD" w:rsidRDefault="007234DD">
      <w:pPr>
        <w:pStyle w:val="Bullet1GC"/>
      </w:pPr>
      <w:r>
        <w:rPr>
          <w:rFonts w:hint="eastAsia"/>
        </w:rPr>
        <w:t>婴儿死亡率从</w:t>
      </w:r>
      <w:r>
        <w:rPr>
          <w:rFonts w:hint="eastAsia"/>
        </w:rPr>
        <w:t>1990</w:t>
      </w:r>
      <w:r>
        <w:rPr>
          <w:rFonts w:hint="eastAsia"/>
        </w:rPr>
        <w:t>年的每</w:t>
      </w:r>
      <w:r>
        <w:rPr>
          <w:rFonts w:hint="eastAsia"/>
        </w:rPr>
        <w:t>1000</w:t>
      </w:r>
      <w:r>
        <w:rPr>
          <w:rFonts w:hint="eastAsia"/>
        </w:rPr>
        <w:t>名活产儿死亡</w:t>
      </w:r>
      <w:r>
        <w:rPr>
          <w:rFonts w:hint="eastAsia"/>
        </w:rPr>
        <w:t>5.5</w:t>
      </w:r>
      <w:r>
        <w:rPr>
          <w:rFonts w:hint="eastAsia"/>
        </w:rPr>
        <w:t>名下降到</w:t>
      </w:r>
      <w:r>
        <w:rPr>
          <w:rFonts w:hint="eastAsia"/>
        </w:rPr>
        <w:t>2009</w:t>
      </w:r>
      <w:r>
        <w:rPr>
          <w:rFonts w:hint="eastAsia"/>
        </w:rPr>
        <w:t>年的</w:t>
      </w:r>
      <w:r>
        <w:rPr>
          <w:rFonts w:hint="eastAsia"/>
        </w:rPr>
        <w:t>4.8</w:t>
      </w:r>
      <w:r>
        <w:rPr>
          <w:rFonts w:hint="eastAsia"/>
        </w:rPr>
        <w:t>名</w:t>
      </w:r>
    </w:p>
    <w:p w:rsidR="007234DD" w:rsidRDefault="007234DD">
      <w:pPr>
        <w:pStyle w:val="Bullet1GC"/>
      </w:pPr>
      <w:r>
        <w:rPr>
          <w:rFonts w:hint="eastAsia"/>
        </w:rPr>
        <w:t>5</w:t>
      </w:r>
      <w:r>
        <w:rPr>
          <w:rFonts w:hint="eastAsia"/>
        </w:rPr>
        <w:t>岁以下儿童死亡率从</w:t>
      </w:r>
      <w:r>
        <w:rPr>
          <w:rFonts w:hint="eastAsia"/>
        </w:rPr>
        <w:t>2008</w:t>
      </w:r>
      <w:r>
        <w:rPr>
          <w:rFonts w:hint="eastAsia"/>
        </w:rPr>
        <w:t>年的每</w:t>
      </w:r>
      <w:r>
        <w:rPr>
          <w:rFonts w:hint="eastAsia"/>
        </w:rPr>
        <w:t>1000</w:t>
      </w:r>
      <w:r>
        <w:rPr>
          <w:rFonts w:hint="eastAsia"/>
        </w:rPr>
        <w:t>名活产儿死亡</w:t>
      </w:r>
      <w:r>
        <w:rPr>
          <w:rFonts w:hint="eastAsia"/>
        </w:rPr>
        <w:t>10.4</w:t>
      </w:r>
      <w:r>
        <w:rPr>
          <w:rFonts w:hint="eastAsia"/>
        </w:rPr>
        <w:t>名下降到</w:t>
      </w:r>
      <w:r>
        <w:rPr>
          <w:rFonts w:hint="eastAsia"/>
        </w:rPr>
        <w:t>2009</w:t>
      </w:r>
      <w:r>
        <w:rPr>
          <w:rFonts w:hint="eastAsia"/>
        </w:rPr>
        <w:t>年的</w:t>
      </w:r>
      <w:r>
        <w:rPr>
          <w:rFonts w:hint="eastAsia"/>
        </w:rPr>
        <w:t>8.8</w:t>
      </w:r>
      <w:r>
        <w:rPr>
          <w:rFonts w:hint="eastAsia"/>
        </w:rPr>
        <w:t>名</w:t>
      </w:r>
    </w:p>
    <w:p w:rsidR="007234DD" w:rsidRDefault="007234DD">
      <w:pPr>
        <w:pStyle w:val="Bullet1GC"/>
      </w:pPr>
      <w:r>
        <w:rPr>
          <w:rFonts w:hint="eastAsia"/>
        </w:rPr>
        <w:t>2009</w:t>
      </w:r>
      <w:r>
        <w:rPr>
          <w:rFonts w:hint="eastAsia"/>
        </w:rPr>
        <w:t>年</w:t>
      </w:r>
      <w:r>
        <w:rPr>
          <w:rFonts w:hint="eastAsia"/>
        </w:rPr>
        <w:t>1</w:t>
      </w:r>
      <w:r>
        <w:rPr>
          <w:rFonts w:hint="eastAsia"/>
        </w:rPr>
        <w:t>岁以上儿童百分之百接种了麻疹疫苗</w:t>
      </w:r>
    </w:p>
    <w:p w:rsidR="007234DD" w:rsidRDefault="007234DD">
      <w:pPr>
        <w:pStyle w:val="Bullet1GC"/>
      </w:pPr>
      <w:r>
        <w:rPr>
          <w:rFonts w:hint="eastAsia"/>
        </w:rPr>
        <w:t>如今百分之百的生育在医疗监督下进行</w:t>
      </w:r>
    </w:p>
    <w:p w:rsidR="007234DD" w:rsidRDefault="007234DD">
      <w:pPr>
        <w:pStyle w:val="Bullet1GC"/>
      </w:pPr>
      <w:r>
        <w:rPr>
          <w:rFonts w:hint="eastAsia"/>
        </w:rPr>
        <w:t>卡塔尔妇女的总生育率从</w:t>
      </w:r>
      <w:r>
        <w:rPr>
          <w:rFonts w:hint="eastAsia"/>
        </w:rPr>
        <w:t>2008</w:t>
      </w:r>
      <w:r>
        <w:rPr>
          <w:rFonts w:hint="eastAsia"/>
        </w:rPr>
        <w:t>年的每位妇女生育</w:t>
      </w:r>
      <w:r>
        <w:rPr>
          <w:rFonts w:hint="eastAsia"/>
        </w:rPr>
        <w:t>3.9</w:t>
      </w:r>
      <w:r>
        <w:rPr>
          <w:rFonts w:hint="eastAsia"/>
        </w:rPr>
        <w:t>名子女下降到</w:t>
      </w:r>
      <w:r>
        <w:rPr>
          <w:rFonts w:hint="eastAsia"/>
        </w:rPr>
        <w:t>2009</w:t>
      </w:r>
      <w:r>
        <w:rPr>
          <w:rFonts w:hint="eastAsia"/>
        </w:rPr>
        <w:t>年的</w:t>
      </w:r>
      <w:r>
        <w:rPr>
          <w:rFonts w:hint="eastAsia"/>
        </w:rPr>
        <w:t>3.8</w:t>
      </w:r>
      <w:r>
        <w:rPr>
          <w:rFonts w:hint="eastAsia"/>
        </w:rPr>
        <w:t>名</w:t>
      </w:r>
    </w:p>
    <w:p w:rsidR="007234DD" w:rsidRDefault="007234DD">
      <w:pPr>
        <w:pStyle w:val="Bullet1GC"/>
      </w:pPr>
      <w:r>
        <w:rPr>
          <w:rFonts w:hint="eastAsia"/>
        </w:rPr>
        <w:t>15</w:t>
      </w:r>
      <w:r>
        <w:rPr>
          <w:rFonts w:hint="eastAsia"/>
        </w:rPr>
        <w:t>至</w:t>
      </w:r>
      <w:r>
        <w:rPr>
          <w:rFonts w:hint="eastAsia"/>
        </w:rPr>
        <w:t>19</w:t>
      </w:r>
      <w:r>
        <w:rPr>
          <w:rFonts w:hint="eastAsia"/>
        </w:rPr>
        <w:t>岁的卡塔尔妇女生育数量</w:t>
      </w:r>
      <w:r>
        <w:rPr>
          <w:rFonts w:hint="eastAsia"/>
        </w:rPr>
        <w:t>2009</w:t>
      </w:r>
      <w:r>
        <w:rPr>
          <w:rFonts w:hint="eastAsia"/>
        </w:rPr>
        <w:t>年为</w:t>
      </w:r>
      <w:r>
        <w:rPr>
          <w:rFonts w:hint="eastAsia"/>
        </w:rPr>
        <w:t>12/1000</w:t>
      </w:r>
      <w:r>
        <w:rPr>
          <w:rFonts w:hint="eastAsia"/>
        </w:rPr>
        <w:t>，而</w:t>
      </w:r>
      <w:r>
        <w:rPr>
          <w:rFonts w:hint="eastAsia"/>
        </w:rPr>
        <w:t>1986</w:t>
      </w:r>
      <w:r>
        <w:rPr>
          <w:rFonts w:hint="eastAsia"/>
        </w:rPr>
        <w:t>年为</w:t>
      </w:r>
      <w:r>
        <w:rPr>
          <w:rFonts w:hint="eastAsia"/>
        </w:rPr>
        <w:t>43/1000</w:t>
      </w:r>
      <w:r>
        <w:rPr>
          <w:rFonts w:hint="eastAsia"/>
        </w:rPr>
        <w:t>，</w:t>
      </w:r>
      <w:r>
        <w:rPr>
          <w:rFonts w:hint="eastAsia"/>
        </w:rPr>
        <w:t>1997</w:t>
      </w:r>
      <w:r>
        <w:rPr>
          <w:rFonts w:hint="eastAsia"/>
        </w:rPr>
        <w:t>年为</w:t>
      </w:r>
      <w:r>
        <w:rPr>
          <w:rFonts w:hint="eastAsia"/>
        </w:rPr>
        <w:t>21/1000</w:t>
      </w:r>
      <w:r>
        <w:rPr>
          <w:rFonts w:hint="eastAsia"/>
        </w:rPr>
        <w:t>，</w:t>
      </w:r>
      <w:r>
        <w:rPr>
          <w:rFonts w:hint="eastAsia"/>
        </w:rPr>
        <w:t>2004</w:t>
      </w:r>
      <w:r>
        <w:rPr>
          <w:rFonts w:hint="eastAsia"/>
        </w:rPr>
        <w:t>年的</w:t>
      </w:r>
      <w:r>
        <w:rPr>
          <w:rFonts w:hint="eastAsia"/>
        </w:rPr>
        <w:t>13/1000</w:t>
      </w:r>
    </w:p>
    <w:p w:rsidR="007234DD" w:rsidRDefault="007234DD">
      <w:pPr>
        <w:pStyle w:val="Bullet1GC"/>
      </w:pPr>
      <w:r>
        <w:rPr>
          <w:rFonts w:hint="eastAsia"/>
        </w:rPr>
        <w:t>2009</w:t>
      </w:r>
      <w:r>
        <w:rPr>
          <w:rFonts w:hint="eastAsia"/>
        </w:rPr>
        <w:t>年，</w:t>
      </w:r>
      <w:r>
        <w:rPr>
          <w:rFonts w:hint="eastAsia"/>
        </w:rPr>
        <w:t>15</w:t>
      </w:r>
      <w:r>
        <w:rPr>
          <w:rFonts w:hint="eastAsia"/>
        </w:rPr>
        <w:t>至</w:t>
      </w:r>
      <w:r>
        <w:rPr>
          <w:rFonts w:hint="eastAsia"/>
        </w:rPr>
        <w:t>24</w:t>
      </w:r>
      <w:r>
        <w:rPr>
          <w:rFonts w:hint="eastAsia"/>
        </w:rPr>
        <w:t>岁人口当中没有艾滋病病例记录</w:t>
      </w:r>
    </w:p>
    <w:p w:rsidR="007234DD" w:rsidRDefault="007234DD">
      <w:pPr>
        <w:pStyle w:val="Bullet1GC"/>
      </w:pPr>
      <w:r>
        <w:rPr>
          <w:rFonts w:hint="eastAsia"/>
        </w:rPr>
        <w:t>疟疾发病率从</w:t>
      </w:r>
      <w:r>
        <w:rPr>
          <w:rFonts w:hint="eastAsia"/>
        </w:rPr>
        <w:t>2005</w:t>
      </w:r>
      <w:r>
        <w:rPr>
          <w:rFonts w:hint="eastAsia"/>
        </w:rPr>
        <w:t>年的每</w:t>
      </w:r>
      <w:r>
        <w:t>10,000</w:t>
      </w:r>
      <w:r>
        <w:rPr>
          <w:rFonts w:hint="eastAsia"/>
        </w:rPr>
        <w:t>人口</w:t>
      </w:r>
      <w:r>
        <w:rPr>
          <w:rFonts w:hint="eastAsia"/>
        </w:rPr>
        <w:t>2.1</w:t>
      </w:r>
      <w:r>
        <w:rPr>
          <w:rFonts w:hint="eastAsia"/>
        </w:rPr>
        <w:t>例下降到</w:t>
      </w:r>
      <w:r>
        <w:rPr>
          <w:rFonts w:hint="eastAsia"/>
        </w:rPr>
        <w:t>2008</w:t>
      </w:r>
      <w:r>
        <w:rPr>
          <w:rFonts w:hint="eastAsia"/>
        </w:rPr>
        <w:t>年的</w:t>
      </w:r>
      <w:r>
        <w:rPr>
          <w:rFonts w:hint="eastAsia"/>
        </w:rPr>
        <w:t>1.5</w:t>
      </w:r>
      <w:r>
        <w:rPr>
          <w:rFonts w:hint="eastAsia"/>
        </w:rPr>
        <w:t>例；</w:t>
      </w:r>
      <w:r>
        <w:rPr>
          <w:rFonts w:hint="eastAsia"/>
        </w:rPr>
        <w:t>2008</w:t>
      </w:r>
      <w:r>
        <w:rPr>
          <w:rFonts w:hint="eastAsia"/>
        </w:rPr>
        <w:t>年的肺结核发病率为每</w:t>
      </w:r>
      <w:r>
        <w:t>10,000</w:t>
      </w:r>
      <w:r>
        <w:rPr>
          <w:rFonts w:hint="eastAsia"/>
        </w:rPr>
        <w:t>人口</w:t>
      </w:r>
      <w:r>
        <w:rPr>
          <w:rFonts w:hint="eastAsia"/>
        </w:rPr>
        <w:t>2.1</w:t>
      </w:r>
      <w:r>
        <w:rPr>
          <w:rFonts w:hint="eastAsia"/>
        </w:rPr>
        <w:t>例，而</w:t>
      </w:r>
      <w:r>
        <w:rPr>
          <w:rFonts w:hint="eastAsia"/>
        </w:rPr>
        <w:t>2005</w:t>
      </w:r>
      <w:r>
        <w:rPr>
          <w:rFonts w:hint="eastAsia"/>
        </w:rPr>
        <w:t>年为每</w:t>
      </w:r>
      <w:r>
        <w:t>10,000</w:t>
      </w:r>
      <w:r>
        <w:rPr>
          <w:rFonts w:hint="eastAsia"/>
        </w:rPr>
        <w:t>人口</w:t>
      </w:r>
      <w:r>
        <w:rPr>
          <w:rFonts w:hint="eastAsia"/>
        </w:rPr>
        <w:t>2</w:t>
      </w:r>
      <w:r>
        <w:rPr>
          <w:rFonts w:hint="eastAsia"/>
        </w:rPr>
        <w:t>例</w:t>
      </w:r>
    </w:p>
    <w:p w:rsidR="007234DD" w:rsidRDefault="007234DD">
      <w:pPr>
        <w:pStyle w:val="Bullet1GC"/>
      </w:pPr>
      <w:r>
        <w:rPr>
          <w:rFonts w:hint="eastAsia"/>
        </w:rPr>
        <w:t>百分之百的人口能够获得安全饮用水</w:t>
      </w:r>
    </w:p>
    <w:p w:rsidR="007234DD" w:rsidRDefault="007234DD">
      <w:pPr>
        <w:pStyle w:val="Bullet1GC"/>
      </w:pPr>
      <w:r>
        <w:rPr>
          <w:rFonts w:hint="eastAsia"/>
        </w:rPr>
        <w:t>百分之百的人口能够获得安全的卫生设施</w:t>
      </w:r>
    </w:p>
    <w:p w:rsidR="007234DD" w:rsidRDefault="007234DD">
      <w:pPr>
        <w:pStyle w:val="Bullet1GC"/>
      </w:pPr>
      <w:r>
        <w:rPr>
          <w:rFonts w:hint="eastAsia"/>
        </w:rPr>
        <w:t>无贫困区、边缘化人口聚居区或棚户区</w:t>
      </w:r>
    </w:p>
    <w:p w:rsidR="007234DD" w:rsidRDefault="007234DD">
      <w:pPr>
        <w:pStyle w:val="Bullet1GC"/>
      </w:pPr>
      <w:r>
        <w:rPr>
          <w:rFonts w:hint="eastAsia"/>
        </w:rPr>
        <w:t xml:space="preserve"> 2005-2009</w:t>
      </w:r>
      <w:r>
        <w:rPr>
          <w:rFonts w:hint="eastAsia"/>
        </w:rPr>
        <w:t>年期间提供了大约</w:t>
      </w:r>
      <w:r>
        <w:rPr>
          <w:rFonts w:hint="eastAsia"/>
        </w:rPr>
        <w:t>20.1</w:t>
      </w:r>
      <w:r>
        <w:rPr>
          <w:rFonts w:hint="eastAsia"/>
        </w:rPr>
        <w:t>亿美元的发展援助，占同期平均国内生产总值的</w:t>
      </w:r>
      <w:r>
        <w:rPr>
          <w:rFonts w:hint="eastAsia"/>
        </w:rPr>
        <w:t>0.49%</w:t>
      </w:r>
    </w:p>
    <w:p w:rsidR="007234DD" w:rsidRDefault="007234DD">
      <w:pPr>
        <w:pStyle w:val="H1GC"/>
      </w:pPr>
      <w:r>
        <w:tab/>
        <w:t>B.</w:t>
      </w:r>
      <w:r>
        <w:tab/>
      </w:r>
      <w:r>
        <w:t>国家的宪法、政治和法律结构</w:t>
      </w:r>
    </w:p>
    <w:p w:rsidR="007234DD" w:rsidRDefault="007234DD">
      <w:pPr>
        <w:pStyle w:val="H23GC"/>
        <w:rPr>
          <w:rFonts w:hint="eastAsia"/>
        </w:rPr>
      </w:pPr>
      <w:r>
        <w:rPr>
          <w:rFonts w:hint="eastAsia"/>
        </w:rPr>
        <w:tab/>
      </w:r>
      <w:r>
        <w:rPr>
          <w:rFonts w:hint="eastAsia"/>
        </w:rPr>
        <w:tab/>
      </w:r>
      <w:r>
        <w:rPr>
          <w:rFonts w:hint="eastAsia"/>
        </w:rPr>
        <w:t>卡塔尔永久宪法</w:t>
      </w:r>
    </w:p>
    <w:p w:rsidR="007234DD" w:rsidRDefault="007234DD">
      <w:pPr>
        <w:pStyle w:val="SingleTxtGC"/>
      </w:pPr>
      <w:r>
        <w:t xml:space="preserve">31.  </w:t>
      </w:r>
      <w:r>
        <w:rPr>
          <w:rFonts w:hint="eastAsia"/>
        </w:rPr>
        <w:t>为了利用各种努力加强民主治理，增强卡塔尔社会的基础，以及促进民众参与决策，</w:t>
      </w:r>
      <w:r>
        <w:rPr>
          <w:rFonts w:hint="eastAsia"/>
        </w:rPr>
        <w:t>2004</w:t>
      </w:r>
      <w:r>
        <w:rPr>
          <w:rFonts w:hint="eastAsia"/>
        </w:rPr>
        <w:t>年在举行全民公投后，</w:t>
      </w:r>
      <w:r>
        <w:t>谢赫</w:t>
      </w:r>
      <w:r>
        <w:rPr>
          <w:rFonts w:hint="eastAsia"/>
        </w:rPr>
        <w:t>·</w:t>
      </w:r>
      <w:r>
        <w:t>哈马德</w:t>
      </w:r>
      <w:r>
        <w:rPr>
          <w:rFonts w:hint="eastAsia"/>
        </w:rPr>
        <w:t>·</w:t>
      </w:r>
      <w:r>
        <w:t>本</w:t>
      </w:r>
      <w:r>
        <w:rPr>
          <w:rFonts w:hint="eastAsia"/>
        </w:rPr>
        <w:t>·</w:t>
      </w:r>
      <w:r>
        <w:t>哈利法</w:t>
      </w:r>
      <w:r>
        <w:rPr>
          <w:rFonts w:hint="eastAsia"/>
        </w:rPr>
        <w:t>·</w:t>
      </w:r>
      <w:r>
        <w:t>阿勒萨尼</w:t>
      </w:r>
      <w:r>
        <w:rPr>
          <w:rFonts w:hint="eastAsia"/>
        </w:rPr>
        <w:t>殿下颁布了《卡塔尔永久宪法》。这部宪法包括</w:t>
      </w:r>
      <w:r>
        <w:rPr>
          <w:rFonts w:hint="eastAsia"/>
        </w:rPr>
        <w:t>150</w:t>
      </w:r>
      <w:r>
        <w:rPr>
          <w:rFonts w:hint="eastAsia"/>
        </w:rPr>
        <w:t>条，规定了指导国家政策和奠定权力行使依据的原则，其中包括：权力分立、法治至上、司法独立以及基本权利和自由性神圣不可侵犯。</w:t>
      </w:r>
    </w:p>
    <w:p w:rsidR="007234DD" w:rsidRDefault="007234DD">
      <w:pPr>
        <w:pStyle w:val="SingleTxtGC"/>
      </w:pPr>
      <w:r>
        <w:t xml:space="preserve">32.  </w:t>
      </w:r>
      <w:r>
        <w:rPr>
          <w:rFonts w:hint="eastAsia"/>
        </w:rPr>
        <w:t>涉及国家和政府原则的《宪法》第一部分规定，国教是伊斯兰教，伊斯兰教法是法律的主要来源。《宪法》随附的解释性说明确认，不得在卡塔尔颁布任何与这些具有约束力的原则相抵触以及明显偏离伊斯兰教法的法律。</w:t>
      </w:r>
    </w:p>
    <w:p w:rsidR="007234DD" w:rsidRDefault="007234DD">
      <w:pPr>
        <w:pStyle w:val="SingleTxtGC"/>
      </w:pPr>
      <w:r>
        <w:t xml:space="preserve">33.  </w:t>
      </w:r>
      <w:r>
        <w:rPr>
          <w:rFonts w:hint="eastAsia"/>
        </w:rPr>
        <w:t>《宪法》第</w:t>
      </w:r>
      <w:r>
        <w:rPr>
          <w:rFonts w:hint="eastAsia"/>
        </w:rPr>
        <w:t>8</w:t>
      </w:r>
      <w:r>
        <w:rPr>
          <w:rFonts w:hint="eastAsia"/>
        </w:rPr>
        <w:t>条规定，统治权由</w:t>
      </w:r>
      <w:r>
        <w:t>阿勒萨尼</w:t>
      </w:r>
      <w:r>
        <w:rPr>
          <w:rFonts w:hint="eastAsia"/>
        </w:rPr>
        <w:t>家族和哈马德·本·哈利法·本·哈马德·本·阿卜杜拉·本·贾西姆的男性继承人世袭。</w:t>
      </w:r>
    </w:p>
    <w:p w:rsidR="007234DD" w:rsidRDefault="007234DD">
      <w:pPr>
        <w:pStyle w:val="SingleTxtGC"/>
      </w:pPr>
      <w:r>
        <w:t xml:space="preserve">34.  </w:t>
      </w:r>
      <w:r>
        <w:rPr>
          <w:rFonts w:hint="eastAsia"/>
        </w:rPr>
        <w:t>题为“社会指导原则”的《宪法》第二部分规定，卡塔尔社会建立在正义、仁爱、自由、平等和崇高道德价值观的基础上，国家有责任保护这些基础和确保安全、稳定、机会平等、团结和公民之间的和谐。《宪法》强调由宗教、道德和爱国主义支撑的家庭的重要性，认为家庭是社会的基础。它明确规定了国家对家庭的责任及其照顾未成年人的责任，国家必须保护他们，使其免遭腐败、剥削和忽视身体、心理和精神的邪恶现象的损害，为他们充分发挥其潜力提供适当条件。</w:t>
      </w:r>
    </w:p>
    <w:p w:rsidR="007234DD" w:rsidRDefault="007234DD">
      <w:pPr>
        <w:pStyle w:val="SingleTxtGC"/>
      </w:pPr>
      <w:r>
        <w:t xml:space="preserve">35.  </w:t>
      </w:r>
      <w:r>
        <w:rPr>
          <w:rFonts w:hint="eastAsia"/>
        </w:rPr>
        <w:t>《宪法》第三部分专门涉及基本权利和自由主题。它规定，公民依法享有平等的一般权利和承担平等的一般义务，公民之间不得以性别、出身、语言或宗教为理由进行歧视。</w:t>
      </w:r>
    </w:p>
    <w:p w:rsidR="007234DD" w:rsidRDefault="007234DD">
      <w:pPr>
        <w:pStyle w:val="SingleTxtGC"/>
      </w:pPr>
      <w:r>
        <w:t xml:space="preserve">36.  </w:t>
      </w:r>
      <w:r>
        <w:rPr>
          <w:rFonts w:hint="eastAsia"/>
        </w:rPr>
        <w:t>《宪法》规定，卡塔尔外交政策背后的核心指导原则为：巩固国际和平与安全；尊重人权；拒绝暴力和使用武力；促进国际争端的和平解决；以及与爱好和平的国家合作。</w:t>
      </w:r>
    </w:p>
    <w:p w:rsidR="007234DD" w:rsidRDefault="007234DD">
      <w:pPr>
        <w:pStyle w:val="H23GC"/>
        <w:rPr>
          <w:rFonts w:hint="eastAsia"/>
        </w:rPr>
      </w:pPr>
      <w:r>
        <w:rPr>
          <w:rFonts w:hint="eastAsia"/>
        </w:rPr>
        <w:tab/>
      </w:r>
      <w:r>
        <w:rPr>
          <w:rFonts w:hint="eastAsia"/>
        </w:rPr>
        <w:tab/>
      </w:r>
      <w:r>
        <w:rPr>
          <w:rFonts w:hint="eastAsia"/>
        </w:rPr>
        <w:t>权力结构</w:t>
      </w:r>
    </w:p>
    <w:p w:rsidR="007234DD" w:rsidRDefault="007234DD">
      <w:pPr>
        <w:pStyle w:val="SingleTxtGC"/>
      </w:pPr>
      <w:r>
        <w:t xml:space="preserve">37.  </w:t>
      </w:r>
      <w:r>
        <w:rPr>
          <w:rFonts w:hint="eastAsia"/>
        </w:rPr>
        <w:t>支撑卡塔尔国家权力结构的主要原则是权力来自人民，并由人民根据《宪法》行使。政府系统建立在各国家权力部门彼此独立，却又彼此充分合作的基础上。顾问委员会负责制定法律，而埃米尔协同大臣会议行使行政权，司法权由法院行使。法院以埃米尔的名义作出判决。《宪法》第四部分专门涉及</w:t>
      </w:r>
      <w:r>
        <w:rPr>
          <w:rFonts w:ascii="SimSun" w:hAnsi="SimSun" w:cs="SimSun" w:hint="eastAsia"/>
        </w:rPr>
        <w:t>权力</w:t>
      </w:r>
      <w:r>
        <w:rPr>
          <w:rFonts w:ascii="MS Mincho" w:hAnsi="MS Mincho" w:cs="MS Mincho" w:hint="eastAsia"/>
        </w:rPr>
        <w:t>结构</w:t>
      </w:r>
      <w:r>
        <w:rPr>
          <w:rFonts w:ascii="SimSun" w:hAnsi="SimSun" w:cs="SimSun" w:hint="eastAsia"/>
        </w:rPr>
        <w:t>主题。下面是其内容摘要。</w:t>
      </w:r>
    </w:p>
    <w:p w:rsidR="007234DD" w:rsidRDefault="007234DD">
      <w:pPr>
        <w:pStyle w:val="H23GC"/>
        <w:rPr>
          <w:rFonts w:hint="eastAsia"/>
        </w:rPr>
      </w:pPr>
      <w:r>
        <w:rPr>
          <w:rFonts w:hint="eastAsia"/>
        </w:rPr>
        <w:tab/>
      </w:r>
      <w:r>
        <w:rPr>
          <w:rFonts w:hint="eastAsia"/>
        </w:rPr>
        <w:tab/>
      </w:r>
      <w:r>
        <w:rPr>
          <w:rFonts w:hint="eastAsia"/>
        </w:rPr>
        <w:t>埃米尔</w:t>
      </w:r>
    </w:p>
    <w:p w:rsidR="007234DD" w:rsidRDefault="007234DD">
      <w:pPr>
        <w:pStyle w:val="SingleTxtGC"/>
      </w:pPr>
      <w:r>
        <w:t xml:space="preserve">38.  </w:t>
      </w:r>
      <w:r>
        <w:rPr>
          <w:rFonts w:hint="eastAsia"/>
        </w:rPr>
        <w:t>卡塔尔埃米尔是国家元首，其人身不可侵犯，并应当受到所有人的尊重。他是武装部队的最高统帅，在国内外以及在国际关系的各个方面代表国家。他还通过埃米尔令批准条约和公约并将它们转交给顾问委员会。这些文书在获得批准并在《官方公报》上公布之后具有法律效力。埃米尔协同大臣会议制定国家的一般政策，并批准和颁布法律。任何法律未经埃米尔批准，均不得颁布。埃米尔批准各部及其他政府机构的成立和组织结构，以及其职权范围。他还批准由他任命以协助他指导和监督国家政策的咨询机构的成立和组织结构，并履行《宪法》和法律规定的其他职责。</w:t>
      </w:r>
    </w:p>
    <w:p w:rsidR="007234DD" w:rsidRDefault="007234DD">
      <w:pPr>
        <w:pStyle w:val="H23GC"/>
        <w:rPr>
          <w:rFonts w:hint="eastAsia"/>
        </w:rPr>
      </w:pPr>
      <w:r>
        <w:rPr>
          <w:rFonts w:hint="eastAsia"/>
        </w:rPr>
        <w:tab/>
      </w:r>
      <w:r>
        <w:rPr>
          <w:rFonts w:hint="eastAsia"/>
        </w:rPr>
        <w:tab/>
      </w:r>
      <w:r>
        <w:rPr>
          <w:rFonts w:hint="eastAsia"/>
        </w:rPr>
        <w:t>立法机关</w:t>
      </w:r>
    </w:p>
    <w:p w:rsidR="007234DD" w:rsidRDefault="007234DD">
      <w:pPr>
        <w:pStyle w:val="SingleTxtGC"/>
      </w:pPr>
      <w:r>
        <w:t xml:space="preserve">39.  </w:t>
      </w:r>
      <w:r>
        <w:rPr>
          <w:rFonts w:hint="eastAsia"/>
        </w:rPr>
        <w:t>《宪法》赋予顾问委员会立法权。顾问委员会负责核准一般预算和审查行政部门的决定。《永久宪法》第</w:t>
      </w:r>
      <w:r>
        <w:rPr>
          <w:rFonts w:hint="eastAsia"/>
        </w:rPr>
        <w:t>77</w:t>
      </w:r>
      <w:r>
        <w:rPr>
          <w:rFonts w:hint="eastAsia"/>
        </w:rPr>
        <w:t>条并没有关于两院制</w:t>
      </w:r>
      <w:r>
        <w:rPr>
          <w:rFonts w:hint="eastAsia"/>
        </w:rPr>
        <w:t>(</w:t>
      </w:r>
      <w:r>
        <w:rPr>
          <w:rFonts w:hint="eastAsia"/>
        </w:rPr>
        <w:t>一院议员为民选，另一院为任命</w:t>
      </w:r>
      <w:r>
        <w:rPr>
          <w:rFonts w:hint="eastAsia"/>
        </w:rPr>
        <w:t>)</w:t>
      </w:r>
      <w:r>
        <w:rPr>
          <w:rFonts w:hint="eastAsia"/>
        </w:rPr>
        <w:t>设想的规定，而是选择设立单一议院，由民选议员及任命议员组成，但民选议员明显占多数。《宪法》第</w:t>
      </w:r>
      <w:r>
        <w:rPr>
          <w:rFonts w:hint="eastAsia"/>
        </w:rPr>
        <w:t>77</w:t>
      </w:r>
      <w:r>
        <w:rPr>
          <w:rFonts w:hint="eastAsia"/>
        </w:rPr>
        <w:t>条规定，顾问委员会由</w:t>
      </w:r>
      <w:r>
        <w:rPr>
          <w:rFonts w:hint="eastAsia"/>
        </w:rPr>
        <w:t>45</w:t>
      </w:r>
      <w:r>
        <w:rPr>
          <w:rFonts w:hint="eastAsia"/>
        </w:rPr>
        <w:t>名成员组成，其中三分之二以直接、秘密、普选的方式选出，另外三分之一由埃米尔任命。法律对举行选举的制度作了界定，规定了提名候选人和投票支持候选人的条件。</w:t>
      </w:r>
    </w:p>
    <w:p w:rsidR="007234DD" w:rsidRDefault="007234DD">
      <w:pPr>
        <w:pStyle w:val="H23GC"/>
        <w:rPr>
          <w:rFonts w:hint="eastAsia"/>
        </w:rPr>
      </w:pPr>
      <w:r>
        <w:rPr>
          <w:rFonts w:hint="eastAsia"/>
        </w:rPr>
        <w:tab/>
      </w:r>
      <w:r>
        <w:rPr>
          <w:rFonts w:hint="eastAsia"/>
        </w:rPr>
        <w:tab/>
      </w:r>
      <w:r>
        <w:rPr>
          <w:rFonts w:hint="eastAsia"/>
        </w:rPr>
        <w:t>行政机关</w:t>
      </w:r>
    </w:p>
    <w:p w:rsidR="007234DD" w:rsidRDefault="007234DD">
      <w:pPr>
        <w:pStyle w:val="SingleTxtGC"/>
      </w:pPr>
      <w:r>
        <w:t xml:space="preserve">40.  </w:t>
      </w:r>
      <w:r>
        <w:rPr>
          <w:rFonts w:hint="eastAsia"/>
        </w:rPr>
        <w:t>大臣会议协助埃米尔依照《宪法》和法律行使其权力。大臣会议以高级执行机构的身份负责管理宪法和法律规定由其负责的所有内部和外部事务。它提出关于法律和法令的提案，交由顾问委员会其审议。根据《宪法》，这些文书如果获得核准，将被递交给埃米尔批准和颁布。大臣会议通过由各部起草的条例和决定，监督法律的执行，审查公共财政管理和公共行政，并履行其他各种职能。</w:t>
      </w:r>
    </w:p>
    <w:p w:rsidR="007234DD" w:rsidRDefault="007234DD">
      <w:pPr>
        <w:pStyle w:val="H23GC"/>
        <w:rPr>
          <w:rFonts w:hint="eastAsia"/>
        </w:rPr>
      </w:pPr>
      <w:r>
        <w:rPr>
          <w:rFonts w:hint="eastAsia"/>
        </w:rPr>
        <w:tab/>
      </w:r>
      <w:r>
        <w:rPr>
          <w:rFonts w:hint="eastAsia"/>
        </w:rPr>
        <w:tab/>
      </w:r>
      <w:r>
        <w:rPr>
          <w:rFonts w:hint="eastAsia"/>
        </w:rPr>
        <w:t>司法机关</w:t>
      </w:r>
    </w:p>
    <w:p w:rsidR="007234DD" w:rsidRDefault="007234DD">
      <w:pPr>
        <w:pStyle w:val="SingleTxtGC"/>
      </w:pPr>
      <w:r>
        <w:t xml:space="preserve">41.  </w:t>
      </w:r>
      <w:r>
        <w:rPr>
          <w:rFonts w:hint="eastAsia"/>
        </w:rPr>
        <w:t>法治至上得到《宪法》的承认。《宪法》第</w:t>
      </w:r>
      <w:r>
        <w:rPr>
          <w:rFonts w:hint="eastAsia"/>
        </w:rPr>
        <w:t>129</w:t>
      </w:r>
      <w:r>
        <w:rPr>
          <w:rFonts w:hint="eastAsia"/>
        </w:rPr>
        <w:t>条规定：“法治是国家政府的基础。法官的荣誉、公正和公平是为了保证权利和自由”。第</w:t>
      </w:r>
      <w:r>
        <w:rPr>
          <w:rFonts w:hint="eastAsia"/>
        </w:rPr>
        <w:t>130</w:t>
      </w:r>
      <w:r>
        <w:rPr>
          <w:rFonts w:hint="eastAsia"/>
        </w:rPr>
        <w:t>条规定：“司法机关是独立的。司法权由各类和各级法院行使”。第</w:t>
      </w:r>
      <w:r>
        <w:rPr>
          <w:rFonts w:hint="eastAsia"/>
        </w:rPr>
        <w:t>131</w:t>
      </w:r>
      <w:r>
        <w:rPr>
          <w:rFonts w:hint="eastAsia"/>
        </w:rPr>
        <w:t>条规定：“法官是独立的，不受法律以外的任何权力约束。任何一方当事人不得干预法律案件或司法行政”。第</w:t>
      </w:r>
      <w:r>
        <w:rPr>
          <w:rFonts w:hint="eastAsia"/>
        </w:rPr>
        <w:t>137</w:t>
      </w:r>
      <w:r>
        <w:rPr>
          <w:rFonts w:hint="eastAsia"/>
        </w:rPr>
        <w:t>条规定：“司法机关应当有一个较高级别的委员会负责监督法院和各机构工作并帮助它们。该委员会的构成、职能和权力应当由法律规定”。</w:t>
      </w:r>
    </w:p>
    <w:p w:rsidR="007234DD" w:rsidRDefault="007234DD">
      <w:pPr>
        <w:pStyle w:val="SingleTxtGC"/>
      </w:pPr>
      <w:r>
        <w:t xml:space="preserve">42.  </w:t>
      </w:r>
      <w:r>
        <w:rPr>
          <w:rFonts w:hint="eastAsia"/>
        </w:rPr>
        <w:t>如关于司法机关的</w:t>
      </w:r>
      <w:r>
        <w:rPr>
          <w:rFonts w:hint="eastAsia"/>
        </w:rPr>
        <w:t>2003</w:t>
      </w:r>
      <w:r>
        <w:rPr>
          <w:rFonts w:hint="eastAsia"/>
        </w:rPr>
        <w:t>年第</w:t>
      </w:r>
      <w:r>
        <w:rPr>
          <w:rFonts w:hint="eastAsia"/>
        </w:rPr>
        <w:t>10</w:t>
      </w:r>
      <w:r>
        <w:rPr>
          <w:rFonts w:hint="eastAsia"/>
        </w:rPr>
        <w:t>号法规定的那样，国家法院包括最高法院、上诉法院和一审法院。根据该法第</w:t>
      </w:r>
      <w:r>
        <w:rPr>
          <w:rFonts w:hint="eastAsia"/>
        </w:rPr>
        <w:t>22</w:t>
      </w:r>
      <w:r>
        <w:rPr>
          <w:rFonts w:hint="eastAsia"/>
        </w:rPr>
        <w:t>条设立了最高司法委员会，以捍卫司法独立。如该法第</w:t>
      </w:r>
      <w:r>
        <w:rPr>
          <w:rFonts w:hint="eastAsia"/>
        </w:rPr>
        <w:t>23</w:t>
      </w:r>
      <w:r>
        <w:rPr>
          <w:rFonts w:hint="eastAsia"/>
        </w:rPr>
        <w:t>条规定的那样，除了其中规定的其他职能之外，最高司法委员会还负责：就影响司法的事务提出意见；研究司法系统的发展情况并就此提出立法建议；就司法人员的任命、晋升、调职、借调和退休问题提出意见；受理关于司法事务的投诉。该委员会就这些问题作出的决定是最终决定。</w:t>
      </w:r>
    </w:p>
    <w:p w:rsidR="007234DD" w:rsidRDefault="007234DD">
      <w:pPr>
        <w:pStyle w:val="SingleTxtGC"/>
      </w:pPr>
      <w:r>
        <w:t xml:space="preserve">43.  </w:t>
      </w:r>
      <w:r>
        <w:rPr>
          <w:rFonts w:hint="eastAsia"/>
        </w:rPr>
        <w:t>根据《卡塔尔宪法》，核实法律是否符合宪法的任务被定义为一项核心职能。大多数现代宪法都采取这种办法，它确保在政府各部门之间取得平衡。因此，在就法律法规的合宪性产生争议时，宪法法院主动或应一法律当事方的请求作出裁决。宪法法院的裁决和决定是终局性的，不得上诉，并对所有国家机关均具有约束力。司法机关的独立性随着关于行政纠纷裁决的</w:t>
      </w:r>
      <w:r>
        <w:rPr>
          <w:rFonts w:hint="eastAsia"/>
        </w:rPr>
        <w:t>2007</w:t>
      </w:r>
      <w:r>
        <w:rPr>
          <w:rFonts w:hint="eastAsia"/>
        </w:rPr>
        <w:t>年第</w:t>
      </w:r>
      <w:r>
        <w:rPr>
          <w:rFonts w:hint="eastAsia"/>
        </w:rPr>
        <w:t>7</w:t>
      </w:r>
      <w:r>
        <w:rPr>
          <w:rFonts w:hint="eastAsia"/>
        </w:rPr>
        <w:t>号法的颁布而得到了加强。该法确认，可以滥用权力为由要求撤销行政决定或寻求有关赔偿。</w:t>
      </w:r>
    </w:p>
    <w:p w:rsidR="007234DD" w:rsidRDefault="007234DD">
      <w:pPr>
        <w:pStyle w:val="SingleTxtG"/>
        <w:spacing w:line="320" w:lineRule="exact"/>
        <w:rPr>
          <w:sz w:val="21"/>
          <w:lang w:eastAsia="zh-CN"/>
        </w:rPr>
      </w:pPr>
      <w:r>
        <w:rPr>
          <w:sz w:val="21"/>
          <w:lang w:eastAsia="zh-CN"/>
        </w:rPr>
        <w:t xml:space="preserve">44.  </w:t>
      </w:r>
      <w:r>
        <w:rPr>
          <w:rFonts w:hint="eastAsia"/>
          <w:sz w:val="21"/>
          <w:lang w:eastAsia="zh-CN"/>
        </w:rPr>
        <w:t>检察署是一个独立的司法机构，负责代表社会提起诉讼。它监督执法问题和法律的适用。它拥有的专有权限是开展刑事调查、向法院起诉并实施法律规定的所有有关程序。它拥有调查权和起诉被告的权力。</w:t>
      </w:r>
    </w:p>
    <w:p w:rsidR="007234DD" w:rsidRDefault="007234DD">
      <w:pPr>
        <w:pStyle w:val="H23GC"/>
        <w:rPr>
          <w:rFonts w:hint="eastAsia"/>
        </w:rPr>
      </w:pPr>
      <w:r>
        <w:rPr>
          <w:rFonts w:hint="eastAsia"/>
        </w:rPr>
        <w:tab/>
      </w:r>
      <w:r>
        <w:rPr>
          <w:rFonts w:hint="eastAsia"/>
        </w:rPr>
        <w:tab/>
      </w:r>
      <w:r>
        <w:rPr>
          <w:rFonts w:hint="eastAsia"/>
        </w:rPr>
        <w:t>承认非政府组织的法律</w:t>
      </w:r>
    </w:p>
    <w:p w:rsidR="007234DD" w:rsidRDefault="007234DD">
      <w:pPr>
        <w:pStyle w:val="SingleTxtGC"/>
      </w:pPr>
      <w:r>
        <w:t xml:space="preserve">45.  </w:t>
      </w:r>
      <w:r>
        <w:rPr>
          <w:rFonts w:hint="eastAsia"/>
        </w:rPr>
        <w:t>在卡塔尔，有组织的民间社会活动是一种新现象，卡塔尔红新月会于</w:t>
      </w:r>
      <w:r>
        <w:rPr>
          <w:rFonts w:hint="eastAsia"/>
        </w:rPr>
        <w:t>1978</w:t>
      </w:r>
      <w:r>
        <w:rPr>
          <w:rFonts w:hint="eastAsia"/>
        </w:rPr>
        <w:t>年成立，卡塔尔慈善协会于</w:t>
      </w:r>
      <w:r>
        <w:rPr>
          <w:rFonts w:hint="eastAsia"/>
        </w:rPr>
        <w:t>1980</w:t>
      </w:r>
      <w:r>
        <w:rPr>
          <w:rFonts w:hint="eastAsia"/>
        </w:rPr>
        <w:t>年成立，此后一些促进公共福利的私立协会和基金会纷纷成立。然而，迄今为止，卡塔尔尚未成立任何妇女协会。卡塔尔社会长期以来一直接受自愿慈善工作的思想，因为伊斯兰文化支持慈善活动，认为那是穆斯林能够从事的最理想的工作。</w:t>
      </w:r>
    </w:p>
    <w:p w:rsidR="007234DD" w:rsidRDefault="007234DD">
      <w:pPr>
        <w:pStyle w:val="SingleTxtGC"/>
      </w:pPr>
      <w:r>
        <w:t xml:space="preserve">46.  </w:t>
      </w:r>
      <w:r>
        <w:rPr>
          <w:rFonts w:hint="eastAsia"/>
        </w:rPr>
        <w:t>2004</w:t>
      </w:r>
      <w:r>
        <w:rPr>
          <w:rFonts w:hint="eastAsia"/>
        </w:rPr>
        <w:t>年第</w:t>
      </w:r>
      <w:r>
        <w:rPr>
          <w:rFonts w:hint="eastAsia"/>
        </w:rPr>
        <w:t>12</w:t>
      </w:r>
      <w:r>
        <w:rPr>
          <w:rFonts w:hint="eastAsia"/>
        </w:rPr>
        <w:t>号法对成立私立协会和基金会的权利作了规定，将这类组织可以从事的活动限制在人道主义、社会、文化、科学和慈善领域。该法规定，这类组织的设立不得以营利或寻求开展政治活动为目的。社会事务部负责登记和监督私立协会和基金会。该法规定，大臣会议在主管大臣的建议下，可给予协会财政援助或贷款，并允许其享受关税、税收和其他税费的豁免，以帮助它实现目标。</w:t>
      </w:r>
    </w:p>
    <w:p w:rsidR="007234DD" w:rsidRDefault="007234DD">
      <w:pPr>
        <w:pStyle w:val="SingleTxtGC"/>
      </w:pPr>
      <w:r>
        <w:t xml:space="preserve">47.  </w:t>
      </w:r>
      <w:r>
        <w:rPr>
          <w:rFonts w:hint="eastAsia"/>
        </w:rPr>
        <w:t>2006</w:t>
      </w:r>
      <w:r>
        <w:rPr>
          <w:rFonts w:hint="eastAsia"/>
        </w:rPr>
        <w:t>年第</w:t>
      </w:r>
      <w:r>
        <w:rPr>
          <w:rFonts w:hint="eastAsia"/>
        </w:rPr>
        <w:t>21</w:t>
      </w:r>
      <w:r>
        <w:rPr>
          <w:rFonts w:hint="eastAsia"/>
        </w:rPr>
        <w:t>号令</w:t>
      </w:r>
      <w:r>
        <w:rPr>
          <w:rFonts w:hint="eastAsia"/>
        </w:rPr>
        <w:t>(</w:t>
      </w:r>
      <w:r>
        <w:rPr>
          <w:rFonts w:hint="eastAsia"/>
        </w:rPr>
        <w:t>法</w:t>
      </w:r>
      <w:r>
        <w:rPr>
          <w:rFonts w:hint="eastAsia"/>
        </w:rPr>
        <w:t>)</w:t>
      </w:r>
      <w:r>
        <w:rPr>
          <w:rFonts w:hint="eastAsia"/>
        </w:rPr>
        <w:t>对促进公共福利的私立机构的成立作了规定，其中指定司法部房地产登记和文件司负责给这类机构颁发执照。该法将这些机构定义为一个或多个自然人或法人为追求一个或多个慈善目标而成立的实体。大臣会议有权延长这些机构的下列所有或部分特权：财政援助和特权，包括为其开展活动划拨土地；豁免全部或部分税费；防止其资产或财产被没收。</w:t>
      </w:r>
    </w:p>
    <w:p w:rsidR="007234DD" w:rsidRDefault="007234DD">
      <w:pPr>
        <w:pStyle w:val="SingleTxtGC"/>
      </w:pPr>
      <w:r>
        <w:t xml:space="preserve">48.  </w:t>
      </w:r>
      <w:r>
        <w:rPr>
          <w:rFonts w:hint="eastAsia"/>
        </w:rPr>
        <w:t>一些促进公共福利的私立机构是根据埃米尔令成立的，其中包括：批准成立阿拉伯民主基金会的</w:t>
      </w:r>
      <w:r>
        <w:rPr>
          <w:rFonts w:hint="eastAsia"/>
        </w:rPr>
        <w:t>2007</w:t>
      </w:r>
      <w:r>
        <w:rPr>
          <w:rFonts w:hint="eastAsia"/>
        </w:rPr>
        <w:t>年第</w:t>
      </w:r>
      <w:r>
        <w:rPr>
          <w:rFonts w:hint="eastAsia"/>
        </w:rPr>
        <w:t>51</w:t>
      </w:r>
      <w:r>
        <w:rPr>
          <w:rFonts w:hint="eastAsia"/>
        </w:rPr>
        <w:t>号令；批准成立多哈媒体自由中心的</w:t>
      </w:r>
      <w:r>
        <w:rPr>
          <w:rFonts w:hint="eastAsia"/>
        </w:rPr>
        <w:t>2007</w:t>
      </w:r>
      <w:r>
        <w:rPr>
          <w:rFonts w:hint="eastAsia"/>
        </w:rPr>
        <w:t>年第</w:t>
      </w:r>
      <w:r>
        <w:rPr>
          <w:rFonts w:hint="eastAsia"/>
        </w:rPr>
        <w:t>86</w:t>
      </w:r>
      <w:r>
        <w:rPr>
          <w:rFonts w:hint="eastAsia"/>
        </w:rPr>
        <w:t>号令；批准成立</w:t>
      </w:r>
      <w:r>
        <w:rPr>
          <w:rFonts w:hint="eastAsia"/>
        </w:rPr>
        <w:t>Silatech</w:t>
      </w:r>
      <w:r>
        <w:rPr>
          <w:rFonts w:hint="eastAsia"/>
        </w:rPr>
        <w:t>基金会的</w:t>
      </w:r>
      <w:r>
        <w:rPr>
          <w:rFonts w:hint="eastAsia"/>
        </w:rPr>
        <w:t>2008</w:t>
      </w:r>
      <w:r>
        <w:rPr>
          <w:rFonts w:hint="eastAsia"/>
        </w:rPr>
        <w:t>年第</w:t>
      </w:r>
      <w:r>
        <w:rPr>
          <w:rFonts w:hint="eastAsia"/>
        </w:rPr>
        <w:t>3</w:t>
      </w:r>
      <w:r>
        <w:rPr>
          <w:rFonts w:hint="eastAsia"/>
        </w:rPr>
        <w:t>号令；以及批准成立多哈不同信仰间对话国际中心的</w:t>
      </w:r>
      <w:r>
        <w:rPr>
          <w:rFonts w:hint="eastAsia"/>
        </w:rPr>
        <w:t>2010</w:t>
      </w:r>
      <w:r>
        <w:rPr>
          <w:rFonts w:hint="eastAsia"/>
        </w:rPr>
        <w:t>年第</w:t>
      </w:r>
      <w:r>
        <w:rPr>
          <w:rFonts w:hint="eastAsia"/>
        </w:rPr>
        <w:t>20</w:t>
      </w:r>
      <w:r>
        <w:rPr>
          <w:rFonts w:hint="eastAsia"/>
        </w:rPr>
        <w:t>号令。有几个组织的成立获得了卡塔尔教育、科学与社区发展基金会的赞助，包括走向亚洲和多哈家庭研究与发展国际研究所</w:t>
      </w:r>
      <w:r>
        <w:rPr>
          <w:rFonts w:hint="eastAsia"/>
          <w:spacing w:val="-50"/>
        </w:rPr>
        <w:t>―</w:t>
      </w:r>
      <w:r>
        <w:rPr>
          <w:rFonts w:hint="eastAsia"/>
          <w:spacing w:val="10"/>
        </w:rPr>
        <w:t>―</w:t>
      </w:r>
      <w:r>
        <w:rPr>
          <w:rFonts w:hint="eastAsia"/>
        </w:rPr>
        <w:t>它们都被联合国经济及社会理事会授予咨商地位。社会发展中心和卡塔尔糖尿病协会只是致力于卡塔尔社会发展的众多组织中的一些组织。</w:t>
      </w:r>
    </w:p>
    <w:p w:rsidR="007234DD" w:rsidRDefault="007234DD">
      <w:pPr>
        <w:pStyle w:val="H1GC"/>
      </w:pPr>
      <w:r>
        <w:tab/>
        <w:t>C.</w:t>
      </w:r>
      <w:r>
        <w:tab/>
      </w:r>
      <w:r>
        <w:t>促进和保护人权的总框架</w:t>
      </w:r>
    </w:p>
    <w:p w:rsidR="007234DD" w:rsidRDefault="007234DD">
      <w:pPr>
        <w:pStyle w:val="H23GC"/>
        <w:rPr>
          <w:rFonts w:hint="eastAsia"/>
        </w:rPr>
      </w:pPr>
      <w:r>
        <w:rPr>
          <w:rFonts w:hint="eastAsia"/>
        </w:rPr>
        <w:tab/>
      </w:r>
      <w:r>
        <w:rPr>
          <w:rFonts w:hint="eastAsia"/>
        </w:rPr>
        <w:tab/>
      </w:r>
      <w:r>
        <w:rPr>
          <w:rFonts w:hint="eastAsia"/>
        </w:rPr>
        <w:t>宪法对人权的保护</w:t>
      </w:r>
    </w:p>
    <w:p w:rsidR="007234DD" w:rsidRDefault="007234DD">
      <w:pPr>
        <w:pStyle w:val="SingleTxtGC"/>
        <w:rPr>
          <w:rFonts w:hint="eastAsia"/>
        </w:rPr>
      </w:pPr>
      <w:r>
        <w:t xml:space="preserve">49.  </w:t>
      </w:r>
      <w:r>
        <w:rPr>
          <w:rFonts w:hint="eastAsia"/>
        </w:rPr>
        <w:t>自执政和实行全面改革政策以来，</w:t>
      </w:r>
      <w:r>
        <w:t>谢赫</w:t>
      </w:r>
      <w:r>
        <w:rPr>
          <w:rFonts w:hint="eastAsia"/>
        </w:rPr>
        <w:t>·</w:t>
      </w:r>
      <w:r>
        <w:t>哈马德</w:t>
      </w:r>
      <w:r>
        <w:rPr>
          <w:rFonts w:hint="eastAsia"/>
        </w:rPr>
        <w:t>·</w:t>
      </w:r>
      <w:r>
        <w:t>本</w:t>
      </w:r>
      <w:r>
        <w:rPr>
          <w:rFonts w:hint="eastAsia"/>
        </w:rPr>
        <w:t>·</w:t>
      </w:r>
      <w:r>
        <w:t>哈利法</w:t>
      </w:r>
      <w:r>
        <w:rPr>
          <w:rFonts w:hint="eastAsia"/>
        </w:rPr>
        <w:t>·</w:t>
      </w:r>
      <w:r>
        <w:t>阿勒萨尼</w:t>
      </w:r>
      <w:r>
        <w:rPr>
          <w:rFonts w:hint="eastAsia"/>
        </w:rPr>
        <w:t>殿下努力确保人权在宪法、政治、经济、社会和文化改革中的核心地位。这反映在注意发展和加强国家的立法和体制方面的人权机制上。</w:t>
      </w:r>
      <w:r>
        <w:rPr>
          <w:rFonts w:hint="eastAsia"/>
        </w:rPr>
        <w:t>2004</w:t>
      </w:r>
      <w:r>
        <w:rPr>
          <w:rFonts w:hint="eastAsia"/>
        </w:rPr>
        <w:t>年《宪法》第三部分</w:t>
      </w:r>
      <w:r>
        <w:rPr>
          <w:rFonts w:hint="eastAsia"/>
        </w:rPr>
        <w:t>(</w:t>
      </w:r>
      <w:r>
        <w:rPr>
          <w:rFonts w:hint="eastAsia"/>
        </w:rPr>
        <w:t>第</w:t>
      </w:r>
      <w:r>
        <w:t>34-58</w:t>
      </w:r>
      <w:r>
        <w:rPr>
          <w:rFonts w:hint="eastAsia"/>
        </w:rPr>
        <w:t>条</w:t>
      </w:r>
      <w:r>
        <w:rPr>
          <w:rFonts w:hint="eastAsia"/>
        </w:rPr>
        <w:t>)</w:t>
      </w:r>
      <w:r>
        <w:rPr>
          <w:rFonts w:hint="eastAsia"/>
        </w:rPr>
        <w:t>专门对基本人权和自由作规定。《宪法》确认这些权利互相关联、互相依赖和不可分割，并因此提供平等基础上的经济、社会、文化、公民和政治权利。《宪法》规定的基本权利和自由包括但不限于：法律面前平等权；禁止歧视；个人自由；将酷刑定为刑事犯罪；新闻自由和言论自由；结社自由权；礼拜自由；工作权；以及受教育权。《宪法》规定，不得以限制或减损的方式调整或修改这些权利。第</w:t>
      </w:r>
      <w:r>
        <w:rPr>
          <w:rFonts w:hint="eastAsia"/>
        </w:rPr>
        <w:t>146</w:t>
      </w:r>
      <w:r>
        <w:rPr>
          <w:rFonts w:hint="eastAsia"/>
        </w:rPr>
        <w:t>条确认，只有在为了给予公民额外保护的情况下，才能对关于公共权利和自由的规定进行修正。</w:t>
      </w:r>
    </w:p>
    <w:p w:rsidR="007234DD" w:rsidRDefault="007234DD">
      <w:pPr>
        <w:pStyle w:val="H23GC"/>
        <w:rPr>
          <w:rFonts w:hint="eastAsia"/>
        </w:rPr>
      </w:pPr>
      <w:r>
        <w:rPr>
          <w:rFonts w:hint="eastAsia"/>
        </w:rPr>
        <w:tab/>
      </w:r>
      <w:r>
        <w:rPr>
          <w:rFonts w:hint="eastAsia"/>
        </w:rPr>
        <w:tab/>
      </w:r>
      <w:r>
        <w:rPr>
          <w:rFonts w:hint="eastAsia"/>
        </w:rPr>
        <w:t>对人权的法律保护</w:t>
      </w:r>
    </w:p>
    <w:p w:rsidR="007234DD" w:rsidRDefault="007234DD">
      <w:pPr>
        <w:pStyle w:val="SingleTxtGC"/>
        <w:rPr>
          <w:rFonts w:hint="eastAsia"/>
        </w:rPr>
      </w:pPr>
      <w:r>
        <w:t xml:space="preserve">50.  </w:t>
      </w:r>
      <w:r>
        <w:rPr>
          <w:rFonts w:hint="eastAsia"/>
        </w:rPr>
        <w:t>《宪法》承认的基本人权和自由通过包括下列法律在内的一些法律的颁布得到了进一步加强：</w:t>
      </w:r>
    </w:p>
    <w:p w:rsidR="007234DD" w:rsidRDefault="007234DD">
      <w:pPr>
        <w:pStyle w:val="Bullet1GC"/>
        <w:spacing w:after="100"/>
      </w:pPr>
      <w:r>
        <w:rPr>
          <w:rFonts w:hint="eastAsia"/>
        </w:rPr>
        <w:t>关于青年人的</w:t>
      </w:r>
      <w:r>
        <w:rPr>
          <w:rFonts w:hint="eastAsia"/>
        </w:rPr>
        <w:t>1994</w:t>
      </w:r>
      <w:r>
        <w:rPr>
          <w:rFonts w:hint="eastAsia"/>
        </w:rPr>
        <w:t>年第</w:t>
      </w:r>
      <w:r>
        <w:rPr>
          <w:rFonts w:hint="eastAsia"/>
        </w:rPr>
        <w:t>1</w:t>
      </w:r>
      <w:r>
        <w:rPr>
          <w:rFonts w:hint="eastAsia"/>
        </w:rPr>
        <w:t>号法</w:t>
      </w:r>
    </w:p>
    <w:p w:rsidR="007234DD" w:rsidRDefault="007234DD">
      <w:pPr>
        <w:pStyle w:val="Bullet1GC"/>
        <w:spacing w:after="100"/>
      </w:pPr>
      <w:r>
        <w:rPr>
          <w:rFonts w:hint="eastAsia"/>
        </w:rPr>
        <w:t>关于社会保障的</w:t>
      </w:r>
      <w:r>
        <w:rPr>
          <w:rFonts w:hint="eastAsia"/>
        </w:rPr>
        <w:t>1995</w:t>
      </w:r>
      <w:r>
        <w:rPr>
          <w:rFonts w:hint="eastAsia"/>
        </w:rPr>
        <w:t>年第</w:t>
      </w:r>
      <w:r>
        <w:rPr>
          <w:rFonts w:hint="eastAsia"/>
        </w:rPr>
        <w:t>38</w:t>
      </w:r>
      <w:r>
        <w:rPr>
          <w:rFonts w:hint="eastAsia"/>
        </w:rPr>
        <w:t>号法</w:t>
      </w:r>
    </w:p>
    <w:p w:rsidR="007234DD" w:rsidRDefault="007234DD">
      <w:pPr>
        <w:pStyle w:val="Bullet1GC"/>
        <w:spacing w:after="100"/>
      </w:pPr>
      <w:r>
        <w:rPr>
          <w:rFonts w:hint="eastAsia"/>
        </w:rPr>
        <w:t>对卡塔尔的医疗保健服务进行规范的</w:t>
      </w:r>
      <w:r>
        <w:rPr>
          <w:rFonts w:hint="eastAsia"/>
        </w:rPr>
        <w:t>1996</w:t>
      </w:r>
      <w:r>
        <w:rPr>
          <w:rFonts w:hint="eastAsia"/>
        </w:rPr>
        <w:t>年第</w:t>
      </w:r>
      <w:r>
        <w:rPr>
          <w:rFonts w:hint="eastAsia"/>
        </w:rPr>
        <w:t>7</w:t>
      </w:r>
      <w:r>
        <w:rPr>
          <w:rFonts w:hint="eastAsia"/>
        </w:rPr>
        <w:t>号法</w:t>
      </w:r>
    </w:p>
    <w:p w:rsidR="007234DD" w:rsidRDefault="007234DD">
      <w:pPr>
        <w:pStyle w:val="Bullet1GC"/>
        <w:spacing w:after="100"/>
      </w:pPr>
      <w:r>
        <w:rPr>
          <w:rFonts w:hint="eastAsia"/>
        </w:rPr>
        <w:t>关于义务教育的</w:t>
      </w:r>
      <w:r>
        <w:rPr>
          <w:rFonts w:hint="eastAsia"/>
        </w:rPr>
        <w:t>2001</w:t>
      </w:r>
      <w:r>
        <w:rPr>
          <w:rFonts w:hint="eastAsia"/>
        </w:rPr>
        <w:t>年第</w:t>
      </w:r>
      <w:r>
        <w:rPr>
          <w:rFonts w:hint="eastAsia"/>
        </w:rPr>
        <w:t>25</w:t>
      </w:r>
      <w:r>
        <w:rPr>
          <w:rFonts w:hint="eastAsia"/>
        </w:rPr>
        <w:t>号法</w:t>
      </w:r>
    </w:p>
    <w:p w:rsidR="007234DD" w:rsidRDefault="007234DD">
      <w:pPr>
        <w:pStyle w:val="Bullet1GC"/>
        <w:spacing w:after="100"/>
      </w:pPr>
      <w:r>
        <w:rPr>
          <w:rFonts w:hint="eastAsia"/>
        </w:rPr>
        <w:t>关于退休和养老金的</w:t>
      </w:r>
      <w:r>
        <w:rPr>
          <w:rFonts w:hint="eastAsia"/>
        </w:rPr>
        <w:t>2002</w:t>
      </w:r>
      <w:r>
        <w:rPr>
          <w:rFonts w:hint="eastAsia"/>
        </w:rPr>
        <w:t>年第</w:t>
      </w:r>
      <w:r>
        <w:rPr>
          <w:rFonts w:hint="eastAsia"/>
        </w:rPr>
        <w:t>24</w:t>
      </w:r>
      <w:r>
        <w:rPr>
          <w:rFonts w:hint="eastAsia"/>
        </w:rPr>
        <w:t>号法</w:t>
      </w:r>
    </w:p>
    <w:p w:rsidR="007234DD" w:rsidRDefault="007234DD">
      <w:pPr>
        <w:pStyle w:val="Bullet1GC"/>
        <w:spacing w:after="100"/>
      </w:pPr>
      <w:r>
        <w:rPr>
          <w:rFonts w:hint="eastAsia"/>
        </w:rPr>
        <w:t>颁布《司法权力法》的</w:t>
      </w:r>
      <w:r>
        <w:rPr>
          <w:rFonts w:hint="eastAsia"/>
        </w:rPr>
        <w:t>2003</w:t>
      </w:r>
      <w:r>
        <w:rPr>
          <w:rFonts w:hint="eastAsia"/>
        </w:rPr>
        <w:t>年第</w:t>
      </w:r>
      <w:r>
        <w:rPr>
          <w:rFonts w:hint="eastAsia"/>
        </w:rPr>
        <w:t>10</w:t>
      </w:r>
      <w:r>
        <w:rPr>
          <w:rFonts w:hint="eastAsia"/>
        </w:rPr>
        <w:t>号法</w:t>
      </w:r>
    </w:p>
    <w:p w:rsidR="007234DD" w:rsidRDefault="007234DD">
      <w:pPr>
        <w:pStyle w:val="Bullet1GC"/>
        <w:spacing w:after="100"/>
      </w:pPr>
      <w:r>
        <w:rPr>
          <w:rFonts w:hint="eastAsia"/>
        </w:rPr>
        <w:t>关于有特殊需要人员的</w:t>
      </w:r>
      <w:r>
        <w:rPr>
          <w:rFonts w:hint="eastAsia"/>
        </w:rPr>
        <w:t>2004</w:t>
      </w:r>
      <w:r>
        <w:rPr>
          <w:rFonts w:hint="eastAsia"/>
        </w:rPr>
        <w:t>年第</w:t>
      </w:r>
      <w:r>
        <w:rPr>
          <w:rFonts w:hint="eastAsia"/>
        </w:rPr>
        <w:t>2</w:t>
      </w:r>
      <w:r>
        <w:rPr>
          <w:rFonts w:hint="eastAsia"/>
        </w:rPr>
        <w:t>号法</w:t>
      </w:r>
    </w:p>
    <w:p w:rsidR="007234DD" w:rsidRDefault="007234DD">
      <w:pPr>
        <w:pStyle w:val="Bullet1GC"/>
        <w:spacing w:after="100"/>
      </w:pPr>
      <w:r>
        <w:rPr>
          <w:rFonts w:hint="eastAsia"/>
        </w:rPr>
        <w:t>关于私立协会和机构的</w:t>
      </w:r>
      <w:r>
        <w:rPr>
          <w:rFonts w:hint="eastAsia"/>
        </w:rPr>
        <w:t>2004</w:t>
      </w:r>
      <w:r>
        <w:rPr>
          <w:rFonts w:hint="eastAsia"/>
        </w:rPr>
        <w:t>年第</w:t>
      </w:r>
      <w:r>
        <w:rPr>
          <w:rFonts w:hint="eastAsia"/>
        </w:rPr>
        <w:t>12</w:t>
      </w:r>
      <w:r>
        <w:rPr>
          <w:rFonts w:hint="eastAsia"/>
        </w:rPr>
        <w:t>号法</w:t>
      </w:r>
    </w:p>
    <w:p w:rsidR="007234DD" w:rsidRDefault="007234DD">
      <w:pPr>
        <w:pStyle w:val="Bullet1GC"/>
        <w:spacing w:after="100"/>
      </w:pPr>
      <w:r>
        <w:rPr>
          <w:rFonts w:hint="eastAsia"/>
        </w:rPr>
        <w:t>颁布《劳动法》的</w:t>
      </w:r>
      <w:r>
        <w:rPr>
          <w:rFonts w:hint="eastAsia"/>
        </w:rPr>
        <w:t>2004</w:t>
      </w:r>
      <w:r>
        <w:rPr>
          <w:rFonts w:hint="eastAsia"/>
        </w:rPr>
        <w:t>年第</w:t>
      </w:r>
      <w:r>
        <w:rPr>
          <w:rFonts w:hint="eastAsia"/>
        </w:rPr>
        <w:t>14</w:t>
      </w:r>
      <w:r>
        <w:rPr>
          <w:rFonts w:hint="eastAsia"/>
        </w:rPr>
        <w:t>号法</w:t>
      </w:r>
    </w:p>
    <w:p w:rsidR="007234DD" w:rsidRDefault="007234DD">
      <w:pPr>
        <w:pStyle w:val="Bullet1GC"/>
        <w:spacing w:after="100"/>
      </w:pPr>
      <w:r>
        <w:rPr>
          <w:rFonts w:hint="eastAsia"/>
        </w:rPr>
        <w:t>关于公共集会和游行的</w:t>
      </w:r>
      <w:r>
        <w:rPr>
          <w:rFonts w:hint="eastAsia"/>
        </w:rPr>
        <w:t>2004</w:t>
      </w:r>
      <w:r>
        <w:rPr>
          <w:rFonts w:hint="eastAsia"/>
        </w:rPr>
        <w:t>年第</w:t>
      </w:r>
      <w:r>
        <w:rPr>
          <w:rFonts w:hint="eastAsia"/>
        </w:rPr>
        <w:t>18</w:t>
      </w:r>
      <w:r>
        <w:rPr>
          <w:rFonts w:hint="eastAsia"/>
        </w:rPr>
        <w:t>号法</w:t>
      </w:r>
    </w:p>
    <w:p w:rsidR="007234DD" w:rsidRDefault="007234DD">
      <w:pPr>
        <w:pStyle w:val="Bullet1GC"/>
        <w:spacing w:after="100"/>
      </w:pPr>
      <w:r>
        <w:rPr>
          <w:rFonts w:hint="eastAsia"/>
        </w:rPr>
        <w:t>颁布《民法》的</w:t>
      </w:r>
      <w:r>
        <w:rPr>
          <w:rFonts w:hint="eastAsia"/>
        </w:rPr>
        <w:t>2004</w:t>
      </w:r>
      <w:r>
        <w:rPr>
          <w:rFonts w:hint="eastAsia"/>
        </w:rPr>
        <w:t>年第</w:t>
      </w:r>
      <w:r>
        <w:rPr>
          <w:rFonts w:hint="eastAsia"/>
        </w:rPr>
        <w:t>22</w:t>
      </w:r>
      <w:r>
        <w:rPr>
          <w:rFonts w:hint="eastAsia"/>
        </w:rPr>
        <w:t>号法</w:t>
      </w:r>
    </w:p>
    <w:p w:rsidR="007234DD" w:rsidRDefault="007234DD">
      <w:pPr>
        <w:pStyle w:val="Bullet1GC"/>
        <w:spacing w:after="100"/>
      </w:pPr>
      <w:r>
        <w:rPr>
          <w:rFonts w:hint="eastAsia"/>
        </w:rPr>
        <w:t>颁布《刑事诉讼法》的</w:t>
      </w:r>
      <w:r>
        <w:rPr>
          <w:rFonts w:hint="eastAsia"/>
        </w:rPr>
        <w:t>2004</w:t>
      </w:r>
      <w:r>
        <w:rPr>
          <w:rFonts w:hint="eastAsia"/>
        </w:rPr>
        <w:t>年第</w:t>
      </w:r>
      <w:r>
        <w:rPr>
          <w:rFonts w:hint="eastAsia"/>
        </w:rPr>
        <w:t>23</w:t>
      </w:r>
      <w:r>
        <w:rPr>
          <w:rFonts w:hint="eastAsia"/>
        </w:rPr>
        <w:t>号法</w:t>
      </w:r>
    </w:p>
    <w:p w:rsidR="007234DD" w:rsidRDefault="007234DD">
      <w:pPr>
        <w:pStyle w:val="Bullet1GC"/>
        <w:spacing w:after="100"/>
      </w:pPr>
      <w:r>
        <w:rPr>
          <w:rFonts w:hint="eastAsia"/>
        </w:rPr>
        <w:t>关于未成人资产管理的第</w:t>
      </w:r>
      <w:r>
        <w:rPr>
          <w:rFonts w:hint="eastAsia"/>
        </w:rPr>
        <w:t>40</w:t>
      </w:r>
      <w:r>
        <w:rPr>
          <w:rFonts w:hint="eastAsia"/>
        </w:rPr>
        <w:t>号法：该法载有一系列关于保护儿童的资产和监视监护人进行的交易的规定</w:t>
      </w:r>
    </w:p>
    <w:p w:rsidR="007234DD" w:rsidRDefault="007234DD">
      <w:pPr>
        <w:pStyle w:val="Bullet1GC"/>
        <w:spacing w:after="100"/>
      </w:pPr>
      <w:r>
        <w:rPr>
          <w:rFonts w:hint="eastAsia"/>
        </w:rPr>
        <w:t>公务员事务和住房大臣关于不得雇用未成年人的工作的</w:t>
      </w:r>
      <w:r>
        <w:rPr>
          <w:rFonts w:hint="eastAsia"/>
        </w:rPr>
        <w:t>2005</w:t>
      </w:r>
      <w:r>
        <w:rPr>
          <w:rFonts w:hint="eastAsia"/>
        </w:rPr>
        <w:t>年第</w:t>
      </w:r>
      <w:r>
        <w:rPr>
          <w:rFonts w:hint="eastAsia"/>
        </w:rPr>
        <w:t>15</w:t>
      </w:r>
      <w:r>
        <w:rPr>
          <w:rFonts w:hint="eastAsia"/>
        </w:rPr>
        <w:t>号决定</w:t>
      </w:r>
    </w:p>
    <w:p w:rsidR="007234DD" w:rsidRDefault="007234DD">
      <w:pPr>
        <w:pStyle w:val="Bullet1GC"/>
      </w:pPr>
      <w:r>
        <w:rPr>
          <w:rFonts w:hint="eastAsia"/>
        </w:rPr>
        <w:t>关于禁止招募、雇用和培训儿童和让他们参加赛骆驼运动的</w:t>
      </w:r>
      <w:r>
        <w:rPr>
          <w:rFonts w:hint="eastAsia"/>
        </w:rPr>
        <w:t>2005</w:t>
      </w:r>
      <w:r>
        <w:rPr>
          <w:rFonts w:hint="eastAsia"/>
        </w:rPr>
        <w:t>年第</w:t>
      </w:r>
      <w:r>
        <w:rPr>
          <w:rFonts w:hint="eastAsia"/>
        </w:rPr>
        <w:t>22</w:t>
      </w:r>
      <w:r>
        <w:rPr>
          <w:rFonts w:hint="eastAsia"/>
        </w:rPr>
        <w:t>号法</w:t>
      </w:r>
    </w:p>
    <w:p w:rsidR="007234DD" w:rsidRDefault="007234DD">
      <w:pPr>
        <w:pStyle w:val="Bullet1GC"/>
      </w:pPr>
      <w:r>
        <w:rPr>
          <w:rFonts w:hint="eastAsia"/>
        </w:rPr>
        <w:t>关于卡塔尔国籍的</w:t>
      </w:r>
      <w:r>
        <w:rPr>
          <w:rFonts w:hint="eastAsia"/>
        </w:rPr>
        <w:t>2005</w:t>
      </w:r>
      <w:r>
        <w:rPr>
          <w:rFonts w:hint="eastAsia"/>
        </w:rPr>
        <w:t>年第</w:t>
      </w:r>
      <w:r>
        <w:rPr>
          <w:rFonts w:hint="eastAsia"/>
        </w:rPr>
        <w:t>38</w:t>
      </w:r>
      <w:r>
        <w:rPr>
          <w:rFonts w:hint="eastAsia"/>
        </w:rPr>
        <w:t>号法</w:t>
      </w:r>
    </w:p>
    <w:p w:rsidR="007234DD" w:rsidRDefault="007234DD">
      <w:pPr>
        <w:pStyle w:val="Bullet1GC"/>
      </w:pPr>
      <w:r>
        <w:rPr>
          <w:rFonts w:hint="eastAsia"/>
        </w:rPr>
        <w:t>关于有助公益的私立协会的</w:t>
      </w:r>
      <w:r>
        <w:rPr>
          <w:rFonts w:hint="eastAsia"/>
        </w:rPr>
        <w:t>2006</w:t>
      </w:r>
      <w:r>
        <w:rPr>
          <w:rFonts w:hint="eastAsia"/>
        </w:rPr>
        <w:t>年第</w:t>
      </w:r>
      <w:r>
        <w:rPr>
          <w:rFonts w:hint="eastAsia"/>
        </w:rPr>
        <w:t>21</w:t>
      </w:r>
      <w:r>
        <w:rPr>
          <w:rFonts w:hint="eastAsia"/>
        </w:rPr>
        <w:t>号法</w:t>
      </w:r>
    </w:p>
    <w:p w:rsidR="007234DD" w:rsidRDefault="007234DD">
      <w:pPr>
        <w:pStyle w:val="Bullet1GC"/>
      </w:pPr>
      <w:r>
        <w:rPr>
          <w:rFonts w:hint="eastAsia"/>
        </w:rPr>
        <w:t>颁布《家庭法》的</w:t>
      </w:r>
      <w:r>
        <w:rPr>
          <w:rFonts w:hint="eastAsia"/>
        </w:rPr>
        <w:t>2006</w:t>
      </w:r>
      <w:r>
        <w:rPr>
          <w:rFonts w:hint="eastAsia"/>
        </w:rPr>
        <w:t>年第</w:t>
      </w:r>
      <w:r>
        <w:rPr>
          <w:rFonts w:hint="eastAsia"/>
        </w:rPr>
        <w:t>22</w:t>
      </w:r>
      <w:r>
        <w:rPr>
          <w:rFonts w:hint="eastAsia"/>
        </w:rPr>
        <w:t>号法</w:t>
      </w:r>
    </w:p>
    <w:p w:rsidR="007234DD" w:rsidRDefault="007234DD">
      <w:pPr>
        <w:pStyle w:val="Bullet1GC"/>
      </w:pPr>
      <w:r>
        <w:rPr>
          <w:rFonts w:hint="eastAsia"/>
        </w:rPr>
        <w:t>关于住房问题的</w:t>
      </w:r>
      <w:r>
        <w:rPr>
          <w:rFonts w:hint="eastAsia"/>
        </w:rPr>
        <w:t>2007</w:t>
      </w:r>
      <w:r>
        <w:rPr>
          <w:rFonts w:hint="eastAsia"/>
        </w:rPr>
        <w:t>年第</w:t>
      </w:r>
      <w:r>
        <w:rPr>
          <w:rFonts w:hint="eastAsia"/>
        </w:rPr>
        <w:t>2</w:t>
      </w:r>
      <w:r>
        <w:rPr>
          <w:rFonts w:hint="eastAsia"/>
        </w:rPr>
        <w:t>号法</w:t>
      </w:r>
    </w:p>
    <w:p w:rsidR="007234DD" w:rsidRDefault="007234DD">
      <w:pPr>
        <w:pStyle w:val="Bullet1GC"/>
      </w:pPr>
      <w:r>
        <w:rPr>
          <w:rFonts w:hint="eastAsia"/>
        </w:rPr>
        <w:t>关于获得住房问题优先事项和条例的</w:t>
      </w:r>
      <w:r>
        <w:rPr>
          <w:rFonts w:hint="eastAsia"/>
        </w:rPr>
        <w:t>2007</w:t>
      </w:r>
      <w:r>
        <w:rPr>
          <w:rFonts w:hint="eastAsia"/>
        </w:rPr>
        <w:t>年第</w:t>
      </w:r>
      <w:r>
        <w:rPr>
          <w:rFonts w:hint="eastAsia"/>
        </w:rPr>
        <w:t>17</w:t>
      </w:r>
      <w:r>
        <w:rPr>
          <w:rFonts w:hint="eastAsia"/>
        </w:rPr>
        <w:t>号法</w:t>
      </w:r>
    </w:p>
    <w:p w:rsidR="007234DD" w:rsidRDefault="007234DD">
      <w:pPr>
        <w:pStyle w:val="Bullet1GC"/>
      </w:pPr>
      <w:r>
        <w:rPr>
          <w:rFonts w:hint="eastAsia"/>
        </w:rPr>
        <w:t>关于残疾人获得住房</w:t>
      </w:r>
      <w:r>
        <w:rPr>
          <w:rFonts w:hint="eastAsia"/>
        </w:rPr>
        <w:t>(</w:t>
      </w:r>
      <w:r>
        <w:rPr>
          <w:rFonts w:hint="eastAsia"/>
        </w:rPr>
        <w:t>免费住房</w:t>
      </w:r>
      <w:r>
        <w:rPr>
          <w:rFonts w:hint="eastAsia"/>
        </w:rPr>
        <w:t>)</w:t>
      </w:r>
      <w:r>
        <w:rPr>
          <w:rFonts w:hint="eastAsia"/>
        </w:rPr>
        <w:t>问题优先事项和条例的</w:t>
      </w:r>
      <w:r>
        <w:rPr>
          <w:rFonts w:hint="eastAsia"/>
        </w:rPr>
        <w:t>2007</w:t>
      </w:r>
      <w:r>
        <w:rPr>
          <w:rFonts w:hint="eastAsia"/>
        </w:rPr>
        <w:t>年第</w:t>
      </w:r>
      <w:r>
        <w:rPr>
          <w:rFonts w:hint="eastAsia"/>
        </w:rPr>
        <w:t>18</w:t>
      </w:r>
      <w:r>
        <w:rPr>
          <w:rFonts w:hint="eastAsia"/>
        </w:rPr>
        <w:t>号法</w:t>
      </w:r>
    </w:p>
    <w:p w:rsidR="007234DD" w:rsidRDefault="007234DD">
      <w:pPr>
        <w:pStyle w:val="Bullet1GC"/>
      </w:pPr>
      <w:r>
        <w:rPr>
          <w:rFonts w:hint="eastAsia"/>
        </w:rPr>
        <w:t>关于成立最高宪法法院的</w:t>
      </w:r>
      <w:r>
        <w:rPr>
          <w:rFonts w:hint="eastAsia"/>
        </w:rPr>
        <w:t>2008</w:t>
      </w:r>
      <w:r>
        <w:rPr>
          <w:rFonts w:hint="eastAsia"/>
        </w:rPr>
        <w:t>年第</w:t>
      </w:r>
      <w:r>
        <w:rPr>
          <w:rFonts w:hint="eastAsia"/>
        </w:rPr>
        <w:t>12</w:t>
      </w:r>
      <w:r>
        <w:rPr>
          <w:rFonts w:hint="eastAsia"/>
        </w:rPr>
        <w:t>号法</w:t>
      </w:r>
    </w:p>
    <w:p w:rsidR="007234DD" w:rsidRDefault="007234DD">
      <w:pPr>
        <w:pStyle w:val="Bullet1GC"/>
      </w:pPr>
      <w:r>
        <w:rPr>
          <w:rFonts w:hint="eastAsia"/>
        </w:rPr>
        <w:t>关于规定意外致人死亡情况中的适当受害者家属抚恤金数额的</w:t>
      </w:r>
      <w:r>
        <w:rPr>
          <w:rFonts w:hint="eastAsia"/>
        </w:rPr>
        <w:t>2008</w:t>
      </w:r>
      <w:r>
        <w:rPr>
          <w:rFonts w:hint="eastAsia"/>
        </w:rPr>
        <w:t>年第</w:t>
      </w:r>
      <w:r>
        <w:rPr>
          <w:rFonts w:hint="eastAsia"/>
        </w:rPr>
        <w:t>19</w:t>
      </w:r>
      <w:r>
        <w:rPr>
          <w:rFonts w:hint="eastAsia"/>
        </w:rPr>
        <w:t>号法</w:t>
      </w:r>
    </w:p>
    <w:p w:rsidR="007234DD" w:rsidRDefault="007234DD">
      <w:pPr>
        <w:pStyle w:val="Bullet1GC"/>
      </w:pPr>
      <w:r>
        <w:rPr>
          <w:rFonts w:hint="eastAsia"/>
        </w:rPr>
        <w:t>对教养和惩戒机构进行规范的</w:t>
      </w:r>
      <w:r>
        <w:rPr>
          <w:rFonts w:hint="eastAsia"/>
        </w:rPr>
        <w:t>2009</w:t>
      </w:r>
      <w:r>
        <w:rPr>
          <w:rFonts w:hint="eastAsia"/>
        </w:rPr>
        <w:t>年第</w:t>
      </w:r>
      <w:r>
        <w:rPr>
          <w:rFonts w:hint="eastAsia"/>
        </w:rPr>
        <w:t>3</w:t>
      </w:r>
      <w:r>
        <w:rPr>
          <w:rFonts w:hint="eastAsia"/>
        </w:rPr>
        <w:t>号法</w:t>
      </w:r>
    </w:p>
    <w:p w:rsidR="007234DD" w:rsidRDefault="007234DD">
      <w:pPr>
        <w:pStyle w:val="Bullet1GC"/>
      </w:pPr>
      <w:r>
        <w:rPr>
          <w:rFonts w:hint="eastAsia"/>
        </w:rPr>
        <w:t>对移徙工人的入境、出境、停留和担保进行规范的</w:t>
      </w:r>
      <w:r>
        <w:rPr>
          <w:rFonts w:hint="eastAsia"/>
        </w:rPr>
        <w:t>2009</w:t>
      </w:r>
      <w:r>
        <w:rPr>
          <w:rFonts w:hint="eastAsia"/>
        </w:rPr>
        <w:t>年第</w:t>
      </w:r>
      <w:r>
        <w:rPr>
          <w:rFonts w:hint="eastAsia"/>
        </w:rPr>
        <w:t>4</w:t>
      </w:r>
      <w:r>
        <w:rPr>
          <w:rFonts w:hint="eastAsia"/>
        </w:rPr>
        <w:t>号法</w:t>
      </w:r>
    </w:p>
    <w:p w:rsidR="007234DD" w:rsidRDefault="007234DD">
      <w:pPr>
        <w:pStyle w:val="Bullet1GC"/>
      </w:pPr>
      <w:r>
        <w:rPr>
          <w:rFonts w:hint="eastAsia"/>
        </w:rPr>
        <w:t>颁布《人力资源管理法》的</w:t>
      </w:r>
      <w:r>
        <w:rPr>
          <w:rFonts w:hint="eastAsia"/>
        </w:rPr>
        <w:t>2009</w:t>
      </w:r>
      <w:r>
        <w:rPr>
          <w:rFonts w:hint="eastAsia"/>
        </w:rPr>
        <w:t>年第</w:t>
      </w:r>
      <w:r>
        <w:rPr>
          <w:rFonts w:hint="eastAsia"/>
        </w:rPr>
        <w:t>8</w:t>
      </w:r>
      <w:r>
        <w:rPr>
          <w:rFonts w:hint="eastAsia"/>
        </w:rPr>
        <w:t>号法</w:t>
      </w:r>
    </w:p>
    <w:p w:rsidR="007234DD" w:rsidRDefault="007234DD">
      <w:pPr>
        <w:pStyle w:val="H23GC"/>
        <w:rPr>
          <w:rFonts w:hint="eastAsia"/>
        </w:rPr>
      </w:pPr>
      <w:r>
        <w:rPr>
          <w:rFonts w:hint="eastAsia"/>
        </w:rPr>
        <w:tab/>
      </w:r>
      <w:r>
        <w:rPr>
          <w:rFonts w:hint="eastAsia"/>
        </w:rPr>
        <w:tab/>
      </w:r>
      <w:r>
        <w:rPr>
          <w:rFonts w:hint="eastAsia"/>
        </w:rPr>
        <w:t>加入国际人权条约</w:t>
      </w:r>
    </w:p>
    <w:p w:rsidR="007234DD" w:rsidRDefault="007234DD">
      <w:pPr>
        <w:pStyle w:val="SingleTxtGC"/>
        <w:rPr>
          <w:rFonts w:hint="eastAsia"/>
        </w:rPr>
      </w:pPr>
      <w:r>
        <w:t xml:space="preserve">51.  </w:t>
      </w:r>
      <w:r>
        <w:rPr>
          <w:rFonts w:hint="eastAsia"/>
        </w:rPr>
        <w:t>为了加强落实人权的立法机制，卡塔尔加入并批准了许多国际性和区域性人权条约和公约，具体如下：</w:t>
      </w:r>
    </w:p>
    <w:p w:rsidR="007234DD" w:rsidRDefault="007234DD">
      <w:pPr>
        <w:pStyle w:val="Bullet1GC"/>
        <w:spacing w:after="100"/>
      </w:pPr>
      <w:r>
        <w:rPr>
          <w:rFonts w:hint="eastAsia"/>
        </w:rPr>
        <w:t>《消除一切形式种族歧视国际公约》</w:t>
      </w:r>
      <w:r>
        <w:rPr>
          <w:rFonts w:hint="eastAsia"/>
        </w:rPr>
        <w:t>(1976</w:t>
      </w:r>
      <w:r>
        <w:rPr>
          <w:rFonts w:hint="eastAsia"/>
        </w:rPr>
        <w:t>年</w:t>
      </w:r>
      <w:r>
        <w:rPr>
          <w:rFonts w:hint="eastAsia"/>
        </w:rPr>
        <w:t>)</w:t>
      </w:r>
    </w:p>
    <w:p w:rsidR="007234DD" w:rsidRDefault="007234DD">
      <w:pPr>
        <w:pStyle w:val="Bullet1GC"/>
        <w:spacing w:after="100"/>
      </w:pPr>
      <w:r>
        <w:rPr>
          <w:rFonts w:hint="eastAsia"/>
        </w:rPr>
        <w:t>国际劳工组织</w:t>
      </w:r>
      <w:r>
        <w:rPr>
          <w:rFonts w:hint="eastAsia"/>
        </w:rPr>
        <w:t>(</w:t>
      </w:r>
      <w:r>
        <w:rPr>
          <w:rFonts w:hint="eastAsia"/>
        </w:rPr>
        <w:t>劳工组织</w:t>
      </w:r>
      <w:r>
        <w:rPr>
          <w:rFonts w:hint="eastAsia"/>
        </w:rPr>
        <w:t>)</w:t>
      </w:r>
      <w:r>
        <w:rPr>
          <w:rFonts w:hint="eastAsia"/>
        </w:rPr>
        <w:t>《</w:t>
      </w:r>
      <w:r>
        <w:rPr>
          <w:rFonts w:hint="eastAsia"/>
        </w:rPr>
        <w:t>1958</w:t>
      </w:r>
      <w:r>
        <w:rPr>
          <w:rFonts w:hint="eastAsia"/>
        </w:rPr>
        <w:t>年</w:t>
      </w:r>
      <w:r>
        <w:rPr>
          <w:rFonts w:hint="eastAsia"/>
        </w:rPr>
        <w:t>(</w:t>
      </w:r>
      <w:r>
        <w:rPr>
          <w:rFonts w:hint="eastAsia"/>
        </w:rPr>
        <w:t>就业和职业</w:t>
      </w:r>
      <w:r>
        <w:rPr>
          <w:rFonts w:hint="eastAsia"/>
        </w:rPr>
        <w:t>)</w:t>
      </w:r>
      <w:r>
        <w:rPr>
          <w:rFonts w:hint="eastAsia"/>
        </w:rPr>
        <w:t>歧视公约》</w:t>
      </w:r>
      <w:r>
        <w:rPr>
          <w:rFonts w:hint="eastAsia"/>
        </w:rPr>
        <w:t>(</w:t>
      </w:r>
      <w:r>
        <w:rPr>
          <w:rFonts w:hint="eastAsia"/>
        </w:rPr>
        <w:t>第</w:t>
      </w:r>
      <w:r>
        <w:rPr>
          <w:rFonts w:hint="eastAsia"/>
        </w:rPr>
        <w:t>111</w:t>
      </w:r>
      <w:r>
        <w:rPr>
          <w:rFonts w:hint="eastAsia"/>
        </w:rPr>
        <w:t>号</w:t>
      </w:r>
      <w:r>
        <w:rPr>
          <w:rFonts w:hint="eastAsia"/>
        </w:rPr>
        <w:t>)(1976</w:t>
      </w:r>
      <w:r>
        <w:rPr>
          <w:rFonts w:hint="eastAsia"/>
        </w:rPr>
        <w:t>年</w:t>
      </w:r>
      <w:r>
        <w:rPr>
          <w:rFonts w:hint="eastAsia"/>
        </w:rPr>
        <w:t>)</w:t>
      </w:r>
    </w:p>
    <w:p w:rsidR="007234DD" w:rsidRDefault="007234DD">
      <w:pPr>
        <w:pStyle w:val="Bullet1GC"/>
        <w:spacing w:after="100"/>
      </w:pPr>
      <w:r>
        <w:rPr>
          <w:rFonts w:hint="eastAsia"/>
        </w:rPr>
        <w:t>《儿童权利公约》</w:t>
      </w:r>
      <w:r>
        <w:rPr>
          <w:rFonts w:hint="eastAsia"/>
        </w:rPr>
        <w:t>(1995</w:t>
      </w:r>
      <w:r>
        <w:rPr>
          <w:rFonts w:hint="eastAsia"/>
        </w:rPr>
        <w:t>年</w:t>
      </w:r>
      <w:r>
        <w:rPr>
          <w:rFonts w:hint="eastAsia"/>
        </w:rPr>
        <w:t>)</w:t>
      </w:r>
    </w:p>
    <w:p w:rsidR="007234DD" w:rsidRDefault="007234DD">
      <w:pPr>
        <w:pStyle w:val="Bullet1GC"/>
        <w:spacing w:after="100"/>
      </w:pPr>
      <w:r>
        <w:rPr>
          <w:rFonts w:hint="eastAsia"/>
        </w:rPr>
        <w:t>劳工组织《</w:t>
      </w:r>
      <w:r>
        <w:rPr>
          <w:rFonts w:hint="eastAsia"/>
        </w:rPr>
        <w:t>1930</w:t>
      </w:r>
      <w:r>
        <w:rPr>
          <w:rFonts w:hint="eastAsia"/>
        </w:rPr>
        <w:t>年强迫劳动公约》</w:t>
      </w:r>
      <w:r>
        <w:rPr>
          <w:rFonts w:hint="eastAsia"/>
        </w:rPr>
        <w:t>(</w:t>
      </w:r>
      <w:r>
        <w:rPr>
          <w:rFonts w:hint="eastAsia"/>
        </w:rPr>
        <w:t>第</w:t>
      </w:r>
      <w:r>
        <w:rPr>
          <w:rFonts w:hint="eastAsia"/>
        </w:rPr>
        <w:t>29</w:t>
      </w:r>
      <w:r>
        <w:rPr>
          <w:rFonts w:hint="eastAsia"/>
        </w:rPr>
        <w:t>号</w:t>
      </w:r>
      <w:r>
        <w:rPr>
          <w:rFonts w:hint="eastAsia"/>
        </w:rPr>
        <w:t>)(1998</w:t>
      </w:r>
      <w:r>
        <w:rPr>
          <w:rFonts w:hint="eastAsia"/>
        </w:rPr>
        <w:t>年</w:t>
      </w:r>
      <w:r>
        <w:rPr>
          <w:rFonts w:hint="eastAsia"/>
        </w:rPr>
        <w:t>)</w:t>
      </w:r>
    </w:p>
    <w:p w:rsidR="007234DD" w:rsidRDefault="007234DD">
      <w:pPr>
        <w:pStyle w:val="Bullet1GC"/>
        <w:spacing w:after="100"/>
      </w:pPr>
      <w:r>
        <w:rPr>
          <w:rFonts w:hint="eastAsia"/>
        </w:rPr>
        <w:t>《儿童权利公约关于买卖儿童、儿童卖淫和儿童色情制品问题的任择议定书》</w:t>
      </w:r>
      <w:r>
        <w:rPr>
          <w:rFonts w:hint="eastAsia"/>
        </w:rPr>
        <w:t>(2001</w:t>
      </w:r>
      <w:r>
        <w:rPr>
          <w:rFonts w:hint="eastAsia"/>
        </w:rPr>
        <w:t>年</w:t>
      </w:r>
      <w:r>
        <w:rPr>
          <w:rFonts w:hint="eastAsia"/>
        </w:rPr>
        <w:t>)</w:t>
      </w:r>
    </w:p>
    <w:p w:rsidR="007234DD" w:rsidRDefault="007234DD">
      <w:pPr>
        <w:pStyle w:val="Bullet1GC"/>
        <w:spacing w:after="100"/>
      </w:pPr>
      <w:r>
        <w:rPr>
          <w:rFonts w:hint="eastAsia"/>
        </w:rPr>
        <w:t>《禁止酷刑和其他残忍、不人道或有辱人格的待遇或处罚公约》</w:t>
      </w:r>
      <w:r>
        <w:rPr>
          <w:rFonts w:hint="eastAsia"/>
        </w:rPr>
        <w:t>(2001</w:t>
      </w:r>
      <w:r>
        <w:rPr>
          <w:rFonts w:hint="eastAsia"/>
        </w:rPr>
        <w:t>年</w:t>
      </w:r>
      <w:r>
        <w:rPr>
          <w:rFonts w:hint="eastAsia"/>
        </w:rPr>
        <w:t>)</w:t>
      </w:r>
    </w:p>
    <w:p w:rsidR="007234DD" w:rsidRDefault="007234DD">
      <w:pPr>
        <w:pStyle w:val="Bullet1GC"/>
        <w:spacing w:after="100"/>
      </w:pPr>
      <w:r>
        <w:rPr>
          <w:rFonts w:hint="eastAsia"/>
        </w:rPr>
        <w:t>劳工组织《</w:t>
      </w:r>
      <w:r>
        <w:rPr>
          <w:rFonts w:hint="eastAsia"/>
        </w:rPr>
        <w:t>1999</w:t>
      </w:r>
      <w:r>
        <w:rPr>
          <w:rFonts w:hint="eastAsia"/>
        </w:rPr>
        <w:t>年最恶劣形式的童工劳动公约》</w:t>
      </w:r>
      <w:r>
        <w:rPr>
          <w:rFonts w:hint="eastAsia"/>
        </w:rPr>
        <w:t>(</w:t>
      </w:r>
      <w:r>
        <w:rPr>
          <w:rFonts w:hint="eastAsia"/>
        </w:rPr>
        <w:t>第</w:t>
      </w:r>
      <w:r>
        <w:rPr>
          <w:rFonts w:hint="eastAsia"/>
        </w:rPr>
        <w:t>182</w:t>
      </w:r>
      <w:r>
        <w:rPr>
          <w:rFonts w:hint="eastAsia"/>
        </w:rPr>
        <w:t>号</w:t>
      </w:r>
      <w:r>
        <w:rPr>
          <w:rFonts w:hint="eastAsia"/>
        </w:rPr>
        <w:t>)(2000</w:t>
      </w:r>
      <w:r>
        <w:rPr>
          <w:rFonts w:hint="eastAsia"/>
        </w:rPr>
        <w:t>年</w:t>
      </w:r>
      <w:r>
        <w:rPr>
          <w:rFonts w:hint="eastAsia"/>
        </w:rPr>
        <w:t>)</w:t>
      </w:r>
    </w:p>
    <w:p w:rsidR="007234DD" w:rsidRDefault="007234DD">
      <w:pPr>
        <w:pStyle w:val="Bullet1GC"/>
        <w:spacing w:after="100"/>
      </w:pPr>
      <w:r>
        <w:rPr>
          <w:rFonts w:hint="eastAsia"/>
        </w:rPr>
        <w:t>《儿童权利公约关于儿童卷入武装冲突问题的任择议定书》</w:t>
      </w:r>
      <w:r>
        <w:rPr>
          <w:rFonts w:hint="eastAsia"/>
        </w:rPr>
        <w:t>(2002</w:t>
      </w:r>
      <w:r>
        <w:rPr>
          <w:rFonts w:hint="eastAsia"/>
        </w:rPr>
        <w:t>年</w:t>
      </w:r>
      <w:r>
        <w:rPr>
          <w:rFonts w:hint="eastAsia"/>
        </w:rPr>
        <w:t>)</w:t>
      </w:r>
    </w:p>
    <w:p w:rsidR="007234DD" w:rsidRDefault="007234DD">
      <w:pPr>
        <w:pStyle w:val="Bullet1GC"/>
        <w:spacing w:after="100"/>
      </w:pPr>
      <w:r>
        <w:rPr>
          <w:rFonts w:hint="eastAsia"/>
        </w:rPr>
        <w:t>劳工组织《</w:t>
      </w:r>
      <w:r>
        <w:rPr>
          <w:rFonts w:hint="eastAsia"/>
        </w:rPr>
        <w:t>1973</w:t>
      </w:r>
      <w:r>
        <w:rPr>
          <w:rFonts w:hint="eastAsia"/>
        </w:rPr>
        <w:t>年最低年龄公约》</w:t>
      </w:r>
      <w:r>
        <w:rPr>
          <w:rFonts w:hint="eastAsia"/>
        </w:rPr>
        <w:t>(</w:t>
      </w:r>
      <w:r>
        <w:rPr>
          <w:rFonts w:hint="eastAsia"/>
        </w:rPr>
        <w:t>第</w:t>
      </w:r>
      <w:r>
        <w:rPr>
          <w:rFonts w:hint="eastAsia"/>
        </w:rPr>
        <w:t>138</w:t>
      </w:r>
      <w:r>
        <w:rPr>
          <w:rFonts w:hint="eastAsia"/>
        </w:rPr>
        <w:t>号</w:t>
      </w:r>
      <w:r>
        <w:rPr>
          <w:rFonts w:hint="eastAsia"/>
        </w:rPr>
        <w:t>)(2005</w:t>
      </w:r>
      <w:r>
        <w:rPr>
          <w:rFonts w:hint="eastAsia"/>
        </w:rPr>
        <w:t>年</w:t>
      </w:r>
      <w:r>
        <w:rPr>
          <w:rFonts w:hint="eastAsia"/>
        </w:rPr>
        <w:t>)</w:t>
      </w:r>
    </w:p>
    <w:p w:rsidR="007234DD" w:rsidRDefault="007234DD">
      <w:pPr>
        <w:pStyle w:val="Bullet1GC"/>
        <w:spacing w:after="100"/>
      </w:pPr>
      <w:r>
        <w:rPr>
          <w:rFonts w:hint="eastAsia"/>
        </w:rPr>
        <w:t>劳工组织《</w:t>
      </w:r>
      <w:r>
        <w:rPr>
          <w:rFonts w:hint="eastAsia"/>
        </w:rPr>
        <w:t>1957</w:t>
      </w:r>
      <w:r>
        <w:rPr>
          <w:rFonts w:hint="eastAsia"/>
        </w:rPr>
        <w:t>年废止强迫劳动公约》</w:t>
      </w:r>
      <w:r>
        <w:rPr>
          <w:rFonts w:hint="eastAsia"/>
        </w:rPr>
        <w:t>(</w:t>
      </w:r>
      <w:r>
        <w:rPr>
          <w:rFonts w:hint="eastAsia"/>
        </w:rPr>
        <w:t>第</w:t>
      </w:r>
      <w:r>
        <w:rPr>
          <w:rFonts w:hint="eastAsia"/>
        </w:rPr>
        <w:t>105</w:t>
      </w:r>
      <w:r>
        <w:rPr>
          <w:rFonts w:hint="eastAsia"/>
        </w:rPr>
        <w:t>号</w:t>
      </w:r>
      <w:r>
        <w:rPr>
          <w:rFonts w:hint="eastAsia"/>
        </w:rPr>
        <w:t>)(2007</w:t>
      </w:r>
      <w:r>
        <w:rPr>
          <w:rFonts w:hint="eastAsia"/>
        </w:rPr>
        <w:t>年</w:t>
      </w:r>
      <w:r>
        <w:rPr>
          <w:rFonts w:hint="eastAsia"/>
        </w:rPr>
        <w:t>)</w:t>
      </w:r>
    </w:p>
    <w:p w:rsidR="007234DD" w:rsidRDefault="007234DD">
      <w:pPr>
        <w:pStyle w:val="Bullet1GC"/>
        <w:spacing w:after="100"/>
      </w:pPr>
      <w:r>
        <w:rPr>
          <w:rFonts w:hint="eastAsia"/>
        </w:rPr>
        <w:t>《残疾人权利公约》</w:t>
      </w:r>
      <w:r>
        <w:rPr>
          <w:rFonts w:hint="eastAsia"/>
        </w:rPr>
        <w:t>(2008</w:t>
      </w:r>
      <w:r>
        <w:rPr>
          <w:rFonts w:hint="eastAsia"/>
        </w:rPr>
        <w:t>年</w:t>
      </w:r>
      <w:r>
        <w:rPr>
          <w:rFonts w:hint="eastAsia"/>
        </w:rPr>
        <w:t>)</w:t>
      </w:r>
    </w:p>
    <w:p w:rsidR="007234DD" w:rsidRDefault="007234DD">
      <w:pPr>
        <w:pStyle w:val="Bullet1GC"/>
        <w:spacing w:after="100"/>
      </w:pPr>
      <w:r>
        <w:rPr>
          <w:rFonts w:hint="eastAsia"/>
        </w:rPr>
        <w:t>《联合国打击跨国有组织犯罪公约》</w:t>
      </w:r>
      <w:r>
        <w:rPr>
          <w:rFonts w:hint="eastAsia"/>
        </w:rPr>
        <w:t>(2008</w:t>
      </w:r>
      <w:r>
        <w:rPr>
          <w:rFonts w:hint="eastAsia"/>
        </w:rPr>
        <w:t>年</w:t>
      </w:r>
      <w:r>
        <w:rPr>
          <w:rFonts w:hint="eastAsia"/>
        </w:rPr>
        <w:t>)</w:t>
      </w:r>
    </w:p>
    <w:p w:rsidR="007234DD" w:rsidRDefault="007234DD">
      <w:pPr>
        <w:pStyle w:val="Bullet1GC"/>
        <w:spacing w:after="100"/>
      </w:pPr>
      <w:r>
        <w:rPr>
          <w:rFonts w:hint="eastAsia"/>
        </w:rPr>
        <w:t>《联合国打击跨国有组织犯罪公约关于防止、禁止和惩治贩运人口特别是妇女和儿童行为的补充议定书》</w:t>
      </w:r>
      <w:r>
        <w:rPr>
          <w:rFonts w:hint="eastAsia"/>
        </w:rPr>
        <w:t>(</w:t>
      </w:r>
      <w:r>
        <w:rPr>
          <w:rFonts w:hint="eastAsia"/>
        </w:rPr>
        <w:t>《里约议定书》</w:t>
      </w:r>
      <w:r>
        <w:rPr>
          <w:rFonts w:hint="eastAsia"/>
        </w:rPr>
        <w:t>)(2009</w:t>
      </w:r>
      <w:r>
        <w:rPr>
          <w:rFonts w:hint="eastAsia"/>
        </w:rPr>
        <w:t>年</w:t>
      </w:r>
      <w:r>
        <w:rPr>
          <w:rFonts w:hint="eastAsia"/>
        </w:rPr>
        <w:t>)</w:t>
      </w:r>
    </w:p>
    <w:p w:rsidR="007234DD" w:rsidRDefault="007234DD">
      <w:pPr>
        <w:pStyle w:val="Bullet1GC"/>
        <w:spacing w:after="100"/>
      </w:pPr>
      <w:r>
        <w:rPr>
          <w:rFonts w:hint="eastAsia"/>
        </w:rPr>
        <w:t>《消除对妇女一切形式歧视公约》</w:t>
      </w:r>
      <w:r>
        <w:rPr>
          <w:rFonts w:hint="eastAsia"/>
        </w:rPr>
        <w:t>(2009</w:t>
      </w:r>
      <w:r>
        <w:rPr>
          <w:rFonts w:hint="eastAsia"/>
        </w:rPr>
        <w:t>年</w:t>
      </w:r>
      <w:r>
        <w:rPr>
          <w:rFonts w:hint="eastAsia"/>
        </w:rPr>
        <w:t>)</w:t>
      </w:r>
    </w:p>
    <w:p w:rsidR="007234DD" w:rsidRDefault="007234DD">
      <w:pPr>
        <w:pStyle w:val="Bullet1GC"/>
        <w:spacing w:after="100"/>
      </w:pPr>
      <w:r>
        <w:rPr>
          <w:rFonts w:hint="eastAsia"/>
        </w:rPr>
        <w:t>卡塔尔期待加入两项国际公约</w:t>
      </w:r>
      <w:r>
        <w:rPr>
          <w:rFonts w:hint="eastAsia"/>
        </w:rPr>
        <w:t>(</w:t>
      </w:r>
      <w:r>
        <w:rPr>
          <w:rFonts w:hint="eastAsia"/>
        </w:rPr>
        <w:t>《公民权利和政治权利国际公约》和《经济、社会、文化权利国际公约》</w:t>
      </w:r>
      <w:r>
        <w:rPr>
          <w:rFonts w:hint="eastAsia"/>
        </w:rPr>
        <w:t>)</w:t>
      </w:r>
    </w:p>
    <w:p w:rsidR="007234DD" w:rsidRDefault="007234DD">
      <w:pPr>
        <w:pStyle w:val="Bullet1GC"/>
        <w:spacing w:after="100"/>
      </w:pPr>
      <w:r>
        <w:rPr>
          <w:rFonts w:hint="eastAsia"/>
        </w:rPr>
        <w:t>在区域一级，卡塔尔已经批准《阿拉伯人权宪章》</w:t>
      </w:r>
      <w:r>
        <w:rPr>
          <w:rFonts w:hint="eastAsia"/>
        </w:rPr>
        <w:t>(2009</w:t>
      </w:r>
      <w:r>
        <w:rPr>
          <w:rFonts w:hint="eastAsia"/>
        </w:rPr>
        <w:t>年</w:t>
      </w:r>
      <w:r>
        <w:rPr>
          <w:rFonts w:hint="eastAsia"/>
        </w:rPr>
        <w:t>)</w:t>
      </w:r>
    </w:p>
    <w:p w:rsidR="007234DD" w:rsidRDefault="007234DD">
      <w:pPr>
        <w:pStyle w:val="SingleTxtGC"/>
        <w:rPr>
          <w:rFonts w:hint="eastAsia"/>
        </w:rPr>
      </w:pPr>
      <w:r>
        <w:t xml:space="preserve">52.  </w:t>
      </w:r>
      <w:r>
        <w:rPr>
          <w:rFonts w:hint="eastAsia"/>
        </w:rPr>
        <w:t>《宪法》第</w:t>
      </w:r>
      <w:r>
        <w:rPr>
          <w:rFonts w:hint="eastAsia"/>
        </w:rPr>
        <w:t>68</w:t>
      </w:r>
      <w:r>
        <w:rPr>
          <w:rFonts w:hint="eastAsia"/>
        </w:rPr>
        <w:t>条规定，埃米尔通过埃米尔令缔结条约和公约并将它们连同有关说明转交给顾问委员会。条约或公约在获得批准并在《官方公报》上公布之后具有法律效力。卡塔尔加入的人权条约都已在《官方公报》上公布。</w:t>
      </w:r>
    </w:p>
    <w:p w:rsidR="007234DD" w:rsidRDefault="007234DD">
      <w:pPr>
        <w:pStyle w:val="SingleTxtGC"/>
        <w:rPr>
          <w:rFonts w:hint="eastAsia"/>
        </w:rPr>
      </w:pPr>
      <w:r>
        <w:t xml:space="preserve">53.  </w:t>
      </w:r>
      <w:r>
        <w:rPr>
          <w:rFonts w:hint="eastAsia"/>
        </w:rPr>
        <w:t>鉴于其在保护和促进人权方面的重要性，卡塔尔加入众多国际条约的行动在政治上获得了支持。然而，合格技术人员的短缺使卡塔尔目前无法加入更多的国际条约。卡塔尔为在短期内加入一些国际条约而采取的措施给其立法机构带来了沉重的负担，因为它没有足够的合格技术工作人员。</w:t>
      </w:r>
    </w:p>
    <w:p w:rsidR="007234DD" w:rsidRDefault="007234DD">
      <w:pPr>
        <w:pStyle w:val="H23GC"/>
        <w:rPr>
          <w:rFonts w:hint="eastAsia"/>
        </w:rPr>
      </w:pPr>
      <w:r>
        <w:rPr>
          <w:rFonts w:hint="eastAsia"/>
        </w:rPr>
        <w:tab/>
      </w:r>
      <w:r>
        <w:rPr>
          <w:rFonts w:hint="eastAsia"/>
        </w:rPr>
        <w:tab/>
      </w:r>
      <w:r>
        <w:rPr>
          <w:rFonts w:hint="eastAsia"/>
        </w:rPr>
        <w:t>与国际条约有关的保留和声明</w:t>
      </w:r>
    </w:p>
    <w:p w:rsidR="007234DD" w:rsidRDefault="007234DD">
      <w:pPr>
        <w:pStyle w:val="SingleTxtGC"/>
        <w:rPr>
          <w:rFonts w:hint="eastAsia"/>
        </w:rPr>
      </w:pPr>
      <w:r>
        <w:t xml:space="preserve">54.  </w:t>
      </w:r>
      <w:r>
        <w:rPr>
          <w:rFonts w:hint="eastAsia"/>
        </w:rPr>
        <w:t>近年来，卡塔尔就对国际条约作出一般性保留问题开始采取一种战略性政策，这导致它重新审视本国对所加入的人权条约作出的一般性保留。卡塔尔撤销了它对《儿童权利公约关于买卖儿童、儿童卖淫和儿童色情制品的任择议定书》的保留，以及对《儿童权利公约》所作的关于与伊斯兰教法相抵触的一切条款</w:t>
      </w:r>
      <w:r>
        <w:rPr>
          <w:rFonts w:hint="eastAsia"/>
        </w:rPr>
        <w:t>(</w:t>
      </w:r>
      <w:r>
        <w:rPr>
          <w:rFonts w:hint="eastAsia"/>
        </w:rPr>
        <w:t>如《公约》第二和第十四条</w:t>
      </w:r>
      <w:r>
        <w:rPr>
          <w:rFonts w:hint="eastAsia"/>
        </w:rPr>
        <w:t>)</w:t>
      </w:r>
      <w:r>
        <w:rPr>
          <w:rFonts w:hint="eastAsia"/>
        </w:rPr>
        <w:t>的部分一般性保留。</w:t>
      </w:r>
    </w:p>
    <w:p w:rsidR="007234DD" w:rsidRDefault="007234DD">
      <w:pPr>
        <w:pStyle w:val="SingleTxtGC"/>
        <w:rPr>
          <w:rFonts w:hint="eastAsia"/>
        </w:rPr>
      </w:pPr>
      <w:r>
        <w:t xml:space="preserve">55.  </w:t>
      </w:r>
      <w:r>
        <w:rPr>
          <w:rFonts w:hint="eastAsia"/>
        </w:rPr>
        <w:t>卡塔尔正在考虑撤销其对《禁止酷刑和其他残忍、不人道或有辱人格的待遇或处罚公约》的一般性保留，代之以部分保留。在加入《消除对妇女一切形式歧视公约》时，卡塔尔决定放弃作出一般性保留的选择，改为只对《公约》的特定款项作出保留。卡塔尔对其作出有关保留的原因进行了解释。</w:t>
      </w:r>
    </w:p>
    <w:p w:rsidR="007234DD" w:rsidRDefault="007234DD">
      <w:pPr>
        <w:pStyle w:val="HChGC"/>
      </w:pPr>
      <w:r>
        <w:tab/>
        <w:t>D.</w:t>
      </w:r>
      <w:r>
        <w:tab/>
      </w:r>
      <w:r>
        <w:t>国家一级促进人权的框架</w:t>
      </w:r>
    </w:p>
    <w:p w:rsidR="007234DD" w:rsidRDefault="007234DD">
      <w:pPr>
        <w:pStyle w:val="H23GC"/>
        <w:rPr>
          <w:rFonts w:hint="eastAsia"/>
        </w:rPr>
      </w:pPr>
      <w:r>
        <w:rPr>
          <w:rFonts w:hint="eastAsia"/>
        </w:rPr>
        <w:tab/>
      </w:r>
      <w:r>
        <w:rPr>
          <w:rFonts w:hint="eastAsia"/>
        </w:rPr>
        <w:tab/>
      </w:r>
      <w:r>
        <w:rPr>
          <w:rFonts w:hint="eastAsia"/>
        </w:rPr>
        <w:t>促进人权的体制化机制</w:t>
      </w:r>
    </w:p>
    <w:p w:rsidR="007234DD" w:rsidRDefault="007234DD">
      <w:pPr>
        <w:pStyle w:val="SingleTxtGC"/>
        <w:rPr>
          <w:rFonts w:hint="eastAsia"/>
        </w:rPr>
      </w:pPr>
      <w:r>
        <w:t xml:space="preserve">56.  </w:t>
      </w:r>
      <w:r>
        <w:rPr>
          <w:rFonts w:hint="eastAsia"/>
        </w:rPr>
        <w:t>可以从为促进和保护人权而成立的政府及非政府机构的数量上衡量卡塔尔对人权的关注度。这些机构是互相关联、互相依赖和不可分割的整体，包括下面所列机构。</w:t>
      </w:r>
    </w:p>
    <w:p w:rsidR="007234DD" w:rsidRDefault="007234DD">
      <w:pPr>
        <w:pStyle w:val="H23GC"/>
        <w:rPr>
          <w:rFonts w:hint="eastAsia"/>
        </w:rPr>
      </w:pPr>
      <w:r>
        <w:tab/>
      </w:r>
      <w:r>
        <w:rPr>
          <w:rFonts w:hint="eastAsia"/>
        </w:rPr>
        <w:tab/>
      </w:r>
      <w:r>
        <w:rPr>
          <w:rFonts w:hint="eastAsia"/>
        </w:rPr>
        <w:t>独立机制</w:t>
      </w:r>
    </w:p>
    <w:p w:rsidR="007234DD" w:rsidRDefault="007234DD">
      <w:pPr>
        <w:pStyle w:val="H23GC"/>
        <w:rPr>
          <w:rFonts w:hint="eastAsia"/>
        </w:rPr>
      </w:pPr>
      <w:r>
        <w:rPr>
          <w:rFonts w:hint="eastAsia"/>
        </w:rPr>
        <w:tab/>
      </w:r>
      <w:r>
        <w:rPr>
          <w:rFonts w:hint="eastAsia"/>
        </w:rPr>
        <w:tab/>
      </w:r>
      <w:r>
        <w:rPr>
          <w:rFonts w:hint="eastAsia"/>
        </w:rPr>
        <w:t>国家人权委员会</w:t>
      </w:r>
    </w:p>
    <w:p w:rsidR="007234DD" w:rsidRDefault="007234DD">
      <w:pPr>
        <w:pStyle w:val="SingleTxtG"/>
        <w:spacing w:line="320" w:lineRule="exact"/>
        <w:rPr>
          <w:rFonts w:hint="eastAsia"/>
          <w:sz w:val="21"/>
          <w:lang w:eastAsia="zh-CN"/>
        </w:rPr>
      </w:pPr>
      <w:r>
        <w:rPr>
          <w:sz w:val="21"/>
          <w:lang w:eastAsia="zh-CN"/>
        </w:rPr>
        <w:t xml:space="preserve">57.  </w:t>
      </w:r>
      <w:r>
        <w:rPr>
          <w:rFonts w:hint="eastAsia"/>
          <w:sz w:val="21"/>
          <w:lang w:eastAsia="zh-CN"/>
        </w:rPr>
        <w:t>国家人权委员会由</w:t>
      </w:r>
      <w:r>
        <w:rPr>
          <w:rFonts w:hint="eastAsia"/>
          <w:sz w:val="21"/>
          <w:lang w:eastAsia="zh-CN"/>
        </w:rPr>
        <w:t>2002</w:t>
      </w:r>
      <w:r>
        <w:rPr>
          <w:rFonts w:hint="eastAsia"/>
          <w:sz w:val="21"/>
          <w:lang w:eastAsia="zh-CN"/>
        </w:rPr>
        <w:t>年第</w:t>
      </w:r>
      <w:r>
        <w:rPr>
          <w:rFonts w:hint="eastAsia"/>
          <w:sz w:val="21"/>
          <w:lang w:eastAsia="zh-CN"/>
        </w:rPr>
        <w:t>38</w:t>
      </w:r>
      <w:r>
        <w:rPr>
          <w:rFonts w:hint="eastAsia"/>
          <w:sz w:val="21"/>
          <w:lang w:eastAsia="zh-CN"/>
        </w:rPr>
        <w:t>号埃米尔令建立，是一个独立的国家级机构，负责促进和保护人权。</w:t>
      </w:r>
      <w:smartTag w:uri="urn:schemas-microsoft-com:office:smarttags" w:element="chsdate">
        <w:smartTagPr>
          <w:attr w:name="Year" w:val="2010"/>
          <w:attr w:name="Month" w:val="8"/>
          <w:attr w:name="Day" w:val="19"/>
          <w:attr w:name="IsLunarDate" w:val="False"/>
          <w:attr w:name="IsROCDate" w:val="False"/>
        </w:smartTagPr>
        <w:r>
          <w:rPr>
            <w:rFonts w:hint="eastAsia"/>
            <w:sz w:val="21"/>
            <w:lang w:eastAsia="zh-CN"/>
          </w:rPr>
          <w:t>2010</w:t>
        </w:r>
        <w:r>
          <w:rPr>
            <w:rFonts w:hint="eastAsia"/>
            <w:sz w:val="21"/>
            <w:lang w:eastAsia="zh-CN"/>
          </w:rPr>
          <w:t>年</w:t>
        </w:r>
        <w:r>
          <w:rPr>
            <w:rFonts w:hint="eastAsia"/>
            <w:sz w:val="21"/>
            <w:lang w:eastAsia="zh-CN"/>
          </w:rPr>
          <w:t>8</w:t>
        </w:r>
        <w:r>
          <w:rPr>
            <w:rFonts w:hint="eastAsia"/>
            <w:sz w:val="21"/>
            <w:lang w:eastAsia="zh-CN"/>
          </w:rPr>
          <w:t>月</w:t>
        </w:r>
        <w:r>
          <w:rPr>
            <w:rFonts w:hint="eastAsia"/>
            <w:sz w:val="21"/>
            <w:lang w:eastAsia="zh-CN"/>
          </w:rPr>
          <w:t>19</w:t>
        </w:r>
        <w:r>
          <w:rPr>
            <w:rFonts w:hint="eastAsia"/>
            <w:sz w:val="21"/>
            <w:lang w:eastAsia="zh-CN"/>
          </w:rPr>
          <w:t>日</w:t>
        </w:r>
      </w:smartTag>
      <w:r>
        <w:rPr>
          <w:rFonts w:hint="eastAsia"/>
          <w:sz w:val="21"/>
          <w:lang w:eastAsia="zh-CN"/>
        </w:rPr>
        <w:t>发布</w:t>
      </w:r>
      <w:r>
        <w:rPr>
          <w:rFonts w:hint="eastAsia"/>
          <w:sz w:val="21"/>
          <w:lang w:eastAsia="zh-CN"/>
        </w:rPr>
        <w:t>2010</w:t>
      </w:r>
      <w:r>
        <w:rPr>
          <w:rFonts w:hint="eastAsia"/>
          <w:sz w:val="21"/>
          <w:lang w:eastAsia="zh-CN"/>
        </w:rPr>
        <w:t>年第</w:t>
      </w:r>
      <w:r>
        <w:rPr>
          <w:rFonts w:hint="eastAsia"/>
          <w:sz w:val="21"/>
          <w:lang w:eastAsia="zh-CN"/>
        </w:rPr>
        <w:t>17</w:t>
      </w:r>
      <w:r>
        <w:rPr>
          <w:rFonts w:hint="eastAsia"/>
          <w:sz w:val="21"/>
          <w:lang w:eastAsia="zh-CN"/>
        </w:rPr>
        <w:t>号令</w:t>
      </w:r>
      <w:r>
        <w:rPr>
          <w:rFonts w:hint="eastAsia"/>
          <w:sz w:val="21"/>
          <w:lang w:eastAsia="zh-CN"/>
        </w:rPr>
        <w:t>(</w:t>
      </w:r>
      <w:r>
        <w:rPr>
          <w:rFonts w:hint="eastAsia"/>
          <w:sz w:val="21"/>
          <w:lang w:eastAsia="zh-CN"/>
        </w:rPr>
        <w:t>法</w:t>
      </w:r>
      <w:r>
        <w:rPr>
          <w:rFonts w:hint="eastAsia"/>
          <w:sz w:val="21"/>
          <w:lang w:eastAsia="zh-CN"/>
        </w:rPr>
        <w:t>)</w:t>
      </w:r>
      <w:r>
        <w:rPr>
          <w:rFonts w:hint="eastAsia"/>
          <w:sz w:val="21"/>
          <w:lang w:eastAsia="zh-CN"/>
        </w:rPr>
        <w:t>，按照涉及世界各国国家人权机构地位的《巴黎原则》，确定了对该委员会的额外保护和委员会的职能。该委员会的目标是：</w:t>
      </w:r>
    </w:p>
    <w:p w:rsidR="007234DD" w:rsidRDefault="007234DD">
      <w:pPr>
        <w:pStyle w:val="Bullet1GC"/>
      </w:pPr>
      <w:r>
        <w:rPr>
          <w:rFonts w:hint="eastAsia"/>
        </w:rPr>
        <w:t>提出促进和监测实现卡塔尔加入的国际人权条约之目标的方法和手段，并就是否加入其他条约提出建议</w:t>
      </w:r>
    </w:p>
    <w:p w:rsidR="007234DD" w:rsidRDefault="007234DD">
      <w:pPr>
        <w:pStyle w:val="Bullet1GC"/>
      </w:pPr>
      <w:r>
        <w:rPr>
          <w:rFonts w:hint="eastAsia"/>
        </w:rPr>
        <w:t>就人权问题向有关当局提供咨询意见和建议</w:t>
      </w:r>
    </w:p>
    <w:p w:rsidR="007234DD" w:rsidRDefault="007234DD">
      <w:pPr>
        <w:pStyle w:val="Bullet1GC"/>
      </w:pPr>
      <w:r>
        <w:rPr>
          <w:rFonts w:hint="eastAsia"/>
        </w:rPr>
        <w:t>调查违反和侵犯人权行为；采取措施处理关于这种违反行为的投诉；就后续行动与主管当局接洽；以及提出关于处理和防止这类事件的程序建议</w:t>
      </w:r>
    </w:p>
    <w:p w:rsidR="007234DD" w:rsidRDefault="007234DD">
      <w:pPr>
        <w:pStyle w:val="Bullet1GC"/>
      </w:pPr>
      <w:r>
        <w:rPr>
          <w:rFonts w:hint="eastAsia"/>
        </w:rPr>
        <w:t>就现有法律和法案以及它们符合卡塔尔加入的国际人权条约要求的程度，向有关当局提交建议</w:t>
      </w:r>
    </w:p>
    <w:p w:rsidR="007234DD" w:rsidRDefault="007234DD">
      <w:pPr>
        <w:pStyle w:val="Bullet1GC"/>
      </w:pPr>
      <w:r>
        <w:rPr>
          <w:rFonts w:hint="eastAsia"/>
        </w:rPr>
        <w:t>监测国内人权状况，编写关于该主题的报告，并将它们连同委员会的意见提交大臣会议</w:t>
      </w:r>
    </w:p>
    <w:p w:rsidR="007234DD" w:rsidRDefault="007234DD">
      <w:pPr>
        <w:pStyle w:val="Bullet1GC"/>
      </w:pPr>
      <w:r>
        <w:rPr>
          <w:rFonts w:hint="eastAsia"/>
        </w:rPr>
        <w:t>监测可能对国内人权状况有影响的问题，并与负责解决它们的当局接洽</w:t>
      </w:r>
    </w:p>
    <w:p w:rsidR="007234DD" w:rsidRDefault="007234DD">
      <w:pPr>
        <w:pStyle w:val="Bullet1GC"/>
      </w:pPr>
      <w:r>
        <w:rPr>
          <w:rFonts w:hint="eastAsia"/>
        </w:rPr>
        <w:t>协助编写卡塔尔提交给负责其所加入的人权条约的国际机构的国家报告</w:t>
      </w:r>
    </w:p>
    <w:p w:rsidR="007234DD" w:rsidRDefault="007234DD">
      <w:pPr>
        <w:pStyle w:val="Bullet1GC"/>
      </w:pPr>
      <w:r>
        <w:rPr>
          <w:rFonts w:hint="eastAsia"/>
        </w:rPr>
        <w:t>与涉及人权问题的国际、区域及国家组织合作并参加国际人权论坛</w:t>
      </w:r>
    </w:p>
    <w:p w:rsidR="007234DD" w:rsidRDefault="007234DD">
      <w:pPr>
        <w:pStyle w:val="Bullet1GC"/>
      </w:pPr>
      <w:r>
        <w:rPr>
          <w:rFonts w:hint="eastAsia"/>
        </w:rPr>
        <w:t>提高人们对人权及自由的认识，开展这方面的教育，增进人们对人权原则的了解和应用</w:t>
      </w:r>
    </w:p>
    <w:p w:rsidR="007234DD" w:rsidRDefault="007234DD">
      <w:pPr>
        <w:pStyle w:val="Bullet1GC"/>
      </w:pPr>
      <w:r>
        <w:rPr>
          <w:rFonts w:hint="eastAsia"/>
        </w:rPr>
        <w:t>组织该委员会主席和成员的视察访问，以核查刑事和惩戒设施、拘留中心、工作场所以及卫生和教育机构的人权状况</w:t>
      </w:r>
    </w:p>
    <w:p w:rsidR="007234DD" w:rsidRDefault="007234DD">
      <w:pPr>
        <w:pStyle w:val="Bullet1GC"/>
      </w:pPr>
      <w:r>
        <w:rPr>
          <w:rFonts w:hint="eastAsia"/>
        </w:rPr>
        <w:t>与各个国家人权机构联络并在其各自的专业知识领域开展合作</w:t>
      </w:r>
    </w:p>
    <w:p w:rsidR="007234DD" w:rsidRDefault="007234DD">
      <w:pPr>
        <w:pStyle w:val="Bullet1GC"/>
      </w:pPr>
      <w:r>
        <w:rPr>
          <w:rFonts w:hint="eastAsia"/>
        </w:rPr>
        <w:t>组织并举办</w:t>
      </w:r>
      <w:r>
        <w:rPr>
          <w:rFonts w:hint="eastAsia"/>
          <w:spacing w:val="-50"/>
        </w:rPr>
        <w:t>―</w:t>
      </w:r>
      <w:r>
        <w:rPr>
          <w:rFonts w:hint="eastAsia"/>
          <w:spacing w:val="10"/>
        </w:rPr>
        <w:t>―</w:t>
      </w:r>
      <w:r>
        <w:rPr>
          <w:rFonts w:hint="eastAsia"/>
        </w:rPr>
        <w:t>如有必要，协同有关组织</w:t>
      </w:r>
      <w:r>
        <w:rPr>
          <w:rFonts w:hint="eastAsia"/>
          <w:spacing w:val="-50"/>
        </w:rPr>
        <w:t>―</w:t>
      </w:r>
      <w:r>
        <w:rPr>
          <w:rFonts w:hint="eastAsia"/>
          <w:spacing w:val="10"/>
        </w:rPr>
        <w:t>―</w:t>
      </w:r>
      <w:r>
        <w:rPr>
          <w:rFonts w:hint="eastAsia"/>
        </w:rPr>
        <w:t>关于人权和人类自由的会议、座谈、培训课程和辩论</w:t>
      </w:r>
    </w:p>
    <w:p w:rsidR="007234DD" w:rsidRDefault="007234DD">
      <w:pPr>
        <w:pStyle w:val="Bullet1GC"/>
      </w:pPr>
      <w:r>
        <w:rPr>
          <w:rFonts w:hint="eastAsia"/>
        </w:rPr>
        <w:t>协助设计与人权教育及研究有关的方案</w:t>
      </w:r>
    </w:p>
    <w:p w:rsidR="007234DD" w:rsidRDefault="007234DD">
      <w:pPr>
        <w:pStyle w:val="SingleTxtGC"/>
        <w:rPr>
          <w:rFonts w:hint="eastAsia"/>
        </w:rPr>
      </w:pPr>
      <w:r>
        <w:t xml:space="preserve">58.  </w:t>
      </w:r>
      <w:r>
        <w:rPr>
          <w:rFonts w:hint="eastAsia"/>
        </w:rPr>
        <w:t>该委员会包括至少</w:t>
      </w:r>
      <w:r>
        <w:rPr>
          <w:rFonts w:hint="eastAsia"/>
        </w:rPr>
        <w:t>7</w:t>
      </w:r>
      <w:r>
        <w:rPr>
          <w:rFonts w:hint="eastAsia"/>
        </w:rPr>
        <w:t>名民间社会代表，他们是按其所拥有的人权问题专业知识选出来的。委员会成员还包括下列机构的各一名代表：外交部、内政部、社会事务部和最高家庭事务委员会。这些机构提名代表参加该委员会，但这些人员没有投票权。会发布一项埃米尔令，确认该委员会的成员名单。委员会的主席和副主席从民间社会代表当中选出。</w:t>
      </w:r>
    </w:p>
    <w:p w:rsidR="007234DD" w:rsidRDefault="007234DD">
      <w:pPr>
        <w:pStyle w:val="SingleTxtGC"/>
        <w:rPr>
          <w:rFonts w:hint="eastAsia"/>
        </w:rPr>
      </w:pPr>
      <w:r>
        <w:t xml:space="preserve">60.  </w:t>
      </w:r>
      <w:r>
        <w:rPr>
          <w:rFonts w:hint="eastAsia"/>
        </w:rPr>
        <w:t>该委员会每</w:t>
      </w:r>
      <w:r>
        <w:rPr>
          <w:rFonts w:hint="eastAsia"/>
        </w:rPr>
        <w:t>6</w:t>
      </w:r>
      <w:r>
        <w:rPr>
          <w:rFonts w:hint="eastAsia"/>
        </w:rPr>
        <w:t>个月向大臣会议提交一次报告，回顾立法、人权状况和该委员会的活动并提出建议。为了增加透明度和提高人权意识，它将它的年度报告公布在其网站上</w:t>
      </w:r>
      <w:r>
        <w:rPr>
          <w:rFonts w:hint="eastAsia"/>
        </w:rPr>
        <w:t>(</w:t>
      </w:r>
      <w:hyperlink r:id="rId10" w:history="1">
        <w:r>
          <w:rPr>
            <w:rStyle w:val="Hyperlink"/>
            <w:color w:val="auto"/>
            <w:u w:val="none"/>
          </w:rPr>
          <w:t>www.nhrc-qa.org</w:t>
        </w:r>
      </w:hyperlink>
      <w:r>
        <w:rPr>
          <w:rFonts w:hint="eastAsia"/>
        </w:rPr>
        <w:t>)</w:t>
      </w:r>
      <w:r>
        <w:rPr>
          <w:rFonts w:hint="eastAsia"/>
        </w:rPr>
        <w:t>。</w:t>
      </w:r>
    </w:p>
    <w:p w:rsidR="007234DD" w:rsidRDefault="007234DD">
      <w:pPr>
        <w:pStyle w:val="SingleTxtGC"/>
        <w:rPr>
          <w:rFonts w:hint="eastAsia"/>
        </w:rPr>
      </w:pPr>
      <w:r>
        <w:t xml:space="preserve">61.  </w:t>
      </w:r>
      <w:r>
        <w:rPr>
          <w:rFonts w:hint="eastAsia"/>
        </w:rPr>
        <w:t>该委员会收到过一些关于侵犯一般人权包括妇女权利的投诉，并解决了其中的大部分。它审查国内立法以确定其是否与国际人权条约一致，鼓励国家加入或批准关于妇女权利的国际性和区域性条约，并协助编写卡塔尔按要求应提交给处理妇女权利问题的联合国机构和委员会以及区域性机构的报告。它为保护妇女提起法律诉讼，并就其法定管辖范围内的事务向妇女提供法律咨询。在案件被送交法院之前或之后，它进行斡旋和调解，以友好地解决涉及妇女权利的案件。</w:t>
      </w:r>
    </w:p>
    <w:p w:rsidR="007234DD" w:rsidRDefault="007234DD">
      <w:pPr>
        <w:pStyle w:val="SingleTxtGC"/>
        <w:rPr>
          <w:rFonts w:hint="eastAsia"/>
        </w:rPr>
      </w:pPr>
      <w:r>
        <w:t xml:space="preserve">62.  </w:t>
      </w:r>
      <w:r>
        <w:rPr>
          <w:rFonts w:hint="eastAsia"/>
        </w:rPr>
        <w:t>该委员会与各国际组织，特别是联合国人权事务高级专员办事处</w:t>
      </w:r>
      <w:r>
        <w:rPr>
          <w:rFonts w:hint="eastAsia"/>
        </w:rPr>
        <w:t>(</w:t>
      </w:r>
      <w:r>
        <w:rPr>
          <w:rFonts w:hint="eastAsia"/>
        </w:rPr>
        <w:t>人权高专办</w:t>
      </w:r>
      <w:r>
        <w:rPr>
          <w:rFonts w:hint="eastAsia"/>
        </w:rPr>
        <w:t>)</w:t>
      </w:r>
      <w:r>
        <w:rPr>
          <w:rFonts w:hint="eastAsia"/>
        </w:rPr>
        <w:t>密切合作。</w:t>
      </w:r>
      <w:r>
        <w:rPr>
          <w:rFonts w:hint="eastAsia"/>
        </w:rPr>
        <w:t>2009</w:t>
      </w:r>
      <w:r>
        <w:rPr>
          <w:rFonts w:hint="eastAsia"/>
        </w:rPr>
        <w:t>年</w:t>
      </w:r>
      <w:r>
        <w:rPr>
          <w:rFonts w:hint="eastAsia"/>
        </w:rPr>
        <w:t>3</w:t>
      </w:r>
      <w:r>
        <w:rPr>
          <w:rFonts w:hint="eastAsia"/>
        </w:rPr>
        <w:t>月，它在多哈与人权高专办联合举行了一次会议，讨论在阿拉伯国家传播人权文化的问题。</w:t>
      </w:r>
    </w:p>
    <w:p w:rsidR="007234DD" w:rsidRDefault="007234DD">
      <w:pPr>
        <w:pStyle w:val="H23GC"/>
        <w:rPr>
          <w:rFonts w:hint="eastAsia"/>
        </w:rPr>
      </w:pPr>
      <w:r>
        <w:tab/>
      </w:r>
      <w:r>
        <w:rPr>
          <w:rFonts w:hint="eastAsia"/>
        </w:rPr>
        <w:tab/>
      </w:r>
      <w:r>
        <w:rPr>
          <w:rFonts w:hint="eastAsia"/>
        </w:rPr>
        <w:t>政府机制</w:t>
      </w:r>
    </w:p>
    <w:p w:rsidR="007234DD" w:rsidRDefault="007234DD">
      <w:pPr>
        <w:pStyle w:val="H23GC"/>
        <w:rPr>
          <w:rFonts w:hint="eastAsia"/>
        </w:rPr>
      </w:pPr>
      <w:r>
        <w:rPr>
          <w:rFonts w:hint="eastAsia"/>
        </w:rPr>
        <w:tab/>
      </w:r>
      <w:r>
        <w:rPr>
          <w:rFonts w:hint="eastAsia"/>
        </w:rPr>
        <w:tab/>
      </w:r>
      <w:r>
        <w:rPr>
          <w:rFonts w:hint="eastAsia"/>
        </w:rPr>
        <w:t>最高家庭事务委员会</w:t>
      </w:r>
    </w:p>
    <w:p w:rsidR="007234DD" w:rsidRDefault="007234DD">
      <w:pPr>
        <w:pStyle w:val="SingleTxtGC"/>
        <w:rPr>
          <w:rFonts w:hint="eastAsia"/>
        </w:rPr>
      </w:pPr>
      <w:r>
        <w:t xml:space="preserve">63.  </w:t>
      </w:r>
      <w:r>
        <w:rPr>
          <w:rFonts w:hint="eastAsia"/>
        </w:rPr>
        <w:t>最高家庭事务委员会由</w:t>
      </w:r>
      <w:r>
        <w:rPr>
          <w:rFonts w:hint="eastAsia"/>
        </w:rPr>
        <w:t>1998</w:t>
      </w:r>
      <w:r>
        <w:rPr>
          <w:rFonts w:hint="eastAsia"/>
        </w:rPr>
        <w:t>年第</w:t>
      </w:r>
      <w:r>
        <w:rPr>
          <w:rFonts w:hint="eastAsia"/>
        </w:rPr>
        <w:t>53</w:t>
      </w:r>
      <w:r>
        <w:rPr>
          <w:rFonts w:hint="eastAsia"/>
        </w:rPr>
        <w:t>号埃米尔令建立，是一个高级别的独立机构，其任务是支持家庭在社会中发挥作用，拟定相关战略、政策和计划并跟进其执行。该委员会直接向埃米尔殿下报告。从其成立之日一直到</w:t>
      </w:r>
      <w:r>
        <w:rPr>
          <w:rFonts w:hint="eastAsia"/>
        </w:rPr>
        <w:t>2009</w:t>
      </w:r>
      <w:r>
        <w:rPr>
          <w:rFonts w:hint="eastAsia"/>
        </w:rPr>
        <w:t>年</w:t>
      </w:r>
      <w:r>
        <w:rPr>
          <w:rFonts w:hint="eastAsia"/>
        </w:rPr>
        <w:t>3</w:t>
      </w:r>
      <w:r>
        <w:rPr>
          <w:rFonts w:hint="eastAsia"/>
        </w:rPr>
        <w:t>月，其工作由埃米尔的妻子谢哈·穆扎·本·纳赛尔·阿勒米斯纳德殿下主持。根据</w:t>
      </w:r>
      <w:r>
        <w:rPr>
          <w:rFonts w:hint="eastAsia"/>
        </w:rPr>
        <w:t>2009</w:t>
      </w:r>
      <w:r>
        <w:rPr>
          <w:rFonts w:hint="eastAsia"/>
        </w:rPr>
        <w:t>年第</w:t>
      </w:r>
      <w:r>
        <w:rPr>
          <w:rFonts w:hint="eastAsia"/>
        </w:rPr>
        <w:t>15</w:t>
      </w:r>
      <w:r>
        <w:rPr>
          <w:rFonts w:hint="eastAsia"/>
        </w:rPr>
        <w:t>号埃米尔令，它进行了改组。其现任主席是谢哈·哈马德·本·哈利法·阿勒萨尼。</w:t>
      </w:r>
    </w:p>
    <w:p w:rsidR="007234DD" w:rsidRDefault="007234DD">
      <w:pPr>
        <w:pStyle w:val="SingleTxtGC"/>
        <w:rPr>
          <w:rFonts w:hint="eastAsia"/>
        </w:rPr>
      </w:pPr>
      <w:r>
        <w:t xml:space="preserve">64.  </w:t>
      </w:r>
      <w:r>
        <w:rPr>
          <w:rFonts w:hint="eastAsia"/>
        </w:rPr>
        <w:t>自成立以来，该委员会做了大量工作，特别是在立法领域做了大量工作，以促进妇女地位的提高。它为几部维护儿童、妇女和残疾人权利的法律的制定和其他一些相关法律的修正做出了贡献。它成功地确保卡塔尔加入《残疾人权利公约》、《消除对妇女一切形式歧视公约》和《儿童权利公约》的两项任择议定书。它完成了许多方案、调研和研究项目。这些项目帮助加强了人们对妇女问题和残疾人问题的关注。</w:t>
      </w:r>
    </w:p>
    <w:p w:rsidR="007234DD" w:rsidRDefault="007234DD">
      <w:pPr>
        <w:pStyle w:val="SingleTxtGC"/>
        <w:rPr>
          <w:rFonts w:hint="eastAsia"/>
        </w:rPr>
      </w:pPr>
      <w:r>
        <w:t xml:space="preserve">65.  </w:t>
      </w:r>
      <w:r>
        <w:rPr>
          <w:rFonts w:hint="eastAsia"/>
        </w:rPr>
        <w:t>最高家庭事务委员会是第一个采用基于权利的方法来处理影响儿童、妇女、残疾人和老年人的问题的机构。它成立的时间比国家人权委员会的还要早。最高家庭事务委员会通过各种媒体运动</w:t>
      </w:r>
      <w:r>
        <w:rPr>
          <w:rFonts w:hint="eastAsia"/>
          <w:spacing w:val="-50"/>
        </w:rPr>
        <w:t>―</w:t>
      </w:r>
      <w:r>
        <w:rPr>
          <w:rFonts w:hint="eastAsia"/>
          <w:spacing w:val="10"/>
        </w:rPr>
        <w:t>―</w:t>
      </w:r>
      <w:r>
        <w:rPr>
          <w:rFonts w:hint="eastAsia"/>
        </w:rPr>
        <w:t>如“对儿童说是”运动</w:t>
      </w:r>
      <w:r>
        <w:rPr>
          <w:rFonts w:hint="eastAsia"/>
          <w:spacing w:val="-50"/>
        </w:rPr>
        <w:t>―</w:t>
      </w:r>
      <w:r>
        <w:rPr>
          <w:rFonts w:hint="eastAsia"/>
          <w:spacing w:val="10"/>
        </w:rPr>
        <w:t>―</w:t>
      </w:r>
      <w:r>
        <w:rPr>
          <w:rFonts w:hint="eastAsia"/>
        </w:rPr>
        <w:t>和一个旨在在学校宣传《儿童权利公约》的方案，帮助在卡塔尔提高人权意识。它组织了许多在国家、区域和国际一级有影响的会议和会谈，比如关于妇女与政治以及妇女在发展中的作用的研讨会</w:t>
      </w:r>
      <w:r>
        <w:rPr>
          <w:rFonts w:hint="eastAsia"/>
        </w:rPr>
        <w:t>(</w:t>
      </w:r>
      <w:r>
        <w:t>2002</w:t>
      </w:r>
      <w:r>
        <w:rPr>
          <w:rFonts w:hint="eastAsia"/>
        </w:rPr>
        <w:t>年</w:t>
      </w:r>
      <w:r>
        <w:rPr>
          <w:rFonts w:hint="eastAsia"/>
        </w:rPr>
        <w:t>)</w:t>
      </w:r>
      <w:r>
        <w:rPr>
          <w:rFonts w:hint="eastAsia"/>
        </w:rPr>
        <w:t>；家庭问题多哈国际会议</w:t>
      </w:r>
      <w:r>
        <w:rPr>
          <w:rFonts w:hint="eastAsia"/>
        </w:rPr>
        <w:t>(</w:t>
      </w:r>
      <w:r>
        <w:t>200</w:t>
      </w:r>
      <w:r>
        <w:rPr>
          <w:rFonts w:hint="eastAsia"/>
        </w:rPr>
        <w:t>4</w:t>
      </w:r>
      <w:r>
        <w:rPr>
          <w:rFonts w:hint="eastAsia"/>
        </w:rPr>
        <w:t>年</w:t>
      </w:r>
      <w:r>
        <w:rPr>
          <w:rFonts w:hint="eastAsia"/>
        </w:rPr>
        <w:t>)</w:t>
      </w:r>
      <w:r>
        <w:rPr>
          <w:rFonts w:hint="eastAsia"/>
        </w:rPr>
        <w:t>；与联合国儿童基金会</w:t>
      </w:r>
      <w:r>
        <w:rPr>
          <w:rFonts w:hint="eastAsia"/>
        </w:rPr>
        <w:t>(</w:t>
      </w:r>
      <w:r>
        <w:rPr>
          <w:rFonts w:hint="eastAsia"/>
        </w:rPr>
        <w:t>儿基会</w:t>
      </w:r>
      <w:r>
        <w:rPr>
          <w:rFonts w:hint="eastAsia"/>
        </w:rPr>
        <w:t>)</w:t>
      </w:r>
      <w:r>
        <w:rPr>
          <w:rFonts w:hint="eastAsia"/>
        </w:rPr>
        <w:t>合作举办的关于阿拉伯湾国家和也门贯彻落实儿童权利委员会的结论性意见的区域会议</w:t>
      </w:r>
      <w:r>
        <w:rPr>
          <w:rFonts w:hint="eastAsia"/>
        </w:rPr>
        <w:t>(</w:t>
      </w:r>
      <w:r>
        <w:t>200</w:t>
      </w:r>
      <w:r>
        <w:rPr>
          <w:rFonts w:hint="eastAsia"/>
        </w:rPr>
        <w:t>5</w:t>
      </w:r>
      <w:r>
        <w:rPr>
          <w:rFonts w:hint="eastAsia"/>
        </w:rPr>
        <w:t>年</w:t>
      </w:r>
      <w:r>
        <w:rPr>
          <w:rFonts w:hint="eastAsia"/>
        </w:rPr>
        <w:t>)</w:t>
      </w:r>
      <w:r>
        <w:rPr>
          <w:rFonts w:hint="eastAsia"/>
        </w:rPr>
        <w:t>；以及关于卫星频道和海湾青年面临的伦理和道德挑战的论坛</w:t>
      </w:r>
      <w:r>
        <w:rPr>
          <w:rFonts w:hint="eastAsia"/>
        </w:rPr>
        <w:t>(</w:t>
      </w:r>
      <w:r>
        <w:t>200</w:t>
      </w:r>
      <w:r>
        <w:rPr>
          <w:rFonts w:hint="eastAsia"/>
        </w:rPr>
        <w:t>8</w:t>
      </w:r>
      <w:r>
        <w:rPr>
          <w:rFonts w:hint="eastAsia"/>
        </w:rPr>
        <w:t>年</w:t>
      </w:r>
      <w:r>
        <w:rPr>
          <w:rFonts w:hint="eastAsia"/>
        </w:rPr>
        <w:t>)</w:t>
      </w:r>
      <w:r>
        <w:rPr>
          <w:rFonts w:hint="eastAsia"/>
        </w:rPr>
        <w:t>。</w:t>
      </w:r>
    </w:p>
    <w:p w:rsidR="007234DD" w:rsidRDefault="007234DD">
      <w:pPr>
        <w:pStyle w:val="SingleTxtGC"/>
      </w:pPr>
      <w:r>
        <w:t xml:space="preserve">66.  </w:t>
      </w:r>
      <w:r>
        <w:rPr>
          <w:rFonts w:hint="eastAsia"/>
        </w:rPr>
        <w:t>在担任该委员会主席期间，</w:t>
      </w:r>
      <w:r>
        <w:t>谢哈</w:t>
      </w:r>
      <w:r>
        <w:t>•</w:t>
      </w:r>
      <w:r>
        <w:t>穆扎</w:t>
      </w:r>
      <w:r>
        <w:t>•</w:t>
      </w:r>
      <w:r>
        <w:t>宾特</w:t>
      </w:r>
      <w:r>
        <w:t>•</w:t>
      </w:r>
      <w:r>
        <w:t>纳赛尔</w:t>
      </w:r>
      <w:r>
        <w:t>•</w:t>
      </w:r>
      <w:r>
        <w:t>阿勒米斯纳德</w:t>
      </w:r>
      <w:r>
        <w:rPr>
          <w:rFonts w:hint="eastAsia"/>
        </w:rPr>
        <w:t>殿下创建了几个以保护和促进所服务群体的权利为目标的公共机构。它们是：</w:t>
      </w:r>
    </w:p>
    <w:p w:rsidR="007234DD" w:rsidRDefault="007234DD">
      <w:pPr>
        <w:pStyle w:val="Bullet1GC"/>
      </w:pPr>
      <w:r>
        <w:t>Shafallah</w:t>
      </w:r>
      <w:r>
        <w:rPr>
          <w:rFonts w:hint="eastAsia"/>
        </w:rPr>
        <w:t>特需儿童中心</w:t>
      </w:r>
      <w:r>
        <w:rPr>
          <w:rFonts w:hint="eastAsia"/>
        </w:rPr>
        <w:t>(2001</w:t>
      </w:r>
      <w:r>
        <w:rPr>
          <w:rFonts w:hint="eastAsia"/>
        </w:rPr>
        <w:t>年</w:t>
      </w:r>
      <w:r>
        <w:rPr>
          <w:rFonts w:hint="eastAsia"/>
        </w:rPr>
        <w:t>)</w:t>
      </w:r>
    </w:p>
    <w:p w:rsidR="007234DD" w:rsidRDefault="007234DD">
      <w:pPr>
        <w:pStyle w:val="Bullet1GC"/>
      </w:pPr>
      <w:r>
        <w:rPr>
          <w:rFonts w:hint="eastAsia"/>
        </w:rPr>
        <w:t>儿童文化中心</w:t>
      </w:r>
      <w:r>
        <w:rPr>
          <w:rFonts w:hint="eastAsia"/>
        </w:rPr>
        <w:t>(2002</w:t>
      </w:r>
      <w:r>
        <w:rPr>
          <w:rFonts w:hint="eastAsia"/>
        </w:rPr>
        <w:t>年</w:t>
      </w:r>
      <w:r>
        <w:rPr>
          <w:rFonts w:hint="eastAsia"/>
        </w:rPr>
        <w:t>)</w:t>
      </w:r>
    </w:p>
    <w:p w:rsidR="007234DD" w:rsidRDefault="007234DD">
      <w:pPr>
        <w:pStyle w:val="Bullet1GC"/>
      </w:pPr>
      <w:r>
        <w:rPr>
          <w:rFonts w:hint="eastAsia"/>
        </w:rPr>
        <w:t>家庭咨询中心</w:t>
      </w:r>
      <w:r>
        <w:rPr>
          <w:rFonts w:hint="eastAsia"/>
        </w:rPr>
        <w:t>(2002</w:t>
      </w:r>
      <w:r>
        <w:rPr>
          <w:rFonts w:hint="eastAsia"/>
        </w:rPr>
        <w:t>年</w:t>
      </w:r>
      <w:r>
        <w:rPr>
          <w:rFonts w:hint="eastAsia"/>
        </w:rPr>
        <w:t>)</w:t>
      </w:r>
    </w:p>
    <w:p w:rsidR="007234DD" w:rsidRDefault="007234DD">
      <w:pPr>
        <w:pStyle w:val="Bullet1GC"/>
      </w:pPr>
      <w:r>
        <w:rPr>
          <w:rFonts w:hint="eastAsia"/>
        </w:rPr>
        <w:t>卡塔尔保护儿童和妇女基金会</w:t>
      </w:r>
      <w:r>
        <w:rPr>
          <w:rFonts w:hint="eastAsia"/>
        </w:rPr>
        <w:t>(2002</w:t>
      </w:r>
      <w:r>
        <w:rPr>
          <w:rFonts w:hint="eastAsia"/>
        </w:rPr>
        <w:t>年</w:t>
      </w:r>
      <w:r>
        <w:rPr>
          <w:rFonts w:hint="eastAsia"/>
        </w:rPr>
        <w:t>)</w:t>
      </w:r>
    </w:p>
    <w:p w:rsidR="007234DD" w:rsidRDefault="007234DD">
      <w:pPr>
        <w:pStyle w:val="Bullet1GC"/>
      </w:pPr>
      <w:r>
        <w:rPr>
          <w:rFonts w:hint="eastAsia"/>
        </w:rPr>
        <w:t>卡塔尔孤儿福利基金会</w:t>
      </w:r>
      <w:r>
        <w:rPr>
          <w:rFonts w:hint="eastAsia"/>
        </w:rPr>
        <w:t>(2002</w:t>
      </w:r>
      <w:r>
        <w:rPr>
          <w:rFonts w:hint="eastAsia"/>
        </w:rPr>
        <w:t>年</w:t>
      </w:r>
      <w:r>
        <w:rPr>
          <w:rFonts w:hint="eastAsia"/>
        </w:rPr>
        <w:t>)</w:t>
      </w:r>
    </w:p>
    <w:p w:rsidR="007234DD" w:rsidRDefault="007234DD">
      <w:pPr>
        <w:pStyle w:val="Bullet1GC"/>
      </w:pPr>
      <w:r>
        <w:rPr>
          <w:rFonts w:hint="eastAsia"/>
        </w:rPr>
        <w:t>卡塔尔老年人福利基金会</w:t>
      </w:r>
      <w:r>
        <w:rPr>
          <w:rFonts w:hint="eastAsia"/>
        </w:rPr>
        <w:t>(2002</w:t>
      </w:r>
      <w:r>
        <w:rPr>
          <w:rFonts w:hint="eastAsia"/>
        </w:rPr>
        <w:t>年</w:t>
      </w:r>
      <w:r>
        <w:rPr>
          <w:rFonts w:hint="eastAsia"/>
        </w:rPr>
        <w:t>)</w:t>
      </w:r>
    </w:p>
    <w:p w:rsidR="007234DD" w:rsidRDefault="007234DD">
      <w:pPr>
        <w:pStyle w:val="Bullet1GC"/>
      </w:pPr>
      <w:r>
        <w:rPr>
          <w:rFonts w:hint="eastAsia"/>
        </w:rPr>
        <w:t>卡塔尔打击人口贩运基金会</w:t>
      </w:r>
      <w:r>
        <w:rPr>
          <w:rFonts w:hint="eastAsia"/>
        </w:rPr>
        <w:t>(2008</w:t>
      </w:r>
      <w:r>
        <w:rPr>
          <w:rFonts w:hint="eastAsia"/>
        </w:rPr>
        <w:t>年</w:t>
      </w:r>
      <w:r>
        <w:rPr>
          <w:rFonts w:hint="eastAsia"/>
        </w:rPr>
        <w:t>)</w:t>
      </w:r>
    </w:p>
    <w:p w:rsidR="007234DD" w:rsidRDefault="007234DD">
      <w:pPr>
        <w:pStyle w:val="Bullet1GC"/>
      </w:pPr>
      <w:r>
        <w:rPr>
          <w:rFonts w:hint="eastAsia"/>
        </w:rPr>
        <w:t>社会康复中心</w:t>
      </w:r>
      <w:r>
        <w:rPr>
          <w:rFonts w:hint="eastAsia"/>
        </w:rPr>
        <w:t>(2008</w:t>
      </w:r>
      <w:r>
        <w:rPr>
          <w:rFonts w:hint="eastAsia"/>
        </w:rPr>
        <w:t>年</w:t>
      </w:r>
      <w:r>
        <w:rPr>
          <w:rFonts w:hint="eastAsia"/>
        </w:rPr>
        <w:t>)</w:t>
      </w:r>
    </w:p>
    <w:p w:rsidR="007234DD" w:rsidRDefault="007234DD">
      <w:pPr>
        <w:pStyle w:val="SingleTxtGC"/>
        <w:rPr>
          <w:rFonts w:hint="eastAsia"/>
        </w:rPr>
      </w:pPr>
      <w:r>
        <w:t xml:space="preserve">67.  </w:t>
      </w:r>
      <w:r>
        <w:rPr>
          <w:rFonts w:hint="eastAsia"/>
        </w:rPr>
        <w:t>该委员会是负责促进妇女地位的提高和保护家庭利益的体制化机构。它为妇女提供能力建设支助并帮助她们参与经济及政治生活，尤其是在决策方面。它为卡塔尔妇女创造就业机会，并向她们提供职业支助。它还监测卡塔尔加入的关于妇女权利的条约的执行情况。</w:t>
      </w:r>
    </w:p>
    <w:p w:rsidR="007234DD" w:rsidRDefault="007234DD">
      <w:pPr>
        <w:pStyle w:val="H23GC"/>
        <w:rPr>
          <w:rFonts w:hint="eastAsia"/>
        </w:rPr>
      </w:pPr>
      <w:r>
        <w:rPr>
          <w:rFonts w:hint="eastAsia"/>
        </w:rPr>
        <w:tab/>
      </w:r>
      <w:r>
        <w:rPr>
          <w:rFonts w:hint="eastAsia"/>
        </w:rPr>
        <w:tab/>
      </w:r>
      <w:r>
        <w:rPr>
          <w:rFonts w:hint="eastAsia"/>
        </w:rPr>
        <w:t>有关部级部门</w:t>
      </w:r>
    </w:p>
    <w:p w:rsidR="007234DD" w:rsidRDefault="007234DD">
      <w:pPr>
        <w:pStyle w:val="SingleTxtGC"/>
        <w:rPr>
          <w:rFonts w:hint="eastAsia"/>
        </w:rPr>
      </w:pPr>
      <w:r>
        <w:t xml:space="preserve">68.  </w:t>
      </w:r>
      <w:r>
        <w:rPr>
          <w:rFonts w:hint="eastAsia"/>
        </w:rPr>
        <w:t>在一些部和政府机构内成立了几个部门，其中包括下列部门。</w:t>
      </w:r>
    </w:p>
    <w:p w:rsidR="007234DD" w:rsidRDefault="007234DD">
      <w:pPr>
        <w:pStyle w:val="H23GC"/>
        <w:rPr>
          <w:rFonts w:hint="eastAsia"/>
        </w:rPr>
      </w:pPr>
      <w:r>
        <w:rPr>
          <w:rFonts w:hint="eastAsia"/>
        </w:rPr>
        <w:tab/>
      </w:r>
      <w:r>
        <w:rPr>
          <w:rFonts w:hint="eastAsia"/>
        </w:rPr>
        <w:tab/>
      </w:r>
      <w:r>
        <w:rPr>
          <w:rFonts w:hint="eastAsia"/>
        </w:rPr>
        <w:t>内政部的人权司</w:t>
      </w:r>
    </w:p>
    <w:p w:rsidR="007234DD" w:rsidRDefault="007234DD">
      <w:pPr>
        <w:pStyle w:val="SingleTxtGC"/>
        <w:rPr>
          <w:rFonts w:hint="eastAsia"/>
        </w:rPr>
      </w:pPr>
      <w:r>
        <w:t xml:space="preserve">69.  </w:t>
      </w:r>
      <w:r>
        <w:rPr>
          <w:rFonts w:hint="eastAsia"/>
        </w:rPr>
        <w:t>《卡塔尔永久宪法》承认各种自由和权利。根据该宪法以及按照内政部为促进其各工作领域的人权所作的承诺，内部事务国务大臣通过</w:t>
      </w:r>
      <w:r>
        <w:rPr>
          <w:rFonts w:hint="eastAsia"/>
        </w:rPr>
        <w:t>2005</w:t>
      </w:r>
      <w:r>
        <w:rPr>
          <w:rFonts w:hint="eastAsia"/>
        </w:rPr>
        <w:t>年第</w:t>
      </w:r>
      <w:r>
        <w:rPr>
          <w:rFonts w:hint="eastAsia"/>
        </w:rPr>
        <w:t>26</w:t>
      </w:r>
      <w:r>
        <w:rPr>
          <w:rFonts w:hint="eastAsia"/>
        </w:rPr>
        <w:t>号决定成立了人权司，一方面作为国家人权委员会与内政部之间的主要联系纽带，另一方面也作为公众与该部之间的主要联系纽带。</w:t>
      </w:r>
    </w:p>
    <w:p w:rsidR="007234DD" w:rsidRDefault="007234DD">
      <w:pPr>
        <w:pStyle w:val="SingleTxtGC"/>
        <w:rPr>
          <w:rFonts w:hint="eastAsia"/>
        </w:rPr>
      </w:pPr>
      <w:r>
        <w:t xml:space="preserve">70.  </w:t>
      </w:r>
      <w:r>
        <w:rPr>
          <w:rFonts w:hint="eastAsia"/>
        </w:rPr>
        <w:t>该司的职责包括协同有关部级机构，采取措施实现国际人权文书中与该部工作有关的目标。该司接收、研究和调查由个人或通过国家人权委员会提交给内政部的投诉。它审查背景问题并就案件提出建议。它组织对刑事机构、递解中心和安全设施的视察，以检查卡塔尔现行法律法规的适用是否妥当以及是否有侵权行为。它向大臣提交定期报告，印发出版物和通知以提高该部处理人权问题的各司的认识，并组织研讨会和会谈。它代表该部参加关于人权问题的国际、区域和地方会议及研讨会。</w:t>
      </w:r>
      <w:r>
        <w:rPr>
          <w:rFonts w:hint="eastAsia"/>
        </w:rPr>
        <w:t>2010</w:t>
      </w:r>
      <w:r>
        <w:rPr>
          <w:rFonts w:hint="eastAsia"/>
        </w:rPr>
        <w:t>年</w:t>
      </w:r>
      <w:r>
        <w:rPr>
          <w:rFonts w:hint="eastAsia"/>
        </w:rPr>
        <w:t>8</w:t>
      </w:r>
      <w:r>
        <w:rPr>
          <w:rFonts w:hint="eastAsia"/>
        </w:rPr>
        <w:t>月，人权司被认定符合</w:t>
      </w:r>
      <w:r>
        <w:t>ISO</w:t>
      </w:r>
      <w:r>
        <w:rPr>
          <w:rFonts w:hint="eastAsia"/>
        </w:rPr>
        <w:t>认证的所有要求，获得了</w:t>
      </w:r>
      <w:r>
        <w:t>ISO</w:t>
      </w:r>
      <w:r>
        <w:rPr>
          <w:rFonts w:hint="eastAsia"/>
        </w:rPr>
        <w:t>卓越证书</w:t>
      </w:r>
      <w:r>
        <w:rPr>
          <w:rFonts w:hint="eastAsia"/>
        </w:rPr>
        <w:t>(2008-2009</w:t>
      </w:r>
      <w:r>
        <w:rPr>
          <w:rFonts w:hint="eastAsia"/>
        </w:rPr>
        <w:t>年</w:t>
      </w:r>
      <w:r>
        <w:rPr>
          <w:rFonts w:hint="eastAsia"/>
        </w:rPr>
        <w:t>)</w:t>
      </w:r>
      <w:r>
        <w:rPr>
          <w:rFonts w:hint="eastAsia"/>
        </w:rPr>
        <w:t>。</w:t>
      </w:r>
    </w:p>
    <w:p w:rsidR="007234DD" w:rsidRDefault="007234DD">
      <w:pPr>
        <w:pStyle w:val="H23GC"/>
        <w:rPr>
          <w:rFonts w:hint="eastAsia"/>
        </w:rPr>
      </w:pPr>
      <w:r>
        <w:rPr>
          <w:rFonts w:hint="eastAsia"/>
        </w:rPr>
        <w:tab/>
      </w:r>
      <w:r>
        <w:rPr>
          <w:rFonts w:hint="eastAsia"/>
        </w:rPr>
        <w:tab/>
      </w:r>
      <w:r>
        <w:rPr>
          <w:rFonts w:hint="eastAsia"/>
        </w:rPr>
        <w:t>外交部的人权办公室</w:t>
      </w:r>
    </w:p>
    <w:p w:rsidR="007234DD" w:rsidRDefault="007234DD">
      <w:pPr>
        <w:pStyle w:val="SingleTxtGC"/>
        <w:rPr>
          <w:rFonts w:hint="eastAsia"/>
        </w:rPr>
      </w:pPr>
      <w:r>
        <w:t xml:space="preserve">71.  </w:t>
      </w:r>
      <w:r>
        <w:rPr>
          <w:rFonts w:hint="eastAsia"/>
        </w:rPr>
        <w:t>外交部的人权办公室根据外交大臣</w:t>
      </w:r>
      <w:r>
        <w:rPr>
          <w:rFonts w:hint="eastAsia"/>
        </w:rPr>
        <w:t>2003</w:t>
      </w:r>
      <w:r>
        <w:rPr>
          <w:rFonts w:hint="eastAsia"/>
        </w:rPr>
        <w:t>年第</w:t>
      </w:r>
      <w:r>
        <w:rPr>
          <w:rFonts w:hint="eastAsia"/>
        </w:rPr>
        <w:t>16</w:t>
      </w:r>
      <w:r>
        <w:rPr>
          <w:rFonts w:hint="eastAsia"/>
        </w:rPr>
        <w:t>号决定成立。它就提请它注意的人权问题发表评论和提供咨询意见，并与外交部法律事务司一道协助编写卡塔尔根据国际条约应编写并提交给在有关组织范围内运作的国际监督机构的人权报告。它起草对于国际组织和非政府组织有关卡塔尔人权状况的报告的答复，并将它们提交给这些组织。它还协同有关机构，起草对于外国政府有关卡塔尔人权状况的报告的答复。它向关注这些报告的各国政府进行通报，并向国外的外交和领事使团简要介绍卡塔尔人权状况的新情况。它跟进地方和国际人权问题以及区域和国际组织举办的人权会议和活动。它促使外交部及其他部委各司参与这些活动。它将从国外收到的侵犯人权投诉转交给有关部门并予以跟进。此外，它还拟定关于如何利用人权领域国际组织提供的技术援助服务的计划和建议。它在国家成立的人权机构中代表外交部。</w:t>
      </w:r>
    </w:p>
    <w:p w:rsidR="007234DD" w:rsidRDefault="007234DD">
      <w:pPr>
        <w:pStyle w:val="H23GC"/>
        <w:rPr>
          <w:rFonts w:hint="eastAsia"/>
        </w:rPr>
      </w:pPr>
      <w:r>
        <w:rPr>
          <w:rFonts w:hint="eastAsia"/>
        </w:rPr>
        <w:tab/>
      </w:r>
      <w:r>
        <w:rPr>
          <w:rFonts w:hint="eastAsia"/>
        </w:rPr>
        <w:tab/>
      </w:r>
      <w:r>
        <w:rPr>
          <w:rFonts w:hint="eastAsia"/>
        </w:rPr>
        <w:t>国家廉洁和透明委员会</w:t>
      </w:r>
    </w:p>
    <w:p w:rsidR="007234DD" w:rsidRDefault="007234DD">
      <w:pPr>
        <w:pStyle w:val="SingleTxtGC"/>
        <w:rPr>
          <w:rFonts w:hint="eastAsia"/>
        </w:rPr>
      </w:pPr>
      <w:r>
        <w:t xml:space="preserve">72.  </w:t>
      </w:r>
      <w:r>
        <w:rPr>
          <w:rFonts w:hint="eastAsia"/>
        </w:rPr>
        <w:t>国家廉洁和透明委员会是在</w:t>
      </w:r>
      <w:r>
        <w:rPr>
          <w:rFonts w:hint="eastAsia"/>
        </w:rPr>
        <w:t>2007</w:t>
      </w:r>
      <w:r>
        <w:rPr>
          <w:rFonts w:hint="eastAsia"/>
        </w:rPr>
        <w:t>年卡塔尔批准《联合国反腐败公约》之后，由</w:t>
      </w:r>
      <w:r>
        <w:rPr>
          <w:rFonts w:hint="eastAsia"/>
        </w:rPr>
        <w:t>2007</w:t>
      </w:r>
      <w:r>
        <w:rPr>
          <w:rFonts w:hint="eastAsia"/>
        </w:rPr>
        <w:t>年第</w:t>
      </w:r>
      <w:r>
        <w:rPr>
          <w:rFonts w:hint="eastAsia"/>
        </w:rPr>
        <w:t>84</w:t>
      </w:r>
      <w:r>
        <w:rPr>
          <w:rFonts w:hint="eastAsia"/>
        </w:rPr>
        <w:t>号埃米尔令建立的。它直接向王储殿下报告，其主席职位由国家审计局的一名成员担任。该委员会成员来自外交部、内政部、经济和商务部、卡塔尔中央银行、检察署和卡塔尔石油公司。</w:t>
      </w:r>
    </w:p>
    <w:p w:rsidR="007234DD" w:rsidRDefault="007234DD">
      <w:pPr>
        <w:pStyle w:val="SingleTxtGC"/>
        <w:rPr>
          <w:rFonts w:hint="eastAsia"/>
        </w:rPr>
      </w:pPr>
      <w:r>
        <w:t xml:space="preserve">73.  </w:t>
      </w:r>
      <w:r>
        <w:rPr>
          <w:rFonts w:hint="eastAsia"/>
        </w:rPr>
        <w:t>该委员会监督对于《联合国反腐败公约》所规定之国家义务的遵守情况，并负责制订促进廉洁和透明的国家战略，提出按照该公约规定的标准和要求防止和打击腐败的立法建议。它还为公务员</w:t>
      </w:r>
      <w:r>
        <w:rPr>
          <w:rFonts w:hint="eastAsia"/>
          <w:spacing w:val="-50"/>
        </w:rPr>
        <w:t>―</w:t>
      </w:r>
      <w:r>
        <w:rPr>
          <w:rFonts w:hint="eastAsia"/>
          <w:spacing w:val="10"/>
        </w:rPr>
        <w:t>―</w:t>
      </w:r>
      <w:r>
        <w:rPr>
          <w:rFonts w:hint="eastAsia"/>
        </w:rPr>
        <w:t>特别是金融机构雇员</w:t>
      </w:r>
      <w:r>
        <w:rPr>
          <w:rFonts w:hint="eastAsia"/>
          <w:spacing w:val="-50"/>
        </w:rPr>
        <w:t>―</w:t>
      </w:r>
      <w:r>
        <w:rPr>
          <w:rFonts w:hint="eastAsia"/>
          <w:spacing w:val="10"/>
        </w:rPr>
        <w:t>―</w:t>
      </w:r>
      <w:r>
        <w:rPr>
          <w:rFonts w:hint="eastAsia"/>
        </w:rPr>
        <w:t>制订教育和培训方案，以使他们熟悉发现腐败行为的先进技术。该委员会每年向王储殿下提交报告，概括介绍其活动和成就并提出它认为应如何实现其目标的建议。卡塔尔主办了联合国反腐败公约缔约国会议第三届会议。这届会议于</w:t>
      </w:r>
      <w:r>
        <w:rPr>
          <w:rFonts w:hint="eastAsia"/>
        </w:rPr>
        <w:t>2009</w:t>
      </w:r>
      <w:r>
        <w:rPr>
          <w:rFonts w:hint="eastAsia"/>
        </w:rPr>
        <w:t>年</w:t>
      </w:r>
      <w:r>
        <w:rPr>
          <w:rFonts w:hint="eastAsia"/>
        </w:rPr>
        <w:t>11</w:t>
      </w:r>
      <w:r>
        <w:rPr>
          <w:rFonts w:hint="eastAsia"/>
        </w:rPr>
        <w:t>月举行，目的是审查反腐工作的进展。它还主办了第四次打击腐败和维护廉洁全球论坛。这次论坛于</w:t>
      </w:r>
      <w:r>
        <w:rPr>
          <w:rFonts w:hint="eastAsia"/>
        </w:rPr>
        <w:t>2009</w:t>
      </w:r>
      <w:r>
        <w:rPr>
          <w:rFonts w:hint="eastAsia"/>
        </w:rPr>
        <w:t>年</w:t>
      </w:r>
      <w:r>
        <w:rPr>
          <w:rFonts w:hint="eastAsia"/>
        </w:rPr>
        <w:t>11</w:t>
      </w:r>
      <w:r>
        <w:rPr>
          <w:rFonts w:hint="eastAsia"/>
        </w:rPr>
        <w:t>月举行，主题为“团结的力量：携起手来，反对腐败”。参加论坛的人员讨论了公共和私营部门在反腐工作中的作用。</w:t>
      </w:r>
    </w:p>
    <w:p w:rsidR="007234DD" w:rsidRDefault="007234DD">
      <w:pPr>
        <w:pStyle w:val="H23GC"/>
        <w:rPr>
          <w:rFonts w:hint="eastAsia"/>
        </w:rPr>
      </w:pPr>
      <w:r>
        <w:rPr>
          <w:rFonts w:hint="eastAsia"/>
        </w:rPr>
        <w:tab/>
      </w:r>
      <w:r>
        <w:rPr>
          <w:rFonts w:hint="eastAsia"/>
        </w:rPr>
        <w:tab/>
      </w:r>
      <w:r>
        <w:rPr>
          <w:rFonts w:hint="eastAsia"/>
        </w:rPr>
        <w:t>非政府机制</w:t>
      </w:r>
    </w:p>
    <w:p w:rsidR="007234DD" w:rsidRDefault="007234DD">
      <w:pPr>
        <w:pStyle w:val="H4GC"/>
        <w:rPr>
          <w:rFonts w:hint="eastAsia"/>
        </w:rPr>
      </w:pPr>
      <w:r>
        <w:tab/>
      </w:r>
      <w:r>
        <w:tab/>
      </w:r>
      <w:r>
        <w:rPr>
          <w:rFonts w:hint="eastAsia"/>
        </w:rPr>
        <w:t>卡塔尔打击人口贩运基金会</w:t>
      </w:r>
    </w:p>
    <w:p w:rsidR="007234DD" w:rsidRDefault="007234DD">
      <w:pPr>
        <w:pStyle w:val="SingleTxtGC"/>
        <w:rPr>
          <w:rFonts w:hint="eastAsia"/>
        </w:rPr>
      </w:pPr>
      <w:r>
        <w:t xml:space="preserve">74.  </w:t>
      </w:r>
      <w:r>
        <w:rPr>
          <w:rFonts w:hint="eastAsia"/>
        </w:rPr>
        <w:t>卡塔尔打击人口贩运基金会</w:t>
      </w:r>
      <w:r>
        <w:rPr>
          <w:rFonts w:hint="eastAsia"/>
        </w:rPr>
        <w:t>(</w:t>
      </w:r>
      <w:r>
        <w:rPr>
          <w:rFonts w:hint="eastAsia"/>
        </w:rPr>
        <w:t>前全国打击人口贩运办公室</w:t>
      </w:r>
      <w:r>
        <w:rPr>
          <w:rFonts w:hint="eastAsia"/>
        </w:rPr>
        <w:t>)</w:t>
      </w:r>
      <w:r>
        <w:rPr>
          <w:rFonts w:hint="eastAsia"/>
        </w:rPr>
        <w:t>成立于</w:t>
      </w:r>
      <w:r>
        <w:rPr>
          <w:rFonts w:hint="eastAsia"/>
        </w:rPr>
        <w:t>2005</w:t>
      </w:r>
      <w:r>
        <w:rPr>
          <w:rFonts w:hint="eastAsia"/>
        </w:rPr>
        <w:t>年，目的是提出政策建议、制订国家行动计划和帮助执行有关人口贩运问题的法律。此外，它监督“卡塔尔庇护和人道主义关怀之家”的工作。该机构于</w:t>
      </w:r>
      <w:r>
        <w:rPr>
          <w:rFonts w:hint="eastAsia"/>
        </w:rPr>
        <w:t>2003</w:t>
      </w:r>
      <w:r>
        <w:rPr>
          <w:rFonts w:hint="eastAsia"/>
        </w:rPr>
        <w:t>年由大臣会议的一项决定建立，目的是向贩运受害者提供支助和保护，以及提供社会康复和重返社会援助。</w:t>
      </w:r>
    </w:p>
    <w:p w:rsidR="007234DD" w:rsidRDefault="007234DD">
      <w:pPr>
        <w:pStyle w:val="SingleTxtGC"/>
        <w:rPr>
          <w:rFonts w:hint="eastAsia"/>
        </w:rPr>
      </w:pPr>
      <w:r>
        <w:t xml:space="preserve">75.  </w:t>
      </w:r>
      <w:r>
        <w:rPr>
          <w:rFonts w:hint="eastAsia"/>
        </w:rPr>
        <w:t>卡塔尔打击人口贩运基金会举办了宣传活动，以提醒全社会所有群体关注人口贩运问题和案件。它编制了许多出版物并组织了许多会议和讨论。在能力建设领域，它与有关组织合作举办了许许多多的培训班和讲习班，介绍人口贩运涉及到哪些方面和如何确定受害者。这些活动主要针对执法人员。通过与劳动部合作和协调，该基金会开展了面向卡塔尔移徙工人的提高认识运动，并为他们出版了多语种手册。</w:t>
      </w:r>
    </w:p>
    <w:p w:rsidR="007234DD" w:rsidRDefault="007234DD">
      <w:pPr>
        <w:pStyle w:val="H4GC"/>
        <w:rPr>
          <w:rFonts w:hint="eastAsia"/>
        </w:rPr>
      </w:pPr>
      <w:r>
        <w:tab/>
      </w:r>
      <w:r>
        <w:tab/>
      </w:r>
      <w:r>
        <w:rPr>
          <w:rFonts w:hint="eastAsia"/>
        </w:rPr>
        <w:t>卡塔尔保护儿童和妇女基金会</w:t>
      </w:r>
    </w:p>
    <w:p w:rsidR="007234DD" w:rsidRDefault="007234DD">
      <w:pPr>
        <w:pStyle w:val="SingleTxtGC"/>
        <w:rPr>
          <w:rFonts w:hint="eastAsia"/>
        </w:rPr>
      </w:pPr>
      <w:r>
        <w:t xml:space="preserve">76.  </w:t>
      </w:r>
      <w:r>
        <w:rPr>
          <w:rFonts w:hint="eastAsia"/>
        </w:rPr>
        <w:t>卡塔尔保护儿童和妇女基金会是一个根据《私立协会和机构法》</w:t>
      </w:r>
      <w:r>
        <w:rPr>
          <w:rFonts w:hint="eastAsia"/>
        </w:rPr>
        <w:t>(1998</w:t>
      </w:r>
      <w:r>
        <w:rPr>
          <w:rFonts w:hint="eastAsia"/>
        </w:rPr>
        <w:t>年第</w:t>
      </w:r>
      <w:r>
        <w:rPr>
          <w:rFonts w:hint="eastAsia"/>
        </w:rPr>
        <w:t>8</w:t>
      </w:r>
      <w:r>
        <w:rPr>
          <w:rFonts w:hint="eastAsia"/>
        </w:rPr>
        <w:t>号法</w:t>
      </w:r>
      <w:r>
        <w:rPr>
          <w:rFonts w:hint="eastAsia"/>
        </w:rPr>
        <w:t>)</w:t>
      </w:r>
      <w:r>
        <w:rPr>
          <w:rFonts w:hint="eastAsia"/>
        </w:rPr>
        <w:t>创立的私立基金会。根据最高家庭事务委员会</w:t>
      </w:r>
      <w:r>
        <w:rPr>
          <w:rFonts w:hint="eastAsia"/>
        </w:rPr>
        <w:t>2007</w:t>
      </w:r>
      <w:r>
        <w:rPr>
          <w:rFonts w:hint="eastAsia"/>
        </w:rPr>
        <w:t>年第</w:t>
      </w:r>
      <w:r>
        <w:rPr>
          <w:rFonts w:hint="eastAsia"/>
        </w:rPr>
        <w:t>4</w:t>
      </w:r>
      <w:r>
        <w:rPr>
          <w:rFonts w:hint="eastAsia"/>
        </w:rPr>
        <w:t>号决定，其地位后来有所改变，成为从事公益服务的私立机构。该基金会的总体目标是保护目标群体，防止其在家庭和社会中遭受家庭暴力，并处理这一问题。它的具体目标包括：</w:t>
      </w:r>
    </w:p>
    <w:p w:rsidR="007234DD" w:rsidRDefault="007234DD">
      <w:pPr>
        <w:pStyle w:val="Bullet1GC"/>
      </w:pPr>
      <w:r>
        <w:rPr>
          <w:rFonts w:hint="eastAsia"/>
        </w:rPr>
        <w:t>协助向目标群体提供住宿和综合照顾</w:t>
      </w:r>
    </w:p>
    <w:p w:rsidR="007234DD" w:rsidRDefault="007234DD">
      <w:pPr>
        <w:pStyle w:val="Bullet1GC"/>
      </w:pPr>
      <w:r>
        <w:rPr>
          <w:rFonts w:hint="eastAsia"/>
        </w:rPr>
        <w:t>保护目标群体，防止其在家里和社会上遭受不正常做法的伤害</w:t>
      </w:r>
    </w:p>
    <w:p w:rsidR="007234DD" w:rsidRDefault="007234DD">
      <w:pPr>
        <w:pStyle w:val="Bullet1GC"/>
      </w:pPr>
      <w:r>
        <w:rPr>
          <w:rFonts w:hint="eastAsia"/>
        </w:rPr>
        <w:t>提高目标群体、家庭和社区对人权领域的社会和法律问题的认识</w:t>
      </w:r>
    </w:p>
    <w:p w:rsidR="007234DD" w:rsidRDefault="007234DD">
      <w:pPr>
        <w:pStyle w:val="Bullet1GC"/>
      </w:pPr>
      <w:r>
        <w:rPr>
          <w:rFonts w:hint="eastAsia"/>
        </w:rPr>
        <w:t>向目标群体中的贫穷人口提供法律援助</w:t>
      </w:r>
    </w:p>
    <w:p w:rsidR="007234DD" w:rsidRDefault="007234DD">
      <w:pPr>
        <w:pStyle w:val="Bullet1GC"/>
      </w:pPr>
      <w:r>
        <w:rPr>
          <w:rFonts w:hint="eastAsia"/>
        </w:rPr>
        <w:t>协助目标群体中的暴力受害者康复并重返社会</w:t>
      </w:r>
    </w:p>
    <w:p w:rsidR="007234DD" w:rsidRDefault="007234DD">
      <w:pPr>
        <w:pStyle w:val="SingleTxtGC"/>
        <w:rPr>
          <w:rFonts w:hint="eastAsia"/>
        </w:rPr>
      </w:pPr>
      <w:r>
        <w:t xml:space="preserve">77.  </w:t>
      </w:r>
      <w:r>
        <w:rPr>
          <w:rFonts w:hint="eastAsia"/>
        </w:rPr>
        <w:t>该基金会为虐待和暴力受害者提供各种社会服务，比如个人辅导和咨询，以及各种各样的重返社会和康复服务和方案。它为受害者以及酌情为其他所涉当事方提供法庭援助和法律咨询等法律服务，以及体检和群体行为</w:t>
      </w:r>
      <w:r>
        <w:rPr>
          <w:rFonts w:hint="eastAsia"/>
        </w:rPr>
        <w:t>/</w:t>
      </w:r>
      <w:r>
        <w:rPr>
          <w:rFonts w:hint="eastAsia"/>
        </w:rPr>
        <w:t>支助</w:t>
      </w:r>
      <w:r>
        <w:rPr>
          <w:rFonts w:hint="eastAsia"/>
        </w:rPr>
        <w:t>/</w:t>
      </w:r>
      <w:r>
        <w:rPr>
          <w:rFonts w:hint="eastAsia"/>
        </w:rPr>
        <w:t>认知心理治疗等精神保健服务。多哈警署设立了一个特别办公室，以方便妇女和儿童报告、投诉和请求警察保护以免遭受暴力、虐待或威胁侵害。保护儿童和妇女基金会于</w:t>
      </w:r>
      <w:smartTag w:uri="urn:schemas-microsoft-com:office:smarttags" w:element="chsdate">
        <w:smartTagPr>
          <w:attr w:name="Year" w:val="2009"/>
          <w:attr w:name="Month" w:val="7"/>
          <w:attr w:name="Day" w:val="19"/>
          <w:attr w:name="IsLunarDate" w:val="False"/>
          <w:attr w:name="IsROCDate" w:val="False"/>
        </w:smartTagPr>
        <w:r>
          <w:rPr>
            <w:rFonts w:hint="eastAsia"/>
          </w:rPr>
          <w:t>2009</w:t>
        </w:r>
        <w:r>
          <w:rPr>
            <w:rFonts w:hint="eastAsia"/>
          </w:rPr>
          <w:t>年</w:t>
        </w:r>
        <w:r>
          <w:rPr>
            <w:rFonts w:hint="eastAsia"/>
          </w:rPr>
          <w:t>7</w:t>
        </w:r>
        <w:r>
          <w:rPr>
            <w:rFonts w:hint="eastAsia"/>
          </w:rPr>
          <w:t>月</w:t>
        </w:r>
        <w:r>
          <w:rPr>
            <w:rFonts w:hint="eastAsia"/>
          </w:rPr>
          <w:t>19</w:t>
        </w:r>
        <w:r>
          <w:rPr>
            <w:rFonts w:hint="eastAsia"/>
          </w:rPr>
          <w:t>日</w:t>
        </w:r>
      </w:smartTag>
      <w:r>
        <w:rPr>
          <w:rFonts w:hint="eastAsia"/>
        </w:rPr>
        <w:t>开始为该办公室承担责任。来自基金会的一名社会工作者在该办公室接见有需要人员并提供基金会的上述所有服务。</w:t>
      </w:r>
    </w:p>
    <w:p w:rsidR="007234DD" w:rsidRDefault="007234DD">
      <w:pPr>
        <w:pStyle w:val="SingleTxtGC"/>
        <w:rPr>
          <w:rFonts w:hint="eastAsia"/>
        </w:rPr>
      </w:pPr>
      <w:r>
        <w:t xml:space="preserve">78.  </w:t>
      </w:r>
      <w:r>
        <w:rPr>
          <w:rFonts w:hint="eastAsia"/>
        </w:rPr>
        <w:t>保护儿童和妇女基金会建立了一些设施，譬如</w:t>
      </w:r>
      <w:r>
        <w:t>Dar al-Aman</w:t>
      </w:r>
      <w:r>
        <w:rPr>
          <w:rFonts w:hint="eastAsia"/>
        </w:rPr>
        <w:t>。该庇护所为受到虐待和暴力并且无家可归的妇女和儿童提供临时避难，直到其案件得到解决。基金会还提供心理康复和社会康复援助。</w:t>
      </w:r>
      <w:r>
        <w:rPr>
          <w:rFonts w:hint="eastAsia"/>
        </w:rPr>
        <w:t>2007</w:t>
      </w:r>
      <w:r>
        <w:rPr>
          <w:rFonts w:hint="eastAsia"/>
        </w:rPr>
        <w:t>年</w:t>
      </w:r>
      <w:r>
        <w:rPr>
          <w:rFonts w:hint="eastAsia"/>
        </w:rPr>
        <w:t>10</w:t>
      </w:r>
      <w:r>
        <w:rPr>
          <w:rFonts w:hint="eastAsia"/>
        </w:rPr>
        <w:t>月至</w:t>
      </w:r>
      <w:r>
        <w:rPr>
          <w:rFonts w:hint="eastAsia"/>
        </w:rPr>
        <w:t>2010</w:t>
      </w:r>
      <w:r>
        <w:rPr>
          <w:rFonts w:hint="eastAsia"/>
        </w:rPr>
        <w:t>年</w:t>
      </w:r>
      <w:r>
        <w:rPr>
          <w:rFonts w:hint="eastAsia"/>
        </w:rPr>
        <w:t>8</w:t>
      </w:r>
      <w:r>
        <w:rPr>
          <w:rFonts w:hint="eastAsia"/>
        </w:rPr>
        <w:t>月期间，它在上述庇护所收留了</w:t>
      </w:r>
      <w:r>
        <w:rPr>
          <w:rFonts w:hint="eastAsia"/>
        </w:rPr>
        <w:t>69</w:t>
      </w:r>
      <w:r>
        <w:rPr>
          <w:rFonts w:hint="eastAsia"/>
        </w:rPr>
        <w:t>名儿童和</w:t>
      </w:r>
      <w:r>
        <w:rPr>
          <w:rFonts w:hint="eastAsia"/>
        </w:rPr>
        <w:t>85</w:t>
      </w:r>
      <w:r>
        <w:rPr>
          <w:rFonts w:hint="eastAsia"/>
        </w:rPr>
        <w:t>名妇女。此外，基金会在哈马德总医院事故和急救部设立了一个办事处，向来医院的虐待和暴力受害妇女和儿童提供支助、照顾和保护。</w:t>
      </w:r>
      <w:r>
        <w:rPr>
          <w:rFonts w:hint="eastAsia"/>
        </w:rPr>
        <w:t>2008</w:t>
      </w:r>
      <w:r>
        <w:rPr>
          <w:rFonts w:hint="eastAsia"/>
        </w:rPr>
        <w:t>年，该办事处接待了</w:t>
      </w:r>
      <w:r>
        <w:rPr>
          <w:rFonts w:hint="eastAsia"/>
        </w:rPr>
        <w:t>17</w:t>
      </w:r>
      <w:r>
        <w:rPr>
          <w:rFonts w:hint="eastAsia"/>
        </w:rPr>
        <w:t>名儿童和</w:t>
      </w:r>
      <w:r>
        <w:rPr>
          <w:rFonts w:hint="eastAsia"/>
        </w:rPr>
        <w:t>180</w:t>
      </w:r>
      <w:r>
        <w:rPr>
          <w:rFonts w:hint="eastAsia"/>
        </w:rPr>
        <w:t>名妇女。</w:t>
      </w:r>
    </w:p>
    <w:p w:rsidR="007234DD" w:rsidRDefault="007234DD">
      <w:pPr>
        <w:pStyle w:val="SingleTxtGC"/>
        <w:rPr>
          <w:rFonts w:hint="eastAsia"/>
        </w:rPr>
      </w:pPr>
      <w:r>
        <w:t xml:space="preserve">79.  </w:t>
      </w:r>
      <w:r>
        <w:rPr>
          <w:rFonts w:hint="eastAsia"/>
        </w:rPr>
        <w:t>在培训方面，该基金会为教育、卫生和安全部门的人员举办了许多研讨会、讲习班和培训班。它筹划并开展了几次提高认识和教育运动，以促进社会中的保护风气，传播关于该基金会及其热线电话的信息。它编制了许多手册、小册子和出版物，比如</w:t>
      </w:r>
      <w:r>
        <w:rPr>
          <w:rFonts w:ascii="STKaiti" w:eastAsia="KaiTi_GB2312" w:hAnsi="STKaiti" w:hint="eastAsia"/>
        </w:rPr>
        <w:t>《</w:t>
      </w:r>
      <w:r>
        <w:rPr>
          <w:rFonts w:eastAsia="KaiTi_GB2312"/>
        </w:rPr>
        <w:t>Aman</w:t>
      </w:r>
      <w:r>
        <w:rPr>
          <w:rFonts w:ascii="STKaiti" w:eastAsia="KaiTi_GB2312" w:hAnsi="STKaiti" w:hint="eastAsia"/>
        </w:rPr>
        <w:t>》</w:t>
      </w:r>
      <w:r>
        <w:rPr>
          <w:rFonts w:hint="eastAsia"/>
        </w:rPr>
        <w:t>杂志。</w:t>
      </w:r>
    </w:p>
    <w:p w:rsidR="007234DD" w:rsidRDefault="007234DD">
      <w:pPr>
        <w:pStyle w:val="H23GC"/>
        <w:rPr>
          <w:rFonts w:hint="eastAsia"/>
        </w:rPr>
      </w:pPr>
      <w:r>
        <w:rPr>
          <w:rFonts w:hint="eastAsia"/>
        </w:rPr>
        <w:tab/>
      </w:r>
      <w:r>
        <w:rPr>
          <w:rFonts w:hint="eastAsia"/>
        </w:rPr>
        <w:tab/>
      </w:r>
      <w:r>
        <w:rPr>
          <w:rFonts w:hint="eastAsia"/>
        </w:rPr>
        <w:t>阿拉伯民主基金会</w:t>
      </w:r>
    </w:p>
    <w:p w:rsidR="007234DD" w:rsidRDefault="007234DD">
      <w:pPr>
        <w:pStyle w:val="SingleTxtGC"/>
        <w:rPr>
          <w:rFonts w:hint="eastAsia"/>
        </w:rPr>
      </w:pPr>
      <w:r>
        <w:t xml:space="preserve">80.  </w:t>
      </w:r>
      <w:r>
        <w:rPr>
          <w:rFonts w:hint="eastAsia"/>
        </w:rPr>
        <w:t>在第二次阿拉伯国家民主和政治改革论坛于</w:t>
      </w:r>
      <w:r>
        <w:rPr>
          <w:rFonts w:hint="eastAsia"/>
        </w:rPr>
        <w:t>2007</w:t>
      </w:r>
      <w:r>
        <w:rPr>
          <w:rFonts w:hint="eastAsia"/>
        </w:rPr>
        <w:t>年</w:t>
      </w:r>
      <w:r>
        <w:rPr>
          <w:rFonts w:hint="eastAsia"/>
        </w:rPr>
        <w:t>5</w:t>
      </w:r>
      <w:r>
        <w:rPr>
          <w:rFonts w:hint="eastAsia"/>
        </w:rPr>
        <w:t>月在卡塔尔举行之后，阿拉伯民主基金会由</w:t>
      </w:r>
      <w:r>
        <w:rPr>
          <w:rFonts w:hint="eastAsia"/>
        </w:rPr>
        <w:t>2007</w:t>
      </w:r>
      <w:r>
        <w:rPr>
          <w:rFonts w:hint="eastAsia"/>
        </w:rPr>
        <w:t>年第</w:t>
      </w:r>
      <w:r>
        <w:rPr>
          <w:rFonts w:hint="eastAsia"/>
        </w:rPr>
        <w:t>51</w:t>
      </w:r>
      <w:r>
        <w:rPr>
          <w:rFonts w:hint="eastAsia"/>
        </w:rPr>
        <w:t>号埃米尔令建立。该基金会的总部设在多哈，是阿拉伯世界的第一个此类机构。其目标是促进本区域的民主氛围。卡塔尔捐献了</w:t>
      </w:r>
      <w:r>
        <w:rPr>
          <w:rFonts w:hint="eastAsia"/>
        </w:rPr>
        <w:t>1,000</w:t>
      </w:r>
      <w:r>
        <w:rPr>
          <w:rFonts w:hint="eastAsia"/>
        </w:rPr>
        <w:t>万美元，用以支持该基金会。该基金会于</w:t>
      </w:r>
      <w:r>
        <w:rPr>
          <w:rFonts w:hint="eastAsia"/>
        </w:rPr>
        <w:t>2008</w:t>
      </w:r>
      <w:r>
        <w:rPr>
          <w:rFonts w:hint="eastAsia"/>
        </w:rPr>
        <w:t>年发表了其第一份阿拉伯国家民主状况报告。报告依据来自</w:t>
      </w:r>
      <w:r>
        <w:rPr>
          <w:rFonts w:hint="eastAsia"/>
        </w:rPr>
        <w:t>17</w:t>
      </w:r>
      <w:r>
        <w:rPr>
          <w:rFonts w:hint="eastAsia"/>
        </w:rPr>
        <w:t>份国家报告的信息编写而成。更多信息可上网</w:t>
      </w:r>
      <w:r>
        <w:rPr>
          <w:rFonts w:hint="eastAsia"/>
        </w:rPr>
        <w:t>(</w:t>
      </w:r>
      <w:hyperlink r:id="rId11" w:history="1">
        <w:r>
          <w:rPr>
            <w:rStyle w:val="Hyperlink"/>
            <w:color w:val="auto"/>
            <w:u w:val="none"/>
          </w:rPr>
          <w:t>www.adf.org.qa</w:t>
        </w:r>
      </w:hyperlink>
      <w:r>
        <w:rPr>
          <w:rFonts w:hint="eastAsia"/>
        </w:rPr>
        <w:t>)</w:t>
      </w:r>
      <w:r>
        <w:rPr>
          <w:rFonts w:hint="eastAsia"/>
        </w:rPr>
        <w:t>查阅。</w:t>
      </w:r>
    </w:p>
    <w:p w:rsidR="007234DD" w:rsidRDefault="007234DD">
      <w:pPr>
        <w:pStyle w:val="H23GC"/>
        <w:rPr>
          <w:rFonts w:hint="eastAsia"/>
        </w:rPr>
      </w:pPr>
      <w:r>
        <w:rPr>
          <w:rFonts w:hint="eastAsia"/>
        </w:rPr>
        <w:tab/>
      </w:r>
      <w:r>
        <w:rPr>
          <w:rFonts w:hint="eastAsia"/>
        </w:rPr>
        <w:tab/>
      </w:r>
      <w:r>
        <w:rPr>
          <w:rFonts w:hint="eastAsia"/>
        </w:rPr>
        <w:t>多哈媒体自由中心</w:t>
      </w:r>
    </w:p>
    <w:p w:rsidR="007234DD" w:rsidRDefault="007234DD">
      <w:pPr>
        <w:pStyle w:val="SingleTxtGC"/>
        <w:rPr>
          <w:rFonts w:hint="eastAsia"/>
        </w:rPr>
      </w:pPr>
      <w:r>
        <w:t xml:space="preserve">81.  </w:t>
      </w:r>
      <w:r>
        <w:rPr>
          <w:rFonts w:hint="eastAsia"/>
        </w:rPr>
        <w:t>媒体在国家计划中发挥着非常重要的作用，因为《宪法》所承认的意见和表达自由是现代民主的支柱之一。媒体还在促进对话、相互理解、宽容和共存方面以及在创建有助于防止煽动恐怖主义和仇恨的氛围方面发挥着关键作用。</w:t>
      </w:r>
      <w:r>
        <w:rPr>
          <w:rFonts w:hint="eastAsia"/>
        </w:rPr>
        <w:t>2007</w:t>
      </w:r>
      <w:r>
        <w:rPr>
          <w:rFonts w:hint="eastAsia"/>
        </w:rPr>
        <w:t>年</w:t>
      </w:r>
      <w:r>
        <w:rPr>
          <w:rFonts w:hint="eastAsia"/>
        </w:rPr>
        <w:t>12</w:t>
      </w:r>
      <w:r>
        <w:rPr>
          <w:rFonts w:hint="eastAsia"/>
        </w:rPr>
        <w:t>月，埃米尔殿下发布了</w:t>
      </w:r>
      <w:r>
        <w:rPr>
          <w:rFonts w:hint="eastAsia"/>
        </w:rPr>
        <w:t>2007</w:t>
      </w:r>
      <w:r>
        <w:rPr>
          <w:rFonts w:hint="eastAsia"/>
        </w:rPr>
        <w:t>年第</w:t>
      </w:r>
      <w:r>
        <w:rPr>
          <w:rFonts w:hint="eastAsia"/>
        </w:rPr>
        <w:t>86</w:t>
      </w:r>
      <w:r>
        <w:rPr>
          <w:rFonts w:hint="eastAsia"/>
        </w:rPr>
        <w:t>号令，批准建立多哈媒体自由中心，作为从事公益服务的私立中心。自由、公信、独立、问责和透明是支持该中心以下目标的战略原则：依照国际标准保护媒体、进行媒体研究和建立对媒体各部门有用的数据库。该中心建立了一座虚拟的国际纪念碑，纪念主张新闻自由的领袖以及为争取新闻自由而牺牲的人们。它为在开展</w:t>
      </w:r>
      <w:r>
        <w:rPr>
          <w:rFonts w:hint="eastAsia"/>
          <w:spacing w:val="-50"/>
        </w:rPr>
        <w:t>―</w:t>
      </w:r>
      <w:r>
        <w:rPr>
          <w:rFonts w:hint="eastAsia"/>
          <w:spacing w:val="10"/>
        </w:rPr>
        <w:t>―</w:t>
      </w:r>
      <w:r>
        <w:rPr>
          <w:rFonts w:hint="eastAsia"/>
        </w:rPr>
        <w:t>特别是在危机情况下开展</w:t>
      </w:r>
      <w:r>
        <w:rPr>
          <w:rFonts w:hint="eastAsia"/>
          <w:spacing w:val="-50"/>
        </w:rPr>
        <w:t>―</w:t>
      </w:r>
      <w:r>
        <w:rPr>
          <w:rFonts w:hint="eastAsia"/>
          <w:spacing w:val="10"/>
        </w:rPr>
        <w:t>―</w:t>
      </w:r>
      <w:r>
        <w:rPr>
          <w:rFonts w:hint="eastAsia"/>
        </w:rPr>
        <w:t>工作中遭到侵权的记者提供援助。</w:t>
      </w:r>
      <w:r>
        <w:rPr>
          <w:rFonts w:hint="eastAsia"/>
        </w:rPr>
        <w:t>2008</w:t>
      </w:r>
      <w:r>
        <w:rPr>
          <w:rFonts w:hint="eastAsia"/>
        </w:rPr>
        <w:t>年</w:t>
      </w:r>
      <w:r>
        <w:rPr>
          <w:rFonts w:hint="eastAsia"/>
        </w:rPr>
        <w:t>1</w:t>
      </w:r>
      <w:r>
        <w:rPr>
          <w:rFonts w:hint="eastAsia"/>
        </w:rPr>
        <w:t>月，该中心与无国界记者组织签订了合作议定书。更多信息可登陆下列网站查阅：</w:t>
      </w:r>
      <w:hyperlink r:id="rId12" w:history="1">
        <w:r>
          <w:rPr>
            <w:rStyle w:val="Hyperlink"/>
            <w:color w:val="auto"/>
            <w:u w:val="none"/>
          </w:rPr>
          <w:t>www.dohacentre.org</w:t>
        </w:r>
      </w:hyperlink>
      <w:r>
        <w:rPr>
          <w:rFonts w:hint="eastAsia"/>
        </w:rPr>
        <w:t>。</w:t>
      </w:r>
    </w:p>
    <w:p w:rsidR="007234DD" w:rsidRDefault="007234DD">
      <w:pPr>
        <w:pStyle w:val="H23G"/>
        <w:spacing w:line="320" w:lineRule="exact"/>
        <w:rPr>
          <w:rFonts w:ascii="SimHei" w:eastAsia="SimHei" w:hint="eastAsia"/>
          <w:b w:val="0"/>
          <w:sz w:val="21"/>
          <w:lang w:eastAsia="zh-CN"/>
        </w:rPr>
      </w:pPr>
      <w:r>
        <w:rPr>
          <w:rFonts w:ascii="SimHei" w:eastAsia="SimHei" w:hint="eastAsia"/>
          <w:b w:val="0"/>
          <w:sz w:val="21"/>
          <w:lang w:eastAsia="zh-CN"/>
        </w:rPr>
        <w:tab/>
      </w:r>
      <w:r>
        <w:rPr>
          <w:rFonts w:ascii="SimHei" w:eastAsia="SimHei" w:hint="eastAsia"/>
          <w:b w:val="0"/>
          <w:sz w:val="21"/>
          <w:lang w:eastAsia="zh-CN"/>
        </w:rPr>
        <w:tab/>
        <w:t>多哈不同信仰间对话国际中心</w:t>
      </w:r>
    </w:p>
    <w:p w:rsidR="007234DD" w:rsidRDefault="007234DD">
      <w:pPr>
        <w:pStyle w:val="SingleTxtG"/>
        <w:spacing w:line="320" w:lineRule="exact"/>
        <w:rPr>
          <w:rFonts w:hint="eastAsia"/>
          <w:sz w:val="21"/>
          <w:lang w:eastAsia="zh-CN"/>
        </w:rPr>
      </w:pPr>
      <w:r>
        <w:rPr>
          <w:sz w:val="21"/>
          <w:lang w:eastAsia="zh-CN"/>
        </w:rPr>
        <w:t xml:space="preserve">82.  </w:t>
      </w:r>
      <w:r>
        <w:rPr>
          <w:rFonts w:hint="eastAsia"/>
          <w:sz w:val="21"/>
          <w:lang w:eastAsia="zh-CN"/>
        </w:rPr>
        <w:t>多哈不同信仰间对话国际中心是根据</w:t>
      </w:r>
      <w:r>
        <w:rPr>
          <w:rFonts w:hint="eastAsia"/>
          <w:sz w:val="21"/>
          <w:lang w:eastAsia="zh-CN"/>
        </w:rPr>
        <w:t>2007</w:t>
      </w:r>
      <w:r>
        <w:rPr>
          <w:rFonts w:hint="eastAsia"/>
          <w:sz w:val="21"/>
          <w:lang w:eastAsia="zh-CN"/>
        </w:rPr>
        <w:t>年</w:t>
      </w:r>
      <w:r>
        <w:rPr>
          <w:rFonts w:hint="eastAsia"/>
          <w:sz w:val="21"/>
          <w:lang w:eastAsia="zh-CN"/>
        </w:rPr>
        <w:t>5</w:t>
      </w:r>
      <w:r>
        <w:rPr>
          <w:rFonts w:hint="eastAsia"/>
          <w:sz w:val="21"/>
          <w:lang w:eastAsia="zh-CN"/>
        </w:rPr>
        <w:t>月举行的第五次多哈不同信仰间对话会议的建议成立的。它于</w:t>
      </w:r>
      <w:r>
        <w:rPr>
          <w:rFonts w:hint="eastAsia"/>
          <w:sz w:val="21"/>
          <w:lang w:eastAsia="zh-CN"/>
        </w:rPr>
        <w:t>2008</w:t>
      </w:r>
      <w:r>
        <w:rPr>
          <w:rFonts w:hint="eastAsia"/>
          <w:sz w:val="21"/>
          <w:lang w:eastAsia="zh-CN"/>
        </w:rPr>
        <w:t>年</w:t>
      </w:r>
      <w:r>
        <w:rPr>
          <w:rFonts w:hint="eastAsia"/>
          <w:sz w:val="21"/>
          <w:lang w:eastAsia="zh-CN"/>
        </w:rPr>
        <w:t>5</w:t>
      </w:r>
      <w:r>
        <w:rPr>
          <w:rFonts w:hint="eastAsia"/>
          <w:sz w:val="21"/>
          <w:lang w:eastAsia="zh-CN"/>
        </w:rPr>
        <w:t>月开张，当时恰逢第六次不同信仰间对话会议召开。成立该中心的目的是促进和支持形成一种有利于对话及和平共处的文化。更多信息可登陆下列网站查阅：</w:t>
      </w:r>
      <w:hyperlink r:id="rId13" w:history="1">
        <w:r>
          <w:rPr>
            <w:rStyle w:val="Hyperlink"/>
            <w:color w:val="auto"/>
            <w:sz w:val="21"/>
            <w:u w:val="none"/>
            <w:lang w:eastAsia="zh-CN"/>
          </w:rPr>
          <w:t>www.dicid.org</w:t>
        </w:r>
      </w:hyperlink>
      <w:r>
        <w:rPr>
          <w:rFonts w:hint="eastAsia"/>
          <w:sz w:val="21"/>
          <w:lang w:eastAsia="zh-CN"/>
        </w:rPr>
        <w:t>。</w:t>
      </w:r>
    </w:p>
    <w:p w:rsidR="007234DD" w:rsidRDefault="007234DD">
      <w:pPr>
        <w:pStyle w:val="H23GC"/>
        <w:rPr>
          <w:rFonts w:hint="eastAsia"/>
        </w:rPr>
      </w:pPr>
      <w:r>
        <w:rPr>
          <w:rFonts w:hint="eastAsia"/>
        </w:rPr>
        <w:tab/>
      </w:r>
      <w:r>
        <w:rPr>
          <w:rFonts w:hint="eastAsia"/>
        </w:rPr>
        <w:tab/>
      </w:r>
      <w:r>
        <w:rPr>
          <w:rFonts w:hint="eastAsia"/>
        </w:rPr>
        <w:t>人权文书的传播</w:t>
      </w:r>
    </w:p>
    <w:p w:rsidR="007234DD" w:rsidRDefault="007234DD">
      <w:pPr>
        <w:pStyle w:val="SingleTxtGC"/>
        <w:rPr>
          <w:rFonts w:hint="eastAsia"/>
        </w:rPr>
      </w:pPr>
      <w:r>
        <w:t xml:space="preserve">83.  </w:t>
      </w:r>
      <w:r>
        <w:rPr>
          <w:rFonts w:hint="eastAsia"/>
        </w:rPr>
        <w:t>最高家庭事务委员会于</w:t>
      </w:r>
      <w:r>
        <w:t>2000</w:t>
      </w:r>
      <w:r>
        <w:rPr>
          <w:rFonts w:hint="eastAsia"/>
        </w:rPr>
        <w:t>年印刷和出版了《儿童权利公约》的阿拉伯文本和英文本。这些文本得到了广泛传播。该委员会还为儿童印制了《公约》的简写版，并且印刷、出版和发行了《残疾人权利公约》的阿拉伯文本。国家人权委员会印刷、出版和发行了本国加入的所有国际条约和《世界人权宣言》的阿拉伯文本和英文本。</w:t>
      </w:r>
    </w:p>
    <w:p w:rsidR="007234DD" w:rsidRDefault="007234DD">
      <w:pPr>
        <w:pStyle w:val="H23GC"/>
        <w:rPr>
          <w:rFonts w:hint="eastAsia"/>
        </w:rPr>
      </w:pPr>
      <w:r>
        <w:rPr>
          <w:rFonts w:hint="eastAsia"/>
        </w:rPr>
        <w:tab/>
      </w:r>
      <w:r>
        <w:rPr>
          <w:rFonts w:hint="eastAsia"/>
        </w:rPr>
        <w:tab/>
      </w:r>
      <w:r>
        <w:rPr>
          <w:rFonts w:hint="eastAsia"/>
        </w:rPr>
        <w:t>提高人们对国际人权条约的认识的措施</w:t>
      </w:r>
    </w:p>
    <w:p w:rsidR="007234DD" w:rsidRDefault="007234DD">
      <w:pPr>
        <w:pStyle w:val="SingleTxtGC"/>
        <w:rPr>
          <w:rFonts w:hint="eastAsia"/>
        </w:rPr>
      </w:pPr>
      <w:r>
        <w:t xml:space="preserve">84.  </w:t>
      </w:r>
      <w:r>
        <w:rPr>
          <w:rFonts w:hint="eastAsia"/>
        </w:rPr>
        <w:t>各人权机构</w:t>
      </w:r>
      <w:r>
        <w:rPr>
          <w:rFonts w:hint="eastAsia"/>
          <w:spacing w:val="-50"/>
        </w:rPr>
        <w:t>―</w:t>
      </w:r>
      <w:r>
        <w:rPr>
          <w:rFonts w:hint="eastAsia"/>
          <w:spacing w:val="10"/>
        </w:rPr>
        <w:t>―</w:t>
      </w:r>
      <w:r>
        <w:rPr>
          <w:rFonts w:hint="eastAsia"/>
        </w:rPr>
        <w:t>主要是国家人权委员会、最高家庭事务委员会、内政部人权司、卡塔尔保护儿童和妇女基金会和卡塔尔打击人口贩运基金会</w:t>
      </w:r>
      <w:r>
        <w:rPr>
          <w:rFonts w:hint="eastAsia"/>
          <w:spacing w:val="-50"/>
        </w:rPr>
        <w:t>―</w:t>
      </w:r>
      <w:r>
        <w:rPr>
          <w:rFonts w:hint="eastAsia"/>
          <w:spacing w:val="10"/>
        </w:rPr>
        <w:t>―</w:t>
      </w:r>
      <w:r>
        <w:rPr>
          <w:rFonts w:hint="eastAsia"/>
        </w:rPr>
        <w:t>为包括内政部和检察署的工作人员以及医生在内的大批公共雇员举办了数十次关于儿童、妇女、残疾人和工人权利等问题的研讨会、讲习班和特别培训班。下面介绍部分实例。</w:t>
      </w:r>
    </w:p>
    <w:p w:rsidR="007234DD" w:rsidRDefault="007234DD">
      <w:pPr>
        <w:pStyle w:val="SingleTxtGC"/>
        <w:rPr>
          <w:rFonts w:hint="eastAsia"/>
        </w:rPr>
      </w:pPr>
      <w:r>
        <w:t xml:space="preserve">85.  </w:t>
      </w:r>
      <w:r>
        <w:rPr>
          <w:rFonts w:hint="eastAsia"/>
        </w:rPr>
        <w:t>最高家庭事务委员会为儿童事务工作人员举办了一些培训课程，介绍《儿童权利公约》的原则和条款以及如何在实际工作中适用它们。</w:t>
      </w:r>
      <w:r>
        <w:rPr>
          <w:rFonts w:hint="eastAsia"/>
        </w:rPr>
        <w:t>2004</w:t>
      </w:r>
      <w:r>
        <w:rPr>
          <w:rFonts w:hint="eastAsia"/>
        </w:rPr>
        <w:t>年，该委员会和人权高专办共同举办的一个课程，利用了身为联合国儿童权利委员会成员的一些阿拉伯专家的援助。</w:t>
      </w:r>
      <w:r>
        <w:rPr>
          <w:rFonts w:hint="eastAsia"/>
        </w:rPr>
        <w:t>2004</w:t>
      </w:r>
      <w:r>
        <w:rPr>
          <w:rFonts w:hint="eastAsia"/>
        </w:rPr>
        <w:t>年，向司法机关的</w:t>
      </w:r>
      <w:r>
        <w:rPr>
          <w:rFonts w:hint="eastAsia"/>
        </w:rPr>
        <w:t>35</w:t>
      </w:r>
      <w:r>
        <w:rPr>
          <w:rFonts w:hint="eastAsia"/>
        </w:rPr>
        <w:t>名人员和</w:t>
      </w:r>
      <w:r>
        <w:rPr>
          <w:rFonts w:hint="eastAsia"/>
        </w:rPr>
        <w:t>50</w:t>
      </w:r>
      <w:r>
        <w:rPr>
          <w:rFonts w:hint="eastAsia"/>
        </w:rPr>
        <w:t>名儿科医生提供了培训。</w:t>
      </w:r>
      <w:r>
        <w:rPr>
          <w:rFonts w:hint="eastAsia"/>
        </w:rPr>
        <w:t>2005</w:t>
      </w:r>
      <w:r>
        <w:rPr>
          <w:rFonts w:hint="eastAsia"/>
        </w:rPr>
        <w:t>年，向来自警察局、检察署、青少年法庭和劳动监察局的</w:t>
      </w:r>
      <w:r>
        <w:rPr>
          <w:rFonts w:hint="eastAsia"/>
        </w:rPr>
        <w:t>30</w:t>
      </w:r>
      <w:r>
        <w:rPr>
          <w:rFonts w:hint="eastAsia"/>
        </w:rPr>
        <w:t>名雇员提供了培训。</w:t>
      </w:r>
      <w:r>
        <w:rPr>
          <w:rFonts w:hint="eastAsia"/>
        </w:rPr>
        <w:t>2006</w:t>
      </w:r>
      <w:r>
        <w:rPr>
          <w:rFonts w:hint="eastAsia"/>
        </w:rPr>
        <w:t>年对</w:t>
      </w:r>
      <w:r>
        <w:rPr>
          <w:rFonts w:hint="eastAsia"/>
        </w:rPr>
        <w:t>35</w:t>
      </w:r>
      <w:r>
        <w:rPr>
          <w:rFonts w:hint="eastAsia"/>
        </w:rPr>
        <w:t>名教育工作者进行了培训，</w:t>
      </w:r>
      <w:r>
        <w:rPr>
          <w:rFonts w:hint="eastAsia"/>
        </w:rPr>
        <w:t>2008</w:t>
      </w:r>
      <w:r>
        <w:rPr>
          <w:rFonts w:hint="eastAsia"/>
        </w:rPr>
        <w:t>年向一批清真寺的阿訇提供了培训。</w:t>
      </w:r>
      <w:r>
        <w:rPr>
          <w:rFonts w:hint="eastAsia"/>
        </w:rPr>
        <w:t>2009</w:t>
      </w:r>
      <w:r>
        <w:rPr>
          <w:rFonts w:hint="eastAsia"/>
        </w:rPr>
        <w:t>年，来自武装部队和内政部的一批人员接受了与联合国儿童基金会</w:t>
      </w:r>
      <w:r>
        <w:rPr>
          <w:rFonts w:hint="eastAsia"/>
        </w:rPr>
        <w:t>(</w:t>
      </w:r>
      <w:r>
        <w:rPr>
          <w:rFonts w:hint="eastAsia"/>
        </w:rPr>
        <w:t>儿基会</w:t>
      </w:r>
      <w:r>
        <w:rPr>
          <w:rFonts w:hint="eastAsia"/>
        </w:rPr>
        <w:t>)</w:t>
      </w:r>
      <w:r>
        <w:rPr>
          <w:rFonts w:hint="eastAsia"/>
        </w:rPr>
        <w:t>联合举办的培训。最高家庭事务委员会于</w:t>
      </w:r>
      <w:r>
        <w:rPr>
          <w:rFonts w:hint="eastAsia"/>
        </w:rPr>
        <w:t>2008</w:t>
      </w:r>
      <w:r>
        <w:rPr>
          <w:rFonts w:hint="eastAsia"/>
        </w:rPr>
        <w:t>年</w:t>
      </w:r>
      <w:r>
        <w:rPr>
          <w:rFonts w:hint="eastAsia"/>
        </w:rPr>
        <w:t>11</w:t>
      </w:r>
      <w:r>
        <w:rPr>
          <w:rFonts w:hint="eastAsia"/>
        </w:rPr>
        <w:t>月举办了一次题为“对妇女的暴力及其对家庭的影响”的会议。此外，还为新闻界人员和国家各部委的工作人员举办了一些关于《公约》的培训班。</w:t>
      </w:r>
    </w:p>
    <w:p w:rsidR="007234DD" w:rsidRDefault="007234DD">
      <w:pPr>
        <w:pStyle w:val="SingleTxtGC"/>
      </w:pPr>
      <w:r>
        <w:t xml:space="preserve">86.  </w:t>
      </w:r>
      <w:r>
        <w:rPr>
          <w:rFonts w:hint="eastAsia"/>
        </w:rPr>
        <w:t>卡塔尔打击人口贩运基金会与内政部协同配合，培训了一些警官，特别是从事移民、护照和边境管制服务的警官。参加人员由其所在单位提名接受培训，以增进其下列领域的知识：人口贩运</w:t>
      </w:r>
      <w:r>
        <w:rPr>
          <w:rFonts w:hint="eastAsia"/>
          <w:spacing w:val="-50"/>
        </w:rPr>
        <w:t>―</w:t>
      </w:r>
      <w:r>
        <w:rPr>
          <w:rFonts w:hint="eastAsia"/>
          <w:spacing w:val="10"/>
        </w:rPr>
        <w:t>―</w:t>
      </w:r>
      <w:r>
        <w:rPr>
          <w:rFonts w:hint="eastAsia"/>
        </w:rPr>
        <w:t>根源以及如何打击这种现象；关于人口贩运和保护受害者的法律和议定书；确定受害者的技术；将受害者作为受害者而不是嫌疑人或罪犯对待的需要；以及妇女和儿童的特殊需要。该基金会举办了一些旨在使国内治安部队的男女队员熟悉关于保护人口贩运受害者的国际条约和法律的培训班。</w:t>
      </w:r>
      <w:r>
        <w:rPr>
          <w:rFonts w:hint="eastAsia"/>
        </w:rPr>
        <w:t>2007</w:t>
      </w:r>
      <w:r>
        <w:rPr>
          <w:rFonts w:hint="eastAsia"/>
        </w:rPr>
        <w:t>年，该基金会为从事收集犯罪证据和刑侦工作的</w:t>
      </w:r>
      <w:r>
        <w:rPr>
          <w:rFonts w:hint="eastAsia"/>
        </w:rPr>
        <w:t>25</w:t>
      </w:r>
      <w:r>
        <w:rPr>
          <w:rFonts w:hint="eastAsia"/>
        </w:rPr>
        <w:t>名警官举办了培训班。这些警官来自内政部设在卡塔尔各地的警察局。打击人口贩运基金会还为警务人员举办了一次关于处理虐待和暴力受害儿童和妇女问题的培训班。该培训班于</w:t>
      </w:r>
      <w:smartTag w:uri="urn:schemas-microsoft-com:office:smarttags" w:element="chsdate">
        <w:smartTagPr>
          <w:attr w:name="Year" w:val="2008"/>
          <w:attr w:name="Month" w:val="10"/>
          <w:attr w:name="Day" w:val="15"/>
          <w:attr w:name="IsLunarDate" w:val="False"/>
          <w:attr w:name="IsROCDate" w:val="False"/>
        </w:smartTagPr>
        <w:r>
          <w:rPr>
            <w:rFonts w:hint="eastAsia"/>
          </w:rPr>
          <w:t>2008</w:t>
        </w:r>
        <w:r>
          <w:rPr>
            <w:rFonts w:hint="eastAsia"/>
          </w:rPr>
          <w:t>年</w:t>
        </w:r>
        <w:r>
          <w:rPr>
            <w:rFonts w:hint="eastAsia"/>
          </w:rPr>
          <w:t>10</w:t>
        </w:r>
        <w:r>
          <w:rPr>
            <w:rFonts w:hint="eastAsia"/>
          </w:rPr>
          <w:t>月</w:t>
        </w:r>
        <w:r>
          <w:rPr>
            <w:rFonts w:hint="eastAsia"/>
          </w:rPr>
          <w:t>15</w:t>
        </w:r>
        <w:r>
          <w:rPr>
            <w:rFonts w:hint="eastAsia"/>
          </w:rPr>
          <w:t>日</w:t>
        </w:r>
      </w:smartTag>
      <w:r>
        <w:rPr>
          <w:rFonts w:hint="eastAsia"/>
        </w:rPr>
        <w:t>举办，有来自卡塔尔各部门的</w:t>
      </w:r>
      <w:r>
        <w:rPr>
          <w:rFonts w:hint="eastAsia"/>
        </w:rPr>
        <w:t>43</w:t>
      </w:r>
      <w:r>
        <w:rPr>
          <w:rFonts w:hint="eastAsia"/>
        </w:rPr>
        <w:t>人</w:t>
      </w:r>
      <w:r>
        <w:rPr>
          <w:rFonts w:hint="eastAsia"/>
        </w:rPr>
        <w:t>(</w:t>
      </w:r>
      <w:r>
        <w:rPr>
          <w:rFonts w:hint="eastAsia"/>
        </w:rPr>
        <w:t>副官、军士长、下士和中士</w:t>
      </w:r>
      <w:r>
        <w:rPr>
          <w:rFonts w:hint="eastAsia"/>
        </w:rPr>
        <w:t>)</w:t>
      </w:r>
      <w:r>
        <w:rPr>
          <w:rFonts w:hint="eastAsia"/>
        </w:rPr>
        <w:t>参加。</w:t>
      </w:r>
    </w:p>
    <w:p w:rsidR="007234DD" w:rsidRDefault="007234DD">
      <w:pPr>
        <w:pStyle w:val="SingleTxtGC"/>
        <w:rPr>
          <w:rFonts w:hint="eastAsia"/>
        </w:rPr>
      </w:pPr>
      <w:r>
        <w:t xml:space="preserve">87.  </w:t>
      </w:r>
      <w:r>
        <w:rPr>
          <w:rFonts w:hint="eastAsia"/>
        </w:rPr>
        <w:t>卡塔尔保护儿童和妇女基金会举办了</w:t>
      </w:r>
      <w:r>
        <w:rPr>
          <w:rFonts w:hint="eastAsia"/>
        </w:rPr>
        <w:t>11</w:t>
      </w:r>
      <w:r>
        <w:rPr>
          <w:rFonts w:hint="eastAsia"/>
        </w:rPr>
        <w:t>期培训班</w:t>
      </w:r>
      <w:r>
        <w:rPr>
          <w:rFonts w:hint="eastAsia"/>
          <w:spacing w:val="-50"/>
        </w:rPr>
        <w:t>―</w:t>
      </w:r>
      <w:r>
        <w:rPr>
          <w:rFonts w:hint="eastAsia"/>
          <w:spacing w:val="10"/>
        </w:rPr>
        <w:t>―</w:t>
      </w:r>
      <w:r>
        <w:rPr>
          <w:rFonts w:hint="eastAsia"/>
        </w:rPr>
        <w:t>10</w:t>
      </w:r>
      <w:r>
        <w:rPr>
          <w:rFonts w:hint="eastAsia"/>
        </w:rPr>
        <w:t>期在卡塔尔，</w:t>
      </w:r>
      <w:r>
        <w:rPr>
          <w:rFonts w:hint="eastAsia"/>
        </w:rPr>
        <w:t>1</w:t>
      </w:r>
      <w:r>
        <w:rPr>
          <w:rFonts w:hint="eastAsia"/>
        </w:rPr>
        <w:t>期在国外。其中</w:t>
      </w:r>
      <w:r>
        <w:rPr>
          <w:rFonts w:hint="eastAsia"/>
        </w:rPr>
        <w:t>7</w:t>
      </w:r>
      <w:r>
        <w:rPr>
          <w:rFonts w:hint="eastAsia"/>
        </w:rPr>
        <w:t>期面向教育机构人员，有</w:t>
      </w:r>
      <w:r>
        <w:rPr>
          <w:rFonts w:hint="eastAsia"/>
        </w:rPr>
        <w:t>315</w:t>
      </w:r>
      <w:r>
        <w:rPr>
          <w:rFonts w:hint="eastAsia"/>
        </w:rPr>
        <w:t>人参加。</w:t>
      </w:r>
      <w:r>
        <w:rPr>
          <w:rFonts w:hint="eastAsia"/>
        </w:rPr>
        <w:t>5</w:t>
      </w:r>
      <w:r>
        <w:rPr>
          <w:rFonts w:hint="eastAsia"/>
        </w:rPr>
        <w:t>期面向安全机构人员，有</w:t>
      </w:r>
      <w:r>
        <w:rPr>
          <w:rFonts w:hint="eastAsia"/>
        </w:rPr>
        <w:t>190</w:t>
      </w:r>
      <w:r>
        <w:rPr>
          <w:rFonts w:hint="eastAsia"/>
        </w:rPr>
        <w:t>人参加。</w:t>
      </w:r>
      <w:r>
        <w:rPr>
          <w:rFonts w:hint="eastAsia"/>
        </w:rPr>
        <w:t>5</w:t>
      </w:r>
      <w:r>
        <w:rPr>
          <w:rFonts w:hint="eastAsia"/>
        </w:rPr>
        <w:t>期面向卫生工作者，有</w:t>
      </w:r>
      <w:r>
        <w:rPr>
          <w:rFonts w:hint="eastAsia"/>
        </w:rPr>
        <w:t>213</w:t>
      </w:r>
      <w:r>
        <w:rPr>
          <w:rFonts w:hint="eastAsia"/>
        </w:rPr>
        <w:t>人参加。这些人员接受了关于如何鉴别虐待和暴力案件和关于处理受害者问题所需要的技能的培训。此外还提供了信息，以提高人们对有关法律、立法和国际条约的认识。在国外举办的培训班有来自各个部委、中心、政府和非政府机构的</w:t>
      </w:r>
      <w:r>
        <w:rPr>
          <w:rFonts w:hint="eastAsia"/>
        </w:rPr>
        <w:t>37</w:t>
      </w:r>
      <w:r>
        <w:rPr>
          <w:rFonts w:hint="eastAsia"/>
        </w:rPr>
        <w:t>人参加。这次培训在约旦哈希姆王国举办。保护儿童和妇女基金会在那里推出了心理治疗和精神康复方案</w:t>
      </w:r>
      <w:r>
        <w:rPr>
          <w:rFonts w:hint="eastAsia"/>
        </w:rPr>
        <w:t>(</w:t>
      </w:r>
      <w:r>
        <w:rPr>
          <w:rFonts w:hint="eastAsia"/>
        </w:rPr>
        <w:t>“改变你的生活”</w:t>
      </w:r>
      <w:r>
        <w:rPr>
          <w:rFonts w:hint="eastAsia"/>
        </w:rPr>
        <w:t>)</w:t>
      </w:r>
      <w:r>
        <w:rPr>
          <w:rFonts w:hint="eastAsia"/>
        </w:rPr>
        <w:t>。作为该方案的一部分，</w:t>
      </w:r>
      <w:r>
        <w:rPr>
          <w:rFonts w:hint="eastAsia"/>
        </w:rPr>
        <w:t>2010</w:t>
      </w:r>
      <w:r>
        <w:rPr>
          <w:rFonts w:hint="eastAsia"/>
        </w:rPr>
        <w:t>年</w:t>
      </w:r>
      <w:r>
        <w:rPr>
          <w:rFonts w:hint="eastAsia"/>
        </w:rPr>
        <w:t>4</w:t>
      </w:r>
      <w:r>
        <w:rPr>
          <w:rFonts w:hint="eastAsia"/>
        </w:rPr>
        <w:t>月开展了一次反对性暴力运动</w:t>
      </w:r>
      <w:r>
        <w:rPr>
          <w:rFonts w:hint="eastAsia"/>
        </w:rPr>
        <w:t>(</w:t>
      </w:r>
      <w:r>
        <w:rPr>
          <w:rFonts w:hint="eastAsia"/>
        </w:rPr>
        <w:t>“不再沉默”</w:t>
      </w:r>
      <w:r>
        <w:rPr>
          <w:rFonts w:hint="eastAsia"/>
        </w:rPr>
        <w:t>)</w:t>
      </w:r>
    </w:p>
    <w:p w:rsidR="007234DD" w:rsidRDefault="007234DD">
      <w:pPr>
        <w:pStyle w:val="SingleTxtGC"/>
        <w:rPr>
          <w:rFonts w:hint="eastAsia"/>
        </w:rPr>
      </w:pPr>
      <w:r>
        <w:t xml:space="preserve">88.  </w:t>
      </w:r>
      <w:r>
        <w:rPr>
          <w:rFonts w:hint="eastAsia"/>
        </w:rPr>
        <w:t>卡塔尔保护儿童和妇女基金会为卫生工作者举办了关于如何处理虐待和暴力问题的培训班。该培训班于</w:t>
      </w:r>
      <w:smartTag w:uri="urn:schemas-microsoft-com:office:smarttags" w:element="chsdate">
        <w:smartTagPr>
          <w:attr w:name="Year" w:val="2008"/>
          <w:attr w:name="Month" w:val="6"/>
          <w:attr w:name="Day" w:val="8"/>
          <w:attr w:name="IsLunarDate" w:val="False"/>
          <w:attr w:name="IsROCDate" w:val="False"/>
        </w:smartTagPr>
        <w:r>
          <w:rPr>
            <w:rFonts w:hint="eastAsia"/>
          </w:rPr>
          <w:t>2008</w:t>
        </w:r>
        <w:r>
          <w:rPr>
            <w:rFonts w:hint="eastAsia"/>
          </w:rPr>
          <w:t>年</w:t>
        </w:r>
        <w:r>
          <w:rPr>
            <w:rFonts w:hint="eastAsia"/>
          </w:rPr>
          <w:t>6</w:t>
        </w:r>
        <w:r>
          <w:rPr>
            <w:rFonts w:hint="eastAsia"/>
          </w:rPr>
          <w:t>月</w:t>
        </w:r>
        <w:r>
          <w:rPr>
            <w:rFonts w:hint="eastAsia"/>
          </w:rPr>
          <w:t>8</w:t>
        </w:r>
        <w:r>
          <w:rPr>
            <w:rFonts w:hint="eastAsia"/>
          </w:rPr>
          <w:t>日</w:t>
        </w:r>
      </w:smartTag>
      <w:r>
        <w:rPr>
          <w:rFonts w:hint="eastAsia"/>
        </w:rPr>
        <w:t>至</w:t>
      </w:r>
      <w:r>
        <w:rPr>
          <w:rFonts w:hint="eastAsia"/>
        </w:rPr>
        <w:t>10</w:t>
      </w:r>
      <w:r>
        <w:rPr>
          <w:rFonts w:hint="eastAsia"/>
        </w:rPr>
        <w:t>日举办，面向初级保健部门的护士，有</w:t>
      </w:r>
      <w:r>
        <w:rPr>
          <w:rFonts w:hint="eastAsia"/>
        </w:rPr>
        <w:t>48</w:t>
      </w:r>
      <w:r>
        <w:rPr>
          <w:rFonts w:hint="eastAsia"/>
        </w:rPr>
        <w:t>名护士参加。保护儿童和妇女基金会还于</w:t>
      </w:r>
      <w:smartTag w:uri="urn:schemas-microsoft-com:office:smarttags" w:element="chsdate">
        <w:smartTagPr>
          <w:attr w:name="Year" w:val="2008"/>
          <w:attr w:name="Month" w:val="10"/>
          <w:attr w:name="Day" w:val="15"/>
          <w:attr w:name="IsLunarDate" w:val="False"/>
          <w:attr w:name="IsROCDate" w:val="False"/>
        </w:smartTagPr>
        <w:r>
          <w:rPr>
            <w:rFonts w:hint="eastAsia"/>
          </w:rPr>
          <w:t>2008</w:t>
        </w:r>
        <w:r>
          <w:rPr>
            <w:rFonts w:hint="eastAsia"/>
          </w:rPr>
          <w:t>年</w:t>
        </w:r>
        <w:r>
          <w:rPr>
            <w:rFonts w:hint="eastAsia"/>
          </w:rPr>
          <w:t>10</w:t>
        </w:r>
        <w:r>
          <w:rPr>
            <w:rFonts w:hint="eastAsia"/>
          </w:rPr>
          <w:t>月</w:t>
        </w:r>
        <w:r>
          <w:rPr>
            <w:rFonts w:hint="eastAsia"/>
          </w:rPr>
          <w:t>15</w:t>
        </w:r>
        <w:r>
          <w:rPr>
            <w:rFonts w:hint="eastAsia"/>
          </w:rPr>
          <w:t>日</w:t>
        </w:r>
      </w:smartTag>
      <w:r>
        <w:rPr>
          <w:rFonts w:hint="eastAsia"/>
        </w:rPr>
        <w:t>举办了题为“虐待与心理健康”的讲习班。这次活动有</w:t>
      </w:r>
      <w:r>
        <w:rPr>
          <w:rFonts w:hint="eastAsia"/>
        </w:rPr>
        <w:t>63</w:t>
      </w:r>
      <w:r>
        <w:rPr>
          <w:rFonts w:hint="eastAsia"/>
        </w:rPr>
        <w:t>人参加。他们代表政府和半政府组织、民间社会组织和其他机构。</w:t>
      </w:r>
    </w:p>
    <w:p w:rsidR="007234DD" w:rsidRDefault="007234DD">
      <w:pPr>
        <w:pStyle w:val="SingleTxtGC"/>
        <w:rPr>
          <w:rFonts w:hint="eastAsia"/>
        </w:rPr>
      </w:pPr>
      <w:r>
        <w:t xml:space="preserve">89.  </w:t>
      </w:r>
      <w:r>
        <w:rPr>
          <w:rFonts w:hint="eastAsia"/>
        </w:rPr>
        <w:t>卡塔尔实施了许多将人权和妇女权利问题主流化的方案。发表了多份关于妇女权利的调研项目和研究报告，并举办了一些研讨会、讲习班和地方培训班。</w:t>
      </w:r>
    </w:p>
    <w:p w:rsidR="007234DD" w:rsidRDefault="007234DD">
      <w:pPr>
        <w:pStyle w:val="SingleTxtGC"/>
        <w:rPr>
          <w:rFonts w:hint="eastAsia"/>
        </w:rPr>
      </w:pPr>
      <w:r>
        <w:t xml:space="preserve">90.  </w:t>
      </w:r>
      <w:r>
        <w:rPr>
          <w:rFonts w:hint="eastAsia"/>
        </w:rPr>
        <w:t>国家人权委员会举办了人权培训和提高认识课程，其中包括于</w:t>
      </w:r>
      <w:r>
        <w:rPr>
          <w:rFonts w:hint="eastAsia"/>
        </w:rPr>
        <w:t>2009</w:t>
      </w:r>
      <w:r>
        <w:rPr>
          <w:rFonts w:hint="eastAsia"/>
        </w:rPr>
        <w:t>年</w:t>
      </w:r>
      <w:r>
        <w:rPr>
          <w:rFonts w:hint="eastAsia"/>
        </w:rPr>
        <w:t>2</w:t>
      </w:r>
      <w:r>
        <w:rPr>
          <w:rFonts w:hint="eastAsia"/>
        </w:rPr>
        <w:t>月举办的题为“国际人权法的基本原则”的课程以及于同月为执法人员举办的题为“相关国际人权条约”的课程。</w:t>
      </w:r>
      <w:r>
        <w:rPr>
          <w:rFonts w:hint="eastAsia"/>
        </w:rPr>
        <w:t>2009</w:t>
      </w:r>
      <w:r>
        <w:rPr>
          <w:rFonts w:hint="eastAsia"/>
        </w:rPr>
        <w:t>年</w:t>
      </w:r>
      <w:r>
        <w:rPr>
          <w:rFonts w:hint="eastAsia"/>
        </w:rPr>
        <w:t>3</w:t>
      </w:r>
      <w:r>
        <w:rPr>
          <w:rFonts w:hint="eastAsia"/>
        </w:rPr>
        <w:t>月，为清真寺的传教士和祷告领袖举办了题为“国际条约下的人权”的课程。</w:t>
      </w:r>
      <w:r>
        <w:rPr>
          <w:rFonts w:hint="eastAsia"/>
        </w:rPr>
        <w:t>2009</w:t>
      </w:r>
      <w:r>
        <w:rPr>
          <w:rFonts w:hint="eastAsia"/>
        </w:rPr>
        <w:t>年</w:t>
      </w:r>
      <w:r>
        <w:rPr>
          <w:rFonts w:hint="eastAsia"/>
        </w:rPr>
        <w:t>5</w:t>
      </w:r>
      <w:r>
        <w:rPr>
          <w:rFonts w:hint="eastAsia"/>
        </w:rPr>
        <w:t>月举办了一次题为“揭露真相”的宣传活动，以提高人们对于妇女和儿童权利的认识。</w:t>
      </w:r>
      <w:r>
        <w:rPr>
          <w:rFonts w:hint="eastAsia"/>
        </w:rPr>
        <w:t>2009</w:t>
      </w:r>
      <w:r>
        <w:rPr>
          <w:rFonts w:hint="eastAsia"/>
        </w:rPr>
        <w:t>年</w:t>
      </w:r>
      <w:r>
        <w:rPr>
          <w:rFonts w:hint="eastAsia"/>
        </w:rPr>
        <w:t>7</w:t>
      </w:r>
      <w:r>
        <w:rPr>
          <w:rFonts w:hint="eastAsia"/>
        </w:rPr>
        <w:t>月，举办了另一次活动，其目的是提高社会各部门人员对人权原则的认识。这次活动利用了一些现代宣传技术和所有各种媒体。</w:t>
      </w:r>
      <w:r>
        <w:rPr>
          <w:rFonts w:hint="eastAsia"/>
        </w:rPr>
        <w:t>2010</w:t>
      </w:r>
      <w:r>
        <w:rPr>
          <w:rFonts w:hint="eastAsia"/>
        </w:rPr>
        <w:t>年</w:t>
      </w:r>
      <w:r>
        <w:rPr>
          <w:rFonts w:hint="eastAsia"/>
        </w:rPr>
        <w:t>1</w:t>
      </w:r>
      <w:r>
        <w:rPr>
          <w:rFonts w:hint="eastAsia"/>
        </w:rPr>
        <w:t>月，举办了一次关于《公约》的培训课程，由负责起草卡塔尔报告的国家工作队参加。</w:t>
      </w:r>
      <w:r>
        <w:rPr>
          <w:rFonts w:hint="eastAsia"/>
        </w:rPr>
        <w:t>2010</w:t>
      </w:r>
      <w:r>
        <w:rPr>
          <w:rFonts w:hint="eastAsia"/>
        </w:rPr>
        <w:t>年，在超过</w:t>
      </w:r>
      <w:r>
        <w:rPr>
          <w:rFonts w:hint="eastAsia"/>
        </w:rPr>
        <w:t>16</w:t>
      </w:r>
      <w:r>
        <w:rPr>
          <w:rFonts w:hint="eastAsia"/>
        </w:rPr>
        <w:t>所学校举行了座谈会，以提高政治、宗教、文化、社会和经济权利意识。</w:t>
      </w:r>
    </w:p>
    <w:p w:rsidR="007234DD" w:rsidRDefault="007234DD">
      <w:pPr>
        <w:pStyle w:val="H23GC"/>
        <w:rPr>
          <w:rFonts w:hint="eastAsia"/>
        </w:rPr>
      </w:pPr>
      <w:r>
        <w:rPr>
          <w:rFonts w:hint="eastAsia"/>
        </w:rPr>
        <w:tab/>
      </w:r>
      <w:r>
        <w:rPr>
          <w:rFonts w:hint="eastAsia"/>
        </w:rPr>
        <w:tab/>
      </w:r>
      <w:r>
        <w:rPr>
          <w:rFonts w:hint="eastAsia"/>
        </w:rPr>
        <w:t>通过教育方案和国家媒体促进人权意识</w:t>
      </w:r>
    </w:p>
    <w:p w:rsidR="007234DD" w:rsidRDefault="007234DD">
      <w:pPr>
        <w:pStyle w:val="SingleTxtGC"/>
        <w:rPr>
          <w:rFonts w:hint="eastAsia"/>
        </w:rPr>
      </w:pPr>
      <w:r>
        <w:t xml:space="preserve">91.  </w:t>
      </w:r>
      <w:r>
        <w:rPr>
          <w:rFonts w:hint="eastAsia"/>
        </w:rPr>
        <w:t>人权概念已经以各种形式被纳入课程，在课内课外活动中作为单独的科目以及以图或图表的形式进行介绍。学校课程和课本包含政治、公民和经济权利、儿童和妇女权利、社会和文化权利以及老年人和残疾人权利等各种权利的材料。价值观教育课程旨在宣扬合作、同情、平等、仁爱、和平、宽容以及与尊重法律、良好公民、公民参与、诚实、正直和可靠等社会和公民责任有关的其他价值观。课程还宣扬尊重和保护卡塔尔文化遗产和环境的价值观。</w:t>
      </w:r>
    </w:p>
    <w:p w:rsidR="007234DD" w:rsidRDefault="007234DD">
      <w:pPr>
        <w:pStyle w:val="SingleTxtGC"/>
        <w:rPr>
          <w:rFonts w:hint="eastAsia"/>
        </w:rPr>
      </w:pPr>
      <w:r>
        <w:t xml:space="preserve">92.  </w:t>
      </w:r>
      <w:r>
        <w:rPr>
          <w:rFonts w:hint="eastAsia"/>
        </w:rPr>
        <w:t>最高家庭事务委员会与教育和高等教育部联合推出了一个方案，以在宣传《儿童权利公约》及增进学生对它的了解的举措背景下，在学校传播儿童权利文化。为监督该方案，成立了一个较高级别的委员会。其成员来自各个国家机构，即教育和高等教育部、最高家庭事务委员会和联合国教育、科学及文化组织</w:t>
      </w:r>
      <w:r>
        <w:rPr>
          <w:rFonts w:hint="eastAsia"/>
        </w:rPr>
        <w:t>(</w:t>
      </w:r>
      <w:r>
        <w:rPr>
          <w:rFonts w:hint="eastAsia"/>
        </w:rPr>
        <w:t>教科文组织</w:t>
      </w:r>
      <w:r>
        <w:rPr>
          <w:rFonts w:hint="eastAsia"/>
        </w:rPr>
        <w:t>)</w:t>
      </w:r>
      <w:r>
        <w:rPr>
          <w:rFonts w:hint="eastAsia"/>
        </w:rPr>
        <w:t>。该委员会与教科文组织合作，拟定了一项关于设计教学手册的国家行动计划，规定教学手册中应载有关于《儿童权利公约》所规定权利和原则的简要解释。教学手册中应有利用真实故事和彩图阐述儿童权利和侵犯儿童权利行为的插页。在该方案下，举办了一些讲习班，培训教师如何在课堂内和课外活动中使用这些手册。</w:t>
      </w:r>
    </w:p>
    <w:p w:rsidR="007234DD" w:rsidRDefault="007234DD">
      <w:pPr>
        <w:pStyle w:val="SingleTxtGC"/>
        <w:rPr>
          <w:rFonts w:hint="eastAsia"/>
        </w:rPr>
      </w:pPr>
      <w:r>
        <w:t xml:space="preserve">93.  </w:t>
      </w:r>
      <w:r>
        <w:rPr>
          <w:rFonts w:hint="eastAsia"/>
        </w:rPr>
        <w:t>在</w:t>
      </w:r>
      <w:r>
        <w:rPr>
          <w:rFonts w:hint="eastAsia"/>
        </w:rPr>
        <w:t>2008-2009</w:t>
      </w:r>
      <w:r>
        <w:rPr>
          <w:rFonts w:hint="eastAsia"/>
        </w:rPr>
        <w:t>年期间，最高家庭事务委员会、卡塔尔武装部队和儿基会联合推出了一项举措，将儿童权利主题列入军事学院和卡塔尔武装部队培训学院的课程。</w:t>
      </w:r>
    </w:p>
    <w:p w:rsidR="007234DD" w:rsidRDefault="007234DD">
      <w:pPr>
        <w:pStyle w:val="H1GC"/>
      </w:pPr>
      <w:r>
        <w:tab/>
        <w:t>E.</w:t>
      </w:r>
      <w:r>
        <w:tab/>
      </w:r>
      <w:r>
        <w:t>国家提供的发展援助</w:t>
      </w:r>
    </w:p>
    <w:p w:rsidR="007234DD" w:rsidRDefault="007234DD">
      <w:pPr>
        <w:pStyle w:val="SingleTxtGC"/>
        <w:rPr>
          <w:rFonts w:hint="eastAsia"/>
        </w:rPr>
      </w:pPr>
      <w:r>
        <w:t xml:space="preserve">94.  </w:t>
      </w:r>
      <w:r>
        <w:rPr>
          <w:rFonts w:hint="eastAsia"/>
        </w:rPr>
        <w:t>卡塔尔相当重视提供发展援助，这从埃米尔殿下发布的关于支持致力于人类发展的所有慈善工作和举措的一些指令中可以看出。在此基础上，卡塔尔向世界各地的发展中国家提供了发展援助，并为这些国家的一些发展目标的实现做出了贡献。卡塔尔提供发展援助不带偏见，不强加给受援国任何政治条件。援助具有灵活性，从政府及非政府组织获得援助的过程很简单。</w:t>
      </w:r>
    </w:p>
    <w:p w:rsidR="007234DD" w:rsidRDefault="007234DD">
      <w:pPr>
        <w:pStyle w:val="SingleTxtGC"/>
        <w:rPr>
          <w:rFonts w:hint="eastAsia"/>
        </w:rPr>
      </w:pPr>
      <w:r>
        <w:t xml:space="preserve">95.  </w:t>
      </w:r>
      <w:r>
        <w:rPr>
          <w:rFonts w:hint="eastAsia"/>
        </w:rPr>
        <w:t>在</w:t>
      </w:r>
      <w:r>
        <w:rPr>
          <w:rFonts w:hint="eastAsia"/>
        </w:rPr>
        <w:t>2005-2009</w:t>
      </w:r>
      <w:r>
        <w:rPr>
          <w:rFonts w:hint="eastAsia"/>
        </w:rPr>
        <w:t>年期间，卡塔尔提供了大约</w:t>
      </w:r>
      <w:r>
        <w:rPr>
          <w:rFonts w:hint="eastAsia"/>
        </w:rPr>
        <w:t>20.1</w:t>
      </w:r>
      <w:r>
        <w:rPr>
          <w:rFonts w:hint="eastAsia"/>
        </w:rPr>
        <w:t>亿美元的发展援助，平均占同期国内生产总值的</w:t>
      </w:r>
      <w:r>
        <w:rPr>
          <w:rFonts w:hint="eastAsia"/>
        </w:rPr>
        <w:t>0.49%</w:t>
      </w:r>
      <w:r>
        <w:rPr>
          <w:rFonts w:hint="eastAsia"/>
        </w:rPr>
        <w:t>。发展援助提供给了世界各地的国家，这一事实说明卡塔尔的捐助方与世界上不同处境、不同信仰体系和不同亲缘关系的各区域一起努力。</w:t>
      </w:r>
    </w:p>
    <w:p w:rsidR="007234DD" w:rsidRDefault="007234DD">
      <w:pPr>
        <w:pStyle w:val="SingleTxtGC"/>
      </w:pPr>
      <w:r>
        <w:br w:type="page"/>
      </w:r>
      <w:r>
        <w:rPr>
          <w:rFonts w:hint="eastAsia"/>
        </w:rPr>
        <w:t>表</w:t>
      </w:r>
      <w:r>
        <w:t>2</w:t>
      </w:r>
      <w:r>
        <w:rPr>
          <w:rFonts w:hint="eastAsia"/>
        </w:rPr>
        <w:br/>
      </w:r>
      <w:r>
        <w:rPr>
          <w:rFonts w:eastAsia="SimHei"/>
        </w:rPr>
        <w:t>2004–2008</w:t>
      </w:r>
      <w:r>
        <w:rPr>
          <w:rFonts w:eastAsia="SimHei"/>
        </w:rPr>
        <w:t>年期间卡塔尔国提供的援助</w:t>
      </w:r>
      <w:r>
        <w:rPr>
          <w:rFonts w:eastAsia="SimHei"/>
        </w:rPr>
        <w:t>(</w:t>
      </w:r>
      <w:r>
        <w:rPr>
          <w:rFonts w:eastAsia="SimHei"/>
        </w:rPr>
        <w:t>按美元计</w:t>
      </w:r>
      <w:r>
        <w:rPr>
          <w:rFonts w:eastAsia="SimHei"/>
        </w:rPr>
        <w:t>)</w:t>
      </w:r>
      <w:r>
        <w:rPr>
          <w:rFonts w:eastAsia="SimHei"/>
        </w:rPr>
        <w:t>的地域分布情况</w:t>
      </w:r>
    </w:p>
    <w:tbl>
      <w:tblPr>
        <w:tblW w:w="9637" w:type="dxa"/>
        <w:tblLayout w:type="fixed"/>
        <w:tblCellMar>
          <w:left w:w="0" w:type="dxa"/>
          <w:right w:w="0" w:type="dxa"/>
        </w:tblCellMar>
        <w:tblLook w:val="0000" w:firstRow="0" w:lastRow="0" w:firstColumn="0" w:lastColumn="0" w:noHBand="0" w:noVBand="0"/>
      </w:tblPr>
      <w:tblGrid>
        <w:gridCol w:w="1600"/>
        <w:gridCol w:w="1338"/>
        <w:gridCol w:w="1340"/>
        <w:gridCol w:w="1340"/>
        <w:gridCol w:w="1339"/>
        <w:gridCol w:w="1340"/>
        <w:gridCol w:w="1340"/>
      </w:tblGrid>
      <w:tr w:rsidR="007234DD">
        <w:trPr>
          <w:cantSplit/>
          <w:tblHeader/>
        </w:trPr>
        <w:tc>
          <w:tcPr>
            <w:tcW w:w="1601" w:type="dxa"/>
            <w:tcBorders>
              <w:top w:val="single" w:sz="4" w:space="0" w:color="auto"/>
              <w:bottom w:val="single" w:sz="12" w:space="0" w:color="auto"/>
            </w:tcBorders>
            <w:shd w:val="clear" w:color="auto" w:fill="auto"/>
            <w:vAlign w:val="bottom"/>
          </w:tcPr>
          <w:p w:rsidR="007234DD" w:rsidRDefault="007234DD">
            <w:pPr>
              <w:pStyle w:val="a0"/>
              <w:ind w:right="0"/>
              <w:rPr>
                <w:rtl/>
              </w:rPr>
            </w:pPr>
            <w:r>
              <w:t>受援方</w:t>
            </w:r>
          </w:p>
        </w:tc>
        <w:tc>
          <w:tcPr>
            <w:tcW w:w="1339" w:type="dxa"/>
            <w:tcBorders>
              <w:top w:val="single" w:sz="4" w:space="0" w:color="auto"/>
              <w:bottom w:val="single" w:sz="12" w:space="0" w:color="auto"/>
            </w:tcBorders>
            <w:shd w:val="clear" w:color="auto" w:fill="auto"/>
            <w:vAlign w:val="bottom"/>
          </w:tcPr>
          <w:p w:rsidR="007234DD" w:rsidRDefault="007234DD">
            <w:pPr>
              <w:pStyle w:val="a0"/>
              <w:ind w:right="0"/>
              <w:jc w:val="right"/>
            </w:pPr>
            <w:r>
              <w:t>2004</w:t>
            </w:r>
            <w:r>
              <w:t>年</w:t>
            </w:r>
          </w:p>
        </w:tc>
        <w:tc>
          <w:tcPr>
            <w:tcW w:w="1340" w:type="dxa"/>
            <w:tcBorders>
              <w:top w:val="single" w:sz="4" w:space="0" w:color="auto"/>
              <w:bottom w:val="single" w:sz="12" w:space="0" w:color="auto"/>
            </w:tcBorders>
            <w:shd w:val="clear" w:color="auto" w:fill="auto"/>
            <w:vAlign w:val="bottom"/>
          </w:tcPr>
          <w:p w:rsidR="007234DD" w:rsidRDefault="007234DD">
            <w:pPr>
              <w:pStyle w:val="a0"/>
              <w:ind w:right="0"/>
              <w:jc w:val="right"/>
            </w:pPr>
            <w:r>
              <w:t>2005</w:t>
            </w:r>
            <w:r>
              <w:t>年</w:t>
            </w:r>
          </w:p>
        </w:tc>
        <w:tc>
          <w:tcPr>
            <w:tcW w:w="1340" w:type="dxa"/>
            <w:tcBorders>
              <w:top w:val="single" w:sz="4" w:space="0" w:color="auto"/>
              <w:bottom w:val="single" w:sz="12" w:space="0" w:color="auto"/>
            </w:tcBorders>
            <w:shd w:val="clear" w:color="auto" w:fill="auto"/>
            <w:vAlign w:val="bottom"/>
          </w:tcPr>
          <w:p w:rsidR="007234DD" w:rsidRDefault="007234DD">
            <w:pPr>
              <w:pStyle w:val="a0"/>
              <w:ind w:right="0"/>
              <w:jc w:val="right"/>
            </w:pPr>
            <w:r>
              <w:t>2006</w:t>
            </w:r>
            <w:r>
              <w:t>年</w:t>
            </w:r>
          </w:p>
        </w:tc>
        <w:tc>
          <w:tcPr>
            <w:tcW w:w="1339" w:type="dxa"/>
            <w:tcBorders>
              <w:top w:val="single" w:sz="4" w:space="0" w:color="auto"/>
              <w:bottom w:val="single" w:sz="12" w:space="0" w:color="auto"/>
            </w:tcBorders>
            <w:shd w:val="clear" w:color="auto" w:fill="auto"/>
            <w:vAlign w:val="bottom"/>
          </w:tcPr>
          <w:p w:rsidR="007234DD" w:rsidRDefault="007234DD">
            <w:pPr>
              <w:pStyle w:val="a0"/>
              <w:ind w:right="0"/>
              <w:jc w:val="right"/>
            </w:pPr>
            <w:r>
              <w:t>2007</w:t>
            </w:r>
            <w:r>
              <w:t>年</w:t>
            </w:r>
          </w:p>
        </w:tc>
        <w:tc>
          <w:tcPr>
            <w:tcW w:w="1340" w:type="dxa"/>
            <w:tcBorders>
              <w:top w:val="single" w:sz="4" w:space="0" w:color="auto"/>
              <w:bottom w:val="single" w:sz="12" w:space="0" w:color="auto"/>
            </w:tcBorders>
            <w:shd w:val="clear" w:color="auto" w:fill="auto"/>
            <w:vAlign w:val="bottom"/>
          </w:tcPr>
          <w:p w:rsidR="007234DD" w:rsidRDefault="007234DD">
            <w:pPr>
              <w:pStyle w:val="a0"/>
              <w:ind w:right="0"/>
              <w:jc w:val="right"/>
            </w:pPr>
            <w:r>
              <w:t>2008</w:t>
            </w:r>
            <w:r>
              <w:t>年</w:t>
            </w:r>
          </w:p>
        </w:tc>
        <w:tc>
          <w:tcPr>
            <w:tcW w:w="1340" w:type="dxa"/>
            <w:tcBorders>
              <w:top w:val="single" w:sz="4" w:space="0" w:color="auto"/>
              <w:bottom w:val="single" w:sz="12" w:space="0" w:color="auto"/>
            </w:tcBorders>
            <w:shd w:val="clear" w:color="auto" w:fill="auto"/>
            <w:vAlign w:val="bottom"/>
          </w:tcPr>
          <w:p w:rsidR="007234DD" w:rsidRDefault="007234DD">
            <w:pPr>
              <w:pStyle w:val="a0"/>
              <w:ind w:right="0"/>
              <w:jc w:val="right"/>
              <w:rPr>
                <w:b/>
                <w:rtl/>
              </w:rPr>
            </w:pPr>
            <w:r>
              <w:rPr>
                <w:b/>
              </w:rPr>
              <w:t>合计</w:t>
            </w:r>
          </w:p>
        </w:tc>
      </w:tr>
      <w:tr w:rsidR="007234DD">
        <w:trPr>
          <w:cantSplit/>
          <w:trHeight w:val="53"/>
        </w:trPr>
        <w:tc>
          <w:tcPr>
            <w:tcW w:w="1601" w:type="dxa"/>
            <w:tcBorders>
              <w:top w:val="single" w:sz="12" w:space="0" w:color="auto"/>
            </w:tcBorders>
            <w:shd w:val="clear" w:color="auto" w:fill="auto"/>
          </w:tcPr>
          <w:p w:rsidR="007234DD" w:rsidRDefault="007234DD">
            <w:pPr>
              <w:pStyle w:val="a5"/>
              <w:rPr>
                <w:szCs w:val="18"/>
                <w:rtl/>
              </w:rPr>
            </w:pPr>
            <w:r>
              <w:rPr>
                <w:rFonts w:hint="eastAsia"/>
                <w:szCs w:val="18"/>
              </w:rPr>
              <w:t>阿拉伯国家</w:t>
            </w:r>
          </w:p>
        </w:tc>
        <w:tc>
          <w:tcPr>
            <w:tcW w:w="1339" w:type="dxa"/>
            <w:tcBorders>
              <w:top w:val="single" w:sz="12" w:space="0" w:color="auto"/>
            </w:tcBorders>
            <w:shd w:val="clear" w:color="auto" w:fill="auto"/>
          </w:tcPr>
          <w:p w:rsidR="007234DD" w:rsidRDefault="007234DD">
            <w:pPr>
              <w:pStyle w:val="a5"/>
              <w:ind w:right="0"/>
              <w:jc w:val="right"/>
              <w:rPr>
                <w:szCs w:val="18"/>
              </w:rPr>
            </w:pPr>
            <w:r>
              <w:rPr>
                <w:szCs w:val="18"/>
              </w:rPr>
              <w:t>54,070,359</w:t>
            </w:r>
          </w:p>
        </w:tc>
        <w:tc>
          <w:tcPr>
            <w:tcW w:w="1340" w:type="dxa"/>
            <w:tcBorders>
              <w:top w:val="single" w:sz="12" w:space="0" w:color="auto"/>
            </w:tcBorders>
            <w:shd w:val="clear" w:color="auto" w:fill="auto"/>
          </w:tcPr>
          <w:p w:rsidR="007234DD" w:rsidRDefault="007234DD">
            <w:pPr>
              <w:pStyle w:val="a5"/>
              <w:ind w:right="0"/>
              <w:jc w:val="right"/>
              <w:rPr>
                <w:szCs w:val="18"/>
              </w:rPr>
            </w:pPr>
            <w:r>
              <w:rPr>
                <w:szCs w:val="18"/>
              </w:rPr>
              <w:t>100,898,280</w:t>
            </w:r>
          </w:p>
        </w:tc>
        <w:tc>
          <w:tcPr>
            <w:tcW w:w="1340" w:type="dxa"/>
            <w:tcBorders>
              <w:top w:val="single" w:sz="12" w:space="0" w:color="auto"/>
            </w:tcBorders>
            <w:shd w:val="clear" w:color="auto" w:fill="auto"/>
          </w:tcPr>
          <w:p w:rsidR="007234DD" w:rsidRDefault="007234DD">
            <w:pPr>
              <w:pStyle w:val="a5"/>
              <w:ind w:right="0"/>
              <w:jc w:val="right"/>
              <w:rPr>
                <w:szCs w:val="18"/>
              </w:rPr>
            </w:pPr>
            <w:r>
              <w:rPr>
                <w:szCs w:val="18"/>
              </w:rPr>
              <w:t>449,763,622</w:t>
            </w:r>
          </w:p>
        </w:tc>
        <w:tc>
          <w:tcPr>
            <w:tcW w:w="1339" w:type="dxa"/>
            <w:tcBorders>
              <w:top w:val="single" w:sz="12" w:space="0" w:color="auto"/>
            </w:tcBorders>
            <w:shd w:val="clear" w:color="auto" w:fill="auto"/>
          </w:tcPr>
          <w:p w:rsidR="007234DD" w:rsidRDefault="007234DD">
            <w:pPr>
              <w:pStyle w:val="a5"/>
              <w:ind w:right="0"/>
              <w:jc w:val="right"/>
              <w:rPr>
                <w:szCs w:val="18"/>
              </w:rPr>
            </w:pPr>
            <w:r>
              <w:rPr>
                <w:szCs w:val="18"/>
              </w:rPr>
              <w:t>284,828,766</w:t>
            </w:r>
          </w:p>
        </w:tc>
        <w:tc>
          <w:tcPr>
            <w:tcW w:w="1340" w:type="dxa"/>
            <w:tcBorders>
              <w:top w:val="single" w:sz="12" w:space="0" w:color="auto"/>
            </w:tcBorders>
            <w:shd w:val="clear" w:color="auto" w:fill="auto"/>
          </w:tcPr>
          <w:p w:rsidR="007234DD" w:rsidRDefault="007234DD">
            <w:pPr>
              <w:pStyle w:val="a5"/>
              <w:ind w:right="0"/>
              <w:jc w:val="right"/>
              <w:rPr>
                <w:szCs w:val="18"/>
              </w:rPr>
            </w:pPr>
            <w:r>
              <w:rPr>
                <w:szCs w:val="18"/>
              </w:rPr>
              <w:t>262,692,874</w:t>
            </w:r>
          </w:p>
        </w:tc>
        <w:tc>
          <w:tcPr>
            <w:tcW w:w="1340" w:type="dxa"/>
            <w:tcBorders>
              <w:top w:val="single" w:sz="12" w:space="0" w:color="auto"/>
            </w:tcBorders>
            <w:shd w:val="clear" w:color="auto" w:fill="auto"/>
          </w:tcPr>
          <w:p w:rsidR="007234DD" w:rsidRDefault="007234DD">
            <w:pPr>
              <w:pStyle w:val="a5"/>
              <w:ind w:right="0"/>
              <w:jc w:val="right"/>
              <w:rPr>
                <w:b/>
                <w:szCs w:val="18"/>
              </w:rPr>
            </w:pPr>
            <w:r>
              <w:rPr>
                <w:b/>
                <w:szCs w:val="18"/>
              </w:rPr>
              <w:t>1,153,253,900</w:t>
            </w:r>
          </w:p>
        </w:tc>
      </w:tr>
      <w:tr w:rsidR="007234DD">
        <w:trPr>
          <w:cantSplit/>
          <w:trHeight w:val="76"/>
        </w:trPr>
        <w:tc>
          <w:tcPr>
            <w:tcW w:w="1601" w:type="dxa"/>
            <w:shd w:val="clear" w:color="auto" w:fill="auto"/>
          </w:tcPr>
          <w:p w:rsidR="007234DD" w:rsidRDefault="007234DD">
            <w:pPr>
              <w:pStyle w:val="a5"/>
              <w:rPr>
                <w:rFonts w:hint="eastAsia"/>
                <w:szCs w:val="18"/>
                <w:rtl/>
              </w:rPr>
            </w:pPr>
            <w:r>
              <w:rPr>
                <w:rFonts w:hint="eastAsia"/>
                <w:szCs w:val="18"/>
              </w:rPr>
              <w:t>美洲</w:t>
            </w:r>
          </w:p>
        </w:tc>
        <w:tc>
          <w:tcPr>
            <w:tcW w:w="1339" w:type="dxa"/>
            <w:shd w:val="clear" w:color="auto" w:fill="auto"/>
          </w:tcPr>
          <w:p w:rsidR="007234DD" w:rsidRDefault="007234DD">
            <w:pPr>
              <w:pStyle w:val="a5"/>
              <w:ind w:right="0"/>
              <w:jc w:val="right"/>
              <w:rPr>
                <w:szCs w:val="18"/>
              </w:rPr>
            </w:pPr>
            <w:r>
              <w:rPr>
                <w:szCs w:val="18"/>
              </w:rPr>
              <w:t>351,360</w:t>
            </w:r>
          </w:p>
        </w:tc>
        <w:tc>
          <w:tcPr>
            <w:tcW w:w="1340" w:type="dxa"/>
            <w:shd w:val="clear" w:color="auto" w:fill="auto"/>
          </w:tcPr>
          <w:p w:rsidR="007234DD" w:rsidRDefault="007234DD">
            <w:pPr>
              <w:pStyle w:val="a5"/>
              <w:ind w:right="0"/>
              <w:jc w:val="right"/>
              <w:rPr>
                <w:szCs w:val="18"/>
              </w:rPr>
            </w:pPr>
            <w:r>
              <w:rPr>
                <w:szCs w:val="18"/>
              </w:rPr>
              <w:t>4,530,000</w:t>
            </w:r>
          </w:p>
        </w:tc>
        <w:tc>
          <w:tcPr>
            <w:tcW w:w="1340" w:type="dxa"/>
            <w:shd w:val="clear" w:color="auto" w:fill="auto"/>
          </w:tcPr>
          <w:p w:rsidR="007234DD" w:rsidRDefault="007234DD">
            <w:pPr>
              <w:pStyle w:val="a5"/>
              <w:ind w:right="0"/>
              <w:jc w:val="right"/>
              <w:rPr>
                <w:szCs w:val="18"/>
              </w:rPr>
            </w:pPr>
            <w:r>
              <w:rPr>
                <w:szCs w:val="18"/>
              </w:rPr>
              <w:t>62,797,026</w:t>
            </w:r>
          </w:p>
        </w:tc>
        <w:tc>
          <w:tcPr>
            <w:tcW w:w="1339" w:type="dxa"/>
            <w:shd w:val="clear" w:color="auto" w:fill="auto"/>
          </w:tcPr>
          <w:p w:rsidR="007234DD" w:rsidRDefault="007234DD">
            <w:pPr>
              <w:pStyle w:val="a5"/>
              <w:ind w:right="0"/>
              <w:jc w:val="right"/>
              <w:rPr>
                <w:szCs w:val="18"/>
              </w:rPr>
            </w:pPr>
            <w:r>
              <w:rPr>
                <w:szCs w:val="18"/>
              </w:rPr>
              <w:t>37,819,540</w:t>
            </w:r>
          </w:p>
        </w:tc>
        <w:tc>
          <w:tcPr>
            <w:tcW w:w="1340" w:type="dxa"/>
            <w:shd w:val="clear" w:color="auto" w:fill="auto"/>
          </w:tcPr>
          <w:p w:rsidR="007234DD" w:rsidRDefault="007234DD">
            <w:pPr>
              <w:pStyle w:val="a5"/>
              <w:ind w:right="0"/>
              <w:jc w:val="right"/>
              <w:rPr>
                <w:szCs w:val="18"/>
              </w:rPr>
            </w:pPr>
            <w:r>
              <w:rPr>
                <w:szCs w:val="18"/>
              </w:rPr>
              <w:t>9,247,121</w:t>
            </w:r>
          </w:p>
        </w:tc>
        <w:tc>
          <w:tcPr>
            <w:tcW w:w="1340" w:type="dxa"/>
            <w:shd w:val="clear" w:color="auto" w:fill="auto"/>
          </w:tcPr>
          <w:p w:rsidR="007234DD" w:rsidRDefault="007234DD">
            <w:pPr>
              <w:pStyle w:val="a5"/>
              <w:ind w:right="0"/>
              <w:jc w:val="right"/>
              <w:rPr>
                <w:b/>
                <w:szCs w:val="18"/>
              </w:rPr>
            </w:pPr>
            <w:r>
              <w:rPr>
                <w:b/>
                <w:szCs w:val="18"/>
              </w:rPr>
              <w:t>114,745,047</w:t>
            </w:r>
          </w:p>
        </w:tc>
      </w:tr>
      <w:tr w:rsidR="007234DD">
        <w:trPr>
          <w:cantSplit/>
          <w:trHeight w:val="82"/>
        </w:trPr>
        <w:tc>
          <w:tcPr>
            <w:tcW w:w="1601" w:type="dxa"/>
            <w:shd w:val="clear" w:color="auto" w:fill="auto"/>
          </w:tcPr>
          <w:p w:rsidR="007234DD" w:rsidRDefault="007234DD">
            <w:pPr>
              <w:pStyle w:val="a5"/>
              <w:rPr>
                <w:szCs w:val="18"/>
                <w:rtl/>
              </w:rPr>
            </w:pPr>
            <w:r>
              <w:rPr>
                <w:rFonts w:hint="eastAsia"/>
                <w:szCs w:val="18"/>
              </w:rPr>
              <w:t>非洲</w:t>
            </w:r>
          </w:p>
        </w:tc>
        <w:tc>
          <w:tcPr>
            <w:tcW w:w="1339" w:type="dxa"/>
            <w:shd w:val="clear" w:color="auto" w:fill="auto"/>
          </w:tcPr>
          <w:p w:rsidR="007234DD" w:rsidRDefault="007234DD">
            <w:pPr>
              <w:pStyle w:val="a5"/>
              <w:ind w:right="0"/>
              <w:jc w:val="right"/>
              <w:rPr>
                <w:szCs w:val="18"/>
              </w:rPr>
            </w:pPr>
            <w:r>
              <w:rPr>
                <w:szCs w:val="18"/>
              </w:rPr>
              <w:t>6,006,251</w:t>
            </w:r>
          </w:p>
        </w:tc>
        <w:tc>
          <w:tcPr>
            <w:tcW w:w="1340" w:type="dxa"/>
            <w:shd w:val="clear" w:color="auto" w:fill="auto"/>
          </w:tcPr>
          <w:p w:rsidR="007234DD" w:rsidRDefault="007234DD">
            <w:pPr>
              <w:pStyle w:val="a5"/>
              <w:ind w:right="0"/>
              <w:jc w:val="right"/>
              <w:rPr>
                <w:szCs w:val="18"/>
              </w:rPr>
            </w:pPr>
            <w:r>
              <w:rPr>
                <w:szCs w:val="18"/>
              </w:rPr>
              <w:t>242,122</w:t>
            </w:r>
          </w:p>
        </w:tc>
        <w:tc>
          <w:tcPr>
            <w:tcW w:w="1340" w:type="dxa"/>
            <w:shd w:val="clear" w:color="auto" w:fill="auto"/>
          </w:tcPr>
          <w:p w:rsidR="007234DD" w:rsidRDefault="007234DD">
            <w:pPr>
              <w:pStyle w:val="a5"/>
              <w:ind w:right="0"/>
              <w:jc w:val="right"/>
              <w:rPr>
                <w:szCs w:val="18"/>
              </w:rPr>
            </w:pPr>
            <w:r>
              <w:rPr>
                <w:szCs w:val="18"/>
              </w:rPr>
              <w:t>14,694,232</w:t>
            </w:r>
          </w:p>
        </w:tc>
        <w:tc>
          <w:tcPr>
            <w:tcW w:w="1339" w:type="dxa"/>
            <w:shd w:val="clear" w:color="auto" w:fill="auto"/>
          </w:tcPr>
          <w:p w:rsidR="007234DD" w:rsidRDefault="007234DD">
            <w:pPr>
              <w:pStyle w:val="a5"/>
              <w:ind w:right="0"/>
              <w:jc w:val="right"/>
              <w:rPr>
                <w:szCs w:val="18"/>
              </w:rPr>
            </w:pPr>
            <w:r>
              <w:rPr>
                <w:szCs w:val="18"/>
              </w:rPr>
              <w:t>13,387,555</w:t>
            </w:r>
          </w:p>
        </w:tc>
        <w:tc>
          <w:tcPr>
            <w:tcW w:w="1340" w:type="dxa"/>
            <w:shd w:val="clear" w:color="auto" w:fill="auto"/>
          </w:tcPr>
          <w:p w:rsidR="007234DD" w:rsidRDefault="007234DD">
            <w:pPr>
              <w:pStyle w:val="a5"/>
              <w:ind w:right="0"/>
              <w:jc w:val="right"/>
              <w:rPr>
                <w:szCs w:val="18"/>
              </w:rPr>
            </w:pPr>
            <w:r>
              <w:rPr>
                <w:szCs w:val="18"/>
              </w:rPr>
              <w:t>20,217,875</w:t>
            </w:r>
          </w:p>
        </w:tc>
        <w:tc>
          <w:tcPr>
            <w:tcW w:w="1340" w:type="dxa"/>
            <w:shd w:val="clear" w:color="auto" w:fill="auto"/>
          </w:tcPr>
          <w:p w:rsidR="007234DD" w:rsidRDefault="007234DD">
            <w:pPr>
              <w:pStyle w:val="a5"/>
              <w:ind w:right="0"/>
              <w:jc w:val="right"/>
              <w:rPr>
                <w:b/>
                <w:szCs w:val="18"/>
              </w:rPr>
            </w:pPr>
            <w:r>
              <w:rPr>
                <w:b/>
                <w:szCs w:val="18"/>
              </w:rPr>
              <w:t>54,548,034</w:t>
            </w:r>
          </w:p>
        </w:tc>
      </w:tr>
      <w:tr w:rsidR="007234DD">
        <w:trPr>
          <w:cantSplit/>
        </w:trPr>
        <w:tc>
          <w:tcPr>
            <w:tcW w:w="1601" w:type="dxa"/>
            <w:shd w:val="clear" w:color="auto" w:fill="auto"/>
          </w:tcPr>
          <w:p w:rsidR="007234DD" w:rsidRDefault="007234DD">
            <w:pPr>
              <w:pStyle w:val="a5"/>
              <w:rPr>
                <w:szCs w:val="18"/>
                <w:rtl/>
              </w:rPr>
            </w:pPr>
            <w:r>
              <w:rPr>
                <w:rFonts w:hint="eastAsia"/>
                <w:szCs w:val="18"/>
              </w:rPr>
              <w:t>亚洲</w:t>
            </w:r>
          </w:p>
        </w:tc>
        <w:tc>
          <w:tcPr>
            <w:tcW w:w="1339" w:type="dxa"/>
            <w:shd w:val="clear" w:color="auto" w:fill="auto"/>
          </w:tcPr>
          <w:p w:rsidR="007234DD" w:rsidRDefault="007234DD">
            <w:pPr>
              <w:pStyle w:val="a5"/>
              <w:ind w:right="0"/>
              <w:jc w:val="right"/>
              <w:rPr>
                <w:szCs w:val="18"/>
              </w:rPr>
            </w:pPr>
            <w:r>
              <w:rPr>
                <w:szCs w:val="18"/>
              </w:rPr>
              <w:t>8,882,727</w:t>
            </w:r>
          </w:p>
        </w:tc>
        <w:tc>
          <w:tcPr>
            <w:tcW w:w="1340" w:type="dxa"/>
            <w:shd w:val="clear" w:color="auto" w:fill="auto"/>
          </w:tcPr>
          <w:p w:rsidR="007234DD" w:rsidRDefault="007234DD">
            <w:pPr>
              <w:pStyle w:val="a5"/>
              <w:ind w:right="0"/>
              <w:jc w:val="right"/>
              <w:rPr>
                <w:szCs w:val="18"/>
              </w:rPr>
            </w:pPr>
            <w:r>
              <w:rPr>
                <w:szCs w:val="18"/>
              </w:rPr>
              <w:t>4,142,196</w:t>
            </w:r>
          </w:p>
        </w:tc>
        <w:tc>
          <w:tcPr>
            <w:tcW w:w="1340" w:type="dxa"/>
            <w:shd w:val="clear" w:color="auto" w:fill="auto"/>
          </w:tcPr>
          <w:p w:rsidR="007234DD" w:rsidRDefault="007234DD">
            <w:pPr>
              <w:pStyle w:val="a5"/>
              <w:ind w:right="0"/>
              <w:jc w:val="right"/>
              <w:rPr>
                <w:szCs w:val="18"/>
              </w:rPr>
            </w:pPr>
            <w:r>
              <w:rPr>
                <w:szCs w:val="18"/>
              </w:rPr>
              <w:t>18,874,792</w:t>
            </w:r>
          </w:p>
        </w:tc>
        <w:tc>
          <w:tcPr>
            <w:tcW w:w="1339" w:type="dxa"/>
            <w:shd w:val="clear" w:color="auto" w:fill="auto"/>
          </w:tcPr>
          <w:p w:rsidR="007234DD" w:rsidRDefault="007234DD">
            <w:pPr>
              <w:pStyle w:val="a5"/>
              <w:ind w:right="0"/>
              <w:jc w:val="right"/>
              <w:rPr>
                <w:szCs w:val="18"/>
              </w:rPr>
            </w:pPr>
            <w:r>
              <w:rPr>
                <w:szCs w:val="18"/>
              </w:rPr>
              <w:t>421,285</w:t>
            </w:r>
          </w:p>
        </w:tc>
        <w:tc>
          <w:tcPr>
            <w:tcW w:w="1340" w:type="dxa"/>
            <w:shd w:val="clear" w:color="auto" w:fill="auto"/>
          </w:tcPr>
          <w:p w:rsidR="007234DD" w:rsidRDefault="007234DD">
            <w:pPr>
              <w:pStyle w:val="a5"/>
              <w:ind w:right="0"/>
              <w:jc w:val="right"/>
              <w:rPr>
                <w:szCs w:val="18"/>
              </w:rPr>
            </w:pPr>
            <w:r>
              <w:rPr>
                <w:szCs w:val="18"/>
              </w:rPr>
              <w:t>3,694,885</w:t>
            </w:r>
          </w:p>
        </w:tc>
        <w:tc>
          <w:tcPr>
            <w:tcW w:w="1340" w:type="dxa"/>
            <w:shd w:val="clear" w:color="auto" w:fill="auto"/>
          </w:tcPr>
          <w:p w:rsidR="007234DD" w:rsidRDefault="007234DD">
            <w:pPr>
              <w:pStyle w:val="a5"/>
              <w:ind w:right="0"/>
              <w:jc w:val="right"/>
              <w:rPr>
                <w:b/>
                <w:szCs w:val="18"/>
              </w:rPr>
            </w:pPr>
            <w:r>
              <w:rPr>
                <w:b/>
                <w:szCs w:val="18"/>
              </w:rPr>
              <w:t>36,015,886</w:t>
            </w:r>
          </w:p>
        </w:tc>
      </w:tr>
      <w:tr w:rsidR="007234DD">
        <w:trPr>
          <w:cantSplit/>
          <w:trHeight w:val="107"/>
        </w:trPr>
        <w:tc>
          <w:tcPr>
            <w:tcW w:w="1601" w:type="dxa"/>
            <w:shd w:val="clear" w:color="auto" w:fill="auto"/>
          </w:tcPr>
          <w:p w:rsidR="007234DD" w:rsidRDefault="007234DD">
            <w:pPr>
              <w:pStyle w:val="a5"/>
              <w:rPr>
                <w:szCs w:val="18"/>
                <w:rtl/>
              </w:rPr>
            </w:pPr>
            <w:r>
              <w:rPr>
                <w:rFonts w:hint="eastAsia"/>
                <w:szCs w:val="18"/>
              </w:rPr>
              <w:t>欧洲</w:t>
            </w:r>
          </w:p>
        </w:tc>
        <w:tc>
          <w:tcPr>
            <w:tcW w:w="1339" w:type="dxa"/>
            <w:shd w:val="clear" w:color="auto" w:fill="auto"/>
          </w:tcPr>
          <w:p w:rsidR="007234DD" w:rsidRDefault="007234DD">
            <w:pPr>
              <w:pStyle w:val="a5"/>
              <w:ind w:right="0"/>
              <w:jc w:val="right"/>
              <w:rPr>
                <w:szCs w:val="18"/>
              </w:rPr>
            </w:pPr>
            <w:r>
              <w:rPr>
                <w:szCs w:val="18"/>
              </w:rPr>
              <w:t>4,931,987</w:t>
            </w:r>
          </w:p>
        </w:tc>
        <w:tc>
          <w:tcPr>
            <w:tcW w:w="1340" w:type="dxa"/>
            <w:shd w:val="clear" w:color="auto" w:fill="auto"/>
          </w:tcPr>
          <w:p w:rsidR="007234DD" w:rsidRDefault="007234DD">
            <w:pPr>
              <w:pStyle w:val="a5"/>
              <w:ind w:right="0"/>
              <w:jc w:val="right"/>
              <w:rPr>
                <w:szCs w:val="18"/>
              </w:rPr>
            </w:pPr>
            <w:r>
              <w:rPr>
                <w:szCs w:val="18"/>
              </w:rPr>
              <w:t>1,985,456</w:t>
            </w:r>
          </w:p>
        </w:tc>
        <w:tc>
          <w:tcPr>
            <w:tcW w:w="1340" w:type="dxa"/>
            <w:shd w:val="clear" w:color="auto" w:fill="auto"/>
          </w:tcPr>
          <w:p w:rsidR="007234DD" w:rsidRDefault="007234DD">
            <w:pPr>
              <w:pStyle w:val="a5"/>
              <w:ind w:right="0"/>
              <w:jc w:val="right"/>
              <w:rPr>
                <w:szCs w:val="18"/>
              </w:rPr>
            </w:pPr>
            <w:r>
              <w:rPr>
                <w:szCs w:val="18"/>
              </w:rPr>
              <w:t>7,466,262</w:t>
            </w:r>
          </w:p>
        </w:tc>
        <w:tc>
          <w:tcPr>
            <w:tcW w:w="1339" w:type="dxa"/>
            <w:shd w:val="clear" w:color="auto" w:fill="auto"/>
          </w:tcPr>
          <w:p w:rsidR="007234DD" w:rsidRDefault="007234DD">
            <w:pPr>
              <w:pStyle w:val="a5"/>
              <w:ind w:right="0"/>
              <w:jc w:val="right"/>
              <w:rPr>
                <w:szCs w:val="18"/>
              </w:rPr>
            </w:pPr>
            <w:r>
              <w:rPr>
                <w:szCs w:val="18"/>
              </w:rPr>
              <w:t>6,268,975</w:t>
            </w:r>
          </w:p>
        </w:tc>
        <w:tc>
          <w:tcPr>
            <w:tcW w:w="1340" w:type="dxa"/>
            <w:shd w:val="clear" w:color="auto" w:fill="auto"/>
          </w:tcPr>
          <w:p w:rsidR="007234DD" w:rsidRDefault="007234DD">
            <w:pPr>
              <w:pStyle w:val="a5"/>
              <w:ind w:right="0"/>
              <w:jc w:val="right"/>
              <w:rPr>
                <w:szCs w:val="18"/>
              </w:rPr>
            </w:pPr>
            <w:r>
              <w:rPr>
                <w:szCs w:val="18"/>
              </w:rPr>
              <w:t>3,679,543</w:t>
            </w:r>
          </w:p>
        </w:tc>
        <w:tc>
          <w:tcPr>
            <w:tcW w:w="1340" w:type="dxa"/>
            <w:shd w:val="clear" w:color="auto" w:fill="auto"/>
          </w:tcPr>
          <w:p w:rsidR="007234DD" w:rsidRDefault="007234DD">
            <w:pPr>
              <w:pStyle w:val="a5"/>
              <w:ind w:right="0"/>
              <w:jc w:val="right"/>
              <w:rPr>
                <w:b/>
                <w:szCs w:val="18"/>
              </w:rPr>
            </w:pPr>
            <w:r>
              <w:rPr>
                <w:b/>
                <w:szCs w:val="18"/>
              </w:rPr>
              <w:t>24,332,223</w:t>
            </w:r>
          </w:p>
        </w:tc>
      </w:tr>
      <w:tr w:rsidR="007234DD">
        <w:trPr>
          <w:cantSplit/>
          <w:trHeight w:val="256"/>
        </w:trPr>
        <w:tc>
          <w:tcPr>
            <w:tcW w:w="1601" w:type="dxa"/>
            <w:shd w:val="clear" w:color="auto" w:fill="auto"/>
          </w:tcPr>
          <w:p w:rsidR="007234DD" w:rsidRDefault="007234DD">
            <w:pPr>
              <w:pStyle w:val="a5"/>
              <w:rPr>
                <w:szCs w:val="18"/>
                <w:rtl/>
              </w:rPr>
            </w:pPr>
            <w:r>
              <w:rPr>
                <w:rFonts w:hint="eastAsia"/>
                <w:szCs w:val="18"/>
              </w:rPr>
              <w:t>大洋洲</w:t>
            </w:r>
          </w:p>
        </w:tc>
        <w:tc>
          <w:tcPr>
            <w:tcW w:w="1339" w:type="dxa"/>
            <w:shd w:val="clear" w:color="auto" w:fill="auto"/>
          </w:tcPr>
          <w:p w:rsidR="007234DD" w:rsidRDefault="007234DD">
            <w:pPr>
              <w:pStyle w:val="a5"/>
              <w:ind w:right="0"/>
              <w:jc w:val="right"/>
              <w:rPr>
                <w:szCs w:val="18"/>
                <w:rtl/>
              </w:rPr>
            </w:pPr>
          </w:p>
        </w:tc>
        <w:tc>
          <w:tcPr>
            <w:tcW w:w="1340" w:type="dxa"/>
            <w:shd w:val="clear" w:color="auto" w:fill="auto"/>
          </w:tcPr>
          <w:p w:rsidR="007234DD" w:rsidRDefault="007234DD">
            <w:pPr>
              <w:pStyle w:val="a5"/>
              <w:ind w:right="0"/>
              <w:jc w:val="right"/>
              <w:rPr>
                <w:szCs w:val="18"/>
              </w:rPr>
            </w:pPr>
            <w:r>
              <w:rPr>
                <w:szCs w:val="18"/>
              </w:rPr>
              <w:t>1,530,688</w:t>
            </w:r>
          </w:p>
        </w:tc>
        <w:tc>
          <w:tcPr>
            <w:tcW w:w="1340" w:type="dxa"/>
            <w:shd w:val="clear" w:color="auto" w:fill="auto"/>
          </w:tcPr>
          <w:p w:rsidR="007234DD" w:rsidRDefault="007234DD">
            <w:pPr>
              <w:pStyle w:val="a5"/>
              <w:ind w:right="0"/>
              <w:jc w:val="right"/>
              <w:rPr>
                <w:szCs w:val="18"/>
                <w:rtl/>
              </w:rPr>
            </w:pPr>
          </w:p>
        </w:tc>
        <w:tc>
          <w:tcPr>
            <w:tcW w:w="1339" w:type="dxa"/>
            <w:shd w:val="clear" w:color="auto" w:fill="auto"/>
          </w:tcPr>
          <w:p w:rsidR="007234DD" w:rsidRDefault="007234DD">
            <w:pPr>
              <w:pStyle w:val="a5"/>
              <w:ind w:right="0"/>
              <w:jc w:val="right"/>
              <w:rPr>
                <w:szCs w:val="18"/>
                <w:rtl/>
              </w:rPr>
            </w:pPr>
          </w:p>
        </w:tc>
        <w:tc>
          <w:tcPr>
            <w:tcW w:w="1340" w:type="dxa"/>
            <w:shd w:val="clear" w:color="auto" w:fill="auto"/>
          </w:tcPr>
          <w:p w:rsidR="007234DD" w:rsidRDefault="007234DD">
            <w:pPr>
              <w:pStyle w:val="a5"/>
              <w:ind w:right="0"/>
              <w:jc w:val="right"/>
              <w:rPr>
                <w:szCs w:val="18"/>
              </w:rPr>
            </w:pPr>
            <w:r>
              <w:rPr>
                <w:szCs w:val="18"/>
              </w:rPr>
              <w:t>30,000</w:t>
            </w:r>
          </w:p>
        </w:tc>
        <w:tc>
          <w:tcPr>
            <w:tcW w:w="1340" w:type="dxa"/>
            <w:shd w:val="clear" w:color="auto" w:fill="auto"/>
          </w:tcPr>
          <w:p w:rsidR="007234DD" w:rsidRDefault="007234DD">
            <w:pPr>
              <w:pStyle w:val="a5"/>
              <w:ind w:right="0"/>
              <w:jc w:val="right"/>
              <w:rPr>
                <w:b/>
                <w:szCs w:val="18"/>
              </w:rPr>
            </w:pPr>
            <w:r>
              <w:rPr>
                <w:b/>
                <w:szCs w:val="18"/>
              </w:rPr>
              <w:t>1,560,688</w:t>
            </w:r>
          </w:p>
        </w:tc>
      </w:tr>
      <w:tr w:rsidR="007234DD">
        <w:trPr>
          <w:cantSplit/>
          <w:trHeight w:val="70"/>
        </w:trPr>
        <w:tc>
          <w:tcPr>
            <w:tcW w:w="1601" w:type="dxa"/>
            <w:tcBorders>
              <w:bottom w:val="single" w:sz="4" w:space="0" w:color="auto"/>
            </w:tcBorders>
            <w:shd w:val="clear" w:color="auto" w:fill="auto"/>
          </w:tcPr>
          <w:p w:rsidR="007234DD" w:rsidRDefault="007234DD">
            <w:pPr>
              <w:pStyle w:val="a5"/>
              <w:rPr>
                <w:rFonts w:hint="eastAsia"/>
                <w:szCs w:val="18"/>
                <w:rtl/>
              </w:rPr>
            </w:pPr>
            <w:r>
              <w:rPr>
                <w:rFonts w:hint="eastAsia"/>
                <w:szCs w:val="18"/>
              </w:rPr>
              <w:t>未指定</w:t>
            </w:r>
          </w:p>
        </w:tc>
        <w:tc>
          <w:tcPr>
            <w:tcW w:w="1339" w:type="dxa"/>
            <w:tcBorders>
              <w:bottom w:val="single" w:sz="4" w:space="0" w:color="auto"/>
            </w:tcBorders>
            <w:shd w:val="clear" w:color="auto" w:fill="auto"/>
          </w:tcPr>
          <w:p w:rsidR="007234DD" w:rsidRDefault="007234DD">
            <w:pPr>
              <w:pStyle w:val="a5"/>
              <w:ind w:right="0"/>
              <w:jc w:val="right"/>
              <w:rPr>
                <w:szCs w:val="18"/>
              </w:rPr>
            </w:pPr>
            <w:r>
              <w:rPr>
                <w:szCs w:val="18"/>
              </w:rPr>
              <w:t>15,849,985</w:t>
            </w:r>
          </w:p>
        </w:tc>
        <w:tc>
          <w:tcPr>
            <w:tcW w:w="1340" w:type="dxa"/>
            <w:tcBorders>
              <w:bottom w:val="single" w:sz="4" w:space="0" w:color="auto"/>
            </w:tcBorders>
            <w:shd w:val="clear" w:color="auto" w:fill="auto"/>
          </w:tcPr>
          <w:p w:rsidR="007234DD" w:rsidRDefault="007234DD">
            <w:pPr>
              <w:pStyle w:val="a5"/>
              <w:ind w:right="0"/>
              <w:jc w:val="right"/>
              <w:rPr>
                <w:szCs w:val="18"/>
              </w:rPr>
            </w:pPr>
            <w:r>
              <w:rPr>
                <w:szCs w:val="18"/>
              </w:rPr>
              <w:t>8,033,586</w:t>
            </w:r>
          </w:p>
        </w:tc>
        <w:tc>
          <w:tcPr>
            <w:tcW w:w="1340" w:type="dxa"/>
            <w:tcBorders>
              <w:bottom w:val="single" w:sz="4" w:space="0" w:color="auto"/>
            </w:tcBorders>
            <w:shd w:val="clear" w:color="auto" w:fill="auto"/>
          </w:tcPr>
          <w:p w:rsidR="007234DD" w:rsidRDefault="007234DD">
            <w:pPr>
              <w:pStyle w:val="a5"/>
              <w:ind w:right="0"/>
              <w:jc w:val="right"/>
              <w:rPr>
                <w:szCs w:val="18"/>
              </w:rPr>
            </w:pPr>
            <w:r>
              <w:rPr>
                <w:szCs w:val="18"/>
              </w:rPr>
              <w:t>9,440,779</w:t>
            </w:r>
          </w:p>
        </w:tc>
        <w:tc>
          <w:tcPr>
            <w:tcW w:w="1339" w:type="dxa"/>
            <w:tcBorders>
              <w:bottom w:val="single" w:sz="4" w:space="0" w:color="auto"/>
            </w:tcBorders>
            <w:shd w:val="clear" w:color="auto" w:fill="auto"/>
          </w:tcPr>
          <w:p w:rsidR="007234DD" w:rsidRDefault="007234DD">
            <w:pPr>
              <w:pStyle w:val="a5"/>
              <w:ind w:right="0"/>
              <w:jc w:val="right"/>
              <w:rPr>
                <w:szCs w:val="18"/>
              </w:rPr>
            </w:pPr>
            <w:r>
              <w:rPr>
                <w:szCs w:val="18"/>
              </w:rPr>
              <w:t>20,732,757</w:t>
            </w:r>
          </w:p>
        </w:tc>
        <w:tc>
          <w:tcPr>
            <w:tcW w:w="1340" w:type="dxa"/>
            <w:tcBorders>
              <w:bottom w:val="single" w:sz="4" w:space="0" w:color="auto"/>
            </w:tcBorders>
            <w:shd w:val="clear" w:color="auto" w:fill="auto"/>
          </w:tcPr>
          <w:p w:rsidR="007234DD" w:rsidRDefault="007234DD">
            <w:pPr>
              <w:pStyle w:val="a5"/>
              <w:ind w:right="0"/>
              <w:jc w:val="right"/>
              <w:rPr>
                <w:szCs w:val="18"/>
              </w:rPr>
            </w:pPr>
            <w:r>
              <w:rPr>
                <w:szCs w:val="18"/>
              </w:rPr>
              <w:t>17,632,621</w:t>
            </w:r>
          </w:p>
        </w:tc>
        <w:tc>
          <w:tcPr>
            <w:tcW w:w="1340" w:type="dxa"/>
            <w:tcBorders>
              <w:bottom w:val="single" w:sz="4" w:space="0" w:color="auto"/>
            </w:tcBorders>
            <w:shd w:val="clear" w:color="auto" w:fill="auto"/>
          </w:tcPr>
          <w:p w:rsidR="007234DD" w:rsidRDefault="007234DD">
            <w:pPr>
              <w:pStyle w:val="a5"/>
              <w:ind w:right="0"/>
              <w:jc w:val="right"/>
              <w:rPr>
                <w:b/>
                <w:szCs w:val="18"/>
              </w:rPr>
            </w:pPr>
            <w:r>
              <w:rPr>
                <w:b/>
                <w:szCs w:val="18"/>
              </w:rPr>
              <w:t>71,689,728</w:t>
            </w:r>
          </w:p>
        </w:tc>
      </w:tr>
      <w:tr w:rsidR="007234DD">
        <w:trPr>
          <w:cantSplit/>
        </w:trPr>
        <w:tc>
          <w:tcPr>
            <w:tcW w:w="1601"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szCs w:val="18"/>
                <w:rtl/>
              </w:rPr>
            </w:pPr>
            <w:r>
              <w:rPr>
                <w:rFonts w:eastAsia="SimHei" w:hint="eastAsia"/>
                <w:szCs w:val="18"/>
              </w:rPr>
              <w:t>合计</w:t>
            </w:r>
          </w:p>
        </w:tc>
        <w:tc>
          <w:tcPr>
            <w:tcW w:w="1339"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90</w:t>
            </w:r>
            <w:r>
              <w:rPr>
                <w:rFonts w:eastAsia="SimHei"/>
                <w:szCs w:val="18"/>
              </w:rPr>
              <w:t>,</w:t>
            </w:r>
            <w:r>
              <w:rPr>
                <w:rFonts w:eastAsia="SimHei"/>
                <w:b/>
                <w:szCs w:val="18"/>
              </w:rPr>
              <w:t>092</w:t>
            </w:r>
            <w:r>
              <w:rPr>
                <w:rFonts w:eastAsia="SimHei"/>
                <w:szCs w:val="18"/>
              </w:rPr>
              <w:t>,</w:t>
            </w:r>
            <w:r>
              <w:rPr>
                <w:rFonts w:eastAsia="SimHei"/>
                <w:b/>
                <w:szCs w:val="18"/>
              </w:rPr>
              <w:t>669</w:t>
            </w:r>
          </w:p>
        </w:tc>
        <w:tc>
          <w:tcPr>
            <w:tcW w:w="1340"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121</w:t>
            </w:r>
            <w:r>
              <w:rPr>
                <w:rFonts w:eastAsia="SimHei"/>
                <w:szCs w:val="18"/>
              </w:rPr>
              <w:t>,</w:t>
            </w:r>
            <w:r>
              <w:rPr>
                <w:rFonts w:eastAsia="SimHei"/>
                <w:b/>
                <w:szCs w:val="18"/>
              </w:rPr>
              <w:t>362</w:t>
            </w:r>
            <w:r>
              <w:rPr>
                <w:rFonts w:eastAsia="SimHei"/>
                <w:szCs w:val="18"/>
              </w:rPr>
              <w:t>,</w:t>
            </w:r>
            <w:r>
              <w:rPr>
                <w:rFonts w:eastAsia="SimHei"/>
                <w:b/>
                <w:szCs w:val="18"/>
              </w:rPr>
              <w:t>328</w:t>
            </w:r>
          </w:p>
        </w:tc>
        <w:tc>
          <w:tcPr>
            <w:tcW w:w="1340"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563</w:t>
            </w:r>
            <w:r>
              <w:rPr>
                <w:rFonts w:eastAsia="SimHei"/>
                <w:szCs w:val="18"/>
              </w:rPr>
              <w:t>,</w:t>
            </w:r>
            <w:r>
              <w:rPr>
                <w:rFonts w:eastAsia="SimHei"/>
                <w:b/>
                <w:szCs w:val="18"/>
              </w:rPr>
              <w:t>036</w:t>
            </w:r>
            <w:r>
              <w:rPr>
                <w:rFonts w:eastAsia="SimHei"/>
                <w:szCs w:val="18"/>
              </w:rPr>
              <w:t>,</w:t>
            </w:r>
            <w:r>
              <w:rPr>
                <w:rFonts w:eastAsia="SimHei"/>
                <w:b/>
                <w:szCs w:val="18"/>
              </w:rPr>
              <w:t>712</w:t>
            </w:r>
          </w:p>
        </w:tc>
        <w:tc>
          <w:tcPr>
            <w:tcW w:w="1339"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363</w:t>
            </w:r>
            <w:r>
              <w:rPr>
                <w:rFonts w:eastAsia="SimHei"/>
                <w:szCs w:val="18"/>
              </w:rPr>
              <w:t>,</w:t>
            </w:r>
            <w:r>
              <w:rPr>
                <w:rFonts w:eastAsia="SimHei"/>
                <w:b/>
                <w:szCs w:val="18"/>
              </w:rPr>
              <w:t>458</w:t>
            </w:r>
            <w:r>
              <w:rPr>
                <w:rFonts w:eastAsia="SimHei"/>
                <w:szCs w:val="18"/>
              </w:rPr>
              <w:t>,</w:t>
            </w:r>
            <w:r>
              <w:rPr>
                <w:rFonts w:eastAsia="SimHei"/>
                <w:b/>
                <w:szCs w:val="18"/>
              </w:rPr>
              <w:t>878</w:t>
            </w:r>
          </w:p>
        </w:tc>
        <w:tc>
          <w:tcPr>
            <w:tcW w:w="1340"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318</w:t>
            </w:r>
            <w:r>
              <w:rPr>
                <w:rFonts w:eastAsia="SimHei"/>
                <w:szCs w:val="18"/>
              </w:rPr>
              <w:t>,</w:t>
            </w:r>
            <w:r>
              <w:rPr>
                <w:rFonts w:eastAsia="SimHei"/>
                <w:b/>
                <w:szCs w:val="18"/>
              </w:rPr>
              <w:t>194</w:t>
            </w:r>
            <w:r>
              <w:rPr>
                <w:rFonts w:eastAsia="SimHei"/>
                <w:szCs w:val="18"/>
              </w:rPr>
              <w:t>,</w:t>
            </w:r>
            <w:r>
              <w:rPr>
                <w:rFonts w:eastAsia="SimHei"/>
                <w:b/>
                <w:szCs w:val="18"/>
              </w:rPr>
              <w:t>316</w:t>
            </w:r>
          </w:p>
        </w:tc>
        <w:tc>
          <w:tcPr>
            <w:tcW w:w="1340"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1</w:t>
            </w:r>
            <w:r>
              <w:rPr>
                <w:rFonts w:eastAsia="SimHei"/>
                <w:szCs w:val="18"/>
              </w:rPr>
              <w:t>,</w:t>
            </w:r>
            <w:r>
              <w:rPr>
                <w:rFonts w:eastAsia="SimHei"/>
                <w:b/>
                <w:szCs w:val="18"/>
              </w:rPr>
              <w:t>456</w:t>
            </w:r>
            <w:r>
              <w:rPr>
                <w:rFonts w:eastAsia="SimHei"/>
                <w:szCs w:val="18"/>
              </w:rPr>
              <w:t>,</w:t>
            </w:r>
            <w:r>
              <w:rPr>
                <w:rFonts w:eastAsia="SimHei"/>
                <w:b/>
                <w:szCs w:val="18"/>
              </w:rPr>
              <w:t>145</w:t>
            </w:r>
            <w:r>
              <w:rPr>
                <w:rFonts w:eastAsia="SimHei"/>
                <w:szCs w:val="18"/>
              </w:rPr>
              <w:t>,</w:t>
            </w:r>
            <w:r>
              <w:rPr>
                <w:rFonts w:eastAsia="SimHei"/>
                <w:b/>
                <w:szCs w:val="18"/>
              </w:rPr>
              <w:t>506</w:t>
            </w:r>
          </w:p>
        </w:tc>
      </w:tr>
    </w:tbl>
    <w:p w:rsidR="007234DD" w:rsidRDefault="0046422A" w:rsidP="0046422A">
      <w:pPr>
        <w:pStyle w:val="SingleTxtGC"/>
        <w:tabs>
          <w:tab w:val="clear" w:pos="431"/>
          <w:tab w:val="left" w:pos="210"/>
        </w:tabs>
        <w:spacing w:before="120"/>
        <w:ind w:left="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外交部，卡塔尔国提供的发展援助，</w:t>
      </w:r>
      <w:r w:rsidR="007234DD">
        <w:rPr>
          <w:rFonts w:hint="eastAsia"/>
          <w:sz w:val="19"/>
          <w:szCs w:val="19"/>
        </w:rPr>
        <w:t>2009</w:t>
      </w:r>
      <w:r w:rsidR="007234DD">
        <w:rPr>
          <w:rFonts w:hint="eastAsia"/>
          <w:sz w:val="19"/>
          <w:szCs w:val="19"/>
        </w:rPr>
        <w:t>年。</w:t>
      </w:r>
    </w:p>
    <w:p w:rsidR="007234DD" w:rsidRDefault="007234DD">
      <w:pPr>
        <w:pStyle w:val="SingleTxtGC"/>
        <w:rPr>
          <w:rFonts w:hint="eastAsia"/>
        </w:rPr>
      </w:pPr>
      <w:r>
        <w:t xml:space="preserve">96.  </w:t>
      </w:r>
      <w:r>
        <w:rPr>
          <w:rFonts w:hint="eastAsia"/>
        </w:rPr>
        <w:t>大约有</w:t>
      </w:r>
      <w:r>
        <w:rPr>
          <w:rFonts w:hint="eastAsia"/>
        </w:rPr>
        <w:t>5.08</w:t>
      </w:r>
      <w:r>
        <w:rPr>
          <w:rFonts w:hint="eastAsia"/>
        </w:rPr>
        <w:t>亿美元由积极参与人道主义工作的非政府组织提供。所提供的援助是为了满足发展中国家的发展、教育和人道主义需要。</w:t>
      </w:r>
    </w:p>
    <w:p w:rsidR="007234DD" w:rsidRDefault="007234DD">
      <w:pPr>
        <w:pStyle w:val="SingleTxtGC"/>
      </w:pPr>
      <w:r>
        <w:rPr>
          <w:rFonts w:hint="eastAsia"/>
        </w:rPr>
        <w:t>表</w:t>
      </w:r>
      <w:r>
        <w:t>3</w:t>
      </w:r>
      <w:r>
        <w:rPr>
          <w:rFonts w:hint="eastAsia"/>
        </w:rPr>
        <w:br/>
      </w:r>
      <w:r>
        <w:rPr>
          <w:rFonts w:eastAsia="SimHei"/>
        </w:rPr>
        <w:t>2004</w:t>
      </w:r>
      <w:r>
        <w:rPr>
          <w:rFonts w:eastAsia="SimHei" w:hint="eastAsia"/>
        </w:rPr>
        <w:t>-</w:t>
      </w:r>
      <w:r>
        <w:rPr>
          <w:rFonts w:eastAsia="SimHei"/>
        </w:rPr>
        <w:t>2008</w:t>
      </w:r>
      <w:r>
        <w:rPr>
          <w:rFonts w:eastAsia="SimHei"/>
        </w:rPr>
        <w:t>年提供发展援助</w:t>
      </w:r>
      <w:r>
        <w:rPr>
          <w:rFonts w:eastAsia="SimHei"/>
        </w:rPr>
        <w:t>(</w:t>
      </w:r>
      <w:r>
        <w:rPr>
          <w:rFonts w:eastAsia="SimHei"/>
        </w:rPr>
        <w:t>按美元计</w:t>
      </w:r>
      <w:r>
        <w:rPr>
          <w:rFonts w:eastAsia="SimHei"/>
        </w:rPr>
        <w:t>)</w:t>
      </w:r>
      <w:r>
        <w:rPr>
          <w:rFonts w:eastAsia="SimHei"/>
        </w:rPr>
        <w:t>的卡塔尔非政府组织捐助方</w:t>
      </w:r>
    </w:p>
    <w:tbl>
      <w:tblPr>
        <w:tblW w:w="9637" w:type="dxa"/>
        <w:tblLayout w:type="fixed"/>
        <w:tblCellMar>
          <w:left w:w="0" w:type="dxa"/>
          <w:right w:w="0" w:type="dxa"/>
        </w:tblCellMar>
        <w:tblLook w:val="0000" w:firstRow="0" w:lastRow="0" w:firstColumn="0" w:lastColumn="0" w:noHBand="0" w:noVBand="0"/>
      </w:tblPr>
      <w:tblGrid>
        <w:gridCol w:w="1799"/>
        <w:gridCol w:w="1305"/>
        <w:gridCol w:w="1307"/>
        <w:gridCol w:w="1306"/>
        <w:gridCol w:w="1307"/>
        <w:gridCol w:w="1306"/>
        <w:gridCol w:w="1307"/>
      </w:tblGrid>
      <w:tr w:rsidR="007234DD">
        <w:trPr>
          <w:cantSplit/>
          <w:trHeight w:val="20"/>
        </w:trPr>
        <w:tc>
          <w:tcPr>
            <w:tcW w:w="1800" w:type="dxa"/>
            <w:tcBorders>
              <w:top w:val="single" w:sz="4" w:space="0" w:color="auto"/>
              <w:bottom w:val="single" w:sz="12" w:space="0" w:color="auto"/>
            </w:tcBorders>
            <w:shd w:val="clear" w:color="auto" w:fill="auto"/>
            <w:vAlign w:val="bottom"/>
          </w:tcPr>
          <w:p w:rsidR="007234DD" w:rsidRDefault="007234DD">
            <w:pPr>
              <w:pStyle w:val="a0"/>
              <w:ind w:right="0"/>
              <w:rPr>
                <w:rtl/>
              </w:rPr>
            </w:pPr>
            <w:r>
              <w:t>提供者</w:t>
            </w:r>
          </w:p>
        </w:tc>
        <w:tc>
          <w:tcPr>
            <w:tcW w:w="1306" w:type="dxa"/>
            <w:tcBorders>
              <w:top w:val="single" w:sz="4" w:space="0" w:color="auto"/>
              <w:bottom w:val="single" w:sz="12" w:space="0" w:color="auto"/>
            </w:tcBorders>
            <w:shd w:val="clear" w:color="auto" w:fill="auto"/>
            <w:vAlign w:val="bottom"/>
          </w:tcPr>
          <w:p w:rsidR="007234DD" w:rsidRDefault="007234DD">
            <w:pPr>
              <w:pStyle w:val="a0"/>
              <w:ind w:right="0"/>
              <w:jc w:val="right"/>
            </w:pPr>
            <w:r>
              <w:t>2004</w:t>
            </w:r>
            <w:r>
              <w:t>年</w:t>
            </w:r>
          </w:p>
        </w:tc>
        <w:tc>
          <w:tcPr>
            <w:tcW w:w="1307" w:type="dxa"/>
            <w:tcBorders>
              <w:top w:val="single" w:sz="4" w:space="0" w:color="auto"/>
              <w:bottom w:val="single" w:sz="12" w:space="0" w:color="auto"/>
            </w:tcBorders>
            <w:shd w:val="clear" w:color="auto" w:fill="auto"/>
            <w:vAlign w:val="bottom"/>
          </w:tcPr>
          <w:p w:rsidR="007234DD" w:rsidRDefault="007234DD">
            <w:pPr>
              <w:pStyle w:val="a0"/>
              <w:ind w:right="0"/>
              <w:jc w:val="right"/>
            </w:pPr>
            <w:r>
              <w:t>2005</w:t>
            </w:r>
            <w:r>
              <w:t>年</w:t>
            </w:r>
          </w:p>
        </w:tc>
        <w:tc>
          <w:tcPr>
            <w:tcW w:w="1306" w:type="dxa"/>
            <w:tcBorders>
              <w:top w:val="single" w:sz="4" w:space="0" w:color="auto"/>
              <w:bottom w:val="single" w:sz="12" w:space="0" w:color="auto"/>
            </w:tcBorders>
            <w:shd w:val="clear" w:color="auto" w:fill="auto"/>
            <w:vAlign w:val="bottom"/>
          </w:tcPr>
          <w:p w:rsidR="007234DD" w:rsidRDefault="007234DD">
            <w:pPr>
              <w:pStyle w:val="a0"/>
              <w:ind w:right="0"/>
              <w:jc w:val="right"/>
            </w:pPr>
            <w:r>
              <w:t>2006</w:t>
            </w:r>
            <w:r>
              <w:t>年</w:t>
            </w:r>
          </w:p>
        </w:tc>
        <w:tc>
          <w:tcPr>
            <w:tcW w:w="1307" w:type="dxa"/>
            <w:tcBorders>
              <w:top w:val="single" w:sz="4" w:space="0" w:color="auto"/>
              <w:bottom w:val="single" w:sz="12" w:space="0" w:color="auto"/>
            </w:tcBorders>
            <w:shd w:val="clear" w:color="auto" w:fill="auto"/>
            <w:vAlign w:val="bottom"/>
          </w:tcPr>
          <w:p w:rsidR="007234DD" w:rsidRDefault="007234DD">
            <w:pPr>
              <w:pStyle w:val="a0"/>
              <w:ind w:right="0"/>
              <w:jc w:val="right"/>
            </w:pPr>
            <w:r>
              <w:t>2007</w:t>
            </w:r>
            <w:r>
              <w:t>年</w:t>
            </w:r>
          </w:p>
        </w:tc>
        <w:tc>
          <w:tcPr>
            <w:tcW w:w="1306" w:type="dxa"/>
            <w:tcBorders>
              <w:top w:val="single" w:sz="4" w:space="0" w:color="auto"/>
              <w:bottom w:val="single" w:sz="12" w:space="0" w:color="auto"/>
            </w:tcBorders>
            <w:shd w:val="clear" w:color="auto" w:fill="auto"/>
            <w:vAlign w:val="bottom"/>
          </w:tcPr>
          <w:p w:rsidR="007234DD" w:rsidRDefault="007234DD">
            <w:pPr>
              <w:pStyle w:val="a0"/>
              <w:ind w:right="0"/>
              <w:jc w:val="right"/>
            </w:pPr>
            <w:r>
              <w:t>2008</w:t>
            </w:r>
            <w:r>
              <w:t>年</w:t>
            </w:r>
          </w:p>
        </w:tc>
        <w:tc>
          <w:tcPr>
            <w:tcW w:w="1307" w:type="dxa"/>
            <w:tcBorders>
              <w:top w:val="single" w:sz="4" w:space="0" w:color="auto"/>
              <w:bottom w:val="single" w:sz="12" w:space="0" w:color="auto"/>
            </w:tcBorders>
            <w:shd w:val="clear" w:color="auto" w:fill="auto"/>
            <w:vAlign w:val="bottom"/>
          </w:tcPr>
          <w:p w:rsidR="007234DD" w:rsidRDefault="007234DD">
            <w:pPr>
              <w:pStyle w:val="a0"/>
              <w:ind w:right="0"/>
              <w:jc w:val="right"/>
            </w:pPr>
            <w:r>
              <w:t>2009</w:t>
            </w:r>
            <w:r>
              <w:t>年</w:t>
            </w:r>
          </w:p>
        </w:tc>
      </w:tr>
      <w:tr w:rsidR="007234DD">
        <w:trPr>
          <w:cantSplit/>
          <w:trHeight w:val="20"/>
        </w:trPr>
        <w:tc>
          <w:tcPr>
            <w:tcW w:w="1800" w:type="dxa"/>
            <w:tcBorders>
              <w:top w:val="single" w:sz="12" w:space="0" w:color="auto"/>
            </w:tcBorders>
            <w:shd w:val="clear" w:color="auto" w:fill="auto"/>
          </w:tcPr>
          <w:p w:rsidR="007234DD" w:rsidRDefault="007234DD">
            <w:pPr>
              <w:pStyle w:val="a5"/>
              <w:rPr>
                <w:szCs w:val="18"/>
                <w:rtl/>
              </w:rPr>
            </w:pPr>
            <w:r>
              <w:rPr>
                <w:rFonts w:hint="eastAsia"/>
                <w:szCs w:val="18"/>
              </w:rPr>
              <w:t>卡塔尔慈善</w:t>
            </w:r>
          </w:p>
        </w:tc>
        <w:tc>
          <w:tcPr>
            <w:tcW w:w="1306" w:type="dxa"/>
            <w:tcBorders>
              <w:top w:val="single" w:sz="12" w:space="0" w:color="auto"/>
            </w:tcBorders>
            <w:shd w:val="clear" w:color="auto" w:fill="auto"/>
          </w:tcPr>
          <w:p w:rsidR="007234DD" w:rsidRDefault="007234DD">
            <w:pPr>
              <w:pStyle w:val="a5"/>
              <w:ind w:right="0"/>
              <w:jc w:val="right"/>
              <w:rPr>
                <w:szCs w:val="18"/>
              </w:rPr>
            </w:pPr>
            <w:r>
              <w:rPr>
                <w:szCs w:val="18"/>
              </w:rPr>
              <w:t>5,420,233</w:t>
            </w:r>
          </w:p>
        </w:tc>
        <w:tc>
          <w:tcPr>
            <w:tcW w:w="1307" w:type="dxa"/>
            <w:tcBorders>
              <w:top w:val="single" w:sz="12" w:space="0" w:color="auto"/>
            </w:tcBorders>
            <w:shd w:val="clear" w:color="auto" w:fill="auto"/>
          </w:tcPr>
          <w:p w:rsidR="007234DD" w:rsidRDefault="007234DD">
            <w:pPr>
              <w:pStyle w:val="a5"/>
              <w:ind w:right="0"/>
              <w:jc w:val="right"/>
              <w:rPr>
                <w:szCs w:val="18"/>
              </w:rPr>
            </w:pPr>
            <w:r>
              <w:rPr>
                <w:szCs w:val="18"/>
              </w:rPr>
              <w:t>13,534,375</w:t>
            </w:r>
          </w:p>
        </w:tc>
        <w:tc>
          <w:tcPr>
            <w:tcW w:w="1306" w:type="dxa"/>
            <w:tcBorders>
              <w:top w:val="single" w:sz="12" w:space="0" w:color="auto"/>
            </w:tcBorders>
            <w:shd w:val="clear" w:color="auto" w:fill="auto"/>
          </w:tcPr>
          <w:p w:rsidR="007234DD" w:rsidRDefault="007234DD">
            <w:pPr>
              <w:pStyle w:val="a5"/>
              <w:ind w:right="0"/>
              <w:jc w:val="right"/>
              <w:rPr>
                <w:szCs w:val="18"/>
              </w:rPr>
            </w:pPr>
            <w:r>
              <w:rPr>
                <w:szCs w:val="18"/>
              </w:rPr>
              <w:t>21,372,543</w:t>
            </w:r>
          </w:p>
        </w:tc>
        <w:tc>
          <w:tcPr>
            <w:tcW w:w="1307" w:type="dxa"/>
            <w:tcBorders>
              <w:top w:val="single" w:sz="12" w:space="0" w:color="auto"/>
            </w:tcBorders>
            <w:shd w:val="clear" w:color="auto" w:fill="auto"/>
          </w:tcPr>
          <w:p w:rsidR="007234DD" w:rsidRDefault="007234DD">
            <w:pPr>
              <w:pStyle w:val="a5"/>
              <w:ind w:right="0"/>
              <w:jc w:val="right"/>
              <w:rPr>
                <w:szCs w:val="18"/>
              </w:rPr>
            </w:pPr>
            <w:r>
              <w:rPr>
                <w:szCs w:val="18"/>
              </w:rPr>
              <w:t>30,383,078</w:t>
            </w:r>
          </w:p>
        </w:tc>
        <w:tc>
          <w:tcPr>
            <w:tcW w:w="1306" w:type="dxa"/>
            <w:tcBorders>
              <w:top w:val="single" w:sz="12" w:space="0" w:color="auto"/>
            </w:tcBorders>
            <w:shd w:val="clear" w:color="auto" w:fill="auto"/>
          </w:tcPr>
          <w:p w:rsidR="007234DD" w:rsidRDefault="007234DD">
            <w:pPr>
              <w:pStyle w:val="a5"/>
              <w:ind w:right="0"/>
              <w:jc w:val="right"/>
              <w:rPr>
                <w:szCs w:val="18"/>
              </w:rPr>
            </w:pPr>
            <w:r>
              <w:rPr>
                <w:szCs w:val="18"/>
              </w:rPr>
              <w:t>47,762,002</w:t>
            </w:r>
          </w:p>
        </w:tc>
        <w:tc>
          <w:tcPr>
            <w:tcW w:w="1307" w:type="dxa"/>
            <w:tcBorders>
              <w:top w:val="single" w:sz="12" w:space="0" w:color="auto"/>
            </w:tcBorders>
            <w:shd w:val="clear" w:color="auto" w:fill="auto"/>
          </w:tcPr>
          <w:p w:rsidR="007234DD" w:rsidRDefault="007234DD">
            <w:pPr>
              <w:pStyle w:val="a5"/>
              <w:ind w:right="0"/>
              <w:jc w:val="right"/>
              <w:rPr>
                <w:szCs w:val="18"/>
              </w:rPr>
            </w:pPr>
            <w:r>
              <w:rPr>
                <w:szCs w:val="18"/>
              </w:rPr>
              <w:t>38,646,656</w:t>
            </w:r>
          </w:p>
        </w:tc>
      </w:tr>
      <w:tr w:rsidR="007234DD">
        <w:trPr>
          <w:cantSplit/>
          <w:trHeight w:val="20"/>
        </w:trPr>
        <w:tc>
          <w:tcPr>
            <w:tcW w:w="1800" w:type="dxa"/>
            <w:shd w:val="clear" w:color="auto" w:fill="auto"/>
          </w:tcPr>
          <w:p w:rsidR="007234DD" w:rsidRDefault="007234DD">
            <w:pPr>
              <w:pStyle w:val="a5"/>
              <w:rPr>
                <w:szCs w:val="18"/>
                <w:rtl/>
              </w:rPr>
            </w:pPr>
            <w:r>
              <w:rPr>
                <w:rFonts w:hint="eastAsia"/>
                <w:szCs w:val="18"/>
              </w:rPr>
              <w:t>开斋节慈善基金会</w:t>
            </w:r>
          </w:p>
        </w:tc>
        <w:tc>
          <w:tcPr>
            <w:tcW w:w="1306" w:type="dxa"/>
            <w:shd w:val="clear" w:color="auto" w:fill="auto"/>
          </w:tcPr>
          <w:p w:rsidR="007234DD" w:rsidRDefault="007234DD">
            <w:pPr>
              <w:pStyle w:val="a5"/>
              <w:ind w:right="0"/>
              <w:jc w:val="right"/>
              <w:rPr>
                <w:szCs w:val="18"/>
              </w:rPr>
            </w:pPr>
            <w:r>
              <w:rPr>
                <w:szCs w:val="18"/>
              </w:rPr>
              <w:t>6,628,352</w:t>
            </w:r>
          </w:p>
        </w:tc>
        <w:tc>
          <w:tcPr>
            <w:tcW w:w="1307" w:type="dxa"/>
            <w:shd w:val="clear" w:color="auto" w:fill="auto"/>
          </w:tcPr>
          <w:p w:rsidR="007234DD" w:rsidRDefault="007234DD">
            <w:pPr>
              <w:pStyle w:val="a5"/>
              <w:ind w:right="0"/>
              <w:jc w:val="right"/>
              <w:rPr>
                <w:szCs w:val="18"/>
              </w:rPr>
            </w:pPr>
            <w:r>
              <w:rPr>
                <w:szCs w:val="18"/>
              </w:rPr>
              <w:t>4,689,957</w:t>
            </w:r>
          </w:p>
        </w:tc>
        <w:tc>
          <w:tcPr>
            <w:tcW w:w="1306" w:type="dxa"/>
            <w:shd w:val="clear" w:color="auto" w:fill="auto"/>
          </w:tcPr>
          <w:p w:rsidR="007234DD" w:rsidRDefault="007234DD">
            <w:pPr>
              <w:pStyle w:val="a5"/>
              <w:ind w:right="0"/>
              <w:jc w:val="right"/>
              <w:rPr>
                <w:szCs w:val="18"/>
              </w:rPr>
            </w:pPr>
            <w:r>
              <w:rPr>
                <w:szCs w:val="18"/>
              </w:rPr>
              <w:t>24,941,939</w:t>
            </w:r>
          </w:p>
        </w:tc>
        <w:tc>
          <w:tcPr>
            <w:tcW w:w="1307" w:type="dxa"/>
            <w:shd w:val="clear" w:color="auto" w:fill="auto"/>
          </w:tcPr>
          <w:p w:rsidR="007234DD" w:rsidRDefault="007234DD">
            <w:pPr>
              <w:pStyle w:val="a5"/>
              <w:ind w:right="0"/>
              <w:jc w:val="right"/>
              <w:rPr>
                <w:szCs w:val="18"/>
              </w:rPr>
            </w:pPr>
            <w:r>
              <w:rPr>
                <w:szCs w:val="18"/>
              </w:rPr>
              <w:t>25,989,012</w:t>
            </w:r>
          </w:p>
        </w:tc>
        <w:tc>
          <w:tcPr>
            <w:tcW w:w="1306" w:type="dxa"/>
            <w:shd w:val="clear" w:color="auto" w:fill="auto"/>
          </w:tcPr>
          <w:p w:rsidR="007234DD" w:rsidRDefault="007234DD">
            <w:pPr>
              <w:pStyle w:val="a5"/>
              <w:ind w:right="0"/>
              <w:jc w:val="right"/>
              <w:rPr>
                <w:szCs w:val="18"/>
              </w:rPr>
            </w:pPr>
            <w:r>
              <w:rPr>
                <w:szCs w:val="18"/>
              </w:rPr>
              <w:t>44,019,505</w:t>
            </w:r>
          </w:p>
        </w:tc>
        <w:tc>
          <w:tcPr>
            <w:tcW w:w="1307" w:type="dxa"/>
            <w:shd w:val="clear" w:color="auto" w:fill="auto"/>
          </w:tcPr>
          <w:p w:rsidR="007234DD" w:rsidRDefault="007234DD">
            <w:pPr>
              <w:pStyle w:val="a5"/>
              <w:ind w:right="0"/>
              <w:jc w:val="right"/>
              <w:rPr>
                <w:szCs w:val="18"/>
              </w:rPr>
            </w:pPr>
            <w:r>
              <w:rPr>
                <w:szCs w:val="18"/>
              </w:rPr>
              <w:t>52,656,625</w:t>
            </w:r>
          </w:p>
        </w:tc>
      </w:tr>
      <w:tr w:rsidR="007234DD">
        <w:trPr>
          <w:cantSplit/>
          <w:trHeight w:val="20"/>
        </w:trPr>
        <w:tc>
          <w:tcPr>
            <w:tcW w:w="1800" w:type="dxa"/>
            <w:shd w:val="clear" w:color="auto" w:fill="auto"/>
          </w:tcPr>
          <w:p w:rsidR="007234DD" w:rsidRDefault="007234DD">
            <w:pPr>
              <w:pStyle w:val="a5"/>
              <w:rPr>
                <w:szCs w:val="18"/>
                <w:rtl/>
              </w:rPr>
            </w:pPr>
            <w:r>
              <w:rPr>
                <w:rFonts w:hint="eastAsia"/>
                <w:szCs w:val="18"/>
              </w:rPr>
              <w:t>卡塔尔红新月会</w:t>
            </w:r>
          </w:p>
        </w:tc>
        <w:tc>
          <w:tcPr>
            <w:tcW w:w="1306" w:type="dxa"/>
            <w:shd w:val="clear" w:color="auto" w:fill="auto"/>
          </w:tcPr>
          <w:p w:rsidR="007234DD" w:rsidRDefault="007234DD">
            <w:pPr>
              <w:pStyle w:val="a5"/>
              <w:ind w:right="0"/>
              <w:jc w:val="right"/>
              <w:rPr>
                <w:szCs w:val="18"/>
              </w:rPr>
            </w:pPr>
            <w:r>
              <w:rPr>
                <w:szCs w:val="18"/>
              </w:rPr>
              <w:t>910,039</w:t>
            </w:r>
          </w:p>
        </w:tc>
        <w:tc>
          <w:tcPr>
            <w:tcW w:w="1307" w:type="dxa"/>
            <w:shd w:val="clear" w:color="auto" w:fill="auto"/>
          </w:tcPr>
          <w:p w:rsidR="007234DD" w:rsidRDefault="007234DD">
            <w:pPr>
              <w:pStyle w:val="a5"/>
              <w:ind w:right="0"/>
              <w:jc w:val="right"/>
              <w:rPr>
                <w:szCs w:val="18"/>
              </w:rPr>
            </w:pPr>
            <w:r>
              <w:rPr>
                <w:szCs w:val="18"/>
              </w:rPr>
              <w:t>3,307,579</w:t>
            </w:r>
          </w:p>
        </w:tc>
        <w:tc>
          <w:tcPr>
            <w:tcW w:w="1306" w:type="dxa"/>
            <w:shd w:val="clear" w:color="auto" w:fill="auto"/>
          </w:tcPr>
          <w:p w:rsidR="007234DD" w:rsidRDefault="007234DD">
            <w:pPr>
              <w:pStyle w:val="a5"/>
              <w:ind w:right="0"/>
              <w:jc w:val="right"/>
              <w:rPr>
                <w:szCs w:val="18"/>
              </w:rPr>
            </w:pPr>
            <w:r>
              <w:rPr>
                <w:szCs w:val="18"/>
              </w:rPr>
              <w:t>11,791,130</w:t>
            </w:r>
          </w:p>
        </w:tc>
        <w:tc>
          <w:tcPr>
            <w:tcW w:w="1307" w:type="dxa"/>
            <w:shd w:val="clear" w:color="auto" w:fill="auto"/>
          </w:tcPr>
          <w:p w:rsidR="007234DD" w:rsidRDefault="007234DD">
            <w:pPr>
              <w:pStyle w:val="a5"/>
              <w:ind w:right="0"/>
              <w:jc w:val="right"/>
              <w:rPr>
                <w:szCs w:val="18"/>
              </w:rPr>
            </w:pPr>
            <w:r>
              <w:rPr>
                <w:szCs w:val="18"/>
              </w:rPr>
              <w:t>10,230,145</w:t>
            </w:r>
          </w:p>
        </w:tc>
        <w:tc>
          <w:tcPr>
            <w:tcW w:w="1306" w:type="dxa"/>
            <w:shd w:val="clear" w:color="auto" w:fill="auto"/>
          </w:tcPr>
          <w:p w:rsidR="007234DD" w:rsidRDefault="007234DD">
            <w:pPr>
              <w:pStyle w:val="a5"/>
              <w:ind w:right="0"/>
              <w:jc w:val="right"/>
              <w:rPr>
                <w:szCs w:val="18"/>
              </w:rPr>
            </w:pPr>
            <w:r>
              <w:rPr>
                <w:szCs w:val="18"/>
              </w:rPr>
              <w:t>16,685,727</w:t>
            </w:r>
          </w:p>
        </w:tc>
        <w:tc>
          <w:tcPr>
            <w:tcW w:w="1307" w:type="dxa"/>
            <w:shd w:val="clear" w:color="auto" w:fill="auto"/>
          </w:tcPr>
          <w:p w:rsidR="007234DD" w:rsidRDefault="007234DD">
            <w:pPr>
              <w:pStyle w:val="a5"/>
              <w:ind w:right="0"/>
              <w:jc w:val="right"/>
              <w:rPr>
                <w:szCs w:val="18"/>
              </w:rPr>
            </w:pPr>
            <w:r>
              <w:rPr>
                <w:szCs w:val="18"/>
              </w:rPr>
              <w:t>115,835,078</w:t>
            </w:r>
          </w:p>
        </w:tc>
      </w:tr>
      <w:tr w:rsidR="007234DD">
        <w:trPr>
          <w:cantSplit/>
          <w:trHeight w:val="20"/>
        </w:trPr>
        <w:tc>
          <w:tcPr>
            <w:tcW w:w="1800" w:type="dxa"/>
            <w:shd w:val="clear" w:color="auto" w:fill="auto"/>
          </w:tcPr>
          <w:p w:rsidR="007234DD" w:rsidRDefault="007234DD">
            <w:pPr>
              <w:pStyle w:val="a5"/>
              <w:rPr>
                <w:szCs w:val="18"/>
                <w:rtl/>
              </w:rPr>
            </w:pPr>
            <w:r>
              <w:rPr>
                <w:rFonts w:hint="eastAsia"/>
                <w:szCs w:val="18"/>
              </w:rPr>
              <w:t>天课基金</w:t>
            </w:r>
          </w:p>
        </w:tc>
        <w:tc>
          <w:tcPr>
            <w:tcW w:w="1306" w:type="dxa"/>
            <w:shd w:val="clear" w:color="auto" w:fill="auto"/>
          </w:tcPr>
          <w:p w:rsidR="007234DD" w:rsidRDefault="007234DD">
            <w:pPr>
              <w:pStyle w:val="a5"/>
              <w:ind w:right="0"/>
              <w:jc w:val="right"/>
              <w:rPr>
                <w:szCs w:val="18"/>
              </w:rPr>
            </w:pPr>
            <w:r>
              <w:rPr>
                <w:szCs w:val="18"/>
              </w:rPr>
              <w:t>49,938</w:t>
            </w:r>
          </w:p>
        </w:tc>
        <w:tc>
          <w:tcPr>
            <w:tcW w:w="1307" w:type="dxa"/>
            <w:shd w:val="clear" w:color="auto" w:fill="auto"/>
          </w:tcPr>
          <w:p w:rsidR="007234DD" w:rsidRDefault="007234DD">
            <w:pPr>
              <w:pStyle w:val="a5"/>
              <w:ind w:right="0"/>
              <w:jc w:val="right"/>
              <w:rPr>
                <w:szCs w:val="18"/>
              </w:rPr>
            </w:pPr>
            <w:r>
              <w:rPr>
                <w:szCs w:val="18"/>
              </w:rPr>
              <w:t>265,005</w:t>
            </w:r>
          </w:p>
        </w:tc>
        <w:tc>
          <w:tcPr>
            <w:tcW w:w="1306" w:type="dxa"/>
            <w:shd w:val="clear" w:color="auto" w:fill="auto"/>
          </w:tcPr>
          <w:p w:rsidR="007234DD" w:rsidRDefault="007234DD">
            <w:pPr>
              <w:pStyle w:val="a5"/>
              <w:ind w:right="0"/>
              <w:jc w:val="right"/>
              <w:rPr>
                <w:szCs w:val="18"/>
              </w:rPr>
            </w:pPr>
            <w:r>
              <w:rPr>
                <w:szCs w:val="18"/>
              </w:rPr>
              <w:t>846,563</w:t>
            </w:r>
          </w:p>
        </w:tc>
        <w:tc>
          <w:tcPr>
            <w:tcW w:w="1307" w:type="dxa"/>
            <w:shd w:val="clear" w:color="auto" w:fill="auto"/>
          </w:tcPr>
          <w:p w:rsidR="007234DD" w:rsidRDefault="007234DD">
            <w:pPr>
              <w:pStyle w:val="a5"/>
              <w:ind w:right="0"/>
              <w:jc w:val="right"/>
              <w:rPr>
                <w:szCs w:val="18"/>
              </w:rPr>
            </w:pPr>
            <w:r>
              <w:rPr>
                <w:szCs w:val="18"/>
              </w:rPr>
              <w:t>2,569,840</w:t>
            </w:r>
          </w:p>
        </w:tc>
        <w:tc>
          <w:tcPr>
            <w:tcW w:w="1306" w:type="dxa"/>
            <w:shd w:val="clear" w:color="auto" w:fill="auto"/>
          </w:tcPr>
          <w:p w:rsidR="007234DD" w:rsidRDefault="007234DD">
            <w:pPr>
              <w:pStyle w:val="a5"/>
              <w:ind w:right="0"/>
              <w:jc w:val="right"/>
              <w:rPr>
                <w:szCs w:val="18"/>
              </w:rPr>
            </w:pPr>
            <w:r>
              <w:rPr>
                <w:szCs w:val="18"/>
              </w:rPr>
              <w:t>3,435,984</w:t>
            </w:r>
          </w:p>
        </w:tc>
        <w:tc>
          <w:tcPr>
            <w:tcW w:w="1307" w:type="dxa"/>
            <w:shd w:val="clear" w:color="auto" w:fill="auto"/>
          </w:tcPr>
          <w:p w:rsidR="007234DD" w:rsidRDefault="007234DD">
            <w:pPr>
              <w:pStyle w:val="a5"/>
              <w:ind w:right="0"/>
              <w:jc w:val="right"/>
              <w:rPr>
                <w:szCs w:val="18"/>
              </w:rPr>
            </w:pPr>
            <w:r>
              <w:rPr>
                <w:szCs w:val="18"/>
              </w:rPr>
              <w:t>5,462,106</w:t>
            </w:r>
          </w:p>
        </w:tc>
      </w:tr>
      <w:tr w:rsidR="007234DD">
        <w:trPr>
          <w:cantSplit/>
          <w:trHeight w:val="20"/>
        </w:trPr>
        <w:tc>
          <w:tcPr>
            <w:tcW w:w="1800" w:type="dxa"/>
            <w:shd w:val="clear" w:color="auto" w:fill="auto"/>
          </w:tcPr>
          <w:p w:rsidR="007234DD" w:rsidRDefault="007234DD">
            <w:pPr>
              <w:pStyle w:val="a5"/>
              <w:rPr>
                <w:szCs w:val="18"/>
                <w:rtl/>
              </w:rPr>
            </w:pPr>
            <w:r>
              <w:rPr>
                <w:rFonts w:hint="eastAsia"/>
                <w:szCs w:val="18"/>
              </w:rPr>
              <w:t>援助亚洲基金</w:t>
            </w:r>
          </w:p>
        </w:tc>
        <w:tc>
          <w:tcPr>
            <w:tcW w:w="1306" w:type="dxa"/>
            <w:shd w:val="clear" w:color="auto" w:fill="auto"/>
          </w:tcPr>
          <w:p w:rsidR="007234DD" w:rsidRDefault="007234DD">
            <w:pPr>
              <w:pStyle w:val="a5"/>
              <w:ind w:right="0"/>
              <w:jc w:val="right"/>
              <w:rPr>
                <w:szCs w:val="18"/>
              </w:rPr>
            </w:pPr>
          </w:p>
        </w:tc>
        <w:tc>
          <w:tcPr>
            <w:tcW w:w="1307" w:type="dxa"/>
            <w:shd w:val="clear" w:color="auto" w:fill="auto"/>
          </w:tcPr>
          <w:p w:rsidR="007234DD" w:rsidRDefault="007234DD">
            <w:pPr>
              <w:pStyle w:val="a5"/>
              <w:ind w:right="0"/>
              <w:jc w:val="right"/>
              <w:rPr>
                <w:szCs w:val="18"/>
              </w:rPr>
            </w:pPr>
          </w:p>
        </w:tc>
        <w:tc>
          <w:tcPr>
            <w:tcW w:w="1306" w:type="dxa"/>
            <w:shd w:val="clear" w:color="auto" w:fill="auto"/>
          </w:tcPr>
          <w:p w:rsidR="007234DD" w:rsidRDefault="007234DD">
            <w:pPr>
              <w:pStyle w:val="a5"/>
              <w:ind w:right="0"/>
              <w:jc w:val="right"/>
              <w:rPr>
                <w:szCs w:val="18"/>
              </w:rPr>
            </w:pPr>
            <w:r>
              <w:rPr>
                <w:szCs w:val="18"/>
              </w:rPr>
              <w:t>1,286,064</w:t>
            </w:r>
          </w:p>
        </w:tc>
        <w:tc>
          <w:tcPr>
            <w:tcW w:w="1307" w:type="dxa"/>
            <w:shd w:val="clear" w:color="auto" w:fill="auto"/>
          </w:tcPr>
          <w:p w:rsidR="007234DD" w:rsidRDefault="007234DD">
            <w:pPr>
              <w:pStyle w:val="a5"/>
              <w:ind w:right="0"/>
              <w:jc w:val="right"/>
              <w:rPr>
                <w:szCs w:val="18"/>
              </w:rPr>
            </w:pPr>
            <w:r>
              <w:rPr>
                <w:szCs w:val="18"/>
              </w:rPr>
              <w:t>3,024,665</w:t>
            </w:r>
          </w:p>
        </w:tc>
        <w:tc>
          <w:tcPr>
            <w:tcW w:w="1306" w:type="dxa"/>
            <w:shd w:val="clear" w:color="auto" w:fill="auto"/>
          </w:tcPr>
          <w:p w:rsidR="007234DD" w:rsidRDefault="007234DD">
            <w:pPr>
              <w:pStyle w:val="a5"/>
              <w:ind w:right="0"/>
              <w:jc w:val="right"/>
              <w:rPr>
                <w:szCs w:val="18"/>
              </w:rPr>
            </w:pPr>
            <w:r>
              <w:rPr>
                <w:szCs w:val="18"/>
              </w:rPr>
              <w:t>1,651,927</w:t>
            </w:r>
          </w:p>
        </w:tc>
        <w:tc>
          <w:tcPr>
            <w:tcW w:w="1307" w:type="dxa"/>
            <w:shd w:val="clear" w:color="auto" w:fill="auto"/>
          </w:tcPr>
          <w:p w:rsidR="007234DD" w:rsidRDefault="007234DD">
            <w:pPr>
              <w:pStyle w:val="a5"/>
              <w:ind w:right="0"/>
              <w:jc w:val="right"/>
              <w:rPr>
                <w:szCs w:val="18"/>
              </w:rPr>
            </w:pPr>
            <w:r>
              <w:rPr>
                <w:szCs w:val="18"/>
              </w:rPr>
              <w:t>7,011,349</w:t>
            </w:r>
          </w:p>
        </w:tc>
      </w:tr>
      <w:tr w:rsidR="007234DD">
        <w:trPr>
          <w:cantSplit/>
          <w:trHeight w:val="20"/>
        </w:trPr>
        <w:tc>
          <w:tcPr>
            <w:tcW w:w="1800" w:type="dxa"/>
            <w:shd w:val="clear" w:color="auto" w:fill="auto"/>
          </w:tcPr>
          <w:p w:rsidR="007234DD" w:rsidRDefault="007234DD">
            <w:pPr>
              <w:pStyle w:val="a5"/>
              <w:rPr>
                <w:szCs w:val="18"/>
                <w:rtl/>
              </w:rPr>
            </w:pPr>
            <w:r>
              <w:rPr>
                <w:rFonts w:hint="eastAsia"/>
                <w:szCs w:val="18"/>
              </w:rPr>
              <w:t>伊斯兰宣教组织</w:t>
            </w:r>
          </w:p>
        </w:tc>
        <w:tc>
          <w:tcPr>
            <w:tcW w:w="1306" w:type="dxa"/>
            <w:shd w:val="clear" w:color="auto" w:fill="auto"/>
          </w:tcPr>
          <w:p w:rsidR="007234DD" w:rsidRDefault="007234DD">
            <w:pPr>
              <w:pStyle w:val="a5"/>
              <w:ind w:right="0"/>
              <w:jc w:val="right"/>
              <w:rPr>
                <w:szCs w:val="18"/>
              </w:rPr>
            </w:pPr>
            <w:r>
              <w:rPr>
                <w:szCs w:val="18"/>
              </w:rPr>
              <w:t>620,280</w:t>
            </w:r>
          </w:p>
        </w:tc>
        <w:tc>
          <w:tcPr>
            <w:tcW w:w="1307" w:type="dxa"/>
            <w:shd w:val="clear" w:color="auto" w:fill="auto"/>
          </w:tcPr>
          <w:p w:rsidR="007234DD" w:rsidRDefault="007234DD">
            <w:pPr>
              <w:pStyle w:val="a5"/>
              <w:ind w:right="0"/>
              <w:jc w:val="right"/>
              <w:rPr>
                <w:szCs w:val="18"/>
              </w:rPr>
            </w:pPr>
            <w:r>
              <w:rPr>
                <w:szCs w:val="18"/>
              </w:rPr>
              <w:t>401,186</w:t>
            </w:r>
          </w:p>
        </w:tc>
        <w:tc>
          <w:tcPr>
            <w:tcW w:w="1306" w:type="dxa"/>
            <w:shd w:val="clear" w:color="auto" w:fill="auto"/>
          </w:tcPr>
          <w:p w:rsidR="007234DD" w:rsidRDefault="007234DD">
            <w:pPr>
              <w:pStyle w:val="a5"/>
              <w:ind w:right="0"/>
              <w:jc w:val="right"/>
              <w:rPr>
                <w:szCs w:val="18"/>
              </w:rPr>
            </w:pPr>
            <w:r>
              <w:rPr>
                <w:szCs w:val="18"/>
              </w:rPr>
              <w:t>1,093,693</w:t>
            </w:r>
          </w:p>
        </w:tc>
        <w:tc>
          <w:tcPr>
            <w:tcW w:w="1307" w:type="dxa"/>
            <w:shd w:val="clear" w:color="auto" w:fill="auto"/>
          </w:tcPr>
          <w:p w:rsidR="007234DD" w:rsidRDefault="007234DD">
            <w:pPr>
              <w:pStyle w:val="a5"/>
              <w:ind w:right="0"/>
              <w:jc w:val="right"/>
              <w:rPr>
                <w:szCs w:val="18"/>
              </w:rPr>
            </w:pPr>
            <w:r>
              <w:rPr>
                <w:szCs w:val="18"/>
              </w:rPr>
              <w:t>370,821</w:t>
            </w:r>
          </w:p>
        </w:tc>
        <w:tc>
          <w:tcPr>
            <w:tcW w:w="1306" w:type="dxa"/>
            <w:shd w:val="clear" w:color="auto" w:fill="auto"/>
          </w:tcPr>
          <w:p w:rsidR="007234DD" w:rsidRDefault="007234DD">
            <w:pPr>
              <w:pStyle w:val="a5"/>
              <w:ind w:right="0"/>
              <w:jc w:val="right"/>
              <w:rPr>
                <w:szCs w:val="18"/>
              </w:rPr>
            </w:pPr>
            <w:r>
              <w:rPr>
                <w:szCs w:val="18"/>
              </w:rPr>
              <w:t>1,252,229</w:t>
            </w:r>
          </w:p>
        </w:tc>
        <w:tc>
          <w:tcPr>
            <w:tcW w:w="1307" w:type="dxa"/>
            <w:shd w:val="clear" w:color="auto" w:fill="auto"/>
          </w:tcPr>
          <w:p w:rsidR="007234DD" w:rsidRDefault="007234DD">
            <w:pPr>
              <w:pStyle w:val="a5"/>
              <w:ind w:right="0"/>
              <w:jc w:val="right"/>
              <w:rPr>
                <w:szCs w:val="18"/>
              </w:rPr>
            </w:pPr>
            <w:r>
              <w:rPr>
                <w:szCs w:val="18"/>
              </w:rPr>
              <w:t>1,997,641</w:t>
            </w:r>
          </w:p>
        </w:tc>
      </w:tr>
      <w:tr w:rsidR="007234DD">
        <w:trPr>
          <w:cantSplit/>
          <w:trHeight w:val="20"/>
        </w:trPr>
        <w:tc>
          <w:tcPr>
            <w:tcW w:w="1800" w:type="dxa"/>
            <w:shd w:val="clear" w:color="auto" w:fill="auto"/>
          </w:tcPr>
          <w:p w:rsidR="007234DD" w:rsidRDefault="007234DD">
            <w:pPr>
              <w:pStyle w:val="a5"/>
              <w:rPr>
                <w:szCs w:val="18"/>
                <w:rtl/>
              </w:rPr>
            </w:pPr>
            <w:r>
              <w:rPr>
                <w:szCs w:val="18"/>
              </w:rPr>
              <w:t>谢赫</w:t>
            </w:r>
            <w:r>
              <w:rPr>
                <w:szCs w:val="18"/>
              </w:rPr>
              <w:t>•</w:t>
            </w:r>
            <w:r>
              <w:rPr>
                <w:szCs w:val="18"/>
              </w:rPr>
              <w:t>贾西姆</w:t>
            </w:r>
            <w:r>
              <w:rPr>
                <w:rFonts w:hint="eastAsia"/>
                <w:szCs w:val="18"/>
              </w:rPr>
              <w:t>慈善基金会</w:t>
            </w:r>
          </w:p>
        </w:tc>
        <w:tc>
          <w:tcPr>
            <w:tcW w:w="1306" w:type="dxa"/>
            <w:shd w:val="clear" w:color="auto" w:fill="auto"/>
          </w:tcPr>
          <w:p w:rsidR="007234DD" w:rsidRDefault="007234DD">
            <w:pPr>
              <w:pStyle w:val="a5"/>
              <w:ind w:right="0"/>
              <w:jc w:val="right"/>
              <w:rPr>
                <w:szCs w:val="18"/>
              </w:rPr>
            </w:pPr>
            <w:r>
              <w:rPr>
                <w:szCs w:val="18"/>
              </w:rPr>
              <w:t>32,875</w:t>
            </w:r>
          </w:p>
        </w:tc>
        <w:tc>
          <w:tcPr>
            <w:tcW w:w="1307" w:type="dxa"/>
            <w:shd w:val="clear" w:color="auto" w:fill="auto"/>
          </w:tcPr>
          <w:p w:rsidR="007234DD" w:rsidRDefault="007234DD">
            <w:pPr>
              <w:pStyle w:val="a5"/>
              <w:ind w:right="0"/>
              <w:jc w:val="right"/>
              <w:rPr>
                <w:szCs w:val="18"/>
              </w:rPr>
            </w:pPr>
            <w:r>
              <w:rPr>
                <w:szCs w:val="18"/>
              </w:rPr>
              <w:t>80,861</w:t>
            </w:r>
          </w:p>
        </w:tc>
        <w:tc>
          <w:tcPr>
            <w:tcW w:w="1306" w:type="dxa"/>
            <w:shd w:val="clear" w:color="auto" w:fill="auto"/>
          </w:tcPr>
          <w:p w:rsidR="007234DD" w:rsidRDefault="007234DD">
            <w:pPr>
              <w:pStyle w:val="a5"/>
              <w:ind w:right="0"/>
              <w:jc w:val="right"/>
              <w:rPr>
                <w:szCs w:val="18"/>
              </w:rPr>
            </w:pPr>
            <w:r>
              <w:rPr>
                <w:szCs w:val="18"/>
              </w:rPr>
              <w:t>6,000</w:t>
            </w:r>
          </w:p>
        </w:tc>
        <w:tc>
          <w:tcPr>
            <w:tcW w:w="1307" w:type="dxa"/>
            <w:shd w:val="clear" w:color="auto" w:fill="auto"/>
          </w:tcPr>
          <w:p w:rsidR="007234DD" w:rsidRDefault="007234DD">
            <w:pPr>
              <w:pStyle w:val="a5"/>
              <w:ind w:right="0"/>
              <w:jc w:val="right"/>
              <w:rPr>
                <w:szCs w:val="18"/>
              </w:rPr>
            </w:pPr>
            <w:r>
              <w:rPr>
                <w:szCs w:val="18"/>
              </w:rPr>
              <w:t>547,915</w:t>
            </w:r>
          </w:p>
        </w:tc>
        <w:tc>
          <w:tcPr>
            <w:tcW w:w="1306" w:type="dxa"/>
            <w:shd w:val="clear" w:color="auto" w:fill="auto"/>
          </w:tcPr>
          <w:p w:rsidR="007234DD" w:rsidRDefault="007234DD">
            <w:pPr>
              <w:pStyle w:val="a5"/>
              <w:ind w:right="0"/>
              <w:jc w:val="right"/>
              <w:rPr>
                <w:szCs w:val="18"/>
              </w:rPr>
            </w:pPr>
            <w:r>
              <w:rPr>
                <w:szCs w:val="18"/>
              </w:rPr>
              <w:t>49,942</w:t>
            </w:r>
          </w:p>
        </w:tc>
        <w:tc>
          <w:tcPr>
            <w:tcW w:w="1307" w:type="dxa"/>
            <w:shd w:val="clear" w:color="auto" w:fill="auto"/>
          </w:tcPr>
          <w:p w:rsidR="007234DD" w:rsidRDefault="007234DD">
            <w:pPr>
              <w:pStyle w:val="a5"/>
              <w:ind w:right="0"/>
              <w:jc w:val="right"/>
              <w:rPr>
                <w:szCs w:val="18"/>
              </w:rPr>
            </w:pPr>
            <w:r>
              <w:rPr>
                <w:szCs w:val="18"/>
              </w:rPr>
              <w:t>671,280</w:t>
            </w:r>
          </w:p>
        </w:tc>
      </w:tr>
      <w:tr w:rsidR="007234DD">
        <w:trPr>
          <w:cantSplit/>
          <w:trHeight w:val="20"/>
        </w:trPr>
        <w:tc>
          <w:tcPr>
            <w:tcW w:w="1800" w:type="dxa"/>
            <w:tcBorders>
              <w:bottom w:val="single" w:sz="4" w:space="0" w:color="auto"/>
            </w:tcBorders>
            <w:shd w:val="clear" w:color="auto" w:fill="auto"/>
          </w:tcPr>
          <w:p w:rsidR="007234DD" w:rsidRDefault="007234DD">
            <w:pPr>
              <w:pStyle w:val="a5"/>
              <w:rPr>
                <w:szCs w:val="18"/>
                <w:rtl/>
              </w:rPr>
            </w:pPr>
            <w:r>
              <w:rPr>
                <w:szCs w:val="18"/>
              </w:rPr>
              <w:t>谢赫</w:t>
            </w:r>
            <w:r>
              <w:rPr>
                <w:szCs w:val="18"/>
              </w:rPr>
              <w:t>•</w:t>
            </w:r>
            <w:r>
              <w:rPr>
                <w:szCs w:val="18"/>
              </w:rPr>
              <w:t>萨尼</w:t>
            </w:r>
            <w:r>
              <w:rPr>
                <w:szCs w:val="18"/>
              </w:rPr>
              <w:t>•</w:t>
            </w:r>
            <w:r>
              <w:rPr>
                <w:szCs w:val="18"/>
              </w:rPr>
              <w:t>本</w:t>
            </w:r>
            <w:r>
              <w:rPr>
                <w:szCs w:val="18"/>
              </w:rPr>
              <w:t>•</w:t>
            </w:r>
            <w:r>
              <w:rPr>
                <w:szCs w:val="18"/>
              </w:rPr>
              <w:t>阿卜杜拉</w:t>
            </w:r>
            <w:r>
              <w:rPr>
                <w:szCs w:val="18"/>
              </w:rPr>
              <w:t xml:space="preserve"> </w:t>
            </w:r>
            <w:r>
              <w:rPr>
                <w:rFonts w:hint="eastAsia"/>
                <w:szCs w:val="18"/>
              </w:rPr>
              <w:t>基金会</w:t>
            </w:r>
          </w:p>
        </w:tc>
        <w:tc>
          <w:tcPr>
            <w:tcW w:w="1306" w:type="dxa"/>
            <w:tcBorders>
              <w:bottom w:val="single" w:sz="4" w:space="0" w:color="auto"/>
            </w:tcBorders>
            <w:shd w:val="clear" w:color="auto" w:fill="auto"/>
          </w:tcPr>
          <w:p w:rsidR="007234DD" w:rsidRDefault="007234DD">
            <w:pPr>
              <w:pStyle w:val="a5"/>
              <w:ind w:right="0"/>
              <w:jc w:val="right"/>
              <w:rPr>
                <w:szCs w:val="18"/>
              </w:rPr>
            </w:pPr>
          </w:p>
        </w:tc>
        <w:tc>
          <w:tcPr>
            <w:tcW w:w="1307" w:type="dxa"/>
            <w:tcBorders>
              <w:bottom w:val="single" w:sz="4" w:space="0" w:color="auto"/>
            </w:tcBorders>
            <w:shd w:val="clear" w:color="auto" w:fill="auto"/>
          </w:tcPr>
          <w:p w:rsidR="007234DD" w:rsidRDefault="007234DD">
            <w:pPr>
              <w:pStyle w:val="a5"/>
              <w:ind w:right="0"/>
              <w:jc w:val="right"/>
              <w:rPr>
                <w:szCs w:val="18"/>
              </w:rPr>
            </w:pPr>
          </w:p>
        </w:tc>
        <w:tc>
          <w:tcPr>
            <w:tcW w:w="1306" w:type="dxa"/>
            <w:tcBorders>
              <w:bottom w:val="single" w:sz="4" w:space="0" w:color="auto"/>
            </w:tcBorders>
            <w:shd w:val="clear" w:color="auto" w:fill="auto"/>
          </w:tcPr>
          <w:p w:rsidR="007234DD" w:rsidRDefault="007234DD">
            <w:pPr>
              <w:pStyle w:val="a5"/>
              <w:ind w:right="0"/>
              <w:jc w:val="right"/>
              <w:rPr>
                <w:szCs w:val="18"/>
              </w:rPr>
            </w:pPr>
          </w:p>
        </w:tc>
        <w:tc>
          <w:tcPr>
            <w:tcW w:w="1307" w:type="dxa"/>
            <w:tcBorders>
              <w:bottom w:val="single" w:sz="4" w:space="0" w:color="auto"/>
            </w:tcBorders>
            <w:shd w:val="clear" w:color="auto" w:fill="auto"/>
          </w:tcPr>
          <w:p w:rsidR="007234DD" w:rsidRDefault="007234DD">
            <w:pPr>
              <w:pStyle w:val="a5"/>
              <w:ind w:right="0"/>
              <w:jc w:val="right"/>
              <w:rPr>
                <w:szCs w:val="18"/>
              </w:rPr>
            </w:pPr>
          </w:p>
        </w:tc>
        <w:tc>
          <w:tcPr>
            <w:tcW w:w="1306" w:type="dxa"/>
            <w:tcBorders>
              <w:bottom w:val="single" w:sz="4" w:space="0" w:color="auto"/>
            </w:tcBorders>
            <w:shd w:val="clear" w:color="auto" w:fill="auto"/>
          </w:tcPr>
          <w:p w:rsidR="007234DD" w:rsidRDefault="007234DD">
            <w:pPr>
              <w:pStyle w:val="a5"/>
              <w:ind w:right="0"/>
              <w:jc w:val="right"/>
              <w:rPr>
                <w:szCs w:val="18"/>
              </w:rPr>
            </w:pPr>
          </w:p>
        </w:tc>
        <w:tc>
          <w:tcPr>
            <w:tcW w:w="1307" w:type="dxa"/>
            <w:tcBorders>
              <w:bottom w:val="single" w:sz="4" w:space="0" w:color="auto"/>
            </w:tcBorders>
            <w:shd w:val="clear" w:color="auto" w:fill="auto"/>
          </w:tcPr>
          <w:p w:rsidR="007234DD" w:rsidRDefault="007234DD">
            <w:pPr>
              <w:pStyle w:val="a5"/>
              <w:ind w:right="0"/>
              <w:jc w:val="right"/>
              <w:rPr>
                <w:szCs w:val="18"/>
              </w:rPr>
            </w:pPr>
            <w:r>
              <w:rPr>
                <w:szCs w:val="18"/>
              </w:rPr>
              <w:t>533,577</w:t>
            </w:r>
          </w:p>
        </w:tc>
      </w:tr>
      <w:tr w:rsidR="007234DD">
        <w:trPr>
          <w:cantSplit/>
          <w:trHeight w:val="20"/>
        </w:trPr>
        <w:tc>
          <w:tcPr>
            <w:tcW w:w="1800"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szCs w:val="18"/>
                <w:rtl/>
              </w:rPr>
            </w:pPr>
            <w:r>
              <w:rPr>
                <w:rFonts w:eastAsia="SimHei" w:hint="eastAsia"/>
                <w:szCs w:val="18"/>
              </w:rPr>
              <w:t>合计</w:t>
            </w:r>
          </w:p>
        </w:tc>
        <w:tc>
          <w:tcPr>
            <w:tcW w:w="1306"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13,661,716</w:t>
            </w:r>
          </w:p>
        </w:tc>
        <w:tc>
          <w:tcPr>
            <w:tcW w:w="1307"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22,278,964</w:t>
            </w:r>
          </w:p>
        </w:tc>
        <w:tc>
          <w:tcPr>
            <w:tcW w:w="1306"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61,337,931</w:t>
            </w:r>
          </w:p>
        </w:tc>
        <w:tc>
          <w:tcPr>
            <w:tcW w:w="1307"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73,115,476</w:t>
            </w:r>
          </w:p>
        </w:tc>
        <w:tc>
          <w:tcPr>
            <w:tcW w:w="1306"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114,857,316</w:t>
            </w:r>
          </w:p>
        </w:tc>
        <w:tc>
          <w:tcPr>
            <w:tcW w:w="1307"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313,814,222</w:t>
            </w:r>
          </w:p>
        </w:tc>
      </w:tr>
    </w:tbl>
    <w:p w:rsidR="007234DD" w:rsidRDefault="0046422A" w:rsidP="0046422A">
      <w:pPr>
        <w:pStyle w:val="SingleTxtGC"/>
        <w:tabs>
          <w:tab w:val="clear" w:pos="431"/>
          <w:tab w:val="left" w:pos="210"/>
        </w:tabs>
        <w:spacing w:before="120"/>
        <w:ind w:left="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外交部，卡塔尔提供的发展援助，</w:t>
      </w:r>
      <w:r w:rsidR="007234DD">
        <w:rPr>
          <w:rFonts w:hint="eastAsia"/>
          <w:sz w:val="19"/>
          <w:szCs w:val="19"/>
        </w:rPr>
        <w:t>2009</w:t>
      </w:r>
      <w:r w:rsidR="007234DD">
        <w:rPr>
          <w:rFonts w:hint="eastAsia"/>
          <w:sz w:val="19"/>
          <w:szCs w:val="19"/>
        </w:rPr>
        <w:t>年和</w:t>
      </w:r>
      <w:r w:rsidR="007234DD">
        <w:rPr>
          <w:rFonts w:hint="eastAsia"/>
          <w:sz w:val="19"/>
          <w:szCs w:val="19"/>
        </w:rPr>
        <w:t>2010</w:t>
      </w:r>
      <w:r w:rsidR="007234DD">
        <w:rPr>
          <w:rFonts w:hint="eastAsia"/>
          <w:sz w:val="19"/>
          <w:szCs w:val="19"/>
        </w:rPr>
        <w:t>年。</w:t>
      </w:r>
    </w:p>
    <w:p w:rsidR="007234DD" w:rsidRDefault="007234DD">
      <w:pPr>
        <w:pStyle w:val="H1GC"/>
      </w:pPr>
      <w:r>
        <w:tab/>
        <w:t>F.</w:t>
      </w:r>
      <w:r>
        <w:tab/>
      </w:r>
      <w:r>
        <w:t>国家一级的报告程序</w:t>
      </w:r>
    </w:p>
    <w:p w:rsidR="007234DD" w:rsidRDefault="007234DD">
      <w:pPr>
        <w:pStyle w:val="SingleTxtGC"/>
      </w:pPr>
      <w:r>
        <w:t xml:space="preserve">97.  </w:t>
      </w:r>
      <w:r>
        <w:rPr>
          <w:rFonts w:hint="eastAsia"/>
        </w:rPr>
        <w:t>卡塔尔致力于履行它在所加入的所有国际条约下承担的义务。大臣会议设立了多个联合委员会，负责起草关于这些条约执行情况的国际报告。委员会成员代表参与执行每项条约的各主要政府机构，即外交部、最高家庭事务委员会、司法部、最高教育委员会、最高卫生委员会和统计局。此外，还包括有关非政府组织的代表。它们是：国家人权委员会、卡塔尔保护儿童和妇女基金会和卡塔尔打击人口贩运基金会。这些委员会的工作通常由外交部主持，不过起草关于《儿童权利公约》、《儿童权利公约关于买卖儿童、儿童卖淫和儿童色情制品的任择议定书》和《消除对妇女一切形式歧视公约》的报告的委员会工作均由最高家庭事务委员会主持。</w:t>
      </w:r>
    </w:p>
    <w:p w:rsidR="007234DD" w:rsidRDefault="007234DD">
      <w:pPr>
        <w:pStyle w:val="SingleTxtGC"/>
      </w:pPr>
      <w:r>
        <w:t xml:space="preserve">98.  </w:t>
      </w:r>
      <w:r>
        <w:rPr>
          <w:rFonts w:hint="eastAsia"/>
        </w:rPr>
        <w:t>大臣会议组成代表团，向各人权条约机构介绍并与之讨论国家报告。卡塔尔确保代表团由高级别的代表组成，并确保参与起草过程的所有机构都有代表参加。它还跟进各条约机构发布的结论性意见。作为参与该领域的主要机构，外交部与所有其他机构保持联络，就结论性意见进行讨论。它鼓励各部委和其他组织在制订年度计划和方案时考虑到这些意见。</w:t>
      </w:r>
    </w:p>
    <w:p w:rsidR="007234DD" w:rsidRDefault="007234DD">
      <w:pPr>
        <w:pStyle w:val="SingleTxtGC"/>
      </w:pPr>
      <w:r>
        <w:t xml:space="preserve">99.  </w:t>
      </w:r>
      <w:r>
        <w:rPr>
          <w:rFonts w:hint="eastAsia"/>
        </w:rPr>
        <w:t>作为负责处理儿童问题的领导机构，最高家庭事务委员会跟进儿童权利委员会发布的结论性意见，并采取措施确保它们在国家关于儿童问题的战略和计划中得到体现。该委员会在其网站上公布卡塔尔向儿童权利委员会提交的报告以及儿童权利委员会的结论性意见，以确保它们广为人知。</w:t>
      </w:r>
    </w:p>
    <w:p w:rsidR="007234DD" w:rsidRDefault="007234DD">
      <w:pPr>
        <w:pStyle w:val="HChGC"/>
        <w:rPr>
          <w:rFonts w:hint="eastAsia"/>
        </w:rPr>
      </w:pPr>
      <w:r>
        <w:rPr>
          <w:rFonts w:hint="eastAsia"/>
        </w:rPr>
        <w:tab/>
      </w:r>
      <w:r>
        <w:rPr>
          <w:rFonts w:hint="eastAsia"/>
        </w:rPr>
        <w:t>三</w:t>
      </w:r>
      <w:r>
        <w:t>.</w:t>
      </w:r>
      <w:r>
        <w:rPr>
          <w:rFonts w:hint="eastAsia"/>
        </w:rPr>
        <w:tab/>
      </w:r>
      <w:r>
        <w:rPr>
          <w:rFonts w:hint="eastAsia"/>
        </w:rPr>
        <w:t>关于《公约》条款的信息和对各条款的实质性讨论</w:t>
      </w:r>
    </w:p>
    <w:p w:rsidR="007234DD" w:rsidRDefault="007234DD">
      <w:pPr>
        <w:pStyle w:val="SingleTxtGC"/>
        <w:rPr>
          <w:rFonts w:hint="eastAsia"/>
        </w:rPr>
      </w:pPr>
      <w:r>
        <w:t xml:space="preserve">100.  </w:t>
      </w:r>
      <w:r>
        <w:rPr>
          <w:rFonts w:hint="eastAsia"/>
        </w:rPr>
        <w:t>本部分报告逐条讨论《公约》内容，并介绍适用于各条款的宪法与立法框架，实际执行某些条款的困难与挑战，以及今后在所有领域提高妇女地位的计划。在探讨各条款时尽量注意避免重复，以免影响报告的清晰度。本节报告以统计局和其他机构编制的官方数据为依据。</w:t>
      </w:r>
    </w:p>
    <w:p w:rsidR="007234DD" w:rsidRDefault="007234DD">
      <w:pPr>
        <w:pStyle w:val="H1GC"/>
        <w:rPr>
          <w:rFonts w:hint="eastAsia"/>
        </w:rPr>
      </w:pPr>
      <w:r>
        <w:rPr>
          <w:rFonts w:hint="eastAsia"/>
        </w:rPr>
        <w:tab/>
      </w:r>
      <w:r>
        <w:rPr>
          <w:rFonts w:hint="eastAsia"/>
        </w:rPr>
        <w:tab/>
      </w:r>
      <w:r>
        <w:rPr>
          <w:rFonts w:hint="eastAsia"/>
        </w:rPr>
        <w:t>第一条</w:t>
      </w:r>
      <w:r>
        <w:rPr>
          <w:rFonts w:hint="eastAsia"/>
        </w:rPr>
        <w:br/>
      </w:r>
      <w:r>
        <w:rPr>
          <w:rFonts w:hint="eastAsia"/>
        </w:rPr>
        <w:t>对妇女的歧视</w:t>
      </w:r>
    </w:p>
    <w:p w:rsidR="007234DD" w:rsidRDefault="007234DD">
      <w:pPr>
        <w:pStyle w:val="H23GC"/>
        <w:rPr>
          <w:rFonts w:hint="eastAsia"/>
        </w:rPr>
      </w:pPr>
      <w:r>
        <w:rPr>
          <w:rFonts w:hint="eastAsia"/>
        </w:rPr>
        <w:tab/>
      </w:r>
      <w:r>
        <w:rPr>
          <w:rFonts w:hint="eastAsia"/>
        </w:rPr>
        <w:tab/>
      </w:r>
      <w:r>
        <w:rPr>
          <w:rFonts w:hint="eastAsia"/>
        </w:rPr>
        <w:t>宪法</w:t>
      </w:r>
    </w:p>
    <w:p w:rsidR="007234DD" w:rsidRDefault="007234DD">
      <w:pPr>
        <w:pStyle w:val="SingleTxtGC"/>
      </w:pPr>
      <w:r>
        <w:t xml:space="preserve">101.  </w:t>
      </w:r>
      <w:r>
        <w:rPr>
          <w:rFonts w:hint="eastAsia"/>
        </w:rPr>
        <w:t>《卡塔尔宪法》确认，所有公民，不分性别，均依法享有平等权利并承担平等义务。因此，妇女得到保护，以免遭受一切形式的歧视。她们享有的平等机会使她们能够增强自己的能力，保护和促进她们的权利，以及促进她们建设性地参与社会发展。《宪法》将不歧视原则作为一般性的和有约束力的原则。《宪法》第</w:t>
      </w:r>
      <w:r>
        <w:rPr>
          <w:rFonts w:hint="eastAsia"/>
        </w:rPr>
        <w:t>34</w:t>
      </w:r>
      <w:r>
        <w:rPr>
          <w:rFonts w:hint="eastAsia"/>
        </w:rPr>
        <w:t>条规定：“公民享有平等的公共权利并承担平等的公共义务”。卡塔尔社会的所有群体</w:t>
      </w:r>
      <w:r>
        <w:rPr>
          <w:rFonts w:hint="eastAsia"/>
          <w:spacing w:val="-50"/>
        </w:rPr>
        <w:t>―</w:t>
      </w:r>
      <w:r>
        <w:rPr>
          <w:rFonts w:hint="eastAsia"/>
          <w:spacing w:val="10"/>
        </w:rPr>
        <w:t>―</w:t>
      </w:r>
      <w:r>
        <w:rPr>
          <w:rFonts w:hint="eastAsia"/>
        </w:rPr>
        <w:t>男子、妇女和儿童</w:t>
      </w:r>
      <w:r>
        <w:rPr>
          <w:rFonts w:hint="eastAsia"/>
        </w:rPr>
        <w:t xml:space="preserve"> </w:t>
      </w:r>
      <w:r>
        <w:rPr>
          <w:rFonts w:hint="eastAsia"/>
          <w:spacing w:val="-50"/>
        </w:rPr>
        <w:t>―</w:t>
      </w:r>
      <w:r>
        <w:rPr>
          <w:rFonts w:hint="eastAsia"/>
          <w:spacing w:val="10"/>
        </w:rPr>
        <w:t>―</w:t>
      </w:r>
      <w:r>
        <w:rPr>
          <w:rFonts w:hint="eastAsia"/>
        </w:rPr>
        <w:t>都被称为“公民”。这是一个通用术语，既适用于男性也适用于女性，他们享有平等的权利并承担平等的义务，没有任何区别。下面列出《宪法》规定的承认性别平等和获得平等机会的权利的基本原则。</w:t>
      </w:r>
    </w:p>
    <w:p w:rsidR="007234DD" w:rsidRDefault="007234DD">
      <w:pPr>
        <w:pStyle w:val="Bullet1GC"/>
      </w:pPr>
      <w:r>
        <w:rPr>
          <w:rFonts w:hint="eastAsia"/>
        </w:rPr>
        <w:t>第</w:t>
      </w:r>
      <w:r>
        <w:rPr>
          <w:rFonts w:hint="eastAsia"/>
        </w:rPr>
        <w:t>18</w:t>
      </w:r>
      <w:r>
        <w:rPr>
          <w:rFonts w:hint="eastAsia"/>
        </w:rPr>
        <w:t>条：卡塔尔社会建立在正义、仁爱、自由、平等和崇高道德价值观的基础上。</w:t>
      </w:r>
    </w:p>
    <w:p w:rsidR="007234DD" w:rsidRDefault="007234DD">
      <w:pPr>
        <w:pStyle w:val="Bullet1GC"/>
      </w:pPr>
      <w:r>
        <w:rPr>
          <w:rFonts w:hint="eastAsia"/>
        </w:rPr>
        <w:t>第</w:t>
      </w:r>
      <w:r>
        <w:rPr>
          <w:rFonts w:hint="eastAsia"/>
        </w:rPr>
        <w:t>19</w:t>
      </w:r>
      <w:r>
        <w:rPr>
          <w:rFonts w:hint="eastAsia"/>
        </w:rPr>
        <w:t>条：国家应维护社会的根基，并应确保公民的安全、稳定和机会平等。</w:t>
      </w:r>
    </w:p>
    <w:p w:rsidR="007234DD" w:rsidRDefault="007234DD">
      <w:pPr>
        <w:pStyle w:val="Bullet1GC"/>
      </w:pPr>
      <w:r>
        <w:rPr>
          <w:rFonts w:hint="eastAsia"/>
        </w:rPr>
        <w:t>第</w:t>
      </w:r>
      <w:r>
        <w:rPr>
          <w:rFonts w:hint="eastAsia"/>
        </w:rPr>
        <w:t>34</w:t>
      </w:r>
      <w:r>
        <w:rPr>
          <w:rFonts w:hint="eastAsia"/>
        </w:rPr>
        <w:t>条：公民享有平等的公共权利并承担平等的公共义务。</w:t>
      </w:r>
    </w:p>
    <w:p w:rsidR="007234DD" w:rsidRDefault="007234DD">
      <w:pPr>
        <w:pStyle w:val="Bullet1GC"/>
      </w:pPr>
      <w:r>
        <w:rPr>
          <w:rFonts w:hint="eastAsia"/>
        </w:rPr>
        <w:t>第</w:t>
      </w:r>
      <w:r>
        <w:rPr>
          <w:rFonts w:hint="eastAsia"/>
        </w:rPr>
        <w:t>35</w:t>
      </w:r>
      <w:r>
        <w:rPr>
          <w:rFonts w:hint="eastAsia"/>
        </w:rPr>
        <w:t>条：法律面前人人平等。人与人之间不得存在以性别、出身、语言或宗教为理由的歧视。</w:t>
      </w:r>
    </w:p>
    <w:p w:rsidR="007234DD" w:rsidRDefault="007234DD">
      <w:pPr>
        <w:pStyle w:val="Bullet1GC"/>
      </w:pPr>
      <w:r>
        <w:rPr>
          <w:rFonts w:hint="eastAsia"/>
        </w:rPr>
        <w:t>第</w:t>
      </w:r>
      <w:r>
        <w:rPr>
          <w:rFonts w:hint="eastAsia"/>
        </w:rPr>
        <w:t>42</w:t>
      </w:r>
      <w:r>
        <w:rPr>
          <w:rFonts w:hint="eastAsia"/>
        </w:rPr>
        <w:t>条：国家应给予公民依法选举和被选举的权利。</w:t>
      </w:r>
    </w:p>
    <w:p w:rsidR="007234DD" w:rsidRDefault="007234DD">
      <w:pPr>
        <w:pStyle w:val="Bullet1GC"/>
      </w:pPr>
      <w:r>
        <w:rPr>
          <w:rFonts w:hint="eastAsia"/>
        </w:rPr>
        <w:t>第</w:t>
      </w:r>
      <w:r>
        <w:rPr>
          <w:rFonts w:hint="eastAsia"/>
        </w:rPr>
        <w:t>44</w:t>
      </w:r>
      <w:r>
        <w:rPr>
          <w:rFonts w:hint="eastAsia"/>
        </w:rPr>
        <w:t>条：法律对公民自由集会的权利作出规定。</w:t>
      </w:r>
    </w:p>
    <w:p w:rsidR="007234DD" w:rsidRDefault="007234DD">
      <w:pPr>
        <w:pStyle w:val="Bullet1GC"/>
      </w:pPr>
      <w:r>
        <w:rPr>
          <w:rFonts w:hint="eastAsia"/>
        </w:rPr>
        <w:t>第</w:t>
      </w:r>
      <w:r>
        <w:rPr>
          <w:rFonts w:hint="eastAsia"/>
        </w:rPr>
        <w:t>46</w:t>
      </w:r>
      <w:r>
        <w:rPr>
          <w:rFonts w:hint="eastAsia"/>
        </w:rPr>
        <w:t>条：人人均有权与公共当局进行联系。</w:t>
      </w:r>
    </w:p>
    <w:p w:rsidR="007234DD" w:rsidRDefault="007234DD">
      <w:pPr>
        <w:pStyle w:val="Bullet1GC"/>
      </w:pPr>
      <w:r>
        <w:rPr>
          <w:rFonts w:hint="eastAsia"/>
        </w:rPr>
        <w:t>第</w:t>
      </w:r>
      <w:r>
        <w:rPr>
          <w:rFonts w:hint="eastAsia"/>
        </w:rPr>
        <w:t>49</w:t>
      </w:r>
      <w:r>
        <w:rPr>
          <w:rFonts w:hint="eastAsia"/>
        </w:rPr>
        <w:t>条：所有公民均享有受教育权。国家应按照国家现行法律法规提供免费的义务普通教育。</w:t>
      </w:r>
    </w:p>
    <w:p w:rsidR="007234DD" w:rsidRDefault="007234DD">
      <w:pPr>
        <w:pStyle w:val="Bullet1GC"/>
      </w:pPr>
      <w:r>
        <w:rPr>
          <w:rFonts w:hint="eastAsia"/>
        </w:rPr>
        <w:t>第</w:t>
      </w:r>
      <w:r>
        <w:rPr>
          <w:rFonts w:hint="eastAsia"/>
        </w:rPr>
        <w:t>135</w:t>
      </w:r>
      <w:r>
        <w:rPr>
          <w:rFonts w:hint="eastAsia"/>
        </w:rPr>
        <w:t>条：诉诸法律的权利获得保证并向所有人提供。法律应规定行使这项权利的程序和条件作出规定。</w:t>
      </w:r>
    </w:p>
    <w:p w:rsidR="007234DD" w:rsidRDefault="007234DD">
      <w:pPr>
        <w:pStyle w:val="Bullet1GC"/>
      </w:pPr>
      <w:r>
        <w:rPr>
          <w:rFonts w:hint="eastAsia"/>
        </w:rPr>
        <w:t>第</w:t>
      </w:r>
      <w:r>
        <w:rPr>
          <w:rFonts w:hint="eastAsia"/>
        </w:rPr>
        <w:t>146</w:t>
      </w:r>
      <w:r>
        <w:rPr>
          <w:rFonts w:hint="eastAsia"/>
        </w:rPr>
        <w:t>条：只有在为了给予公民额外保护的情况下，才能对关于公共权利和自由的规定进行修正。</w:t>
      </w:r>
    </w:p>
    <w:p w:rsidR="007234DD" w:rsidRDefault="007234DD">
      <w:pPr>
        <w:pStyle w:val="H23GC"/>
        <w:rPr>
          <w:rFonts w:hint="eastAsia"/>
        </w:rPr>
      </w:pPr>
      <w:r>
        <w:rPr>
          <w:rFonts w:hint="eastAsia"/>
        </w:rPr>
        <w:tab/>
      </w:r>
      <w:r>
        <w:rPr>
          <w:rFonts w:hint="eastAsia"/>
        </w:rPr>
        <w:tab/>
      </w:r>
      <w:r>
        <w:rPr>
          <w:rFonts w:hint="eastAsia"/>
        </w:rPr>
        <w:t>立法</w:t>
      </w:r>
    </w:p>
    <w:p w:rsidR="007234DD" w:rsidRDefault="007234DD">
      <w:pPr>
        <w:pStyle w:val="SingleTxtGC"/>
      </w:pPr>
      <w:r>
        <w:t xml:space="preserve">102.  </w:t>
      </w:r>
      <w:r>
        <w:rPr>
          <w:rFonts w:hint="eastAsia"/>
        </w:rPr>
        <w:t>作为一项规则，性别平等原则在卡塔尔法律中得到确认。然而，该规则也有少数例外，其原因涉及到确保与伊斯兰教法关于继承和证词的规定、关于家庭事务的某些法律规定以及《国籍法》中关于国家利益更高的规定保持一致的问题。关于《公约》有关条款的章节将对此作详细探讨。由于伊斯兰教法确立了性别平等的规则，这些权利和责任可能并非在所有情况下都一样。但是它们相互补充，因为这符合家庭和社会的利益。</w:t>
      </w:r>
    </w:p>
    <w:p w:rsidR="007234DD" w:rsidRDefault="007234DD">
      <w:pPr>
        <w:pStyle w:val="H23GC"/>
        <w:rPr>
          <w:rFonts w:hint="eastAsia"/>
        </w:rPr>
      </w:pPr>
      <w:r>
        <w:rPr>
          <w:rFonts w:hint="eastAsia"/>
        </w:rPr>
        <w:tab/>
      </w:r>
      <w:r>
        <w:rPr>
          <w:rFonts w:hint="eastAsia"/>
        </w:rPr>
        <w:tab/>
      </w:r>
      <w:r>
        <w:rPr>
          <w:rFonts w:hint="eastAsia"/>
        </w:rPr>
        <w:t>与《公约》第一条有关的声明</w:t>
      </w:r>
    </w:p>
    <w:p w:rsidR="007234DD" w:rsidRDefault="007234DD">
      <w:pPr>
        <w:pStyle w:val="SingleTxtGC"/>
      </w:pPr>
      <w:r>
        <w:t xml:space="preserve">103.  </w:t>
      </w:r>
      <w:r>
        <w:rPr>
          <w:rFonts w:hint="eastAsia"/>
        </w:rPr>
        <w:t>“如果根据伊斯兰教法和卡塔尔法律，‘不论已婚未婚’的表述并非为了鼓励合法婚姻外的家庭关系，卡塔尔国就接受《公约》第一条案文。它保留按照这种理解执行《公约》的权利。”</w:t>
      </w:r>
      <w:r>
        <w:rPr>
          <w:rStyle w:val="shorttext"/>
          <w:rFonts w:ascii="Arial" w:hAnsi="Arial" w:cs="Arial"/>
          <w:color w:val="333333"/>
        </w:rPr>
        <w:t>一般法</w:t>
      </w:r>
      <w:r>
        <w:rPr>
          <w:rStyle w:val="shorttext"/>
          <w:rFonts w:ascii="Arial" w:hAnsi="Arial" w:cs="Arial" w:hint="eastAsia"/>
          <w:color w:val="333333"/>
        </w:rPr>
        <w:t>禁止</w:t>
      </w:r>
      <w:r>
        <w:rPr>
          <w:rStyle w:val="shorttext"/>
          <w:rFonts w:ascii="Arial" w:hAnsi="Arial" w:cs="Arial"/>
          <w:color w:val="333333"/>
        </w:rPr>
        <w:t>婚外性关系</w:t>
      </w:r>
      <w:r>
        <w:rPr>
          <w:rStyle w:val="shorttext"/>
          <w:rFonts w:ascii="Arial" w:hAnsi="Arial" w:cs="Arial" w:hint="eastAsia"/>
          <w:color w:val="333333"/>
        </w:rPr>
        <w:t>。这条规则</w:t>
      </w:r>
      <w:r>
        <w:rPr>
          <w:rFonts w:hint="eastAsia"/>
        </w:rPr>
        <w:t>不只适用于妇女，而且也适用于男子。卡塔尔立法机关根据作为卡塔尔法律主要来源的伊斯兰教法坚持了这条规则。因此，卡塔尔立法机关承认，男女之间的家庭关系受按照家庭法</w:t>
      </w:r>
      <w:r>
        <w:rPr>
          <w:rFonts w:hint="eastAsia"/>
          <w:spacing w:val="-50"/>
        </w:rPr>
        <w:t>―</w:t>
      </w:r>
      <w:r>
        <w:rPr>
          <w:rFonts w:hint="eastAsia"/>
          <w:spacing w:val="10"/>
        </w:rPr>
        <w:t>―</w:t>
      </w:r>
      <w:r>
        <w:rPr>
          <w:rFonts w:hint="eastAsia"/>
        </w:rPr>
        <w:t>来自伊斯兰教法</w:t>
      </w:r>
      <w:r>
        <w:rPr>
          <w:rFonts w:hint="eastAsia"/>
          <w:spacing w:val="-50"/>
        </w:rPr>
        <w:t>―</w:t>
      </w:r>
      <w:r>
        <w:rPr>
          <w:rFonts w:hint="eastAsia"/>
          <w:spacing w:val="10"/>
        </w:rPr>
        <w:t>―</w:t>
      </w:r>
      <w:r>
        <w:rPr>
          <w:rFonts w:hint="eastAsia"/>
        </w:rPr>
        <w:t>建立的合法有效的婚姻契约约束。</w:t>
      </w:r>
    </w:p>
    <w:p w:rsidR="007234DD" w:rsidRDefault="007234DD">
      <w:pPr>
        <w:pStyle w:val="SingleTxtGC"/>
      </w:pPr>
      <w:r>
        <w:t xml:space="preserve">104.  </w:t>
      </w:r>
      <w:r>
        <w:rPr>
          <w:rFonts w:hint="eastAsia"/>
        </w:rPr>
        <w:t>此声明不应被理解为卡塔尔在行使公共权利和义务方面在已婚和未婚妇女之间实行歧视。卡塔尔立法机关充分考虑到了离婚、守寡和未婚妇女的状况，并力求为她们提供享有体面生活和在生活各领域能够切实做出贡献所需要的一切。下面只是所做努力中的一个例子。</w:t>
      </w:r>
    </w:p>
    <w:p w:rsidR="007234DD" w:rsidRDefault="007234DD">
      <w:pPr>
        <w:pStyle w:val="Bullet1GC"/>
      </w:pPr>
      <w:r>
        <w:rPr>
          <w:rFonts w:hint="eastAsia"/>
        </w:rPr>
        <w:t>国家确保离婚、守寡和未婚妇女</w:t>
      </w:r>
      <w:r>
        <w:rPr>
          <w:rFonts w:hint="eastAsia"/>
        </w:rPr>
        <w:t>(</w:t>
      </w:r>
      <w:r>
        <w:rPr>
          <w:rFonts w:hint="eastAsia"/>
        </w:rPr>
        <w:t>以及与外国人结婚的卡塔尔妇女</w:t>
      </w:r>
      <w:r>
        <w:rPr>
          <w:rFonts w:hint="eastAsia"/>
        </w:rPr>
        <w:t>)</w:t>
      </w:r>
      <w:r>
        <w:rPr>
          <w:rFonts w:hint="eastAsia"/>
        </w:rPr>
        <w:t>可以从关于国家为卡塔尔国民提供住房的法规中受益，但其条件由立法机关确定，以控制公共支出。除其他事项外，这些条件排除重复支出。该法规的主要目的是确保为可适用</w:t>
      </w:r>
      <w:r>
        <w:rPr>
          <w:rFonts w:hint="eastAsia"/>
        </w:rPr>
        <w:t>2007</w:t>
      </w:r>
      <w:r>
        <w:rPr>
          <w:rFonts w:hint="eastAsia"/>
        </w:rPr>
        <w:t>年第</w:t>
      </w:r>
      <w:r>
        <w:rPr>
          <w:rFonts w:hint="eastAsia"/>
        </w:rPr>
        <w:t>2</w:t>
      </w:r>
      <w:r>
        <w:rPr>
          <w:rFonts w:hint="eastAsia"/>
        </w:rPr>
        <w:t>号法及其实施令的已婚夫妇提供住房。</w:t>
      </w:r>
    </w:p>
    <w:p w:rsidR="007234DD" w:rsidRDefault="007234DD">
      <w:pPr>
        <w:pStyle w:val="H23GC"/>
        <w:rPr>
          <w:rFonts w:hint="eastAsia"/>
        </w:rPr>
      </w:pPr>
      <w:r>
        <w:rPr>
          <w:rFonts w:hint="eastAsia"/>
        </w:rPr>
        <w:tab/>
      </w:r>
      <w:r>
        <w:rPr>
          <w:rFonts w:hint="eastAsia"/>
        </w:rPr>
        <w:tab/>
      </w:r>
      <w:r>
        <w:rPr>
          <w:rFonts w:hint="eastAsia"/>
        </w:rPr>
        <w:t>挑战和未来展望</w:t>
      </w:r>
    </w:p>
    <w:p w:rsidR="007234DD" w:rsidRDefault="007234DD">
      <w:pPr>
        <w:pStyle w:val="SingleTxtGC"/>
      </w:pPr>
      <w:r>
        <w:t xml:space="preserve">105.  </w:t>
      </w:r>
      <w:r>
        <w:rPr>
          <w:rFonts w:hint="eastAsia"/>
        </w:rPr>
        <w:t>尽管卡塔尔妇女在所有领域实现与男子平等方面取得了进展，但仍存在一些挑战需要加以解决，以充分执行本条规定。首先，妇女没有充分认识到其宪法和法律权利。其次，某些不合时宜的习俗和传统继续在社会中占据主导地位。有时，某些宗教经文被人误解，而在其他问题上，社会需要加强对变革的认识。然而，实现这一点可能需要一些时间。</w:t>
      </w:r>
    </w:p>
    <w:p w:rsidR="007234DD" w:rsidRDefault="007234DD">
      <w:pPr>
        <w:pStyle w:val="SingleTxtGC"/>
      </w:pPr>
      <w:r>
        <w:t xml:space="preserve">106.  </w:t>
      </w:r>
      <w:r>
        <w:rPr>
          <w:rFonts w:hint="eastAsia"/>
        </w:rPr>
        <w:t>政府和私营部门正在继续努力促进妇女地位的提高，并采取措施消除对妇女的一切形式歧视。政府和私立机构一道努力执行法律，缩小法律条文与实际适用之间的差距。通过在“卡塔尔</w:t>
      </w:r>
      <w:r>
        <w:rPr>
          <w:rFonts w:hint="eastAsia"/>
        </w:rPr>
        <w:t>2030</w:t>
      </w:r>
      <w:r>
        <w:rPr>
          <w:rFonts w:hint="eastAsia"/>
        </w:rPr>
        <w:t>年国家愿景”报告中提出的综合发展愿景，是为了在人类发展框架</w:t>
      </w:r>
      <w:r>
        <w:rPr>
          <w:rFonts w:hint="eastAsia"/>
          <w:spacing w:val="-50"/>
        </w:rPr>
        <w:t>―</w:t>
      </w:r>
      <w:r>
        <w:rPr>
          <w:rFonts w:hint="eastAsia"/>
          <w:spacing w:val="10"/>
        </w:rPr>
        <w:t>―</w:t>
      </w:r>
      <w:r>
        <w:rPr>
          <w:rFonts w:hint="eastAsia"/>
        </w:rPr>
        <w:t>国家愿景的第一个专题领域</w:t>
      </w:r>
      <w:r>
        <w:rPr>
          <w:rFonts w:hint="eastAsia"/>
          <w:spacing w:val="-50"/>
        </w:rPr>
        <w:t>―</w:t>
      </w:r>
      <w:r>
        <w:rPr>
          <w:rFonts w:hint="eastAsia"/>
          <w:spacing w:val="10"/>
        </w:rPr>
        <w:t>―</w:t>
      </w:r>
      <w:r>
        <w:rPr>
          <w:rFonts w:hint="eastAsia"/>
        </w:rPr>
        <w:t>内提高卡塔尔国民的能力。其目标是支持卡塔尔人民的发展，以便他们反过来能够建设一个繁荣的社会。至于社会发展</w:t>
      </w:r>
      <w:r>
        <w:rPr>
          <w:rFonts w:hint="eastAsia"/>
          <w:spacing w:val="-50"/>
        </w:rPr>
        <w:t>―</w:t>
      </w:r>
      <w:r>
        <w:rPr>
          <w:rFonts w:hint="eastAsia"/>
          <w:spacing w:val="10"/>
        </w:rPr>
        <w:t>―</w:t>
      </w:r>
      <w:r>
        <w:rPr>
          <w:rFonts w:hint="eastAsia"/>
        </w:rPr>
        <w:t>第二个专题领域，目标是基于高道德标准和社会福利原则，发展一个公正和充满爱心的社会。这样的社会能够与其他社会互动，并在全球发展伙伴关系中，以及在有关实施措施</w:t>
      </w:r>
      <w:r>
        <w:rPr>
          <w:rFonts w:hint="eastAsia"/>
          <w:spacing w:val="-50"/>
        </w:rPr>
        <w:t>―</w:t>
      </w:r>
      <w:r>
        <w:rPr>
          <w:rFonts w:hint="eastAsia"/>
          <w:spacing w:val="10"/>
        </w:rPr>
        <w:t>―</w:t>
      </w:r>
      <w:r>
        <w:rPr>
          <w:rFonts w:hint="eastAsia"/>
        </w:rPr>
        <w:t>即制订卡塔尔战略发展规划和把关于促进妇女参与社会生活所有方面特别是参与经济和政治决策的政治承诺转化为有意义的行动</w:t>
      </w:r>
      <w:r>
        <w:rPr>
          <w:rFonts w:hint="eastAsia"/>
          <w:spacing w:val="-50"/>
        </w:rPr>
        <w:t>―</w:t>
      </w:r>
      <w:r>
        <w:rPr>
          <w:rFonts w:hint="eastAsia"/>
          <w:spacing w:val="10"/>
        </w:rPr>
        <w:t>―</w:t>
      </w:r>
      <w:r>
        <w:rPr>
          <w:rFonts w:hint="eastAsia"/>
        </w:rPr>
        <w:t>中发挥重要作用。</w:t>
      </w:r>
    </w:p>
    <w:p w:rsidR="007234DD" w:rsidRDefault="007234DD">
      <w:pPr>
        <w:pStyle w:val="H1GC"/>
        <w:rPr>
          <w:rFonts w:hint="eastAsia"/>
        </w:rPr>
      </w:pPr>
      <w:r>
        <w:rPr>
          <w:rFonts w:hint="eastAsia"/>
        </w:rPr>
        <w:tab/>
      </w:r>
      <w:r>
        <w:rPr>
          <w:rFonts w:hint="eastAsia"/>
        </w:rPr>
        <w:tab/>
      </w:r>
      <w:r>
        <w:rPr>
          <w:rFonts w:hint="eastAsia"/>
        </w:rPr>
        <w:t>第二条</w:t>
      </w:r>
      <w:r>
        <w:rPr>
          <w:rFonts w:hint="eastAsia"/>
        </w:rPr>
        <w:br/>
      </w:r>
      <w:r>
        <w:rPr>
          <w:rFonts w:hint="eastAsia"/>
        </w:rPr>
        <w:t>缔约国对消除歧视的承诺</w:t>
      </w:r>
    </w:p>
    <w:p w:rsidR="007234DD" w:rsidRDefault="007234DD">
      <w:pPr>
        <w:pStyle w:val="SingleTxtGC"/>
      </w:pPr>
      <w:r>
        <w:t xml:space="preserve">107.  </w:t>
      </w:r>
      <w:r>
        <w:rPr>
          <w:rFonts w:hint="eastAsia"/>
        </w:rPr>
        <w:t>性别平等原则被载入《卡塔尔宪法》，这一事实为防止所有领域中男子和妇女之间的歧视提供了保障。《宪法》第</w:t>
      </w:r>
      <w:r>
        <w:rPr>
          <w:rFonts w:hint="eastAsia"/>
        </w:rPr>
        <w:t>34</w:t>
      </w:r>
      <w:r>
        <w:rPr>
          <w:rFonts w:hint="eastAsia"/>
        </w:rPr>
        <w:t>条明确了这一点。该条规定：“公民享有平等的公共权利并承担平等的公共义务”。第</w:t>
      </w:r>
      <w:r>
        <w:rPr>
          <w:rFonts w:hint="eastAsia"/>
        </w:rPr>
        <w:t>35</w:t>
      </w:r>
      <w:r>
        <w:rPr>
          <w:rFonts w:hint="eastAsia"/>
        </w:rPr>
        <w:t>条规定：“法律面前人人平等。人与人之间不得存在以性别、出身、语言或宗教为理由的歧视。</w:t>
      </w:r>
    </w:p>
    <w:p w:rsidR="007234DD" w:rsidRDefault="007234DD">
      <w:pPr>
        <w:pStyle w:val="SingleTxtGC"/>
      </w:pPr>
      <w:r>
        <w:t xml:space="preserve">108.  </w:t>
      </w:r>
      <w:r>
        <w:rPr>
          <w:rFonts w:hint="eastAsia"/>
        </w:rPr>
        <w:t>近几年，特别是自</w:t>
      </w:r>
      <w:r>
        <w:rPr>
          <w:rFonts w:hint="eastAsia"/>
        </w:rPr>
        <w:t>2004</w:t>
      </w:r>
      <w:r>
        <w:rPr>
          <w:rFonts w:hint="eastAsia"/>
        </w:rPr>
        <w:t>年的《永久宪法》颁布以来制定的国内法促进妇女权利、妇女和男子之间歧视的消除以及所有领域性别平等的实现。所有卡塔尔法律在对其所涉人员的权利和义务进行定义中均使用通用术语。因此，它们排除了在男女之间实行歧视的可能。用来指称男性的词语，自然也适用于女性，除非法律另有明确规定。</w:t>
      </w:r>
    </w:p>
    <w:p w:rsidR="007234DD" w:rsidRDefault="007234DD">
      <w:pPr>
        <w:pStyle w:val="SingleTxtGC"/>
      </w:pPr>
      <w:r>
        <w:t xml:space="preserve">109.  </w:t>
      </w:r>
      <w:r>
        <w:rPr>
          <w:rFonts w:hint="eastAsia"/>
        </w:rPr>
        <w:t>下面是因歧视妇女而被废止或修正的法律规定实例：</w:t>
      </w:r>
    </w:p>
    <w:p w:rsidR="007234DD" w:rsidRDefault="007234DD">
      <w:pPr>
        <w:pStyle w:val="Bullet1GC"/>
      </w:pPr>
      <w:r>
        <w:rPr>
          <w:rFonts w:hint="eastAsia"/>
        </w:rPr>
        <w:t>2008</w:t>
      </w:r>
      <w:r>
        <w:rPr>
          <w:rFonts w:hint="eastAsia"/>
        </w:rPr>
        <w:t>年第</w:t>
      </w:r>
      <w:r>
        <w:rPr>
          <w:rFonts w:hint="eastAsia"/>
        </w:rPr>
        <w:t>19</w:t>
      </w:r>
      <w:r>
        <w:rPr>
          <w:rFonts w:hint="eastAsia"/>
        </w:rPr>
        <w:t>号法。该法规定，妇女在过失杀人案中有权获得与男子同样的受害者家属抚恤金；她们过去获得的金额只相当于男子的一半。</w:t>
      </w:r>
    </w:p>
    <w:p w:rsidR="007234DD" w:rsidRDefault="007234DD">
      <w:pPr>
        <w:pStyle w:val="Bullet1GC"/>
      </w:pPr>
      <w:r>
        <w:rPr>
          <w:rFonts w:hint="eastAsia"/>
        </w:rPr>
        <w:t>2009</w:t>
      </w:r>
      <w:r>
        <w:rPr>
          <w:rFonts w:hint="eastAsia"/>
        </w:rPr>
        <w:t>年第</w:t>
      </w:r>
      <w:r>
        <w:rPr>
          <w:rFonts w:hint="eastAsia"/>
        </w:rPr>
        <w:t>8</w:t>
      </w:r>
      <w:r>
        <w:rPr>
          <w:rFonts w:hint="eastAsia"/>
        </w:rPr>
        <w:t>号法。涉及人力资源管理：使妇女不能获得与男子同样的住房补贴的规定被废止。</w:t>
      </w:r>
    </w:p>
    <w:p w:rsidR="007234DD" w:rsidRDefault="007234DD">
      <w:pPr>
        <w:pStyle w:val="Bullet1GC"/>
      </w:pPr>
      <w:r>
        <w:rPr>
          <w:rFonts w:hint="eastAsia"/>
        </w:rPr>
        <w:t>2009</w:t>
      </w:r>
      <w:r>
        <w:rPr>
          <w:rFonts w:hint="eastAsia"/>
        </w:rPr>
        <w:t>年第</w:t>
      </w:r>
      <w:r>
        <w:rPr>
          <w:rFonts w:hint="eastAsia"/>
        </w:rPr>
        <w:t>5</w:t>
      </w:r>
      <w:r>
        <w:rPr>
          <w:rFonts w:hint="eastAsia"/>
        </w:rPr>
        <w:t>号法。该法对《护照法》</w:t>
      </w:r>
      <w:r>
        <w:rPr>
          <w:rFonts w:hint="eastAsia"/>
        </w:rPr>
        <w:t>(1993</w:t>
      </w:r>
      <w:r>
        <w:rPr>
          <w:rFonts w:hint="eastAsia"/>
        </w:rPr>
        <w:t>年第</w:t>
      </w:r>
      <w:r>
        <w:rPr>
          <w:rFonts w:hint="eastAsia"/>
        </w:rPr>
        <w:t>14</w:t>
      </w:r>
      <w:r>
        <w:rPr>
          <w:rFonts w:hint="eastAsia"/>
        </w:rPr>
        <w:t>号法</w:t>
      </w:r>
      <w:r>
        <w:rPr>
          <w:rFonts w:hint="eastAsia"/>
        </w:rPr>
        <w:t>)</w:t>
      </w:r>
      <w:r>
        <w:rPr>
          <w:rFonts w:hint="eastAsia"/>
        </w:rPr>
        <w:t>进行修正；关于只有征得其监护人同意才能向妇女签发护照的条件被取消，而要求在向法律行为能力有限或无法律行为能力的人员签发护照前须事先征得监护人同意的条件被保留了下来。</w:t>
      </w:r>
    </w:p>
    <w:p w:rsidR="007234DD" w:rsidRDefault="007234DD">
      <w:pPr>
        <w:pStyle w:val="Bullet1GC"/>
      </w:pPr>
      <w:r>
        <w:rPr>
          <w:rFonts w:hint="eastAsia"/>
        </w:rPr>
        <w:t>2007</w:t>
      </w:r>
      <w:r>
        <w:rPr>
          <w:rFonts w:hint="eastAsia"/>
        </w:rPr>
        <w:t>年第</w:t>
      </w:r>
      <w:r>
        <w:rPr>
          <w:rFonts w:hint="eastAsia"/>
        </w:rPr>
        <w:t>2</w:t>
      </w:r>
      <w:r>
        <w:rPr>
          <w:rFonts w:hint="eastAsia"/>
        </w:rPr>
        <w:t>号法。涉及住房计划；限定只有男子可以享受该计划的规定被废止，该计划被扩展至包括男女成员。根据关于享受住房计划的优先权和条例的大臣会议</w:t>
      </w:r>
      <w:r>
        <w:rPr>
          <w:rFonts w:hint="eastAsia"/>
        </w:rPr>
        <w:t>2007</w:t>
      </w:r>
      <w:r>
        <w:rPr>
          <w:rFonts w:hint="eastAsia"/>
        </w:rPr>
        <w:t>年第</w:t>
      </w:r>
      <w:r>
        <w:rPr>
          <w:rFonts w:hint="eastAsia"/>
        </w:rPr>
        <w:t>17</w:t>
      </w:r>
      <w:r>
        <w:rPr>
          <w:rFonts w:hint="eastAsia"/>
        </w:rPr>
        <w:t>号决定，未婚公民，年龄在</w:t>
      </w:r>
      <w:r>
        <w:rPr>
          <w:rFonts w:hint="eastAsia"/>
        </w:rPr>
        <w:t>35</w:t>
      </w:r>
      <w:r>
        <w:rPr>
          <w:rFonts w:hint="eastAsia"/>
        </w:rPr>
        <w:t>岁以上或在</w:t>
      </w:r>
      <w:r>
        <w:rPr>
          <w:rFonts w:hint="eastAsia"/>
        </w:rPr>
        <w:t>35</w:t>
      </w:r>
      <w:r>
        <w:rPr>
          <w:rFonts w:hint="eastAsia"/>
        </w:rPr>
        <w:t>岁以下但是家庭的主要经济支柱的，无论男女，均有权从该计划受益。此前这项权利只赋予男子。</w:t>
      </w:r>
    </w:p>
    <w:p w:rsidR="007234DD" w:rsidRDefault="007234DD">
      <w:pPr>
        <w:pStyle w:val="Bullet1GC"/>
      </w:pPr>
      <w:r>
        <w:rPr>
          <w:rFonts w:hint="eastAsia"/>
        </w:rPr>
        <w:t>2007</w:t>
      </w:r>
      <w:r>
        <w:rPr>
          <w:rFonts w:hint="eastAsia"/>
        </w:rPr>
        <w:t>年第</w:t>
      </w:r>
      <w:r>
        <w:rPr>
          <w:rFonts w:hint="eastAsia"/>
        </w:rPr>
        <w:t>19</w:t>
      </w:r>
      <w:r>
        <w:rPr>
          <w:rFonts w:hint="eastAsia"/>
        </w:rPr>
        <w:t>号令</w:t>
      </w:r>
      <w:r>
        <w:rPr>
          <w:rFonts w:hint="eastAsia"/>
        </w:rPr>
        <w:t>(</w:t>
      </w:r>
      <w:r>
        <w:rPr>
          <w:rFonts w:hint="eastAsia"/>
        </w:rPr>
        <w:t>法</w:t>
      </w:r>
      <w:r>
        <w:rPr>
          <w:rFonts w:hint="eastAsia"/>
        </w:rPr>
        <w:t>)</w:t>
      </w:r>
      <w:r>
        <w:rPr>
          <w:rFonts w:hint="eastAsia"/>
        </w:rPr>
        <w:t>，发布《交通法》。根据该法，男子和妇女在获取驾驶执照方面适用同样条件。</w:t>
      </w:r>
    </w:p>
    <w:p w:rsidR="007234DD" w:rsidRDefault="007234DD">
      <w:pPr>
        <w:pStyle w:val="H23GC"/>
        <w:rPr>
          <w:rFonts w:hint="eastAsia"/>
        </w:rPr>
      </w:pPr>
      <w:r>
        <w:rPr>
          <w:rFonts w:hint="eastAsia"/>
        </w:rPr>
        <w:tab/>
      </w:r>
      <w:r>
        <w:rPr>
          <w:rFonts w:hint="eastAsia"/>
        </w:rPr>
        <w:tab/>
      </w:r>
      <w:r>
        <w:rPr>
          <w:rFonts w:hint="eastAsia"/>
        </w:rPr>
        <w:t>行政和体制措施</w:t>
      </w:r>
    </w:p>
    <w:p w:rsidR="007234DD" w:rsidRDefault="007234DD">
      <w:pPr>
        <w:pStyle w:val="SingleTxtGC"/>
      </w:pPr>
      <w:r>
        <w:t xml:space="preserve">110.  </w:t>
      </w:r>
      <w:r>
        <w:rPr>
          <w:rFonts w:hint="eastAsia"/>
        </w:rPr>
        <w:t>最高宪法法院成立于</w:t>
      </w:r>
      <w:r>
        <w:rPr>
          <w:rFonts w:hint="eastAsia"/>
        </w:rPr>
        <w:t>2008</w:t>
      </w:r>
      <w:r>
        <w:rPr>
          <w:rFonts w:hint="eastAsia"/>
        </w:rPr>
        <w:t>年，它在关于法律法规是否合宪的争议中具有专有管辖权。当某件事情被提交到两个不同的机构，而它们都不放弃或都放弃审理权时，最高宪法法院决定哪个机构有权力做出裁定，无论其是法院还是具有司法权力的机构。当对于由司法机构或具有司法权力的机构发布的相互矛盾的法院最终判决的执行存在争议时，由最高宪法法院进行裁决。</w:t>
      </w:r>
    </w:p>
    <w:p w:rsidR="007234DD" w:rsidRDefault="007234DD">
      <w:pPr>
        <w:pStyle w:val="SingleTxtGC"/>
      </w:pPr>
      <w:r>
        <w:t xml:space="preserve">111.  </w:t>
      </w:r>
      <w:smartTag w:uri="urn:schemas-microsoft-com:office:smarttags" w:element="chsdate">
        <w:smartTagPr>
          <w:attr w:name="Year" w:val="2009"/>
          <w:attr w:name="Month" w:val="3"/>
          <w:attr w:name="Day" w:val="19"/>
          <w:attr w:name="IsLunarDate" w:val="False"/>
          <w:attr w:name="IsROCDate" w:val="False"/>
        </w:smartTagPr>
        <w:r>
          <w:rPr>
            <w:rFonts w:hint="eastAsia"/>
          </w:rPr>
          <w:t>2009</w:t>
        </w:r>
        <w:r>
          <w:rPr>
            <w:rFonts w:hint="eastAsia"/>
          </w:rPr>
          <w:t>年</w:t>
        </w:r>
        <w:r>
          <w:rPr>
            <w:rFonts w:hint="eastAsia"/>
          </w:rPr>
          <w:t>3</w:t>
        </w:r>
        <w:r>
          <w:rPr>
            <w:rFonts w:hint="eastAsia"/>
          </w:rPr>
          <w:t>月</w:t>
        </w:r>
        <w:r>
          <w:rPr>
            <w:rFonts w:hint="eastAsia"/>
          </w:rPr>
          <w:t>19</w:t>
        </w:r>
        <w:r>
          <w:rPr>
            <w:rFonts w:hint="eastAsia"/>
          </w:rPr>
          <w:t>日</w:t>
        </w:r>
      </w:smartTag>
      <w:r>
        <w:rPr>
          <w:rFonts w:hint="eastAsia"/>
        </w:rPr>
        <w:t>，检察官指示检察人员受理来自卡塔尔保护儿童和妇女基金会的投诉</w:t>
      </w:r>
      <w:r>
        <w:rPr>
          <w:rFonts w:hint="eastAsia"/>
          <w:spacing w:val="-50"/>
        </w:rPr>
        <w:t>―</w:t>
      </w:r>
      <w:r>
        <w:rPr>
          <w:rFonts w:hint="eastAsia"/>
          <w:spacing w:val="10"/>
        </w:rPr>
        <w:t>―</w:t>
      </w:r>
      <w:r>
        <w:rPr>
          <w:rFonts w:hint="eastAsia"/>
        </w:rPr>
        <w:t>特别是关于对儿童和妇女威胁使用或使用暴力和虐待的投诉，并提起适当法律诉讼予以处理。内政大臣发布了一道命令，要求受理该基金会关于对妇女和儿童的暴力的投诉并采取必要行动。警方有责任防范、揭露和调查按《刑法》应当受到惩处的对妇女的暴力犯罪行为，即致命人身攻击和造成终身残疾、疾病、虚弱、流产等的攻击。</w:t>
      </w:r>
    </w:p>
    <w:p w:rsidR="007234DD" w:rsidRDefault="007234DD">
      <w:pPr>
        <w:pStyle w:val="SingleTxtGC"/>
        <w:rPr>
          <w:rFonts w:hint="eastAsia"/>
        </w:rPr>
      </w:pPr>
      <w:r>
        <w:t xml:space="preserve">112.  </w:t>
      </w:r>
      <w:r>
        <w:rPr>
          <w:rFonts w:eastAsia="KaiTi_GB2312"/>
        </w:rPr>
        <w:t>Dar al-Aman</w:t>
      </w:r>
      <w:r>
        <w:rPr>
          <w:rFonts w:hint="eastAsia"/>
        </w:rPr>
        <w:t>庇护所于</w:t>
      </w:r>
      <w:smartTag w:uri="urn:schemas-microsoft-com:office:smarttags" w:element="chsdate">
        <w:smartTagPr>
          <w:attr w:name="Year" w:val="2007"/>
          <w:attr w:name="Month" w:val="10"/>
          <w:attr w:name="Day" w:val="1"/>
          <w:attr w:name="IsLunarDate" w:val="False"/>
          <w:attr w:name="IsROCDate" w:val="False"/>
        </w:smartTagPr>
        <w:r>
          <w:rPr>
            <w:rFonts w:hint="eastAsia"/>
          </w:rPr>
          <w:t>2007</w:t>
        </w:r>
        <w:r>
          <w:rPr>
            <w:rFonts w:hint="eastAsia"/>
          </w:rPr>
          <w:t>年</w:t>
        </w:r>
        <w:r>
          <w:rPr>
            <w:rFonts w:hint="eastAsia"/>
          </w:rPr>
          <w:t>10</w:t>
        </w:r>
        <w:r>
          <w:rPr>
            <w:rFonts w:hint="eastAsia"/>
          </w:rPr>
          <w:t>月</w:t>
        </w:r>
        <w:r>
          <w:rPr>
            <w:rFonts w:hint="eastAsia"/>
          </w:rPr>
          <w:t>1</w:t>
        </w:r>
        <w:r>
          <w:rPr>
            <w:rFonts w:hint="eastAsia"/>
          </w:rPr>
          <w:t>日</w:t>
        </w:r>
      </w:smartTag>
      <w:r>
        <w:rPr>
          <w:rFonts w:hint="eastAsia"/>
        </w:rPr>
        <w:t>建立，由卡塔尔保护儿童和妇女基金会管理。这是卡塔尔唯一一所为需要离开暴力源、获得保护的暴力受害者及面临暴力威胁者设立的庇护所。它提供康复服务，以帮助这些人员返回自己家所在的社区，并为妇女提供实用、社会、法律、医疗和心理服务。它帮助女学生或职业妇女根据为避免与保护和康复方案的目标发生任何冲突而制定的条件，与庇护所外面的社区打交道。</w:t>
      </w:r>
    </w:p>
    <w:p w:rsidR="007234DD" w:rsidRDefault="007234DD">
      <w:pPr>
        <w:pStyle w:val="SingleTxtGC"/>
        <w:rPr>
          <w:rFonts w:hint="eastAsia"/>
        </w:rPr>
      </w:pPr>
      <w:r>
        <w:t xml:space="preserve">113.  </w:t>
      </w:r>
      <w:r>
        <w:rPr>
          <w:rFonts w:hint="eastAsia"/>
        </w:rPr>
        <w:t>除了采取上述安全程序以外，也从社会和教育方面努力消除对妇女的暴力行为，这反映在该问题被纳入内政部最近通过的社区警务战略上。该政策的目的是使警察与公众、民间社会、家庭和社会监管机构一道，努力解决犯罪的根源，监测社会中的犯罪行为，防止家庭受到导致家庭破裂的因素包括对妇女的暴力行为的影响。</w:t>
      </w:r>
    </w:p>
    <w:p w:rsidR="007234DD" w:rsidRDefault="007234DD">
      <w:pPr>
        <w:pStyle w:val="SingleTxtGC"/>
      </w:pPr>
      <w:r>
        <w:t xml:space="preserve">114.  </w:t>
      </w:r>
      <w:r>
        <w:rPr>
          <w:rFonts w:hint="eastAsia"/>
        </w:rPr>
        <w:t>卡塔尔保护儿童和妇女基金会、国家人权委员会、社会事务部和最高妇女事务委员会实施了关于妇女权利和歧视问题的提高认识方案。它们还举办培训课程，实施法律宣传方案，在学校以及在电视和电台节目中加以介绍，并向当地媒体和该基金会的</w:t>
      </w:r>
      <w:r>
        <w:rPr>
          <w:rFonts w:ascii="STKaiti" w:eastAsia="KaiTi_GB2312" w:hAnsi="STKaiti" w:hint="eastAsia"/>
        </w:rPr>
        <w:t>《</w:t>
      </w:r>
      <w:r>
        <w:rPr>
          <w:rFonts w:eastAsia="KaiTi_GB2312"/>
        </w:rPr>
        <w:t>Aman</w:t>
      </w:r>
      <w:r>
        <w:rPr>
          <w:rFonts w:ascii="STKaiti" w:eastAsia="KaiTi_GB2312" w:hAnsi="STKaiti" w:hint="eastAsia"/>
        </w:rPr>
        <w:t>》</w:t>
      </w:r>
      <w:r>
        <w:rPr>
          <w:rFonts w:hint="eastAsia"/>
        </w:rPr>
        <w:t>杂志投稿。</w:t>
      </w:r>
    </w:p>
    <w:p w:rsidR="007234DD" w:rsidRDefault="007234DD">
      <w:pPr>
        <w:pStyle w:val="H23GC"/>
        <w:rPr>
          <w:rFonts w:hint="eastAsia"/>
        </w:rPr>
      </w:pPr>
      <w:r>
        <w:rPr>
          <w:rFonts w:hint="eastAsia"/>
        </w:rPr>
        <w:tab/>
      </w:r>
      <w:r>
        <w:rPr>
          <w:rFonts w:hint="eastAsia"/>
        </w:rPr>
        <w:tab/>
      </w:r>
      <w:r>
        <w:rPr>
          <w:rFonts w:hint="eastAsia"/>
        </w:rPr>
        <w:t>挑战和未来展望</w:t>
      </w:r>
    </w:p>
    <w:p w:rsidR="007234DD" w:rsidRDefault="007234DD">
      <w:pPr>
        <w:pStyle w:val="SingleTxtGC"/>
        <w:rPr>
          <w:rFonts w:hint="eastAsia"/>
        </w:rPr>
      </w:pPr>
      <w:r>
        <w:t xml:space="preserve">115.  </w:t>
      </w:r>
      <w:r>
        <w:rPr>
          <w:rFonts w:hint="eastAsia"/>
        </w:rPr>
        <w:t>虽然存在对妇女权利的政治支持，国家通过了一些旨在消除对妇女的歧视的决定和程序，并且妇女已经能够担任国家要职，但是在法律条文和实际执行之间存在差距。这主要是因为妇女对于自己的合法权益或如何获得这些权益缺乏认识。此外，悠久的文化传统往往限制妇女对某些权利的享有。</w:t>
      </w:r>
    </w:p>
    <w:p w:rsidR="007234DD" w:rsidRDefault="007234DD">
      <w:pPr>
        <w:pStyle w:val="SingleTxtGC"/>
        <w:rPr>
          <w:rFonts w:hint="eastAsia"/>
        </w:rPr>
      </w:pPr>
      <w:r>
        <w:t xml:space="preserve">116.  </w:t>
      </w:r>
      <w:r>
        <w:rPr>
          <w:rFonts w:hint="eastAsia"/>
        </w:rPr>
        <w:t>进行变革以消除法律与实践之间的差距是一个重大挑战。人们普遍认为，提高妇女地位完全是国家的责任。与民间社会组织在其它领域所做的大量工作相比，它们对该领域的参与非常有限。此外，没有专门的妇女协会，而拥有一般人权领域，特别是妇女权利领域的技术知识的专业人员也寥寥无几。</w:t>
      </w:r>
    </w:p>
    <w:p w:rsidR="007234DD" w:rsidRDefault="007234DD">
      <w:pPr>
        <w:pStyle w:val="SingleTxtGC"/>
      </w:pPr>
      <w:r>
        <w:t xml:space="preserve">117.  </w:t>
      </w:r>
      <w:r>
        <w:rPr>
          <w:rFonts w:hint="eastAsia"/>
        </w:rPr>
        <w:t>2008</w:t>
      </w:r>
      <w:r>
        <w:rPr>
          <w:rFonts w:hint="eastAsia"/>
        </w:rPr>
        <w:t>年第</w:t>
      </w:r>
      <w:r>
        <w:rPr>
          <w:rFonts w:hint="eastAsia"/>
        </w:rPr>
        <w:t>44</w:t>
      </w:r>
      <w:r>
        <w:rPr>
          <w:rFonts w:hint="eastAsia"/>
        </w:rPr>
        <w:t>号埃米尔令批准了关于全面发展的</w:t>
      </w:r>
      <w:r>
        <w:rPr>
          <w:rFonts w:hint="eastAsia"/>
        </w:rPr>
        <w:t xml:space="preserve"> </w:t>
      </w:r>
      <w:r>
        <w:rPr>
          <w:rFonts w:hint="eastAsia"/>
        </w:rPr>
        <w:t>“卡塔尔</w:t>
      </w:r>
      <w:r>
        <w:rPr>
          <w:rFonts w:hint="eastAsia"/>
        </w:rPr>
        <w:t xml:space="preserve"> 2030</w:t>
      </w:r>
      <w:r>
        <w:rPr>
          <w:rFonts w:hint="eastAsia"/>
        </w:rPr>
        <w:t>年国家愿景”</w:t>
      </w:r>
      <w:r>
        <w:rPr>
          <w:rFonts w:hint="eastAsia"/>
        </w:rPr>
        <w:t xml:space="preserve"> </w:t>
      </w:r>
      <w:r>
        <w:rPr>
          <w:rFonts w:hint="eastAsia"/>
        </w:rPr>
        <w:t>文件，从而为卡塔尔的未来提供了路线图。该路线图将所有公民奉行正义、仁爱和平等而不实行任何性别歧视作为社会的基础，并提供消除基于性别的一切形式歧视的保证。大臣会议在</w:t>
      </w:r>
      <w:r>
        <w:rPr>
          <w:rFonts w:hint="eastAsia"/>
        </w:rPr>
        <w:t>2010</w:t>
      </w:r>
      <w:r>
        <w:rPr>
          <w:rFonts w:hint="eastAsia"/>
        </w:rPr>
        <w:t>年第二十届常会上通过了家庭事务总体战略。根据该战略，关于实现“愿景”的所有国家战略和计划必须促进卡塔尔妇女在各领域中地位的提高，同时立足于在消除对妇女的歧视和建立性别平等方面取得的成就。</w:t>
      </w:r>
    </w:p>
    <w:p w:rsidR="007234DD" w:rsidRDefault="007234DD">
      <w:pPr>
        <w:pStyle w:val="H23GC"/>
        <w:rPr>
          <w:rFonts w:hint="eastAsia"/>
        </w:rPr>
      </w:pPr>
      <w:r>
        <w:rPr>
          <w:rFonts w:hint="eastAsia"/>
        </w:rPr>
        <w:tab/>
      </w:r>
      <w:r>
        <w:rPr>
          <w:rFonts w:hint="eastAsia"/>
        </w:rPr>
        <w:tab/>
      </w:r>
      <w:r>
        <w:rPr>
          <w:rFonts w:hint="eastAsia"/>
        </w:rPr>
        <w:t>卡塔尔对《公约》第二条</w:t>
      </w:r>
      <w:r>
        <w:rPr>
          <w:rFonts w:hint="eastAsia"/>
        </w:rPr>
        <w:t>(a)</w:t>
      </w:r>
      <w:r>
        <w:rPr>
          <w:rFonts w:hint="eastAsia"/>
        </w:rPr>
        <w:t>款的保留</w:t>
      </w:r>
    </w:p>
    <w:p w:rsidR="007234DD" w:rsidRDefault="007234DD">
      <w:pPr>
        <w:pStyle w:val="SingleTxtGC"/>
      </w:pPr>
      <w:r>
        <w:t xml:space="preserve">118.  </w:t>
      </w:r>
      <w:r>
        <w:rPr>
          <w:rFonts w:hint="eastAsia"/>
        </w:rPr>
        <w:t>卡塔尔对《公约》第二条</w:t>
      </w:r>
      <w:r>
        <w:t>(a)</w:t>
      </w:r>
      <w:r>
        <w:rPr>
          <w:rFonts w:hint="eastAsia"/>
        </w:rPr>
        <w:t>款作出保留，因为它与《宪法》第</w:t>
      </w:r>
      <w:r>
        <w:rPr>
          <w:rFonts w:hint="eastAsia"/>
        </w:rPr>
        <w:t>8</w:t>
      </w:r>
      <w:r>
        <w:rPr>
          <w:rFonts w:hint="eastAsia"/>
        </w:rPr>
        <w:t>条相抵触。《宪法》第</w:t>
      </w:r>
      <w:r>
        <w:rPr>
          <w:rFonts w:hint="eastAsia"/>
        </w:rPr>
        <w:t>8</w:t>
      </w:r>
      <w:r>
        <w:rPr>
          <w:rFonts w:hint="eastAsia"/>
        </w:rPr>
        <w:t>条规定：“政府制度是世袭统治制度，由阿勒萨尼家族和哈马德·本·哈利法·本·哈马德·本·阿卜杜拉·本·贾西姆的男性继承人世袭统治。被埃米尔指定为王储的儿子继承统治权力。如果没有这样的儿子，统治权将传给被埃米尔指定为王储的家族成员。在这种情况下，继任人应为埃米尔的男性后裔”。《宪法》第</w:t>
      </w:r>
      <w:r>
        <w:rPr>
          <w:rFonts w:hint="eastAsia"/>
        </w:rPr>
        <w:t>145</w:t>
      </w:r>
      <w:r>
        <w:rPr>
          <w:rFonts w:hint="eastAsia"/>
        </w:rPr>
        <w:t>条规定：“不得修改关于国家统治权和继承权的规定”。</w:t>
      </w:r>
    </w:p>
    <w:p w:rsidR="007234DD" w:rsidRDefault="007234DD">
      <w:pPr>
        <w:pStyle w:val="H1GC"/>
        <w:rPr>
          <w:rFonts w:hint="eastAsia"/>
        </w:rPr>
      </w:pPr>
      <w:r>
        <w:tab/>
      </w:r>
      <w:r>
        <w:rPr>
          <w:rFonts w:hint="eastAsia"/>
        </w:rPr>
        <w:tab/>
      </w:r>
      <w:r>
        <w:rPr>
          <w:rFonts w:hint="eastAsia"/>
        </w:rPr>
        <w:t>第三条</w:t>
      </w:r>
      <w:r>
        <w:rPr>
          <w:rFonts w:hint="eastAsia"/>
        </w:rPr>
        <w:br/>
      </w:r>
      <w:r>
        <w:rPr>
          <w:rFonts w:hint="eastAsia"/>
        </w:rPr>
        <w:t>基本权利和自由</w:t>
      </w:r>
      <w:r>
        <w:rPr>
          <w:rFonts w:hint="eastAsia"/>
        </w:rPr>
        <w:t>(</w:t>
      </w:r>
      <w:r>
        <w:rPr>
          <w:rFonts w:hint="eastAsia"/>
        </w:rPr>
        <w:t>妇女的发展和妇女地位的提高</w:t>
      </w:r>
      <w:r>
        <w:rPr>
          <w:rFonts w:hint="eastAsia"/>
        </w:rPr>
        <w:t>)</w:t>
      </w:r>
    </w:p>
    <w:p w:rsidR="007234DD" w:rsidRDefault="007234DD">
      <w:pPr>
        <w:pStyle w:val="H23GC"/>
        <w:rPr>
          <w:rFonts w:hint="eastAsia"/>
        </w:rPr>
      </w:pPr>
      <w:r>
        <w:rPr>
          <w:rFonts w:hint="eastAsia"/>
        </w:rPr>
        <w:tab/>
      </w:r>
      <w:r>
        <w:rPr>
          <w:rFonts w:hint="eastAsia"/>
        </w:rPr>
        <w:tab/>
      </w:r>
      <w:r>
        <w:rPr>
          <w:rFonts w:hint="eastAsia"/>
        </w:rPr>
        <w:t>宪法和法律框架</w:t>
      </w:r>
    </w:p>
    <w:p w:rsidR="007234DD" w:rsidRDefault="007234DD">
      <w:pPr>
        <w:pStyle w:val="SingleTxtGC"/>
        <w:rPr>
          <w:rFonts w:hint="eastAsia"/>
        </w:rPr>
      </w:pPr>
      <w:r>
        <w:t xml:space="preserve">119.  </w:t>
      </w:r>
      <w:r>
        <w:rPr>
          <w:rFonts w:hint="eastAsia"/>
        </w:rPr>
        <w:t>《卡塔尔宪法》对保护男女两性的基本人权和自由作了规定。它在相关条款对此予以确认。主要条款在关于《消除对妇女一切形式歧视公约》第一条的章节中进行了探讨。</w:t>
      </w:r>
    </w:p>
    <w:p w:rsidR="007234DD" w:rsidRDefault="007234DD">
      <w:pPr>
        <w:pStyle w:val="SingleTxtGC"/>
        <w:rPr>
          <w:rFonts w:hint="eastAsia"/>
        </w:rPr>
      </w:pPr>
      <w:r>
        <w:t xml:space="preserve">120.  </w:t>
      </w:r>
      <w:r>
        <w:rPr>
          <w:rFonts w:hint="eastAsia"/>
        </w:rPr>
        <w:t>关于与本条规定的原则有关的立法问题，将在关于特定主题的章节中进行更为详细的介绍。我们已经讨论过卡塔尔承认妇女平等、发展和地位提高的原则以及妇女参与经济、教育和社会领域的重要性的法律。因此，为避免重复，我们在此一笔带过。</w:t>
      </w:r>
    </w:p>
    <w:p w:rsidR="007234DD" w:rsidRDefault="007234DD">
      <w:pPr>
        <w:pStyle w:val="H23GC"/>
        <w:rPr>
          <w:rFonts w:hint="eastAsia"/>
        </w:rPr>
      </w:pPr>
      <w:r>
        <w:rPr>
          <w:rFonts w:hint="eastAsia"/>
        </w:rPr>
        <w:tab/>
      </w:r>
      <w:r>
        <w:rPr>
          <w:rFonts w:hint="eastAsia"/>
        </w:rPr>
        <w:tab/>
      </w:r>
      <w:r>
        <w:rPr>
          <w:rFonts w:hint="eastAsia"/>
        </w:rPr>
        <w:t>行政和体制措施</w:t>
      </w:r>
    </w:p>
    <w:p w:rsidR="007234DD" w:rsidRDefault="007234DD">
      <w:pPr>
        <w:pStyle w:val="SingleTxtGC"/>
      </w:pPr>
      <w:r>
        <w:t xml:space="preserve">121.  </w:t>
      </w:r>
      <w:r>
        <w:rPr>
          <w:rFonts w:hint="eastAsia"/>
        </w:rPr>
        <w:t>卡塔尔已采取具体措施，确保提高卡塔尔妇女的地位和促进妇女参与所有领域。下面介绍所采取的主要措施。</w:t>
      </w:r>
    </w:p>
    <w:p w:rsidR="007234DD" w:rsidRDefault="007234DD">
      <w:pPr>
        <w:pStyle w:val="H23GC"/>
        <w:rPr>
          <w:rFonts w:hint="eastAsia"/>
        </w:rPr>
      </w:pPr>
      <w:r>
        <w:rPr>
          <w:rFonts w:hint="eastAsia"/>
        </w:rPr>
        <w:tab/>
      </w:r>
      <w:r>
        <w:rPr>
          <w:rFonts w:hint="eastAsia"/>
        </w:rPr>
        <w:tab/>
      </w:r>
      <w:r>
        <w:rPr>
          <w:rFonts w:hint="eastAsia"/>
        </w:rPr>
        <w:t>专门为妇女建立的体制化机制</w:t>
      </w:r>
    </w:p>
    <w:p w:rsidR="007234DD" w:rsidRDefault="007234DD">
      <w:pPr>
        <w:pStyle w:val="SingleTxtGC"/>
      </w:pPr>
      <w:r>
        <w:t xml:space="preserve">122.  </w:t>
      </w:r>
      <w:r>
        <w:rPr>
          <w:rFonts w:hint="eastAsia"/>
        </w:rPr>
        <w:t>最高家庭事务委员会由</w:t>
      </w:r>
      <w:r>
        <w:rPr>
          <w:rFonts w:hint="eastAsia"/>
        </w:rPr>
        <w:t>1998</w:t>
      </w:r>
      <w:r>
        <w:rPr>
          <w:rFonts w:hint="eastAsia"/>
        </w:rPr>
        <w:t>年第</w:t>
      </w:r>
      <w:r>
        <w:rPr>
          <w:rFonts w:hint="eastAsia"/>
        </w:rPr>
        <w:t>53</w:t>
      </w:r>
      <w:r>
        <w:rPr>
          <w:rFonts w:hint="eastAsia"/>
        </w:rPr>
        <w:t>号埃米尔令设立，作为负责维护社会中各个家庭利益的一个高级别独立机构。该委员会拟定战略、政策和计划，跟进它们的执行，并直接向埃米尔报告。自成立起一直到</w:t>
      </w:r>
      <w:r>
        <w:rPr>
          <w:rFonts w:hint="eastAsia"/>
        </w:rPr>
        <w:t>2009</w:t>
      </w:r>
      <w:r>
        <w:rPr>
          <w:rFonts w:hint="eastAsia"/>
        </w:rPr>
        <w:t>年</w:t>
      </w:r>
      <w:r>
        <w:rPr>
          <w:rFonts w:hint="eastAsia"/>
        </w:rPr>
        <w:t>3</w:t>
      </w:r>
      <w:r>
        <w:rPr>
          <w:rFonts w:hint="eastAsia"/>
        </w:rPr>
        <w:t>月，其工作由埃米尔的妻子</w:t>
      </w:r>
      <w:r>
        <w:t>谢哈</w:t>
      </w:r>
      <w:r>
        <w:rPr>
          <w:rFonts w:hint="eastAsia"/>
        </w:rPr>
        <w:t>·</w:t>
      </w:r>
      <w:r>
        <w:t>穆扎</w:t>
      </w:r>
      <w:r>
        <w:rPr>
          <w:rFonts w:hint="eastAsia"/>
        </w:rPr>
        <w:t>·</w:t>
      </w:r>
      <w:r>
        <w:t>宾特</w:t>
      </w:r>
      <w:r>
        <w:rPr>
          <w:rFonts w:hint="eastAsia"/>
        </w:rPr>
        <w:t>·</w:t>
      </w:r>
      <w:r>
        <w:t>纳赛尔</w:t>
      </w:r>
      <w:r>
        <w:rPr>
          <w:rFonts w:hint="eastAsia"/>
        </w:rPr>
        <w:t>·</w:t>
      </w:r>
      <w:r>
        <w:t>阿勒米斯纳德</w:t>
      </w:r>
      <w:r>
        <w:rPr>
          <w:rFonts w:hint="eastAsia"/>
        </w:rPr>
        <w:t>殿下主持。该委员会最近根据</w:t>
      </w:r>
      <w:r>
        <w:rPr>
          <w:rFonts w:hint="eastAsia"/>
        </w:rPr>
        <w:t>2009</w:t>
      </w:r>
      <w:r>
        <w:rPr>
          <w:rFonts w:hint="eastAsia"/>
        </w:rPr>
        <w:t>年第</w:t>
      </w:r>
      <w:r>
        <w:rPr>
          <w:rFonts w:hint="eastAsia"/>
        </w:rPr>
        <w:t>15</w:t>
      </w:r>
      <w:r>
        <w:rPr>
          <w:rFonts w:hint="eastAsia"/>
        </w:rPr>
        <w:t>号埃米尔令进行了改组，目前其工作由谢哈·哈萨·</w:t>
      </w:r>
      <w:r>
        <w:t>宾特</w:t>
      </w:r>
      <w:r>
        <w:rPr>
          <w:rFonts w:hint="eastAsia"/>
        </w:rPr>
        <w:t>·哈马德·本·哈利法·阿勒萨尼阁下主持。</w:t>
      </w:r>
    </w:p>
    <w:p w:rsidR="007234DD" w:rsidRDefault="007234DD">
      <w:pPr>
        <w:pStyle w:val="SingleTxtGC"/>
      </w:pPr>
      <w:r>
        <w:t xml:space="preserve">123.  </w:t>
      </w:r>
      <w:r>
        <w:rPr>
          <w:rFonts w:hint="eastAsia"/>
        </w:rPr>
        <w:t>该委员会是负责提高卡塔尔妇女地位的</w:t>
      </w:r>
      <w:r>
        <w:t>体制化机制</w:t>
      </w:r>
      <w:r>
        <w:rPr>
          <w:rFonts w:hint="eastAsia"/>
        </w:rPr>
        <w:t>。它的成立使在国家一级针对妇女问题采取的办法有了质的变化。随着它的成立，处理妇女问题的职责从宗教基金和伊斯兰事务部转移到该委员会。宗教基金和伊斯兰事务部根据《北京宣言和行动纲要》制定了提高卡塔尔妇女地位的十点初步计划。该计划和为其实施提供的政治支持有助于开创一条在教育、卫生和就业领域取得巨大成就的道路。该计划的目标之一是成立提高妇女地位的政府机构和私立机构，并将管理它们的责任分配给妇女。</w:t>
      </w:r>
    </w:p>
    <w:p w:rsidR="007234DD" w:rsidRDefault="007234DD">
      <w:pPr>
        <w:pStyle w:val="SingleTxtGC"/>
      </w:pPr>
      <w:r>
        <w:t xml:space="preserve">124.  </w:t>
      </w:r>
      <w:r>
        <w:rPr>
          <w:rFonts w:hint="eastAsia"/>
        </w:rPr>
        <w:t>该委员会的成立是为家庭，特别是为妇女所作安排的一次重大转变。妇女问题过去一直在传统框架内解决，在这个框架内侧重的只是福利和保护。随着该委员会的成立，卡塔尔社会第一次将赋权和参与的概念与妇女问题联系起来。因此，该委员会与联合国妇女发展基金</w:t>
      </w:r>
      <w:r>
        <w:rPr>
          <w:rFonts w:hint="eastAsia"/>
        </w:rPr>
        <w:t>(</w:t>
      </w:r>
      <w:r>
        <w:rPr>
          <w:rFonts w:hint="eastAsia"/>
        </w:rPr>
        <w:t>妇发基金</w:t>
      </w:r>
      <w:r>
        <w:rPr>
          <w:rFonts w:hint="eastAsia"/>
        </w:rPr>
        <w:t>)</w:t>
      </w:r>
      <w:r>
        <w:rPr>
          <w:rFonts w:hint="eastAsia"/>
        </w:rPr>
        <w:t>合作，根据《北京行动纲要》、联合国大会第二十三届特别会议的成果和一项关于妇女状况的全面分析，拟定了一项新战略，以提高卡塔尔妇女的地位。该战略文件于</w:t>
      </w:r>
      <w:r>
        <w:rPr>
          <w:rFonts w:hint="eastAsia"/>
        </w:rPr>
        <w:t>2003</w:t>
      </w:r>
      <w:r>
        <w:rPr>
          <w:rFonts w:hint="eastAsia"/>
        </w:rPr>
        <w:t>年国际妇女节被公之于众。它为该委员会及其他相关机构的工作提供了一个框架。其结果是，战略中的大多数目标和目的特别是立法和体制领域的目标和目的，都得到了实现。该委员会制定了</w:t>
      </w:r>
      <w:r>
        <w:rPr>
          <w:rFonts w:hint="eastAsia"/>
        </w:rPr>
        <w:t>2008-2011</w:t>
      </w:r>
      <w:r>
        <w:rPr>
          <w:rFonts w:hint="eastAsia"/>
        </w:rPr>
        <w:t>年卡塔尔家庭问题总体战略。其中的一个组成部分是</w:t>
      </w:r>
      <w:r>
        <w:rPr>
          <w:rFonts w:hint="eastAsia"/>
        </w:rPr>
        <w:t>2010</w:t>
      </w:r>
      <w:r>
        <w:rPr>
          <w:rFonts w:hint="eastAsia"/>
        </w:rPr>
        <w:t>年大臣会议批准的提高妇女地位战略。此外，总体战略还包括各部委以及政府和非政府组织在制定家庭和妇女方案时作为指南的一项方案计划。</w:t>
      </w:r>
    </w:p>
    <w:p w:rsidR="007234DD" w:rsidRDefault="007234DD">
      <w:pPr>
        <w:pStyle w:val="SingleTxtGC"/>
      </w:pPr>
      <w:r>
        <w:t xml:space="preserve">125.  </w:t>
      </w:r>
      <w:r>
        <w:rPr>
          <w:rFonts w:hint="eastAsia"/>
        </w:rPr>
        <w:t>在各个阶段，该委员会都建立了提高妇女地位的机制。这些机制包括妇女委员会</w:t>
      </w:r>
      <w:r>
        <w:rPr>
          <w:rFonts w:hint="eastAsia"/>
        </w:rPr>
        <w:t>(1998-2009</w:t>
      </w:r>
      <w:r>
        <w:rPr>
          <w:rFonts w:hint="eastAsia"/>
        </w:rPr>
        <w:t>年</w:t>
      </w:r>
      <w:r>
        <w:rPr>
          <w:rFonts w:hint="eastAsia"/>
        </w:rPr>
        <w:t>)</w:t>
      </w:r>
      <w:r>
        <w:rPr>
          <w:rFonts w:hint="eastAsia"/>
        </w:rPr>
        <w:t>、妇女局</w:t>
      </w:r>
      <w:r>
        <w:rPr>
          <w:rFonts w:hint="eastAsia"/>
        </w:rPr>
        <w:t>(2003-2009</w:t>
      </w:r>
      <w:r>
        <w:rPr>
          <w:rFonts w:hint="eastAsia"/>
        </w:rPr>
        <w:t>年</w:t>
      </w:r>
      <w:r>
        <w:rPr>
          <w:rFonts w:hint="eastAsia"/>
        </w:rPr>
        <w:t>)</w:t>
      </w:r>
      <w:r>
        <w:rPr>
          <w:rFonts w:hint="eastAsia"/>
        </w:rPr>
        <w:t>和常设选举委员会</w:t>
      </w:r>
      <w:r>
        <w:rPr>
          <w:rFonts w:hint="eastAsia"/>
        </w:rPr>
        <w:t>(2003-2009</w:t>
      </w:r>
      <w:r>
        <w:rPr>
          <w:rFonts w:hint="eastAsia"/>
        </w:rPr>
        <w:t>年</w:t>
      </w:r>
      <w:r>
        <w:rPr>
          <w:rFonts w:hint="eastAsia"/>
        </w:rPr>
        <w:t>)</w:t>
      </w:r>
      <w:r>
        <w:rPr>
          <w:rFonts w:hint="eastAsia"/>
        </w:rPr>
        <w:t>。它们实施了数十个方案和研究项目，举办了关于涉及妇女的所有领域的研讨会和培训班，并努力拟定和更新有关妇女问题的法律。</w:t>
      </w:r>
    </w:p>
    <w:p w:rsidR="007234DD" w:rsidRDefault="007234DD">
      <w:pPr>
        <w:pStyle w:val="SingleTxtGC"/>
      </w:pPr>
      <w:r>
        <w:t xml:space="preserve">126.  </w:t>
      </w:r>
      <w:r>
        <w:rPr>
          <w:rFonts w:hint="eastAsia"/>
        </w:rPr>
        <w:t>该委员会对制定关于妇女问题的法律做出了重要贡献，下面列举一些例子对此进行说明。在对《家庭法》的贡献方面，该委员会在下列工作中发挥了关键作用：规定最低结婚年龄；引进婚前体检政策；将幼儿可以接受妇女照顾的上限年龄设定为男</w:t>
      </w:r>
      <w:r>
        <w:rPr>
          <w:rFonts w:hint="eastAsia"/>
        </w:rPr>
        <w:t>13</w:t>
      </w:r>
      <w:r>
        <w:rPr>
          <w:rFonts w:hint="eastAsia"/>
        </w:rPr>
        <w:t>岁、女</w:t>
      </w:r>
      <w:r>
        <w:rPr>
          <w:rFonts w:hint="eastAsia"/>
        </w:rPr>
        <w:t>15</w:t>
      </w:r>
      <w:r>
        <w:rPr>
          <w:rFonts w:hint="eastAsia"/>
        </w:rPr>
        <w:t>岁；起草《住房法》；确立妇女受益于住房计划的权利；以及制定关于妇女得益于住房计划和有需要人员住房计划的条例。</w:t>
      </w:r>
    </w:p>
    <w:p w:rsidR="007234DD" w:rsidRDefault="007234DD">
      <w:pPr>
        <w:pStyle w:val="SingleTxtGC"/>
      </w:pPr>
      <w:r>
        <w:t xml:space="preserve">127.  </w:t>
      </w:r>
      <w:r>
        <w:rPr>
          <w:rFonts w:hint="eastAsia"/>
        </w:rPr>
        <w:t>该委员会在确保国家加入《消除对妇女一切形式歧视公约》、《残疾人权利公约》和《儿童权利公约》的两个任择议定书中发挥了作用。它与政府和非政府组织一起，跟进这些文书的执行。</w:t>
      </w:r>
    </w:p>
    <w:p w:rsidR="007234DD" w:rsidRDefault="007234DD">
      <w:pPr>
        <w:pStyle w:val="SingleTxtGC"/>
        <w:rPr>
          <w:rFonts w:hint="eastAsia"/>
        </w:rPr>
      </w:pPr>
      <w:r>
        <w:t xml:space="preserve">128.  </w:t>
      </w:r>
      <w:r>
        <w:rPr>
          <w:rFonts w:hint="eastAsia"/>
        </w:rPr>
        <w:t>该委员会采取基于权利的方法来处理涉及妇女、儿童、残疾人和老年人的问题。它先于国家人权委员会成立，通过举办各种培训班、讲习班、讨论小组和研讨会，帮助人们提高对妇女权利和问题的认识。通过这种方式，它不仅提高了人们的认识，而且调动了公众对促进妇女权利的支持。</w:t>
      </w:r>
    </w:p>
    <w:p w:rsidR="007234DD" w:rsidRDefault="007234DD">
      <w:pPr>
        <w:pStyle w:val="SingleTxtGC"/>
      </w:pPr>
      <w:r>
        <w:t xml:space="preserve">129.  </w:t>
      </w:r>
      <w:r>
        <w:rPr>
          <w:rFonts w:hint="eastAsia"/>
        </w:rPr>
        <w:t>该委员会通过进行和传播许多重要研究，以及通过举行有关研究结果的讨论，帮助发展对于妇女问题的学术研究。这些研究的主题包括：</w:t>
      </w:r>
    </w:p>
    <w:p w:rsidR="007234DD" w:rsidRDefault="007234DD">
      <w:pPr>
        <w:pStyle w:val="Bullet1GC"/>
      </w:pPr>
      <w:r>
        <w:rPr>
          <w:rFonts w:hint="eastAsia"/>
        </w:rPr>
        <w:t>卡塔尔社会中对妇女的暴力</w:t>
      </w:r>
    </w:p>
    <w:p w:rsidR="007234DD" w:rsidRDefault="007234DD">
      <w:pPr>
        <w:pStyle w:val="Bullet1GC"/>
      </w:pPr>
      <w:r>
        <w:rPr>
          <w:rFonts w:hint="eastAsia"/>
        </w:rPr>
        <w:t>妇女获得高级职位的障碍</w:t>
      </w:r>
    </w:p>
    <w:p w:rsidR="007234DD" w:rsidRDefault="007234DD">
      <w:pPr>
        <w:pStyle w:val="Bullet1GC"/>
      </w:pPr>
      <w:r>
        <w:rPr>
          <w:rFonts w:hint="eastAsia"/>
        </w:rPr>
        <w:t>卡塔尔妇女与因特网</w:t>
      </w:r>
    </w:p>
    <w:p w:rsidR="007234DD" w:rsidRDefault="007234DD">
      <w:pPr>
        <w:pStyle w:val="Bullet1GC"/>
      </w:pPr>
      <w:r>
        <w:rPr>
          <w:rFonts w:hint="eastAsia"/>
        </w:rPr>
        <w:t>卡塔尔妇女与媒体</w:t>
      </w:r>
    </w:p>
    <w:p w:rsidR="007234DD" w:rsidRDefault="007234DD">
      <w:pPr>
        <w:pStyle w:val="Bullet1GC"/>
      </w:pPr>
      <w:r>
        <w:rPr>
          <w:rFonts w:hint="eastAsia"/>
        </w:rPr>
        <w:t>配偶间的暴力行为</w:t>
      </w:r>
      <w:r>
        <w:rPr>
          <w:rFonts w:hint="eastAsia"/>
        </w:rPr>
        <w:t>(</w:t>
      </w:r>
      <w:r>
        <w:rPr>
          <w:rFonts w:hint="eastAsia"/>
        </w:rPr>
        <w:t>卡塔尔的情况</w:t>
      </w:r>
      <w:r>
        <w:rPr>
          <w:rFonts w:hint="eastAsia"/>
        </w:rPr>
        <w:t>)</w:t>
      </w:r>
    </w:p>
    <w:p w:rsidR="007234DD" w:rsidRDefault="007234DD">
      <w:pPr>
        <w:pStyle w:val="SingleTxtGC"/>
      </w:pPr>
      <w:r>
        <w:t xml:space="preserve">130.  </w:t>
      </w:r>
      <w:r>
        <w:rPr>
          <w:rFonts w:hint="eastAsia"/>
        </w:rPr>
        <w:t>该委员会向卡塔尔所有城市地区的卡塔尔妇女伸出援助之手，提高人们对各地区妇女之需要的认识，并促进她们的参与。它在</w:t>
      </w:r>
      <w:r>
        <w:t>豪尔</w:t>
      </w:r>
      <w:r>
        <w:rPr>
          <w:rFonts w:hint="eastAsia"/>
        </w:rPr>
        <w:t>市</w:t>
      </w:r>
      <w:r>
        <w:rPr>
          <w:rFonts w:hint="eastAsia"/>
        </w:rPr>
        <w:t>(</w:t>
      </w:r>
      <w:r>
        <w:rPr>
          <w:rFonts w:hint="eastAsia"/>
        </w:rPr>
        <w:t>卡塔尔北部</w:t>
      </w:r>
      <w:r>
        <w:rPr>
          <w:rFonts w:hint="eastAsia"/>
        </w:rPr>
        <w:t>)</w:t>
      </w:r>
      <w:r>
        <w:rPr>
          <w:rFonts w:hint="eastAsia"/>
        </w:rPr>
        <w:t>实施了一个为期三年的开拓性项目，通过专门设计的培训方案和讲习班，为该地区的各种社会活动、妇女与有关机构之间的网络建设和妇女能力建设提供支持。社会事务部继续实施该方案，将其扩展到国内所有地区。</w:t>
      </w:r>
    </w:p>
    <w:p w:rsidR="007234DD" w:rsidRDefault="007234DD">
      <w:pPr>
        <w:pStyle w:val="SingleTxtGC"/>
      </w:pPr>
      <w:r>
        <w:t xml:space="preserve">131.  </w:t>
      </w:r>
      <w:r>
        <w:t>谢哈</w:t>
      </w:r>
      <w:r>
        <w:rPr>
          <w:rFonts w:hint="eastAsia"/>
        </w:rPr>
        <w:t>·</w:t>
      </w:r>
      <w:r>
        <w:t>穆扎</w:t>
      </w:r>
      <w:r>
        <w:rPr>
          <w:rFonts w:hint="eastAsia"/>
        </w:rPr>
        <w:t>·</w:t>
      </w:r>
      <w:r>
        <w:t>宾特</w:t>
      </w:r>
      <w:r>
        <w:rPr>
          <w:rFonts w:hint="eastAsia"/>
        </w:rPr>
        <w:t>·</w:t>
      </w:r>
      <w:r>
        <w:t>纳赛尔</w:t>
      </w:r>
      <w:r>
        <w:rPr>
          <w:rFonts w:hint="eastAsia"/>
        </w:rPr>
        <w:t>·</w:t>
      </w:r>
      <w:r>
        <w:t>阿勒米斯纳德</w:t>
      </w:r>
      <w:r>
        <w:rPr>
          <w:rFonts w:hint="eastAsia"/>
        </w:rPr>
        <w:t>殿下在担任该委员会主席期间，成立了下列公益机构，以保护和促进妇女在人生各个阶段中的权利：</w:t>
      </w:r>
    </w:p>
    <w:p w:rsidR="007234DD" w:rsidRDefault="007234DD">
      <w:pPr>
        <w:pStyle w:val="Bullet1GC"/>
      </w:pPr>
      <w:r>
        <w:t>Shafallah</w:t>
      </w:r>
      <w:r>
        <w:rPr>
          <w:rFonts w:hint="eastAsia"/>
        </w:rPr>
        <w:t>特需儿童中心，</w:t>
      </w:r>
      <w:r>
        <w:rPr>
          <w:rFonts w:hint="eastAsia"/>
        </w:rPr>
        <w:t>2001</w:t>
      </w:r>
      <w:r>
        <w:rPr>
          <w:rFonts w:hint="eastAsia"/>
        </w:rPr>
        <w:t>年</w:t>
      </w:r>
    </w:p>
    <w:p w:rsidR="007234DD" w:rsidRDefault="007234DD">
      <w:pPr>
        <w:pStyle w:val="Bullet1GC"/>
      </w:pPr>
      <w:r>
        <w:rPr>
          <w:rFonts w:hint="eastAsia"/>
        </w:rPr>
        <w:t>儿童文化中心，</w:t>
      </w:r>
      <w:r>
        <w:t>2002</w:t>
      </w:r>
      <w:r>
        <w:rPr>
          <w:rFonts w:hint="eastAsia"/>
        </w:rPr>
        <w:t>年</w:t>
      </w:r>
    </w:p>
    <w:p w:rsidR="007234DD" w:rsidRDefault="007234DD">
      <w:pPr>
        <w:pStyle w:val="Bullet1GC"/>
      </w:pPr>
      <w:r>
        <w:rPr>
          <w:rFonts w:hint="eastAsia"/>
        </w:rPr>
        <w:t>家庭咨询中心，</w:t>
      </w:r>
      <w:r>
        <w:t>2002</w:t>
      </w:r>
      <w:r>
        <w:rPr>
          <w:rFonts w:hint="eastAsia"/>
        </w:rPr>
        <w:t>年</w:t>
      </w:r>
    </w:p>
    <w:p w:rsidR="007234DD" w:rsidRDefault="007234DD">
      <w:pPr>
        <w:pStyle w:val="Bullet1GC"/>
      </w:pPr>
      <w:r>
        <w:rPr>
          <w:rFonts w:hint="eastAsia"/>
        </w:rPr>
        <w:t>卡塔尔保护儿童和妇女基金会，</w:t>
      </w:r>
      <w:r>
        <w:t>2002</w:t>
      </w:r>
      <w:r>
        <w:rPr>
          <w:rFonts w:hint="eastAsia"/>
        </w:rPr>
        <w:t>年</w:t>
      </w:r>
    </w:p>
    <w:p w:rsidR="007234DD" w:rsidRDefault="007234DD">
      <w:pPr>
        <w:pStyle w:val="Bullet1GC"/>
      </w:pPr>
      <w:r>
        <w:rPr>
          <w:rFonts w:hint="eastAsia"/>
        </w:rPr>
        <w:t>卡塔尔孤儿福利基金会，</w:t>
      </w:r>
      <w:r>
        <w:t>2002</w:t>
      </w:r>
      <w:r>
        <w:rPr>
          <w:rFonts w:hint="eastAsia"/>
        </w:rPr>
        <w:t>年</w:t>
      </w:r>
    </w:p>
    <w:p w:rsidR="007234DD" w:rsidRDefault="007234DD">
      <w:pPr>
        <w:pStyle w:val="Bullet1GC"/>
      </w:pPr>
      <w:r>
        <w:rPr>
          <w:rFonts w:hint="eastAsia"/>
        </w:rPr>
        <w:t>卡塔尔老年人福利基金会，</w:t>
      </w:r>
      <w:r>
        <w:t>2002</w:t>
      </w:r>
      <w:r>
        <w:rPr>
          <w:rFonts w:hint="eastAsia"/>
        </w:rPr>
        <w:t>年</w:t>
      </w:r>
    </w:p>
    <w:p w:rsidR="007234DD" w:rsidRDefault="007234DD">
      <w:pPr>
        <w:pStyle w:val="Bullet1GC"/>
      </w:pPr>
      <w:r>
        <w:rPr>
          <w:rFonts w:hint="eastAsia"/>
        </w:rPr>
        <w:t>卡塔尔打击人口贩运基金会，</w:t>
      </w:r>
      <w:r>
        <w:rPr>
          <w:rFonts w:hint="eastAsia"/>
        </w:rPr>
        <w:t>2008</w:t>
      </w:r>
      <w:r>
        <w:rPr>
          <w:rFonts w:hint="eastAsia"/>
        </w:rPr>
        <w:t>年</w:t>
      </w:r>
    </w:p>
    <w:p w:rsidR="007234DD" w:rsidRDefault="007234DD">
      <w:pPr>
        <w:pStyle w:val="Bullet1GC"/>
      </w:pPr>
      <w:r>
        <w:rPr>
          <w:rFonts w:hint="eastAsia"/>
        </w:rPr>
        <w:t>社会康复中心，</w:t>
      </w:r>
      <w:r>
        <w:t>2008</w:t>
      </w:r>
      <w:r>
        <w:rPr>
          <w:rFonts w:hint="eastAsia"/>
        </w:rPr>
        <w:t>年</w:t>
      </w:r>
    </w:p>
    <w:p w:rsidR="007234DD" w:rsidRDefault="007234DD">
      <w:pPr>
        <w:pStyle w:val="H23GC"/>
        <w:rPr>
          <w:rFonts w:hint="eastAsia"/>
        </w:rPr>
      </w:pPr>
      <w:r>
        <w:rPr>
          <w:rFonts w:hint="eastAsia"/>
        </w:rPr>
        <w:tab/>
      </w:r>
      <w:r>
        <w:rPr>
          <w:rFonts w:hint="eastAsia"/>
        </w:rPr>
        <w:tab/>
      </w:r>
      <w:r>
        <w:rPr>
          <w:rFonts w:hint="eastAsia"/>
        </w:rPr>
        <w:t>所有国家战略、政策和计划中的性别平等主流化</w:t>
      </w:r>
    </w:p>
    <w:p w:rsidR="007234DD" w:rsidRDefault="007234DD">
      <w:pPr>
        <w:pStyle w:val="SingleTxtGC"/>
      </w:pPr>
      <w:r>
        <w:t xml:space="preserve">132.  </w:t>
      </w:r>
      <w:r>
        <w:rPr>
          <w:rFonts w:hint="eastAsia"/>
        </w:rPr>
        <w:t>卡塔尔在促进社会发展工作的范围内，努力保持强大的家庭关系并为家庭提供支助和社会福利。卡塔尔在提高妇女地位方面的经验的独到之处是，坚信将妇女问题与家庭和社会问题分开会适得其反，以此信念为基础采取整体方法处理妇女问题。妇女是家庭成员，如要改善她们的状况，则所有家庭成员的教育、卫生、经济和文化状况也必须得到改善。由于妇女地位能否提高也取决于卫生、教育和经济部门所取得的进步，这些部门的所有发展计划都列有关于改善为妇女提供的服务并让妇女参与这些部门的各级事务的明确目标。</w:t>
      </w:r>
    </w:p>
    <w:p w:rsidR="007234DD" w:rsidRDefault="007234DD">
      <w:pPr>
        <w:pStyle w:val="SingleTxtGC"/>
      </w:pPr>
      <w:r>
        <w:t xml:space="preserve">133.  </w:t>
      </w:r>
      <w:r>
        <w:rPr>
          <w:rFonts w:hint="eastAsia"/>
        </w:rPr>
        <w:t>根据</w:t>
      </w:r>
      <w:r>
        <w:rPr>
          <w:rFonts w:hint="eastAsia"/>
        </w:rPr>
        <w:t>2008</w:t>
      </w:r>
      <w:r>
        <w:rPr>
          <w:rFonts w:hint="eastAsia"/>
        </w:rPr>
        <w:t>年第</w:t>
      </w:r>
      <w:r>
        <w:rPr>
          <w:rFonts w:hint="eastAsia"/>
        </w:rPr>
        <w:t>44</w:t>
      </w:r>
      <w:r>
        <w:rPr>
          <w:rFonts w:hint="eastAsia"/>
        </w:rPr>
        <w:t>号埃米尔令通过的“卡塔尔</w:t>
      </w:r>
      <w:r>
        <w:rPr>
          <w:rFonts w:hint="eastAsia"/>
        </w:rPr>
        <w:t>2030</w:t>
      </w:r>
      <w:r>
        <w:rPr>
          <w:rFonts w:hint="eastAsia"/>
        </w:rPr>
        <w:t>年国家愿景”文件，对于增强妇女能力和促进妇女参与经济和政治生活，特别是参与决策，作出了规定。目前正在拟定</w:t>
      </w:r>
      <w:r>
        <w:rPr>
          <w:rFonts w:hint="eastAsia"/>
        </w:rPr>
        <w:t>2011</w:t>
      </w:r>
      <w:r>
        <w:rPr>
          <w:rFonts w:hint="eastAsia"/>
        </w:rPr>
        <w:t>年至</w:t>
      </w:r>
      <w:r>
        <w:rPr>
          <w:rFonts w:hint="eastAsia"/>
        </w:rPr>
        <w:t>2016</w:t>
      </w:r>
      <w:r>
        <w:rPr>
          <w:rFonts w:hint="eastAsia"/>
        </w:rPr>
        <w:t>年的总体发展战略，以帮助实现国家愿景。制订出了一些关于提高妇女在所有领域中的地位的政策和方案。</w:t>
      </w:r>
    </w:p>
    <w:p w:rsidR="007234DD" w:rsidRDefault="007234DD">
      <w:pPr>
        <w:pStyle w:val="SingleTxtGC"/>
      </w:pPr>
      <w:r>
        <w:t xml:space="preserve">134.  </w:t>
      </w:r>
      <w:r>
        <w:rPr>
          <w:rFonts w:hint="eastAsia"/>
        </w:rPr>
        <w:t>国家的住房政策包含关于妇女的赋权增能和促进性别平等的具体目标。政策执行计划包括专门为实现这一目标而制订的一些方案。</w:t>
      </w:r>
    </w:p>
    <w:p w:rsidR="007234DD" w:rsidRDefault="007234DD">
      <w:pPr>
        <w:pStyle w:val="H23GC"/>
        <w:rPr>
          <w:rFonts w:hint="eastAsia"/>
        </w:rPr>
      </w:pPr>
      <w:r>
        <w:tab/>
      </w:r>
      <w:r>
        <w:rPr>
          <w:rFonts w:hint="eastAsia"/>
        </w:rPr>
        <w:tab/>
      </w:r>
      <w:r>
        <w:rPr>
          <w:rFonts w:hint="eastAsia"/>
        </w:rPr>
        <w:t>挑战和未来展望</w:t>
      </w:r>
    </w:p>
    <w:p w:rsidR="007234DD" w:rsidRDefault="007234DD">
      <w:pPr>
        <w:pStyle w:val="SingleTxtGC"/>
      </w:pPr>
      <w:r>
        <w:t xml:space="preserve">135.  </w:t>
      </w:r>
      <w:r>
        <w:rPr>
          <w:rFonts w:hint="eastAsia"/>
        </w:rPr>
        <w:t>国家各机构正在努力克服妇女参与某些领域的障碍，特别是需要很长时间才能改变并且可能会阻碍妇女行使她们的一些宪法和法律权利的社会习俗，以及妇女对其既得权利缺乏认识和整个社会对妇女的权利缺乏认识的现状。国家正在采取措施减轻这些障碍的影响，提高妇女和社会对妇女权利的普遍认识，并努力创造支持妇女和为所有妇女群体提供获得服务的渠道和参与符合其需要的所有领域的机会。这通过</w:t>
      </w:r>
      <w:r>
        <w:rPr>
          <w:rFonts w:hint="eastAsia"/>
        </w:rPr>
        <w:t>(</w:t>
      </w:r>
      <w:r>
        <w:rPr>
          <w:rFonts w:hint="eastAsia"/>
        </w:rPr>
        <w:t>例如</w:t>
      </w:r>
      <w:r>
        <w:rPr>
          <w:rFonts w:hint="eastAsia"/>
        </w:rPr>
        <w:t>)</w:t>
      </w:r>
      <w:r>
        <w:rPr>
          <w:rFonts w:hint="eastAsia"/>
        </w:rPr>
        <w:t>针对妇女的专门教育机构和服务设施</w:t>
      </w:r>
      <w:r>
        <w:rPr>
          <w:rFonts w:hint="eastAsia"/>
        </w:rPr>
        <w:t>(</w:t>
      </w:r>
      <w:r>
        <w:rPr>
          <w:rFonts w:hint="eastAsia"/>
        </w:rPr>
        <w:t>国家银行面向妇女的分支机构和妇女体育中心</w:t>
      </w:r>
      <w:r>
        <w:rPr>
          <w:rFonts w:hint="eastAsia"/>
        </w:rPr>
        <w:t>)</w:t>
      </w:r>
      <w:r>
        <w:rPr>
          <w:rFonts w:hint="eastAsia"/>
        </w:rPr>
        <w:t>来进行。</w:t>
      </w:r>
    </w:p>
    <w:p w:rsidR="007234DD" w:rsidRDefault="007234DD">
      <w:pPr>
        <w:pStyle w:val="SingleTxtGC"/>
      </w:pPr>
      <w:r>
        <w:t xml:space="preserve">136.  </w:t>
      </w:r>
      <w:r>
        <w:rPr>
          <w:rFonts w:hint="eastAsia"/>
        </w:rPr>
        <w:t>卡塔尔打算进一步努力促进卡塔尔妇女在各个生活领域中的权益。作为国家负责处理妇女问题的组织，最高家庭事务委员会与国家人权委员会签订了一份关于组织培训课程、讲习班和宣传运动的谅解备忘录，以提高人们对妇女依照《宪法》和法律应当享有的政治和公民权利的认识。民间社会组织在妇女权利领域发挥了积极的作用。</w:t>
      </w:r>
    </w:p>
    <w:p w:rsidR="007234DD" w:rsidRDefault="007234DD">
      <w:pPr>
        <w:pStyle w:val="H1GC"/>
        <w:rPr>
          <w:rFonts w:hint="eastAsia"/>
        </w:rPr>
      </w:pPr>
      <w:r>
        <w:rPr>
          <w:rFonts w:hint="eastAsia"/>
        </w:rPr>
        <w:tab/>
      </w:r>
      <w:r>
        <w:rPr>
          <w:rFonts w:hint="eastAsia"/>
        </w:rPr>
        <w:tab/>
      </w:r>
      <w:r>
        <w:rPr>
          <w:rFonts w:hint="eastAsia"/>
        </w:rPr>
        <w:t>第四条</w:t>
      </w:r>
      <w:r>
        <w:rPr>
          <w:rFonts w:hint="eastAsia"/>
        </w:rPr>
        <w:br/>
      </w:r>
      <w:r>
        <w:rPr>
          <w:rFonts w:hint="eastAsia"/>
        </w:rPr>
        <w:t>特别措施</w:t>
      </w:r>
    </w:p>
    <w:p w:rsidR="007234DD" w:rsidRDefault="007234DD">
      <w:pPr>
        <w:pStyle w:val="H23GC"/>
        <w:rPr>
          <w:rFonts w:hint="eastAsia"/>
        </w:rPr>
      </w:pPr>
      <w:r>
        <w:rPr>
          <w:rFonts w:hint="eastAsia"/>
        </w:rPr>
        <w:tab/>
      </w:r>
      <w:r>
        <w:rPr>
          <w:rFonts w:hint="eastAsia"/>
        </w:rPr>
        <w:tab/>
      </w:r>
      <w:r>
        <w:rPr>
          <w:rFonts w:hint="eastAsia"/>
        </w:rPr>
        <w:t>暂行特别措施</w:t>
      </w:r>
    </w:p>
    <w:p w:rsidR="007234DD" w:rsidRDefault="007234DD">
      <w:pPr>
        <w:pStyle w:val="SingleTxtGC"/>
      </w:pPr>
      <w:r>
        <w:t xml:space="preserve">137.  </w:t>
      </w:r>
      <w:r>
        <w:rPr>
          <w:rFonts w:hint="eastAsia"/>
        </w:rPr>
        <w:t>国家对于投资于卡塔尔男子和妇女的发展采取了定义明确的政策。政策的重点是为所有卡塔尔人提供高质量的普通教育和符合国际标准的多元化大学教育。根据机会平等政策，卡塔尔妇女得到了在卡塔尔获得符合其愿望的教育所需要的援助。妇女也可以被送到国外最好的大学留学。国家为职业妇女提供到国外学习和接受培训的机会。妇女可以在国际论坛上代表国家。而且，如果她们希望让自己的丈夫、父亲或兄弟陪同，她们可以那样做，费用由国家承担。</w:t>
      </w:r>
    </w:p>
    <w:p w:rsidR="007234DD" w:rsidRDefault="007234DD">
      <w:pPr>
        <w:pStyle w:val="SingleTxtGC"/>
        <w:rPr>
          <w:rFonts w:hint="eastAsia"/>
        </w:rPr>
      </w:pPr>
      <w:r>
        <w:t xml:space="preserve">138.  </w:t>
      </w:r>
      <w:r>
        <w:rPr>
          <w:rFonts w:hint="eastAsia"/>
        </w:rPr>
        <w:t>政府和非政府组织都致力于创造一个促进所有妇女群体参与并确保妇女获得所有服务的环境。此外，卡塔尔的银行从成立那一天起，就设有面向妇女的分支机构，以帮助女客户独立地理财和投资，而无需一个代理人来代表她们行事。如果妇女想到银行的一般分支机构去，利用为男女两性客户提供的服务，她们也可以那样做。</w:t>
      </w:r>
    </w:p>
    <w:p w:rsidR="007234DD" w:rsidRDefault="007234DD">
      <w:pPr>
        <w:pStyle w:val="SingleTxtGC"/>
      </w:pPr>
      <w:r>
        <w:t xml:space="preserve">139.  </w:t>
      </w:r>
      <w:r>
        <w:rPr>
          <w:rFonts w:hint="eastAsia"/>
        </w:rPr>
        <w:t>在筹备卡塔尔历史上举行的首次市政选举中</w:t>
      </w:r>
      <w:r>
        <w:rPr>
          <w:rFonts w:hint="eastAsia"/>
        </w:rPr>
        <w:t>(1999</w:t>
      </w:r>
      <w:r>
        <w:rPr>
          <w:rFonts w:hint="eastAsia"/>
        </w:rPr>
        <w:t>年</w:t>
      </w:r>
      <w:r>
        <w:rPr>
          <w:rFonts w:hint="eastAsia"/>
        </w:rPr>
        <w:t>)</w:t>
      </w:r>
      <w:r>
        <w:rPr>
          <w:rFonts w:hint="eastAsia"/>
        </w:rPr>
        <w:t>，埃米尔的夫人</w:t>
      </w:r>
      <w:r>
        <w:t>谢哈</w:t>
      </w:r>
      <w:r>
        <w:rPr>
          <w:rFonts w:hint="eastAsia"/>
        </w:rPr>
        <w:t>·</w:t>
      </w:r>
      <w:r>
        <w:t>穆扎</w:t>
      </w:r>
      <w:r>
        <w:rPr>
          <w:rFonts w:hint="eastAsia"/>
        </w:rPr>
        <w:t>·</w:t>
      </w:r>
      <w:r>
        <w:t>宾特</w:t>
      </w:r>
      <w:r>
        <w:rPr>
          <w:rFonts w:hint="eastAsia"/>
        </w:rPr>
        <w:t>·</w:t>
      </w:r>
      <w:r>
        <w:t>纳赛尔</w:t>
      </w:r>
      <w:r>
        <w:rPr>
          <w:rFonts w:hint="eastAsia"/>
        </w:rPr>
        <w:t>·</w:t>
      </w:r>
      <w:r>
        <w:t>阿勒米斯纳德</w:t>
      </w:r>
      <w:r>
        <w:rPr>
          <w:rFonts w:hint="eastAsia"/>
        </w:rPr>
        <w:t>殿下成立了一个筹备委员会，以支持妇女参加选举。该委员会成员包括一些积极参与提高妇女对参与的重要性的认识和教育社会认识到妇女参与政治的权利以及这种权利的重要性的妇女。由于这些努力，有</w:t>
      </w:r>
      <w:r>
        <w:rPr>
          <w:rFonts w:hint="eastAsia"/>
        </w:rPr>
        <w:t>4</w:t>
      </w:r>
      <w:r>
        <w:rPr>
          <w:rFonts w:hint="eastAsia"/>
        </w:rPr>
        <w:t>名妇女作为候选人参加了选举，并且大量妇女参加了投票。后来，在</w:t>
      </w:r>
      <w:r>
        <w:rPr>
          <w:rFonts w:hint="eastAsia"/>
        </w:rPr>
        <w:t>2003</w:t>
      </w:r>
      <w:r>
        <w:rPr>
          <w:rFonts w:hint="eastAsia"/>
        </w:rPr>
        <w:t>年，殿下</w:t>
      </w:r>
      <w:r>
        <w:rPr>
          <w:rFonts w:hint="eastAsia"/>
        </w:rPr>
        <w:t>(</w:t>
      </w:r>
      <w:r>
        <w:rPr>
          <w:rFonts w:hint="eastAsia"/>
        </w:rPr>
        <w:t>以最高家庭事务委员会主席的身份</w:t>
      </w:r>
      <w:r>
        <w:rPr>
          <w:rFonts w:hint="eastAsia"/>
        </w:rPr>
        <w:t>)</w:t>
      </w:r>
      <w:r>
        <w:rPr>
          <w:rFonts w:hint="eastAsia"/>
        </w:rPr>
        <w:t>成立了一个常设选举委员会。该委员会继续提高男子和妇女对妇女参与的重要性的认识，并为卡塔尔的专业人士提供关于选举程序的教育。该委员会于</w:t>
      </w:r>
      <w:r>
        <w:rPr>
          <w:rFonts w:hint="eastAsia"/>
        </w:rPr>
        <w:t>2009</w:t>
      </w:r>
      <w:r>
        <w:rPr>
          <w:rFonts w:hint="eastAsia"/>
        </w:rPr>
        <w:t>年年中终止了它的工作，以便接受绩效评价。成立了几个独立的组织，接手它的一些职能。</w:t>
      </w:r>
    </w:p>
    <w:p w:rsidR="007234DD" w:rsidRDefault="007234DD">
      <w:pPr>
        <w:pStyle w:val="H23GC"/>
        <w:rPr>
          <w:rFonts w:hint="eastAsia"/>
        </w:rPr>
      </w:pPr>
      <w:r>
        <w:rPr>
          <w:rFonts w:hint="eastAsia"/>
        </w:rPr>
        <w:tab/>
      </w:r>
      <w:r>
        <w:rPr>
          <w:rFonts w:hint="eastAsia"/>
        </w:rPr>
        <w:tab/>
      </w:r>
      <w:r>
        <w:rPr>
          <w:rFonts w:hint="eastAsia"/>
        </w:rPr>
        <w:t>保护母亲</w:t>
      </w:r>
    </w:p>
    <w:p w:rsidR="007234DD" w:rsidRDefault="007234DD">
      <w:pPr>
        <w:pStyle w:val="SingleTxtGC"/>
      </w:pPr>
      <w:r>
        <w:t xml:space="preserve">140.  </w:t>
      </w:r>
      <w:r>
        <w:rPr>
          <w:rFonts w:hint="eastAsia"/>
        </w:rPr>
        <w:t>卡塔尔致力于按照《宪法》第</w:t>
      </w:r>
      <w:r>
        <w:rPr>
          <w:rFonts w:hint="eastAsia"/>
        </w:rPr>
        <w:t>21</w:t>
      </w:r>
      <w:r>
        <w:rPr>
          <w:rFonts w:hint="eastAsia"/>
        </w:rPr>
        <w:t>条保护母亲。该条规定：“家庭由宗教、道德和爱国主义支撑，是社会的基础。法律应对保护家庭、支持家庭团结、加强家庭关系以及保护母亲、儿童和老人的方法作出规定”。</w:t>
      </w:r>
    </w:p>
    <w:p w:rsidR="007234DD" w:rsidRDefault="007234DD">
      <w:pPr>
        <w:pStyle w:val="SingleTxtGC"/>
      </w:pPr>
      <w:r>
        <w:t xml:space="preserve">141.  </w:t>
      </w:r>
      <w:r>
        <w:rPr>
          <w:rFonts w:hint="eastAsia"/>
        </w:rPr>
        <w:t>卡塔尔法律载有关于保护母亲的规定。它们证明国家高度重视家庭事务。其中的例子包括：</w:t>
      </w:r>
    </w:p>
    <w:p w:rsidR="007234DD" w:rsidRDefault="007234DD">
      <w:pPr>
        <w:pStyle w:val="Bullet1GC"/>
      </w:pPr>
      <w:r>
        <w:rPr>
          <w:rFonts w:hint="eastAsia"/>
        </w:rPr>
        <w:t>《劳动法》</w:t>
      </w:r>
      <w:r>
        <w:rPr>
          <w:rFonts w:hint="eastAsia"/>
        </w:rPr>
        <w:t>(</w:t>
      </w:r>
      <w:r>
        <w:rPr>
          <w:rFonts w:hint="eastAsia"/>
        </w:rPr>
        <w:t>适用于私营部门雇员</w:t>
      </w:r>
      <w:r>
        <w:rPr>
          <w:rFonts w:hint="eastAsia"/>
        </w:rPr>
        <w:t>)</w:t>
      </w:r>
      <w:r>
        <w:rPr>
          <w:rFonts w:hint="eastAsia"/>
        </w:rPr>
        <w:t>规定，为雇主工作满一年的妇女有权获得</w:t>
      </w:r>
      <w:r>
        <w:rPr>
          <w:rFonts w:hint="eastAsia"/>
        </w:rPr>
        <w:t>50</w:t>
      </w:r>
      <w:r>
        <w:rPr>
          <w:rFonts w:hint="eastAsia"/>
        </w:rPr>
        <w:t>天全薪产假以及在产假结束后一年内每天一个小时的哺乳时间。这种时间从工作日中扣出，但不减少工资。</w:t>
      </w:r>
    </w:p>
    <w:p w:rsidR="007234DD" w:rsidRDefault="007234DD">
      <w:pPr>
        <w:pStyle w:val="Bullet1GC"/>
      </w:pPr>
      <w:r>
        <w:rPr>
          <w:rFonts w:hint="eastAsia"/>
        </w:rPr>
        <w:t>适用于国家雇员的《人力资源管理法》载有下列规定：</w:t>
      </w:r>
    </w:p>
    <w:p w:rsidR="007234DD" w:rsidRDefault="007234DD">
      <w:pPr>
        <w:pStyle w:val="SingleTxtGC"/>
        <w:numPr>
          <w:ilvl w:val="0"/>
          <w:numId w:val="29"/>
        </w:numPr>
        <w:tabs>
          <w:tab w:val="clear" w:pos="1565"/>
          <w:tab w:val="clear" w:pos="1996"/>
          <w:tab w:val="clear" w:pos="2426"/>
          <w:tab w:val="left" w:pos="2080"/>
          <w:tab w:val="left" w:pos="2470"/>
          <w:tab w:val="num" w:pos="2860"/>
        </w:tabs>
        <w:ind w:left="2036"/>
      </w:pPr>
      <w:r>
        <w:rPr>
          <w:rFonts w:hint="eastAsia"/>
        </w:rPr>
        <w:t>给予女雇员的</w:t>
      </w:r>
      <w:r>
        <w:rPr>
          <w:rFonts w:hint="eastAsia"/>
        </w:rPr>
        <w:t>60</w:t>
      </w:r>
      <w:r>
        <w:rPr>
          <w:rFonts w:hint="eastAsia"/>
        </w:rPr>
        <w:t>天全薪产假不得从其他类型的休假中扣减。此外，雇员的正常休假可以叠加到产假中；</w:t>
      </w:r>
    </w:p>
    <w:p w:rsidR="007234DD" w:rsidRDefault="007234DD">
      <w:pPr>
        <w:pStyle w:val="SingleTxtGC"/>
        <w:numPr>
          <w:ilvl w:val="0"/>
          <w:numId w:val="29"/>
        </w:numPr>
        <w:tabs>
          <w:tab w:val="clear" w:pos="1565"/>
          <w:tab w:val="clear" w:pos="1996"/>
          <w:tab w:val="clear" w:pos="2426"/>
          <w:tab w:val="left" w:pos="2080"/>
          <w:tab w:val="left" w:pos="2470"/>
          <w:tab w:val="num" w:pos="2860"/>
        </w:tabs>
        <w:ind w:left="2036"/>
      </w:pPr>
      <w:r>
        <w:rPr>
          <w:rFonts w:hint="eastAsia"/>
        </w:rPr>
        <w:t>女雇员在产假结束后一年内每天可用两个小时进行哺乳。何时哺乳由她们自行决定。</w:t>
      </w:r>
    </w:p>
    <w:p w:rsidR="007234DD" w:rsidRDefault="007234DD">
      <w:pPr>
        <w:pStyle w:val="SingleTxtGC"/>
        <w:numPr>
          <w:ilvl w:val="0"/>
          <w:numId w:val="29"/>
        </w:numPr>
        <w:tabs>
          <w:tab w:val="clear" w:pos="1565"/>
          <w:tab w:val="clear" w:pos="1996"/>
          <w:tab w:val="clear" w:pos="2426"/>
          <w:tab w:val="left" w:pos="2080"/>
          <w:tab w:val="left" w:pos="2470"/>
          <w:tab w:val="num" w:pos="2860"/>
        </w:tabs>
        <w:ind w:left="2036"/>
      </w:pPr>
      <w:r>
        <w:rPr>
          <w:rFonts w:hint="eastAsia"/>
        </w:rPr>
        <w:t>管理人员可在卡塔尔妇女在职期间给予其两次假期，用于照顾</w:t>
      </w:r>
      <w:r>
        <w:rPr>
          <w:rFonts w:hint="eastAsia"/>
        </w:rPr>
        <w:t>6</w:t>
      </w:r>
      <w:r>
        <w:rPr>
          <w:rFonts w:hint="eastAsia"/>
        </w:rPr>
        <w:t>岁以下的残疾子女，每次至多</w:t>
      </w:r>
      <w:r>
        <w:rPr>
          <w:rFonts w:hint="eastAsia"/>
        </w:rPr>
        <w:t>3</w:t>
      </w:r>
      <w:r>
        <w:rPr>
          <w:rFonts w:hint="eastAsia"/>
        </w:rPr>
        <w:t>年。在充分考虑了公众利益之后，首相可以自行斟酌决定准许卡塔尔女雇员休假照顾子女。无论如何，在头</w:t>
      </w:r>
      <w:r>
        <w:rPr>
          <w:rFonts w:hint="eastAsia"/>
        </w:rPr>
        <w:t>3</w:t>
      </w:r>
      <w:r>
        <w:rPr>
          <w:rFonts w:hint="eastAsia"/>
        </w:rPr>
        <w:t>年期间均为全薪休假，在那之后为半薪休假。</w:t>
      </w:r>
    </w:p>
    <w:p w:rsidR="007234DD" w:rsidRDefault="007234DD">
      <w:pPr>
        <w:pStyle w:val="H1GC"/>
        <w:rPr>
          <w:rFonts w:hint="eastAsia"/>
        </w:rPr>
      </w:pPr>
      <w:r>
        <w:rPr>
          <w:rFonts w:hint="eastAsia"/>
        </w:rPr>
        <w:tab/>
      </w:r>
      <w:r>
        <w:rPr>
          <w:rFonts w:hint="eastAsia"/>
        </w:rPr>
        <w:tab/>
      </w:r>
      <w:r>
        <w:rPr>
          <w:rFonts w:hint="eastAsia"/>
        </w:rPr>
        <w:t>第五条</w:t>
      </w:r>
      <w:r>
        <w:rPr>
          <w:rFonts w:hint="eastAsia"/>
        </w:rPr>
        <w:br/>
      </w:r>
      <w:r>
        <w:rPr>
          <w:rFonts w:hint="eastAsia"/>
        </w:rPr>
        <w:t>社会模式</w:t>
      </w:r>
      <w:r>
        <w:rPr>
          <w:rFonts w:hint="eastAsia"/>
        </w:rPr>
        <w:t>(</w:t>
      </w:r>
      <w:r>
        <w:rPr>
          <w:rFonts w:hint="eastAsia"/>
        </w:rPr>
        <w:t>基于个人性别的定型角色</w:t>
      </w:r>
      <w:r>
        <w:rPr>
          <w:rFonts w:hint="eastAsia"/>
        </w:rPr>
        <w:t>)</w:t>
      </w:r>
    </w:p>
    <w:p w:rsidR="007234DD" w:rsidRDefault="007234DD">
      <w:pPr>
        <w:pStyle w:val="H23GC"/>
        <w:rPr>
          <w:rFonts w:hint="eastAsia"/>
        </w:rPr>
      </w:pPr>
      <w:r>
        <w:rPr>
          <w:rFonts w:hint="eastAsia"/>
        </w:rPr>
        <w:tab/>
      </w:r>
      <w:r>
        <w:rPr>
          <w:rFonts w:hint="eastAsia"/>
        </w:rPr>
        <w:tab/>
      </w:r>
      <w:r>
        <w:rPr>
          <w:rFonts w:hint="eastAsia"/>
        </w:rPr>
        <w:t>宪法和法律状况</w:t>
      </w:r>
    </w:p>
    <w:p w:rsidR="007234DD" w:rsidRDefault="007234DD">
      <w:pPr>
        <w:pStyle w:val="SingleTxtGC"/>
      </w:pPr>
      <w:r>
        <w:t xml:space="preserve">142.  </w:t>
      </w:r>
      <w:r>
        <w:rPr>
          <w:rFonts w:hint="eastAsia"/>
        </w:rPr>
        <w:t>伊斯兰教反对以性别为由实行歧视的思想，并赞同人与人之间平等的原则。万能的真主说：“世人啊！你们要敬畏你们的主，他由一个人造化了你们，并由他造化了他的配偶，再由他们俩繁衍了无数的男女”。</w:t>
      </w:r>
      <w:r>
        <w:rPr>
          <w:rFonts w:hint="eastAsia"/>
        </w:rPr>
        <w:t>(</w:t>
      </w:r>
      <w:r>
        <w:rPr>
          <w:rFonts w:hint="eastAsia"/>
        </w:rPr>
        <w:t>《古兰经》，尼萨仪章，第</w:t>
      </w:r>
      <w:r>
        <w:rPr>
          <w:rFonts w:hint="eastAsia"/>
        </w:rPr>
        <w:t>1</w:t>
      </w:r>
      <w:r>
        <w:rPr>
          <w:rFonts w:hint="eastAsia"/>
        </w:rPr>
        <w:t>节</w:t>
      </w:r>
      <w:r>
        <w:rPr>
          <w:rFonts w:hint="eastAsia"/>
        </w:rPr>
        <w:t>)</w:t>
      </w:r>
      <w:r>
        <w:rPr>
          <w:rFonts w:hint="eastAsia"/>
        </w:rPr>
        <w:t>。因此，所有人都是平等的，不受以性别、肤色、语言、国籍、种族或经济地位为由的歧视。该原则在《卡塔尔宪法》第</w:t>
      </w:r>
      <w:r>
        <w:t>1</w:t>
      </w:r>
      <w:r>
        <w:rPr>
          <w:rFonts w:hint="eastAsia"/>
        </w:rPr>
        <w:t>条</w:t>
      </w:r>
      <w:r>
        <w:rPr>
          <w:rFonts w:hint="eastAsia"/>
        </w:rPr>
        <w:t>(</w:t>
      </w:r>
      <w:r>
        <w:rPr>
          <w:rFonts w:hint="eastAsia"/>
        </w:rPr>
        <w:t>规定伊斯兰教法是法律的主要来源</w:t>
      </w:r>
      <w:r>
        <w:rPr>
          <w:rFonts w:hint="eastAsia"/>
        </w:rPr>
        <w:t>)</w:t>
      </w:r>
      <w:r>
        <w:rPr>
          <w:rFonts w:hint="eastAsia"/>
        </w:rPr>
        <w:t>中得到了确认，并在许多条款特别是第</w:t>
      </w:r>
      <w:r>
        <w:t>34</w:t>
      </w:r>
      <w:r>
        <w:rPr>
          <w:rFonts w:hint="eastAsia"/>
        </w:rPr>
        <w:t>条</w:t>
      </w:r>
      <w:r>
        <w:rPr>
          <w:rFonts w:hint="eastAsia"/>
        </w:rPr>
        <w:t>(</w:t>
      </w:r>
      <w:r>
        <w:rPr>
          <w:rFonts w:hint="eastAsia"/>
        </w:rPr>
        <w:t>规定公民享有平等的一般权利并承担平等的一般义务</w:t>
      </w:r>
      <w:r>
        <w:rPr>
          <w:rFonts w:hint="eastAsia"/>
        </w:rPr>
        <w:t>)</w:t>
      </w:r>
      <w:r>
        <w:rPr>
          <w:rFonts w:hint="eastAsia"/>
        </w:rPr>
        <w:t>和第</w:t>
      </w:r>
      <w:r>
        <w:t>35</w:t>
      </w:r>
      <w:r>
        <w:rPr>
          <w:rFonts w:hint="eastAsia"/>
        </w:rPr>
        <w:t>条</w:t>
      </w:r>
      <w:r>
        <w:rPr>
          <w:rFonts w:hint="eastAsia"/>
        </w:rPr>
        <w:t>(</w:t>
      </w:r>
      <w:r>
        <w:rPr>
          <w:rFonts w:hint="eastAsia"/>
        </w:rPr>
        <w:t>规定法律面前人人平等，不按性别、出身、语言或宗教区别对待</w:t>
      </w:r>
      <w:r>
        <w:rPr>
          <w:rFonts w:hint="eastAsia"/>
        </w:rPr>
        <w:t>)</w:t>
      </w:r>
      <w:r>
        <w:rPr>
          <w:rFonts w:hint="eastAsia"/>
        </w:rPr>
        <w:t>中得到呼应。</w:t>
      </w:r>
    </w:p>
    <w:p w:rsidR="007234DD" w:rsidRDefault="007234DD">
      <w:pPr>
        <w:pStyle w:val="SingleTxtGC"/>
      </w:pPr>
      <w:r>
        <w:t xml:space="preserve">143.  </w:t>
      </w:r>
      <w:r>
        <w:rPr>
          <w:rFonts w:hint="eastAsia"/>
        </w:rPr>
        <w:t>家庭角色分配方式以伊斯兰教法为依据。丈夫是户主，负责保护和维持家庭，而父母双方负有抚养子女的共同责任。这种组织家庭私人生活的体系无意贬低妇女的地位；它更像是一种旨在保障家庭利益的内部管理制度。在公共生活方面，男子和妇女享有平等的权利和承担平等的义务，受同样的法律制约，没有任何区别。</w:t>
      </w:r>
    </w:p>
    <w:p w:rsidR="007234DD" w:rsidRDefault="007234DD">
      <w:pPr>
        <w:pStyle w:val="H23GC"/>
        <w:rPr>
          <w:rFonts w:hint="eastAsia"/>
        </w:rPr>
      </w:pPr>
      <w:r>
        <w:rPr>
          <w:rFonts w:hint="eastAsia"/>
        </w:rPr>
        <w:tab/>
      </w:r>
      <w:r>
        <w:rPr>
          <w:rFonts w:hint="eastAsia"/>
        </w:rPr>
        <w:tab/>
      </w:r>
      <w:r>
        <w:rPr>
          <w:rFonts w:hint="eastAsia"/>
        </w:rPr>
        <w:t>现状、挑战和未来展望</w:t>
      </w:r>
    </w:p>
    <w:p w:rsidR="007234DD" w:rsidRDefault="007234DD">
      <w:pPr>
        <w:pStyle w:val="SingleTxtGC"/>
      </w:pPr>
      <w:r>
        <w:t xml:space="preserve">144.  </w:t>
      </w:r>
      <w:r>
        <w:rPr>
          <w:rFonts w:hint="eastAsia"/>
        </w:rPr>
        <w:t>然而，关于妇女的地位和作用，当地文化确实存在一些消极观念。持有这些观念的既有男子也有妇女。有些家庭认为男女角色是严格定型的，超越了伊斯兰教法规定的正确概念。有些妇女帮助维持这些陈规定型观念，包括将这种信息传递给她们的子女。</w:t>
      </w:r>
    </w:p>
    <w:p w:rsidR="007234DD" w:rsidRDefault="007234DD">
      <w:pPr>
        <w:pStyle w:val="SingleTxtGC"/>
      </w:pPr>
      <w:r>
        <w:t xml:space="preserve">145.  </w:t>
      </w:r>
      <w:r>
        <w:rPr>
          <w:rFonts w:hint="eastAsia"/>
        </w:rPr>
        <w:t>改变这些观念并非易事，因为文化变革是一个旷日持久的过程。国家正试图通过下列措施进行变革：长期的国家战略和计划；关于赋予妇女权能和提高妇女地位的政策；提高人们对妇女权利的认识的运动和方案；以及伊斯兰文化及其尊重妇女的传统启发下的举措。这些努力在国家机构</w:t>
      </w:r>
      <w:r>
        <w:rPr>
          <w:rFonts w:hint="eastAsia"/>
        </w:rPr>
        <w:t>(</w:t>
      </w:r>
      <w:r>
        <w:rPr>
          <w:rFonts w:hint="eastAsia"/>
        </w:rPr>
        <w:t>特别是最高家庭事务委员会以及宗教基金和伊斯兰事务部</w:t>
      </w:r>
      <w:r>
        <w:rPr>
          <w:rFonts w:hint="eastAsia"/>
        </w:rPr>
        <w:t>)</w:t>
      </w:r>
      <w:r>
        <w:rPr>
          <w:rFonts w:hint="eastAsia"/>
        </w:rPr>
        <w:t>以及非政府组织</w:t>
      </w:r>
      <w:r>
        <w:rPr>
          <w:rFonts w:hint="eastAsia"/>
        </w:rPr>
        <w:t>(</w:t>
      </w:r>
      <w:r>
        <w:rPr>
          <w:rFonts w:hint="eastAsia"/>
        </w:rPr>
        <w:t>如卡塔尔保护儿童和妇女基金会和国家人权委员会</w:t>
      </w:r>
      <w:r>
        <w:rPr>
          <w:rFonts w:hint="eastAsia"/>
        </w:rPr>
        <w:t>)</w:t>
      </w:r>
      <w:r>
        <w:rPr>
          <w:rFonts w:hint="eastAsia"/>
        </w:rPr>
        <w:t>的参与下进行。</w:t>
      </w:r>
    </w:p>
    <w:p w:rsidR="007234DD" w:rsidRDefault="007234DD">
      <w:pPr>
        <w:pStyle w:val="SingleTxtGC"/>
      </w:pPr>
      <w:r>
        <w:t xml:space="preserve">146.  </w:t>
      </w:r>
      <w:r>
        <w:rPr>
          <w:rFonts w:hint="eastAsia"/>
        </w:rPr>
        <w:t>虽然国家不能直接干预家庭生活或家庭关系，但它确实尝试引导家庭成员的行为。它通过教育课程、针对即将结婚人员的方案</w:t>
      </w:r>
      <w:r>
        <w:rPr>
          <w:rFonts w:hint="eastAsia"/>
        </w:rPr>
        <w:t>(</w:t>
      </w:r>
      <w:r>
        <w:rPr>
          <w:rFonts w:hint="eastAsia"/>
        </w:rPr>
        <w:t>在家庭咨询中心运作</w:t>
      </w:r>
      <w:r>
        <w:rPr>
          <w:rFonts w:hint="eastAsia"/>
        </w:rPr>
        <w:t>)</w:t>
      </w:r>
      <w:r>
        <w:rPr>
          <w:rFonts w:hint="eastAsia"/>
        </w:rPr>
        <w:t>以及由致力于家庭事务的机构运作的提高认识方案，营造家庭内部的伙伴关系风气。此外，它还采取措施防止妇女遭受一切形式的暴力和歧视，例如建立了卡塔尔保护儿童和妇女基金会和</w:t>
      </w:r>
      <w:r>
        <w:t>Dar al-Aman</w:t>
      </w:r>
      <w:r>
        <w:rPr>
          <w:rFonts w:hint="eastAsia"/>
        </w:rPr>
        <w:t>庇护所。</w:t>
      </w:r>
    </w:p>
    <w:p w:rsidR="007234DD" w:rsidRDefault="007234DD">
      <w:pPr>
        <w:pStyle w:val="SingleTxtGC"/>
      </w:pPr>
      <w:r>
        <w:t xml:space="preserve">147.  </w:t>
      </w:r>
      <w:r>
        <w:rPr>
          <w:rFonts w:hint="eastAsia"/>
        </w:rPr>
        <w:t>观察一下妇女在教育、就业和有关公共生活领域中的现状，就会发现妇女在卡塔尔社会中的角色已经发生质变，超越了传统的定型角色。特别是，妇女已有机会担任领导职务</w:t>
      </w:r>
      <w:r>
        <w:rPr>
          <w:rFonts w:hint="eastAsia"/>
        </w:rPr>
        <w:t>(</w:t>
      </w:r>
      <w:r>
        <w:rPr>
          <w:rFonts w:hint="eastAsia"/>
        </w:rPr>
        <w:t>如大臣职位</w:t>
      </w:r>
      <w:r>
        <w:rPr>
          <w:rFonts w:hint="eastAsia"/>
        </w:rPr>
        <w:t>)</w:t>
      </w:r>
      <w:r>
        <w:rPr>
          <w:rFonts w:hint="eastAsia"/>
        </w:rPr>
        <w:t>或踏入了一些过去由男性把持的专业领域</w:t>
      </w:r>
      <w:r>
        <w:rPr>
          <w:rFonts w:hint="eastAsia"/>
        </w:rPr>
        <w:t>(</w:t>
      </w:r>
      <w:r>
        <w:rPr>
          <w:rFonts w:hint="eastAsia"/>
        </w:rPr>
        <w:t>如司法、医学和工程</w:t>
      </w:r>
      <w:r>
        <w:rPr>
          <w:rFonts w:hint="eastAsia"/>
        </w:rPr>
        <w:t>)</w:t>
      </w:r>
      <w:r>
        <w:rPr>
          <w:rFonts w:hint="eastAsia"/>
        </w:rPr>
        <w:t>。</w:t>
      </w:r>
    </w:p>
    <w:p w:rsidR="007234DD" w:rsidRDefault="007234DD">
      <w:pPr>
        <w:pStyle w:val="SingleTxtGC"/>
      </w:pPr>
      <w:r>
        <w:t xml:space="preserve">148.  </w:t>
      </w:r>
      <w:r>
        <w:rPr>
          <w:rFonts w:hint="eastAsia"/>
        </w:rPr>
        <w:t>妇女通过在《永久宪法》全民投票中参加投票</w:t>
      </w:r>
      <w:r>
        <w:rPr>
          <w:rFonts w:hint="eastAsia"/>
        </w:rPr>
        <w:t>(2003</w:t>
      </w:r>
      <w:r>
        <w:rPr>
          <w:rFonts w:hint="eastAsia"/>
        </w:rPr>
        <w:t>年</w:t>
      </w:r>
      <w:r>
        <w:rPr>
          <w:rFonts w:hint="eastAsia"/>
        </w:rPr>
        <w:t>)</w:t>
      </w:r>
      <w:r>
        <w:rPr>
          <w:rFonts w:hint="eastAsia"/>
        </w:rPr>
        <w:t>，以及通过在市政选举中参加竞选和投票</w:t>
      </w:r>
      <w:r>
        <w:rPr>
          <w:rFonts w:hint="eastAsia"/>
        </w:rPr>
        <w:t>(1999</w:t>
      </w:r>
      <w:r>
        <w:rPr>
          <w:rFonts w:hint="eastAsia"/>
        </w:rPr>
        <w:t>年、</w:t>
      </w:r>
      <w:r>
        <w:rPr>
          <w:rFonts w:hint="eastAsia"/>
        </w:rPr>
        <w:t>2003</w:t>
      </w:r>
      <w:r>
        <w:rPr>
          <w:rFonts w:hint="eastAsia"/>
        </w:rPr>
        <w:t>年和</w:t>
      </w:r>
      <w:r>
        <w:rPr>
          <w:rFonts w:hint="eastAsia"/>
        </w:rPr>
        <w:t>2007</w:t>
      </w:r>
      <w:r>
        <w:rPr>
          <w:rFonts w:hint="eastAsia"/>
        </w:rPr>
        <w:t>年</w:t>
      </w:r>
      <w:r>
        <w:rPr>
          <w:rFonts w:hint="eastAsia"/>
        </w:rPr>
        <w:t>)</w:t>
      </w:r>
      <w:r>
        <w:rPr>
          <w:rFonts w:hint="eastAsia"/>
        </w:rPr>
        <w:t>，行使其政治参与权。</w:t>
      </w:r>
    </w:p>
    <w:p w:rsidR="007234DD" w:rsidRDefault="007234DD">
      <w:pPr>
        <w:pStyle w:val="H23GC"/>
        <w:spacing w:before="160"/>
        <w:rPr>
          <w:rFonts w:hint="eastAsia"/>
        </w:rPr>
      </w:pPr>
      <w:r>
        <w:rPr>
          <w:rFonts w:hint="eastAsia"/>
        </w:rPr>
        <w:tab/>
      </w:r>
      <w:r>
        <w:rPr>
          <w:rFonts w:hint="eastAsia"/>
        </w:rPr>
        <w:tab/>
      </w:r>
      <w:r>
        <w:rPr>
          <w:rFonts w:hint="eastAsia"/>
        </w:rPr>
        <w:t>媒体在消除妇女的陈规定型观念中的作用</w:t>
      </w:r>
    </w:p>
    <w:p w:rsidR="007234DD" w:rsidRDefault="007234DD">
      <w:pPr>
        <w:pStyle w:val="SingleTxtGC"/>
      </w:pPr>
      <w:r>
        <w:t xml:space="preserve">149.  </w:t>
      </w:r>
      <w:r>
        <w:rPr>
          <w:rFonts w:hint="eastAsia"/>
        </w:rPr>
        <w:t>媒体的胁迫力相当强大，面对重大社会问题，能够促成变化，影响人们的行为和态度。国家借助所有媒体渠道支持其发展政策，特别是侧重于卡塔尔人的发展并因此侧重于消除对妇女的歧视、侧重于宣传增强妇女权能以便她们能够在社会中发挥积极作用的必要性以及妇女和男子的平等权利和义务的发展政策。来自不同国家的一些卫星频道通过将妇女描绘成取乐和泄欲对象、肤浅且智商有限或只对家务感兴趣的节目、歌曲、电影和广告，助长了妇女的陈规定型观念。与其他国家一样，卡塔尔谴责这些负面信息，但是在一个开放的广播环境中，仍然没有办法控制这些渠道。</w:t>
      </w:r>
    </w:p>
    <w:p w:rsidR="007234DD" w:rsidRDefault="007234DD">
      <w:pPr>
        <w:pStyle w:val="SingleTxtGC"/>
      </w:pPr>
      <w:r>
        <w:t xml:space="preserve">150.  </w:t>
      </w:r>
      <w:r>
        <w:rPr>
          <w:rFonts w:hint="eastAsia"/>
        </w:rPr>
        <w:t>国家已着手解决该问题。</w:t>
      </w:r>
      <w:r>
        <w:t>2008</w:t>
      </w:r>
      <w:r>
        <w:rPr>
          <w:rFonts w:hint="eastAsia"/>
        </w:rPr>
        <w:t>年，它举办了一个关于卫星电视频道给海湾国家年轻人带来的伦理挑战的论坛</w:t>
      </w:r>
      <w:r>
        <w:rPr>
          <w:rFonts w:hint="eastAsia"/>
          <w:spacing w:val="-50"/>
        </w:rPr>
        <w:t>―</w:t>
      </w:r>
      <w:r>
        <w:rPr>
          <w:rFonts w:hint="eastAsia"/>
          <w:spacing w:val="10"/>
        </w:rPr>
        <w:t>―</w:t>
      </w:r>
      <w:r>
        <w:rPr>
          <w:rFonts w:hint="eastAsia"/>
        </w:rPr>
        <w:t>“为了自由而负责的新闻界”。</w:t>
      </w:r>
      <w:r>
        <w:t>300</w:t>
      </w:r>
      <w:r>
        <w:rPr>
          <w:rFonts w:hint="eastAsia"/>
        </w:rPr>
        <w:t>多人参加了该论坛，包括大臣、专家、大学教师和知识分子。论坛的目的是：为海湾国家制定一项媒体战略，以在不限制媒体自由的前提下让年轻人认识到与某些卫星频道有关的危险；通过协调海湾合作</w:t>
      </w:r>
      <w:r>
        <w:rPr>
          <w:rFonts w:ascii="SimSun" w:hAnsi="SimSun" w:cs="SimSun" w:hint="eastAsia"/>
        </w:rPr>
        <w:t>委员会国家的媒体条例和政策，</w:t>
      </w:r>
      <w:r>
        <w:rPr>
          <w:rFonts w:hint="eastAsia"/>
        </w:rPr>
        <w:t>探索媒体合作的机会；</w:t>
      </w:r>
      <w:r>
        <w:rPr>
          <w:rFonts w:ascii="SimSun" w:hAnsi="SimSun" w:cs="SimSun" w:hint="eastAsia"/>
        </w:rPr>
        <w:t>减轻某些卫星频道的负面影响；确保遵守媒体行为准则和新闻自由原则，但又不违反法律，违背公众伦理道德或使年轻人的思想观念和价值观被用来谋取物质利益。</w:t>
      </w:r>
    </w:p>
    <w:p w:rsidR="007234DD" w:rsidRDefault="007234DD">
      <w:pPr>
        <w:pStyle w:val="SingleTxtGC"/>
      </w:pPr>
      <w:r>
        <w:t xml:space="preserve">151.  </w:t>
      </w:r>
      <w:r>
        <w:rPr>
          <w:rFonts w:hint="eastAsia"/>
        </w:rPr>
        <w:t>处理妇女问题的机构，特别是最高家庭事务委员会，正在与文化、艺术和遗产部及卡塔尔媒体基金会一道，制定一项媒体政策，支持妇女和促进卡塔尔妇女今后对各领域的充分和建设性参与。</w:t>
      </w:r>
    </w:p>
    <w:p w:rsidR="007234DD" w:rsidRDefault="007234DD">
      <w:pPr>
        <w:pStyle w:val="SingleTxtGC"/>
      </w:pPr>
      <w:r>
        <w:t xml:space="preserve">152.  </w:t>
      </w:r>
      <w:r>
        <w:rPr>
          <w:rFonts w:hint="eastAsia"/>
        </w:rPr>
        <w:t>国家在卡塔尔大学开设了传媒系，鼓励妇女从事媒体工作。最近，西北大学在卡塔尔教育城设立了一个分校，为媒体专家提供先进的培训方案。最近的数据显示，从卡塔尔大学传媒系毕业的卡塔尔妇女多于男子：女毕业生为</w:t>
      </w:r>
      <w:r>
        <w:rPr>
          <w:rFonts w:hint="eastAsia"/>
        </w:rPr>
        <w:t>439</w:t>
      </w:r>
      <w:r>
        <w:rPr>
          <w:rFonts w:hint="eastAsia"/>
        </w:rPr>
        <w:t>名，而男毕业生只有</w:t>
      </w:r>
      <w:r>
        <w:rPr>
          <w:rFonts w:hint="eastAsia"/>
        </w:rPr>
        <w:t>261</w:t>
      </w:r>
      <w:r>
        <w:rPr>
          <w:rFonts w:hint="eastAsia"/>
        </w:rPr>
        <w:t>名。</w:t>
      </w:r>
    </w:p>
    <w:p w:rsidR="007234DD" w:rsidRDefault="007234DD">
      <w:pPr>
        <w:pStyle w:val="SingleTxtGC"/>
      </w:pPr>
      <w:r>
        <w:rPr>
          <w:rFonts w:hint="eastAsia"/>
        </w:rPr>
        <w:t>表</w:t>
      </w:r>
      <w:r>
        <w:t>4</w:t>
      </w:r>
      <w:r>
        <w:rPr>
          <w:rFonts w:hint="eastAsia"/>
        </w:rPr>
        <w:br/>
      </w:r>
      <w:r>
        <w:rPr>
          <w:rFonts w:eastAsia="SimHei"/>
        </w:rPr>
        <w:t>1999</w:t>
      </w:r>
      <w:r>
        <w:rPr>
          <w:rFonts w:eastAsia="SimHei" w:hint="eastAsia"/>
        </w:rPr>
        <w:t>-</w:t>
      </w:r>
      <w:r>
        <w:rPr>
          <w:rFonts w:eastAsia="SimHei"/>
        </w:rPr>
        <w:t>2010</w:t>
      </w:r>
      <w:r>
        <w:rPr>
          <w:rFonts w:eastAsia="SimHei"/>
        </w:rPr>
        <w:t>年按年份和性别分列的传媒系毕业生人数</w:t>
      </w:r>
    </w:p>
    <w:tbl>
      <w:tblPr>
        <w:tblW w:w="7370" w:type="dxa"/>
        <w:tblInd w:w="1134" w:type="dxa"/>
        <w:tblLayout w:type="fixed"/>
        <w:tblCellMar>
          <w:left w:w="0" w:type="dxa"/>
          <w:right w:w="0" w:type="dxa"/>
        </w:tblCellMar>
        <w:tblLook w:val="01E0" w:firstRow="1" w:lastRow="1" w:firstColumn="1" w:lastColumn="1" w:noHBand="0" w:noVBand="0"/>
      </w:tblPr>
      <w:tblGrid>
        <w:gridCol w:w="1065"/>
        <w:gridCol w:w="525"/>
        <w:gridCol w:w="525"/>
        <w:gridCol w:w="526"/>
        <w:gridCol w:w="525"/>
        <w:gridCol w:w="526"/>
        <w:gridCol w:w="525"/>
        <w:gridCol w:w="525"/>
        <w:gridCol w:w="526"/>
        <w:gridCol w:w="525"/>
        <w:gridCol w:w="526"/>
        <w:gridCol w:w="525"/>
        <w:gridCol w:w="526"/>
      </w:tblGrid>
      <w:tr w:rsidR="007234DD">
        <w:trPr>
          <w:cantSplit/>
          <w:trHeight w:val="1196"/>
          <w:tblHeader/>
        </w:trPr>
        <w:tc>
          <w:tcPr>
            <w:tcW w:w="1066"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p>
        </w:tc>
        <w:tc>
          <w:tcPr>
            <w:tcW w:w="525"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1999–2000</w:t>
            </w:r>
            <w:r>
              <w:t>年</w:t>
            </w:r>
          </w:p>
        </w:tc>
        <w:tc>
          <w:tcPr>
            <w:tcW w:w="525"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2000–2001</w:t>
            </w:r>
            <w:r>
              <w:t>年</w:t>
            </w:r>
          </w:p>
        </w:tc>
        <w:tc>
          <w:tcPr>
            <w:tcW w:w="526"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2001–2002</w:t>
            </w:r>
            <w:r>
              <w:t>年</w:t>
            </w:r>
          </w:p>
        </w:tc>
        <w:tc>
          <w:tcPr>
            <w:tcW w:w="525"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2002–2003</w:t>
            </w:r>
            <w:r>
              <w:t>年</w:t>
            </w:r>
          </w:p>
        </w:tc>
        <w:tc>
          <w:tcPr>
            <w:tcW w:w="526"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2003–2004</w:t>
            </w:r>
            <w:r>
              <w:t>年</w:t>
            </w:r>
          </w:p>
        </w:tc>
        <w:tc>
          <w:tcPr>
            <w:tcW w:w="525"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2004–2005</w:t>
            </w:r>
            <w:r>
              <w:t>年</w:t>
            </w:r>
          </w:p>
        </w:tc>
        <w:tc>
          <w:tcPr>
            <w:tcW w:w="525"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2005–2006</w:t>
            </w:r>
            <w:r>
              <w:t>年</w:t>
            </w:r>
          </w:p>
        </w:tc>
        <w:tc>
          <w:tcPr>
            <w:tcW w:w="526"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2006–2007</w:t>
            </w:r>
            <w:r>
              <w:t>年</w:t>
            </w:r>
          </w:p>
        </w:tc>
        <w:tc>
          <w:tcPr>
            <w:tcW w:w="525"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2007–2008</w:t>
            </w:r>
            <w:r>
              <w:t>年</w:t>
            </w:r>
          </w:p>
        </w:tc>
        <w:tc>
          <w:tcPr>
            <w:tcW w:w="526"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2008–2009</w:t>
            </w:r>
            <w:r>
              <w:t>年</w:t>
            </w:r>
          </w:p>
        </w:tc>
        <w:tc>
          <w:tcPr>
            <w:tcW w:w="525"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pPr>
            <w:r>
              <w:t>2009–2010</w:t>
            </w:r>
            <w:r>
              <w:t>年</w:t>
            </w:r>
            <w:r>
              <w:t>*</w:t>
            </w:r>
          </w:p>
        </w:tc>
        <w:tc>
          <w:tcPr>
            <w:tcW w:w="526" w:type="dxa"/>
            <w:tcBorders>
              <w:top w:val="single" w:sz="4" w:space="0" w:color="auto"/>
              <w:bottom w:val="single" w:sz="12" w:space="0" w:color="auto"/>
            </w:tcBorders>
            <w:shd w:val="clear" w:color="auto" w:fill="auto"/>
            <w:textDirection w:val="btLr"/>
            <w:vAlign w:val="bottom"/>
          </w:tcPr>
          <w:p w:rsidR="007234DD" w:rsidRDefault="007234DD" w:rsidP="00306F8D">
            <w:pPr>
              <w:pStyle w:val="a0"/>
              <w:ind w:right="0"/>
              <w:jc w:val="right"/>
              <w:rPr>
                <w:b/>
              </w:rPr>
            </w:pPr>
            <w:r>
              <w:rPr>
                <w:b/>
              </w:rPr>
              <w:t>合计</w:t>
            </w:r>
          </w:p>
        </w:tc>
      </w:tr>
      <w:tr w:rsidR="007234DD">
        <w:trPr>
          <w:cantSplit/>
        </w:trPr>
        <w:tc>
          <w:tcPr>
            <w:tcW w:w="1066" w:type="dxa"/>
            <w:tcBorders>
              <w:top w:val="single" w:sz="12" w:space="0" w:color="auto"/>
            </w:tcBorders>
            <w:shd w:val="clear" w:color="auto" w:fill="auto"/>
          </w:tcPr>
          <w:p w:rsidR="007234DD" w:rsidRDefault="007234DD">
            <w:pPr>
              <w:pStyle w:val="a5"/>
              <w:rPr>
                <w:rFonts w:hint="eastAsia"/>
              </w:rPr>
            </w:pPr>
            <w:r>
              <w:rPr>
                <w:rFonts w:hint="eastAsia"/>
              </w:rPr>
              <w:t>女性</w:t>
            </w:r>
          </w:p>
        </w:tc>
        <w:tc>
          <w:tcPr>
            <w:tcW w:w="525" w:type="dxa"/>
            <w:tcBorders>
              <w:top w:val="single" w:sz="12" w:space="0" w:color="auto"/>
            </w:tcBorders>
            <w:shd w:val="clear" w:color="auto" w:fill="auto"/>
          </w:tcPr>
          <w:p w:rsidR="007234DD" w:rsidRDefault="007234DD">
            <w:pPr>
              <w:pStyle w:val="a5"/>
              <w:ind w:right="0"/>
              <w:jc w:val="right"/>
            </w:pPr>
            <w:r>
              <w:t>7</w:t>
            </w:r>
          </w:p>
        </w:tc>
        <w:tc>
          <w:tcPr>
            <w:tcW w:w="525" w:type="dxa"/>
            <w:tcBorders>
              <w:top w:val="single" w:sz="12" w:space="0" w:color="auto"/>
            </w:tcBorders>
            <w:shd w:val="clear" w:color="auto" w:fill="auto"/>
          </w:tcPr>
          <w:p w:rsidR="007234DD" w:rsidRDefault="007234DD">
            <w:pPr>
              <w:pStyle w:val="a5"/>
              <w:ind w:right="0"/>
              <w:jc w:val="right"/>
            </w:pPr>
            <w:r>
              <w:t>11</w:t>
            </w:r>
          </w:p>
        </w:tc>
        <w:tc>
          <w:tcPr>
            <w:tcW w:w="526" w:type="dxa"/>
            <w:tcBorders>
              <w:top w:val="single" w:sz="12" w:space="0" w:color="auto"/>
            </w:tcBorders>
            <w:shd w:val="clear" w:color="auto" w:fill="auto"/>
          </w:tcPr>
          <w:p w:rsidR="007234DD" w:rsidRDefault="007234DD">
            <w:pPr>
              <w:pStyle w:val="a5"/>
              <w:ind w:right="0"/>
              <w:jc w:val="right"/>
            </w:pPr>
            <w:r>
              <w:t>18</w:t>
            </w:r>
          </w:p>
        </w:tc>
        <w:tc>
          <w:tcPr>
            <w:tcW w:w="525" w:type="dxa"/>
            <w:tcBorders>
              <w:top w:val="single" w:sz="12" w:space="0" w:color="auto"/>
            </w:tcBorders>
            <w:shd w:val="clear" w:color="auto" w:fill="auto"/>
          </w:tcPr>
          <w:p w:rsidR="007234DD" w:rsidRDefault="007234DD">
            <w:pPr>
              <w:pStyle w:val="a5"/>
              <w:ind w:right="0"/>
              <w:jc w:val="right"/>
            </w:pPr>
            <w:r>
              <w:t>23</w:t>
            </w:r>
          </w:p>
        </w:tc>
        <w:tc>
          <w:tcPr>
            <w:tcW w:w="526" w:type="dxa"/>
            <w:tcBorders>
              <w:top w:val="single" w:sz="12" w:space="0" w:color="auto"/>
            </w:tcBorders>
            <w:shd w:val="clear" w:color="auto" w:fill="auto"/>
          </w:tcPr>
          <w:p w:rsidR="007234DD" w:rsidRDefault="007234DD">
            <w:pPr>
              <w:pStyle w:val="a5"/>
              <w:ind w:right="0"/>
              <w:jc w:val="right"/>
            </w:pPr>
            <w:r>
              <w:t>27</w:t>
            </w:r>
          </w:p>
        </w:tc>
        <w:tc>
          <w:tcPr>
            <w:tcW w:w="525" w:type="dxa"/>
            <w:tcBorders>
              <w:top w:val="single" w:sz="12" w:space="0" w:color="auto"/>
            </w:tcBorders>
            <w:shd w:val="clear" w:color="auto" w:fill="auto"/>
          </w:tcPr>
          <w:p w:rsidR="007234DD" w:rsidRDefault="007234DD">
            <w:pPr>
              <w:pStyle w:val="a5"/>
              <w:ind w:right="0"/>
              <w:jc w:val="right"/>
            </w:pPr>
            <w:r>
              <w:t>53</w:t>
            </w:r>
          </w:p>
        </w:tc>
        <w:tc>
          <w:tcPr>
            <w:tcW w:w="525" w:type="dxa"/>
            <w:tcBorders>
              <w:top w:val="single" w:sz="12" w:space="0" w:color="auto"/>
            </w:tcBorders>
            <w:shd w:val="clear" w:color="auto" w:fill="auto"/>
          </w:tcPr>
          <w:p w:rsidR="007234DD" w:rsidRDefault="007234DD">
            <w:pPr>
              <w:pStyle w:val="a5"/>
              <w:ind w:right="0"/>
              <w:jc w:val="right"/>
            </w:pPr>
            <w:r>
              <w:t>76</w:t>
            </w:r>
          </w:p>
        </w:tc>
        <w:tc>
          <w:tcPr>
            <w:tcW w:w="526" w:type="dxa"/>
            <w:tcBorders>
              <w:top w:val="single" w:sz="12" w:space="0" w:color="auto"/>
            </w:tcBorders>
            <w:shd w:val="clear" w:color="auto" w:fill="auto"/>
          </w:tcPr>
          <w:p w:rsidR="007234DD" w:rsidRDefault="007234DD">
            <w:pPr>
              <w:pStyle w:val="a5"/>
              <w:ind w:right="0"/>
              <w:jc w:val="right"/>
            </w:pPr>
            <w:r>
              <w:t>83</w:t>
            </w:r>
          </w:p>
        </w:tc>
        <w:tc>
          <w:tcPr>
            <w:tcW w:w="525" w:type="dxa"/>
            <w:tcBorders>
              <w:top w:val="single" w:sz="12" w:space="0" w:color="auto"/>
            </w:tcBorders>
            <w:shd w:val="clear" w:color="auto" w:fill="auto"/>
          </w:tcPr>
          <w:p w:rsidR="007234DD" w:rsidRDefault="007234DD">
            <w:pPr>
              <w:pStyle w:val="a5"/>
              <w:ind w:right="0"/>
              <w:jc w:val="right"/>
            </w:pPr>
            <w:r>
              <w:t>83</w:t>
            </w:r>
          </w:p>
        </w:tc>
        <w:tc>
          <w:tcPr>
            <w:tcW w:w="526" w:type="dxa"/>
            <w:tcBorders>
              <w:top w:val="single" w:sz="12" w:space="0" w:color="auto"/>
            </w:tcBorders>
            <w:shd w:val="clear" w:color="auto" w:fill="auto"/>
          </w:tcPr>
          <w:p w:rsidR="007234DD" w:rsidRDefault="007234DD">
            <w:pPr>
              <w:pStyle w:val="a5"/>
              <w:ind w:right="0"/>
              <w:jc w:val="right"/>
            </w:pPr>
            <w:r>
              <w:t>34</w:t>
            </w:r>
          </w:p>
        </w:tc>
        <w:tc>
          <w:tcPr>
            <w:tcW w:w="525" w:type="dxa"/>
            <w:tcBorders>
              <w:top w:val="single" w:sz="12" w:space="0" w:color="auto"/>
            </w:tcBorders>
            <w:shd w:val="clear" w:color="auto" w:fill="auto"/>
          </w:tcPr>
          <w:p w:rsidR="007234DD" w:rsidRDefault="007234DD">
            <w:pPr>
              <w:pStyle w:val="a5"/>
              <w:ind w:right="0"/>
              <w:jc w:val="right"/>
            </w:pPr>
            <w:r>
              <w:t>24</w:t>
            </w:r>
          </w:p>
        </w:tc>
        <w:tc>
          <w:tcPr>
            <w:tcW w:w="526" w:type="dxa"/>
            <w:tcBorders>
              <w:top w:val="single" w:sz="12" w:space="0" w:color="auto"/>
            </w:tcBorders>
            <w:shd w:val="clear" w:color="auto" w:fill="auto"/>
          </w:tcPr>
          <w:p w:rsidR="007234DD" w:rsidRDefault="007234DD">
            <w:pPr>
              <w:pStyle w:val="a5"/>
              <w:ind w:right="0"/>
              <w:jc w:val="right"/>
              <w:rPr>
                <w:b/>
              </w:rPr>
            </w:pPr>
            <w:r>
              <w:rPr>
                <w:b/>
              </w:rPr>
              <w:t>439</w:t>
            </w:r>
          </w:p>
        </w:tc>
      </w:tr>
      <w:tr w:rsidR="007234DD">
        <w:trPr>
          <w:cantSplit/>
        </w:trPr>
        <w:tc>
          <w:tcPr>
            <w:tcW w:w="1066" w:type="dxa"/>
            <w:tcBorders>
              <w:bottom w:val="single" w:sz="4" w:space="0" w:color="auto"/>
            </w:tcBorders>
            <w:shd w:val="clear" w:color="auto" w:fill="auto"/>
          </w:tcPr>
          <w:p w:rsidR="007234DD" w:rsidRDefault="007234DD">
            <w:pPr>
              <w:pStyle w:val="a5"/>
              <w:rPr>
                <w:rFonts w:hint="eastAsia"/>
              </w:rPr>
            </w:pPr>
            <w:r>
              <w:rPr>
                <w:rFonts w:hint="eastAsia"/>
              </w:rPr>
              <w:t>男性</w:t>
            </w:r>
          </w:p>
        </w:tc>
        <w:tc>
          <w:tcPr>
            <w:tcW w:w="525" w:type="dxa"/>
            <w:tcBorders>
              <w:bottom w:val="single" w:sz="4" w:space="0" w:color="auto"/>
            </w:tcBorders>
            <w:shd w:val="clear" w:color="auto" w:fill="auto"/>
          </w:tcPr>
          <w:p w:rsidR="007234DD" w:rsidRDefault="007234DD">
            <w:pPr>
              <w:pStyle w:val="a5"/>
              <w:ind w:right="0"/>
              <w:jc w:val="right"/>
            </w:pPr>
            <w:r>
              <w:t>12</w:t>
            </w:r>
          </w:p>
        </w:tc>
        <w:tc>
          <w:tcPr>
            <w:tcW w:w="525" w:type="dxa"/>
            <w:tcBorders>
              <w:bottom w:val="single" w:sz="4" w:space="0" w:color="auto"/>
            </w:tcBorders>
            <w:shd w:val="clear" w:color="auto" w:fill="auto"/>
          </w:tcPr>
          <w:p w:rsidR="007234DD" w:rsidRDefault="007234DD">
            <w:pPr>
              <w:pStyle w:val="a5"/>
              <w:ind w:right="0"/>
              <w:jc w:val="right"/>
            </w:pPr>
            <w:r>
              <w:t>11</w:t>
            </w:r>
          </w:p>
        </w:tc>
        <w:tc>
          <w:tcPr>
            <w:tcW w:w="526" w:type="dxa"/>
            <w:tcBorders>
              <w:bottom w:val="single" w:sz="4" w:space="0" w:color="auto"/>
            </w:tcBorders>
            <w:shd w:val="clear" w:color="auto" w:fill="auto"/>
          </w:tcPr>
          <w:p w:rsidR="007234DD" w:rsidRDefault="007234DD">
            <w:pPr>
              <w:pStyle w:val="a5"/>
              <w:ind w:right="0"/>
              <w:jc w:val="right"/>
            </w:pPr>
            <w:r>
              <w:t>14</w:t>
            </w:r>
          </w:p>
        </w:tc>
        <w:tc>
          <w:tcPr>
            <w:tcW w:w="525" w:type="dxa"/>
            <w:tcBorders>
              <w:bottom w:val="single" w:sz="4" w:space="0" w:color="auto"/>
            </w:tcBorders>
            <w:shd w:val="clear" w:color="auto" w:fill="auto"/>
          </w:tcPr>
          <w:p w:rsidR="007234DD" w:rsidRDefault="007234DD">
            <w:pPr>
              <w:pStyle w:val="a5"/>
              <w:ind w:right="0"/>
              <w:jc w:val="right"/>
            </w:pPr>
            <w:r>
              <w:t>10</w:t>
            </w:r>
          </w:p>
        </w:tc>
        <w:tc>
          <w:tcPr>
            <w:tcW w:w="526" w:type="dxa"/>
            <w:tcBorders>
              <w:bottom w:val="single" w:sz="4" w:space="0" w:color="auto"/>
            </w:tcBorders>
            <w:shd w:val="clear" w:color="auto" w:fill="auto"/>
          </w:tcPr>
          <w:p w:rsidR="007234DD" w:rsidRDefault="007234DD">
            <w:pPr>
              <w:pStyle w:val="a5"/>
              <w:ind w:right="0"/>
              <w:jc w:val="right"/>
            </w:pPr>
            <w:r>
              <w:t>22</w:t>
            </w:r>
          </w:p>
        </w:tc>
        <w:tc>
          <w:tcPr>
            <w:tcW w:w="525" w:type="dxa"/>
            <w:tcBorders>
              <w:bottom w:val="single" w:sz="4" w:space="0" w:color="auto"/>
            </w:tcBorders>
            <w:shd w:val="clear" w:color="auto" w:fill="auto"/>
          </w:tcPr>
          <w:p w:rsidR="007234DD" w:rsidRDefault="007234DD">
            <w:pPr>
              <w:pStyle w:val="a5"/>
              <w:ind w:right="0"/>
              <w:jc w:val="right"/>
            </w:pPr>
            <w:r>
              <w:t>50</w:t>
            </w:r>
          </w:p>
        </w:tc>
        <w:tc>
          <w:tcPr>
            <w:tcW w:w="525" w:type="dxa"/>
            <w:tcBorders>
              <w:bottom w:val="single" w:sz="4" w:space="0" w:color="auto"/>
            </w:tcBorders>
            <w:shd w:val="clear" w:color="auto" w:fill="auto"/>
          </w:tcPr>
          <w:p w:rsidR="007234DD" w:rsidRDefault="007234DD">
            <w:pPr>
              <w:pStyle w:val="a5"/>
              <w:ind w:right="0"/>
              <w:jc w:val="right"/>
            </w:pPr>
            <w:r>
              <w:t>35</w:t>
            </w:r>
          </w:p>
        </w:tc>
        <w:tc>
          <w:tcPr>
            <w:tcW w:w="526" w:type="dxa"/>
            <w:tcBorders>
              <w:bottom w:val="single" w:sz="4" w:space="0" w:color="auto"/>
            </w:tcBorders>
            <w:shd w:val="clear" w:color="auto" w:fill="auto"/>
          </w:tcPr>
          <w:p w:rsidR="007234DD" w:rsidRDefault="007234DD">
            <w:pPr>
              <w:pStyle w:val="a5"/>
              <w:ind w:right="0"/>
              <w:jc w:val="right"/>
            </w:pPr>
            <w:r>
              <w:t>39</w:t>
            </w:r>
          </w:p>
        </w:tc>
        <w:tc>
          <w:tcPr>
            <w:tcW w:w="525" w:type="dxa"/>
            <w:tcBorders>
              <w:bottom w:val="single" w:sz="4" w:space="0" w:color="auto"/>
            </w:tcBorders>
            <w:shd w:val="clear" w:color="auto" w:fill="auto"/>
          </w:tcPr>
          <w:p w:rsidR="007234DD" w:rsidRDefault="007234DD">
            <w:pPr>
              <w:pStyle w:val="a5"/>
              <w:ind w:right="0"/>
              <w:jc w:val="right"/>
            </w:pPr>
            <w:r>
              <w:t>38</w:t>
            </w:r>
          </w:p>
        </w:tc>
        <w:tc>
          <w:tcPr>
            <w:tcW w:w="526" w:type="dxa"/>
            <w:tcBorders>
              <w:bottom w:val="single" w:sz="4" w:space="0" w:color="auto"/>
            </w:tcBorders>
            <w:shd w:val="clear" w:color="auto" w:fill="auto"/>
          </w:tcPr>
          <w:p w:rsidR="007234DD" w:rsidRDefault="007234DD">
            <w:pPr>
              <w:pStyle w:val="a5"/>
              <w:ind w:right="0"/>
              <w:jc w:val="right"/>
            </w:pPr>
            <w:r>
              <w:t>25</w:t>
            </w:r>
          </w:p>
        </w:tc>
        <w:tc>
          <w:tcPr>
            <w:tcW w:w="525" w:type="dxa"/>
            <w:tcBorders>
              <w:bottom w:val="single" w:sz="4" w:space="0" w:color="auto"/>
            </w:tcBorders>
            <w:shd w:val="clear" w:color="auto" w:fill="auto"/>
          </w:tcPr>
          <w:p w:rsidR="007234DD" w:rsidRDefault="007234DD">
            <w:pPr>
              <w:pStyle w:val="a5"/>
              <w:ind w:right="0"/>
              <w:jc w:val="right"/>
            </w:pPr>
            <w:r>
              <w:t>5</w:t>
            </w:r>
          </w:p>
        </w:tc>
        <w:tc>
          <w:tcPr>
            <w:tcW w:w="526" w:type="dxa"/>
            <w:tcBorders>
              <w:bottom w:val="single" w:sz="4" w:space="0" w:color="auto"/>
            </w:tcBorders>
            <w:shd w:val="clear" w:color="auto" w:fill="auto"/>
          </w:tcPr>
          <w:p w:rsidR="007234DD" w:rsidRDefault="007234DD">
            <w:pPr>
              <w:pStyle w:val="a5"/>
              <w:ind w:right="0"/>
              <w:jc w:val="right"/>
              <w:rPr>
                <w:b/>
              </w:rPr>
            </w:pPr>
            <w:r>
              <w:rPr>
                <w:b/>
              </w:rPr>
              <w:t>261</w:t>
            </w:r>
          </w:p>
        </w:tc>
      </w:tr>
      <w:tr w:rsidR="007234DD">
        <w:trPr>
          <w:cantSplit/>
        </w:trPr>
        <w:tc>
          <w:tcPr>
            <w:tcW w:w="1066"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rPr>
            </w:pPr>
            <w:r>
              <w:rPr>
                <w:rFonts w:eastAsia="SimHei" w:hint="eastAsia"/>
              </w:rPr>
              <w:t>合计</w:t>
            </w:r>
          </w:p>
        </w:tc>
        <w:tc>
          <w:tcPr>
            <w:tcW w:w="525"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19</w:t>
            </w:r>
          </w:p>
        </w:tc>
        <w:tc>
          <w:tcPr>
            <w:tcW w:w="525"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22</w:t>
            </w:r>
          </w:p>
        </w:tc>
        <w:tc>
          <w:tcPr>
            <w:tcW w:w="526"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32</w:t>
            </w:r>
          </w:p>
        </w:tc>
        <w:tc>
          <w:tcPr>
            <w:tcW w:w="525"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33</w:t>
            </w:r>
          </w:p>
        </w:tc>
        <w:tc>
          <w:tcPr>
            <w:tcW w:w="526"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49</w:t>
            </w:r>
          </w:p>
        </w:tc>
        <w:tc>
          <w:tcPr>
            <w:tcW w:w="525"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103</w:t>
            </w:r>
          </w:p>
        </w:tc>
        <w:tc>
          <w:tcPr>
            <w:tcW w:w="525"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111</w:t>
            </w:r>
          </w:p>
        </w:tc>
        <w:tc>
          <w:tcPr>
            <w:tcW w:w="526"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122</w:t>
            </w:r>
          </w:p>
        </w:tc>
        <w:tc>
          <w:tcPr>
            <w:tcW w:w="525"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121</w:t>
            </w:r>
          </w:p>
        </w:tc>
        <w:tc>
          <w:tcPr>
            <w:tcW w:w="526"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59</w:t>
            </w:r>
          </w:p>
        </w:tc>
        <w:tc>
          <w:tcPr>
            <w:tcW w:w="525"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29</w:t>
            </w:r>
          </w:p>
        </w:tc>
        <w:tc>
          <w:tcPr>
            <w:tcW w:w="526"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700</w:t>
            </w:r>
          </w:p>
        </w:tc>
      </w:tr>
    </w:tbl>
    <w:p w:rsidR="007234DD" w:rsidRDefault="00306F8D" w:rsidP="00306F8D">
      <w:pPr>
        <w:pStyle w:val="SingleTxtGC"/>
        <w:tabs>
          <w:tab w:val="clear" w:pos="1134"/>
          <w:tab w:val="left" w:pos="1300"/>
        </w:tabs>
        <w:spacing w:before="120" w:line="240" w:lineRule="exact"/>
        <w:rPr>
          <w:rFonts w:hint="eastAsia"/>
        </w:rPr>
      </w:pPr>
      <w:r>
        <w:rPr>
          <w:rFonts w:eastAsia="KaiTi_GB2312"/>
          <w:sz w:val="19"/>
          <w:szCs w:val="19"/>
          <w:lang w:val="fr-CH"/>
        </w:rPr>
        <w:tab/>
      </w:r>
      <w:r w:rsidR="007234DD">
        <w:rPr>
          <w:rFonts w:eastAsia="KaiTi_GB2312" w:hint="eastAsia"/>
          <w:sz w:val="19"/>
          <w:szCs w:val="19"/>
        </w:rPr>
        <w:t>资料来源：</w:t>
      </w:r>
      <w:r w:rsidR="007234DD">
        <w:rPr>
          <w:sz w:val="19"/>
          <w:szCs w:val="19"/>
        </w:rPr>
        <w:t>卡塔尔大学，</w:t>
      </w:r>
      <w:r w:rsidR="007234DD">
        <w:rPr>
          <w:sz w:val="19"/>
          <w:szCs w:val="19"/>
        </w:rPr>
        <w:t>2010</w:t>
      </w:r>
      <w:r w:rsidR="007234DD">
        <w:rPr>
          <w:sz w:val="19"/>
          <w:szCs w:val="19"/>
        </w:rPr>
        <w:t>年，《</w:t>
      </w:r>
      <w:r w:rsidR="007234DD">
        <w:rPr>
          <w:sz w:val="19"/>
          <w:szCs w:val="19"/>
        </w:rPr>
        <w:t>2008-2009</w:t>
      </w:r>
      <w:r w:rsidR="007234DD">
        <w:rPr>
          <w:sz w:val="19"/>
          <w:szCs w:val="19"/>
        </w:rPr>
        <w:t>年趋势书》。</w:t>
      </w:r>
    </w:p>
    <w:p w:rsidR="007234DD" w:rsidRDefault="00306F8D" w:rsidP="00306F8D">
      <w:pPr>
        <w:pStyle w:val="SingleTxtGC"/>
        <w:tabs>
          <w:tab w:val="clear" w:pos="1134"/>
          <w:tab w:val="left" w:pos="1300"/>
        </w:tabs>
        <w:spacing w:before="120" w:line="240" w:lineRule="exact"/>
      </w:pPr>
      <w:r>
        <w:tab/>
      </w:r>
      <w:r w:rsidR="007234DD">
        <w:t>*</w:t>
      </w:r>
      <w:r w:rsidR="007234DD">
        <w:rPr>
          <w:rFonts w:hint="eastAsia"/>
        </w:rPr>
        <w:t xml:space="preserve">  </w:t>
      </w:r>
      <w:r w:rsidR="007234DD">
        <w:rPr>
          <w:sz w:val="18"/>
          <w:szCs w:val="18"/>
        </w:rPr>
        <w:t>2009/10</w:t>
      </w:r>
      <w:r w:rsidR="007234DD">
        <w:rPr>
          <w:rFonts w:hint="eastAsia"/>
          <w:sz w:val="18"/>
          <w:szCs w:val="18"/>
        </w:rPr>
        <w:t>学年结束之前注册。</w:t>
      </w:r>
    </w:p>
    <w:p w:rsidR="007234DD" w:rsidRDefault="007234DD">
      <w:pPr>
        <w:pStyle w:val="H23GC"/>
        <w:rPr>
          <w:rFonts w:hint="eastAsia"/>
        </w:rPr>
      </w:pPr>
      <w:r>
        <w:rPr>
          <w:rFonts w:hint="eastAsia"/>
        </w:rPr>
        <w:tab/>
      </w:r>
      <w:r>
        <w:rPr>
          <w:rFonts w:hint="eastAsia"/>
        </w:rPr>
        <w:tab/>
      </w:r>
      <w:r>
        <w:rPr>
          <w:rFonts w:hint="eastAsia"/>
        </w:rPr>
        <w:t>对妇女的暴力</w:t>
      </w:r>
    </w:p>
    <w:p w:rsidR="007234DD" w:rsidRDefault="007234DD">
      <w:pPr>
        <w:pStyle w:val="SingleTxtGC"/>
      </w:pPr>
      <w:r>
        <w:t xml:space="preserve">153.  </w:t>
      </w:r>
      <w:r>
        <w:rPr>
          <w:rFonts w:hint="eastAsia"/>
        </w:rPr>
        <w:t>最高家庭事务委员会通过了关于对妇女的暴力问题的一项大胆政策。它支持确定问题严重程度的调研和研究，并根据它在</w:t>
      </w:r>
      <w:r>
        <w:rPr>
          <w:rFonts w:hint="eastAsia"/>
        </w:rPr>
        <w:t>2002</w:t>
      </w:r>
      <w:r>
        <w:rPr>
          <w:rFonts w:hint="eastAsia"/>
        </w:rPr>
        <w:t>年</w:t>
      </w:r>
      <w:r>
        <w:rPr>
          <w:rFonts w:hint="eastAsia"/>
        </w:rPr>
        <w:t>11</w:t>
      </w:r>
      <w:r>
        <w:rPr>
          <w:rFonts w:hint="eastAsia"/>
        </w:rPr>
        <w:t>月作出的决定成立了卡塔尔保护儿童和妇女基金会。</w:t>
      </w:r>
    </w:p>
    <w:p w:rsidR="007234DD" w:rsidRDefault="007234DD">
      <w:pPr>
        <w:pStyle w:val="SingleTxtGC"/>
      </w:pPr>
      <w:r>
        <w:t xml:space="preserve">154.  </w:t>
      </w:r>
      <w:r>
        <w:rPr>
          <w:rFonts w:hint="eastAsia"/>
        </w:rPr>
        <w:t>2006</w:t>
      </w:r>
      <w:r>
        <w:rPr>
          <w:rFonts w:hint="eastAsia"/>
        </w:rPr>
        <w:t>年，该委员会与卡塔尔大学联合筹备了关于卡塔尔社会对妇女暴力行为的首次科学调查。有</w:t>
      </w:r>
      <w:r>
        <w:rPr>
          <w:rFonts w:hint="eastAsia"/>
        </w:rPr>
        <w:t>2,787</w:t>
      </w:r>
      <w:r>
        <w:rPr>
          <w:rFonts w:hint="eastAsia"/>
        </w:rPr>
        <w:t>名女学生作为样本参加了调查，占女学生总人数的</w:t>
      </w:r>
      <w:r>
        <w:rPr>
          <w:rFonts w:hint="eastAsia"/>
        </w:rPr>
        <w:t>49%</w:t>
      </w:r>
      <w:r>
        <w:rPr>
          <w:rFonts w:hint="eastAsia"/>
        </w:rPr>
        <w:t>，占全社会妇女总人数的</w:t>
      </w:r>
      <w:r>
        <w:rPr>
          <w:rFonts w:hint="eastAsia"/>
        </w:rPr>
        <w:t>4.4%</w:t>
      </w:r>
      <w:r>
        <w:rPr>
          <w:rFonts w:hint="eastAsia"/>
        </w:rPr>
        <w:t>。这是该区域进行过的最大规模的调查，虽然它只是面向</w:t>
      </w:r>
      <w:r>
        <w:rPr>
          <w:rFonts w:hint="eastAsia"/>
        </w:rPr>
        <w:t>18</w:t>
      </w:r>
      <w:r>
        <w:rPr>
          <w:rFonts w:hint="eastAsia"/>
        </w:rPr>
        <w:t>至</w:t>
      </w:r>
      <w:r>
        <w:rPr>
          <w:rFonts w:hint="eastAsia"/>
        </w:rPr>
        <w:t>25</w:t>
      </w:r>
      <w:r>
        <w:rPr>
          <w:rFonts w:hint="eastAsia"/>
        </w:rPr>
        <w:t>岁的妇女。结果表明，社会地位并不决定一个人是否可能遭受暴力。样本中有</w:t>
      </w:r>
      <w:r>
        <w:rPr>
          <w:rFonts w:hint="eastAsia"/>
        </w:rPr>
        <w:t>23%</w:t>
      </w:r>
      <w:r>
        <w:rPr>
          <w:rFonts w:hint="eastAsia"/>
        </w:rPr>
        <w:t>的妇女曾遭受过暴力</w:t>
      </w:r>
      <w:r>
        <w:rPr>
          <w:rFonts w:hint="eastAsia"/>
          <w:spacing w:val="-50"/>
        </w:rPr>
        <w:t>―</w:t>
      </w:r>
      <w:r>
        <w:rPr>
          <w:rFonts w:hint="eastAsia"/>
          <w:spacing w:val="10"/>
        </w:rPr>
        <w:t>―</w:t>
      </w:r>
      <w:r>
        <w:rPr>
          <w:rFonts w:hint="eastAsia"/>
        </w:rPr>
        <w:t>大多是在家里，而且施暴者总是某位男性亲属，即兄弟、父亲或丈夫。殴打是最常见的暴力形式，大多数受害者曾在童年时遭受殴打。受访者不知道如何寻求帮助，并且缺乏关于支助和保护妇女的信息。该委员会公布了调查结果，并就调查结果组织了一次公开辩论。这场辩论在</w:t>
      </w:r>
      <w:r>
        <w:rPr>
          <w:rFonts w:hint="eastAsia"/>
        </w:rPr>
        <w:t>2007</w:t>
      </w:r>
      <w:r>
        <w:rPr>
          <w:rFonts w:hint="eastAsia"/>
        </w:rPr>
        <w:t>年</w:t>
      </w:r>
      <w:r>
        <w:rPr>
          <w:rFonts w:hint="eastAsia"/>
        </w:rPr>
        <w:t>11</w:t>
      </w:r>
      <w:r>
        <w:rPr>
          <w:rFonts w:hint="eastAsia"/>
        </w:rPr>
        <w:t>月纪念消除对妇女的暴力行为国际日时举行。</w:t>
      </w:r>
    </w:p>
    <w:p w:rsidR="007234DD" w:rsidRDefault="007234DD">
      <w:pPr>
        <w:pStyle w:val="SingleTxtGC"/>
      </w:pPr>
      <w:r>
        <w:t xml:space="preserve">155.  </w:t>
      </w:r>
      <w:r>
        <w:rPr>
          <w:rFonts w:hint="eastAsia"/>
        </w:rPr>
        <w:t>最高家庭事务委员会进行了另一项题为“对已婚妇女的暴力：卡塔尔的情况”的调查。这次调查揭露了卡塔尔家庭生活的一些重要方面。调查发现，样本中有</w:t>
      </w:r>
      <w:r>
        <w:rPr>
          <w:rFonts w:hint="eastAsia"/>
        </w:rPr>
        <w:t>4%</w:t>
      </w:r>
      <w:r>
        <w:rPr>
          <w:rFonts w:hint="eastAsia"/>
        </w:rPr>
        <w:t>的已婚妇女曾连续遭受暴力，</w:t>
      </w:r>
      <w:r>
        <w:rPr>
          <w:rFonts w:hint="eastAsia"/>
        </w:rPr>
        <w:t>10%</w:t>
      </w:r>
      <w:r>
        <w:rPr>
          <w:rFonts w:hint="eastAsia"/>
        </w:rPr>
        <w:t>时常遭受暴力，</w:t>
      </w:r>
      <w:r>
        <w:rPr>
          <w:rFonts w:hint="eastAsia"/>
        </w:rPr>
        <w:t>14%</w:t>
      </w:r>
      <w:r>
        <w:rPr>
          <w:rFonts w:hint="eastAsia"/>
        </w:rPr>
        <w:t>极偶尔遭受暴力。</w:t>
      </w:r>
    </w:p>
    <w:p w:rsidR="007234DD" w:rsidRDefault="007234DD">
      <w:pPr>
        <w:pStyle w:val="SingleTxtGC"/>
      </w:pPr>
      <w:r>
        <w:rPr>
          <w:rFonts w:hint="eastAsia"/>
        </w:rPr>
        <w:t>表</w:t>
      </w:r>
      <w:r>
        <w:t>5</w:t>
      </w:r>
      <w:r>
        <w:rPr>
          <w:rFonts w:hint="eastAsia"/>
        </w:rPr>
        <w:br/>
      </w:r>
      <w:r>
        <w:rPr>
          <w:rFonts w:eastAsia="SimHei"/>
        </w:rPr>
        <w:t>2008</w:t>
      </w:r>
      <w:r>
        <w:rPr>
          <w:rFonts w:eastAsia="SimHei"/>
        </w:rPr>
        <w:t>年按所受暴力的性质分列的卡塔尔已婚妇女人数</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7234DD">
        <w:trPr>
          <w:cantSplit/>
          <w:tblHeader/>
        </w:trPr>
        <w:tc>
          <w:tcPr>
            <w:tcW w:w="2456" w:type="dxa"/>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回答的情况</w:t>
            </w:r>
          </w:p>
        </w:tc>
        <w:tc>
          <w:tcPr>
            <w:tcW w:w="2457" w:type="dxa"/>
            <w:tcBorders>
              <w:top w:val="single" w:sz="4" w:space="0" w:color="auto"/>
              <w:bottom w:val="single" w:sz="12" w:space="0" w:color="auto"/>
            </w:tcBorders>
            <w:shd w:val="clear" w:color="auto" w:fill="auto"/>
            <w:vAlign w:val="bottom"/>
          </w:tcPr>
          <w:p w:rsidR="007234DD" w:rsidRDefault="007234DD">
            <w:pPr>
              <w:pStyle w:val="a0"/>
              <w:ind w:right="0"/>
              <w:jc w:val="right"/>
            </w:pPr>
            <w:r>
              <w:rPr>
                <w:rFonts w:hint="eastAsia"/>
              </w:rPr>
              <w:t>案件数量</w:t>
            </w:r>
          </w:p>
        </w:tc>
        <w:tc>
          <w:tcPr>
            <w:tcW w:w="2457"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百分比</w:t>
            </w:r>
          </w:p>
        </w:tc>
      </w:tr>
      <w:tr w:rsidR="007234DD">
        <w:trPr>
          <w:cantSplit/>
        </w:trPr>
        <w:tc>
          <w:tcPr>
            <w:tcW w:w="2456" w:type="dxa"/>
            <w:tcBorders>
              <w:top w:val="single" w:sz="12" w:space="0" w:color="auto"/>
            </w:tcBorders>
            <w:shd w:val="clear" w:color="auto" w:fill="auto"/>
          </w:tcPr>
          <w:p w:rsidR="007234DD" w:rsidRDefault="007234DD">
            <w:pPr>
              <w:pStyle w:val="a5"/>
              <w:rPr>
                <w:rFonts w:hint="eastAsia"/>
              </w:rPr>
            </w:pPr>
            <w:r>
              <w:rPr>
                <w:rFonts w:hint="eastAsia"/>
              </w:rPr>
              <w:t>经常</w:t>
            </w:r>
          </w:p>
        </w:tc>
        <w:tc>
          <w:tcPr>
            <w:tcW w:w="2457" w:type="dxa"/>
            <w:tcBorders>
              <w:top w:val="single" w:sz="12" w:space="0" w:color="auto"/>
            </w:tcBorders>
            <w:shd w:val="clear" w:color="auto" w:fill="auto"/>
          </w:tcPr>
          <w:p w:rsidR="007234DD" w:rsidRDefault="007234DD">
            <w:pPr>
              <w:pStyle w:val="a5"/>
              <w:ind w:right="0"/>
              <w:jc w:val="right"/>
            </w:pPr>
            <w:r>
              <w:t>48</w:t>
            </w:r>
          </w:p>
        </w:tc>
        <w:tc>
          <w:tcPr>
            <w:tcW w:w="2457" w:type="dxa"/>
            <w:tcBorders>
              <w:top w:val="single" w:sz="12" w:space="0" w:color="auto"/>
            </w:tcBorders>
            <w:shd w:val="clear" w:color="auto" w:fill="auto"/>
          </w:tcPr>
          <w:p w:rsidR="007234DD" w:rsidRDefault="007234DD">
            <w:pPr>
              <w:pStyle w:val="a5"/>
              <w:ind w:right="0"/>
              <w:jc w:val="right"/>
            </w:pPr>
            <w:r>
              <w:t>40</w:t>
            </w:r>
          </w:p>
        </w:tc>
      </w:tr>
      <w:tr w:rsidR="007234DD">
        <w:trPr>
          <w:cantSplit/>
        </w:trPr>
        <w:tc>
          <w:tcPr>
            <w:tcW w:w="2456" w:type="dxa"/>
            <w:shd w:val="clear" w:color="auto" w:fill="auto"/>
          </w:tcPr>
          <w:p w:rsidR="007234DD" w:rsidRDefault="007234DD">
            <w:pPr>
              <w:pStyle w:val="a5"/>
            </w:pPr>
            <w:r>
              <w:rPr>
                <w:rFonts w:hint="eastAsia"/>
              </w:rPr>
              <w:t>有时</w:t>
            </w:r>
          </w:p>
        </w:tc>
        <w:tc>
          <w:tcPr>
            <w:tcW w:w="2457" w:type="dxa"/>
            <w:shd w:val="clear" w:color="auto" w:fill="auto"/>
          </w:tcPr>
          <w:p w:rsidR="007234DD" w:rsidRDefault="007234DD">
            <w:pPr>
              <w:pStyle w:val="a5"/>
              <w:ind w:right="0"/>
              <w:jc w:val="right"/>
            </w:pPr>
            <w:r>
              <w:t>108</w:t>
            </w:r>
          </w:p>
        </w:tc>
        <w:tc>
          <w:tcPr>
            <w:tcW w:w="2457" w:type="dxa"/>
            <w:shd w:val="clear" w:color="auto" w:fill="auto"/>
          </w:tcPr>
          <w:p w:rsidR="007234DD" w:rsidRDefault="007234DD">
            <w:pPr>
              <w:pStyle w:val="a5"/>
              <w:ind w:right="0"/>
              <w:jc w:val="right"/>
            </w:pPr>
            <w:r>
              <w:t>10</w:t>
            </w:r>
          </w:p>
        </w:tc>
      </w:tr>
      <w:tr w:rsidR="007234DD">
        <w:trPr>
          <w:cantSplit/>
        </w:trPr>
        <w:tc>
          <w:tcPr>
            <w:tcW w:w="2456" w:type="dxa"/>
            <w:shd w:val="clear" w:color="auto" w:fill="auto"/>
          </w:tcPr>
          <w:p w:rsidR="007234DD" w:rsidRDefault="007234DD">
            <w:pPr>
              <w:pStyle w:val="a5"/>
            </w:pPr>
            <w:r>
              <w:rPr>
                <w:rFonts w:hint="eastAsia"/>
              </w:rPr>
              <w:t>很少</w:t>
            </w:r>
          </w:p>
        </w:tc>
        <w:tc>
          <w:tcPr>
            <w:tcW w:w="2457" w:type="dxa"/>
            <w:shd w:val="clear" w:color="auto" w:fill="auto"/>
          </w:tcPr>
          <w:p w:rsidR="007234DD" w:rsidRDefault="007234DD">
            <w:pPr>
              <w:pStyle w:val="a5"/>
              <w:ind w:right="0"/>
              <w:jc w:val="right"/>
            </w:pPr>
            <w:r>
              <w:t>154</w:t>
            </w:r>
          </w:p>
        </w:tc>
        <w:tc>
          <w:tcPr>
            <w:tcW w:w="2457" w:type="dxa"/>
            <w:shd w:val="clear" w:color="auto" w:fill="auto"/>
          </w:tcPr>
          <w:p w:rsidR="007234DD" w:rsidRDefault="007234DD">
            <w:pPr>
              <w:pStyle w:val="a5"/>
              <w:ind w:right="0"/>
              <w:jc w:val="right"/>
            </w:pPr>
            <w:r>
              <w:t>14</w:t>
            </w:r>
          </w:p>
        </w:tc>
      </w:tr>
      <w:tr w:rsidR="007234DD">
        <w:trPr>
          <w:cantSplit/>
        </w:trPr>
        <w:tc>
          <w:tcPr>
            <w:tcW w:w="2456" w:type="dxa"/>
            <w:shd w:val="clear" w:color="auto" w:fill="auto"/>
          </w:tcPr>
          <w:p w:rsidR="007234DD" w:rsidRDefault="007234DD">
            <w:pPr>
              <w:pStyle w:val="a5"/>
            </w:pPr>
            <w:r>
              <w:rPr>
                <w:rFonts w:hint="eastAsia"/>
              </w:rPr>
              <w:t>从来没有</w:t>
            </w:r>
          </w:p>
        </w:tc>
        <w:tc>
          <w:tcPr>
            <w:tcW w:w="2457" w:type="dxa"/>
            <w:shd w:val="clear" w:color="auto" w:fill="auto"/>
          </w:tcPr>
          <w:p w:rsidR="007234DD" w:rsidRDefault="007234DD">
            <w:pPr>
              <w:pStyle w:val="a5"/>
              <w:ind w:right="0"/>
              <w:jc w:val="right"/>
            </w:pPr>
            <w:r>
              <w:t>797</w:t>
            </w:r>
          </w:p>
        </w:tc>
        <w:tc>
          <w:tcPr>
            <w:tcW w:w="2457" w:type="dxa"/>
            <w:shd w:val="clear" w:color="auto" w:fill="auto"/>
          </w:tcPr>
          <w:p w:rsidR="007234DD" w:rsidRDefault="007234DD">
            <w:pPr>
              <w:pStyle w:val="a5"/>
              <w:ind w:right="0"/>
              <w:jc w:val="right"/>
            </w:pPr>
            <w:r>
              <w:t>71</w:t>
            </w:r>
          </w:p>
        </w:tc>
      </w:tr>
      <w:tr w:rsidR="007234DD">
        <w:trPr>
          <w:cantSplit/>
        </w:trPr>
        <w:tc>
          <w:tcPr>
            <w:tcW w:w="2456" w:type="dxa"/>
            <w:tcBorders>
              <w:bottom w:val="single" w:sz="4" w:space="0" w:color="auto"/>
            </w:tcBorders>
            <w:shd w:val="clear" w:color="auto" w:fill="auto"/>
          </w:tcPr>
          <w:p w:rsidR="007234DD" w:rsidRDefault="007234DD">
            <w:pPr>
              <w:pStyle w:val="a5"/>
            </w:pPr>
            <w:r>
              <w:rPr>
                <w:rFonts w:hint="eastAsia"/>
              </w:rPr>
              <w:t>没有回答</w:t>
            </w:r>
          </w:p>
        </w:tc>
        <w:tc>
          <w:tcPr>
            <w:tcW w:w="2457" w:type="dxa"/>
            <w:tcBorders>
              <w:bottom w:val="single" w:sz="4" w:space="0" w:color="auto"/>
            </w:tcBorders>
            <w:shd w:val="clear" w:color="auto" w:fill="auto"/>
          </w:tcPr>
          <w:p w:rsidR="007234DD" w:rsidRDefault="007234DD">
            <w:pPr>
              <w:pStyle w:val="a5"/>
              <w:ind w:right="0"/>
              <w:jc w:val="right"/>
            </w:pPr>
            <w:r>
              <w:t>10</w:t>
            </w:r>
          </w:p>
        </w:tc>
        <w:tc>
          <w:tcPr>
            <w:tcW w:w="2457" w:type="dxa"/>
            <w:tcBorders>
              <w:bottom w:val="single" w:sz="4" w:space="0" w:color="auto"/>
            </w:tcBorders>
            <w:shd w:val="clear" w:color="auto" w:fill="auto"/>
          </w:tcPr>
          <w:p w:rsidR="007234DD" w:rsidRDefault="007234DD">
            <w:pPr>
              <w:pStyle w:val="a5"/>
              <w:ind w:right="0"/>
              <w:jc w:val="right"/>
            </w:pPr>
            <w:r>
              <w:t>1</w:t>
            </w:r>
          </w:p>
        </w:tc>
      </w:tr>
      <w:tr w:rsidR="007234DD">
        <w:trPr>
          <w:cantSplit/>
        </w:trPr>
        <w:tc>
          <w:tcPr>
            <w:tcW w:w="2456"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rPr>
            </w:pPr>
            <w:r>
              <w:rPr>
                <w:rFonts w:eastAsia="SimHei" w:hint="eastAsia"/>
              </w:rPr>
              <w:t>合计</w:t>
            </w:r>
          </w:p>
        </w:tc>
        <w:tc>
          <w:tcPr>
            <w:tcW w:w="2457"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hint="eastAsia"/>
              </w:rPr>
            </w:pPr>
            <w:r>
              <w:rPr>
                <w:rFonts w:eastAsia="SimHei" w:hint="eastAsia"/>
                <w:b/>
              </w:rPr>
              <w:t>1</w:t>
            </w:r>
            <w:r>
              <w:rPr>
                <w:rFonts w:eastAsia="SimHei" w:hint="eastAsia"/>
              </w:rPr>
              <w:t>,</w:t>
            </w:r>
            <w:r>
              <w:rPr>
                <w:rFonts w:eastAsia="SimHei" w:hint="eastAsia"/>
                <w:b/>
              </w:rPr>
              <w:t>117</w:t>
            </w:r>
          </w:p>
        </w:tc>
        <w:tc>
          <w:tcPr>
            <w:tcW w:w="2457"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hint="eastAsia"/>
              </w:rPr>
            </w:pPr>
            <w:r>
              <w:rPr>
                <w:rFonts w:eastAsia="SimHei" w:hint="eastAsia"/>
                <w:b/>
              </w:rPr>
              <w:t>100</w:t>
            </w:r>
          </w:p>
        </w:tc>
      </w:tr>
    </w:tbl>
    <w:p w:rsidR="007234DD" w:rsidRDefault="00247695" w:rsidP="00247695">
      <w:pPr>
        <w:pStyle w:val="SingleTxtGC"/>
        <w:tabs>
          <w:tab w:val="left" w:pos="1300"/>
        </w:tabs>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对已婚妇女的暴力调查：卡塔尔的情况，最高家庭事务委员会，</w:t>
      </w:r>
      <w:r w:rsidR="007234DD">
        <w:rPr>
          <w:rFonts w:hint="eastAsia"/>
          <w:sz w:val="19"/>
          <w:szCs w:val="19"/>
        </w:rPr>
        <w:t>2008</w:t>
      </w:r>
      <w:r w:rsidR="007234DD">
        <w:rPr>
          <w:rFonts w:hint="eastAsia"/>
          <w:sz w:val="19"/>
          <w:szCs w:val="19"/>
        </w:rPr>
        <w:t>年。</w:t>
      </w:r>
    </w:p>
    <w:p w:rsidR="007234DD" w:rsidRDefault="007234DD">
      <w:pPr>
        <w:pStyle w:val="SingleTxtGC"/>
      </w:pPr>
      <w:r>
        <w:t xml:space="preserve">156.  </w:t>
      </w:r>
      <w:r>
        <w:rPr>
          <w:rFonts w:hint="eastAsia"/>
        </w:rPr>
        <w:t>根据提高妇女地位的国家战略，最高家庭事务委员会与其他机构一道努力消除家庭暴力。为此，举办了几十个培训班和讲习班，以提高雇员的认识和交流关于各种家庭暴力的经验和信息。特别是，最高家庭事务委员会和多哈家庭研究与发展研究所于</w:t>
      </w:r>
      <w:r>
        <w:rPr>
          <w:rFonts w:hint="eastAsia"/>
        </w:rPr>
        <w:t>2008</w:t>
      </w:r>
      <w:r>
        <w:rPr>
          <w:rFonts w:hint="eastAsia"/>
        </w:rPr>
        <w:t>年联合举办了一次关于对妇女的暴力及其对家庭的影响的国际专题讨论会。它们还举办了一次关于为保护卡塔尔社会中的妇女而提供的服务质量的讲习班。这些会议和研讨会在结束时都就如何加强政策和改善保护妇女的服务质量提出了重要建议。</w:t>
      </w:r>
    </w:p>
    <w:p w:rsidR="007234DD" w:rsidRDefault="007234DD">
      <w:pPr>
        <w:pStyle w:val="SingleTxtGC"/>
      </w:pPr>
      <w:r>
        <w:t xml:space="preserve">157.  </w:t>
      </w:r>
      <w:r>
        <w:rPr>
          <w:rFonts w:hint="eastAsia"/>
        </w:rPr>
        <w:t>卡塔尔没有关于对妇女的暴力或家庭暴力问题的单独法律。然而，有关罪行在《刑法》关于侵犯人身罪的一节中得到充分处理。该节涵盖了人身攻击罪、猥亵罪和强奸罪，对它们的最高刑罚是死刑。这些规定在打击对妇女的暴力行为方面起到了威慑作用。</w:t>
      </w:r>
    </w:p>
    <w:p w:rsidR="007234DD" w:rsidRDefault="007234DD">
      <w:pPr>
        <w:pStyle w:val="SingleTxtGC"/>
      </w:pPr>
      <w:r>
        <w:t xml:space="preserve">158.  </w:t>
      </w:r>
      <w:r>
        <w:rPr>
          <w:rFonts w:hint="eastAsia"/>
        </w:rPr>
        <w:t>卡塔尔实行了一揽子措施，以打击对妇女的暴力行为。最近，卡塔尔保护儿童和妇女基金会设立了热线电话</w:t>
      </w:r>
      <w:r>
        <w:rPr>
          <w:rFonts w:hint="eastAsia"/>
          <w:spacing w:val="-50"/>
        </w:rPr>
        <w:t>―</w:t>
      </w:r>
      <w:r>
        <w:rPr>
          <w:rFonts w:hint="eastAsia"/>
          <w:spacing w:val="10"/>
        </w:rPr>
        <w:t>―</w:t>
      </w:r>
      <w:r>
        <w:rPr>
          <w:rFonts w:hint="eastAsia"/>
        </w:rPr>
        <w:t>“</w:t>
      </w:r>
      <w:r>
        <w:t>Aman 919</w:t>
      </w:r>
      <w:r>
        <w:rPr>
          <w:rFonts w:hint="eastAsia"/>
        </w:rPr>
        <w:t>”，以更加便捷地与目标群体建立联系，防止他们遭受暴力和虐待。这个全天</w:t>
      </w:r>
      <w:r>
        <w:rPr>
          <w:rFonts w:hint="eastAsia"/>
        </w:rPr>
        <w:t>24</w:t>
      </w:r>
      <w:r>
        <w:rPr>
          <w:rFonts w:hint="eastAsia"/>
        </w:rPr>
        <w:t>小时运作的接听中心，有</w:t>
      </w:r>
      <w:r>
        <w:rPr>
          <w:rFonts w:hint="eastAsia"/>
        </w:rPr>
        <w:t>8</w:t>
      </w:r>
      <w:r>
        <w:rPr>
          <w:rFonts w:hint="eastAsia"/>
        </w:rPr>
        <w:t>位女专家提供法律、心理和社会咨询，并与卫生和安全机构联系，以帮助社会上的弱势群。</w:t>
      </w:r>
    </w:p>
    <w:p w:rsidR="007234DD" w:rsidRDefault="007234DD">
      <w:pPr>
        <w:pStyle w:val="H23GC"/>
        <w:rPr>
          <w:rFonts w:hint="eastAsia"/>
        </w:rPr>
      </w:pPr>
      <w:r>
        <w:rPr>
          <w:rFonts w:hint="eastAsia"/>
        </w:rPr>
        <w:tab/>
      </w:r>
      <w:r>
        <w:rPr>
          <w:rFonts w:hint="eastAsia"/>
        </w:rPr>
        <w:tab/>
      </w:r>
      <w:r>
        <w:rPr>
          <w:rFonts w:hint="eastAsia"/>
        </w:rPr>
        <w:t>国家关于《公约》第五条的声明</w:t>
      </w:r>
    </w:p>
    <w:p w:rsidR="007234DD" w:rsidRDefault="007234DD">
      <w:pPr>
        <w:pStyle w:val="SingleTxtGC"/>
      </w:pPr>
      <w:r>
        <w:t xml:space="preserve">159.  </w:t>
      </w:r>
      <w:r>
        <w:rPr>
          <w:rFonts w:hint="eastAsia"/>
        </w:rPr>
        <w:t>“卡塔尔国声明，第五条</w:t>
      </w:r>
      <w:r>
        <w:t>(a)</w:t>
      </w:r>
      <w:r>
        <w:rPr>
          <w:rFonts w:hint="eastAsia"/>
        </w:rPr>
        <w:t>项提到的改变‘模式’问题不应被理解为鼓励妇女放弃其作为母亲的角色及其抚养子女的角色，从而破坏家庭的结构。”</w:t>
      </w:r>
    </w:p>
    <w:p w:rsidR="007234DD" w:rsidRDefault="007234DD">
      <w:pPr>
        <w:pStyle w:val="SingleTxtGC"/>
      </w:pPr>
      <w:r>
        <w:t xml:space="preserve">160.  </w:t>
      </w:r>
      <w:r>
        <w:rPr>
          <w:rFonts w:hint="eastAsia"/>
        </w:rPr>
        <w:t>根据该条</w:t>
      </w:r>
      <w:r>
        <w:t>(a)</w:t>
      </w:r>
      <w:r>
        <w:rPr>
          <w:rFonts w:hint="eastAsia"/>
        </w:rPr>
        <w:t>项，缔约各国应采取一切适当措施，改变男女的社会和文化行为模式，以消除基于性别而分尊卑观念或基于男女任务定型观念所产生的偏见、习俗和一切其他做法。家庭是卡塔尔社会的支柱之一；事实上，它是社会的基础。如《宪法》第</w:t>
      </w:r>
      <w:r>
        <w:rPr>
          <w:rFonts w:hint="eastAsia"/>
        </w:rPr>
        <w:t>21</w:t>
      </w:r>
      <w:r>
        <w:rPr>
          <w:rFonts w:hint="eastAsia"/>
        </w:rPr>
        <w:t>条所指出，国家必须保护家庭、支持和加强家庭团结并保护家庭环境中的母亲、儿童和老人。国家致力于确保母亲的角色继续受到尊重，以及妇女对照顾家庭的贡献，而且这符合伊斯兰教法。因此，改变女性陈规定型观念决不应淡化妇女作为妻子和母亲的角色。</w:t>
      </w:r>
    </w:p>
    <w:p w:rsidR="007234DD" w:rsidRDefault="007234DD">
      <w:pPr>
        <w:pStyle w:val="H1GC"/>
        <w:rPr>
          <w:rFonts w:hint="eastAsia"/>
        </w:rPr>
      </w:pPr>
      <w:r>
        <w:rPr>
          <w:rFonts w:hint="eastAsia"/>
        </w:rPr>
        <w:tab/>
      </w:r>
      <w:r>
        <w:rPr>
          <w:rFonts w:hint="eastAsia"/>
        </w:rPr>
        <w:tab/>
      </w:r>
      <w:r>
        <w:rPr>
          <w:rFonts w:hint="eastAsia"/>
        </w:rPr>
        <w:t>第六条</w:t>
      </w:r>
      <w:r>
        <w:rPr>
          <w:rFonts w:hint="eastAsia"/>
        </w:rPr>
        <w:br/>
      </w:r>
      <w:r>
        <w:rPr>
          <w:rFonts w:hint="eastAsia"/>
        </w:rPr>
        <w:t>贩运妇女</w:t>
      </w:r>
    </w:p>
    <w:p w:rsidR="007234DD" w:rsidRDefault="007234DD">
      <w:pPr>
        <w:pStyle w:val="H23GC"/>
        <w:rPr>
          <w:rFonts w:hint="eastAsia"/>
        </w:rPr>
      </w:pPr>
      <w:r>
        <w:rPr>
          <w:rFonts w:hint="eastAsia"/>
        </w:rPr>
        <w:tab/>
      </w:r>
      <w:r>
        <w:rPr>
          <w:rFonts w:hint="eastAsia"/>
        </w:rPr>
        <w:tab/>
      </w:r>
      <w:r>
        <w:rPr>
          <w:rFonts w:hint="eastAsia"/>
        </w:rPr>
        <w:t>宪法和法律框架</w:t>
      </w:r>
    </w:p>
    <w:p w:rsidR="007234DD" w:rsidRDefault="007234DD">
      <w:pPr>
        <w:pStyle w:val="SingleTxtGC"/>
      </w:pPr>
      <w:r>
        <w:t xml:space="preserve">161.  </w:t>
      </w:r>
      <w:r>
        <w:rPr>
          <w:rFonts w:hint="eastAsia"/>
        </w:rPr>
        <w:t>如上所述，男女尊严以及保护人权和防止滥用人的自由的重要性在《卡塔尔宪法》的许多条款中得到确认。除了已经提到的之外，这些条款还包括：《宪法》第</w:t>
      </w:r>
      <w:r>
        <w:rPr>
          <w:rFonts w:hint="eastAsia"/>
        </w:rPr>
        <w:t>36</w:t>
      </w:r>
      <w:r>
        <w:rPr>
          <w:rFonts w:hint="eastAsia"/>
        </w:rPr>
        <w:t>条。该条规定：“保证个人自由。除非按照法律的规定，否则不得对任何人进行逮捕、监禁和搜查以及将其拘禁于某一住所或剥夺其居住和行动自由。不得对任何人施以酷刑或有辱人格的待遇。酷刑是犯罪行为，应依法进行惩处”。第</w:t>
      </w:r>
      <w:r>
        <w:rPr>
          <w:rFonts w:hint="eastAsia"/>
        </w:rPr>
        <w:t>37</w:t>
      </w:r>
      <w:r>
        <w:rPr>
          <w:rFonts w:hint="eastAsia"/>
        </w:rPr>
        <w:t>条规定：“个人隐私不可侵犯。不得侵犯个人的隐私、家庭生活、家或信件，也不得进行损害个人荣誉或声誉的干扰，除非按照法律的规定且符合法律规定的程序”。第</w:t>
      </w:r>
      <w:r>
        <w:rPr>
          <w:rFonts w:hint="eastAsia"/>
        </w:rPr>
        <w:t>52</w:t>
      </w:r>
      <w:r>
        <w:rPr>
          <w:rFonts w:hint="eastAsia"/>
        </w:rPr>
        <w:t>条规定：“在本国合法居住的所有人都有权依法获得对其人身和财产的保护”。</w:t>
      </w:r>
    </w:p>
    <w:p w:rsidR="007234DD" w:rsidRDefault="007234DD">
      <w:pPr>
        <w:pStyle w:val="SingleTxtGC"/>
      </w:pPr>
      <w:r>
        <w:t xml:space="preserve">162.  </w:t>
      </w:r>
      <w:r>
        <w:rPr>
          <w:rFonts w:hint="eastAsia"/>
        </w:rPr>
        <w:t>卡塔尔立法机关以伊斯兰教法</w:t>
      </w:r>
      <w:r>
        <w:rPr>
          <w:rFonts w:hint="eastAsia"/>
          <w:spacing w:val="-50"/>
        </w:rPr>
        <w:t>―</w:t>
      </w:r>
      <w:r>
        <w:rPr>
          <w:rFonts w:hint="eastAsia"/>
          <w:spacing w:val="10"/>
        </w:rPr>
        <w:t>―</w:t>
      </w:r>
      <w:r>
        <w:rPr>
          <w:rFonts w:hint="eastAsia"/>
        </w:rPr>
        <w:t>禁止贩运人口、卖淫和其他违禁做法</w:t>
      </w:r>
      <w:r>
        <w:rPr>
          <w:rFonts w:hint="eastAsia"/>
          <w:spacing w:val="-50"/>
        </w:rPr>
        <w:t>―</w:t>
      </w:r>
      <w:r>
        <w:rPr>
          <w:rFonts w:hint="eastAsia"/>
          <w:spacing w:val="10"/>
        </w:rPr>
        <w:t>―</w:t>
      </w:r>
      <w:r>
        <w:rPr>
          <w:rFonts w:hint="eastAsia"/>
        </w:rPr>
        <w:t>为指导，制定了禁止贩运人口的法律。这些法律包括：《卡塔尔刑法》</w:t>
      </w:r>
      <w:r>
        <w:rPr>
          <w:rFonts w:hint="eastAsia"/>
        </w:rPr>
        <w:t>(2004</w:t>
      </w:r>
      <w:r>
        <w:rPr>
          <w:rFonts w:hint="eastAsia"/>
        </w:rPr>
        <w:t>年第</w:t>
      </w:r>
      <w:r>
        <w:rPr>
          <w:rFonts w:hint="eastAsia"/>
        </w:rPr>
        <w:t>11</w:t>
      </w:r>
      <w:r>
        <w:rPr>
          <w:rFonts w:hint="eastAsia"/>
        </w:rPr>
        <w:t>号法</w:t>
      </w:r>
      <w:r>
        <w:rPr>
          <w:rFonts w:hint="eastAsia"/>
        </w:rPr>
        <w:t>)</w:t>
      </w:r>
      <w:r>
        <w:rPr>
          <w:rFonts w:hint="eastAsia"/>
        </w:rPr>
        <w:t>、《卡塔尔劳动法》</w:t>
      </w:r>
      <w:r>
        <w:rPr>
          <w:rFonts w:hint="eastAsia"/>
        </w:rPr>
        <w:t>(2004</w:t>
      </w:r>
      <w:r>
        <w:rPr>
          <w:rFonts w:hint="eastAsia"/>
        </w:rPr>
        <w:t>年第</w:t>
      </w:r>
      <w:r>
        <w:rPr>
          <w:rFonts w:hint="eastAsia"/>
        </w:rPr>
        <w:t>14</w:t>
      </w:r>
      <w:r>
        <w:rPr>
          <w:rFonts w:hint="eastAsia"/>
        </w:rPr>
        <w:t>号法</w:t>
      </w:r>
      <w:r>
        <w:rPr>
          <w:rFonts w:hint="eastAsia"/>
        </w:rPr>
        <w:t>)</w:t>
      </w:r>
      <w:r>
        <w:rPr>
          <w:rFonts w:hint="eastAsia"/>
        </w:rPr>
        <w:t>、禁止招募、雇用、培训和吸收儿童参加赛骆驼运动的</w:t>
      </w:r>
      <w:r>
        <w:rPr>
          <w:rFonts w:hint="eastAsia"/>
        </w:rPr>
        <w:t>2005</w:t>
      </w:r>
      <w:r>
        <w:rPr>
          <w:rFonts w:hint="eastAsia"/>
        </w:rPr>
        <w:t>年第</w:t>
      </w:r>
      <w:r>
        <w:rPr>
          <w:rFonts w:hint="eastAsia"/>
        </w:rPr>
        <w:t>22</w:t>
      </w:r>
      <w:r>
        <w:rPr>
          <w:rFonts w:hint="eastAsia"/>
        </w:rPr>
        <w:t>号法，以及关于人体器官移植的</w:t>
      </w:r>
      <w:r>
        <w:rPr>
          <w:rFonts w:hint="eastAsia"/>
        </w:rPr>
        <w:t>1997</w:t>
      </w:r>
      <w:r>
        <w:rPr>
          <w:rFonts w:hint="eastAsia"/>
        </w:rPr>
        <w:t>年第</w:t>
      </w:r>
      <w:r>
        <w:rPr>
          <w:rFonts w:hint="eastAsia"/>
        </w:rPr>
        <w:t>21</w:t>
      </w:r>
      <w:r>
        <w:rPr>
          <w:rFonts w:hint="eastAsia"/>
        </w:rPr>
        <w:t>号法。</w:t>
      </w:r>
    </w:p>
    <w:p w:rsidR="007234DD" w:rsidRDefault="007234DD">
      <w:pPr>
        <w:pStyle w:val="SingleTxtGC"/>
      </w:pPr>
      <w:r>
        <w:t xml:space="preserve">163.  </w:t>
      </w:r>
      <w:r>
        <w:rPr>
          <w:rFonts w:hint="eastAsia"/>
        </w:rPr>
        <w:t>卡塔尔批准了关于贩运人口问题的一些国际条约，包括</w:t>
      </w:r>
      <w:r>
        <w:rPr>
          <w:rFonts w:hint="eastAsia"/>
        </w:rPr>
        <w:t>2002</w:t>
      </w:r>
      <w:r>
        <w:rPr>
          <w:rFonts w:hint="eastAsia"/>
        </w:rPr>
        <w:t>年的《联合国打击跨国有组织犯罪公约关于防止、禁止和惩治贩运人口特别是妇女和儿童行为的补充议定书》。</w:t>
      </w:r>
    </w:p>
    <w:p w:rsidR="007234DD" w:rsidRDefault="007234DD">
      <w:pPr>
        <w:pStyle w:val="SingleTxtGC"/>
      </w:pPr>
      <w:r>
        <w:t xml:space="preserve">164.  </w:t>
      </w:r>
      <w:r>
        <w:rPr>
          <w:rFonts w:hint="eastAsia"/>
        </w:rPr>
        <w:t>卡塔尔法律对一切形式的性剥削</w:t>
      </w:r>
      <w:r>
        <w:rPr>
          <w:rFonts w:hint="eastAsia"/>
        </w:rPr>
        <w:t>(</w:t>
      </w:r>
      <w:r>
        <w:rPr>
          <w:rFonts w:hint="eastAsia"/>
        </w:rPr>
        <w:t>特别是针对妇女和儿童的性剥削</w:t>
      </w:r>
      <w:r>
        <w:rPr>
          <w:rFonts w:hint="eastAsia"/>
        </w:rPr>
        <w:t>)</w:t>
      </w:r>
      <w:r>
        <w:rPr>
          <w:rFonts w:hint="eastAsia"/>
        </w:rPr>
        <w:t>规定了严厉的处罚。《刑法》</w:t>
      </w:r>
      <w:r>
        <w:rPr>
          <w:rFonts w:hint="eastAsia"/>
        </w:rPr>
        <w:t>(2004</w:t>
      </w:r>
      <w:r>
        <w:rPr>
          <w:rFonts w:hint="eastAsia"/>
        </w:rPr>
        <w:t>年第</w:t>
      </w:r>
      <w:r>
        <w:rPr>
          <w:rFonts w:hint="eastAsia"/>
        </w:rPr>
        <w:t>11</w:t>
      </w:r>
      <w:r>
        <w:rPr>
          <w:rFonts w:hint="eastAsia"/>
        </w:rPr>
        <w:t>号法</w:t>
      </w:r>
      <w:r>
        <w:rPr>
          <w:rFonts w:hint="eastAsia"/>
        </w:rPr>
        <w:t>)</w:t>
      </w:r>
      <w:r>
        <w:rPr>
          <w:rFonts w:hint="eastAsia"/>
        </w:rPr>
        <w:t>第六部分第</w:t>
      </w:r>
      <w:r>
        <w:rPr>
          <w:rFonts w:hint="eastAsia"/>
        </w:rPr>
        <w:t>296</w:t>
      </w:r>
      <w:r>
        <w:rPr>
          <w:rFonts w:hint="eastAsia"/>
        </w:rPr>
        <w:t>条规定，对于煽动不道德、放荡和卖淫者，处以</w:t>
      </w:r>
      <w:r>
        <w:rPr>
          <w:rFonts w:hint="eastAsia"/>
        </w:rPr>
        <w:t>1</w:t>
      </w:r>
      <w:r>
        <w:rPr>
          <w:rFonts w:hint="eastAsia"/>
        </w:rPr>
        <w:t>至</w:t>
      </w:r>
      <w:r>
        <w:rPr>
          <w:rFonts w:hint="eastAsia"/>
        </w:rPr>
        <w:t>5</w:t>
      </w:r>
      <w:r>
        <w:rPr>
          <w:rFonts w:hint="eastAsia"/>
        </w:rPr>
        <w:t>年监禁。这种处罚适用于指引、唆使、引诱、哄骗或诱骗女性从事卖淫或在卡塔尔国内外经营或经常光顾妓院的任何人。</w:t>
      </w:r>
    </w:p>
    <w:p w:rsidR="007234DD" w:rsidRDefault="007234DD">
      <w:pPr>
        <w:pStyle w:val="SingleTxtGC"/>
      </w:pPr>
      <w:r>
        <w:t xml:space="preserve">165.  </w:t>
      </w:r>
      <w:r>
        <w:rPr>
          <w:rFonts w:hint="eastAsia"/>
        </w:rPr>
        <w:t>卡塔尔很少发生买卖儿童罪行，虽然法律并没有作出处罚规定，以防止其出现和在出现时严惩罪犯。经修正的《刑法》第</w:t>
      </w:r>
      <w:r>
        <w:t>321</w:t>
      </w:r>
      <w:r>
        <w:rPr>
          <w:rFonts w:hint="eastAsia"/>
        </w:rPr>
        <w:t>条规定：“任何人，将他人带入或带出卡塔尔以将其作为奴隶处置的，或将其作为奴隶</w:t>
      </w:r>
      <w:r>
        <w:rPr>
          <w:rFonts w:ascii="MS Mincho" w:hAnsi="MS Mincho" w:cs="MS Mincho" w:hint="eastAsia"/>
        </w:rPr>
        <w:t>买卖、提供、赠予或以其他方式处置的，应处以</w:t>
      </w:r>
      <w:r>
        <w:t>7</w:t>
      </w:r>
      <w:r>
        <w:rPr>
          <w:rFonts w:hint="eastAsia"/>
        </w:rPr>
        <w:t>年以下监禁”。</w:t>
      </w:r>
    </w:p>
    <w:p w:rsidR="007234DD" w:rsidRDefault="007234DD">
      <w:pPr>
        <w:pStyle w:val="SingleTxtGC"/>
      </w:pPr>
      <w:r>
        <w:t xml:space="preserve">166.  </w:t>
      </w:r>
      <w:r>
        <w:rPr>
          <w:rFonts w:hint="eastAsia"/>
        </w:rPr>
        <w:t>关于人体器官移植的</w:t>
      </w:r>
      <w:r>
        <w:rPr>
          <w:rFonts w:hint="eastAsia"/>
        </w:rPr>
        <w:t>1997</w:t>
      </w:r>
      <w:r>
        <w:rPr>
          <w:rFonts w:hint="eastAsia"/>
        </w:rPr>
        <w:t>年第</w:t>
      </w:r>
      <w:r>
        <w:rPr>
          <w:rFonts w:hint="eastAsia"/>
        </w:rPr>
        <w:t>21</w:t>
      </w:r>
      <w:r>
        <w:rPr>
          <w:rFonts w:hint="eastAsia"/>
        </w:rPr>
        <w:t>号法禁止买卖人体器官并规定了对该罪行的处罚办法。第</w:t>
      </w:r>
      <w:r>
        <w:rPr>
          <w:rFonts w:hint="eastAsia"/>
        </w:rPr>
        <w:t>9</w:t>
      </w:r>
      <w:r>
        <w:rPr>
          <w:rFonts w:hint="eastAsia"/>
        </w:rPr>
        <w:t>条规定：“禁止以任何方式买卖人体器官或接受任何形式的报酬以交换人体器官。专科医生不得在明知道用于这些目的的情况下施行摘除人体器官的外科手术”。第</w:t>
      </w:r>
      <w:r>
        <w:rPr>
          <w:rFonts w:hint="eastAsia"/>
        </w:rPr>
        <w:t>12</w:t>
      </w:r>
      <w:r>
        <w:rPr>
          <w:rFonts w:hint="eastAsia"/>
        </w:rPr>
        <w:t>条规定：“在不影响任何其他法律规定的任何更严厉处罚的前提下，对于违反本法及其实施条例的任何人，处以</w:t>
      </w:r>
      <w:r>
        <w:rPr>
          <w:rFonts w:hint="eastAsia"/>
        </w:rPr>
        <w:t>2</w:t>
      </w:r>
      <w:r>
        <w:rPr>
          <w:rFonts w:hint="eastAsia"/>
        </w:rPr>
        <w:t>至</w:t>
      </w:r>
      <w:r>
        <w:rPr>
          <w:rFonts w:hint="eastAsia"/>
        </w:rPr>
        <w:t>10</w:t>
      </w:r>
      <w:r>
        <w:rPr>
          <w:rFonts w:hint="eastAsia"/>
        </w:rPr>
        <w:t>年监禁和</w:t>
      </w:r>
      <w:r>
        <w:rPr>
          <w:rFonts w:hint="eastAsia"/>
        </w:rPr>
        <w:t>/</w:t>
      </w:r>
      <w:r>
        <w:rPr>
          <w:rFonts w:hint="eastAsia"/>
        </w:rPr>
        <w:t>或</w:t>
      </w:r>
      <w:r>
        <w:rPr>
          <w:rFonts w:hint="eastAsia"/>
        </w:rPr>
        <w:t>10000</w:t>
      </w:r>
      <w:r>
        <w:rPr>
          <w:rFonts w:hint="eastAsia"/>
        </w:rPr>
        <w:t>至</w:t>
      </w:r>
      <w:r>
        <w:rPr>
          <w:rFonts w:hint="eastAsia"/>
        </w:rPr>
        <w:t>40,000</w:t>
      </w:r>
      <w:r>
        <w:rPr>
          <w:rFonts w:hint="eastAsia"/>
        </w:rPr>
        <w:t>里亚尔的罚款。对于在他人不知情的情况下从其身上摘除活体器官的任何人，处以</w:t>
      </w:r>
      <w:r>
        <w:rPr>
          <w:rFonts w:hint="eastAsia"/>
        </w:rPr>
        <w:t>7</w:t>
      </w:r>
      <w:r>
        <w:rPr>
          <w:rFonts w:hint="eastAsia"/>
        </w:rPr>
        <w:t>至</w:t>
      </w:r>
      <w:r>
        <w:rPr>
          <w:rFonts w:hint="eastAsia"/>
        </w:rPr>
        <w:t>14</w:t>
      </w:r>
      <w:r>
        <w:rPr>
          <w:rFonts w:hint="eastAsia"/>
        </w:rPr>
        <w:t>年监禁。对于重犯者应加倍处罚。重犯是指在服完被判徒刑之日起</w:t>
      </w:r>
      <w:r>
        <w:rPr>
          <w:rFonts w:hint="eastAsia"/>
        </w:rPr>
        <w:t>3</w:t>
      </w:r>
      <w:r>
        <w:rPr>
          <w:rFonts w:hint="eastAsia"/>
        </w:rPr>
        <w:t>年内犯下类似罪行的人员。在宣布定罪时，法院可决定吊销有罪当事方的专业执照”。</w:t>
      </w:r>
    </w:p>
    <w:p w:rsidR="007234DD" w:rsidRDefault="007234DD">
      <w:pPr>
        <w:pStyle w:val="H23GC"/>
        <w:rPr>
          <w:rFonts w:hint="eastAsia"/>
        </w:rPr>
      </w:pPr>
      <w:r>
        <w:rPr>
          <w:rFonts w:hint="eastAsia"/>
        </w:rPr>
        <w:tab/>
      </w:r>
      <w:r>
        <w:rPr>
          <w:rFonts w:hint="eastAsia"/>
        </w:rPr>
        <w:tab/>
      </w:r>
      <w:r>
        <w:rPr>
          <w:rFonts w:hint="eastAsia"/>
        </w:rPr>
        <w:t>现状和未来的挑战及展望</w:t>
      </w:r>
    </w:p>
    <w:p w:rsidR="007234DD" w:rsidRDefault="007234DD">
      <w:pPr>
        <w:pStyle w:val="SingleTxtGC"/>
      </w:pPr>
      <w:r>
        <w:t xml:space="preserve">167.  </w:t>
      </w:r>
      <w:r>
        <w:rPr>
          <w:rFonts w:hint="eastAsia"/>
        </w:rPr>
        <w:t>卡塔尔于</w:t>
      </w:r>
      <w:r>
        <w:rPr>
          <w:rFonts w:hint="eastAsia"/>
        </w:rPr>
        <w:t>2003</w:t>
      </w:r>
      <w:r>
        <w:rPr>
          <w:rFonts w:hint="eastAsia"/>
        </w:rPr>
        <w:t>年通过了打击人口贩运的国家战略。该战略引来了许多举措。特别是，</w:t>
      </w:r>
      <w:r>
        <w:rPr>
          <w:rFonts w:hint="eastAsia"/>
        </w:rPr>
        <w:t>2003</w:t>
      </w:r>
      <w:r>
        <w:rPr>
          <w:rFonts w:hint="eastAsia"/>
        </w:rPr>
        <w:t>年</w:t>
      </w:r>
      <w:r>
        <w:rPr>
          <w:rFonts w:hint="eastAsia"/>
        </w:rPr>
        <w:t>4</w:t>
      </w:r>
      <w:r>
        <w:rPr>
          <w:rFonts w:hint="eastAsia"/>
        </w:rPr>
        <w:t>月根据大臣会议的一项决定建立了卡塔尔庇护所，以为人口贩运受害者提供符合国际和当地标准的保护和援助。提供的服务包括：</w:t>
      </w:r>
    </w:p>
    <w:p w:rsidR="007234DD" w:rsidRDefault="007234DD">
      <w:pPr>
        <w:pStyle w:val="Bullet1GC"/>
      </w:pPr>
      <w:r>
        <w:rPr>
          <w:rFonts w:hint="eastAsia"/>
        </w:rPr>
        <w:t>为受害者提供住所和法律咨询</w:t>
      </w:r>
    </w:p>
    <w:p w:rsidR="007234DD" w:rsidRDefault="007234DD">
      <w:pPr>
        <w:pStyle w:val="Bullet1GC"/>
      </w:pPr>
      <w:r>
        <w:rPr>
          <w:rFonts w:hint="eastAsia"/>
        </w:rPr>
        <w:t>为女受害者提供律师服务</w:t>
      </w:r>
    </w:p>
    <w:p w:rsidR="007234DD" w:rsidRDefault="007234DD">
      <w:pPr>
        <w:pStyle w:val="Bullet1GC"/>
      </w:pPr>
      <w:r>
        <w:rPr>
          <w:rFonts w:hint="eastAsia"/>
        </w:rPr>
        <w:t>卫生、心理和社会服务</w:t>
      </w:r>
    </w:p>
    <w:p w:rsidR="007234DD" w:rsidRDefault="007234DD">
      <w:pPr>
        <w:pStyle w:val="Bullet1GC"/>
      </w:pPr>
      <w:r>
        <w:rPr>
          <w:rFonts w:hint="eastAsia"/>
        </w:rPr>
        <w:t>协助获得新的就业机会</w:t>
      </w:r>
    </w:p>
    <w:p w:rsidR="007234DD" w:rsidRDefault="007234DD">
      <w:pPr>
        <w:pStyle w:val="Bullet1GC"/>
      </w:pPr>
      <w:r>
        <w:rPr>
          <w:rFonts w:hint="eastAsia"/>
        </w:rPr>
        <w:t>为已恢复或已接受康复援助的受害者提供自愿遣返服务</w:t>
      </w:r>
    </w:p>
    <w:p w:rsidR="007234DD" w:rsidRDefault="007234DD">
      <w:pPr>
        <w:pStyle w:val="Bullet1GC"/>
      </w:pPr>
      <w:r>
        <w:rPr>
          <w:rFonts w:hint="eastAsia"/>
        </w:rPr>
        <w:t>与当局一起协助解决受害者的事务以及协助寻找新的资助人</w:t>
      </w:r>
    </w:p>
    <w:p w:rsidR="007234DD" w:rsidRDefault="007234DD">
      <w:pPr>
        <w:pStyle w:val="SingleTxtGC"/>
      </w:pPr>
      <w:r>
        <w:t xml:space="preserve">168.  </w:t>
      </w:r>
      <w:r>
        <w:rPr>
          <w:rFonts w:hint="eastAsia"/>
        </w:rPr>
        <w:t>根据</w:t>
      </w:r>
      <w:r>
        <w:rPr>
          <w:rFonts w:hint="eastAsia"/>
        </w:rPr>
        <w:t>2008</w:t>
      </w:r>
      <w:r>
        <w:rPr>
          <w:rFonts w:hint="eastAsia"/>
        </w:rPr>
        <w:t>年第</w:t>
      </w:r>
      <w:r>
        <w:rPr>
          <w:rFonts w:hint="eastAsia"/>
        </w:rPr>
        <w:t>1</w:t>
      </w:r>
      <w:r>
        <w:rPr>
          <w:rFonts w:hint="eastAsia"/>
        </w:rPr>
        <w:t>号最高家庭事务委员会决定，成立了卡塔尔打击人口贩运基金会，以促使社会注意一切形式贩运人口活动的危险并能够解决这种现象，从而创造一个无贩运人口活动的社会。该基金会的任务是防范贩运人口行为和向受害者提供保护、照顾和康复援助。其主要目标是打击一切形式的贩运人口行为，以消除这种行为。</w:t>
      </w:r>
    </w:p>
    <w:p w:rsidR="007234DD" w:rsidRDefault="007234DD">
      <w:pPr>
        <w:pStyle w:val="SingleTxtGC"/>
      </w:pPr>
      <w:r>
        <w:t xml:space="preserve">169.  </w:t>
      </w:r>
      <w:r>
        <w:rPr>
          <w:rFonts w:hint="eastAsia"/>
        </w:rPr>
        <w:t>卡塔尔依照关于贩运人口问题的国际文书，特别是敦促所有缔约国在其法律允许的范围内向人口贩运受害者或容易遭到贩运者提供医疗、心理和物质援助的《关于防止、禁止和惩治贩运人口特别是妇女和儿童行为的议定书》，向容易遭到贩运的女性提供心理康复和医疗服务。</w:t>
      </w:r>
    </w:p>
    <w:p w:rsidR="007234DD" w:rsidRDefault="007234DD">
      <w:pPr>
        <w:pStyle w:val="SingleTxtGC"/>
      </w:pPr>
      <w:r>
        <w:t xml:space="preserve">170.  </w:t>
      </w:r>
      <w:r>
        <w:rPr>
          <w:rFonts w:hint="eastAsia"/>
        </w:rPr>
        <w:t>卡塔尔打击人口贩运基金会在跟进贩运人口案件时，与执法机构</w:t>
      </w:r>
      <w:r>
        <w:rPr>
          <w:rFonts w:hint="eastAsia"/>
        </w:rPr>
        <w:t>(</w:t>
      </w:r>
      <w:r>
        <w:rPr>
          <w:rFonts w:hint="eastAsia"/>
        </w:rPr>
        <w:t>内政部各部门、检察署和最高司法委员会</w:t>
      </w:r>
      <w:r>
        <w:rPr>
          <w:rFonts w:hint="eastAsia"/>
        </w:rPr>
        <w:t>)</w:t>
      </w:r>
      <w:r>
        <w:rPr>
          <w:rFonts w:hint="eastAsia"/>
        </w:rPr>
        <w:t>保持联络。它每年还收集关于案件数量和类型、罪犯、受害者和他们的年龄的数据。卡塔尔每年都会开发关于人口贩运的数据库，其中列有该基金会的定期报告。</w:t>
      </w:r>
    </w:p>
    <w:p w:rsidR="007234DD" w:rsidRDefault="007234DD">
      <w:pPr>
        <w:pStyle w:val="SingleTxtGC"/>
      </w:pPr>
      <w:r>
        <w:t xml:space="preserve">171.  </w:t>
      </w:r>
      <w:r>
        <w:rPr>
          <w:rFonts w:hint="eastAsia"/>
        </w:rPr>
        <w:t>卡塔尔打击人口贩运基金会举办了一期关于打击人口贩运的社会、法律和安全问题的培训讲习班。参加这次活动的有来自护照、移民和国籍事务处的警官、边防人员以及国际合作司、人权司和公共安全司各科室的人员。其目的是让参加者了解人口贩运带来什么后果、谁是受害者、如何确定和帮助他们以及如何避免把他们当作罪犯对待。此外，还讨论了妇女和儿童的特殊需求。该基金会与其他组织联合举办了一些活动。下面列出其中一些主要活动。</w:t>
      </w:r>
      <w:r>
        <w:t xml:space="preserve"> </w:t>
      </w:r>
    </w:p>
    <w:p w:rsidR="007234DD" w:rsidRDefault="007234DD">
      <w:pPr>
        <w:pStyle w:val="Bullet1GC"/>
      </w:pPr>
      <w:r>
        <w:rPr>
          <w:rFonts w:hint="eastAsia"/>
        </w:rPr>
        <w:t>出版了一本多语种手册</w:t>
      </w:r>
      <w:r>
        <w:rPr>
          <w:rFonts w:hint="eastAsia"/>
        </w:rPr>
        <w:t>(</w:t>
      </w:r>
      <w:r>
        <w:rPr>
          <w:rFonts w:hint="eastAsia"/>
        </w:rPr>
        <w:t>《移徙工人指南》</w:t>
      </w:r>
      <w:r>
        <w:rPr>
          <w:rFonts w:hint="eastAsia"/>
        </w:rPr>
        <w:t>)</w:t>
      </w:r>
      <w:r>
        <w:rPr>
          <w:rFonts w:hint="eastAsia"/>
        </w:rPr>
        <w:t>，以向移徙工人提供被定义为贩运人口罪的侵犯行为以及可用来给该基金会打电话的热线</w:t>
      </w:r>
    </w:p>
    <w:p w:rsidR="007234DD" w:rsidRDefault="007234DD">
      <w:pPr>
        <w:pStyle w:val="Bullet1GC"/>
      </w:pPr>
      <w:r>
        <w:rPr>
          <w:rFonts w:hint="eastAsia"/>
        </w:rPr>
        <w:t>在一些中学</w:t>
      </w:r>
      <w:r>
        <w:rPr>
          <w:rFonts w:hint="eastAsia"/>
        </w:rPr>
        <w:t>(</w:t>
      </w:r>
      <w:r>
        <w:rPr>
          <w:rFonts w:hint="eastAsia"/>
        </w:rPr>
        <w:t>面向男生和女生</w:t>
      </w:r>
      <w:r>
        <w:rPr>
          <w:rFonts w:hint="eastAsia"/>
        </w:rPr>
        <w:t>)</w:t>
      </w:r>
      <w:r>
        <w:rPr>
          <w:rFonts w:hint="eastAsia"/>
        </w:rPr>
        <w:t>发表关于打击人口贩运和保护受害者的演讲</w:t>
      </w:r>
    </w:p>
    <w:p w:rsidR="007234DD" w:rsidRDefault="007234DD">
      <w:pPr>
        <w:pStyle w:val="Bullet1GC"/>
      </w:pPr>
      <w:r>
        <w:rPr>
          <w:rFonts w:hint="eastAsia"/>
        </w:rPr>
        <w:t>在卡塔尔教育城各大学和卡塔尔大学发表演讲，提醒学生注意贩运人口行为及其影响，请他们关注该基金会提供的服务</w:t>
      </w:r>
    </w:p>
    <w:p w:rsidR="007234DD" w:rsidRDefault="007234DD">
      <w:pPr>
        <w:pStyle w:val="Bullet1GC"/>
      </w:pPr>
      <w:r>
        <w:rPr>
          <w:rFonts w:hint="eastAsia"/>
        </w:rPr>
        <w:t>组织了题为“贩运人口：理论与实践”的第一次贩运人口问题学术会议，</w:t>
      </w:r>
    </w:p>
    <w:p w:rsidR="007234DD" w:rsidRDefault="007234DD">
      <w:pPr>
        <w:pStyle w:val="Bullet1GC"/>
      </w:pPr>
      <w:r>
        <w:rPr>
          <w:rFonts w:hint="eastAsia"/>
        </w:rPr>
        <w:t>组织了一次题为“贩运人口：二十世纪的奴隶制”的研讨会</w:t>
      </w:r>
    </w:p>
    <w:p w:rsidR="007234DD" w:rsidRDefault="007234DD">
      <w:pPr>
        <w:pStyle w:val="Bullet1GC"/>
      </w:pPr>
      <w:r>
        <w:rPr>
          <w:rFonts w:hint="eastAsia"/>
        </w:rPr>
        <w:t>于</w:t>
      </w:r>
      <w:r>
        <w:rPr>
          <w:rFonts w:hint="eastAsia"/>
        </w:rPr>
        <w:t>2010</w:t>
      </w:r>
      <w:r>
        <w:rPr>
          <w:rFonts w:hint="eastAsia"/>
        </w:rPr>
        <w:t>年</w:t>
      </w:r>
      <w:r>
        <w:rPr>
          <w:rFonts w:hint="eastAsia"/>
        </w:rPr>
        <w:t>3</w:t>
      </w:r>
      <w:r>
        <w:rPr>
          <w:rFonts w:hint="eastAsia"/>
        </w:rPr>
        <w:t>月组织了多哈基金会论坛，此次论坛在</w:t>
      </w:r>
      <w:r>
        <w:t>谢哈</w:t>
      </w:r>
      <w:r>
        <w:rPr>
          <w:rFonts w:hint="eastAsia"/>
        </w:rPr>
        <w:t>·</w:t>
      </w:r>
      <w:r>
        <w:t>穆扎</w:t>
      </w:r>
      <w:r>
        <w:rPr>
          <w:rFonts w:hint="eastAsia"/>
        </w:rPr>
        <w:t>·</w:t>
      </w:r>
      <w:r>
        <w:t>宾特</w:t>
      </w:r>
      <w:r>
        <w:rPr>
          <w:rFonts w:hint="eastAsia"/>
        </w:rPr>
        <w:t>·</w:t>
      </w:r>
      <w:r>
        <w:t>纳赛尔</w:t>
      </w:r>
      <w:r>
        <w:rPr>
          <w:rFonts w:hint="eastAsia"/>
        </w:rPr>
        <w:t>·</w:t>
      </w:r>
      <w:r>
        <w:t>阿勒米斯纳德</w:t>
      </w:r>
      <w:r>
        <w:rPr>
          <w:rFonts w:hint="eastAsia"/>
        </w:rPr>
        <w:t>殿下的主持下举行，讨论关于建设打击人口贩运的国家能力问题的阿拉伯倡议的声明</w:t>
      </w:r>
    </w:p>
    <w:p w:rsidR="007234DD" w:rsidRDefault="007234DD">
      <w:pPr>
        <w:pStyle w:val="SingleTxtGC"/>
      </w:pPr>
      <w:r>
        <w:t xml:space="preserve">172.  </w:t>
      </w:r>
      <w:r>
        <w:rPr>
          <w:rFonts w:hint="eastAsia"/>
        </w:rPr>
        <w:t>该论坛强调了确保贩运受害者的姓名不被透露给新闻界或公众、保护调查和审判程序的机密性以及建立有效程序保护这类案件中的证人的重要性。与会者呼吁制定有关法律，免除因为被贩运而犯下参与性交易、无证工作和非法居留于卡塔尔等罪行的受害者的刑事责任。他们呼吁各国加紧采取措施，使其法律符合禁止贩运人口的国际条约，呼吁尚未制定打击贩运人口的法律的阿拉伯国家制定这种法律。</w:t>
      </w:r>
    </w:p>
    <w:p w:rsidR="007234DD" w:rsidRDefault="007234DD">
      <w:pPr>
        <w:pStyle w:val="SingleTxtGC"/>
      </w:pPr>
      <w:r>
        <w:t xml:space="preserve">173.  </w:t>
      </w:r>
      <w:r>
        <w:rPr>
          <w:rFonts w:hint="eastAsia"/>
        </w:rPr>
        <w:t>卡塔尔尽一切努力消除一切形式的贩运人口行为，特别是受害者往往是妇女的那些形式。有关机构采取行动解决该问题，而解决它的法律已经到位。打击人口贩运的国家战略导致于</w:t>
      </w:r>
      <w:r>
        <w:rPr>
          <w:rFonts w:hint="eastAsia"/>
        </w:rPr>
        <w:t>2003</w:t>
      </w:r>
      <w:r>
        <w:rPr>
          <w:rFonts w:hint="eastAsia"/>
        </w:rPr>
        <w:t>年建立了一处庇护所，为人口贩运受害者特别是国内的工人提供全方位的康复服务。自该国家战略通过以来，已经收留了多达</w:t>
      </w:r>
      <w:r>
        <w:rPr>
          <w:rFonts w:hint="eastAsia"/>
        </w:rPr>
        <w:t>86</w:t>
      </w:r>
      <w:r>
        <w:rPr>
          <w:rFonts w:hint="eastAsia"/>
        </w:rPr>
        <w:t>名妇女</w:t>
      </w:r>
      <w:r>
        <w:rPr>
          <w:rFonts w:hint="eastAsia"/>
        </w:rPr>
        <w:t>(2006</w:t>
      </w:r>
      <w:r>
        <w:rPr>
          <w:rFonts w:hint="eastAsia"/>
        </w:rPr>
        <w:t>年至</w:t>
      </w:r>
      <w:r>
        <w:rPr>
          <w:rFonts w:hint="eastAsia"/>
        </w:rPr>
        <w:t>2009</w:t>
      </w:r>
      <w:r>
        <w:rPr>
          <w:rFonts w:hint="eastAsia"/>
        </w:rPr>
        <w:t>年期间</w:t>
      </w:r>
      <w:r>
        <w:rPr>
          <w:rFonts w:hint="eastAsia"/>
        </w:rPr>
        <w:t>)</w:t>
      </w:r>
      <w:r>
        <w:rPr>
          <w:rFonts w:hint="eastAsia"/>
        </w:rPr>
        <w:t>。所提供的服务大多包括心理康复和医疗援助</w:t>
      </w:r>
      <w:r>
        <w:rPr>
          <w:rFonts w:hint="eastAsia"/>
        </w:rPr>
        <w:t>(36%)</w:t>
      </w:r>
      <w:r>
        <w:rPr>
          <w:rFonts w:hint="eastAsia"/>
        </w:rPr>
        <w:t>，其次是重返社会援助</w:t>
      </w:r>
      <w:r>
        <w:rPr>
          <w:rFonts w:hint="eastAsia"/>
        </w:rPr>
        <w:t>(30.2%)</w:t>
      </w:r>
      <w:r>
        <w:rPr>
          <w:rFonts w:hint="eastAsia"/>
        </w:rPr>
        <w:t>和协助寻找其他工作</w:t>
      </w:r>
      <w:r>
        <w:rPr>
          <w:rFonts w:hint="eastAsia"/>
        </w:rPr>
        <w:t>(11.6%)</w:t>
      </w:r>
      <w:r>
        <w:rPr>
          <w:rFonts w:hint="eastAsia"/>
        </w:rPr>
        <w:t>。</w:t>
      </w:r>
    </w:p>
    <w:p w:rsidR="007234DD" w:rsidRDefault="007234DD">
      <w:pPr>
        <w:pStyle w:val="SingleTxtGC"/>
      </w:pPr>
      <w:r>
        <w:rPr>
          <w:rFonts w:hint="eastAsia"/>
        </w:rPr>
        <w:t>表</w:t>
      </w:r>
      <w:r>
        <w:t>6</w:t>
      </w:r>
      <w:r>
        <w:rPr>
          <w:rFonts w:hint="eastAsia"/>
        </w:rPr>
        <w:br/>
      </w:r>
      <w:r>
        <w:rPr>
          <w:rFonts w:eastAsia="SimHei"/>
        </w:rPr>
        <w:t>2006</w:t>
      </w:r>
      <w:r>
        <w:rPr>
          <w:rFonts w:eastAsia="SimHei" w:hint="eastAsia"/>
        </w:rPr>
        <w:t>-</w:t>
      </w:r>
      <w:r>
        <w:rPr>
          <w:rFonts w:eastAsia="SimHei"/>
        </w:rPr>
        <w:t>2009</w:t>
      </w:r>
      <w:r>
        <w:rPr>
          <w:rFonts w:eastAsia="SimHei"/>
        </w:rPr>
        <w:t>年按所提供服务分列的获得庇护的妇女人数</w:t>
      </w:r>
    </w:p>
    <w:tbl>
      <w:tblPr>
        <w:tblW w:w="7370" w:type="dxa"/>
        <w:tblInd w:w="1134" w:type="dxa"/>
        <w:tblLayout w:type="fixed"/>
        <w:tblCellMar>
          <w:left w:w="0" w:type="dxa"/>
          <w:right w:w="0" w:type="dxa"/>
        </w:tblCellMar>
        <w:tblLook w:val="01E0" w:firstRow="1" w:lastRow="1" w:firstColumn="1" w:lastColumn="1" w:noHBand="0" w:noVBand="0"/>
      </w:tblPr>
      <w:tblGrid>
        <w:gridCol w:w="5166"/>
        <w:gridCol w:w="2204"/>
      </w:tblGrid>
      <w:tr w:rsidR="007234DD">
        <w:trPr>
          <w:cantSplit/>
          <w:tblHeader/>
        </w:trPr>
        <w:tc>
          <w:tcPr>
            <w:tcW w:w="5166" w:type="dxa"/>
            <w:tcBorders>
              <w:top w:val="single" w:sz="4" w:space="0" w:color="auto"/>
              <w:bottom w:val="single" w:sz="12" w:space="0" w:color="auto"/>
            </w:tcBorders>
            <w:shd w:val="clear" w:color="auto" w:fill="auto"/>
            <w:vAlign w:val="bottom"/>
          </w:tcPr>
          <w:p w:rsidR="007234DD" w:rsidRDefault="007234DD">
            <w:pPr>
              <w:pStyle w:val="a0"/>
              <w:ind w:right="0"/>
            </w:pPr>
            <w:r>
              <w:rPr>
                <w:rFonts w:hint="eastAsia"/>
              </w:rPr>
              <w:t>提供的服务</w:t>
            </w:r>
          </w:p>
        </w:tc>
        <w:tc>
          <w:tcPr>
            <w:tcW w:w="2204"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案件数量</w:t>
            </w:r>
          </w:p>
        </w:tc>
      </w:tr>
      <w:tr w:rsidR="007234DD">
        <w:trPr>
          <w:cantSplit/>
        </w:trPr>
        <w:tc>
          <w:tcPr>
            <w:tcW w:w="5166" w:type="dxa"/>
            <w:tcBorders>
              <w:top w:val="single" w:sz="12" w:space="0" w:color="auto"/>
            </w:tcBorders>
            <w:shd w:val="clear" w:color="auto" w:fill="auto"/>
          </w:tcPr>
          <w:p w:rsidR="007234DD" w:rsidRDefault="007234DD">
            <w:pPr>
              <w:pStyle w:val="a5"/>
              <w:rPr>
                <w:rFonts w:hint="eastAsia"/>
              </w:rPr>
            </w:pPr>
            <w:r>
              <w:rPr>
                <w:rFonts w:hint="eastAsia"/>
              </w:rPr>
              <w:t>心理康复和医疗服务</w:t>
            </w:r>
          </w:p>
        </w:tc>
        <w:tc>
          <w:tcPr>
            <w:tcW w:w="2204" w:type="dxa"/>
            <w:tcBorders>
              <w:top w:val="single" w:sz="12" w:space="0" w:color="auto"/>
            </w:tcBorders>
            <w:shd w:val="clear" w:color="auto" w:fill="auto"/>
          </w:tcPr>
          <w:p w:rsidR="007234DD" w:rsidRDefault="007234DD">
            <w:pPr>
              <w:pStyle w:val="a5"/>
              <w:ind w:right="0"/>
              <w:jc w:val="right"/>
            </w:pPr>
            <w:r>
              <w:t>31</w:t>
            </w:r>
          </w:p>
        </w:tc>
      </w:tr>
      <w:tr w:rsidR="007234DD">
        <w:trPr>
          <w:cantSplit/>
        </w:trPr>
        <w:tc>
          <w:tcPr>
            <w:tcW w:w="5166" w:type="dxa"/>
            <w:shd w:val="clear" w:color="auto" w:fill="auto"/>
          </w:tcPr>
          <w:p w:rsidR="007234DD" w:rsidRDefault="007234DD">
            <w:pPr>
              <w:pStyle w:val="a5"/>
            </w:pPr>
            <w:r>
              <w:rPr>
                <w:rFonts w:hint="eastAsia"/>
              </w:rPr>
              <w:t>协助寻找其他工作</w:t>
            </w:r>
          </w:p>
        </w:tc>
        <w:tc>
          <w:tcPr>
            <w:tcW w:w="2204" w:type="dxa"/>
            <w:shd w:val="clear" w:color="auto" w:fill="auto"/>
          </w:tcPr>
          <w:p w:rsidR="007234DD" w:rsidRDefault="007234DD">
            <w:pPr>
              <w:pStyle w:val="a5"/>
              <w:ind w:right="0"/>
              <w:jc w:val="right"/>
            </w:pPr>
            <w:r>
              <w:t>10</w:t>
            </w:r>
          </w:p>
        </w:tc>
      </w:tr>
      <w:tr w:rsidR="007234DD">
        <w:trPr>
          <w:cantSplit/>
        </w:trPr>
        <w:tc>
          <w:tcPr>
            <w:tcW w:w="5166" w:type="dxa"/>
            <w:shd w:val="clear" w:color="auto" w:fill="auto"/>
          </w:tcPr>
          <w:p w:rsidR="007234DD" w:rsidRDefault="007234DD">
            <w:pPr>
              <w:pStyle w:val="a5"/>
              <w:rPr>
                <w:rFonts w:hint="eastAsia"/>
              </w:rPr>
            </w:pPr>
            <w:r>
              <w:rPr>
                <w:rFonts w:hint="eastAsia"/>
              </w:rPr>
              <w:t>重返社会</w:t>
            </w:r>
          </w:p>
        </w:tc>
        <w:tc>
          <w:tcPr>
            <w:tcW w:w="2204" w:type="dxa"/>
            <w:shd w:val="clear" w:color="auto" w:fill="auto"/>
          </w:tcPr>
          <w:p w:rsidR="007234DD" w:rsidRDefault="007234DD">
            <w:pPr>
              <w:pStyle w:val="a5"/>
              <w:ind w:right="0"/>
              <w:jc w:val="right"/>
            </w:pPr>
            <w:r>
              <w:t>26</w:t>
            </w:r>
          </w:p>
        </w:tc>
      </w:tr>
      <w:tr w:rsidR="007234DD">
        <w:trPr>
          <w:cantSplit/>
        </w:trPr>
        <w:tc>
          <w:tcPr>
            <w:tcW w:w="5166" w:type="dxa"/>
            <w:shd w:val="clear" w:color="auto" w:fill="auto"/>
          </w:tcPr>
          <w:p w:rsidR="007234DD" w:rsidRDefault="007234DD">
            <w:pPr>
              <w:pStyle w:val="a5"/>
              <w:rPr>
                <w:rFonts w:hint="eastAsia"/>
              </w:rPr>
            </w:pPr>
            <w:r>
              <w:rPr>
                <w:rFonts w:hint="eastAsia"/>
              </w:rPr>
              <w:t>金钱补偿</w:t>
            </w:r>
          </w:p>
        </w:tc>
        <w:tc>
          <w:tcPr>
            <w:tcW w:w="2204" w:type="dxa"/>
            <w:shd w:val="clear" w:color="auto" w:fill="auto"/>
          </w:tcPr>
          <w:p w:rsidR="007234DD" w:rsidRDefault="007234DD">
            <w:pPr>
              <w:pStyle w:val="a5"/>
              <w:ind w:right="0"/>
              <w:jc w:val="right"/>
            </w:pPr>
            <w:r>
              <w:t>7</w:t>
            </w:r>
          </w:p>
        </w:tc>
      </w:tr>
      <w:tr w:rsidR="007234DD">
        <w:trPr>
          <w:cantSplit/>
        </w:trPr>
        <w:tc>
          <w:tcPr>
            <w:tcW w:w="5166" w:type="dxa"/>
            <w:shd w:val="clear" w:color="auto" w:fill="auto"/>
          </w:tcPr>
          <w:p w:rsidR="007234DD" w:rsidRDefault="007234DD">
            <w:pPr>
              <w:pStyle w:val="a5"/>
            </w:pPr>
            <w:r>
              <w:rPr>
                <w:rFonts w:hint="eastAsia"/>
              </w:rPr>
              <w:t>支付应享福利和帮助离开卡塔尔</w:t>
            </w:r>
          </w:p>
        </w:tc>
        <w:tc>
          <w:tcPr>
            <w:tcW w:w="2204" w:type="dxa"/>
            <w:shd w:val="clear" w:color="auto" w:fill="auto"/>
          </w:tcPr>
          <w:p w:rsidR="007234DD" w:rsidRDefault="007234DD">
            <w:pPr>
              <w:pStyle w:val="a5"/>
              <w:ind w:right="0"/>
              <w:jc w:val="right"/>
            </w:pPr>
            <w:r>
              <w:t>7</w:t>
            </w:r>
          </w:p>
        </w:tc>
      </w:tr>
      <w:tr w:rsidR="007234DD">
        <w:trPr>
          <w:cantSplit/>
        </w:trPr>
        <w:tc>
          <w:tcPr>
            <w:tcW w:w="5166" w:type="dxa"/>
            <w:tcBorders>
              <w:bottom w:val="single" w:sz="4" w:space="0" w:color="auto"/>
            </w:tcBorders>
            <w:shd w:val="clear" w:color="auto" w:fill="auto"/>
          </w:tcPr>
          <w:p w:rsidR="007234DD" w:rsidRDefault="007234DD">
            <w:pPr>
              <w:pStyle w:val="a5"/>
            </w:pPr>
            <w:r>
              <w:rPr>
                <w:rFonts w:hint="eastAsia"/>
              </w:rPr>
              <w:t>委任律师代表她们处理索赔案件</w:t>
            </w:r>
          </w:p>
        </w:tc>
        <w:tc>
          <w:tcPr>
            <w:tcW w:w="2204" w:type="dxa"/>
            <w:tcBorders>
              <w:bottom w:val="single" w:sz="4" w:space="0" w:color="auto"/>
            </w:tcBorders>
            <w:shd w:val="clear" w:color="auto" w:fill="auto"/>
          </w:tcPr>
          <w:p w:rsidR="007234DD" w:rsidRDefault="007234DD">
            <w:pPr>
              <w:pStyle w:val="a5"/>
              <w:ind w:right="0"/>
              <w:jc w:val="right"/>
            </w:pPr>
            <w:r>
              <w:t>3</w:t>
            </w:r>
          </w:p>
        </w:tc>
      </w:tr>
      <w:tr w:rsidR="007234DD">
        <w:trPr>
          <w:cantSplit/>
        </w:trPr>
        <w:tc>
          <w:tcPr>
            <w:tcW w:w="5166"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rPr>
            </w:pPr>
            <w:r>
              <w:rPr>
                <w:rFonts w:eastAsia="SimHei" w:hint="eastAsia"/>
              </w:rPr>
              <w:t>合计</w:t>
            </w:r>
          </w:p>
        </w:tc>
        <w:tc>
          <w:tcPr>
            <w:tcW w:w="220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86</w:t>
            </w:r>
          </w:p>
        </w:tc>
      </w:tr>
    </w:tbl>
    <w:p w:rsidR="007234DD" w:rsidRDefault="00247695" w:rsidP="00247695">
      <w:pPr>
        <w:pStyle w:val="SingleTxtGC"/>
        <w:tabs>
          <w:tab w:val="clear" w:pos="431"/>
          <w:tab w:val="clear" w:pos="1565"/>
          <w:tab w:val="left" w:pos="170"/>
          <w:tab w:val="left" w:pos="1300"/>
        </w:tabs>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卡塔尔国，卡塔尔打击人口贩运基金会，</w:t>
      </w:r>
      <w:r w:rsidR="007234DD">
        <w:rPr>
          <w:rFonts w:hint="eastAsia"/>
          <w:sz w:val="19"/>
          <w:szCs w:val="19"/>
        </w:rPr>
        <w:t>2010</w:t>
      </w:r>
      <w:r w:rsidR="007234DD">
        <w:rPr>
          <w:rFonts w:hint="eastAsia"/>
          <w:sz w:val="19"/>
          <w:szCs w:val="19"/>
        </w:rPr>
        <w:t>年。</w:t>
      </w:r>
    </w:p>
    <w:p w:rsidR="007234DD" w:rsidRDefault="007234DD">
      <w:pPr>
        <w:pStyle w:val="SingleTxtGC"/>
      </w:pPr>
      <w:r>
        <w:t xml:space="preserve">174.  </w:t>
      </w:r>
      <w:r>
        <w:rPr>
          <w:rFonts w:hint="eastAsia"/>
        </w:rPr>
        <w:t>参与打击人口贩运的这些机构考虑如何解决该问题的根源以及如何对付并消除该问题。</w:t>
      </w:r>
      <w:r>
        <w:rPr>
          <w:rFonts w:hint="eastAsia"/>
        </w:rPr>
        <w:t>2006</w:t>
      </w:r>
      <w:r>
        <w:rPr>
          <w:rFonts w:hint="eastAsia"/>
        </w:rPr>
        <w:t>年至</w:t>
      </w:r>
      <w:r>
        <w:rPr>
          <w:rFonts w:hint="eastAsia"/>
        </w:rPr>
        <w:t>2009</w:t>
      </w:r>
      <w:r>
        <w:rPr>
          <w:rFonts w:hint="eastAsia"/>
        </w:rPr>
        <w:t>年期间，总共为</w:t>
      </w:r>
      <w:r>
        <w:rPr>
          <w:rFonts w:hint="eastAsia"/>
        </w:rPr>
        <w:t>1,555</w:t>
      </w:r>
      <w:r>
        <w:rPr>
          <w:rFonts w:hint="eastAsia"/>
        </w:rPr>
        <w:t>人举办了</w:t>
      </w:r>
      <w:r>
        <w:rPr>
          <w:rFonts w:hint="eastAsia"/>
        </w:rPr>
        <w:t>23</w:t>
      </w:r>
      <w:r>
        <w:rPr>
          <w:rFonts w:hint="eastAsia"/>
        </w:rPr>
        <w:t>期培训班，讨论各种主题，其中包括下列主题：</w:t>
      </w:r>
    </w:p>
    <w:p w:rsidR="007234DD" w:rsidRDefault="007234DD">
      <w:pPr>
        <w:pStyle w:val="Bullet1GC"/>
      </w:pPr>
      <w:r>
        <w:rPr>
          <w:rFonts w:hint="eastAsia"/>
        </w:rPr>
        <w:t>贩运人口带来什么后果以及如何处理受害者问题</w:t>
      </w:r>
    </w:p>
    <w:p w:rsidR="007234DD" w:rsidRDefault="007234DD">
      <w:pPr>
        <w:pStyle w:val="Bullet1GC"/>
      </w:pPr>
      <w:r>
        <w:rPr>
          <w:rFonts w:hint="eastAsia"/>
        </w:rPr>
        <w:t>在战争或自然灾害期间保护被贩运的儿童和妇女</w:t>
      </w:r>
    </w:p>
    <w:p w:rsidR="007234DD" w:rsidRDefault="007234DD">
      <w:pPr>
        <w:pStyle w:val="Bullet1GC"/>
      </w:pPr>
      <w:r>
        <w:rPr>
          <w:rFonts w:hint="eastAsia"/>
        </w:rPr>
        <w:t>移徙工人：赋权增能与防止被贩运</w:t>
      </w:r>
    </w:p>
    <w:p w:rsidR="007234DD" w:rsidRDefault="007234DD">
      <w:pPr>
        <w:pStyle w:val="SingleTxtGC"/>
      </w:pPr>
      <w:r>
        <w:t xml:space="preserve">175.  </w:t>
      </w:r>
      <w:r>
        <w:rPr>
          <w:rFonts w:hint="eastAsia"/>
        </w:rPr>
        <w:t>与许多国家一样，卡塔尔正面临着防范这种罪行的工作所带来的挑战：需要国际合作，以通过减少区域和国际冲突、解决紧张的源头和支持贫穷国家的经济和发展项目，消除根源。一些受害者和证人因害怕遭到报复或其家人受到伤害而不愿意与执法机构合作，这一事实使得打击人口贩运的任务变得更加复杂，使调查和起诉的进行极其困难。</w:t>
      </w:r>
    </w:p>
    <w:p w:rsidR="007234DD" w:rsidRDefault="007234DD">
      <w:pPr>
        <w:pStyle w:val="SingleTxtGC"/>
      </w:pPr>
      <w:r>
        <w:t xml:space="preserve">176.  </w:t>
      </w:r>
      <w:r>
        <w:rPr>
          <w:rFonts w:hint="eastAsia"/>
        </w:rPr>
        <w:t>卡塔尔决心进一步努力，遏制这种与卡塔尔社会格格不入的现象，将其彻底根除。它将提出关于更多法律、政策和计划的提案，以打击贩运人口活动；加强与卡塔尔国内的政府和非政府组织的技术合作与协调；扩大与国际和区域组织、研究中心的合作，利用它们在该领域的专业知识和经验；以及根据研究和调研改善针对目标群体的保护和福利服务的质量。此外，它还将继续开展媒体宣传活动，提高公众对为打击一切形式的贩运人口行为而正在采取的具有决定性的和有意义的行动的认识。</w:t>
      </w:r>
    </w:p>
    <w:p w:rsidR="007234DD" w:rsidRDefault="007234DD">
      <w:pPr>
        <w:pStyle w:val="H1GC"/>
        <w:rPr>
          <w:rFonts w:hint="eastAsia"/>
        </w:rPr>
      </w:pPr>
      <w:r>
        <w:rPr>
          <w:rFonts w:hint="eastAsia"/>
        </w:rPr>
        <w:tab/>
      </w:r>
      <w:r>
        <w:rPr>
          <w:rFonts w:hint="eastAsia"/>
        </w:rPr>
        <w:tab/>
      </w:r>
      <w:r>
        <w:rPr>
          <w:rFonts w:hint="eastAsia"/>
        </w:rPr>
        <w:t>第七条</w:t>
      </w:r>
      <w:r>
        <w:rPr>
          <w:rFonts w:hint="eastAsia"/>
        </w:rPr>
        <w:br/>
      </w:r>
      <w:r>
        <w:rPr>
          <w:rFonts w:hint="eastAsia"/>
        </w:rPr>
        <w:t>政治生活</w:t>
      </w:r>
    </w:p>
    <w:p w:rsidR="007234DD" w:rsidRDefault="007234DD">
      <w:pPr>
        <w:pStyle w:val="H23GC"/>
        <w:rPr>
          <w:rFonts w:hint="eastAsia"/>
        </w:rPr>
      </w:pPr>
      <w:r>
        <w:rPr>
          <w:rFonts w:hint="eastAsia"/>
        </w:rPr>
        <w:tab/>
      </w:r>
      <w:r>
        <w:rPr>
          <w:rFonts w:hint="eastAsia"/>
        </w:rPr>
        <w:tab/>
      </w:r>
      <w:r>
        <w:rPr>
          <w:rFonts w:hint="eastAsia"/>
        </w:rPr>
        <w:t>宪法</w:t>
      </w:r>
    </w:p>
    <w:p w:rsidR="007234DD" w:rsidRDefault="007234DD">
      <w:pPr>
        <w:pStyle w:val="SingleTxtGC"/>
      </w:pPr>
      <w:r>
        <w:t xml:space="preserve">177.  </w:t>
      </w:r>
      <w:r>
        <w:rPr>
          <w:rFonts w:hint="eastAsia"/>
        </w:rPr>
        <w:t>《宪法》承认妇女和男子享有平等参与国家的政治生活的权利。特别是，妇女有权在一切选举和全民投票中竞选并投票，参与决策，获得各级公职，以及参加致力于卡塔尔公共和政治事务的组织和协会。这些权利在《卡塔尔宪法》第</w:t>
      </w:r>
      <w:r>
        <w:rPr>
          <w:rFonts w:hint="eastAsia"/>
        </w:rPr>
        <w:t>34</w:t>
      </w:r>
      <w:r>
        <w:rPr>
          <w:rFonts w:hint="eastAsia"/>
        </w:rPr>
        <w:t>、</w:t>
      </w:r>
      <w:r>
        <w:rPr>
          <w:rFonts w:hint="eastAsia"/>
        </w:rPr>
        <w:t>35</w:t>
      </w:r>
      <w:r>
        <w:rPr>
          <w:rFonts w:hint="eastAsia"/>
        </w:rPr>
        <w:t>、</w:t>
      </w:r>
      <w:r>
        <w:rPr>
          <w:rFonts w:hint="eastAsia"/>
        </w:rPr>
        <w:t>42-46</w:t>
      </w:r>
      <w:r>
        <w:rPr>
          <w:rFonts w:hint="eastAsia"/>
        </w:rPr>
        <w:t>、</w:t>
      </w:r>
      <w:r>
        <w:rPr>
          <w:rFonts w:hint="eastAsia"/>
        </w:rPr>
        <w:t>54</w:t>
      </w:r>
      <w:r>
        <w:rPr>
          <w:rFonts w:hint="eastAsia"/>
        </w:rPr>
        <w:t>、</w:t>
      </w:r>
      <w:r>
        <w:rPr>
          <w:rFonts w:hint="eastAsia"/>
        </w:rPr>
        <w:t>77</w:t>
      </w:r>
      <w:r>
        <w:rPr>
          <w:rFonts w:hint="eastAsia"/>
        </w:rPr>
        <w:t>、</w:t>
      </w:r>
      <w:r>
        <w:rPr>
          <w:rFonts w:hint="eastAsia"/>
        </w:rPr>
        <w:t>80</w:t>
      </w:r>
      <w:r>
        <w:rPr>
          <w:rFonts w:hint="eastAsia"/>
        </w:rPr>
        <w:t>、</w:t>
      </w:r>
      <w:r>
        <w:rPr>
          <w:rFonts w:hint="eastAsia"/>
        </w:rPr>
        <w:t>83</w:t>
      </w:r>
      <w:r>
        <w:rPr>
          <w:rFonts w:hint="eastAsia"/>
        </w:rPr>
        <w:t>，</w:t>
      </w:r>
      <w:r>
        <w:rPr>
          <w:rFonts w:hint="eastAsia"/>
        </w:rPr>
        <w:t>92-95</w:t>
      </w:r>
      <w:r>
        <w:rPr>
          <w:rFonts w:hint="eastAsia"/>
        </w:rPr>
        <w:t>和</w:t>
      </w:r>
      <w:r>
        <w:rPr>
          <w:rFonts w:hint="eastAsia"/>
        </w:rPr>
        <w:t>100</w:t>
      </w:r>
      <w:r>
        <w:rPr>
          <w:rFonts w:hint="eastAsia"/>
        </w:rPr>
        <w:t>条中得到确认。</w:t>
      </w:r>
    </w:p>
    <w:p w:rsidR="007234DD" w:rsidRDefault="007234DD">
      <w:pPr>
        <w:pStyle w:val="H23GC"/>
        <w:rPr>
          <w:rFonts w:hint="eastAsia"/>
        </w:rPr>
      </w:pPr>
      <w:r>
        <w:rPr>
          <w:rFonts w:hint="eastAsia"/>
        </w:rPr>
        <w:tab/>
      </w:r>
      <w:r>
        <w:rPr>
          <w:rFonts w:hint="eastAsia"/>
        </w:rPr>
        <w:tab/>
      </w:r>
      <w:r>
        <w:rPr>
          <w:rFonts w:hint="eastAsia"/>
        </w:rPr>
        <w:t>参与全民投票</w:t>
      </w:r>
    </w:p>
    <w:p w:rsidR="007234DD" w:rsidRDefault="007234DD">
      <w:pPr>
        <w:pStyle w:val="SingleTxtGC"/>
      </w:pPr>
      <w:r>
        <w:t xml:space="preserve">178.  </w:t>
      </w:r>
      <w:r>
        <w:rPr>
          <w:rFonts w:hint="eastAsia"/>
        </w:rPr>
        <w:t>鉴于民众参与批准《卡塔尔宪法》以及卡塔尔承诺确保国家进步与发展的重要性，</w:t>
      </w:r>
      <w:r>
        <w:rPr>
          <w:rFonts w:hint="eastAsia"/>
        </w:rPr>
        <w:t>2003</w:t>
      </w:r>
      <w:r>
        <w:rPr>
          <w:rFonts w:hint="eastAsia"/>
        </w:rPr>
        <w:t>年第</w:t>
      </w:r>
      <w:r>
        <w:rPr>
          <w:rFonts w:hint="eastAsia"/>
        </w:rPr>
        <w:t>38</w:t>
      </w:r>
      <w:r>
        <w:rPr>
          <w:rFonts w:hint="eastAsia"/>
        </w:rPr>
        <w:t>号法令邀请公众参加立宪公民投票。该法令第</w:t>
      </w:r>
      <w:r>
        <w:rPr>
          <w:rFonts w:hint="eastAsia"/>
        </w:rPr>
        <w:t>1</w:t>
      </w:r>
      <w:r>
        <w:rPr>
          <w:rFonts w:hint="eastAsia"/>
        </w:rPr>
        <w:t>条规定：“根据</w:t>
      </w:r>
      <w:r>
        <w:rPr>
          <w:rFonts w:hint="eastAsia"/>
        </w:rPr>
        <w:t>1961</w:t>
      </w:r>
      <w:r>
        <w:rPr>
          <w:rFonts w:hint="eastAsia"/>
        </w:rPr>
        <w:t>年第</w:t>
      </w:r>
      <w:r>
        <w:rPr>
          <w:rFonts w:hint="eastAsia"/>
        </w:rPr>
        <w:t>2</w:t>
      </w:r>
      <w:r>
        <w:rPr>
          <w:rFonts w:hint="eastAsia"/>
        </w:rPr>
        <w:t>号法</w:t>
      </w:r>
      <w:r>
        <w:rPr>
          <w:rFonts w:hint="eastAsia"/>
        </w:rPr>
        <w:t>(</w:t>
      </w:r>
      <w:r>
        <w:rPr>
          <w:rFonts w:hint="eastAsia"/>
        </w:rPr>
        <w:t>关于卡塔尔国籍</w:t>
      </w:r>
      <w:r>
        <w:rPr>
          <w:rFonts w:hint="eastAsia"/>
        </w:rPr>
        <w:t>)</w:t>
      </w:r>
      <w:r>
        <w:rPr>
          <w:rFonts w:hint="eastAsia"/>
        </w:rPr>
        <w:t>第</w:t>
      </w:r>
      <w:r>
        <w:rPr>
          <w:rFonts w:hint="eastAsia"/>
        </w:rPr>
        <w:t>1</w:t>
      </w:r>
      <w:r>
        <w:rPr>
          <w:rFonts w:hint="eastAsia"/>
        </w:rPr>
        <w:t>和第</w:t>
      </w:r>
      <w:r>
        <w:rPr>
          <w:rFonts w:hint="eastAsia"/>
        </w:rPr>
        <w:t>7</w:t>
      </w:r>
      <w:r>
        <w:rPr>
          <w:rFonts w:hint="eastAsia"/>
        </w:rPr>
        <w:t>条，谨此邀请卡塔尔的男子和妇女通过在</w:t>
      </w:r>
      <w:r>
        <w:rPr>
          <w:rFonts w:hint="eastAsia"/>
        </w:rPr>
        <w:t>2003</w:t>
      </w:r>
      <w:r>
        <w:rPr>
          <w:rFonts w:hint="eastAsia"/>
        </w:rPr>
        <w:t>年</w:t>
      </w:r>
      <w:r>
        <w:rPr>
          <w:rFonts w:hint="eastAsia"/>
        </w:rPr>
        <w:t>5</w:t>
      </w:r>
      <w:r>
        <w:rPr>
          <w:rFonts w:hint="eastAsia"/>
        </w:rPr>
        <w:t>月</w:t>
      </w:r>
      <w:r>
        <w:rPr>
          <w:rFonts w:hint="eastAsia"/>
        </w:rPr>
        <w:t>29</w:t>
      </w:r>
      <w:r>
        <w:rPr>
          <w:rFonts w:hint="eastAsia"/>
        </w:rPr>
        <w:t>日</w:t>
      </w:r>
      <w:r>
        <w:rPr>
          <w:rFonts w:hint="eastAsia"/>
        </w:rPr>
        <w:t>(</w:t>
      </w:r>
      <w:r>
        <w:rPr>
          <w:rFonts w:hint="eastAsia"/>
        </w:rPr>
        <w:t>星期二</w:t>
      </w:r>
      <w:r>
        <w:rPr>
          <w:rFonts w:hint="eastAsia"/>
        </w:rPr>
        <w:t>)</w:t>
      </w:r>
      <w:r>
        <w:rPr>
          <w:rFonts w:hint="eastAsia"/>
        </w:rPr>
        <w:t>举行的全民投票中表达自己对宪法草案的意见，参与批准《宪法》”。如该案文所示，立法机关发出了关于参与批准《永久宪法》的邀请，邀请对象不分男女。事实上，它明确地邀请了妇女参与，没有表现出任何歧视</w:t>
      </w:r>
    </w:p>
    <w:p w:rsidR="007234DD" w:rsidRDefault="007234DD">
      <w:pPr>
        <w:pStyle w:val="H23GC"/>
        <w:rPr>
          <w:rFonts w:hint="eastAsia"/>
        </w:rPr>
      </w:pPr>
      <w:r>
        <w:rPr>
          <w:rFonts w:hint="eastAsia"/>
        </w:rPr>
        <w:tab/>
      </w:r>
      <w:r>
        <w:rPr>
          <w:rFonts w:hint="eastAsia"/>
        </w:rPr>
        <w:tab/>
      </w:r>
      <w:r>
        <w:rPr>
          <w:rFonts w:hint="eastAsia"/>
        </w:rPr>
        <w:t>参与市政选举</w:t>
      </w:r>
    </w:p>
    <w:p w:rsidR="007234DD" w:rsidRDefault="007234DD">
      <w:pPr>
        <w:pStyle w:val="SingleTxtGC"/>
      </w:pPr>
      <w:r>
        <w:t xml:space="preserve">179.  </w:t>
      </w:r>
      <w:r>
        <w:rPr>
          <w:rFonts w:hint="eastAsia"/>
        </w:rPr>
        <w:t>根据关于市政委员会的组织的</w:t>
      </w:r>
      <w:r>
        <w:rPr>
          <w:rFonts w:hint="eastAsia"/>
        </w:rPr>
        <w:t>1998</w:t>
      </w:r>
      <w:r>
        <w:rPr>
          <w:rFonts w:hint="eastAsia"/>
        </w:rPr>
        <w:t>年第</w:t>
      </w:r>
      <w:r>
        <w:rPr>
          <w:rFonts w:hint="eastAsia"/>
        </w:rPr>
        <w:t>12</w:t>
      </w:r>
      <w:r>
        <w:rPr>
          <w:rFonts w:hint="eastAsia"/>
        </w:rPr>
        <w:t>号法，卡塔尔妇女获得了参加卡塔尔第一届民选的中央市政委员会的竞选和投票的权利。这对卡塔尔妇女在卡塔尔社会发展中发挥积极和重要作用的权利来说，是一个转折点。这是在加强公众参与行政工作进程中迈出的重要一步。</w:t>
      </w:r>
    </w:p>
    <w:p w:rsidR="007234DD" w:rsidRDefault="007234DD">
      <w:pPr>
        <w:pStyle w:val="SingleTxtGC"/>
      </w:pPr>
      <w:r>
        <w:t xml:space="preserve">180.  </w:t>
      </w:r>
      <w:r>
        <w:rPr>
          <w:rFonts w:hint="eastAsia"/>
        </w:rPr>
        <w:t>在第一轮市政委员会选举中</w:t>
      </w:r>
      <w:r>
        <w:rPr>
          <w:rFonts w:hint="eastAsia"/>
        </w:rPr>
        <w:t>(1999</w:t>
      </w:r>
      <w:r>
        <w:rPr>
          <w:rFonts w:hint="eastAsia"/>
        </w:rPr>
        <w:t>年</w:t>
      </w:r>
      <w:r>
        <w:rPr>
          <w:rFonts w:hint="eastAsia"/>
        </w:rPr>
        <w:t>)</w:t>
      </w:r>
      <w:r>
        <w:rPr>
          <w:rFonts w:hint="eastAsia"/>
        </w:rPr>
        <w:t>，有</w:t>
      </w:r>
      <w:r>
        <w:rPr>
          <w:rFonts w:hint="eastAsia"/>
        </w:rPr>
        <w:t>6</w:t>
      </w:r>
      <w:r>
        <w:rPr>
          <w:rFonts w:hint="eastAsia"/>
        </w:rPr>
        <w:t>名女性参加竞选，但都没有当选。第二轮</w:t>
      </w:r>
      <w:r>
        <w:rPr>
          <w:rFonts w:hint="eastAsia"/>
        </w:rPr>
        <w:t>(2003</w:t>
      </w:r>
      <w:r>
        <w:rPr>
          <w:rFonts w:hint="eastAsia"/>
        </w:rPr>
        <w:t>年</w:t>
      </w:r>
      <w:r>
        <w:rPr>
          <w:rFonts w:hint="eastAsia"/>
        </w:rPr>
        <w:t>)</w:t>
      </w:r>
      <w:r>
        <w:rPr>
          <w:rFonts w:hint="eastAsia"/>
        </w:rPr>
        <w:t>有</w:t>
      </w:r>
      <w:r>
        <w:rPr>
          <w:rFonts w:hint="eastAsia"/>
        </w:rPr>
        <w:t>1</w:t>
      </w:r>
      <w:r>
        <w:rPr>
          <w:rFonts w:hint="eastAsia"/>
        </w:rPr>
        <w:t>名女性参加竞选并赢得了由</w:t>
      </w:r>
      <w:r>
        <w:rPr>
          <w:rFonts w:hint="eastAsia"/>
        </w:rPr>
        <w:t>29</w:t>
      </w:r>
      <w:r>
        <w:rPr>
          <w:rFonts w:hint="eastAsia"/>
        </w:rPr>
        <w:t>名成员组成的委员会中的</w:t>
      </w:r>
      <w:r>
        <w:rPr>
          <w:rFonts w:hint="eastAsia"/>
        </w:rPr>
        <w:t>1</w:t>
      </w:r>
      <w:r>
        <w:rPr>
          <w:rFonts w:hint="eastAsia"/>
        </w:rPr>
        <w:t>个席位，而第三轮</w:t>
      </w:r>
      <w:r>
        <w:rPr>
          <w:rFonts w:hint="eastAsia"/>
        </w:rPr>
        <w:t>(2007</w:t>
      </w:r>
      <w:r>
        <w:rPr>
          <w:rFonts w:hint="eastAsia"/>
        </w:rPr>
        <w:t>年</w:t>
      </w:r>
      <w:r>
        <w:rPr>
          <w:rFonts w:hint="eastAsia"/>
        </w:rPr>
        <w:t>)</w:t>
      </w:r>
      <w:r>
        <w:rPr>
          <w:rFonts w:hint="eastAsia"/>
        </w:rPr>
        <w:t>有</w:t>
      </w:r>
      <w:r>
        <w:rPr>
          <w:rFonts w:hint="eastAsia"/>
        </w:rPr>
        <w:t>6</w:t>
      </w:r>
      <w:r>
        <w:rPr>
          <w:rFonts w:hint="eastAsia"/>
        </w:rPr>
        <w:t>名女性参加竞选，其中有</w:t>
      </w:r>
      <w:r>
        <w:rPr>
          <w:rFonts w:hint="eastAsia"/>
        </w:rPr>
        <w:t>1</w:t>
      </w:r>
      <w:r>
        <w:rPr>
          <w:rFonts w:hint="eastAsia"/>
        </w:rPr>
        <w:t>人当选。预计</w:t>
      </w:r>
      <w:r>
        <w:rPr>
          <w:rFonts w:hint="eastAsia"/>
        </w:rPr>
        <w:t>2011</w:t>
      </w:r>
      <w:r>
        <w:rPr>
          <w:rFonts w:hint="eastAsia"/>
        </w:rPr>
        <w:t>年入选委员会的妇女人数将会增加，因为卡塔尔妇女日益认识到参与政治生活和公共决策的重要性。</w:t>
      </w:r>
    </w:p>
    <w:p w:rsidR="007234DD" w:rsidRDefault="007234DD">
      <w:pPr>
        <w:pStyle w:val="SingleTxtGC"/>
      </w:pPr>
      <w:r>
        <w:t xml:space="preserve">181.  </w:t>
      </w:r>
      <w:r>
        <w:rPr>
          <w:rFonts w:hint="eastAsia"/>
        </w:rPr>
        <w:t>大量卡塔尔妇女参加了中央市政委员会选举的投票，</w:t>
      </w:r>
      <w:r>
        <w:rPr>
          <w:rFonts w:hint="eastAsia"/>
        </w:rPr>
        <w:t>1999</w:t>
      </w:r>
      <w:r>
        <w:rPr>
          <w:rFonts w:hint="eastAsia"/>
        </w:rPr>
        <w:t>年占选民总数的</w:t>
      </w:r>
      <w:r>
        <w:rPr>
          <w:rFonts w:hint="eastAsia"/>
        </w:rPr>
        <w:t>42%</w:t>
      </w:r>
      <w:r>
        <w:rPr>
          <w:rFonts w:hint="eastAsia"/>
        </w:rPr>
        <w:t>。</w:t>
      </w:r>
      <w:r>
        <w:rPr>
          <w:rFonts w:hint="eastAsia"/>
        </w:rPr>
        <w:t>2003</w:t>
      </w:r>
      <w:r>
        <w:rPr>
          <w:rFonts w:hint="eastAsia"/>
        </w:rPr>
        <w:t>年这一数字略有下降</w:t>
      </w:r>
      <w:r>
        <w:rPr>
          <w:rFonts w:hint="eastAsia"/>
        </w:rPr>
        <w:t>(</w:t>
      </w:r>
      <w:r>
        <w:rPr>
          <w:rFonts w:hint="eastAsia"/>
        </w:rPr>
        <w:t>回落到</w:t>
      </w:r>
      <w:r>
        <w:rPr>
          <w:rFonts w:hint="eastAsia"/>
        </w:rPr>
        <w:t>38%)</w:t>
      </w:r>
      <w:r>
        <w:rPr>
          <w:rFonts w:hint="eastAsia"/>
        </w:rPr>
        <w:t>，而</w:t>
      </w:r>
      <w:r>
        <w:rPr>
          <w:rFonts w:hint="eastAsia"/>
        </w:rPr>
        <w:t>2007</w:t>
      </w:r>
      <w:r>
        <w:rPr>
          <w:rFonts w:hint="eastAsia"/>
        </w:rPr>
        <w:t>年再次飙升至</w:t>
      </w:r>
      <w:r>
        <w:rPr>
          <w:rFonts w:hint="eastAsia"/>
        </w:rPr>
        <w:t>50%</w:t>
      </w:r>
      <w:r>
        <w:rPr>
          <w:rFonts w:hint="eastAsia"/>
          <w:spacing w:val="-50"/>
        </w:rPr>
        <w:t>―</w:t>
      </w:r>
      <w:r>
        <w:rPr>
          <w:rFonts w:hint="eastAsia"/>
          <w:spacing w:val="10"/>
        </w:rPr>
        <w:t>―</w:t>
      </w:r>
      <w:r>
        <w:rPr>
          <w:rFonts w:hint="eastAsia"/>
        </w:rPr>
        <w:t xml:space="preserve"> </w:t>
      </w:r>
      <w:r>
        <w:rPr>
          <w:rFonts w:hint="eastAsia"/>
        </w:rPr>
        <w:t>创下了妇女参加投票的纪录。</w:t>
      </w:r>
    </w:p>
    <w:p w:rsidR="007234DD" w:rsidRDefault="007234DD">
      <w:pPr>
        <w:pStyle w:val="H23GC"/>
        <w:rPr>
          <w:rFonts w:hint="eastAsia"/>
        </w:rPr>
      </w:pPr>
      <w:r>
        <w:rPr>
          <w:rFonts w:hint="eastAsia"/>
        </w:rPr>
        <w:tab/>
      </w:r>
      <w:r>
        <w:rPr>
          <w:rFonts w:hint="eastAsia"/>
        </w:rPr>
        <w:tab/>
      </w:r>
      <w:r>
        <w:rPr>
          <w:rFonts w:hint="eastAsia"/>
        </w:rPr>
        <w:t>参与非政府组织和私营部门</w:t>
      </w:r>
    </w:p>
    <w:p w:rsidR="007234DD" w:rsidRDefault="007234DD">
      <w:pPr>
        <w:pStyle w:val="SingleTxtGC"/>
      </w:pPr>
      <w:r>
        <w:t xml:space="preserve">182.  </w:t>
      </w:r>
      <w:r>
        <w:rPr>
          <w:rFonts w:hint="eastAsia"/>
        </w:rPr>
        <w:t>《宪法》第</w:t>
      </w:r>
      <w:r>
        <w:rPr>
          <w:rFonts w:hint="eastAsia"/>
        </w:rPr>
        <w:t>45</w:t>
      </w:r>
      <w:r>
        <w:rPr>
          <w:rFonts w:hint="eastAsia"/>
        </w:rPr>
        <w:t>条规定：“结社自由根据法律规定的条件获得保证”。</w:t>
      </w:r>
    </w:p>
    <w:p w:rsidR="007234DD" w:rsidRDefault="007234DD">
      <w:pPr>
        <w:pStyle w:val="SingleTxtGC"/>
      </w:pPr>
      <w:r>
        <w:t xml:space="preserve">183.  </w:t>
      </w:r>
      <w:r>
        <w:rPr>
          <w:rFonts w:hint="eastAsia"/>
        </w:rPr>
        <w:t>无论是关于私立协会和基金会的</w:t>
      </w:r>
      <w:r>
        <w:rPr>
          <w:rFonts w:hint="eastAsia"/>
        </w:rPr>
        <w:t>1998</w:t>
      </w:r>
      <w:r>
        <w:rPr>
          <w:rFonts w:hint="eastAsia"/>
        </w:rPr>
        <w:t>年第</w:t>
      </w:r>
      <w:r>
        <w:rPr>
          <w:rFonts w:hint="eastAsia"/>
        </w:rPr>
        <w:t>8</w:t>
      </w:r>
      <w:r>
        <w:rPr>
          <w:rFonts w:hint="eastAsia"/>
        </w:rPr>
        <w:t>号法，还是关于促进公共福利的私立协会的</w:t>
      </w:r>
      <w:r>
        <w:rPr>
          <w:rFonts w:hint="eastAsia"/>
        </w:rPr>
        <w:t>2006</w:t>
      </w:r>
      <w:r>
        <w:rPr>
          <w:rFonts w:hint="eastAsia"/>
        </w:rPr>
        <w:t>年第</w:t>
      </w:r>
      <w:r>
        <w:rPr>
          <w:rFonts w:hint="eastAsia"/>
        </w:rPr>
        <w:t>21</w:t>
      </w:r>
      <w:r>
        <w:rPr>
          <w:rFonts w:hint="eastAsia"/>
        </w:rPr>
        <w:t>号法，对申请建立协会和基金会并在其中任职的男子和妇女都是一视同仁。事实上，一些基金会、协会和中心的主席为妇女</w:t>
      </w:r>
      <w:r>
        <w:rPr>
          <w:rFonts w:hint="eastAsia"/>
          <w:spacing w:val="-50"/>
        </w:rPr>
        <w:t>―</w:t>
      </w:r>
      <w:r>
        <w:rPr>
          <w:rFonts w:hint="eastAsia"/>
          <w:spacing w:val="10"/>
        </w:rPr>
        <w:t>―</w:t>
      </w:r>
      <w:r>
        <w:rPr>
          <w:rFonts w:hint="eastAsia"/>
        </w:rPr>
        <w:t>大约占</w:t>
      </w:r>
      <w:r>
        <w:rPr>
          <w:rFonts w:hint="eastAsia"/>
        </w:rPr>
        <w:t>43%</w:t>
      </w:r>
      <w:r>
        <w:rPr>
          <w:rFonts w:hint="eastAsia"/>
        </w:rPr>
        <w:t>，而妇女占其董事会成员人数的</w:t>
      </w:r>
      <w:r>
        <w:rPr>
          <w:rFonts w:hint="eastAsia"/>
        </w:rPr>
        <w:t>30%</w:t>
      </w:r>
      <w:r>
        <w:rPr>
          <w:rFonts w:hint="eastAsia"/>
        </w:rPr>
        <w:t>。</w:t>
      </w:r>
    </w:p>
    <w:p w:rsidR="007234DD" w:rsidRDefault="007234DD">
      <w:pPr>
        <w:pStyle w:val="SingleTxtGC"/>
      </w:pPr>
      <w:r>
        <w:t xml:space="preserve">184.  </w:t>
      </w:r>
      <w:r>
        <w:rPr>
          <w:rFonts w:hint="eastAsia"/>
        </w:rPr>
        <w:t>在</w:t>
      </w:r>
      <w:r>
        <w:rPr>
          <w:rFonts w:hint="eastAsia"/>
        </w:rPr>
        <w:t>2002</w:t>
      </w:r>
      <w:r>
        <w:rPr>
          <w:rFonts w:hint="eastAsia"/>
        </w:rPr>
        <w:t>年第</w:t>
      </w:r>
      <w:r>
        <w:rPr>
          <w:rFonts w:hint="eastAsia"/>
        </w:rPr>
        <w:t>5</w:t>
      </w:r>
      <w:r>
        <w:rPr>
          <w:rFonts w:hint="eastAsia"/>
        </w:rPr>
        <w:t>号法中颁布的《商业公司法》第</w:t>
      </w:r>
      <w:r>
        <w:rPr>
          <w:rFonts w:hint="eastAsia"/>
        </w:rPr>
        <w:t>94-121</w:t>
      </w:r>
      <w:r>
        <w:rPr>
          <w:rFonts w:hint="eastAsia"/>
        </w:rPr>
        <w:t>条规定对男子和妇女一视同仁。该法对股份制公司董事会成员的选举程序、董事会成员的资格标准和投票规则作了规定。同样条件一视同仁地适用于男女两性。最近，加入股份制公司董事会的妇女人数有了明显变化。事实上，一些妇女已经当上了董事会主席。在这方面，经</w:t>
      </w:r>
      <w:r>
        <w:rPr>
          <w:rFonts w:hint="eastAsia"/>
        </w:rPr>
        <w:t>1996</w:t>
      </w:r>
      <w:r>
        <w:rPr>
          <w:rFonts w:hint="eastAsia"/>
        </w:rPr>
        <w:t>年第</w:t>
      </w:r>
      <w:r>
        <w:rPr>
          <w:rFonts w:hint="eastAsia"/>
        </w:rPr>
        <w:t>11</w:t>
      </w:r>
      <w:r>
        <w:rPr>
          <w:rFonts w:hint="eastAsia"/>
        </w:rPr>
        <w:t>号法修正的关于成立卡塔尔工商会的</w:t>
      </w:r>
      <w:r>
        <w:rPr>
          <w:rFonts w:hint="eastAsia"/>
        </w:rPr>
        <w:t>1990</w:t>
      </w:r>
      <w:r>
        <w:rPr>
          <w:rFonts w:hint="eastAsia"/>
        </w:rPr>
        <w:t>年第</w:t>
      </w:r>
      <w:r>
        <w:rPr>
          <w:rFonts w:hint="eastAsia"/>
        </w:rPr>
        <w:t>11</w:t>
      </w:r>
      <w:r>
        <w:rPr>
          <w:rFonts w:hint="eastAsia"/>
        </w:rPr>
        <w:t>号法概述了大会在选举董事会成员时必须遵循的程序。这是一个直接投票选举的过程，投票一视同仁地向男子及妇女开放。选举促进了妇女对工商会董事会的参与。候选名单中包括四名女商人，这在工商会的历史上是第一次。</w:t>
      </w:r>
    </w:p>
    <w:p w:rsidR="007234DD" w:rsidRDefault="007234DD">
      <w:pPr>
        <w:pStyle w:val="H23GC"/>
        <w:rPr>
          <w:rFonts w:hint="eastAsia"/>
        </w:rPr>
      </w:pPr>
      <w:r>
        <w:rPr>
          <w:rFonts w:hint="eastAsia"/>
        </w:rPr>
        <w:tab/>
      </w:r>
      <w:r>
        <w:rPr>
          <w:rFonts w:hint="eastAsia"/>
        </w:rPr>
        <w:tab/>
      </w:r>
      <w:r>
        <w:rPr>
          <w:rFonts w:hint="eastAsia"/>
        </w:rPr>
        <w:t>公共就业</w:t>
      </w:r>
    </w:p>
    <w:p w:rsidR="007234DD" w:rsidRDefault="007234DD">
      <w:pPr>
        <w:pStyle w:val="SingleTxtGC"/>
      </w:pPr>
      <w:r>
        <w:t xml:space="preserve">185.  </w:t>
      </w:r>
      <w:r>
        <w:rPr>
          <w:rFonts w:hint="eastAsia"/>
        </w:rPr>
        <w:t>《卡塔尔宪法》第</w:t>
      </w:r>
      <w:r>
        <w:rPr>
          <w:rFonts w:hint="eastAsia"/>
        </w:rPr>
        <w:t>54</w:t>
      </w:r>
      <w:r>
        <w:rPr>
          <w:rFonts w:hint="eastAsia"/>
        </w:rPr>
        <w:t>条规定：“公共就业服务于国家。公务员应纯粹为公众利益履行其职责”。该条款同等适用于男子和妇女。</w:t>
      </w:r>
    </w:p>
    <w:p w:rsidR="007234DD" w:rsidRDefault="007234DD">
      <w:pPr>
        <w:pStyle w:val="SingleTxtGC"/>
      </w:pPr>
      <w:r>
        <w:t xml:space="preserve">186.  </w:t>
      </w:r>
      <w:r>
        <w:rPr>
          <w:rFonts w:hint="eastAsia"/>
        </w:rPr>
        <w:t>关于公共就业的法律对男女一视同仁。它们赋予男女获得同等报酬的权利，并为女户主提供获得全部家庭福利的权利。妇女作为妻子和母亲的特殊情况在分配假期中获得了考虑</w:t>
      </w:r>
      <w:r>
        <w:rPr>
          <w:rFonts w:hint="eastAsia"/>
        </w:rPr>
        <w:t>(</w:t>
      </w:r>
      <w:r>
        <w:rPr>
          <w:rFonts w:hint="eastAsia"/>
        </w:rPr>
        <w:t>在</w:t>
      </w:r>
      <w:r>
        <w:rPr>
          <w:rFonts w:hint="eastAsia"/>
        </w:rPr>
        <w:t>2009</w:t>
      </w:r>
      <w:r>
        <w:rPr>
          <w:rFonts w:hint="eastAsia"/>
        </w:rPr>
        <w:t>年第</w:t>
      </w:r>
      <w:r>
        <w:rPr>
          <w:rFonts w:hint="eastAsia"/>
        </w:rPr>
        <w:t>8</w:t>
      </w:r>
      <w:r>
        <w:rPr>
          <w:rFonts w:hint="eastAsia"/>
        </w:rPr>
        <w:t>号法中颁布的《人力资源管理法》；在</w:t>
      </w:r>
      <w:r>
        <w:rPr>
          <w:rFonts w:hint="eastAsia"/>
        </w:rPr>
        <w:t>2006</w:t>
      </w:r>
      <w:r>
        <w:rPr>
          <w:rFonts w:hint="eastAsia"/>
        </w:rPr>
        <w:t>年第</w:t>
      </w:r>
      <w:r>
        <w:rPr>
          <w:rFonts w:hint="eastAsia"/>
        </w:rPr>
        <w:t>31</w:t>
      </w:r>
      <w:r>
        <w:rPr>
          <w:rFonts w:hint="eastAsia"/>
        </w:rPr>
        <w:t>号法中颁布的《兵役法》；以及在</w:t>
      </w:r>
      <w:r>
        <w:rPr>
          <w:rFonts w:hint="eastAsia"/>
        </w:rPr>
        <w:t>2004</w:t>
      </w:r>
      <w:r>
        <w:rPr>
          <w:rFonts w:hint="eastAsia"/>
        </w:rPr>
        <w:t>年第</w:t>
      </w:r>
      <w:r>
        <w:rPr>
          <w:rFonts w:hint="eastAsia"/>
        </w:rPr>
        <w:t>14</w:t>
      </w:r>
      <w:r>
        <w:rPr>
          <w:rFonts w:hint="eastAsia"/>
        </w:rPr>
        <w:t>号法中颁布的《劳动法》</w:t>
      </w:r>
      <w:r>
        <w:rPr>
          <w:rFonts w:hint="eastAsia"/>
        </w:rPr>
        <w:t>)</w:t>
      </w:r>
      <w:r>
        <w:rPr>
          <w:rFonts w:hint="eastAsia"/>
        </w:rPr>
        <w:t>。</w:t>
      </w:r>
    </w:p>
    <w:p w:rsidR="007234DD" w:rsidRDefault="007234DD">
      <w:pPr>
        <w:pStyle w:val="SingleTxtGC"/>
      </w:pPr>
      <w:r>
        <w:t xml:space="preserve">187.  </w:t>
      </w:r>
      <w:r>
        <w:rPr>
          <w:rFonts w:hint="eastAsia"/>
        </w:rPr>
        <w:t>卡塔尔妇女参与拟定和执行政府政策。她们有机会担任最高职务，不过目前内阁中没有一位妇女。海湾国家第一位担任大臣级职务的妇女是谢哈•马哈穆德阁下。她曾在</w:t>
      </w:r>
      <w:r>
        <w:t>2003</w:t>
      </w:r>
      <w:r>
        <w:rPr>
          <w:rFonts w:hint="eastAsia"/>
        </w:rPr>
        <w:t>年至</w:t>
      </w:r>
      <w:r>
        <w:t>2009</w:t>
      </w:r>
      <w:r>
        <w:rPr>
          <w:rFonts w:hint="eastAsia"/>
        </w:rPr>
        <w:t>年期间担任教育大臣。此外，谢哈•加丽亚•阿勒萨尼阁下曾在</w:t>
      </w:r>
      <w:r>
        <w:t>2008</w:t>
      </w:r>
      <w:r>
        <w:rPr>
          <w:rFonts w:hint="eastAsia"/>
        </w:rPr>
        <w:t>年至</w:t>
      </w:r>
      <w:r>
        <w:t>2009</w:t>
      </w:r>
      <w:r>
        <w:rPr>
          <w:rFonts w:hint="eastAsia"/>
        </w:rPr>
        <w:t>年期间担任卫生大臣。在调往该部之前，她还曾于</w:t>
      </w:r>
      <w:r>
        <w:t>2005</w:t>
      </w:r>
      <w:r>
        <w:rPr>
          <w:rFonts w:hint="eastAsia"/>
        </w:rPr>
        <w:t>年至</w:t>
      </w:r>
      <w:r>
        <w:t>2008</w:t>
      </w:r>
      <w:r>
        <w:rPr>
          <w:rFonts w:hint="eastAsia"/>
        </w:rPr>
        <w:t>年期间担任国家卫生局局长。目前，担任领导职务的卡塔尔妇女包括：卡塔尔教育、科学与社区发展基金会主席、最高家庭事务委员会主席和卡塔尔博物馆管理局董事会主席；最高卫生委员会和最高教育委员会副主席；卡塔尔大学校长；最高通信和信息委员会秘书长；最高家庭事务委员会秘书长。有几位妇女是更高级别的一些委员会和政府机构及组织的董事会成员。也有一些妇女是负责决策和战略发展的各常设委员会</w:t>
      </w:r>
      <w:r>
        <w:rPr>
          <w:rFonts w:hint="eastAsia"/>
        </w:rPr>
        <w:t>(</w:t>
      </w:r>
      <w:r>
        <w:rPr>
          <w:rFonts w:hint="eastAsia"/>
        </w:rPr>
        <w:t>如常设人口委员会</w:t>
      </w:r>
      <w:r>
        <w:rPr>
          <w:rFonts w:hint="eastAsia"/>
        </w:rPr>
        <w:t>)</w:t>
      </w:r>
      <w:r>
        <w:rPr>
          <w:rFonts w:hint="eastAsia"/>
        </w:rPr>
        <w:t>和为起草法律而成立的临时委员会的成员。</w:t>
      </w:r>
    </w:p>
    <w:p w:rsidR="007234DD" w:rsidRDefault="007234DD">
      <w:pPr>
        <w:pStyle w:val="H23GC"/>
        <w:rPr>
          <w:rFonts w:hint="eastAsia"/>
        </w:rPr>
      </w:pPr>
      <w:r>
        <w:rPr>
          <w:rFonts w:hint="eastAsia"/>
        </w:rPr>
        <w:tab/>
      </w:r>
      <w:r>
        <w:rPr>
          <w:rFonts w:hint="eastAsia"/>
        </w:rPr>
        <w:tab/>
      </w:r>
      <w:r>
        <w:rPr>
          <w:rFonts w:hint="eastAsia"/>
        </w:rPr>
        <w:t>建设妇女的政治能力的行政和体制措施</w:t>
      </w:r>
    </w:p>
    <w:p w:rsidR="007234DD" w:rsidRDefault="007234DD">
      <w:pPr>
        <w:pStyle w:val="SingleTxtGC"/>
      </w:pPr>
      <w:r>
        <w:t xml:space="preserve">188.  </w:t>
      </w:r>
      <w:r>
        <w:rPr>
          <w:rFonts w:hint="eastAsia"/>
        </w:rPr>
        <w:t>常设选举委员会根据最高家庭事务委员会主席</w:t>
      </w:r>
      <w:r>
        <w:rPr>
          <w:rFonts w:hint="eastAsia"/>
        </w:rPr>
        <w:t>2003</w:t>
      </w:r>
      <w:r>
        <w:rPr>
          <w:rFonts w:hint="eastAsia"/>
        </w:rPr>
        <w:t>年第</w:t>
      </w:r>
      <w:r>
        <w:rPr>
          <w:rFonts w:hint="eastAsia"/>
        </w:rPr>
        <w:t>2</w:t>
      </w:r>
      <w:r>
        <w:rPr>
          <w:rFonts w:hint="eastAsia"/>
        </w:rPr>
        <w:t>号决定成立，目的是促进对选举的参与，鼓励卡塔尔人，特别是妇女，获得与参与卡塔尔民主选举有关的技能。该委员会组织了多次培训活动和计划，并参加了一些国际方案，以实现其促进卡塔尔国内的政治参与目标。通过政府、非政府组织和民间社会机构之间的伙伴关系，该委员会曾与国家人权委员会、内政部和外交部的人权司以及一些民间社会机构一起，为卡塔尔妇女提供培训，赋予她们政治权力，并让她们了解自己的权利。常设选举委员会过去</w:t>
      </w:r>
      <w:r>
        <w:rPr>
          <w:rFonts w:hint="eastAsia"/>
        </w:rPr>
        <w:t>5</w:t>
      </w:r>
      <w:r>
        <w:rPr>
          <w:rFonts w:hint="eastAsia"/>
        </w:rPr>
        <w:t>年与地方和国际政府及非政府机构联合举办了许多关于赋予妇女政治权力的培训方案，其中包括：“为海湾地区妇女领袖举办竞选活动”；“选举过程中的领导技能”；“如何进行竞选活动”；“妇女与政治参与”；“选民参与市政委员会选举的重要性。</w:t>
      </w:r>
    </w:p>
    <w:p w:rsidR="007234DD" w:rsidRDefault="007234DD">
      <w:pPr>
        <w:pStyle w:val="SingleTxtGC"/>
      </w:pPr>
      <w:r>
        <w:t xml:space="preserve">189.  </w:t>
      </w:r>
      <w:r>
        <w:rPr>
          <w:rFonts w:hint="eastAsia"/>
        </w:rPr>
        <w:t>该委员会在</w:t>
      </w:r>
      <w:r>
        <w:rPr>
          <w:rFonts w:hint="eastAsia"/>
        </w:rPr>
        <w:t>2004</w:t>
      </w:r>
      <w:r>
        <w:rPr>
          <w:rFonts w:hint="eastAsia"/>
        </w:rPr>
        <w:t>年至</w:t>
      </w:r>
      <w:r>
        <w:rPr>
          <w:rFonts w:hint="eastAsia"/>
        </w:rPr>
        <w:t>2009</w:t>
      </w:r>
      <w:r>
        <w:rPr>
          <w:rFonts w:hint="eastAsia"/>
        </w:rPr>
        <w:t>年期间举办了</w:t>
      </w:r>
      <w:r>
        <w:rPr>
          <w:rFonts w:hint="eastAsia"/>
        </w:rPr>
        <w:t>47</w:t>
      </w:r>
      <w:r>
        <w:rPr>
          <w:rFonts w:hint="eastAsia"/>
        </w:rPr>
        <w:t>期培训班，以传播选举信息和鼓励参加者获得与在卡塔尔进行民主选举有关的技能。妇女积极参与了这些方案。例如，有</w:t>
      </w:r>
      <w:r>
        <w:rPr>
          <w:rFonts w:hint="eastAsia"/>
        </w:rPr>
        <w:t>350</w:t>
      </w:r>
      <w:r>
        <w:rPr>
          <w:rFonts w:hint="eastAsia"/>
        </w:rPr>
        <w:t>人参加了常设委员会于</w:t>
      </w:r>
      <w:smartTag w:uri="urn:schemas-microsoft-com:office:smarttags" w:element="chsdate">
        <w:smartTagPr>
          <w:attr w:name="Year" w:val="2009"/>
          <w:attr w:name="Month" w:val="3"/>
          <w:attr w:name="Day" w:val="15"/>
          <w:attr w:name="IsLunarDate" w:val="False"/>
          <w:attr w:name="IsROCDate" w:val="False"/>
        </w:smartTagPr>
        <w:r>
          <w:rPr>
            <w:rFonts w:hint="eastAsia"/>
          </w:rPr>
          <w:t>2009</w:t>
        </w:r>
        <w:r>
          <w:rPr>
            <w:rFonts w:hint="eastAsia"/>
          </w:rPr>
          <w:t>年</w:t>
        </w:r>
        <w:r>
          <w:rPr>
            <w:rFonts w:hint="eastAsia"/>
          </w:rPr>
          <w:t>3</w:t>
        </w:r>
        <w:r>
          <w:rPr>
            <w:rFonts w:hint="eastAsia"/>
          </w:rPr>
          <w:t>月</w:t>
        </w:r>
        <w:r>
          <w:rPr>
            <w:rFonts w:hint="eastAsia"/>
          </w:rPr>
          <w:t>15</w:t>
        </w:r>
        <w:r>
          <w:rPr>
            <w:rFonts w:hint="eastAsia"/>
          </w:rPr>
          <w:t>日</w:t>
        </w:r>
      </w:smartTag>
      <w:r>
        <w:rPr>
          <w:rFonts w:hint="eastAsia"/>
        </w:rPr>
        <w:t>至</w:t>
      </w:r>
      <w:r>
        <w:rPr>
          <w:rFonts w:hint="eastAsia"/>
        </w:rPr>
        <w:t>25</w:t>
      </w:r>
      <w:r>
        <w:rPr>
          <w:rFonts w:hint="eastAsia"/>
        </w:rPr>
        <w:t>日期间在</w:t>
      </w:r>
      <w:r>
        <w:rPr>
          <w:rFonts w:hint="eastAsia"/>
        </w:rPr>
        <w:t>10</w:t>
      </w:r>
      <w:r>
        <w:rPr>
          <w:rFonts w:hint="eastAsia"/>
        </w:rPr>
        <w:t>所学校推出的民主领袖方案，其中女性占了</w:t>
      </w:r>
      <w:r>
        <w:rPr>
          <w:rFonts w:hint="eastAsia"/>
        </w:rPr>
        <w:t>245</w:t>
      </w:r>
      <w:r>
        <w:rPr>
          <w:rFonts w:hint="eastAsia"/>
        </w:rPr>
        <w:t>人。在实现其目标之后，该委员会的工作于</w:t>
      </w:r>
      <w:r>
        <w:rPr>
          <w:rFonts w:hint="eastAsia"/>
        </w:rPr>
        <w:t>2009</w:t>
      </w:r>
      <w:r>
        <w:rPr>
          <w:rFonts w:hint="eastAsia"/>
        </w:rPr>
        <w:t>年宣告结束后。卡塔尔成立了国家人权委员会等其他一些机制来履行其职能。</w:t>
      </w:r>
    </w:p>
    <w:p w:rsidR="007234DD" w:rsidRDefault="007234DD">
      <w:pPr>
        <w:pStyle w:val="H23GC"/>
        <w:rPr>
          <w:rFonts w:hint="eastAsia"/>
        </w:rPr>
      </w:pPr>
      <w:r>
        <w:rPr>
          <w:rFonts w:hint="eastAsia"/>
        </w:rPr>
        <w:tab/>
      </w:r>
      <w:r>
        <w:rPr>
          <w:rFonts w:hint="eastAsia"/>
        </w:rPr>
        <w:tab/>
      </w:r>
      <w:r>
        <w:rPr>
          <w:rFonts w:hint="eastAsia"/>
        </w:rPr>
        <w:t>未来的挑战及展望</w:t>
      </w:r>
    </w:p>
    <w:p w:rsidR="007234DD" w:rsidRDefault="007234DD">
      <w:pPr>
        <w:pStyle w:val="SingleTxtGC"/>
      </w:pPr>
      <w:r>
        <w:t xml:space="preserve">190.  </w:t>
      </w:r>
      <w:r>
        <w:rPr>
          <w:rFonts w:hint="eastAsia"/>
        </w:rPr>
        <w:t>在最高家庭事务委员会于</w:t>
      </w:r>
      <w:r>
        <w:rPr>
          <w:rFonts w:hint="eastAsia"/>
        </w:rPr>
        <w:t>2007</w:t>
      </w:r>
      <w:r>
        <w:rPr>
          <w:rFonts w:hint="eastAsia"/>
        </w:rPr>
        <w:t>年进行的题为“卡塔尔人参与政治生活：赋权增能中的障碍和途径”的研究中，</w:t>
      </w:r>
      <w:r>
        <w:rPr>
          <w:rFonts w:hint="eastAsia"/>
        </w:rPr>
        <w:t>62%</w:t>
      </w:r>
      <w:r>
        <w:rPr>
          <w:rFonts w:hint="eastAsia"/>
        </w:rPr>
        <w:t>被抽到的受访者报告称更青睐男性候选人。回答者无论是男是女，往往都更喜欢男性而非女性候选人。这意味着，社会继续消极看待妇女对政治的参与。这是两性当中的一个普遍趋势，而且在选择女候选人和评价妇女作为领导的能力时，这种趋势非常明显。</w:t>
      </w:r>
    </w:p>
    <w:p w:rsidR="007234DD" w:rsidRDefault="007234DD">
      <w:pPr>
        <w:pStyle w:val="SingleTxtGC"/>
      </w:pPr>
      <w:r>
        <w:t xml:space="preserve">191.  </w:t>
      </w:r>
      <w:r>
        <w:rPr>
          <w:rFonts w:hint="eastAsia"/>
        </w:rPr>
        <w:t>最高家庭事务委员会于</w:t>
      </w:r>
      <w:r>
        <w:rPr>
          <w:rFonts w:hint="eastAsia"/>
        </w:rPr>
        <w:t>2007</w:t>
      </w:r>
      <w:r>
        <w:rPr>
          <w:rFonts w:hint="eastAsia"/>
        </w:rPr>
        <w:t>年进行的关于卡塔尔社会中阻止妇女获得领导职位的障碍的研究得出结论认为，人们对待妇女的态度存在矛盾。虽然社会承认妇女作为工作者的能力，但不承认她们作为领导人的能力。这一点在抽到人员所表达的对女领袖的态度中很明显：只有</w:t>
      </w:r>
      <w:r>
        <w:rPr>
          <w:rFonts w:hint="eastAsia"/>
        </w:rPr>
        <w:t>32%</w:t>
      </w:r>
      <w:r>
        <w:rPr>
          <w:rFonts w:hint="eastAsia"/>
        </w:rPr>
        <w:t>的人认为妇女能够履行领导职能。</w:t>
      </w:r>
    </w:p>
    <w:p w:rsidR="007234DD" w:rsidRDefault="007234DD">
      <w:pPr>
        <w:pStyle w:val="SingleTxtGC"/>
      </w:pPr>
      <w:r>
        <w:t xml:space="preserve">192.  </w:t>
      </w:r>
      <w:r>
        <w:rPr>
          <w:rFonts w:hint="eastAsia"/>
        </w:rPr>
        <w:t>虽然由于政府和非政府行为体努力让妇女在政治生活中发挥更积极的作用，在卡塔尔妇女参与政治方面已经取得显著的进步，但社会障碍继续阻碍妇女参与该领域。例如，卡塔尔社会是按部族组织而成的，国家进行政治实验是相当新颖的事物。</w:t>
      </w:r>
    </w:p>
    <w:p w:rsidR="007234DD" w:rsidRDefault="007234DD">
      <w:pPr>
        <w:pStyle w:val="SingleTxtGC"/>
      </w:pPr>
      <w:r>
        <w:t xml:space="preserve">193.  </w:t>
      </w:r>
      <w:r>
        <w:rPr>
          <w:rFonts w:hint="eastAsia"/>
        </w:rPr>
        <w:t>卡塔尔决心采取一切适当措施，同时铭记卡塔尔社会的特殊性，消除政治和卡塔尔公共生活中对妇女的歧视，以确保妇女有权投票，竞选，参与决策，获得公职以及参加非政府组织和协会。在这方面，根据</w:t>
      </w:r>
      <w:r>
        <w:rPr>
          <w:rFonts w:hint="eastAsia"/>
        </w:rPr>
        <w:t>2009</w:t>
      </w:r>
      <w:r>
        <w:rPr>
          <w:rFonts w:hint="eastAsia"/>
        </w:rPr>
        <w:t>年第</w:t>
      </w:r>
      <w:r>
        <w:rPr>
          <w:rFonts w:hint="eastAsia"/>
        </w:rPr>
        <w:t>15</w:t>
      </w:r>
      <w:r>
        <w:rPr>
          <w:rFonts w:hint="eastAsia"/>
        </w:rPr>
        <w:t>号决定，最高家庭事务委员会被赋予促进公共生活中妇女的社会、政治和经济赋权的任务。</w:t>
      </w:r>
    </w:p>
    <w:p w:rsidR="007234DD" w:rsidRDefault="007234DD">
      <w:pPr>
        <w:pStyle w:val="H1GC"/>
        <w:rPr>
          <w:rFonts w:hint="eastAsia"/>
        </w:rPr>
      </w:pPr>
      <w:r>
        <w:rPr>
          <w:rFonts w:hint="eastAsia"/>
        </w:rPr>
        <w:tab/>
      </w:r>
      <w:r>
        <w:rPr>
          <w:rFonts w:hint="eastAsia"/>
        </w:rPr>
        <w:tab/>
      </w:r>
      <w:r>
        <w:rPr>
          <w:rFonts w:hint="eastAsia"/>
        </w:rPr>
        <w:t>第八条</w:t>
      </w:r>
      <w:r>
        <w:rPr>
          <w:rFonts w:hint="eastAsia"/>
        </w:rPr>
        <w:br/>
      </w:r>
      <w:r>
        <w:rPr>
          <w:rFonts w:hint="eastAsia"/>
        </w:rPr>
        <w:t>国际代表情况</w:t>
      </w:r>
    </w:p>
    <w:p w:rsidR="007234DD" w:rsidRDefault="007234DD">
      <w:pPr>
        <w:pStyle w:val="H23GC"/>
        <w:rPr>
          <w:rFonts w:hint="eastAsia"/>
        </w:rPr>
      </w:pPr>
      <w:r>
        <w:rPr>
          <w:rFonts w:hint="eastAsia"/>
        </w:rPr>
        <w:tab/>
      </w:r>
      <w:r>
        <w:rPr>
          <w:rFonts w:hint="eastAsia"/>
        </w:rPr>
        <w:tab/>
      </w:r>
      <w:r>
        <w:rPr>
          <w:rFonts w:hint="eastAsia"/>
        </w:rPr>
        <w:t>宪法和立法框架</w:t>
      </w:r>
    </w:p>
    <w:p w:rsidR="007234DD" w:rsidRDefault="007234DD">
      <w:pPr>
        <w:pStyle w:val="SingleTxtGC"/>
      </w:pPr>
      <w:r>
        <w:t xml:space="preserve">194.  </w:t>
      </w:r>
      <w:r>
        <w:rPr>
          <w:rFonts w:hint="eastAsia"/>
        </w:rPr>
        <w:t>《卡塔尔宪法》赋予妇女充分的权利，使她们能够在国际舞台上代表国家；它在各种权利和义务上对男女一视同仁。这从我们已经引用的条款</w:t>
      </w:r>
      <w:r>
        <w:rPr>
          <w:rFonts w:hint="eastAsia"/>
        </w:rPr>
        <w:t>(</w:t>
      </w:r>
      <w:r>
        <w:rPr>
          <w:rFonts w:hint="eastAsia"/>
        </w:rPr>
        <w:t>第</w:t>
      </w:r>
      <w:r>
        <w:rPr>
          <w:rFonts w:hint="eastAsia"/>
        </w:rPr>
        <w:t>18</w:t>
      </w:r>
      <w:r>
        <w:rPr>
          <w:rFonts w:hint="eastAsia"/>
        </w:rPr>
        <w:t>、</w:t>
      </w:r>
      <w:r>
        <w:rPr>
          <w:rFonts w:hint="eastAsia"/>
        </w:rPr>
        <w:t>19</w:t>
      </w:r>
      <w:r>
        <w:rPr>
          <w:rFonts w:hint="eastAsia"/>
        </w:rPr>
        <w:t>和</w:t>
      </w:r>
      <w:r>
        <w:rPr>
          <w:rFonts w:hint="eastAsia"/>
        </w:rPr>
        <w:t>34</w:t>
      </w:r>
      <w:r>
        <w:rPr>
          <w:rFonts w:hint="eastAsia"/>
        </w:rPr>
        <w:t>条</w:t>
      </w:r>
      <w:r>
        <w:rPr>
          <w:rFonts w:hint="eastAsia"/>
        </w:rPr>
        <w:t>)</w:t>
      </w:r>
      <w:r>
        <w:rPr>
          <w:rFonts w:hint="eastAsia"/>
        </w:rPr>
        <w:t>中可以清楚地看出。它们都禁止基于性别的歧视。</w:t>
      </w:r>
    </w:p>
    <w:p w:rsidR="007234DD" w:rsidRDefault="007234DD">
      <w:pPr>
        <w:pStyle w:val="SingleTxtGC"/>
      </w:pPr>
      <w:r>
        <w:t xml:space="preserve">195.  </w:t>
      </w:r>
      <w:r>
        <w:rPr>
          <w:rFonts w:hint="eastAsia"/>
        </w:rPr>
        <w:t>法律中没有任何阻止卡塔尔妇女在国外代表国家的规定。例如，关于外交和领事使团的</w:t>
      </w:r>
      <w:r>
        <w:rPr>
          <w:rFonts w:hint="eastAsia"/>
        </w:rPr>
        <w:t>2009</w:t>
      </w:r>
      <w:r>
        <w:rPr>
          <w:rFonts w:hint="eastAsia"/>
        </w:rPr>
        <w:t>年第</w:t>
      </w:r>
      <w:r>
        <w:rPr>
          <w:rFonts w:hint="eastAsia"/>
        </w:rPr>
        <w:t>13</w:t>
      </w:r>
      <w:r>
        <w:rPr>
          <w:rFonts w:hint="eastAsia"/>
        </w:rPr>
        <w:t>号令</w:t>
      </w:r>
      <w:r>
        <w:rPr>
          <w:rFonts w:hint="eastAsia"/>
        </w:rPr>
        <w:t>(</w:t>
      </w:r>
      <w:r>
        <w:rPr>
          <w:rFonts w:hint="eastAsia"/>
        </w:rPr>
        <w:t>法</w:t>
      </w:r>
      <w:r>
        <w:rPr>
          <w:rFonts w:hint="eastAsia"/>
        </w:rPr>
        <w:t>)</w:t>
      </w:r>
      <w:r>
        <w:rPr>
          <w:rFonts w:hint="eastAsia"/>
        </w:rPr>
        <w:t>中没有对男女加以区别对待的任何条款。</w:t>
      </w:r>
    </w:p>
    <w:p w:rsidR="007234DD" w:rsidRDefault="007234DD">
      <w:pPr>
        <w:pStyle w:val="H23GC"/>
        <w:rPr>
          <w:rFonts w:hint="eastAsia"/>
        </w:rPr>
      </w:pPr>
      <w:r>
        <w:rPr>
          <w:rFonts w:hint="eastAsia"/>
        </w:rPr>
        <w:tab/>
      </w:r>
      <w:r>
        <w:rPr>
          <w:rFonts w:hint="eastAsia"/>
        </w:rPr>
        <w:tab/>
      </w:r>
      <w:r>
        <w:rPr>
          <w:rFonts w:hint="eastAsia"/>
        </w:rPr>
        <w:t>现状</w:t>
      </w:r>
    </w:p>
    <w:p w:rsidR="007234DD" w:rsidRDefault="007234DD">
      <w:pPr>
        <w:pStyle w:val="SingleTxtGC"/>
      </w:pPr>
      <w:r>
        <w:t xml:space="preserve">196.  </w:t>
      </w:r>
      <w:r>
        <w:rPr>
          <w:rFonts w:hint="eastAsia"/>
        </w:rPr>
        <w:t>外交部有一些女外交官。</w:t>
      </w:r>
      <w:r>
        <w:rPr>
          <w:rFonts w:hint="eastAsia"/>
        </w:rPr>
        <w:t>2010</w:t>
      </w:r>
      <w:r>
        <w:rPr>
          <w:rFonts w:hint="eastAsia"/>
        </w:rPr>
        <w:t>年初，卡塔尔任命了首位卡塔尔女大使。一些卡塔尔妇女在卡塔尔驻外使团中担任高级职务。她们通过自己在国外的工作，代表国家与各种国际组织特别是处理人权和社会发展问题的国际组织打交道。</w:t>
      </w:r>
    </w:p>
    <w:p w:rsidR="007234DD" w:rsidRDefault="007234DD">
      <w:pPr>
        <w:pStyle w:val="SingleTxtGC"/>
      </w:pPr>
      <w:r>
        <w:t xml:space="preserve">197.  </w:t>
      </w:r>
      <w:r>
        <w:rPr>
          <w:rFonts w:hint="eastAsia"/>
        </w:rPr>
        <w:t>在各部和政府机构工作的一些卡塔尔女公务员参加了与各种国际及区域政府间委员会进行对话的国家代表团，以及有国家代表团参加的一些会议、研讨会和其他活动。有几位妇女以其专业领域及所有领域中的领袖身份，担任这些代表团的团长。</w:t>
      </w:r>
    </w:p>
    <w:p w:rsidR="007234DD" w:rsidRDefault="007234DD">
      <w:pPr>
        <w:pStyle w:val="SingleTxtGC"/>
        <w:rPr>
          <w:rFonts w:hint="eastAsia"/>
        </w:rPr>
      </w:pPr>
      <w:r>
        <w:t xml:space="preserve">198.  </w:t>
      </w:r>
      <w:r>
        <w:rPr>
          <w:rFonts w:hint="eastAsia"/>
        </w:rPr>
        <w:t>大学中开设国际事务和政治学课程的各院系鼓励妇女学习它们的课程。</w:t>
      </w:r>
    </w:p>
    <w:p w:rsidR="007234DD" w:rsidRDefault="007234DD">
      <w:pPr>
        <w:pStyle w:val="SingleTxtGC"/>
      </w:pPr>
      <w:r>
        <w:t xml:space="preserve">199.  </w:t>
      </w:r>
      <w:r>
        <w:rPr>
          <w:rFonts w:hint="eastAsia"/>
        </w:rPr>
        <w:t>外交部从卡塔尔大学和乔治敦大学卡塔尔分校吸收了</w:t>
      </w:r>
      <w:r>
        <w:rPr>
          <w:rFonts w:hint="eastAsia"/>
        </w:rPr>
        <w:t>40</w:t>
      </w:r>
      <w:r>
        <w:rPr>
          <w:rFonts w:hint="eastAsia"/>
        </w:rPr>
        <w:t>名男女毕业生，并对他们进行了为期两年的培训，以帮助他们为在外交部或卡塔尔驻各国大使馆工作做好准备。</w:t>
      </w:r>
    </w:p>
    <w:p w:rsidR="007234DD" w:rsidRDefault="007234DD">
      <w:pPr>
        <w:pStyle w:val="SingleTxtGC"/>
      </w:pPr>
      <w:r>
        <w:t xml:space="preserve">200.  </w:t>
      </w:r>
      <w:r>
        <w:rPr>
          <w:rFonts w:hint="eastAsia"/>
        </w:rPr>
        <w:t>根据其年度计划，外交部为本部工作人员提供了大约</w:t>
      </w:r>
      <w:r>
        <w:rPr>
          <w:rFonts w:hint="eastAsia"/>
        </w:rPr>
        <w:t>15</w:t>
      </w:r>
      <w:r>
        <w:rPr>
          <w:rFonts w:hint="eastAsia"/>
        </w:rPr>
        <w:t>个关于外交和国际事务的学习方案。该部为其男女工作人员提供外交服务工作领域的研究生学习或培训机会。</w:t>
      </w:r>
    </w:p>
    <w:p w:rsidR="007234DD" w:rsidRDefault="007234DD">
      <w:pPr>
        <w:pStyle w:val="SingleTxtGC"/>
        <w:rPr>
          <w:rFonts w:hint="eastAsia"/>
        </w:rPr>
      </w:pPr>
      <w:r>
        <w:t xml:space="preserve">201.  </w:t>
      </w:r>
      <w:r>
        <w:rPr>
          <w:rFonts w:hint="eastAsia"/>
        </w:rPr>
        <w:t>埃米尔殿下的夫人</w:t>
      </w:r>
      <w:r>
        <w:t>谢哈</w:t>
      </w:r>
      <w:r>
        <w:rPr>
          <w:rFonts w:hint="eastAsia"/>
        </w:rPr>
        <w:t>·</w:t>
      </w:r>
      <w:r>
        <w:t>穆扎</w:t>
      </w:r>
      <w:r>
        <w:rPr>
          <w:rFonts w:hint="eastAsia"/>
        </w:rPr>
        <w:t>·</w:t>
      </w:r>
      <w:r>
        <w:t>宾特</w:t>
      </w:r>
      <w:r>
        <w:rPr>
          <w:rFonts w:hint="eastAsia"/>
        </w:rPr>
        <w:t>·</w:t>
      </w:r>
      <w:r>
        <w:t>纳赛尔</w:t>
      </w:r>
      <w:r>
        <w:rPr>
          <w:rFonts w:hint="eastAsia"/>
        </w:rPr>
        <w:t>·</w:t>
      </w:r>
      <w:r>
        <w:t>阿勒米斯纳德</w:t>
      </w:r>
      <w:r>
        <w:rPr>
          <w:rFonts w:hint="eastAsia"/>
        </w:rPr>
        <w:t>殿下在国际领域开展了许多活动。她主要是以下列身份开展这些活动的：</w:t>
      </w:r>
    </w:p>
    <w:p w:rsidR="007234DD" w:rsidRDefault="007234DD">
      <w:pPr>
        <w:pStyle w:val="Bullet1GC"/>
      </w:pPr>
      <w:r>
        <w:rPr>
          <w:rFonts w:hint="eastAsia"/>
        </w:rPr>
        <w:t>教科文组织基础和高等教育特使</w:t>
      </w:r>
    </w:p>
    <w:p w:rsidR="007234DD" w:rsidRDefault="007234DD">
      <w:pPr>
        <w:pStyle w:val="Bullet1GC"/>
      </w:pPr>
      <w:r>
        <w:rPr>
          <w:rFonts w:hint="eastAsia"/>
        </w:rPr>
        <w:t>联合国不同文明联盟高级别小组成员</w:t>
      </w:r>
    </w:p>
    <w:p w:rsidR="007234DD" w:rsidRDefault="007234DD">
      <w:pPr>
        <w:pStyle w:val="Bullet1GC"/>
      </w:pPr>
      <w:r>
        <w:rPr>
          <w:rFonts w:hint="eastAsia"/>
        </w:rPr>
        <w:t>实现千年发展目标高级别知名人士小组成员</w:t>
      </w:r>
    </w:p>
    <w:p w:rsidR="007234DD" w:rsidRDefault="007234DD">
      <w:pPr>
        <w:pStyle w:val="SingleTxtGC"/>
        <w:rPr>
          <w:rFonts w:hint="eastAsia"/>
        </w:rPr>
      </w:pPr>
      <w:r>
        <w:t xml:space="preserve">202.  </w:t>
      </w:r>
      <w:r>
        <w:rPr>
          <w:rFonts w:hint="eastAsia"/>
        </w:rPr>
        <w:t>卡塔尔女专家参加了许多国际性委员会，包括：</w:t>
      </w:r>
    </w:p>
    <w:p w:rsidR="007234DD" w:rsidRDefault="007234DD">
      <w:pPr>
        <w:pStyle w:val="Bullet1GC"/>
      </w:pPr>
      <w:r>
        <w:rPr>
          <w:rFonts w:hint="eastAsia"/>
        </w:rPr>
        <w:t>全球信息和通信技术与发展联盟董事会</w:t>
      </w:r>
    </w:p>
    <w:p w:rsidR="007234DD" w:rsidRDefault="007234DD">
      <w:pPr>
        <w:pStyle w:val="Bullet1GC"/>
      </w:pPr>
      <w:r>
        <w:rPr>
          <w:rFonts w:hint="eastAsia"/>
        </w:rPr>
        <w:t>残疾人权利国际委员会</w:t>
      </w:r>
    </w:p>
    <w:p w:rsidR="007234DD" w:rsidRDefault="007234DD">
      <w:pPr>
        <w:pStyle w:val="Bullet1GC"/>
      </w:pPr>
      <w:r>
        <w:rPr>
          <w:rFonts w:hint="eastAsia"/>
        </w:rPr>
        <w:t>鹿特丹公约化学品审查委员会</w:t>
      </w:r>
    </w:p>
    <w:p w:rsidR="007234DD" w:rsidRDefault="007234DD">
      <w:pPr>
        <w:pStyle w:val="Bullet1GC"/>
      </w:pPr>
      <w:r>
        <w:rPr>
          <w:rFonts w:hint="eastAsia"/>
        </w:rPr>
        <w:t>关于持久性有机污染物的斯德哥尔摩公约后续行动组织委员会</w:t>
      </w:r>
    </w:p>
    <w:p w:rsidR="007234DD" w:rsidRDefault="007234DD">
      <w:pPr>
        <w:pStyle w:val="Bullet1GC"/>
      </w:pPr>
      <w:r>
        <w:rPr>
          <w:rFonts w:hint="eastAsia"/>
        </w:rPr>
        <w:t>(</w:t>
      </w:r>
      <w:r>
        <w:rPr>
          <w:rFonts w:hint="eastAsia"/>
        </w:rPr>
        <w:t>海湾</w:t>
      </w:r>
      <w:r>
        <w:rPr>
          <w:rFonts w:hint="eastAsia"/>
        </w:rPr>
        <w:t>)</w:t>
      </w:r>
      <w:r>
        <w:rPr>
          <w:rFonts w:hint="eastAsia"/>
        </w:rPr>
        <w:t>合作委员会成员国工厂排放持续性有机污染物问题最佳可得技术和最佳环保做法委员会</w:t>
      </w:r>
    </w:p>
    <w:p w:rsidR="007234DD" w:rsidRDefault="007234DD">
      <w:pPr>
        <w:pStyle w:val="SingleTxtGC"/>
        <w:rPr>
          <w:rFonts w:hint="eastAsia"/>
        </w:rPr>
      </w:pPr>
      <w:r>
        <w:t xml:space="preserve">203.  </w:t>
      </w:r>
      <w:r>
        <w:rPr>
          <w:rFonts w:hint="eastAsia"/>
        </w:rPr>
        <w:t>在过去的各个时期，卡塔尔妇女曾在一些区域性及国际性论坛任职，特别是担任以下职务：</w:t>
      </w:r>
    </w:p>
    <w:p w:rsidR="007234DD" w:rsidRDefault="007234DD">
      <w:pPr>
        <w:pStyle w:val="Bullet1GC"/>
      </w:pPr>
      <w:r>
        <w:rPr>
          <w:rFonts w:hint="eastAsia"/>
        </w:rPr>
        <w:t>促进工业投资助理秘书长，海湾工业协商组织，</w:t>
      </w:r>
      <w:r>
        <w:rPr>
          <w:rFonts w:hint="eastAsia"/>
        </w:rPr>
        <w:t>2008-2012</w:t>
      </w:r>
      <w:r>
        <w:rPr>
          <w:rFonts w:hint="eastAsia"/>
        </w:rPr>
        <w:t>年</w:t>
      </w:r>
    </w:p>
    <w:p w:rsidR="007234DD" w:rsidRDefault="007234DD">
      <w:pPr>
        <w:pStyle w:val="Bullet1GC"/>
      </w:pPr>
      <w:r>
        <w:rPr>
          <w:rFonts w:hint="eastAsia"/>
        </w:rPr>
        <w:t>儿童权利委员会成员，</w:t>
      </w:r>
      <w:r>
        <w:rPr>
          <w:rFonts w:hint="eastAsia"/>
        </w:rPr>
        <w:t>2001-2009</w:t>
      </w:r>
      <w:r>
        <w:rPr>
          <w:rFonts w:hint="eastAsia"/>
        </w:rPr>
        <w:t>年</w:t>
      </w:r>
    </w:p>
    <w:p w:rsidR="007234DD" w:rsidRDefault="007234DD">
      <w:pPr>
        <w:pStyle w:val="Bullet1GC"/>
      </w:pPr>
      <w:r>
        <w:rPr>
          <w:rFonts w:hint="eastAsia"/>
        </w:rPr>
        <w:t>联合国残疾问题特别报告员，</w:t>
      </w:r>
      <w:r>
        <w:t>2004</w:t>
      </w:r>
      <w:r>
        <w:rPr>
          <w:rFonts w:hint="eastAsia"/>
        </w:rPr>
        <w:t>-</w:t>
      </w:r>
      <w:r>
        <w:t>2009</w:t>
      </w:r>
      <w:r>
        <w:rPr>
          <w:rFonts w:hint="eastAsia"/>
        </w:rPr>
        <w:t>年</w:t>
      </w:r>
    </w:p>
    <w:p w:rsidR="007234DD" w:rsidRDefault="007234DD">
      <w:pPr>
        <w:pStyle w:val="H23GC"/>
        <w:rPr>
          <w:rFonts w:hint="eastAsia"/>
        </w:rPr>
      </w:pPr>
      <w:r>
        <w:rPr>
          <w:rFonts w:hint="eastAsia"/>
        </w:rPr>
        <w:tab/>
      </w:r>
      <w:r>
        <w:rPr>
          <w:rFonts w:hint="eastAsia"/>
        </w:rPr>
        <w:tab/>
      </w:r>
      <w:r>
        <w:rPr>
          <w:rFonts w:hint="eastAsia"/>
        </w:rPr>
        <w:t>挑战和未来展望</w:t>
      </w:r>
    </w:p>
    <w:p w:rsidR="007234DD" w:rsidRDefault="007234DD">
      <w:pPr>
        <w:pStyle w:val="SingleTxtGC"/>
      </w:pPr>
      <w:r>
        <w:t xml:space="preserve">204.  </w:t>
      </w:r>
      <w:r>
        <w:rPr>
          <w:rFonts w:hint="eastAsia"/>
        </w:rPr>
        <w:t>虽然卡塔尔妇女担任了外交部的领导职位，但她们在国际论坛中的参与尚未达到真正反映出其能力的水平。这是因为，女性是该工作领域的新手，而且卡塔尔妇女很难在没有家属陪伴的情况下长时间在国外生活。</w:t>
      </w:r>
    </w:p>
    <w:p w:rsidR="007234DD" w:rsidRDefault="007234DD">
      <w:pPr>
        <w:pStyle w:val="SingleTxtGC"/>
      </w:pPr>
      <w:r>
        <w:t xml:space="preserve">205.  </w:t>
      </w:r>
      <w:r>
        <w:rPr>
          <w:rFonts w:hint="eastAsia"/>
        </w:rPr>
        <w:t>国家有望收获在卡塔尔大学开设国际事务系、创建乔治敦大学卡塔尔分校以及外交部派遣几位卡塔尔妇女到国外学习外交专业课程所带来的好处。此外，还在卡塔尔国内开设了课程，以提高该部雇员</w:t>
      </w:r>
      <w:r>
        <w:rPr>
          <w:rFonts w:hint="eastAsia"/>
        </w:rPr>
        <w:t>(</w:t>
      </w:r>
      <w:r>
        <w:rPr>
          <w:rFonts w:hint="eastAsia"/>
        </w:rPr>
        <w:t>包括妇女</w:t>
      </w:r>
      <w:r>
        <w:rPr>
          <w:rFonts w:hint="eastAsia"/>
        </w:rPr>
        <w:t>)</w:t>
      </w:r>
      <w:r>
        <w:rPr>
          <w:rFonts w:hint="eastAsia"/>
        </w:rPr>
        <w:t>的技能，在不久的将来卡塔尔女外交官的数量会有所增加。</w:t>
      </w:r>
    </w:p>
    <w:p w:rsidR="007234DD" w:rsidRDefault="007234DD">
      <w:pPr>
        <w:pStyle w:val="SingleTxtGC"/>
      </w:pPr>
      <w:r>
        <w:t xml:space="preserve">206.  </w:t>
      </w:r>
      <w:r>
        <w:rPr>
          <w:rFonts w:hint="eastAsia"/>
        </w:rPr>
        <w:t>此外，卡塔尔正在努力消除卡塔尔妇女在各个生活领域面临的障碍，制定有关方案促进对妇女权利的尊重，改善妇女的处境，改变并改善人们对妇女的态度，提升她们的整体地位，以使她们在外交领域的工作更能为社会所接受。</w:t>
      </w:r>
    </w:p>
    <w:p w:rsidR="007234DD" w:rsidRDefault="007234DD">
      <w:pPr>
        <w:pStyle w:val="H1GC"/>
        <w:rPr>
          <w:rFonts w:hint="eastAsia"/>
        </w:rPr>
      </w:pPr>
      <w:r>
        <w:rPr>
          <w:rFonts w:hint="eastAsia"/>
        </w:rPr>
        <w:tab/>
      </w:r>
      <w:r>
        <w:rPr>
          <w:rFonts w:hint="eastAsia"/>
        </w:rPr>
        <w:tab/>
      </w:r>
      <w:r>
        <w:rPr>
          <w:rFonts w:hint="eastAsia"/>
        </w:rPr>
        <w:t>第九条</w:t>
      </w:r>
      <w:r>
        <w:rPr>
          <w:rFonts w:hint="eastAsia"/>
        </w:rPr>
        <w:br/>
      </w:r>
      <w:r>
        <w:rPr>
          <w:rFonts w:hint="eastAsia"/>
        </w:rPr>
        <w:t>国籍</w:t>
      </w:r>
    </w:p>
    <w:p w:rsidR="007234DD" w:rsidRDefault="007234DD">
      <w:pPr>
        <w:pStyle w:val="H23GC"/>
        <w:rPr>
          <w:rFonts w:hint="eastAsia"/>
        </w:rPr>
      </w:pPr>
      <w:r>
        <w:rPr>
          <w:rFonts w:hint="eastAsia"/>
        </w:rPr>
        <w:tab/>
      </w:r>
      <w:r>
        <w:rPr>
          <w:rFonts w:hint="eastAsia"/>
        </w:rPr>
        <w:tab/>
      </w:r>
      <w:r>
        <w:rPr>
          <w:rFonts w:hint="eastAsia"/>
        </w:rPr>
        <w:t>在取得国籍方面的性别平等</w:t>
      </w:r>
    </w:p>
    <w:p w:rsidR="007234DD" w:rsidRDefault="007234DD">
      <w:pPr>
        <w:pStyle w:val="SingleTxtGC"/>
        <w:rPr>
          <w:rFonts w:hint="eastAsia"/>
        </w:rPr>
      </w:pPr>
      <w:r>
        <w:t xml:space="preserve">207.  </w:t>
      </w:r>
      <w:r>
        <w:rPr>
          <w:rFonts w:hint="eastAsia"/>
        </w:rPr>
        <w:t>《永久宪法》第</w:t>
      </w:r>
      <w:r>
        <w:rPr>
          <w:rFonts w:hint="eastAsia"/>
        </w:rPr>
        <w:t>41</w:t>
      </w:r>
      <w:r>
        <w:rPr>
          <w:rFonts w:hint="eastAsia"/>
        </w:rPr>
        <w:t>条规定：“法律对卡塔尔国籍以及与卡塔尔国籍有关的规则进行定义。这些规则具有宪法性权威”。</w:t>
      </w:r>
    </w:p>
    <w:p w:rsidR="007234DD" w:rsidRDefault="007234DD">
      <w:pPr>
        <w:pStyle w:val="SingleTxtGC"/>
        <w:rPr>
          <w:rFonts w:hint="eastAsia"/>
        </w:rPr>
      </w:pPr>
      <w:r>
        <w:t xml:space="preserve">208.  </w:t>
      </w:r>
      <w:r>
        <w:rPr>
          <w:rFonts w:hint="eastAsia"/>
        </w:rPr>
        <w:t>《国籍法》</w:t>
      </w:r>
      <w:r>
        <w:rPr>
          <w:rFonts w:hint="eastAsia"/>
        </w:rPr>
        <w:t>(2005</w:t>
      </w:r>
      <w:r>
        <w:rPr>
          <w:rFonts w:hint="eastAsia"/>
        </w:rPr>
        <w:t>年第</w:t>
      </w:r>
      <w:r>
        <w:rPr>
          <w:rFonts w:hint="eastAsia"/>
        </w:rPr>
        <w:t>38</w:t>
      </w:r>
      <w:r>
        <w:rPr>
          <w:rFonts w:hint="eastAsia"/>
        </w:rPr>
        <w:t>号法</w:t>
      </w:r>
      <w:r>
        <w:rPr>
          <w:rFonts w:hint="eastAsia"/>
        </w:rPr>
        <w:t>)</w:t>
      </w:r>
      <w:r>
        <w:rPr>
          <w:rFonts w:hint="eastAsia"/>
        </w:rPr>
        <w:t>对取得、授予、撤销和恢复卡塔尔国籍作了规定，其中不在男女之间加以区别，除非在卡塔尔妇女与外国人结婚的情况下。在这种情况下，不给予卡塔尔妇女的外籍丈夫和子女国籍，因为这是主权问题，国家对此有自由裁量权。《国籍法》具有宪法性权威。《卡塔尔宪法》在生效后</w:t>
      </w:r>
      <w:r>
        <w:rPr>
          <w:rFonts w:hint="eastAsia"/>
        </w:rPr>
        <w:t>10</w:t>
      </w:r>
      <w:r>
        <w:rPr>
          <w:rFonts w:hint="eastAsia"/>
        </w:rPr>
        <w:t>年内不得进行修正。《宪法》的修正程序与该法相同。在取得、授予、撤销和恢复卡塔尔国籍方面，《国籍法》不载有任何以性别为由进行歧视的规定。该法第</w:t>
      </w:r>
      <w:r>
        <w:rPr>
          <w:rFonts w:hint="eastAsia"/>
        </w:rPr>
        <w:t>1</w:t>
      </w:r>
      <w:r>
        <w:rPr>
          <w:rFonts w:hint="eastAsia"/>
        </w:rPr>
        <w:t>条规定，卡塔尔国民是指：</w:t>
      </w:r>
    </w:p>
    <w:p w:rsidR="007234DD" w:rsidRDefault="007234DD">
      <w:pPr>
        <w:pStyle w:val="Bullet1GC"/>
      </w:pPr>
      <w:r>
        <w:rPr>
          <w:rFonts w:hint="eastAsia"/>
        </w:rPr>
        <w:t>1930</w:t>
      </w:r>
      <w:r>
        <w:rPr>
          <w:rFonts w:hint="eastAsia"/>
        </w:rPr>
        <w:t>年之前在卡塔尔居住，在卡塔尔保留有经常居住地，并且在上述</w:t>
      </w:r>
      <w:r>
        <w:rPr>
          <w:rFonts w:hint="eastAsia"/>
        </w:rPr>
        <w:t>1961</w:t>
      </w:r>
      <w:r>
        <w:rPr>
          <w:rFonts w:hint="eastAsia"/>
        </w:rPr>
        <w:t>年第</w:t>
      </w:r>
      <w:r>
        <w:rPr>
          <w:rFonts w:hint="eastAsia"/>
        </w:rPr>
        <w:t>2</w:t>
      </w:r>
      <w:r>
        <w:rPr>
          <w:rFonts w:hint="eastAsia"/>
        </w:rPr>
        <w:t>号法生效之日仍拥有卡塔尔国籍的人员</w:t>
      </w:r>
    </w:p>
    <w:p w:rsidR="007234DD" w:rsidRDefault="007234DD">
      <w:pPr>
        <w:pStyle w:val="Bullet1GC"/>
      </w:pPr>
      <w:r>
        <w:rPr>
          <w:rFonts w:hint="eastAsia"/>
        </w:rPr>
        <w:t>达不到上述标准但可以证明自己有卡塔尔祖先的人员，如一项埃米尔令所确认的那样</w:t>
      </w:r>
    </w:p>
    <w:p w:rsidR="007234DD" w:rsidRDefault="007234DD">
      <w:pPr>
        <w:pStyle w:val="Bullet1GC"/>
      </w:pPr>
      <w:r>
        <w:rPr>
          <w:rFonts w:hint="eastAsia"/>
        </w:rPr>
        <w:t>根据该法取得卡塔尔国籍的人员</w:t>
      </w:r>
    </w:p>
    <w:p w:rsidR="007234DD" w:rsidRDefault="007234DD">
      <w:pPr>
        <w:pStyle w:val="Bullet1GC"/>
      </w:pPr>
      <w:r>
        <w:rPr>
          <w:rFonts w:hint="eastAsia"/>
        </w:rPr>
        <w:t>在卡塔尔或国外出生、根据上述标准其父亲被认可为卡塔尔国民的儿童</w:t>
      </w:r>
    </w:p>
    <w:p w:rsidR="007234DD" w:rsidRDefault="007234DD">
      <w:pPr>
        <w:pStyle w:val="SingleTxtGC"/>
        <w:rPr>
          <w:rFonts w:hint="eastAsia"/>
        </w:rPr>
      </w:pPr>
      <w:r>
        <w:t xml:space="preserve">209.  </w:t>
      </w:r>
      <w:r>
        <w:rPr>
          <w:rFonts w:hint="eastAsia"/>
        </w:rPr>
        <w:t>在这方面，《国籍法》第</w:t>
      </w:r>
      <w:r>
        <w:rPr>
          <w:rFonts w:hint="eastAsia"/>
        </w:rPr>
        <w:t>2</w:t>
      </w:r>
      <w:r>
        <w:rPr>
          <w:rFonts w:hint="eastAsia"/>
        </w:rPr>
        <w:t>条规定，卡塔尔国籍可授予达到下列条件的非卡塔尔人：</w:t>
      </w:r>
    </w:p>
    <w:p w:rsidR="007234DD" w:rsidRDefault="007234DD">
      <w:pPr>
        <w:pStyle w:val="Bullet1GC"/>
      </w:pPr>
      <w:r>
        <w:rPr>
          <w:rFonts w:hint="eastAsia"/>
        </w:rPr>
        <w:t>在提交入籍申请当日之前至少已经连续</w:t>
      </w:r>
      <w:r>
        <w:rPr>
          <w:rFonts w:hint="eastAsia"/>
        </w:rPr>
        <w:t>25</w:t>
      </w:r>
      <w:r>
        <w:rPr>
          <w:rFonts w:hint="eastAsia"/>
        </w:rPr>
        <w:t>年在卡塔尔有合法的经常居住地</w:t>
      </w:r>
    </w:p>
    <w:p w:rsidR="007234DD" w:rsidRDefault="007234DD">
      <w:pPr>
        <w:pStyle w:val="Bullet1GC"/>
      </w:pPr>
      <w:r>
        <w:rPr>
          <w:rFonts w:hint="eastAsia"/>
        </w:rPr>
        <w:t>如果申请人在提交入籍申请后离开卡塔尔超过</w:t>
      </w:r>
      <w:r>
        <w:rPr>
          <w:rFonts w:hint="eastAsia"/>
        </w:rPr>
        <w:t>6</w:t>
      </w:r>
      <w:r>
        <w:rPr>
          <w:rFonts w:hint="eastAsia"/>
        </w:rPr>
        <w:t>个月，内政部可决定无视过去的居留时间</w:t>
      </w:r>
    </w:p>
    <w:p w:rsidR="007234DD" w:rsidRDefault="007234DD">
      <w:pPr>
        <w:pStyle w:val="Bullet1GC"/>
      </w:pPr>
      <w:r>
        <w:rPr>
          <w:rFonts w:hint="eastAsia"/>
        </w:rPr>
        <w:t>有足以满足其需要的合法收入来源</w:t>
      </w:r>
    </w:p>
    <w:p w:rsidR="007234DD" w:rsidRDefault="007234DD">
      <w:pPr>
        <w:pStyle w:val="Bullet1GC"/>
      </w:pPr>
      <w:r>
        <w:rPr>
          <w:rFonts w:hint="eastAsia"/>
        </w:rPr>
        <w:t>品行端正，声誉良好，并且从未在卡塔尔或国外作出的最终法院判决中被判犯有不道德罪行或违约罪行</w:t>
      </w:r>
    </w:p>
    <w:p w:rsidR="007234DD" w:rsidRDefault="007234DD">
      <w:pPr>
        <w:pStyle w:val="Bullet1GC"/>
      </w:pPr>
      <w:r>
        <w:rPr>
          <w:rFonts w:hint="eastAsia"/>
        </w:rPr>
        <w:t>阿拉伯语水平必须足够好</w:t>
      </w:r>
    </w:p>
    <w:p w:rsidR="007234DD" w:rsidRDefault="007234DD">
      <w:pPr>
        <w:pStyle w:val="SingleTxtGC"/>
      </w:pPr>
      <w:r>
        <w:t xml:space="preserve">210.  </w:t>
      </w:r>
      <w:r>
        <w:rPr>
          <w:rFonts w:hint="eastAsia"/>
        </w:rPr>
        <w:t>适用本条中的卡塔尔国籍授予规则时优先考虑卡塔尔籍母亲的子女。入籍卡塔尔人是指在卡塔尔或国外出生，其父亲是入籍卡塔尔国民的人员。在卡塔尔出生但父母身份不明的儿童，其地位与入籍公民一样。弃儿被视为出生于卡塔尔，除非有相反的证据。</w:t>
      </w:r>
    </w:p>
    <w:p w:rsidR="007234DD" w:rsidRDefault="007234DD">
      <w:pPr>
        <w:pStyle w:val="SingleTxtGC"/>
      </w:pPr>
      <w:r>
        <w:t xml:space="preserve">211.  </w:t>
      </w:r>
      <w:r>
        <w:rPr>
          <w:rFonts w:hint="eastAsia"/>
        </w:rPr>
        <w:t>卡塔尔妇女不因与非卡塔尔人结婚而丧失卡塔尔国籍，而是只有在取得其丈夫的国籍的情况下，她们才丧失卡塔尔国籍。在这种情况下，如果她们放弃别国国籍，可以重新取得卡塔尔国籍。</w:t>
      </w:r>
    </w:p>
    <w:p w:rsidR="007234DD" w:rsidRDefault="007234DD">
      <w:pPr>
        <w:pStyle w:val="SingleTxtGC"/>
      </w:pPr>
      <w:r>
        <w:t xml:space="preserve">212.  </w:t>
      </w:r>
      <w:r>
        <w:rPr>
          <w:rFonts w:hint="eastAsia"/>
        </w:rPr>
        <w:t>数字表明，</w:t>
      </w:r>
      <w:r>
        <w:rPr>
          <w:rFonts w:hint="eastAsia"/>
        </w:rPr>
        <w:t>2007</w:t>
      </w:r>
      <w:r>
        <w:rPr>
          <w:rFonts w:hint="eastAsia"/>
        </w:rPr>
        <w:t>年入籍的妇女多于男子：妇女为</w:t>
      </w:r>
      <w:r>
        <w:rPr>
          <w:rFonts w:hint="eastAsia"/>
        </w:rPr>
        <w:t>117</w:t>
      </w:r>
      <w:r>
        <w:rPr>
          <w:rFonts w:hint="eastAsia"/>
        </w:rPr>
        <w:t>名，而男子只有</w:t>
      </w:r>
      <w:r>
        <w:rPr>
          <w:rFonts w:hint="eastAsia"/>
        </w:rPr>
        <w:t>41</w:t>
      </w:r>
      <w:r>
        <w:rPr>
          <w:rFonts w:hint="eastAsia"/>
        </w:rPr>
        <w:t>名。</w:t>
      </w:r>
    </w:p>
    <w:p w:rsidR="007234DD" w:rsidRDefault="007234DD">
      <w:pPr>
        <w:pStyle w:val="SingleTxtGC"/>
      </w:pPr>
      <w:r>
        <w:rPr>
          <w:rFonts w:hint="eastAsia"/>
        </w:rPr>
        <w:t>表</w:t>
      </w:r>
      <w:r>
        <w:t>7</w:t>
      </w:r>
      <w:r>
        <w:rPr>
          <w:rFonts w:hint="eastAsia"/>
        </w:rPr>
        <w:br/>
      </w:r>
      <w:r>
        <w:rPr>
          <w:rFonts w:eastAsia="SimHei"/>
        </w:rPr>
        <w:t>2006</w:t>
      </w:r>
      <w:r>
        <w:rPr>
          <w:rFonts w:eastAsia="SimHei"/>
        </w:rPr>
        <w:t>年和</w:t>
      </w:r>
      <w:r>
        <w:rPr>
          <w:rFonts w:eastAsia="SimHei"/>
        </w:rPr>
        <w:t>2007</w:t>
      </w:r>
      <w:r>
        <w:rPr>
          <w:rFonts w:eastAsia="SimHei"/>
        </w:rPr>
        <w:t>年被授予卡塔尔国籍的外国人数量</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7234DD">
        <w:trPr>
          <w:cantSplit/>
        </w:trPr>
        <w:tc>
          <w:tcPr>
            <w:tcW w:w="1841" w:type="dxa"/>
            <w:tcBorders>
              <w:top w:val="single" w:sz="4" w:space="0" w:color="auto"/>
              <w:bottom w:val="single" w:sz="12" w:space="0" w:color="auto"/>
            </w:tcBorders>
            <w:shd w:val="clear" w:color="auto" w:fill="auto"/>
            <w:vAlign w:val="bottom"/>
          </w:tcPr>
          <w:p w:rsidR="007234DD" w:rsidRDefault="007234DD">
            <w:pPr>
              <w:pStyle w:val="a0"/>
              <w:ind w:right="0"/>
            </w:pPr>
            <w:r>
              <w:rPr>
                <w:rFonts w:hint="eastAsia"/>
              </w:rPr>
              <w:t>年份</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pPr>
            <w:r>
              <w:rPr>
                <w:rFonts w:hint="eastAsia"/>
              </w:rPr>
              <w:t>男性</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pPr>
            <w:r>
              <w:rPr>
                <w:rFonts w:hint="eastAsia"/>
              </w:rPr>
              <w:t>女性</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b/>
              </w:rPr>
            </w:pPr>
            <w:r>
              <w:rPr>
                <w:rFonts w:hint="eastAsia"/>
                <w:b/>
              </w:rPr>
              <w:t>合计</w:t>
            </w:r>
          </w:p>
        </w:tc>
      </w:tr>
      <w:tr w:rsidR="007234DD">
        <w:trPr>
          <w:cantSplit/>
        </w:trPr>
        <w:tc>
          <w:tcPr>
            <w:tcW w:w="1841" w:type="dxa"/>
            <w:tcBorders>
              <w:top w:val="single" w:sz="12" w:space="0" w:color="auto"/>
            </w:tcBorders>
            <w:shd w:val="clear" w:color="auto" w:fill="auto"/>
          </w:tcPr>
          <w:p w:rsidR="007234DD" w:rsidRDefault="007234DD">
            <w:pPr>
              <w:pStyle w:val="a5"/>
              <w:rPr>
                <w:rFonts w:hint="eastAsia"/>
              </w:rPr>
            </w:pPr>
            <w:r>
              <w:t>2006</w:t>
            </w:r>
          </w:p>
        </w:tc>
        <w:tc>
          <w:tcPr>
            <w:tcW w:w="1843" w:type="dxa"/>
            <w:tcBorders>
              <w:top w:val="single" w:sz="12" w:space="0" w:color="auto"/>
            </w:tcBorders>
            <w:shd w:val="clear" w:color="auto" w:fill="auto"/>
          </w:tcPr>
          <w:p w:rsidR="007234DD" w:rsidRDefault="007234DD">
            <w:pPr>
              <w:pStyle w:val="a5"/>
              <w:ind w:right="0"/>
              <w:jc w:val="right"/>
            </w:pPr>
            <w:r>
              <w:t>500</w:t>
            </w:r>
          </w:p>
        </w:tc>
        <w:tc>
          <w:tcPr>
            <w:tcW w:w="1843" w:type="dxa"/>
            <w:tcBorders>
              <w:top w:val="single" w:sz="12" w:space="0" w:color="auto"/>
            </w:tcBorders>
            <w:shd w:val="clear" w:color="auto" w:fill="auto"/>
          </w:tcPr>
          <w:p w:rsidR="007234DD" w:rsidRDefault="007234DD">
            <w:pPr>
              <w:pStyle w:val="a5"/>
              <w:ind w:right="0"/>
              <w:jc w:val="right"/>
            </w:pPr>
            <w:r>
              <w:t>454</w:t>
            </w:r>
          </w:p>
        </w:tc>
        <w:tc>
          <w:tcPr>
            <w:tcW w:w="1843" w:type="dxa"/>
            <w:tcBorders>
              <w:top w:val="single" w:sz="12" w:space="0" w:color="auto"/>
            </w:tcBorders>
            <w:shd w:val="clear" w:color="auto" w:fill="auto"/>
          </w:tcPr>
          <w:p w:rsidR="007234DD" w:rsidRDefault="007234DD">
            <w:pPr>
              <w:pStyle w:val="a5"/>
              <w:ind w:right="0"/>
              <w:jc w:val="right"/>
              <w:rPr>
                <w:b/>
              </w:rPr>
            </w:pPr>
            <w:r>
              <w:rPr>
                <w:b/>
              </w:rPr>
              <w:t>954</w:t>
            </w:r>
          </w:p>
        </w:tc>
      </w:tr>
      <w:tr w:rsidR="007234DD">
        <w:trPr>
          <w:cantSplit/>
        </w:trPr>
        <w:tc>
          <w:tcPr>
            <w:tcW w:w="1841" w:type="dxa"/>
            <w:tcBorders>
              <w:bottom w:val="single" w:sz="12" w:space="0" w:color="auto"/>
            </w:tcBorders>
            <w:shd w:val="clear" w:color="auto" w:fill="auto"/>
          </w:tcPr>
          <w:p w:rsidR="007234DD" w:rsidRDefault="007234DD">
            <w:pPr>
              <w:pStyle w:val="a5"/>
            </w:pPr>
            <w:r>
              <w:t>2007</w:t>
            </w:r>
            <w:r>
              <w:rPr>
                <w:szCs w:val="18"/>
              </w:rPr>
              <w:t>*</w:t>
            </w:r>
          </w:p>
        </w:tc>
        <w:tc>
          <w:tcPr>
            <w:tcW w:w="1843" w:type="dxa"/>
            <w:tcBorders>
              <w:bottom w:val="single" w:sz="12" w:space="0" w:color="auto"/>
            </w:tcBorders>
            <w:shd w:val="clear" w:color="auto" w:fill="auto"/>
          </w:tcPr>
          <w:p w:rsidR="007234DD" w:rsidRDefault="007234DD">
            <w:pPr>
              <w:pStyle w:val="a5"/>
              <w:ind w:right="0"/>
              <w:jc w:val="right"/>
            </w:pPr>
            <w:r>
              <w:t>41</w:t>
            </w:r>
          </w:p>
        </w:tc>
        <w:tc>
          <w:tcPr>
            <w:tcW w:w="1843" w:type="dxa"/>
            <w:tcBorders>
              <w:bottom w:val="single" w:sz="12" w:space="0" w:color="auto"/>
            </w:tcBorders>
            <w:shd w:val="clear" w:color="auto" w:fill="auto"/>
          </w:tcPr>
          <w:p w:rsidR="007234DD" w:rsidRDefault="007234DD">
            <w:pPr>
              <w:pStyle w:val="a5"/>
              <w:ind w:right="0"/>
              <w:jc w:val="right"/>
            </w:pPr>
            <w:r>
              <w:t>117</w:t>
            </w:r>
          </w:p>
        </w:tc>
        <w:tc>
          <w:tcPr>
            <w:tcW w:w="1843" w:type="dxa"/>
            <w:tcBorders>
              <w:bottom w:val="single" w:sz="12" w:space="0" w:color="auto"/>
            </w:tcBorders>
            <w:shd w:val="clear" w:color="auto" w:fill="auto"/>
          </w:tcPr>
          <w:p w:rsidR="007234DD" w:rsidRDefault="007234DD">
            <w:pPr>
              <w:pStyle w:val="a5"/>
              <w:ind w:right="0"/>
              <w:jc w:val="right"/>
              <w:rPr>
                <w:b/>
              </w:rPr>
            </w:pPr>
            <w:r>
              <w:rPr>
                <w:b/>
              </w:rPr>
              <w:t>158</w:t>
            </w:r>
          </w:p>
        </w:tc>
      </w:tr>
    </w:tbl>
    <w:p w:rsidR="007234DD" w:rsidRDefault="00247695" w:rsidP="00247695">
      <w:pPr>
        <w:pStyle w:val="SingleTxtGC"/>
        <w:tabs>
          <w:tab w:val="clear" w:pos="431"/>
          <w:tab w:val="clear" w:pos="1565"/>
          <w:tab w:val="left" w:pos="170"/>
          <w:tab w:val="left" w:pos="1300"/>
        </w:tabs>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卡塔尔国，内政部，</w:t>
      </w:r>
      <w:r w:rsidR="007234DD">
        <w:rPr>
          <w:rFonts w:hint="eastAsia"/>
          <w:sz w:val="19"/>
          <w:szCs w:val="19"/>
        </w:rPr>
        <w:t>2008</w:t>
      </w:r>
      <w:r w:rsidR="007234DD">
        <w:rPr>
          <w:rFonts w:hint="eastAsia"/>
          <w:sz w:val="19"/>
          <w:szCs w:val="19"/>
        </w:rPr>
        <w:t>年。</w:t>
      </w:r>
    </w:p>
    <w:p w:rsidR="007234DD" w:rsidRDefault="00247695">
      <w:pPr>
        <w:spacing w:after="240"/>
        <w:ind w:left="1134" w:right="1134" w:firstLine="36"/>
        <w:rPr>
          <w:sz w:val="18"/>
          <w:szCs w:val="18"/>
        </w:rPr>
      </w:pPr>
      <w:r>
        <w:rPr>
          <w:i/>
        </w:rPr>
        <w:tab/>
      </w:r>
      <w:r w:rsidR="007234DD">
        <w:rPr>
          <w:i/>
        </w:rPr>
        <w:t xml:space="preserve">*  </w:t>
      </w:r>
      <w:r w:rsidR="007234DD">
        <w:rPr>
          <w:rFonts w:hint="eastAsia"/>
          <w:sz w:val="18"/>
          <w:szCs w:val="18"/>
        </w:rPr>
        <w:t>只有</w:t>
      </w:r>
      <w:r w:rsidR="007234DD">
        <w:rPr>
          <w:rFonts w:hint="eastAsia"/>
          <w:sz w:val="18"/>
          <w:szCs w:val="18"/>
        </w:rPr>
        <w:t>5</w:t>
      </w:r>
      <w:r w:rsidR="007234DD">
        <w:rPr>
          <w:rFonts w:hint="eastAsia"/>
          <w:sz w:val="18"/>
          <w:szCs w:val="18"/>
        </w:rPr>
        <w:t>个月的数据</w:t>
      </w:r>
      <w:r w:rsidR="007234DD">
        <w:rPr>
          <w:rFonts w:hint="eastAsia"/>
          <w:sz w:val="18"/>
          <w:szCs w:val="18"/>
        </w:rPr>
        <w:t>(</w:t>
      </w:r>
      <w:r w:rsidR="007234DD">
        <w:rPr>
          <w:rFonts w:hint="eastAsia"/>
          <w:sz w:val="18"/>
          <w:szCs w:val="18"/>
        </w:rPr>
        <w:t>至</w:t>
      </w:r>
      <w:r w:rsidR="007234DD">
        <w:rPr>
          <w:rFonts w:hint="eastAsia"/>
          <w:sz w:val="18"/>
          <w:szCs w:val="18"/>
        </w:rPr>
        <w:t>5</w:t>
      </w:r>
      <w:r w:rsidR="007234DD">
        <w:rPr>
          <w:rFonts w:hint="eastAsia"/>
          <w:sz w:val="18"/>
          <w:szCs w:val="18"/>
        </w:rPr>
        <w:t>月份</w:t>
      </w:r>
      <w:r w:rsidR="007234DD">
        <w:rPr>
          <w:rFonts w:hint="eastAsia"/>
          <w:sz w:val="18"/>
          <w:szCs w:val="18"/>
        </w:rPr>
        <w:t>)</w:t>
      </w:r>
      <w:r w:rsidR="007234DD">
        <w:rPr>
          <w:rFonts w:hint="eastAsia"/>
          <w:sz w:val="18"/>
          <w:szCs w:val="18"/>
        </w:rPr>
        <w:t>。</w:t>
      </w:r>
    </w:p>
    <w:p w:rsidR="007234DD" w:rsidRDefault="007234DD">
      <w:pPr>
        <w:pStyle w:val="H23GC"/>
        <w:rPr>
          <w:rFonts w:hint="eastAsia"/>
        </w:rPr>
      </w:pPr>
      <w:r>
        <w:rPr>
          <w:rFonts w:hint="eastAsia"/>
        </w:rPr>
        <w:tab/>
      </w:r>
      <w:r>
        <w:rPr>
          <w:rFonts w:hint="eastAsia"/>
        </w:rPr>
        <w:tab/>
      </w:r>
      <w:r>
        <w:rPr>
          <w:rFonts w:hint="eastAsia"/>
        </w:rPr>
        <w:t>卡塔尔对《公约》第九条第</w:t>
      </w:r>
      <w:r>
        <w:rPr>
          <w:rFonts w:hint="eastAsia"/>
        </w:rPr>
        <w:t>2</w:t>
      </w:r>
      <w:r>
        <w:rPr>
          <w:rFonts w:hint="eastAsia"/>
        </w:rPr>
        <w:t>款所作的保留</w:t>
      </w:r>
    </w:p>
    <w:p w:rsidR="007234DD" w:rsidRDefault="007234DD">
      <w:pPr>
        <w:pStyle w:val="SingleTxtGC"/>
        <w:rPr>
          <w:rFonts w:hint="eastAsia"/>
        </w:rPr>
      </w:pPr>
      <w:r>
        <w:t xml:space="preserve">213.  </w:t>
      </w:r>
      <w:r>
        <w:rPr>
          <w:rFonts w:hint="eastAsia"/>
        </w:rPr>
        <w:t>卡塔尔对《公约》第九条第</w:t>
      </w:r>
      <w:r>
        <w:rPr>
          <w:rFonts w:hint="eastAsia"/>
        </w:rPr>
        <w:t>2</w:t>
      </w:r>
      <w:r>
        <w:rPr>
          <w:rFonts w:hint="eastAsia"/>
        </w:rPr>
        <w:t>款作出保留。该款规定：“缔约各国在子女的国籍方面，应给予妇女与男子平等的权利”。根据《卡塔尔国籍法》，国籍依据血缘关系授予，即依据父亲的国籍。丈夫为外国人的卡塔尔妇女无权将其国籍传给子女。这是为了防止人们持有双重国籍。在该问题上采取的办法以公共利益需要为依据，因为国籍与国家的自由裁量权和主权有密切关系。然而，有措施确保丈夫为外国人的卡塔尔妇女的子女在教育、卫生、就业等领域享有与卡塔尔国民的子女同样的待遇。</w:t>
      </w:r>
    </w:p>
    <w:p w:rsidR="007234DD" w:rsidRDefault="007234DD">
      <w:pPr>
        <w:pStyle w:val="H1GC"/>
        <w:rPr>
          <w:rFonts w:hint="eastAsia"/>
        </w:rPr>
      </w:pPr>
      <w:r>
        <w:rPr>
          <w:rFonts w:hint="eastAsia"/>
        </w:rPr>
        <w:tab/>
      </w:r>
      <w:r>
        <w:rPr>
          <w:rFonts w:hint="eastAsia"/>
        </w:rPr>
        <w:tab/>
      </w:r>
      <w:r>
        <w:rPr>
          <w:rFonts w:hint="eastAsia"/>
        </w:rPr>
        <w:t>第十条</w:t>
      </w:r>
      <w:r>
        <w:rPr>
          <w:rFonts w:hint="eastAsia"/>
        </w:rPr>
        <w:br/>
      </w:r>
      <w:r>
        <w:rPr>
          <w:rFonts w:hint="eastAsia"/>
        </w:rPr>
        <w:t>教育</w:t>
      </w:r>
    </w:p>
    <w:p w:rsidR="007234DD" w:rsidRDefault="007234DD">
      <w:pPr>
        <w:pStyle w:val="H23GC"/>
        <w:rPr>
          <w:rFonts w:hint="eastAsia"/>
        </w:rPr>
      </w:pPr>
      <w:r>
        <w:rPr>
          <w:rFonts w:hint="eastAsia"/>
        </w:rPr>
        <w:tab/>
      </w:r>
      <w:r>
        <w:rPr>
          <w:rFonts w:hint="eastAsia"/>
        </w:rPr>
        <w:tab/>
      </w:r>
      <w:r>
        <w:rPr>
          <w:rFonts w:hint="eastAsia"/>
        </w:rPr>
        <w:t>宪法和法律框架</w:t>
      </w:r>
    </w:p>
    <w:p w:rsidR="007234DD" w:rsidRDefault="007234DD">
      <w:pPr>
        <w:pStyle w:val="SingleTxtGC"/>
      </w:pPr>
      <w:r>
        <w:t xml:space="preserve">214.  </w:t>
      </w:r>
      <w:r>
        <w:rPr>
          <w:rFonts w:hint="eastAsia"/>
        </w:rPr>
        <w:t>《卡塔尔宪法》第</w:t>
      </w:r>
      <w:r>
        <w:rPr>
          <w:rFonts w:hint="eastAsia"/>
        </w:rPr>
        <w:t>25</w:t>
      </w:r>
      <w:r>
        <w:rPr>
          <w:rFonts w:hint="eastAsia"/>
        </w:rPr>
        <w:t>条规定：“教育是社会进步的基石之一，国家应提供、促进和努力传播教育”。第</w:t>
      </w:r>
      <w:r>
        <w:rPr>
          <w:rFonts w:hint="eastAsia"/>
        </w:rPr>
        <w:t>49</w:t>
      </w:r>
      <w:r>
        <w:rPr>
          <w:rFonts w:hint="eastAsia"/>
        </w:rPr>
        <w:t>条进一步规定：“所有公民均享有受教育权。国家应按照国家现行法律法规建立免费义务教育制度”。</w:t>
      </w:r>
    </w:p>
    <w:p w:rsidR="007234DD" w:rsidRDefault="007234DD">
      <w:pPr>
        <w:pStyle w:val="SingleTxtGC"/>
      </w:pPr>
      <w:r>
        <w:t xml:space="preserve">215.  </w:t>
      </w:r>
      <w:r>
        <w:rPr>
          <w:rFonts w:hint="eastAsia"/>
        </w:rPr>
        <w:t>关于成立最高教育委员会的</w:t>
      </w:r>
      <w:r>
        <w:rPr>
          <w:rFonts w:hint="eastAsia"/>
        </w:rPr>
        <w:t>2002</w:t>
      </w:r>
      <w:r>
        <w:rPr>
          <w:rFonts w:hint="eastAsia"/>
        </w:rPr>
        <w:t>年第</w:t>
      </w:r>
      <w:r>
        <w:rPr>
          <w:rFonts w:hint="eastAsia"/>
        </w:rPr>
        <w:t>37</w:t>
      </w:r>
      <w:r>
        <w:rPr>
          <w:rFonts w:hint="eastAsia"/>
        </w:rPr>
        <w:t>号令</w:t>
      </w:r>
      <w:r>
        <w:rPr>
          <w:rFonts w:hint="eastAsia"/>
        </w:rPr>
        <w:t>(</w:t>
      </w:r>
      <w:r>
        <w:rPr>
          <w:rFonts w:hint="eastAsia"/>
        </w:rPr>
        <w:t>法</w:t>
      </w:r>
      <w:r>
        <w:rPr>
          <w:rFonts w:hint="eastAsia"/>
        </w:rPr>
        <w:t>)</w:t>
      </w:r>
      <w:r>
        <w:rPr>
          <w:rFonts w:hint="eastAsia"/>
        </w:rPr>
        <w:t>第</w:t>
      </w:r>
      <w:r>
        <w:rPr>
          <w:rFonts w:hint="eastAsia"/>
        </w:rPr>
        <w:t>6</w:t>
      </w:r>
      <w:r>
        <w:rPr>
          <w:rFonts w:hint="eastAsia"/>
        </w:rPr>
        <w:t>条对符合国家要求的优质教育的提供作了规定。这将通过建立促进创新和教育卓越的非传统多样化教育系统</w:t>
      </w:r>
      <w:r>
        <w:rPr>
          <w:rFonts w:hint="eastAsia"/>
          <w:spacing w:val="-50"/>
        </w:rPr>
        <w:t>―</w:t>
      </w:r>
      <w:r>
        <w:rPr>
          <w:rFonts w:hint="eastAsia"/>
          <w:spacing w:val="10"/>
        </w:rPr>
        <w:t>―</w:t>
      </w:r>
      <w:r>
        <w:rPr>
          <w:rFonts w:hint="eastAsia"/>
        </w:rPr>
        <w:t>即致力于取得世界级教育成果的独立学校</w:t>
      </w:r>
      <w:r>
        <w:rPr>
          <w:rFonts w:hint="eastAsia"/>
          <w:spacing w:val="-50"/>
        </w:rPr>
        <w:t>―</w:t>
      </w:r>
      <w:r>
        <w:rPr>
          <w:rFonts w:hint="eastAsia"/>
          <w:spacing w:val="10"/>
        </w:rPr>
        <w:t>―</w:t>
      </w:r>
      <w:r>
        <w:rPr>
          <w:rFonts w:hint="eastAsia"/>
        </w:rPr>
        <w:t>来实现。这些学校实行男女同校。“卡塔尔国家愿景”文件中侧重于人的发展的章节</w:t>
      </w:r>
      <w:r>
        <w:rPr>
          <w:rFonts w:hint="eastAsia"/>
        </w:rPr>
        <w:t>(</w:t>
      </w:r>
      <w:r>
        <w:rPr>
          <w:rFonts w:hint="eastAsia"/>
        </w:rPr>
        <w:t>第</w:t>
      </w:r>
      <w:r>
        <w:rPr>
          <w:rFonts w:hint="eastAsia"/>
        </w:rPr>
        <w:t>1</w:t>
      </w:r>
      <w:r>
        <w:rPr>
          <w:rFonts w:hint="eastAsia"/>
        </w:rPr>
        <w:t>节</w:t>
      </w:r>
      <w:r>
        <w:rPr>
          <w:rFonts w:hint="eastAsia"/>
        </w:rPr>
        <w:t>)</w:t>
      </w:r>
      <w:r>
        <w:rPr>
          <w:rFonts w:hint="eastAsia"/>
        </w:rPr>
        <w:t>和培养有教养和有技能人口的目标强调，必须建设一个世界一流的现代教育系统，以为学生提供不逊于世界任何地方提供的一流教育，为市民提供良好的培训和发挥其潜能的机会，以及帮助他们为在日新月异、技术要求日益复杂的世界取得成功打下基础。</w:t>
      </w:r>
    </w:p>
    <w:p w:rsidR="007234DD" w:rsidRDefault="007234DD">
      <w:pPr>
        <w:pStyle w:val="SingleTxtGC"/>
      </w:pPr>
      <w:r>
        <w:t xml:space="preserve">216.  </w:t>
      </w:r>
      <w:r>
        <w:rPr>
          <w:rFonts w:hint="eastAsia"/>
        </w:rPr>
        <w:t>2001</w:t>
      </w:r>
      <w:r>
        <w:rPr>
          <w:rFonts w:hint="eastAsia"/>
        </w:rPr>
        <w:t>年第</w:t>
      </w:r>
      <w:r>
        <w:rPr>
          <w:rFonts w:hint="eastAsia"/>
        </w:rPr>
        <w:t>25</w:t>
      </w:r>
      <w:r>
        <w:rPr>
          <w:rFonts w:hint="eastAsia"/>
        </w:rPr>
        <w:t>号法规定，教育是义务制的，必须免费向所有儿童提供，从初等阶段开始到中等阶段结束或</w:t>
      </w:r>
      <w:r>
        <w:rPr>
          <w:rFonts w:hint="eastAsia"/>
        </w:rPr>
        <w:t>18</w:t>
      </w:r>
      <w:r>
        <w:rPr>
          <w:rFonts w:hint="eastAsia"/>
        </w:rPr>
        <w:t>岁</w:t>
      </w:r>
      <w:r>
        <w:rPr>
          <w:rFonts w:hint="eastAsia"/>
        </w:rPr>
        <w:t>(</w:t>
      </w:r>
      <w:r>
        <w:rPr>
          <w:rFonts w:hint="eastAsia"/>
        </w:rPr>
        <w:t>以先到者为准</w:t>
      </w:r>
      <w:r>
        <w:rPr>
          <w:rFonts w:hint="eastAsia"/>
        </w:rPr>
        <w:t>)</w:t>
      </w:r>
      <w:r>
        <w:rPr>
          <w:rFonts w:hint="eastAsia"/>
        </w:rPr>
        <w:t>。该部为最高教育委员会提供了实现这一目标的手段。</w:t>
      </w:r>
    </w:p>
    <w:p w:rsidR="007234DD" w:rsidRDefault="007234DD">
      <w:pPr>
        <w:pStyle w:val="SingleTxtGC"/>
      </w:pPr>
      <w:r>
        <w:t xml:space="preserve">217.  </w:t>
      </w:r>
      <w:r>
        <w:rPr>
          <w:rFonts w:hint="eastAsia"/>
        </w:rPr>
        <w:t>《宪法》和关于教育的国内法律法规对所有人在各个阶段获得教育的权利作了规定，并规定国家有责任提供公共教育。</w:t>
      </w:r>
    </w:p>
    <w:p w:rsidR="007234DD" w:rsidRDefault="007234DD">
      <w:pPr>
        <w:pStyle w:val="SingleTxtGC"/>
      </w:pPr>
      <w:r>
        <w:t xml:space="preserve">218.  </w:t>
      </w:r>
      <w:r>
        <w:rPr>
          <w:rFonts w:hint="eastAsia"/>
        </w:rPr>
        <w:t>2001</w:t>
      </w:r>
      <w:r>
        <w:rPr>
          <w:rFonts w:hint="eastAsia"/>
        </w:rPr>
        <w:t>年第</w:t>
      </w:r>
      <w:r>
        <w:rPr>
          <w:rFonts w:hint="eastAsia"/>
        </w:rPr>
        <w:t>25</w:t>
      </w:r>
      <w:r>
        <w:rPr>
          <w:rFonts w:hint="eastAsia"/>
        </w:rPr>
        <w:t>号法载有关于贯彻落实义务教育法律的体制安排的</w:t>
      </w:r>
      <w:r>
        <w:rPr>
          <w:rFonts w:hint="eastAsia"/>
        </w:rPr>
        <w:t>13</w:t>
      </w:r>
      <w:r>
        <w:rPr>
          <w:rFonts w:hint="eastAsia"/>
        </w:rPr>
        <w:t>条规定。它规定了教育招生程序、执行该法的责任方以及违反该法规定应受到的处罚和制裁。对处罚和制裁条款作了一些修正，将罚金从</w:t>
      </w:r>
      <w:r>
        <w:rPr>
          <w:rFonts w:hint="eastAsia"/>
        </w:rPr>
        <w:t>5,000</w:t>
      </w:r>
      <w:r>
        <w:rPr>
          <w:rFonts w:hint="eastAsia"/>
        </w:rPr>
        <w:t>卡塔尔里亚尔增加到了</w:t>
      </w:r>
      <w:r>
        <w:rPr>
          <w:rFonts w:hint="eastAsia"/>
        </w:rPr>
        <w:t>10,000</w:t>
      </w:r>
      <w:r>
        <w:rPr>
          <w:rFonts w:hint="eastAsia"/>
        </w:rPr>
        <w:t>卡塔尔里亚尔。根据</w:t>
      </w:r>
      <w:r>
        <w:rPr>
          <w:rFonts w:hint="eastAsia"/>
        </w:rPr>
        <w:t>2010</w:t>
      </w:r>
      <w:r>
        <w:rPr>
          <w:rFonts w:hint="eastAsia"/>
        </w:rPr>
        <w:t>年第</w:t>
      </w:r>
      <w:r>
        <w:rPr>
          <w:rFonts w:hint="eastAsia"/>
        </w:rPr>
        <w:t>10</w:t>
      </w:r>
      <w:r>
        <w:rPr>
          <w:rFonts w:hint="eastAsia"/>
        </w:rPr>
        <w:t>号大臣决定，成立了一个委员会，负责跟进父母违反《义务教育法》的案件。</w:t>
      </w:r>
      <w:r>
        <w:rPr>
          <w:rFonts w:hint="eastAsia"/>
        </w:rPr>
        <w:t>2009</w:t>
      </w:r>
      <w:r>
        <w:rPr>
          <w:rFonts w:hint="eastAsia"/>
        </w:rPr>
        <w:t>年</w:t>
      </w:r>
      <w:r>
        <w:rPr>
          <w:rFonts w:hint="eastAsia"/>
        </w:rPr>
        <w:t>9</w:t>
      </w:r>
      <w:r>
        <w:rPr>
          <w:rFonts w:hint="eastAsia"/>
        </w:rPr>
        <w:t>月通过了一项关于评估独立学校中学生行为的政策。根据该政策</w:t>
      </w:r>
      <w:r>
        <w:rPr>
          <w:rFonts w:hint="eastAsia"/>
        </w:rPr>
        <w:t>(</w:t>
      </w:r>
      <w:r>
        <w:rPr>
          <w:rFonts w:hint="eastAsia"/>
        </w:rPr>
        <w:t>监测逃学或被学校开除的学生的机制</w:t>
      </w:r>
      <w:r>
        <w:rPr>
          <w:rFonts w:hint="eastAsia"/>
        </w:rPr>
        <w:t>)</w:t>
      </w:r>
      <w:r>
        <w:rPr>
          <w:rFonts w:hint="eastAsia"/>
        </w:rPr>
        <w:t>，缺课和开除情况必须向卡塔尔保护儿童和妇女基金会报告，以便能够采取行动确保《义务教育法》得到适用，逃学原因得到解决。</w:t>
      </w:r>
    </w:p>
    <w:p w:rsidR="007234DD" w:rsidRDefault="007234DD">
      <w:pPr>
        <w:pStyle w:val="H23GC"/>
        <w:rPr>
          <w:rFonts w:hint="eastAsia"/>
        </w:rPr>
      </w:pPr>
      <w:r>
        <w:rPr>
          <w:rFonts w:hint="eastAsia"/>
        </w:rPr>
        <w:tab/>
      </w:r>
      <w:r>
        <w:rPr>
          <w:rFonts w:hint="eastAsia"/>
        </w:rPr>
        <w:tab/>
      </w:r>
      <w:r>
        <w:rPr>
          <w:rFonts w:hint="eastAsia"/>
        </w:rPr>
        <w:t>妇女与教育：概述</w:t>
      </w:r>
    </w:p>
    <w:p w:rsidR="007234DD" w:rsidRDefault="007234DD">
      <w:pPr>
        <w:pStyle w:val="SingleTxtGC"/>
      </w:pPr>
      <w:r>
        <w:t xml:space="preserve">219.  </w:t>
      </w:r>
      <w:r>
        <w:rPr>
          <w:rFonts w:hint="eastAsia"/>
        </w:rPr>
        <w:t>女童正规教育系统于</w:t>
      </w:r>
      <w:r>
        <w:rPr>
          <w:rFonts w:hint="eastAsia"/>
        </w:rPr>
        <w:t>1953</w:t>
      </w:r>
      <w:r>
        <w:rPr>
          <w:rFonts w:hint="eastAsia"/>
        </w:rPr>
        <w:t>年随着第一所面向女童的小学开学而推出。从那时起，女校的数量有所增加；目前，卡塔尔每个人口中心区都有女校。这有助于提高妇女教育成就的标准，并为妇女找到体面工作创造了机会。</w:t>
      </w:r>
    </w:p>
    <w:p w:rsidR="007234DD" w:rsidRDefault="007234DD">
      <w:pPr>
        <w:pStyle w:val="SingleTxtGC"/>
        <w:spacing w:after="80"/>
      </w:pPr>
      <w:r>
        <w:t xml:space="preserve">220.  </w:t>
      </w:r>
      <w:r>
        <w:rPr>
          <w:rFonts w:hint="eastAsia"/>
        </w:rPr>
        <w:t>由于由国家主导的扫盲促进措施、成人识字方案和《义务</w:t>
      </w:r>
      <w:r>
        <w:rPr>
          <w:rFonts w:hint="eastAsia"/>
        </w:rPr>
        <w:t>(</w:t>
      </w:r>
      <w:r>
        <w:rPr>
          <w:rFonts w:hint="eastAsia"/>
        </w:rPr>
        <w:t>初等</w:t>
      </w:r>
      <w:r>
        <w:rPr>
          <w:rFonts w:hint="eastAsia"/>
        </w:rPr>
        <w:t>)</w:t>
      </w:r>
      <w:r>
        <w:rPr>
          <w:rFonts w:hint="eastAsia"/>
        </w:rPr>
        <w:t>教育法》的严格执行，卡塔尔的教育系统已经成功提高了社会各阶层的教育水平。在这方面，如表</w:t>
      </w:r>
      <w:r>
        <w:rPr>
          <w:rFonts w:hint="eastAsia"/>
        </w:rPr>
        <w:t>8</w:t>
      </w:r>
      <w:r>
        <w:rPr>
          <w:rFonts w:hint="eastAsia"/>
        </w:rPr>
        <w:t>中的数字所示，卡塔尔的成人识字率</w:t>
      </w:r>
      <w:r>
        <w:rPr>
          <w:rFonts w:hint="eastAsia"/>
        </w:rPr>
        <w:t>(15</w:t>
      </w:r>
      <w:r>
        <w:rPr>
          <w:rFonts w:hint="eastAsia"/>
        </w:rPr>
        <w:t>岁以上</w:t>
      </w:r>
      <w:r>
        <w:rPr>
          <w:rFonts w:hint="eastAsia"/>
        </w:rPr>
        <w:t>)</w:t>
      </w:r>
      <w:r>
        <w:rPr>
          <w:rFonts w:hint="eastAsia"/>
        </w:rPr>
        <w:t>得到了改善，</w:t>
      </w:r>
      <w:r>
        <w:rPr>
          <w:rFonts w:hint="eastAsia"/>
        </w:rPr>
        <w:t>2004</w:t>
      </w:r>
      <w:r>
        <w:rPr>
          <w:rFonts w:hint="eastAsia"/>
        </w:rPr>
        <w:t>年男性成人识字率为</w:t>
      </w:r>
      <w:r>
        <w:rPr>
          <w:rFonts w:hint="eastAsia"/>
        </w:rPr>
        <w:t>93.47%</w:t>
      </w:r>
      <w:r>
        <w:rPr>
          <w:rFonts w:hint="eastAsia"/>
        </w:rPr>
        <w:t>，女性为</w:t>
      </w:r>
      <w:r>
        <w:rPr>
          <w:rFonts w:hint="eastAsia"/>
        </w:rPr>
        <w:t>84.99%</w:t>
      </w:r>
      <w:r>
        <w:rPr>
          <w:rFonts w:hint="eastAsia"/>
        </w:rPr>
        <w:t>，</w:t>
      </w:r>
      <w:r>
        <w:rPr>
          <w:rFonts w:hint="eastAsia"/>
        </w:rPr>
        <w:t>2009</w:t>
      </w:r>
      <w:r>
        <w:rPr>
          <w:rFonts w:hint="eastAsia"/>
        </w:rPr>
        <w:t>年则分别上升到了</w:t>
      </w:r>
      <w:r>
        <w:rPr>
          <w:rFonts w:hint="eastAsia"/>
        </w:rPr>
        <w:t>96.35%</w:t>
      </w:r>
      <w:r>
        <w:rPr>
          <w:rFonts w:hint="eastAsia"/>
        </w:rPr>
        <w:t>和</w:t>
      </w:r>
      <w:r>
        <w:rPr>
          <w:rFonts w:hint="eastAsia"/>
        </w:rPr>
        <w:t>90.02%</w:t>
      </w:r>
      <w:r>
        <w:rPr>
          <w:rFonts w:hint="eastAsia"/>
        </w:rPr>
        <w:t>。虽然这些数字并未表明性别差距已经得到消除，但它们十分清楚地表明，卡塔尔妇女的受教育状况正在不断得到改善。</w:t>
      </w:r>
      <w:r>
        <w:rPr>
          <w:rFonts w:hint="eastAsia"/>
        </w:rPr>
        <w:t>15</w:t>
      </w:r>
      <w:r>
        <w:rPr>
          <w:rFonts w:hint="eastAsia"/>
        </w:rPr>
        <w:t>至</w:t>
      </w:r>
      <w:r>
        <w:rPr>
          <w:rFonts w:hint="eastAsia"/>
        </w:rPr>
        <w:t>24</w:t>
      </w:r>
      <w:r>
        <w:rPr>
          <w:rFonts w:hint="eastAsia"/>
        </w:rPr>
        <w:t>岁年龄组的男女识字率几乎完全一样：</w:t>
      </w:r>
      <w:r>
        <w:rPr>
          <w:rFonts w:hint="eastAsia"/>
        </w:rPr>
        <w:t>2009</w:t>
      </w:r>
      <w:r>
        <w:rPr>
          <w:rFonts w:hint="eastAsia"/>
        </w:rPr>
        <w:t>年，男性为</w:t>
      </w:r>
      <w:r>
        <w:rPr>
          <w:rFonts w:hint="eastAsia"/>
        </w:rPr>
        <w:t>99.82%</w:t>
      </w:r>
      <w:r>
        <w:rPr>
          <w:rFonts w:hint="eastAsia"/>
        </w:rPr>
        <w:t>，女性为</w:t>
      </w:r>
      <w:r>
        <w:rPr>
          <w:rFonts w:hint="eastAsia"/>
        </w:rPr>
        <w:t>99.50%</w:t>
      </w:r>
      <w:r>
        <w:rPr>
          <w:rFonts w:hint="eastAsia"/>
        </w:rPr>
        <w:t>。</w:t>
      </w:r>
    </w:p>
    <w:p w:rsidR="007234DD" w:rsidRDefault="007234DD">
      <w:pPr>
        <w:pStyle w:val="SingleTxtGC"/>
        <w:rPr>
          <w:rFonts w:hint="eastAsia"/>
        </w:rPr>
      </w:pPr>
      <w:r>
        <w:rPr>
          <w:rFonts w:hint="eastAsia"/>
        </w:rPr>
        <w:t>表</w:t>
      </w:r>
      <w:r>
        <w:t>8</w:t>
      </w:r>
      <w:r>
        <w:rPr>
          <w:rFonts w:hint="eastAsia"/>
        </w:rPr>
        <w:br/>
      </w:r>
      <w:r>
        <w:rPr>
          <w:rFonts w:eastAsia="SimHei"/>
        </w:rPr>
        <w:t>按性别和年份分列的卡塔尔人的识字率</w:t>
      </w:r>
      <w:r>
        <w:rPr>
          <w:rFonts w:eastAsia="SimHei" w:hint="eastAsia"/>
        </w:rPr>
        <w:t>(</w:t>
      </w:r>
      <w:r>
        <w:rPr>
          <w:rFonts w:eastAsia="SimHei"/>
        </w:rPr>
        <w:t>%</w:t>
      </w:r>
      <w:r>
        <w:rPr>
          <w:rFonts w:eastAsia="SimHei" w:hint="eastAsia"/>
        </w:rPr>
        <w:t>)</w:t>
      </w:r>
    </w:p>
    <w:tbl>
      <w:tblPr>
        <w:tblW w:w="7370" w:type="dxa"/>
        <w:tblInd w:w="1134" w:type="dxa"/>
        <w:tblCellMar>
          <w:left w:w="0" w:type="dxa"/>
          <w:right w:w="0" w:type="dxa"/>
        </w:tblCellMar>
        <w:tblLook w:val="0000" w:firstRow="0" w:lastRow="0" w:firstColumn="0" w:lastColumn="0" w:noHBand="0" w:noVBand="0"/>
      </w:tblPr>
      <w:tblGrid>
        <w:gridCol w:w="713"/>
        <w:gridCol w:w="1132"/>
        <w:gridCol w:w="1132"/>
        <w:gridCol w:w="1133"/>
        <w:gridCol w:w="1086"/>
        <w:gridCol w:w="1087"/>
        <w:gridCol w:w="1087"/>
      </w:tblGrid>
      <w:tr w:rsidR="007234DD">
        <w:trPr>
          <w:cantSplit/>
          <w:trHeight w:val="20"/>
          <w:tblHeader/>
        </w:trPr>
        <w:tc>
          <w:tcPr>
            <w:tcW w:w="714" w:type="dxa"/>
            <w:vMerge w:val="restart"/>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年份</w:t>
            </w:r>
          </w:p>
        </w:tc>
        <w:tc>
          <w:tcPr>
            <w:tcW w:w="3397" w:type="dxa"/>
            <w:gridSpan w:val="3"/>
            <w:tcBorders>
              <w:top w:val="single" w:sz="4" w:space="0" w:color="auto"/>
              <w:bottom w:val="single" w:sz="6" w:space="0" w:color="auto"/>
              <w:right w:val="single" w:sz="24" w:space="0" w:color="FFFFFF"/>
            </w:tcBorders>
            <w:shd w:val="clear" w:color="auto" w:fill="auto"/>
            <w:vAlign w:val="bottom"/>
          </w:tcPr>
          <w:p w:rsidR="007234DD" w:rsidRDefault="007234DD">
            <w:pPr>
              <w:pStyle w:val="a0"/>
              <w:ind w:right="0"/>
              <w:jc w:val="center"/>
            </w:pPr>
            <w:r>
              <w:t>15</w:t>
            </w:r>
            <w:r>
              <w:t>岁或以上</w:t>
            </w:r>
          </w:p>
        </w:tc>
        <w:tc>
          <w:tcPr>
            <w:tcW w:w="3260" w:type="dxa"/>
            <w:gridSpan w:val="3"/>
            <w:tcBorders>
              <w:top w:val="single" w:sz="4" w:space="0" w:color="auto"/>
              <w:left w:val="single" w:sz="24" w:space="0" w:color="FFFFFF"/>
              <w:bottom w:val="single" w:sz="6" w:space="0" w:color="auto"/>
            </w:tcBorders>
            <w:shd w:val="clear" w:color="auto" w:fill="auto"/>
            <w:vAlign w:val="bottom"/>
          </w:tcPr>
          <w:p w:rsidR="007234DD" w:rsidRDefault="007234DD">
            <w:pPr>
              <w:pStyle w:val="a0"/>
              <w:ind w:right="0"/>
              <w:jc w:val="center"/>
            </w:pPr>
            <w:r>
              <w:t>15-24</w:t>
            </w:r>
            <w:r>
              <w:t>岁</w:t>
            </w:r>
          </w:p>
        </w:tc>
      </w:tr>
      <w:tr w:rsidR="007234DD">
        <w:trPr>
          <w:cantSplit/>
          <w:trHeight w:val="20"/>
          <w:tblHeader/>
        </w:trPr>
        <w:tc>
          <w:tcPr>
            <w:tcW w:w="714" w:type="dxa"/>
            <w:vMerge/>
            <w:tcBorders>
              <w:top w:val="single" w:sz="12" w:space="0" w:color="auto"/>
              <w:bottom w:val="single" w:sz="12" w:space="0" w:color="auto"/>
            </w:tcBorders>
            <w:shd w:val="clear" w:color="auto" w:fill="auto"/>
          </w:tcPr>
          <w:p w:rsidR="007234DD" w:rsidRDefault="007234DD">
            <w:pPr>
              <w:pStyle w:val="a5"/>
            </w:pPr>
          </w:p>
        </w:tc>
        <w:tc>
          <w:tcPr>
            <w:tcW w:w="1132"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女性</w:t>
            </w:r>
          </w:p>
        </w:tc>
        <w:tc>
          <w:tcPr>
            <w:tcW w:w="1132"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男性</w:t>
            </w:r>
          </w:p>
        </w:tc>
        <w:tc>
          <w:tcPr>
            <w:tcW w:w="1133"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rPr>
                <w:b/>
              </w:rPr>
            </w:pPr>
            <w:r>
              <w:rPr>
                <w:rFonts w:hint="eastAsia"/>
                <w:b/>
              </w:rPr>
              <w:t>合计</w:t>
            </w:r>
          </w:p>
        </w:tc>
        <w:tc>
          <w:tcPr>
            <w:tcW w:w="1086"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rPr>
                <w:rFonts w:hint="eastAsia"/>
              </w:rPr>
            </w:pPr>
            <w:r>
              <w:rPr>
                <w:rFonts w:hint="eastAsia"/>
              </w:rPr>
              <w:t>女性</w:t>
            </w:r>
          </w:p>
        </w:tc>
        <w:tc>
          <w:tcPr>
            <w:tcW w:w="1087"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男性</w:t>
            </w:r>
          </w:p>
        </w:tc>
        <w:tc>
          <w:tcPr>
            <w:tcW w:w="1087" w:type="dxa"/>
            <w:tcBorders>
              <w:top w:val="single" w:sz="6" w:space="0" w:color="auto"/>
              <w:bottom w:val="single" w:sz="12" w:space="0" w:color="auto"/>
            </w:tcBorders>
            <w:shd w:val="clear" w:color="auto" w:fill="auto"/>
          </w:tcPr>
          <w:p w:rsidR="007234DD" w:rsidRDefault="007234DD">
            <w:pPr>
              <w:pStyle w:val="a0"/>
              <w:ind w:right="0"/>
              <w:jc w:val="right"/>
              <w:rPr>
                <w:rFonts w:hint="eastAsia"/>
                <w:b/>
              </w:rPr>
            </w:pPr>
            <w:r>
              <w:rPr>
                <w:rFonts w:hint="eastAsia"/>
                <w:b/>
              </w:rPr>
              <w:t>合计</w:t>
            </w:r>
          </w:p>
        </w:tc>
      </w:tr>
      <w:tr w:rsidR="007234DD">
        <w:trPr>
          <w:cantSplit/>
          <w:trHeight w:val="20"/>
        </w:trPr>
        <w:tc>
          <w:tcPr>
            <w:tcW w:w="714" w:type="dxa"/>
            <w:tcBorders>
              <w:top w:val="single" w:sz="12" w:space="0" w:color="auto"/>
            </w:tcBorders>
            <w:shd w:val="clear" w:color="auto" w:fill="auto"/>
          </w:tcPr>
          <w:p w:rsidR="007234DD" w:rsidRDefault="007234DD">
            <w:pPr>
              <w:pStyle w:val="a5"/>
              <w:rPr>
                <w:rFonts w:hint="eastAsia"/>
              </w:rPr>
            </w:pPr>
            <w:r>
              <w:t>2004</w:t>
            </w:r>
          </w:p>
        </w:tc>
        <w:tc>
          <w:tcPr>
            <w:tcW w:w="1132" w:type="dxa"/>
            <w:tcBorders>
              <w:top w:val="single" w:sz="12" w:space="0" w:color="auto"/>
            </w:tcBorders>
            <w:shd w:val="clear" w:color="auto" w:fill="auto"/>
          </w:tcPr>
          <w:p w:rsidR="007234DD" w:rsidRDefault="007234DD">
            <w:pPr>
              <w:pStyle w:val="a5"/>
              <w:ind w:right="0"/>
              <w:jc w:val="right"/>
            </w:pPr>
            <w:r>
              <w:t>84.99</w:t>
            </w:r>
          </w:p>
        </w:tc>
        <w:tc>
          <w:tcPr>
            <w:tcW w:w="1132" w:type="dxa"/>
            <w:tcBorders>
              <w:top w:val="single" w:sz="12" w:space="0" w:color="auto"/>
            </w:tcBorders>
            <w:shd w:val="clear" w:color="auto" w:fill="auto"/>
          </w:tcPr>
          <w:p w:rsidR="007234DD" w:rsidRDefault="007234DD">
            <w:pPr>
              <w:pStyle w:val="a5"/>
              <w:ind w:right="0"/>
              <w:jc w:val="right"/>
            </w:pPr>
            <w:r>
              <w:t>93.47</w:t>
            </w:r>
          </w:p>
        </w:tc>
        <w:tc>
          <w:tcPr>
            <w:tcW w:w="1133" w:type="dxa"/>
            <w:tcBorders>
              <w:top w:val="single" w:sz="12" w:space="0" w:color="auto"/>
            </w:tcBorders>
            <w:shd w:val="clear" w:color="auto" w:fill="auto"/>
          </w:tcPr>
          <w:p w:rsidR="007234DD" w:rsidRDefault="007234DD">
            <w:pPr>
              <w:pStyle w:val="a5"/>
              <w:ind w:right="0"/>
              <w:jc w:val="right"/>
              <w:rPr>
                <w:b/>
              </w:rPr>
            </w:pPr>
            <w:r>
              <w:rPr>
                <w:b/>
              </w:rPr>
              <w:t>89.17</w:t>
            </w:r>
          </w:p>
        </w:tc>
        <w:tc>
          <w:tcPr>
            <w:tcW w:w="1086" w:type="dxa"/>
            <w:tcBorders>
              <w:top w:val="single" w:sz="12" w:space="0" w:color="auto"/>
            </w:tcBorders>
            <w:shd w:val="clear" w:color="auto" w:fill="auto"/>
          </w:tcPr>
          <w:p w:rsidR="007234DD" w:rsidRDefault="007234DD">
            <w:pPr>
              <w:pStyle w:val="a5"/>
              <w:ind w:right="0"/>
              <w:jc w:val="right"/>
            </w:pPr>
            <w:r>
              <w:t>99.06</w:t>
            </w:r>
          </w:p>
        </w:tc>
        <w:tc>
          <w:tcPr>
            <w:tcW w:w="1087" w:type="dxa"/>
            <w:tcBorders>
              <w:top w:val="single" w:sz="12" w:space="0" w:color="auto"/>
            </w:tcBorders>
            <w:shd w:val="clear" w:color="auto" w:fill="auto"/>
          </w:tcPr>
          <w:p w:rsidR="007234DD" w:rsidRDefault="007234DD">
            <w:pPr>
              <w:pStyle w:val="a5"/>
              <w:ind w:right="0"/>
              <w:jc w:val="right"/>
            </w:pPr>
            <w:r>
              <w:t>98.17</w:t>
            </w:r>
          </w:p>
        </w:tc>
        <w:tc>
          <w:tcPr>
            <w:tcW w:w="1087" w:type="dxa"/>
            <w:tcBorders>
              <w:top w:val="single" w:sz="12" w:space="0" w:color="auto"/>
            </w:tcBorders>
            <w:shd w:val="clear" w:color="auto" w:fill="auto"/>
          </w:tcPr>
          <w:p w:rsidR="007234DD" w:rsidRDefault="007234DD">
            <w:pPr>
              <w:pStyle w:val="a5"/>
              <w:ind w:right="0"/>
              <w:jc w:val="right"/>
              <w:rPr>
                <w:rFonts w:hint="eastAsia"/>
                <w:b/>
              </w:rPr>
            </w:pPr>
            <w:r>
              <w:rPr>
                <w:rFonts w:hint="eastAsia"/>
                <w:b/>
              </w:rPr>
              <w:t>98.61</w:t>
            </w:r>
          </w:p>
        </w:tc>
      </w:tr>
      <w:tr w:rsidR="007234DD">
        <w:trPr>
          <w:cantSplit/>
          <w:trHeight w:val="20"/>
        </w:trPr>
        <w:tc>
          <w:tcPr>
            <w:tcW w:w="714" w:type="dxa"/>
            <w:shd w:val="clear" w:color="auto" w:fill="auto"/>
          </w:tcPr>
          <w:p w:rsidR="007234DD" w:rsidRDefault="007234DD">
            <w:pPr>
              <w:pStyle w:val="a5"/>
              <w:rPr>
                <w:rFonts w:hint="eastAsia"/>
              </w:rPr>
            </w:pPr>
            <w:r>
              <w:t>2006</w:t>
            </w:r>
          </w:p>
        </w:tc>
        <w:tc>
          <w:tcPr>
            <w:tcW w:w="1132" w:type="dxa"/>
            <w:shd w:val="clear" w:color="auto" w:fill="auto"/>
          </w:tcPr>
          <w:p w:rsidR="007234DD" w:rsidRDefault="007234DD">
            <w:pPr>
              <w:pStyle w:val="a5"/>
              <w:ind w:right="0"/>
              <w:jc w:val="right"/>
            </w:pPr>
            <w:r>
              <w:t>87.96</w:t>
            </w:r>
          </w:p>
        </w:tc>
        <w:tc>
          <w:tcPr>
            <w:tcW w:w="1132" w:type="dxa"/>
            <w:shd w:val="clear" w:color="auto" w:fill="auto"/>
          </w:tcPr>
          <w:p w:rsidR="007234DD" w:rsidRDefault="007234DD">
            <w:pPr>
              <w:pStyle w:val="a5"/>
              <w:ind w:right="0"/>
              <w:jc w:val="right"/>
            </w:pPr>
            <w:r>
              <w:t>94.05</w:t>
            </w:r>
          </w:p>
        </w:tc>
        <w:tc>
          <w:tcPr>
            <w:tcW w:w="1133" w:type="dxa"/>
            <w:shd w:val="clear" w:color="auto" w:fill="auto"/>
          </w:tcPr>
          <w:p w:rsidR="007234DD" w:rsidRDefault="007234DD">
            <w:pPr>
              <w:pStyle w:val="a5"/>
              <w:ind w:right="0"/>
              <w:jc w:val="right"/>
              <w:rPr>
                <w:b/>
              </w:rPr>
            </w:pPr>
            <w:r>
              <w:rPr>
                <w:b/>
              </w:rPr>
              <w:t>90.98</w:t>
            </w:r>
          </w:p>
        </w:tc>
        <w:tc>
          <w:tcPr>
            <w:tcW w:w="1086" w:type="dxa"/>
            <w:shd w:val="clear" w:color="auto" w:fill="auto"/>
          </w:tcPr>
          <w:p w:rsidR="007234DD" w:rsidRDefault="007234DD">
            <w:pPr>
              <w:pStyle w:val="a5"/>
              <w:ind w:right="0"/>
              <w:jc w:val="right"/>
            </w:pPr>
            <w:r>
              <w:t>99.45</w:t>
            </w:r>
          </w:p>
        </w:tc>
        <w:tc>
          <w:tcPr>
            <w:tcW w:w="1087" w:type="dxa"/>
            <w:shd w:val="clear" w:color="auto" w:fill="auto"/>
          </w:tcPr>
          <w:p w:rsidR="007234DD" w:rsidRDefault="007234DD">
            <w:pPr>
              <w:pStyle w:val="a5"/>
              <w:ind w:right="0"/>
              <w:jc w:val="right"/>
            </w:pPr>
            <w:r>
              <w:t>98.64</w:t>
            </w:r>
          </w:p>
        </w:tc>
        <w:tc>
          <w:tcPr>
            <w:tcW w:w="1087" w:type="dxa"/>
            <w:shd w:val="clear" w:color="auto" w:fill="auto"/>
          </w:tcPr>
          <w:p w:rsidR="007234DD" w:rsidRDefault="007234DD">
            <w:pPr>
              <w:pStyle w:val="a5"/>
              <w:ind w:right="0"/>
              <w:jc w:val="right"/>
              <w:rPr>
                <w:rFonts w:hint="eastAsia"/>
                <w:b/>
              </w:rPr>
            </w:pPr>
            <w:r>
              <w:rPr>
                <w:rFonts w:hint="eastAsia"/>
                <w:b/>
              </w:rPr>
              <w:t>99.05</w:t>
            </w:r>
          </w:p>
        </w:tc>
      </w:tr>
      <w:tr w:rsidR="007234DD">
        <w:trPr>
          <w:cantSplit/>
          <w:trHeight w:val="20"/>
        </w:trPr>
        <w:tc>
          <w:tcPr>
            <w:tcW w:w="714" w:type="dxa"/>
            <w:shd w:val="clear" w:color="auto" w:fill="auto"/>
          </w:tcPr>
          <w:p w:rsidR="007234DD" w:rsidRDefault="007234DD">
            <w:pPr>
              <w:pStyle w:val="a5"/>
              <w:rPr>
                <w:rFonts w:hint="eastAsia"/>
              </w:rPr>
            </w:pPr>
            <w:r>
              <w:t>2007</w:t>
            </w:r>
          </w:p>
        </w:tc>
        <w:tc>
          <w:tcPr>
            <w:tcW w:w="1132" w:type="dxa"/>
            <w:shd w:val="clear" w:color="auto" w:fill="auto"/>
          </w:tcPr>
          <w:p w:rsidR="007234DD" w:rsidRDefault="007234DD">
            <w:pPr>
              <w:pStyle w:val="a5"/>
              <w:ind w:right="0"/>
              <w:jc w:val="right"/>
            </w:pPr>
            <w:r>
              <w:t>89.03</w:t>
            </w:r>
          </w:p>
        </w:tc>
        <w:tc>
          <w:tcPr>
            <w:tcW w:w="1132" w:type="dxa"/>
            <w:shd w:val="clear" w:color="auto" w:fill="auto"/>
          </w:tcPr>
          <w:p w:rsidR="007234DD" w:rsidRDefault="007234DD">
            <w:pPr>
              <w:pStyle w:val="a5"/>
              <w:ind w:right="0"/>
              <w:jc w:val="right"/>
            </w:pPr>
            <w:r>
              <w:t>95.21</w:t>
            </w:r>
          </w:p>
        </w:tc>
        <w:tc>
          <w:tcPr>
            <w:tcW w:w="1133" w:type="dxa"/>
            <w:shd w:val="clear" w:color="auto" w:fill="auto"/>
          </w:tcPr>
          <w:p w:rsidR="007234DD" w:rsidRDefault="007234DD">
            <w:pPr>
              <w:pStyle w:val="a5"/>
              <w:ind w:right="0"/>
              <w:jc w:val="right"/>
              <w:rPr>
                <w:b/>
              </w:rPr>
            </w:pPr>
            <w:r>
              <w:rPr>
                <w:b/>
              </w:rPr>
              <w:t>92.08</w:t>
            </w:r>
          </w:p>
        </w:tc>
        <w:tc>
          <w:tcPr>
            <w:tcW w:w="1086" w:type="dxa"/>
            <w:shd w:val="clear" w:color="auto" w:fill="auto"/>
          </w:tcPr>
          <w:p w:rsidR="007234DD" w:rsidRDefault="007234DD">
            <w:pPr>
              <w:pStyle w:val="a5"/>
              <w:ind w:right="0"/>
              <w:jc w:val="right"/>
            </w:pPr>
            <w:r>
              <w:t>99.38</w:t>
            </w:r>
          </w:p>
        </w:tc>
        <w:tc>
          <w:tcPr>
            <w:tcW w:w="1087" w:type="dxa"/>
            <w:shd w:val="clear" w:color="auto" w:fill="auto"/>
          </w:tcPr>
          <w:p w:rsidR="007234DD" w:rsidRDefault="007234DD">
            <w:pPr>
              <w:pStyle w:val="a5"/>
              <w:ind w:right="0"/>
              <w:jc w:val="right"/>
            </w:pPr>
            <w:r>
              <w:t>99.14</w:t>
            </w:r>
          </w:p>
        </w:tc>
        <w:tc>
          <w:tcPr>
            <w:tcW w:w="1087" w:type="dxa"/>
            <w:shd w:val="clear" w:color="auto" w:fill="auto"/>
          </w:tcPr>
          <w:p w:rsidR="007234DD" w:rsidRDefault="007234DD">
            <w:pPr>
              <w:pStyle w:val="a5"/>
              <w:ind w:right="0"/>
              <w:jc w:val="right"/>
              <w:rPr>
                <w:rFonts w:hint="eastAsia"/>
                <w:b/>
              </w:rPr>
            </w:pPr>
            <w:r>
              <w:rPr>
                <w:rFonts w:hint="eastAsia"/>
                <w:b/>
              </w:rPr>
              <w:t>99.26</w:t>
            </w:r>
          </w:p>
        </w:tc>
      </w:tr>
      <w:tr w:rsidR="007234DD">
        <w:trPr>
          <w:cantSplit/>
          <w:trHeight w:val="20"/>
        </w:trPr>
        <w:tc>
          <w:tcPr>
            <w:tcW w:w="714" w:type="dxa"/>
            <w:shd w:val="clear" w:color="auto" w:fill="auto"/>
          </w:tcPr>
          <w:p w:rsidR="007234DD" w:rsidRDefault="007234DD">
            <w:pPr>
              <w:pStyle w:val="a5"/>
              <w:rPr>
                <w:rFonts w:hint="eastAsia"/>
              </w:rPr>
            </w:pPr>
            <w:r>
              <w:t>2008</w:t>
            </w:r>
          </w:p>
        </w:tc>
        <w:tc>
          <w:tcPr>
            <w:tcW w:w="1132" w:type="dxa"/>
            <w:shd w:val="clear" w:color="auto" w:fill="auto"/>
          </w:tcPr>
          <w:p w:rsidR="007234DD" w:rsidRDefault="007234DD">
            <w:pPr>
              <w:pStyle w:val="a5"/>
              <w:ind w:right="0"/>
              <w:jc w:val="right"/>
            </w:pPr>
            <w:r>
              <w:t>89.1</w:t>
            </w:r>
          </w:p>
        </w:tc>
        <w:tc>
          <w:tcPr>
            <w:tcW w:w="1132" w:type="dxa"/>
            <w:shd w:val="clear" w:color="auto" w:fill="auto"/>
          </w:tcPr>
          <w:p w:rsidR="007234DD" w:rsidRDefault="007234DD">
            <w:pPr>
              <w:pStyle w:val="a5"/>
              <w:ind w:right="0"/>
              <w:jc w:val="right"/>
            </w:pPr>
            <w:r>
              <w:t>95.67</w:t>
            </w:r>
          </w:p>
        </w:tc>
        <w:tc>
          <w:tcPr>
            <w:tcW w:w="1133" w:type="dxa"/>
            <w:shd w:val="clear" w:color="auto" w:fill="auto"/>
          </w:tcPr>
          <w:p w:rsidR="007234DD" w:rsidRDefault="007234DD">
            <w:pPr>
              <w:pStyle w:val="a5"/>
              <w:ind w:right="0"/>
              <w:jc w:val="right"/>
              <w:rPr>
                <w:b/>
              </w:rPr>
            </w:pPr>
            <w:r>
              <w:rPr>
                <w:b/>
              </w:rPr>
              <w:t>92.34</w:t>
            </w:r>
          </w:p>
        </w:tc>
        <w:tc>
          <w:tcPr>
            <w:tcW w:w="1086" w:type="dxa"/>
            <w:shd w:val="clear" w:color="auto" w:fill="auto"/>
          </w:tcPr>
          <w:p w:rsidR="007234DD" w:rsidRDefault="007234DD">
            <w:pPr>
              <w:pStyle w:val="a5"/>
              <w:ind w:right="0"/>
              <w:jc w:val="right"/>
            </w:pPr>
            <w:r>
              <w:t>99.5</w:t>
            </w:r>
          </w:p>
        </w:tc>
        <w:tc>
          <w:tcPr>
            <w:tcW w:w="1087" w:type="dxa"/>
            <w:shd w:val="clear" w:color="auto" w:fill="auto"/>
          </w:tcPr>
          <w:p w:rsidR="007234DD" w:rsidRDefault="007234DD">
            <w:pPr>
              <w:pStyle w:val="a5"/>
              <w:ind w:right="0"/>
              <w:jc w:val="right"/>
            </w:pPr>
            <w:r>
              <w:t>99.32</w:t>
            </w:r>
          </w:p>
        </w:tc>
        <w:tc>
          <w:tcPr>
            <w:tcW w:w="1087" w:type="dxa"/>
            <w:shd w:val="clear" w:color="auto" w:fill="auto"/>
          </w:tcPr>
          <w:p w:rsidR="007234DD" w:rsidRDefault="007234DD">
            <w:pPr>
              <w:pStyle w:val="a5"/>
              <w:ind w:right="0"/>
              <w:jc w:val="right"/>
              <w:rPr>
                <w:rFonts w:hint="eastAsia"/>
                <w:b/>
              </w:rPr>
            </w:pPr>
            <w:r>
              <w:rPr>
                <w:rFonts w:hint="eastAsia"/>
                <w:b/>
              </w:rPr>
              <w:t>99.41</w:t>
            </w:r>
          </w:p>
        </w:tc>
      </w:tr>
      <w:tr w:rsidR="007234DD">
        <w:trPr>
          <w:cantSplit/>
          <w:trHeight w:val="20"/>
        </w:trPr>
        <w:tc>
          <w:tcPr>
            <w:tcW w:w="714" w:type="dxa"/>
            <w:tcBorders>
              <w:bottom w:val="single" w:sz="12" w:space="0" w:color="auto"/>
            </w:tcBorders>
            <w:shd w:val="clear" w:color="auto" w:fill="auto"/>
          </w:tcPr>
          <w:p w:rsidR="007234DD" w:rsidRDefault="007234DD">
            <w:pPr>
              <w:pStyle w:val="a5"/>
              <w:rPr>
                <w:rFonts w:hint="eastAsia"/>
              </w:rPr>
            </w:pPr>
            <w:r>
              <w:t>2009</w:t>
            </w:r>
          </w:p>
        </w:tc>
        <w:tc>
          <w:tcPr>
            <w:tcW w:w="1132" w:type="dxa"/>
            <w:tcBorders>
              <w:bottom w:val="single" w:sz="12" w:space="0" w:color="auto"/>
            </w:tcBorders>
            <w:shd w:val="clear" w:color="auto" w:fill="auto"/>
          </w:tcPr>
          <w:p w:rsidR="007234DD" w:rsidRDefault="007234DD">
            <w:pPr>
              <w:pStyle w:val="a5"/>
              <w:ind w:right="0"/>
              <w:jc w:val="right"/>
            </w:pPr>
            <w:r>
              <w:t>90.02</w:t>
            </w:r>
          </w:p>
        </w:tc>
        <w:tc>
          <w:tcPr>
            <w:tcW w:w="1132" w:type="dxa"/>
            <w:tcBorders>
              <w:bottom w:val="single" w:sz="12" w:space="0" w:color="auto"/>
            </w:tcBorders>
            <w:shd w:val="clear" w:color="auto" w:fill="auto"/>
          </w:tcPr>
          <w:p w:rsidR="007234DD" w:rsidRDefault="007234DD">
            <w:pPr>
              <w:pStyle w:val="a5"/>
              <w:ind w:right="0"/>
              <w:jc w:val="right"/>
            </w:pPr>
            <w:r>
              <w:t>96.35</w:t>
            </w:r>
          </w:p>
        </w:tc>
        <w:tc>
          <w:tcPr>
            <w:tcW w:w="1133" w:type="dxa"/>
            <w:tcBorders>
              <w:bottom w:val="single" w:sz="12" w:space="0" w:color="auto"/>
            </w:tcBorders>
            <w:shd w:val="clear" w:color="auto" w:fill="auto"/>
          </w:tcPr>
          <w:p w:rsidR="007234DD" w:rsidRDefault="007234DD">
            <w:pPr>
              <w:pStyle w:val="a5"/>
              <w:ind w:right="0"/>
              <w:jc w:val="right"/>
              <w:rPr>
                <w:b/>
              </w:rPr>
            </w:pPr>
            <w:r>
              <w:rPr>
                <w:b/>
              </w:rPr>
              <w:t>93.19</w:t>
            </w:r>
          </w:p>
        </w:tc>
        <w:tc>
          <w:tcPr>
            <w:tcW w:w="1086" w:type="dxa"/>
            <w:tcBorders>
              <w:bottom w:val="single" w:sz="12" w:space="0" w:color="auto"/>
            </w:tcBorders>
            <w:shd w:val="clear" w:color="auto" w:fill="auto"/>
          </w:tcPr>
          <w:p w:rsidR="007234DD" w:rsidRDefault="007234DD">
            <w:pPr>
              <w:pStyle w:val="a5"/>
              <w:ind w:right="0"/>
              <w:jc w:val="right"/>
            </w:pPr>
            <w:r>
              <w:t>99.5</w:t>
            </w:r>
          </w:p>
        </w:tc>
        <w:tc>
          <w:tcPr>
            <w:tcW w:w="1087" w:type="dxa"/>
            <w:tcBorders>
              <w:bottom w:val="single" w:sz="12" w:space="0" w:color="auto"/>
            </w:tcBorders>
            <w:shd w:val="clear" w:color="auto" w:fill="auto"/>
          </w:tcPr>
          <w:p w:rsidR="007234DD" w:rsidRDefault="007234DD">
            <w:pPr>
              <w:pStyle w:val="a5"/>
              <w:ind w:right="0"/>
              <w:jc w:val="right"/>
            </w:pPr>
            <w:r>
              <w:t>99.82</w:t>
            </w:r>
          </w:p>
        </w:tc>
        <w:tc>
          <w:tcPr>
            <w:tcW w:w="1087" w:type="dxa"/>
            <w:tcBorders>
              <w:bottom w:val="single" w:sz="12" w:space="0" w:color="auto"/>
            </w:tcBorders>
            <w:shd w:val="clear" w:color="auto" w:fill="auto"/>
          </w:tcPr>
          <w:p w:rsidR="007234DD" w:rsidRDefault="007234DD">
            <w:pPr>
              <w:pStyle w:val="a5"/>
              <w:ind w:right="0"/>
              <w:jc w:val="right"/>
              <w:rPr>
                <w:rFonts w:hint="eastAsia"/>
                <w:b/>
              </w:rPr>
            </w:pPr>
            <w:r>
              <w:rPr>
                <w:rFonts w:hint="eastAsia"/>
                <w:b/>
              </w:rPr>
              <w:t>99.65</w:t>
            </w:r>
          </w:p>
        </w:tc>
      </w:tr>
    </w:tbl>
    <w:p w:rsidR="007234DD" w:rsidRDefault="00C90140" w:rsidP="00C90140">
      <w:pPr>
        <w:pStyle w:val="SingleTxtGC"/>
        <w:tabs>
          <w:tab w:val="left" w:pos="1300"/>
        </w:tabs>
        <w:spacing w:before="120" w:after="0" w:line="260" w:lineRule="exact"/>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卡塔尔国，“</w:t>
      </w:r>
      <w:r w:rsidR="007234DD">
        <w:rPr>
          <w:sz w:val="19"/>
          <w:szCs w:val="19"/>
        </w:rPr>
        <w:t>Qalam</w:t>
      </w:r>
      <w:r w:rsidR="007234DD">
        <w:rPr>
          <w:rFonts w:hint="eastAsia"/>
          <w:sz w:val="19"/>
          <w:szCs w:val="19"/>
        </w:rPr>
        <w:t>项目”，</w:t>
      </w:r>
      <w:r w:rsidR="007234DD">
        <w:rPr>
          <w:rFonts w:hint="eastAsia"/>
          <w:sz w:val="19"/>
          <w:szCs w:val="19"/>
        </w:rPr>
        <w:t>2010</w:t>
      </w:r>
      <w:r w:rsidR="007234DD">
        <w:rPr>
          <w:rFonts w:hint="eastAsia"/>
          <w:sz w:val="19"/>
          <w:szCs w:val="19"/>
        </w:rPr>
        <w:t>年。</w:t>
      </w:r>
    </w:p>
    <w:p w:rsidR="007234DD" w:rsidRDefault="007234DD">
      <w:pPr>
        <w:pStyle w:val="SingleTxtGC"/>
        <w:spacing w:after="100"/>
      </w:pPr>
      <w:r>
        <w:t xml:space="preserve">221.  </w:t>
      </w:r>
      <w:r>
        <w:rPr>
          <w:rFonts w:hint="eastAsia"/>
        </w:rPr>
        <w:t>如以上数字所示，</w:t>
      </w:r>
      <w:r>
        <w:t>2009</w:t>
      </w:r>
      <w:r>
        <w:rPr>
          <w:rFonts w:hint="eastAsia"/>
        </w:rPr>
        <w:t>年</w:t>
      </w:r>
      <w:r>
        <w:t>15</w:t>
      </w:r>
      <w:r>
        <w:rPr>
          <w:rFonts w:hint="eastAsia"/>
        </w:rPr>
        <w:t>岁以上卡塔尔男性文盲率为</w:t>
      </w:r>
      <w:r>
        <w:t>6.8</w:t>
      </w:r>
      <w:r>
        <w:rPr>
          <w:rFonts w:hint="eastAsia"/>
        </w:rPr>
        <w:t>%</w:t>
      </w:r>
      <w:r>
        <w:rPr>
          <w:rFonts w:hint="eastAsia"/>
        </w:rPr>
        <w:t>，低于</w:t>
      </w:r>
      <w:r>
        <w:t>2004</w:t>
      </w:r>
      <w:r>
        <w:rPr>
          <w:rFonts w:hint="eastAsia"/>
        </w:rPr>
        <w:t>年的</w:t>
      </w:r>
      <w:r>
        <w:t>10.8</w:t>
      </w:r>
      <w:r>
        <w:rPr>
          <w:rFonts w:hint="eastAsia"/>
        </w:rPr>
        <w:t>%</w:t>
      </w:r>
      <w:r>
        <w:rPr>
          <w:rFonts w:hint="eastAsia"/>
        </w:rPr>
        <w:t>；而女性文盲率从</w:t>
      </w:r>
      <w:r>
        <w:t>2004</w:t>
      </w:r>
      <w:r>
        <w:rPr>
          <w:rFonts w:hint="eastAsia"/>
        </w:rPr>
        <w:t>年的</w:t>
      </w:r>
      <w:r>
        <w:t>15</w:t>
      </w:r>
      <w:r>
        <w:rPr>
          <w:rFonts w:hint="eastAsia"/>
        </w:rPr>
        <w:t>%</w:t>
      </w:r>
      <w:r>
        <w:rPr>
          <w:rFonts w:hint="eastAsia"/>
        </w:rPr>
        <w:t>下降到了</w:t>
      </w:r>
      <w:r>
        <w:t>2009</w:t>
      </w:r>
      <w:r>
        <w:rPr>
          <w:rFonts w:hint="eastAsia"/>
        </w:rPr>
        <w:t>年的</w:t>
      </w:r>
      <w:r>
        <w:t>10</w:t>
      </w:r>
      <w:r>
        <w:rPr>
          <w:rFonts w:hint="eastAsia"/>
        </w:rPr>
        <w:t>%</w:t>
      </w:r>
      <w:r>
        <w:rPr>
          <w:rFonts w:hint="eastAsia"/>
        </w:rPr>
        <w:t>左右。</w:t>
      </w:r>
      <w:r>
        <w:t>15</w:t>
      </w:r>
      <w:r>
        <w:rPr>
          <w:rFonts w:hint="eastAsia"/>
        </w:rPr>
        <w:t>至</w:t>
      </w:r>
      <w:r>
        <w:t>24</w:t>
      </w:r>
      <w:r>
        <w:rPr>
          <w:rFonts w:hint="eastAsia"/>
        </w:rPr>
        <w:t>岁年龄组的男女文盲几乎已经绝迹。</w:t>
      </w:r>
      <w:r>
        <w:t>2009</w:t>
      </w:r>
      <w:r>
        <w:rPr>
          <w:rFonts w:hint="eastAsia"/>
        </w:rPr>
        <w:t>年文盲率为</w:t>
      </w:r>
      <w:r>
        <w:t>0.35</w:t>
      </w:r>
      <w:r>
        <w:rPr>
          <w:rFonts w:hint="eastAsia"/>
        </w:rPr>
        <w:t>%</w:t>
      </w:r>
      <w:r>
        <w:rPr>
          <w:rFonts w:hint="eastAsia"/>
        </w:rPr>
        <w:t>的事实证明，国家为消除这一现象</w:t>
      </w:r>
      <w:r>
        <w:rPr>
          <w:rFonts w:hint="eastAsia"/>
        </w:rPr>
        <w:t>(</w:t>
      </w:r>
      <w:r>
        <w:rPr>
          <w:rFonts w:ascii="SimSun" w:hAnsi="SimSun" w:cs="SimSun" w:hint="eastAsia"/>
        </w:rPr>
        <w:t>特别是在青年人当中</w:t>
      </w:r>
      <w:r>
        <w:rPr>
          <w:rFonts w:hint="eastAsia"/>
        </w:rPr>
        <w:t>)</w:t>
      </w:r>
      <w:r>
        <w:rPr>
          <w:rFonts w:hint="eastAsia"/>
        </w:rPr>
        <w:t>而采取的措施产生了实效</w:t>
      </w:r>
      <w:r>
        <w:rPr>
          <w:rFonts w:ascii="SimSun" w:hAnsi="SimSun" w:cs="SimSun" w:hint="eastAsia"/>
        </w:rPr>
        <w:t>。</w:t>
      </w:r>
    </w:p>
    <w:p w:rsidR="007234DD" w:rsidRDefault="007234DD">
      <w:pPr>
        <w:pStyle w:val="SingleTxtGC"/>
        <w:spacing w:after="100"/>
      </w:pPr>
      <w:r>
        <w:t xml:space="preserve">222.  </w:t>
      </w:r>
      <w:r>
        <w:rPr>
          <w:rFonts w:hint="eastAsia"/>
        </w:rPr>
        <w:t>女童当中的公立学校义务教育学生续读率已有所提高，目前甚至高于卡塔尔男童的该比例</w:t>
      </w:r>
      <w:r>
        <w:rPr>
          <w:rFonts w:hint="eastAsia"/>
        </w:rPr>
        <w:t>(2008</w:t>
      </w:r>
      <w:r>
        <w:rPr>
          <w:rFonts w:hint="eastAsia"/>
        </w:rPr>
        <w:t>年为</w:t>
      </w:r>
      <w:r>
        <w:rPr>
          <w:rFonts w:hint="eastAsia"/>
        </w:rPr>
        <w:t>79%)</w:t>
      </w:r>
      <w:r>
        <w:rPr>
          <w:rFonts w:hint="eastAsia"/>
        </w:rPr>
        <w:t>。数字如此之低，很大程度上可以归因于公立学校的学生转学到了独立或私立学校、学生辍学和其他因素。</w:t>
      </w:r>
    </w:p>
    <w:p w:rsidR="007234DD" w:rsidRDefault="007234DD">
      <w:pPr>
        <w:pStyle w:val="SingleTxtGC"/>
        <w:spacing w:after="100"/>
      </w:pPr>
      <w:r>
        <w:t xml:space="preserve">223.  </w:t>
      </w:r>
      <w:r>
        <w:rPr>
          <w:rFonts w:hint="eastAsia"/>
        </w:rPr>
        <w:t>在努力发展教育的背景下，截至</w:t>
      </w:r>
      <w:r>
        <w:rPr>
          <w:rFonts w:hint="eastAsia"/>
        </w:rPr>
        <w:t>2010/11</w:t>
      </w:r>
      <w:r>
        <w:rPr>
          <w:rFonts w:hint="eastAsia"/>
        </w:rPr>
        <w:t>学年，所有公立学校都变成了独立学校，由政府出资，但可适当参照它们与教育主管部门</w:t>
      </w:r>
      <w:r>
        <w:rPr>
          <w:rFonts w:hint="eastAsia"/>
        </w:rPr>
        <w:t>(</w:t>
      </w:r>
      <w:r>
        <w:rPr>
          <w:rFonts w:hint="eastAsia"/>
        </w:rPr>
        <w:t>即最高教育委员会</w:t>
      </w:r>
      <w:r>
        <w:rPr>
          <w:rFonts w:hint="eastAsia"/>
        </w:rPr>
        <w:t>)</w:t>
      </w:r>
      <w:r>
        <w:rPr>
          <w:rFonts w:hint="eastAsia"/>
        </w:rPr>
        <w:t>缔结的合同条款，自由制定其任务和教育目标。</w:t>
      </w:r>
    </w:p>
    <w:p w:rsidR="007234DD" w:rsidRDefault="007234DD">
      <w:pPr>
        <w:pStyle w:val="SingleTxtGC"/>
        <w:rPr>
          <w:rFonts w:hint="eastAsia"/>
        </w:rPr>
      </w:pPr>
      <w:r>
        <w:rPr>
          <w:rFonts w:hint="eastAsia"/>
        </w:rPr>
        <w:t>表</w:t>
      </w:r>
      <w:r>
        <w:t>9</w:t>
      </w:r>
      <w:r>
        <w:rPr>
          <w:rFonts w:hint="eastAsia"/>
        </w:rPr>
        <w:br/>
      </w:r>
      <w:r>
        <w:rPr>
          <w:rFonts w:eastAsia="SimHei" w:hint="eastAsia"/>
        </w:rPr>
        <w:t>卡塔尔女童在公立学校义务教育的就读率</w:t>
      </w:r>
    </w:p>
    <w:tbl>
      <w:tblPr>
        <w:tblW w:w="7370" w:type="dxa"/>
        <w:tblInd w:w="1134" w:type="dxa"/>
        <w:tblLayout w:type="fixed"/>
        <w:tblCellMar>
          <w:left w:w="0" w:type="dxa"/>
          <w:right w:w="0" w:type="dxa"/>
        </w:tblCellMar>
        <w:tblLook w:val="0000" w:firstRow="0" w:lastRow="0" w:firstColumn="0" w:lastColumn="0" w:noHBand="0" w:noVBand="0"/>
      </w:tblPr>
      <w:tblGrid>
        <w:gridCol w:w="587"/>
        <w:gridCol w:w="2107"/>
        <w:gridCol w:w="2415"/>
        <w:gridCol w:w="2261"/>
      </w:tblGrid>
      <w:tr w:rsidR="007234DD">
        <w:trPr>
          <w:cantSplit/>
          <w:trHeight w:val="20"/>
        </w:trPr>
        <w:tc>
          <w:tcPr>
            <w:tcW w:w="587" w:type="dxa"/>
            <w:tcBorders>
              <w:top w:val="single" w:sz="4" w:space="0" w:color="auto"/>
              <w:bottom w:val="single" w:sz="12" w:space="0" w:color="auto"/>
            </w:tcBorders>
            <w:shd w:val="clear" w:color="auto" w:fill="auto"/>
            <w:vAlign w:val="bottom"/>
          </w:tcPr>
          <w:p w:rsidR="007234DD" w:rsidRDefault="007234DD">
            <w:pPr>
              <w:pStyle w:val="a0"/>
              <w:ind w:right="0"/>
            </w:pPr>
            <w:r>
              <w:t>年级</w:t>
            </w:r>
          </w:p>
        </w:tc>
        <w:tc>
          <w:tcPr>
            <w:tcW w:w="2107"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t>女童</w:t>
            </w:r>
            <w:r>
              <w:rPr>
                <w:rFonts w:hint="eastAsia"/>
              </w:rPr>
              <w:t>(</w:t>
            </w:r>
            <w:r>
              <w:t>2000</w:t>
            </w:r>
            <w:r>
              <w:t>年</w:t>
            </w:r>
            <w:r>
              <w:rPr>
                <w:rFonts w:hint="eastAsia"/>
              </w:rPr>
              <w:t>)</w:t>
            </w:r>
          </w:p>
        </w:tc>
        <w:tc>
          <w:tcPr>
            <w:tcW w:w="2415" w:type="dxa"/>
            <w:tcBorders>
              <w:top w:val="single" w:sz="4" w:space="0" w:color="auto"/>
              <w:bottom w:val="single" w:sz="12" w:space="0" w:color="auto"/>
            </w:tcBorders>
            <w:shd w:val="clear" w:color="auto" w:fill="auto"/>
            <w:vAlign w:val="bottom"/>
          </w:tcPr>
          <w:p w:rsidR="007234DD" w:rsidRDefault="007234DD">
            <w:pPr>
              <w:pStyle w:val="a0"/>
              <w:ind w:right="0"/>
              <w:jc w:val="right"/>
            </w:pPr>
            <w:r>
              <w:t>截至</w:t>
            </w:r>
            <w:r>
              <w:t>2008</w:t>
            </w:r>
            <w:r>
              <w:t>年的女童续读率</w:t>
            </w:r>
          </w:p>
        </w:tc>
        <w:tc>
          <w:tcPr>
            <w:tcW w:w="2261" w:type="dxa"/>
            <w:tcBorders>
              <w:top w:val="single" w:sz="4" w:space="0" w:color="auto"/>
              <w:bottom w:val="single" w:sz="12" w:space="0" w:color="auto"/>
            </w:tcBorders>
            <w:shd w:val="clear" w:color="auto" w:fill="auto"/>
            <w:vAlign w:val="bottom"/>
          </w:tcPr>
          <w:p w:rsidR="007234DD" w:rsidRDefault="007234DD">
            <w:pPr>
              <w:pStyle w:val="a0"/>
              <w:ind w:right="0"/>
              <w:jc w:val="right"/>
            </w:pPr>
            <w:r>
              <w:t>截至</w:t>
            </w:r>
            <w:r>
              <w:t>2008</w:t>
            </w:r>
            <w:r>
              <w:t>年的总续读率</w:t>
            </w:r>
          </w:p>
        </w:tc>
      </w:tr>
      <w:tr w:rsidR="007234DD">
        <w:trPr>
          <w:cantSplit/>
          <w:trHeight w:val="20"/>
        </w:trPr>
        <w:tc>
          <w:tcPr>
            <w:tcW w:w="587" w:type="dxa"/>
            <w:tcBorders>
              <w:top w:val="single" w:sz="12" w:space="0" w:color="auto"/>
            </w:tcBorders>
            <w:shd w:val="clear" w:color="auto" w:fill="auto"/>
          </w:tcPr>
          <w:p w:rsidR="007234DD" w:rsidRDefault="007234DD">
            <w:pPr>
              <w:pStyle w:val="a5"/>
            </w:pPr>
            <w:r>
              <w:t>1</w:t>
            </w:r>
          </w:p>
        </w:tc>
        <w:tc>
          <w:tcPr>
            <w:tcW w:w="2107" w:type="dxa"/>
            <w:tcBorders>
              <w:top w:val="single" w:sz="12" w:space="0" w:color="auto"/>
            </w:tcBorders>
            <w:shd w:val="clear" w:color="auto" w:fill="auto"/>
          </w:tcPr>
          <w:p w:rsidR="007234DD" w:rsidRDefault="007234DD">
            <w:pPr>
              <w:pStyle w:val="a5"/>
              <w:ind w:right="0"/>
              <w:jc w:val="right"/>
            </w:pPr>
            <w:r>
              <w:t>2,145</w:t>
            </w:r>
          </w:p>
        </w:tc>
        <w:tc>
          <w:tcPr>
            <w:tcW w:w="2415" w:type="dxa"/>
            <w:tcBorders>
              <w:top w:val="single" w:sz="12" w:space="0" w:color="auto"/>
            </w:tcBorders>
            <w:shd w:val="clear" w:color="auto" w:fill="auto"/>
          </w:tcPr>
          <w:p w:rsidR="007234DD" w:rsidRDefault="007234DD">
            <w:pPr>
              <w:pStyle w:val="a5"/>
              <w:ind w:right="0"/>
              <w:jc w:val="right"/>
            </w:pPr>
            <w:r>
              <w:t>100.0</w:t>
            </w:r>
          </w:p>
        </w:tc>
        <w:tc>
          <w:tcPr>
            <w:tcW w:w="2261" w:type="dxa"/>
            <w:tcBorders>
              <w:top w:val="single" w:sz="12" w:space="0" w:color="auto"/>
            </w:tcBorders>
            <w:shd w:val="clear" w:color="auto" w:fill="auto"/>
          </w:tcPr>
          <w:p w:rsidR="007234DD" w:rsidRDefault="007234DD">
            <w:pPr>
              <w:pStyle w:val="a5"/>
              <w:ind w:right="0"/>
              <w:jc w:val="right"/>
            </w:pPr>
            <w:r>
              <w:t>100.0</w:t>
            </w:r>
          </w:p>
        </w:tc>
      </w:tr>
      <w:tr w:rsidR="007234DD">
        <w:trPr>
          <w:cantSplit/>
          <w:trHeight w:val="20"/>
        </w:trPr>
        <w:tc>
          <w:tcPr>
            <w:tcW w:w="587" w:type="dxa"/>
            <w:shd w:val="clear" w:color="auto" w:fill="auto"/>
          </w:tcPr>
          <w:p w:rsidR="007234DD" w:rsidRDefault="007234DD">
            <w:pPr>
              <w:pStyle w:val="a5"/>
            </w:pPr>
            <w:r>
              <w:t>2</w:t>
            </w:r>
          </w:p>
        </w:tc>
        <w:tc>
          <w:tcPr>
            <w:tcW w:w="2107" w:type="dxa"/>
            <w:shd w:val="clear" w:color="auto" w:fill="auto"/>
          </w:tcPr>
          <w:p w:rsidR="007234DD" w:rsidRDefault="007234DD">
            <w:pPr>
              <w:pStyle w:val="a5"/>
              <w:ind w:right="0"/>
              <w:jc w:val="right"/>
            </w:pPr>
            <w:r>
              <w:t>2,087</w:t>
            </w:r>
          </w:p>
        </w:tc>
        <w:tc>
          <w:tcPr>
            <w:tcW w:w="2415" w:type="dxa"/>
            <w:shd w:val="clear" w:color="auto" w:fill="auto"/>
          </w:tcPr>
          <w:p w:rsidR="007234DD" w:rsidRDefault="007234DD">
            <w:pPr>
              <w:pStyle w:val="a5"/>
              <w:ind w:right="0"/>
              <w:jc w:val="right"/>
            </w:pPr>
            <w:r>
              <w:t>97.3</w:t>
            </w:r>
          </w:p>
        </w:tc>
        <w:tc>
          <w:tcPr>
            <w:tcW w:w="2261" w:type="dxa"/>
            <w:shd w:val="clear" w:color="auto" w:fill="auto"/>
          </w:tcPr>
          <w:p w:rsidR="007234DD" w:rsidRDefault="007234DD">
            <w:pPr>
              <w:pStyle w:val="a5"/>
              <w:ind w:right="0"/>
              <w:jc w:val="right"/>
            </w:pPr>
            <w:r>
              <w:t>96.6</w:t>
            </w:r>
          </w:p>
        </w:tc>
      </w:tr>
      <w:tr w:rsidR="007234DD">
        <w:trPr>
          <w:cantSplit/>
          <w:trHeight w:val="20"/>
        </w:trPr>
        <w:tc>
          <w:tcPr>
            <w:tcW w:w="587" w:type="dxa"/>
            <w:shd w:val="clear" w:color="auto" w:fill="auto"/>
          </w:tcPr>
          <w:p w:rsidR="007234DD" w:rsidRDefault="007234DD">
            <w:pPr>
              <w:pStyle w:val="a5"/>
            </w:pPr>
            <w:r>
              <w:t>3</w:t>
            </w:r>
          </w:p>
        </w:tc>
        <w:tc>
          <w:tcPr>
            <w:tcW w:w="2107" w:type="dxa"/>
            <w:shd w:val="clear" w:color="auto" w:fill="auto"/>
          </w:tcPr>
          <w:p w:rsidR="007234DD" w:rsidRDefault="007234DD">
            <w:pPr>
              <w:pStyle w:val="a5"/>
              <w:ind w:right="0"/>
              <w:jc w:val="right"/>
            </w:pPr>
            <w:r>
              <w:t>2,038</w:t>
            </w:r>
          </w:p>
        </w:tc>
        <w:tc>
          <w:tcPr>
            <w:tcW w:w="2415" w:type="dxa"/>
            <w:shd w:val="clear" w:color="auto" w:fill="auto"/>
          </w:tcPr>
          <w:p w:rsidR="007234DD" w:rsidRDefault="007234DD">
            <w:pPr>
              <w:pStyle w:val="a5"/>
              <w:ind w:right="0"/>
              <w:jc w:val="right"/>
            </w:pPr>
            <w:r>
              <w:t>95.0</w:t>
            </w:r>
          </w:p>
        </w:tc>
        <w:tc>
          <w:tcPr>
            <w:tcW w:w="2261" w:type="dxa"/>
            <w:shd w:val="clear" w:color="auto" w:fill="auto"/>
          </w:tcPr>
          <w:p w:rsidR="007234DD" w:rsidRDefault="007234DD">
            <w:pPr>
              <w:pStyle w:val="a5"/>
              <w:ind w:right="0"/>
              <w:jc w:val="right"/>
            </w:pPr>
            <w:r>
              <w:t>94.1</w:t>
            </w:r>
          </w:p>
        </w:tc>
      </w:tr>
      <w:tr w:rsidR="007234DD">
        <w:trPr>
          <w:cantSplit/>
          <w:trHeight w:val="20"/>
        </w:trPr>
        <w:tc>
          <w:tcPr>
            <w:tcW w:w="587" w:type="dxa"/>
            <w:shd w:val="clear" w:color="auto" w:fill="auto"/>
          </w:tcPr>
          <w:p w:rsidR="007234DD" w:rsidRDefault="007234DD">
            <w:pPr>
              <w:pStyle w:val="a5"/>
            </w:pPr>
            <w:r>
              <w:t>4</w:t>
            </w:r>
          </w:p>
        </w:tc>
        <w:tc>
          <w:tcPr>
            <w:tcW w:w="2107" w:type="dxa"/>
            <w:shd w:val="clear" w:color="auto" w:fill="auto"/>
          </w:tcPr>
          <w:p w:rsidR="007234DD" w:rsidRDefault="007234DD">
            <w:pPr>
              <w:pStyle w:val="a5"/>
              <w:ind w:right="0"/>
              <w:jc w:val="right"/>
            </w:pPr>
            <w:r>
              <w:t>1,986</w:t>
            </w:r>
          </w:p>
        </w:tc>
        <w:tc>
          <w:tcPr>
            <w:tcW w:w="2415" w:type="dxa"/>
            <w:shd w:val="clear" w:color="auto" w:fill="auto"/>
          </w:tcPr>
          <w:p w:rsidR="007234DD" w:rsidRDefault="007234DD">
            <w:pPr>
              <w:pStyle w:val="a5"/>
              <w:ind w:right="0"/>
              <w:jc w:val="right"/>
            </w:pPr>
            <w:r>
              <w:t>92.6</w:t>
            </w:r>
          </w:p>
        </w:tc>
        <w:tc>
          <w:tcPr>
            <w:tcW w:w="2261" w:type="dxa"/>
            <w:shd w:val="clear" w:color="auto" w:fill="auto"/>
          </w:tcPr>
          <w:p w:rsidR="007234DD" w:rsidRDefault="007234DD">
            <w:pPr>
              <w:pStyle w:val="a5"/>
              <w:ind w:right="0"/>
              <w:jc w:val="right"/>
            </w:pPr>
            <w:r>
              <w:t>89.5</w:t>
            </w:r>
          </w:p>
        </w:tc>
      </w:tr>
      <w:tr w:rsidR="007234DD">
        <w:trPr>
          <w:cantSplit/>
          <w:trHeight w:val="20"/>
        </w:trPr>
        <w:tc>
          <w:tcPr>
            <w:tcW w:w="587" w:type="dxa"/>
            <w:shd w:val="clear" w:color="auto" w:fill="auto"/>
          </w:tcPr>
          <w:p w:rsidR="007234DD" w:rsidRDefault="007234DD">
            <w:pPr>
              <w:pStyle w:val="a5"/>
            </w:pPr>
            <w:r>
              <w:t>5</w:t>
            </w:r>
          </w:p>
        </w:tc>
        <w:tc>
          <w:tcPr>
            <w:tcW w:w="2107" w:type="dxa"/>
            <w:shd w:val="clear" w:color="auto" w:fill="auto"/>
          </w:tcPr>
          <w:p w:rsidR="007234DD" w:rsidRDefault="007234DD">
            <w:pPr>
              <w:pStyle w:val="a5"/>
              <w:ind w:right="0"/>
              <w:jc w:val="right"/>
            </w:pPr>
            <w:r>
              <w:t>1,973</w:t>
            </w:r>
          </w:p>
        </w:tc>
        <w:tc>
          <w:tcPr>
            <w:tcW w:w="2415" w:type="dxa"/>
            <w:shd w:val="clear" w:color="auto" w:fill="auto"/>
          </w:tcPr>
          <w:p w:rsidR="007234DD" w:rsidRDefault="007234DD">
            <w:pPr>
              <w:pStyle w:val="a5"/>
              <w:ind w:right="0"/>
              <w:jc w:val="right"/>
            </w:pPr>
            <w:r>
              <w:t>92.0</w:t>
            </w:r>
          </w:p>
        </w:tc>
        <w:tc>
          <w:tcPr>
            <w:tcW w:w="2261" w:type="dxa"/>
            <w:shd w:val="clear" w:color="auto" w:fill="auto"/>
          </w:tcPr>
          <w:p w:rsidR="007234DD" w:rsidRDefault="007234DD">
            <w:pPr>
              <w:pStyle w:val="a5"/>
              <w:ind w:right="0"/>
              <w:jc w:val="right"/>
            </w:pPr>
            <w:r>
              <w:t>88.1</w:t>
            </w:r>
          </w:p>
        </w:tc>
      </w:tr>
      <w:tr w:rsidR="007234DD">
        <w:trPr>
          <w:cantSplit/>
          <w:trHeight w:val="20"/>
        </w:trPr>
        <w:tc>
          <w:tcPr>
            <w:tcW w:w="587" w:type="dxa"/>
            <w:shd w:val="clear" w:color="auto" w:fill="auto"/>
          </w:tcPr>
          <w:p w:rsidR="007234DD" w:rsidRDefault="007234DD">
            <w:pPr>
              <w:pStyle w:val="a5"/>
            </w:pPr>
            <w:r>
              <w:t>6</w:t>
            </w:r>
          </w:p>
        </w:tc>
        <w:tc>
          <w:tcPr>
            <w:tcW w:w="2107" w:type="dxa"/>
            <w:shd w:val="clear" w:color="auto" w:fill="auto"/>
          </w:tcPr>
          <w:p w:rsidR="007234DD" w:rsidRDefault="007234DD">
            <w:pPr>
              <w:pStyle w:val="a5"/>
              <w:ind w:right="0"/>
              <w:jc w:val="right"/>
            </w:pPr>
            <w:r>
              <w:t>1,916</w:t>
            </w:r>
          </w:p>
        </w:tc>
        <w:tc>
          <w:tcPr>
            <w:tcW w:w="2415" w:type="dxa"/>
            <w:shd w:val="clear" w:color="auto" w:fill="auto"/>
          </w:tcPr>
          <w:p w:rsidR="007234DD" w:rsidRDefault="007234DD">
            <w:pPr>
              <w:pStyle w:val="a5"/>
              <w:ind w:right="0"/>
              <w:jc w:val="right"/>
            </w:pPr>
            <w:r>
              <w:t>89.3</w:t>
            </w:r>
          </w:p>
        </w:tc>
        <w:tc>
          <w:tcPr>
            <w:tcW w:w="2261" w:type="dxa"/>
            <w:shd w:val="clear" w:color="auto" w:fill="auto"/>
          </w:tcPr>
          <w:p w:rsidR="007234DD" w:rsidRDefault="007234DD">
            <w:pPr>
              <w:pStyle w:val="a5"/>
              <w:ind w:right="0"/>
              <w:jc w:val="right"/>
            </w:pPr>
            <w:r>
              <w:t>83.2</w:t>
            </w:r>
          </w:p>
        </w:tc>
      </w:tr>
      <w:tr w:rsidR="007234DD">
        <w:trPr>
          <w:cantSplit/>
          <w:trHeight w:val="20"/>
        </w:trPr>
        <w:tc>
          <w:tcPr>
            <w:tcW w:w="587" w:type="dxa"/>
            <w:shd w:val="clear" w:color="auto" w:fill="auto"/>
          </w:tcPr>
          <w:p w:rsidR="007234DD" w:rsidRDefault="007234DD">
            <w:pPr>
              <w:pStyle w:val="a5"/>
            </w:pPr>
            <w:r>
              <w:t>7</w:t>
            </w:r>
          </w:p>
        </w:tc>
        <w:tc>
          <w:tcPr>
            <w:tcW w:w="2107" w:type="dxa"/>
            <w:shd w:val="clear" w:color="auto" w:fill="auto"/>
          </w:tcPr>
          <w:p w:rsidR="007234DD" w:rsidRDefault="007234DD">
            <w:pPr>
              <w:pStyle w:val="a5"/>
              <w:ind w:right="0"/>
              <w:jc w:val="right"/>
            </w:pPr>
            <w:r>
              <w:t>1,899</w:t>
            </w:r>
          </w:p>
        </w:tc>
        <w:tc>
          <w:tcPr>
            <w:tcW w:w="2415" w:type="dxa"/>
            <w:shd w:val="clear" w:color="auto" w:fill="auto"/>
          </w:tcPr>
          <w:p w:rsidR="007234DD" w:rsidRDefault="007234DD">
            <w:pPr>
              <w:pStyle w:val="a5"/>
              <w:ind w:right="0"/>
              <w:jc w:val="right"/>
            </w:pPr>
            <w:r>
              <w:t>88.5</w:t>
            </w:r>
          </w:p>
        </w:tc>
        <w:tc>
          <w:tcPr>
            <w:tcW w:w="2261" w:type="dxa"/>
            <w:shd w:val="clear" w:color="auto" w:fill="auto"/>
          </w:tcPr>
          <w:p w:rsidR="007234DD" w:rsidRDefault="007234DD">
            <w:pPr>
              <w:pStyle w:val="a5"/>
              <w:ind w:right="0"/>
              <w:jc w:val="right"/>
            </w:pPr>
            <w:r>
              <w:t>80.9</w:t>
            </w:r>
          </w:p>
        </w:tc>
      </w:tr>
      <w:tr w:rsidR="007234DD">
        <w:trPr>
          <w:cantSplit/>
          <w:trHeight w:val="20"/>
        </w:trPr>
        <w:tc>
          <w:tcPr>
            <w:tcW w:w="587" w:type="dxa"/>
            <w:shd w:val="clear" w:color="auto" w:fill="auto"/>
          </w:tcPr>
          <w:p w:rsidR="007234DD" w:rsidRDefault="007234DD">
            <w:pPr>
              <w:pStyle w:val="a5"/>
            </w:pPr>
            <w:r>
              <w:t>8</w:t>
            </w:r>
          </w:p>
        </w:tc>
        <w:tc>
          <w:tcPr>
            <w:tcW w:w="2107" w:type="dxa"/>
            <w:shd w:val="clear" w:color="auto" w:fill="auto"/>
          </w:tcPr>
          <w:p w:rsidR="007234DD" w:rsidRDefault="007234DD">
            <w:pPr>
              <w:pStyle w:val="a5"/>
              <w:ind w:right="0"/>
              <w:jc w:val="right"/>
            </w:pPr>
            <w:r>
              <w:t>1,888</w:t>
            </w:r>
          </w:p>
        </w:tc>
        <w:tc>
          <w:tcPr>
            <w:tcW w:w="2415" w:type="dxa"/>
            <w:shd w:val="clear" w:color="auto" w:fill="auto"/>
          </w:tcPr>
          <w:p w:rsidR="007234DD" w:rsidRDefault="007234DD">
            <w:pPr>
              <w:pStyle w:val="a5"/>
              <w:ind w:right="0"/>
              <w:jc w:val="right"/>
            </w:pPr>
            <w:r>
              <w:t>88.0</w:t>
            </w:r>
          </w:p>
        </w:tc>
        <w:tc>
          <w:tcPr>
            <w:tcW w:w="2261" w:type="dxa"/>
            <w:shd w:val="clear" w:color="auto" w:fill="auto"/>
          </w:tcPr>
          <w:p w:rsidR="007234DD" w:rsidRDefault="007234DD">
            <w:pPr>
              <w:pStyle w:val="a5"/>
              <w:ind w:right="0"/>
              <w:jc w:val="right"/>
            </w:pPr>
            <w:r>
              <w:t>79.6</w:t>
            </w:r>
          </w:p>
        </w:tc>
      </w:tr>
      <w:tr w:rsidR="007234DD">
        <w:trPr>
          <w:cantSplit/>
          <w:trHeight w:val="20"/>
        </w:trPr>
        <w:tc>
          <w:tcPr>
            <w:tcW w:w="587" w:type="dxa"/>
            <w:tcBorders>
              <w:bottom w:val="single" w:sz="12" w:space="0" w:color="auto"/>
            </w:tcBorders>
            <w:shd w:val="clear" w:color="auto" w:fill="auto"/>
          </w:tcPr>
          <w:p w:rsidR="007234DD" w:rsidRDefault="007234DD">
            <w:pPr>
              <w:pStyle w:val="a5"/>
            </w:pPr>
            <w:r>
              <w:t>0</w:t>
            </w:r>
          </w:p>
        </w:tc>
        <w:tc>
          <w:tcPr>
            <w:tcW w:w="2107" w:type="dxa"/>
            <w:tcBorders>
              <w:bottom w:val="single" w:sz="12" w:space="0" w:color="auto"/>
            </w:tcBorders>
            <w:shd w:val="clear" w:color="auto" w:fill="auto"/>
          </w:tcPr>
          <w:p w:rsidR="007234DD" w:rsidRDefault="007234DD">
            <w:pPr>
              <w:pStyle w:val="a5"/>
              <w:ind w:right="0"/>
              <w:jc w:val="right"/>
            </w:pPr>
            <w:r>
              <w:t>1,879</w:t>
            </w:r>
          </w:p>
        </w:tc>
        <w:tc>
          <w:tcPr>
            <w:tcW w:w="2415" w:type="dxa"/>
            <w:tcBorders>
              <w:bottom w:val="single" w:sz="12" w:space="0" w:color="auto"/>
            </w:tcBorders>
            <w:shd w:val="clear" w:color="auto" w:fill="auto"/>
          </w:tcPr>
          <w:p w:rsidR="007234DD" w:rsidRDefault="007234DD">
            <w:pPr>
              <w:pStyle w:val="a5"/>
              <w:ind w:right="0"/>
              <w:jc w:val="right"/>
            </w:pPr>
            <w:r>
              <w:t>87.6</w:t>
            </w:r>
          </w:p>
        </w:tc>
        <w:tc>
          <w:tcPr>
            <w:tcW w:w="2261" w:type="dxa"/>
            <w:tcBorders>
              <w:bottom w:val="single" w:sz="12" w:space="0" w:color="auto"/>
            </w:tcBorders>
            <w:shd w:val="clear" w:color="auto" w:fill="auto"/>
          </w:tcPr>
          <w:p w:rsidR="007234DD" w:rsidRDefault="007234DD">
            <w:pPr>
              <w:pStyle w:val="a5"/>
              <w:ind w:right="0"/>
              <w:jc w:val="right"/>
            </w:pPr>
            <w:r>
              <w:t>79.0</w:t>
            </w:r>
          </w:p>
        </w:tc>
      </w:tr>
    </w:tbl>
    <w:p w:rsidR="007234DD" w:rsidRDefault="00247695" w:rsidP="00247695">
      <w:pPr>
        <w:pStyle w:val="SingleTxtGC"/>
        <w:tabs>
          <w:tab w:val="left" w:pos="1300"/>
        </w:tabs>
        <w:spacing w:before="120" w:after="0" w:line="260" w:lineRule="exact"/>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卡塔尔国，“</w:t>
      </w:r>
      <w:r w:rsidR="007234DD">
        <w:rPr>
          <w:sz w:val="19"/>
          <w:szCs w:val="19"/>
        </w:rPr>
        <w:t>Qalam</w:t>
      </w:r>
      <w:r w:rsidR="007234DD">
        <w:rPr>
          <w:rFonts w:hint="eastAsia"/>
          <w:sz w:val="19"/>
          <w:szCs w:val="19"/>
        </w:rPr>
        <w:t>”项目，卡塔尔</w:t>
      </w:r>
      <w:r w:rsidR="007234DD">
        <w:rPr>
          <w:rFonts w:hint="eastAsia"/>
          <w:sz w:val="19"/>
          <w:szCs w:val="19"/>
        </w:rPr>
        <w:t>/</w:t>
      </w:r>
      <w:r w:rsidR="007234DD">
        <w:rPr>
          <w:rFonts w:hint="eastAsia"/>
          <w:sz w:val="19"/>
          <w:szCs w:val="19"/>
        </w:rPr>
        <w:t>教育部，教育事务科，教育统计司，</w:t>
      </w:r>
      <w:r w:rsidR="007234DD">
        <w:rPr>
          <w:rFonts w:hint="eastAsia"/>
          <w:sz w:val="19"/>
          <w:szCs w:val="19"/>
        </w:rPr>
        <w:t>2006</w:t>
      </w:r>
      <w:r w:rsidR="007234DD">
        <w:rPr>
          <w:rFonts w:hint="eastAsia"/>
          <w:sz w:val="19"/>
          <w:szCs w:val="19"/>
        </w:rPr>
        <w:t>年及以后</w:t>
      </w:r>
      <w:r w:rsidR="007234DD">
        <w:rPr>
          <w:rFonts w:hint="eastAsia"/>
          <w:sz w:val="19"/>
          <w:szCs w:val="19"/>
        </w:rPr>
        <w:t>(</w:t>
      </w:r>
      <w:r w:rsidR="007234DD">
        <w:rPr>
          <w:rFonts w:hint="eastAsia"/>
          <w:sz w:val="19"/>
          <w:szCs w:val="19"/>
        </w:rPr>
        <w:t>年度统计报告，卡塔尔，多哈，第</w:t>
      </w:r>
      <w:r w:rsidR="007234DD">
        <w:rPr>
          <w:rFonts w:hint="eastAsia"/>
          <w:sz w:val="19"/>
          <w:szCs w:val="19"/>
        </w:rPr>
        <w:t>418</w:t>
      </w:r>
      <w:r w:rsidR="007234DD">
        <w:rPr>
          <w:rFonts w:hint="eastAsia"/>
          <w:sz w:val="19"/>
          <w:szCs w:val="19"/>
        </w:rPr>
        <w:t>页</w:t>
      </w:r>
      <w:r w:rsidR="007234DD">
        <w:rPr>
          <w:rFonts w:hint="eastAsia"/>
          <w:sz w:val="19"/>
          <w:szCs w:val="19"/>
        </w:rPr>
        <w:t>)</w:t>
      </w:r>
      <w:r w:rsidR="007234DD">
        <w:rPr>
          <w:rFonts w:hint="eastAsia"/>
          <w:sz w:val="19"/>
          <w:szCs w:val="19"/>
        </w:rPr>
        <w:t>。</w:t>
      </w:r>
    </w:p>
    <w:p w:rsidR="007234DD" w:rsidRDefault="007234DD">
      <w:pPr>
        <w:pStyle w:val="SingleTxtGC"/>
      </w:pPr>
      <w:r>
        <w:t xml:space="preserve">224.  </w:t>
      </w:r>
      <w:r>
        <w:rPr>
          <w:rFonts w:hint="eastAsia"/>
        </w:rPr>
        <w:t>为执行《义务教育法》而采取的措施已见成效，使卡塔尔</w:t>
      </w:r>
      <w:r>
        <w:rPr>
          <w:rFonts w:hint="eastAsia"/>
        </w:rPr>
        <w:t>6</w:t>
      </w:r>
      <w:r>
        <w:rPr>
          <w:rFonts w:hint="eastAsia"/>
        </w:rPr>
        <w:t>至</w:t>
      </w:r>
      <w:r>
        <w:rPr>
          <w:rFonts w:hint="eastAsia"/>
        </w:rPr>
        <w:t>14</w:t>
      </w:r>
      <w:r>
        <w:rPr>
          <w:rFonts w:hint="eastAsia"/>
        </w:rPr>
        <w:t>岁年龄组男女义务教育辍学率从</w:t>
      </w:r>
      <w:r>
        <w:rPr>
          <w:rFonts w:hint="eastAsia"/>
        </w:rPr>
        <w:t>2000/01</w:t>
      </w:r>
      <w:r>
        <w:rPr>
          <w:rFonts w:hint="eastAsia"/>
        </w:rPr>
        <w:t>学年的</w:t>
      </w:r>
      <w:r>
        <w:rPr>
          <w:rFonts w:hint="eastAsia"/>
        </w:rPr>
        <w:t>24.5%</w:t>
      </w:r>
      <w:r>
        <w:rPr>
          <w:rFonts w:hint="eastAsia"/>
        </w:rPr>
        <w:t>下降到</w:t>
      </w:r>
      <w:r>
        <w:rPr>
          <w:rFonts w:hint="eastAsia"/>
        </w:rPr>
        <w:t>2008/09</w:t>
      </w:r>
      <w:r>
        <w:rPr>
          <w:rFonts w:hint="eastAsia"/>
        </w:rPr>
        <w:t>学年的</w:t>
      </w:r>
      <w:r>
        <w:rPr>
          <w:rFonts w:hint="eastAsia"/>
        </w:rPr>
        <w:t>9.9%</w:t>
      </w:r>
      <w:r>
        <w:rPr>
          <w:rFonts w:hint="eastAsia"/>
        </w:rPr>
        <w:t>。尽管如此，对于该教育阶段来说，这一比率仍然相当高。这是因为一些非卡塔尔籍学生随同其家人离开了卡塔尔</w:t>
      </w:r>
      <w:r>
        <w:rPr>
          <w:rFonts w:hint="eastAsia"/>
          <w:spacing w:val="-50"/>
        </w:rPr>
        <w:t>―</w:t>
      </w:r>
      <w:r>
        <w:rPr>
          <w:rFonts w:hint="eastAsia"/>
          <w:spacing w:val="10"/>
        </w:rPr>
        <w:t>―</w:t>
      </w:r>
      <w:r>
        <w:rPr>
          <w:rFonts w:hint="eastAsia"/>
        </w:rPr>
        <w:t>这被归类为辍学，虽然这样归类并不完全准确</w:t>
      </w:r>
      <w:r>
        <w:rPr>
          <w:rFonts w:hint="eastAsia"/>
          <w:spacing w:val="-50"/>
        </w:rPr>
        <w:t>―</w:t>
      </w:r>
      <w:r>
        <w:rPr>
          <w:rFonts w:hint="eastAsia"/>
          <w:spacing w:val="10"/>
        </w:rPr>
        <w:t>―</w:t>
      </w:r>
      <w:r>
        <w:rPr>
          <w:rFonts w:hint="eastAsia"/>
        </w:rPr>
        <w:t>并且依据的是卡塔尔籍学生当中的义务教育辍学率统计数字</w:t>
      </w:r>
      <w:r>
        <w:rPr>
          <w:rFonts w:hint="eastAsia"/>
        </w:rPr>
        <w:t>(</w:t>
      </w:r>
      <w:r>
        <w:rPr>
          <w:rFonts w:hint="eastAsia"/>
        </w:rPr>
        <w:t>升幅不超过</w:t>
      </w:r>
      <w:r>
        <w:rPr>
          <w:rFonts w:hint="eastAsia"/>
        </w:rPr>
        <w:t>0.7%)</w:t>
      </w:r>
      <w:r>
        <w:rPr>
          <w:rFonts w:hint="eastAsia"/>
        </w:rPr>
        <w:t>。如表</w:t>
      </w:r>
      <w:r>
        <w:rPr>
          <w:rFonts w:hint="eastAsia"/>
        </w:rPr>
        <w:t>10</w:t>
      </w:r>
      <w:r>
        <w:rPr>
          <w:rFonts w:hint="eastAsia"/>
        </w:rPr>
        <w:t>中的数字所示，在任何情况下，男性的辍学率都比女性的高。</w:t>
      </w:r>
    </w:p>
    <w:p w:rsidR="007234DD" w:rsidRDefault="007234DD">
      <w:pPr>
        <w:pStyle w:val="SingleTxtGC"/>
        <w:rPr>
          <w:rFonts w:hint="eastAsia"/>
        </w:rPr>
      </w:pPr>
      <w:r>
        <w:rPr>
          <w:rFonts w:hint="eastAsia"/>
        </w:rPr>
        <w:t>表</w:t>
      </w:r>
      <w:r>
        <w:t>10</w:t>
      </w:r>
      <w:r>
        <w:rPr>
          <w:rFonts w:hint="eastAsia"/>
        </w:rPr>
        <w:br/>
      </w:r>
      <w:r>
        <w:rPr>
          <w:rFonts w:eastAsia="SimHei" w:hint="eastAsia"/>
        </w:rPr>
        <w:t>按性别和年份分列的义务教育和中等教育辍学率</w:t>
      </w:r>
    </w:p>
    <w:tbl>
      <w:tblPr>
        <w:tblW w:w="7370" w:type="dxa"/>
        <w:tblInd w:w="1134" w:type="dxa"/>
        <w:tblCellMar>
          <w:left w:w="0" w:type="dxa"/>
          <w:right w:w="0" w:type="dxa"/>
        </w:tblCellMar>
        <w:tblLook w:val="0000" w:firstRow="0" w:lastRow="0" w:firstColumn="0" w:lastColumn="0" w:noHBand="0" w:noVBand="0"/>
      </w:tblPr>
      <w:tblGrid>
        <w:gridCol w:w="1199"/>
        <w:gridCol w:w="787"/>
        <w:gridCol w:w="2080"/>
        <w:gridCol w:w="1320"/>
        <w:gridCol w:w="1984"/>
      </w:tblGrid>
      <w:tr w:rsidR="007234DD">
        <w:trPr>
          <w:cantSplit/>
          <w:trHeight w:val="20"/>
        </w:trPr>
        <w:tc>
          <w:tcPr>
            <w:tcW w:w="1199" w:type="dxa"/>
            <w:tcBorders>
              <w:top w:val="single" w:sz="4" w:space="0" w:color="auto"/>
            </w:tcBorders>
            <w:shd w:val="clear" w:color="auto" w:fill="auto"/>
            <w:vAlign w:val="bottom"/>
          </w:tcPr>
          <w:p w:rsidR="007234DD" w:rsidRDefault="007234DD">
            <w:pPr>
              <w:pStyle w:val="a0"/>
              <w:ind w:right="0"/>
            </w:pPr>
          </w:p>
        </w:tc>
        <w:tc>
          <w:tcPr>
            <w:tcW w:w="787" w:type="dxa"/>
            <w:tcBorders>
              <w:top w:val="single" w:sz="4" w:space="0" w:color="auto"/>
            </w:tcBorders>
            <w:shd w:val="clear" w:color="auto" w:fill="auto"/>
            <w:vAlign w:val="bottom"/>
          </w:tcPr>
          <w:p w:rsidR="007234DD" w:rsidRDefault="007234DD">
            <w:pPr>
              <w:pStyle w:val="a0"/>
              <w:ind w:right="0"/>
              <w:jc w:val="right"/>
            </w:pPr>
          </w:p>
        </w:tc>
        <w:tc>
          <w:tcPr>
            <w:tcW w:w="3400" w:type="dxa"/>
            <w:gridSpan w:val="2"/>
            <w:tcBorders>
              <w:top w:val="single" w:sz="4" w:space="0" w:color="auto"/>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rPr>
                <w:rFonts w:hint="eastAsia"/>
              </w:rPr>
              <w:t>义务教育</w:t>
            </w:r>
          </w:p>
        </w:tc>
        <w:tc>
          <w:tcPr>
            <w:tcW w:w="1984" w:type="dxa"/>
            <w:tcBorders>
              <w:top w:val="single" w:sz="4" w:space="0" w:color="auto"/>
              <w:left w:val="single" w:sz="24" w:space="0" w:color="FFFFFF"/>
              <w:bottom w:val="single" w:sz="6" w:space="0" w:color="auto"/>
            </w:tcBorders>
            <w:shd w:val="clear" w:color="auto" w:fill="auto"/>
            <w:vAlign w:val="bottom"/>
          </w:tcPr>
          <w:p w:rsidR="007234DD" w:rsidRDefault="007234DD">
            <w:pPr>
              <w:pStyle w:val="a0"/>
              <w:ind w:right="0"/>
              <w:jc w:val="center"/>
              <w:rPr>
                <w:rFonts w:hint="eastAsia"/>
              </w:rPr>
            </w:pPr>
            <w:r>
              <w:rPr>
                <w:rFonts w:hint="eastAsia"/>
              </w:rPr>
              <w:t>中等教育</w:t>
            </w:r>
          </w:p>
        </w:tc>
      </w:tr>
      <w:tr w:rsidR="007234DD">
        <w:trPr>
          <w:cantSplit/>
          <w:trHeight w:val="351"/>
        </w:trPr>
        <w:tc>
          <w:tcPr>
            <w:tcW w:w="1199" w:type="dxa"/>
            <w:tcBorders>
              <w:bottom w:val="single" w:sz="12" w:space="0" w:color="auto"/>
            </w:tcBorders>
            <w:shd w:val="clear" w:color="auto" w:fill="auto"/>
          </w:tcPr>
          <w:p w:rsidR="007234DD" w:rsidRDefault="007234DD">
            <w:pPr>
              <w:pStyle w:val="a5"/>
              <w:rPr>
                <w:rFonts w:hint="eastAsia"/>
              </w:rPr>
            </w:pPr>
            <w:r>
              <w:rPr>
                <w:rFonts w:hint="eastAsia"/>
              </w:rPr>
              <w:t>学年</w:t>
            </w:r>
          </w:p>
        </w:tc>
        <w:tc>
          <w:tcPr>
            <w:tcW w:w="787" w:type="dxa"/>
            <w:tcBorders>
              <w:bottom w:val="single" w:sz="12" w:space="0" w:color="auto"/>
            </w:tcBorders>
            <w:shd w:val="clear" w:color="auto" w:fill="auto"/>
          </w:tcPr>
          <w:p w:rsidR="007234DD" w:rsidRDefault="007234DD">
            <w:pPr>
              <w:pStyle w:val="a0"/>
              <w:ind w:right="0"/>
              <w:jc w:val="right"/>
            </w:pPr>
            <w:r>
              <w:rPr>
                <w:rFonts w:hint="eastAsia"/>
              </w:rPr>
              <w:t>性别</w:t>
            </w:r>
          </w:p>
        </w:tc>
        <w:tc>
          <w:tcPr>
            <w:tcW w:w="2080"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卡塔尔籍和非卡塔尔籍</w:t>
            </w:r>
          </w:p>
        </w:tc>
        <w:tc>
          <w:tcPr>
            <w:tcW w:w="1320"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rPr>
                <w:rFonts w:hint="eastAsia"/>
              </w:rPr>
            </w:pPr>
            <w:r>
              <w:rPr>
                <w:rFonts w:hint="eastAsia"/>
              </w:rPr>
              <w:t>仅卡塔尔籍</w:t>
            </w:r>
          </w:p>
        </w:tc>
        <w:tc>
          <w:tcPr>
            <w:tcW w:w="1984"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rPr>
                <w:rFonts w:hint="eastAsia"/>
              </w:rPr>
              <w:t>卡塔尔籍和非卡塔尔籍</w:t>
            </w:r>
          </w:p>
        </w:tc>
      </w:tr>
      <w:tr w:rsidR="007234DD">
        <w:trPr>
          <w:cantSplit/>
          <w:trHeight w:val="20"/>
        </w:trPr>
        <w:tc>
          <w:tcPr>
            <w:tcW w:w="1199" w:type="dxa"/>
            <w:tcBorders>
              <w:top w:val="single" w:sz="12" w:space="0" w:color="auto"/>
            </w:tcBorders>
            <w:shd w:val="clear" w:color="auto" w:fill="auto"/>
          </w:tcPr>
          <w:p w:rsidR="007234DD" w:rsidRDefault="007234DD">
            <w:pPr>
              <w:pStyle w:val="a5"/>
            </w:pPr>
            <w:r>
              <w:t>2003/04</w:t>
            </w:r>
          </w:p>
        </w:tc>
        <w:tc>
          <w:tcPr>
            <w:tcW w:w="787" w:type="dxa"/>
            <w:tcBorders>
              <w:top w:val="single" w:sz="12" w:space="0" w:color="auto"/>
            </w:tcBorders>
            <w:shd w:val="clear" w:color="auto" w:fill="auto"/>
          </w:tcPr>
          <w:p w:rsidR="007234DD" w:rsidRDefault="007234DD">
            <w:pPr>
              <w:pStyle w:val="a5"/>
              <w:ind w:right="0"/>
              <w:jc w:val="right"/>
              <w:rPr>
                <w:rFonts w:hint="eastAsia"/>
              </w:rPr>
            </w:pPr>
            <w:r>
              <w:rPr>
                <w:rFonts w:hint="eastAsia"/>
              </w:rPr>
              <w:t>男</w:t>
            </w:r>
          </w:p>
        </w:tc>
        <w:tc>
          <w:tcPr>
            <w:tcW w:w="2080" w:type="dxa"/>
            <w:tcBorders>
              <w:top w:val="single" w:sz="12" w:space="0" w:color="auto"/>
            </w:tcBorders>
            <w:shd w:val="clear" w:color="auto" w:fill="auto"/>
          </w:tcPr>
          <w:p w:rsidR="007234DD" w:rsidRDefault="007234DD">
            <w:pPr>
              <w:pStyle w:val="a5"/>
              <w:ind w:right="0"/>
              <w:jc w:val="right"/>
            </w:pPr>
            <w:r>
              <w:t>25.1</w:t>
            </w:r>
          </w:p>
        </w:tc>
        <w:tc>
          <w:tcPr>
            <w:tcW w:w="1320" w:type="dxa"/>
            <w:tcBorders>
              <w:top w:val="single" w:sz="12" w:space="0" w:color="auto"/>
            </w:tcBorders>
            <w:shd w:val="clear" w:color="auto" w:fill="auto"/>
          </w:tcPr>
          <w:p w:rsidR="007234DD" w:rsidRDefault="007234DD">
            <w:pPr>
              <w:pStyle w:val="a5"/>
              <w:ind w:right="0"/>
              <w:jc w:val="right"/>
            </w:pPr>
            <w:r>
              <w:t>4.6</w:t>
            </w:r>
          </w:p>
        </w:tc>
        <w:tc>
          <w:tcPr>
            <w:tcW w:w="1984" w:type="dxa"/>
            <w:tcBorders>
              <w:top w:val="single" w:sz="12" w:space="0" w:color="auto"/>
            </w:tcBorders>
            <w:shd w:val="clear" w:color="auto" w:fill="auto"/>
          </w:tcPr>
          <w:p w:rsidR="007234DD" w:rsidRDefault="007234DD">
            <w:pPr>
              <w:pStyle w:val="a5"/>
              <w:ind w:right="0"/>
              <w:jc w:val="right"/>
            </w:pPr>
            <w:r>
              <w:t>33.9</w:t>
            </w:r>
          </w:p>
        </w:tc>
      </w:tr>
      <w:tr w:rsidR="007234DD">
        <w:trPr>
          <w:cantSplit/>
          <w:trHeight w:val="20"/>
        </w:trPr>
        <w:tc>
          <w:tcPr>
            <w:tcW w:w="1199" w:type="dxa"/>
            <w:shd w:val="clear" w:color="auto" w:fill="auto"/>
          </w:tcPr>
          <w:p w:rsidR="007234DD" w:rsidRDefault="007234DD">
            <w:pPr>
              <w:pStyle w:val="a5"/>
            </w:pPr>
          </w:p>
        </w:tc>
        <w:tc>
          <w:tcPr>
            <w:tcW w:w="787" w:type="dxa"/>
            <w:shd w:val="clear" w:color="auto" w:fill="auto"/>
          </w:tcPr>
          <w:p w:rsidR="007234DD" w:rsidRDefault="007234DD">
            <w:pPr>
              <w:pStyle w:val="a5"/>
              <w:ind w:right="0"/>
              <w:jc w:val="right"/>
              <w:rPr>
                <w:rFonts w:hint="eastAsia"/>
              </w:rPr>
            </w:pPr>
            <w:r>
              <w:rPr>
                <w:rFonts w:hint="eastAsia"/>
              </w:rPr>
              <w:t>女</w:t>
            </w:r>
          </w:p>
        </w:tc>
        <w:tc>
          <w:tcPr>
            <w:tcW w:w="2080" w:type="dxa"/>
            <w:shd w:val="clear" w:color="auto" w:fill="auto"/>
          </w:tcPr>
          <w:p w:rsidR="007234DD" w:rsidRDefault="007234DD">
            <w:pPr>
              <w:pStyle w:val="a5"/>
              <w:ind w:right="0"/>
              <w:jc w:val="right"/>
            </w:pPr>
            <w:r>
              <w:t>11.6</w:t>
            </w:r>
          </w:p>
        </w:tc>
        <w:tc>
          <w:tcPr>
            <w:tcW w:w="1320" w:type="dxa"/>
            <w:shd w:val="clear" w:color="auto" w:fill="auto"/>
          </w:tcPr>
          <w:p w:rsidR="007234DD" w:rsidRDefault="007234DD">
            <w:pPr>
              <w:pStyle w:val="a5"/>
              <w:ind w:right="0"/>
              <w:jc w:val="right"/>
            </w:pPr>
            <w:r>
              <w:t>0.9</w:t>
            </w:r>
          </w:p>
        </w:tc>
        <w:tc>
          <w:tcPr>
            <w:tcW w:w="1984" w:type="dxa"/>
            <w:shd w:val="clear" w:color="auto" w:fill="auto"/>
          </w:tcPr>
          <w:p w:rsidR="007234DD" w:rsidRDefault="007234DD">
            <w:pPr>
              <w:pStyle w:val="a5"/>
              <w:ind w:right="0"/>
              <w:jc w:val="right"/>
            </w:pPr>
            <w:r>
              <w:t>14.6</w:t>
            </w:r>
          </w:p>
        </w:tc>
      </w:tr>
      <w:tr w:rsidR="007234DD">
        <w:trPr>
          <w:cantSplit/>
          <w:trHeight w:val="20"/>
        </w:trPr>
        <w:tc>
          <w:tcPr>
            <w:tcW w:w="1199" w:type="dxa"/>
            <w:shd w:val="clear" w:color="auto" w:fill="auto"/>
          </w:tcPr>
          <w:p w:rsidR="007234DD" w:rsidRDefault="007234DD">
            <w:pPr>
              <w:pStyle w:val="a5"/>
            </w:pPr>
            <w:r>
              <w:t>2004/05</w:t>
            </w:r>
          </w:p>
        </w:tc>
        <w:tc>
          <w:tcPr>
            <w:tcW w:w="787" w:type="dxa"/>
            <w:shd w:val="clear" w:color="auto" w:fill="auto"/>
          </w:tcPr>
          <w:p w:rsidR="007234DD" w:rsidRDefault="007234DD">
            <w:pPr>
              <w:pStyle w:val="a5"/>
              <w:ind w:right="0"/>
              <w:jc w:val="right"/>
              <w:rPr>
                <w:rFonts w:hint="eastAsia"/>
              </w:rPr>
            </w:pPr>
            <w:r>
              <w:rPr>
                <w:rFonts w:hint="eastAsia"/>
              </w:rPr>
              <w:t>男</w:t>
            </w:r>
          </w:p>
        </w:tc>
        <w:tc>
          <w:tcPr>
            <w:tcW w:w="2080" w:type="dxa"/>
            <w:shd w:val="clear" w:color="auto" w:fill="auto"/>
          </w:tcPr>
          <w:p w:rsidR="007234DD" w:rsidRDefault="007234DD">
            <w:pPr>
              <w:pStyle w:val="a5"/>
              <w:ind w:right="0"/>
              <w:jc w:val="right"/>
            </w:pPr>
            <w:r>
              <w:t>21.0</w:t>
            </w:r>
          </w:p>
        </w:tc>
        <w:tc>
          <w:tcPr>
            <w:tcW w:w="1320" w:type="dxa"/>
            <w:shd w:val="clear" w:color="auto" w:fill="auto"/>
          </w:tcPr>
          <w:p w:rsidR="007234DD" w:rsidRDefault="007234DD">
            <w:pPr>
              <w:pStyle w:val="a5"/>
              <w:ind w:right="0"/>
              <w:jc w:val="right"/>
            </w:pPr>
            <w:r>
              <w:t>1.5</w:t>
            </w:r>
          </w:p>
        </w:tc>
        <w:tc>
          <w:tcPr>
            <w:tcW w:w="1984" w:type="dxa"/>
            <w:shd w:val="clear" w:color="auto" w:fill="auto"/>
          </w:tcPr>
          <w:p w:rsidR="007234DD" w:rsidRDefault="007234DD">
            <w:pPr>
              <w:pStyle w:val="a5"/>
              <w:ind w:right="0"/>
              <w:jc w:val="right"/>
            </w:pPr>
            <w:r>
              <w:t>33.9</w:t>
            </w:r>
          </w:p>
        </w:tc>
      </w:tr>
      <w:tr w:rsidR="007234DD">
        <w:trPr>
          <w:cantSplit/>
          <w:trHeight w:val="20"/>
        </w:trPr>
        <w:tc>
          <w:tcPr>
            <w:tcW w:w="1199" w:type="dxa"/>
            <w:shd w:val="clear" w:color="auto" w:fill="auto"/>
          </w:tcPr>
          <w:p w:rsidR="007234DD" w:rsidRDefault="007234DD">
            <w:pPr>
              <w:pStyle w:val="a5"/>
            </w:pPr>
          </w:p>
        </w:tc>
        <w:tc>
          <w:tcPr>
            <w:tcW w:w="787" w:type="dxa"/>
            <w:shd w:val="clear" w:color="auto" w:fill="auto"/>
          </w:tcPr>
          <w:p w:rsidR="007234DD" w:rsidRDefault="007234DD">
            <w:pPr>
              <w:pStyle w:val="a5"/>
              <w:ind w:right="0"/>
              <w:jc w:val="right"/>
              <w:rPr>
                <w:rFonts w:hint="eastAsia"/>
              </w:rPr>
            </w:pPr>
            <w:r>
              <w:rPr>
                <w:rFonts w:hint="eastAsia"/>
              </w:rPr>
              <w:t>女</w:t>
            </w:r>
          </w:p>
        </w:tc>
        <w:tc>
          <w:tcPr>
            <w:tcW w:w="2080" w:type="dxa"/>
            <w:shd w:val="clear" w:color="auto" w:fill="auto"/>
          </w:tcPr>
          <w:p w:rsidR="007234DD" w:rsidRDefault="007234DD">
            <w:pPr>
              <w:pStyle w:val="a5"/>
              <w:ind w:right="0"/>
              <w:jc w:val="right"/>
            </w:pPr>
            <w:r>
              <w:t>8.9</w:t>
            </w:r>
          </w:p>
        </w:tc>
        <w:tc>
          <w:tcPr>
            <w:tcW w:w="1320" w:type="dxa"/>
            <w:shd w:val="clear" w:color="auto" w:fill="auto"/>
          </w:tcPr>
          <w:p w:rsidR="007234DD" w:rsidRDefault="007234DD">
            <w:pPr>
              <w:pStyle w:val="a5"/>
              <w:ind w:right="0"/>
              <w:jc w:val="right"/>
            </w:pPr>
            <w:r>
              <w:t>-</w:t>
            </w:r>
          </w:p>
        </w:tc>
        <w:tc>
          <w:tcPr>
            <w:tcW w:w="1984" w:type="dxa"/>
            <w:shd w:val="clear" w:color="auto" w:fill="auto"/>
          </w:tcPr>
          <w:p w:rsidR="007234DD" w:rsidRDefault="007234DD">
            <w:pPr>
              <w:pStyle w:val="a5"/>
              <w:ind w:right="0"/>
              <w:jc w:val="right"/>
            </w:pPr>
            <w:r>
              <w:t>10.0</w:t>
            </w:r>
          </w:p>
        </w:tc>
      </w:tr>
      <w:tr w:rsidR="007234DD">
        <w:trPr>
          <w:cantSplit/>
          <w:trHeight w:val="20"/>
        </w:trPr>
        <w:tc>
          <w:tcPr>
            <w:tcW w:w="1199" w:type="dxa"/>
            <w:shd w:val="clear" w:color="auto" w:fill="auto"/>
          </w:tcPr>
          <w:p w:rsidR="007234DD" w:rsidRDefault="007234DD">
            <w:pPr>
              <w:pStyle w:val="a5"/>
            </w:pPr>
            <w:r>
              <w:t>2005/06</w:t>
            </w:r>
          </w:p>
        </w:tc>
        <w:tc>
          <w:tcPr>
            <w:tcW w:w="787" w:type="dxa"/>
            <w:shd w:val="clear" w:color="auto" w:fill="auto"/>
          </w:tcPr>
          <w:p w:rsidR="007234DD" w:rsidRDefault="007234DD">
            <w:pPr>
              <w:pStyle w:val="a5"/>
              <w:ind w:right="0"/>
              <w:jc w:val="right"/>
              <w:rPr>
                <w:rFonts w:hint="eastAsia"/>
              </w:rPr>
            </w:pPr>
            <w:r>
              <w:rPr>
                <w:rFonts w:hint="eastAsia"/>
              </w:rPr>
              <w:t>男</w:t>
            </w:r>
          </w:p>
        </w:tc>
        <w:tc>
          <w:tcPr>
            <w:tcW w:w="2080" w:type="dxa"/>
            <w:shd w:val="clear" w:color="auto" w:fill="auto"/>
          </w:tcPr>
          <w:p w:rsidR="007234DD" w:rsidRDefault="007234DD">
            <w:pPr>
              <w:pStyle w:val="a5"/>
              <w:ind w:right="0"/>
              <w:jc w:val="right"/>
            </w:pPr>
            <w:r>
              <w:t>25.3</w:t>
            </w:r>
          </w:p>
        </w:tc>
        <w:tc>
          <w:tcPr>
            <w:tcW w:w="1320" w:type="dxa"/>
            <w:shd w:val="clear" w:color="auto" w:fill="auto"/>
          </w:tcPr>
          <w:p w:rsidR="007234DD" w:rsidRDefault="007234DD">
            <w:pPr>
              <w:pStyle w:val="a5"/>
              <w:ind w:right="0"/>
              <w:jc w:val="right"/>
            </w:pPr>
            <w:r>
              <w:t>5.3</w:t>
            </w:r>
          </w:p>
        </w:tc>
        <w:tc>
          <w:tcPr>
            <w:tcW w:w="1984" w:type="dxa"/>
            <w:shd w:val="clear" w:color="auto" w:fill="auto"/>
          </w:tcPr>
          <w:p w:rsidR="007234DD" w:rsidRDefault="007234DD">
            <w:pPr>
              <w:pStyle w:val="a5"/>
              <w:ind w:right="0"/>
              <w:jc w:val="right"/>
            </w:pPr>
            <w:r>
              <w:t>31.6</w:t>
            </w:r>
          </w:p>
        </w:tc>
      </w:tr>
      <w:tr w:rsidR="007234DD">
        <w:trPr>
          <w:cantSplit/>
          <w:trHeight w:val="20"/>
        </w:trPr>
        <w:tc>
          <w:tcPr>
            <w:tcW w:w="1199" w:type="dxa"/>
            <w:shd w:val="clear" w:color="auto" w:fill="auto"/>
          </w:tcPr>
          <w:p w:rsidR="007234DD" w:rsidRDefault="007234DD">
            <w:pPr>
              <w:pStyle w:val="a5"/>
            </w:pPr>
          </w:p>
        </w:tc>
        <w:tc>
          <w:tcPr>
            <w:tcW w:w="787" w:type="dxa"/>
            <w:shd w:val="clear" w:color="auto" w:fill="auto"/>
          </w:tcPr>
          <w:p w:rsidR="007234DD" w:rsidRDefault="007234DD">
            <w:pPr>
              <w:pStyle w:val="a5"/>
              <w:ind w:right="0"/>
              <w:jc w:val="right"/>
              <w:rPr>
                <w:rFonts w:hint="eastAsia"/>
              </w:rPr>
            </w:pPr>
            <w:r>
              <w:rPr>
                <w:rFonts w:hint="eastAsia"/>
              </w:rPr>
              <w:t>女</w:t>
            </w:r>
          </w:p>
        </w:tc>
        <w:tc>
          <w:tcPr>
            <w:tcW w:w="2080" w:type="dxa"/>
            <w:shd w:val="clear" w:color="auto" w:fill="auto"/>
          </w:tcPr>
          <w:p w:rsidR="007234DD" w:rsidRDefault="007234DD">
            <w:pPr>
              <w:pStyle w:val="a5"/>
              <w:ind w:right="0"/>
              <w:jc w:val="right"/>
            </w:pPr>
            <w:r>
              <w:t>12.9</w:t>
            </w:r>
          </w:p>
        </w:tc>
        <w:tc>
          <w:tcPr>
            <w:tcW w:w="1320" w:type="dxa"/>
            <w:shd w:val="clear" w:color="auto" w:fill="auto"/>
          </w:tcPr>
          <w:p w:rsidR="007234DD" w:rsidRDefault="007234DD">
            <w:pPr>
              <w:pStyle w:val="a5"/>
              <w:ind w:right="0"/>
              <w:jc w:val="right"/>
            </w:pPr>
            <w:r>
              <w:t>1.0</w:t>
            </w:r>
          </w:p>
        </w:tc>
        <w:tc>
          <w:tcPr>
            <w:tcW w:w="1984" w:type="dxa"/>
            <w:shd w:val="clear" w:color="auto" w:fill="auto"/>
          </w:tcPr>
          <w:p w:rsidR="007234DD" w:rsidRDefault="007234DD">
            <w:pPr>
              <w:pStyle w:val="a5"/>
              <w:ind w:right="0"/>
              <w:jc w:val="right"/>
            </w:pPr>
            <w:r>
              <w:t>7.8</w:t>
            </w:r>
          </w:p>
        </w:tc>
      </w:tr>
      <w:tr w:rsidR="007234DD">
        <w:trPr>
          <w:cantSplit/>
          <w:trHeight w:val="20"/>
        </w:trPr>
        <w:tc>
          <w:tcPr>
            <w:tcW w:w="1199" w:type="dxa"/>
            <w:shd w:val="clear" w:color="auto" w:fill="auto"/>
          </w:tcPr>
          <w:p w:rsidR="007234DD" w:rsidRDefault="007234DD">
            <w:pPr>
              <w:pStyle w:val="a5"/>
            </w:pPr>
            <w:r>
              <w:t>2006/07</w:t>
            </w:r>
          </w:p>
        </w:tc>
        <w:tc>
          <w:tcPr>
            <w:tcW w:w="787" w:type="dxa"/>
            <w:shd w:val="clear" w:color="auto" w:fill="auto"/>
          </w:tcPr>
          <w:p w:rsidR="007234DD" w:rsidRDefault="007234DD">
            <w:pPr>
              <w:pStyle w:val="a5"/>
              <w:ind w:right="0"/>
              <w:jc w:val="right"/>
            </w:pPr>
            <w:r>
              <w:rPr>
                <w:rFonts w:hint="eastAsia"/>
              </w:rPr>
              <w:t>男</w:t>
            </w:r>
          </w:p>
        </w:tc>
        <w:tc>
          <w:tcPr>
            <w:tcW w:w="2080" w:type="dxa"/>
            <w:shd w:val="clear" w:color="auto" w:fill="auto"/>
          </w:tcPr>
          <w:p w:rsidR="007234DD" w:rsidRDefault="007234DD">
            <w:pPr>
              <w:pStyle w:val="a5"/>
              <w:ind w:right="0"/>
              <w:jc w:val="right"/>
            </w:pPr>
            <w:r>
              <w:t>22.9</w:t>
            </w:r>
          </w:p>
        </w:tc>
        <w:tc>
          <w:tcPr>
            <w:tcW w:w="1320" w:type="dxa"/>
            <w:shd w:val="clear" w:color="auto" w:fill="auto"/>
          </w:tcPr>
          <w:p w:rsidR="007234DD" w:rsidRDefault="007234DD">
            <w:pPr>
              <w:pStyle w:val="a5"/>
              <w:ind w:right="0"/>
              <w:jc w:val="right"/>
            </w:pPr>
            <w:r>
              <w:t>3.2</w:t>
            </w:r>
          </w:p>
        </w:tc>
        <w:tc>
          <w:tcPr>
            <w:tcW w:w="1984" w:type="dxa"/>
            <w:shd w:val="clear" w:color="auto" w:fill="auto"/>
          </w:tcPr>
          <w:p w:rsidR="007234DD" w:rsidRDefault="007234DD">
            <w:pPr>
              <w:pStyle w:val="a5"/>
              <w:ind w:right="0"/>
              <w:jc w:val="right"/>
            </w:pPr>
            <w:r>
              <w:t>27.1</w:t>
            </w:r>
          </w:p>
        </w:tc>
      </w:tr>
      <w:tr w:rsidR="007234DD">
        <w:trPr>
          <w:cantSplit/>
          <w:trHeight w:val="20"/>
        </w:trPr>
        <w:tc>
          <w:tcPr>
            <w:tcW w:w="1199" w:type="dxa"/>
            <w:shd w:val="clear" w:color="auto" w:fill="auto"/>
          </w:tcPr>
          <w:p w:rsidR="007234DD" w:rsidRDefault="007234DD">
            <w:pPr>
              <w:pStyle w:val="a5"/>
            </w:pPr>
          </w:p>
        </w:tc>
        <w:tc>
          <w:tcPr>
            <w:tcW w:w="787" w:type="dxa"/>
            <w:shd w:val="clear" w:color="auto" w:fill="auto"/>
          </w:tcPr>
          <w:p w:rsidR="007234DD" w:rsidRDefault="007234DD">
            <w:pPr>
              <w:pStyle w:val="a5"/>
              <w:ind w:right="0"/>
              <w:jc w:val="right"/>
              <w:rPr>
                <w:rFonts w:hint="eastAsia"/>
              </w:rPr>
            </w:pPr>
            <w:r>
              <w:rPr>
                <w:rFonts w:hint="eastAsia"/>
              </w:rPr>
              <w:t>女</w:t>
            </w:r>
          </w:p>
        </w:tc>
        <w:tc>
          <w:tcPr>
            <w:tcW w:w="2080" w:type="dxa"/>
            <w:shd w:val="clear" w:color="auto" w:fill="auto"/>
          </w:tcPr>
          <w:p w:rsidR="007234DD" w:rsidRDefault="007234DD">
            <w:pPr>
              <w:pStyle w:val="a5"/>
              <w:ind w:right="0"/>
              <w:jc w:val="right"/>
            </w:pPr>
            <w:r>
              <w:t>13.5</w:t>
            </w:r>
          </w:p>
        </w:tc>
        <w:tc>
          <w:tcPr>
            <w:tcW w:w="1320" w:type="dxa"/>
            <w:shd w:val="clear" w:color="auto" w:fill="auto"/>
          </w:tcPr>
          <w:p w:rsidR="007234DD" w:rsidRDefault="007234DD">
            <w:pPr>
              <w:pStyle w:val="a5"/>
              <w:ind w:right="0"/>
              <w:jc w:val="right"/>
            </w:pPr>
            <w:r>
              <w:t>0.3</w:t>
            </w:r>
          </w:p>
        </w:tc>
        <w:tc>
          <w:tcPr>
            <w:tcW w:w="1984" w:type="dxa"/>
            <w:shd w:val="clear" w:color="auto" w:fill="auto"/>
          </w:tcPr>
          <w:p w:rsidR="007234DD" w:rsidRDefault="007234DD">
            <w:pPr>
              <w:pStyle w:val="a5"/>
              <w:ind w:right="0"/>
              <w:jc w:val="right"/>
            </w:pPr>
            <w:r>
              <w:t>9.7</w:t>
            </w:r>
          </w:p>
        </w:tc>
      </w:tr>
      <w:tr w:rsidR="007234DD">
        <w:trPr>
          <w:cantSplit/>
          <w:trHeight w:val="20"/>
        </w:trPr>
        <w:tc>
          <w:tcPr>
            <w:tcW w:w="1199" w:type="dxa"/>
            <w:shd w:val="clear" w:color="auto" w:fill="auto"/>
          </w:tcPr>
          <w:p w:rsidR="007234DD" w:rsidRDefault="007234DD">
            <w:pPr>
              <w:pStyle w:val="a5"/>
            </w:pPr>
            <w:r>
              <w:t>2007/08</w:t>
            </w:r>
          </w:p>
        </w:tc>
        <w:tc>
          <w:tcPr>
            <w:tcW w:w="787" w:type="dxa"/>
            <w:shd w:val="clear" w:color="auto" w:fill="auto"/>
          </w:tcPr>
          <w:p w:rsidR="007234DD" w:rsidRDefault="007234DD">
            <w:pPr>
              <w:pStyle w:val="a5"/>
              <w:ind w:right="0"/>
              <w:jc w:val="right"/>
            </w:pPr>
            <w:r>
              <w:rPr>
                <w:rFonts w:hint="eastAsia"/>
              </w:rPr>
              <w:t>男</w:t>
            </w:r>
          </w:p>
        </w:tc>
        <w:tc>
          <w:tcPr>
            <w:tcW w:w="2080" w:type="dxa"/>
            <w:shd w:val="clear" w:color="auto" w:fill="auto"/>
          </w:tcPr>
          <w:p w:rsidR="007234DD" w:rsidRDefault="007234DD">
            <w:pPr>
              <w:pStyle w:val="a5"/>
              <w:ind w:right="0"/>
              <w:jc w:val="right"/>
            </w:pPr>
            <w:r>
              <w:t>18.1</w:t>
            </w:r>
          </w:p>
        </w:tc>
        <w:tc>
          <w:tcPr>
            <w:tcW w:w="1320" w:type="dxa"/>
            <w:shd w:val="clear" w:color="auto" w:fill="auto"/>
          </w:tcPr>
          <w:p w:rsidR="007234DD" w:rsidRDefault="007234DD">
            <w:pPr>
              <w:pStyle w:val="a5"/>
              <w:ind w:right="0"/>
              <w:jc w:val="right"/>
            </w:pPr>
            <w:r>
              <w:t>1.6</w:t>
            </w:r>
          </w:p>
        </w:tc>
        <w:tc>
          <w:tcPr>
            <w:tcW w:w="1984" w:type="dxa"/>
            <w:shd w:val="clear" w:color="auto" w:fill="auto"/>
          </w:tcPr>
          <w:p w:rsidR="007234DD" w:rsidRDefault="007234DD">
            <w:pPr>
              <w:pStyle w:val="a5"/>
              <w:ind w:right="0"/>
              <w:jc w:val="right"/>
            </w:pPr>
            <w:r>
              <w:t>17.9</w:t>
            </w:r>
          </w:p>
        </w:tc>
      </w:tr>
      <w:tr w:rsidR="007234DD">
        <w:trPr>
          <w:cantSplit/>
          <w:trHeight w:val="20"/>
        </w:trPr>
        <w:tc>
          <w:tcPr>
            <w:tcW w:w="1199" w:type="dxa"/>
            <w:shd w:val="clear" w:color="auto" w:fill="auto"/>
          </w:tcPr>
          <w:p w:rsidR="007234DD" w:rsidRDefault="007234DD">
            <w:pPr>
              <w:pStyle w:val="a5"/>
            </w:pPr>
          </w:p>
        </w:tc>
        <w:tc>
          <w:tcPr>
            <w:tcW w:w="787" w:type="dxa"/>
            <w:shd w:val="clear" w:color="auto" w:fill="auto"/>
          </w:tcPr>
          <w:p w:rsidR="007234DD" w:rsidRDefault="007234DD">
            <w:pPr>
              <w:pStyle w:val="a5"/>
              <w:ind w:right="0"/>
              <w:jc w:val="right"/>
              <w:rPr>
                <w:rFonts w:hint="eastAsia"/>
              </w:rPr>
            </w:pPr>
            <w:r>
              <w:rPr>
                <w:rFonts w:hint="eastAsia"/>
              </w:rPr>
              <w:t>女</w:t>
            </w:r>
          </w:p>
        </w:tc>
        <w:tc>
          <w:tcPr>
            <w:tcW w:w="2080" w:type="dxa"/>
            <w:shd w:val="clear" w:color="auto" w:fill="auto"/>
          </w:tcPr>
          <w:p w:rsidR="007234DD" w:rsidRDefault="007234DD">
            <w:pPr>
              <w:pStyle w:val="a5"/>
              <w:ind w:right="0"/>
              <w:jc w:val="right"/>
            </w:pPr>
            <w:r>
              <w:t>11.6</w:t>
            </w:r>
          </w:p>
        </w:tc>
        <w:tc>
          <w:tcPr>
            <w:tcW w:w="1320" w:type="dxa"/>
            <w:shd w:val="clear" w:color="auto" w:fill="auto"/>
          </w:tcPr>
          <w:p w:rsidR="007234DD" w:rsidRDefault="007234DD">
            <w:pPr>
              <w:pStyle w:val="a5"/>
              <w:ind w:right="0"/>
              <w:jc w:val="right"/>
            </w:pPr>
            <w:r>
              <w:t>-</w:t>
            </w:r>
          </w:p>
        </w:tc>
        <w:tc>
          <w:tcPr>
            <w:tcW w:w="1984" w:type="dxa"/>
            <w:shd w:val="clear" w:color="auto" w:fill="auto"/>
          </w:tcPr>
          <w:p w:rsidR="007234DD" w:rsidRDefault="007234DD">
            <w:pPr>
              <w:pStyle w:val="a5"/>
              <w:ind w:right="0"/>
              <w:jc w:val="right"/>
            </w:pPr>
            <w:r>
              <w:t>8.5</w:t>
            </w:r>
          </w:p>
        </w:tc>
      </w:tr>
      <w:tr w:rsidR="007234DD">
        <w:trPr>
          <w:cantSplit/>
          <w:trHeight w:val="20"/>
        </w:trPr>
        <w:tc>
          <w:tcPr>
            <w:tcW w:w="1199" w:type="dxa"/>
            <w:shd w:val="clear" w:color="auto" w:fill="auto"/>
          </w:tcPr>
          <w:p w:rsidR="007234DD" w:rsidRDefault="007234DD">
            <w:pPr>
              <w:pStyle w:val="a5"/>
            </w:pPr>
            <w:r>
              <w:t>2008/09</w:t>
            </w:r>
          </w:p>
        </w:tc>
        <w:tc>
          <w:tcPr>
            <w:tcW w:w="787" w:type="dxa"/>
            <w:shd w:val="clear" w:color="auto" w:fill="auto"/>
          </w:tcPr>
          <w:p w:rsidR="007234DD" w:rsidRDefault="007234DD">
            <w:pPr>
              <w:pStyle w:val="a5"/>
              <w:ind w:right="0"/>
              <w:jc w:val="right"/>
            </w:pPr>
            <w:r>
              <w:rPr>
                <w:rFonts w:hint="eastAsia"/>
              </w:rPr>
              <w:t>男</w:t>
            </w:r>
          </w:p>
        </w:tc>
        <w:tc>
          <w:tcPr>
            <w:tcW w:w="2080" w:type="dxa"/>
            <w:shd w:val="clear" w:color="auto" w:fill="auto"/>
          </w:tcPr>
          <w:p w:rsidR="007234DD" w:rsidRDefault="007234DD">
            <w:pPr>
              <w:pStyle w:val="a5"/>
              <w:ind w:right="0"/>
              <w:jc w:val="right"/>
            </w:pPr>
            <w:r>
              <w:t>12.1</w:t>
            </w:r>
          </w:p>
        </w:tc>
        <w:tc>
          <w:tcPr>
            <w:tcW w:w="1320" w:type="dxa"/>
            <w:shd w:val="clear" w:color="auto" w:fill="auto"/>
          </w:tcPr>
          <w:p w:rsidR="007234DD" w:rsidRDefault="007234DD">
            <w:pPr>
              <w:pStyle w:val="a5"/>
              <w:ind w:right="0"/>
              <w:jc w:val="right"/>
            </w:pPr>
            <w:r>
              <w:t>0.9</w:t>
            </w:r>
          </w:p>
        </w:tc>
        <w:tc>
          <w:tcPr>
            <w:tcW w:w="1984" w:type="dxa"/>
            <w:shd w:val="clear" w:color="auto" w:fill="auto"/>
          </w:tcPr>
          <w:p w:rsidR="007234DD" w:rsidRDefault="007234DD">
            <w:pPr>
              <w:pStyle w:val="a5"/>
              <w:ind w:right="0"/>
              <w:jc w:val="right"/>
            </w:pPr>
            <w:r>
              <w:t>16.3</w:t>
            </w:r>
          </w:p>
        </w:tc>
      </w:tr>
      <w:tr w:rsidR="007234DD">
        <w:trPr>
          <w:cantSplit/>
          <w:trHeight w:val="20"/>
        </w:trPr>
        <w:tc>
          <w:tcPr>
            <w:tcW w:w="1199" w:type="dxa"/>
            <w:tcBorders>
              <w:bottom w:val="single" w:sz="12" w:space="0" w:color="auto"/>
            </w:tcBorders>
            <w:shd w:val="clear" w:color="auto" w:fill="auto"/>
          </w:tcPr>
          <w:p w:rsidR="007234DD" w:rsidRDefault="007234DD">
            <w:pPr>
              <w:pStyle w:val="a5"/>
            </w:pPr>
          </w:p>
        </w:tc>
        <w:tc>
          <w:tcPr>
            <w:tcW w:w="787" w:type="dxa"/>
            <w:tcBorders>
              <w:bottom w:val="single" w:sz="12" w:space="0" w:color="auto"/>
            </w:tcBorders>
            <w:shd w:val="clear" w:color="auto" w:fill="auto"/>
          </w:tcPr>
          <w:p w:rsidR="007234DD" w:rsidRDefault="007234DD">
            <w:pPr>
              <w:pStyle w:val="a5"/>
              <w:ind w:right="0"/>
              <w:jc w:val="right"/>
            </w:pPr>
            <w:r>
              <w:rPr>
                <w:rFonts w:hint="eastAsia"/>
              </w:rPr>
              <w:t>女</w:t>
            </w:r>
          </w:p>
        </w:tc>
        <w:tc>
          <w:tcPr>
            <w:tcW w:w="2080" w:type="dxa"/>
            <w:tcBorders>
              <w:bottom w:val="single" w:sz="12" w:space="0" w:color="auto"/>
            </w:tcBorders>
            <w:shd w:val="clear" w:color="auto" w:fill="auto"/>
          </w:tcPr>
          <w:p w:rsidR="007234DD" w:rsidRDefault="007234DD">
            <w:pPr>
              <w:pStyle w:val="a5"/>
              <w:ind w:right="0"/>
              <w:jc w:val="right"/>
            </w:pPr>
            <w:r>
              <w:t>7.6</w:t>
            </w:r>
          </w:p>
        </w:tc>
        <w:tc>
          <w:tcPr>
            <w:tcW w:w="1320" w:type="dxa"/>
            <w:tcBorders>
              <w:bottom w:val="single" w:sz="12" w:space="0" w:color="auto"/>
            </w:tcBorders>
            <w:shd w:val="clear" w:color="auto" w:fill="auto"/>
          </w:tcPr>
          <w:p w:rsidR="007234DD" w:rsidRDefault="007234DD">
            <w:pPr>
              <w:pStyle w:val="a5"/>
              <w:ind w:right="0"/>
              <w:jc w:val="right"/>
            </w:pPr>
            <w:r>
              <w:t>0.6</w:t>
            </w:r>
          </w:p>
        </w:tc>
        <w:tc>
          <w:tcPr>
            <w:tcW w:w="1984" w:type="dxa"/>
            <w:tcBorders>
              <w:bottom w:val="single" w:sz="12" w:space="0" w:color="auto"/>
            </w:tcBorders>
            <w:shd w:val="clear" w:color="auto" w:fill="auto"/>
          </w:tcPr>
          <w:p w:rsidR="007234DD" w:rsidRDefault="007234DD">
            <w:pPr>
              <w:pStyle w:val="a5"/>
              <w:ind w:right="0"/>
              <w:jc w:val="right"/>
            </w:pPr>
            <w:r>
              <w:t>12.1</w:t>
            </w:r>
          </w:p>
        </w:tc>
      </w:tr>
    </w:tbl>
    <w:p w:rsidR="007234DD" w:rsidRDefault="00247695" w:rsidP="00247695">
      <w:pPr>
        <w:pStyle w:val="SingleTxtGC"/>
        <w:tabs>
          <w:tab w:val="left" w:pos="1300"/>
        </w:tabs>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卡塔尔国，“</w:t>
      </w:r>
      <w:r w:rsidR="007234DD">
        <w:rPr>
          <w:sz w:val="19"/>
          <w:szCs w:val="19"/>
        </w:rPr>
        <w:t>Qalam</w:t>
      </w:r>
      <w:r w:rsidR="007234DD">
        <w:rPr>
          <w:rFonts w:hint="eastAsia"/>
          <w:sz w:val="19"/>
          <w:szCs w:val="19"/>
        </w:rPr>
        <w:t>”项目，</w:t>
      </w:r>
      <w:r w:rsidR="007234DD">
        <w:rPr>
          <w:rFonts w:hint="eastAsia"/>
          <w:sz w:val="19"/>
          <w:szCs w:val="19"/>
        </w:rPr>
        <w:t>2010</w:t>
      </w:r>
      <w:r w:rsidR="007234DD">
        <w:rPr>
          <w:rFonts w:hint="eastAsia"/>
          <w:sz w:val="19"/>
          <w:szCs w:val="19"/>
        </w:rPr>
        <w:t>年，未公布数据。</w:t>
      </w:r>
    </w:p>
    <w:p w:rsidR="007234DD" w:rsidRDefault="007234DD">
      <w:pPr>
        <w:pStyle w:val="SingleTxtGC"/>
      </w:pPr>
      <w:r>
        <w:t xml:space="preserve">225.  </w:t>
      </w:r>
      <w:r>
        <w:rPr>
          <w:rFonts w:hint="eastAsia"/>
        </w:rPr>
        <w:t>由于国家采取措施解决不同阶段的学生辍学问题，中等教育的辍学率从</w:t>
      </w:r>
      <w:r>
        <w:rPr>
          <w:rFonts w:hint="eastAsia"/>
        </w:rPr>
        <w:t>2000/01</w:t>
      </w:r>
      <w:r>
        <w:rPr>
          <w:rFonts w:hint="eastAsia"/>
        </w:rPr>
        <w:t>学年的</w:t>
      </w:r>
      <w:r>
        <w:rPr>
          <w:rFonts w:hint="eastAsia"/>
        </w:rPr>
        <w:t>23.3%</w:t>
      </w:r>
      <w:r>
        <w:rPr>
          <w:rFonts w:hint="eastAsia"/>
        </w:rPr>
        <w:t>下降到了</w:t>
      </w:r>
      <w:r>
        <w:rPr>
          <w:rFonts w:hint="eastAsia"/>
        </w:rPr>
        <w:t>2008/09</w:t>
      </w:r>
      <w:r>
        <w:rPr>
          <w:rFonts w:hint="eastAsia"/>
        </w:rPr>
        <w:t>学年的</w:t>
      </w:r>
      <w:r>
        <w:rPr>
          <w:rFonts w:hint="eastAsia"/>
        </w:rPr>
        <w:t>14.3%</w:t>
      </w:r>
      <w:r>
        <w:rPr>
          <w:rFonts w:hint="eastAsia"/>
        </w:rPr>
        <w:t>。这个数字包括已随同家人离开卡塔尔的非卡塔尔籍学生。</w:t>
      </w:r>
    </w:p>
    <w:p w:rsidR="007234DD" w:rsidRDefault="007234DD">
      <w:pPr>
        <w:pStyle w:val="SingleTxtGC"/>
      </w:pPr>
      <w:r>
        <w:t xml:space="preserve">226.  </w:t>
      </w:r>
      <w:r>
        <w:rPr>
          <w:rFonts w:hint="eastAsia"/>
        </w:rPr>
        <w:t>在卡塔尔，女学生一般不上职业学校。事实上，她们都选择学术科目，没有谁选择职业科目。总体而言，在</w:t>
      </w:r>
      <w:r>
        <w:rPr>
          <w:rFonts w:hint="eastAsia"/>
        </w:rPr>
        <w:t>2005/06</w:t>
      </w:r>
      <w:r>
        <w:rPr>
          <w:rFonts w:hint="eastAsia"/>
        </w:rPr>
        <w:t>学年，女生的中等教育续读率高于男生。</w:t>
      </w:r>
      <w:r>
        <w:rPr>
          <w:rFonts w:hint="eastAsia"/>
        </w:rPr>
        <w:t>2008/09</w:t>
      </w:r>
      <w:r>
        <w:rPr>
          <w:rFonts w:hint="eastAsia"/>
        </w:rPr>
        <w:t>年略有下降</w:t>
      </w:r>
      <w:r>
        <w:rPr>
          <w:rFonts w:hint="eastAsia"/>
          <w:spacing w:val="-50"/>
        </w:rPr>
        <w:t>―</w:t>
      </w:r>
      <w:r>
        <w:rPr>
          <w:rFonts w:hint="eastAsia"/>
          <w:spacing w:val="10"/>
        </w:rPr>
        <w:t>―</w:t>
      </w:r>
      <w:r>
        <w:rPr>
          <w:rFonts w:hint="eastAsia"/>
        </w:rPr>
        <w:t>降至</w:t>
      </w:r>
      <w:r>
        <w:rPr>
          <w:rFonts w:hint="eastAsia"/>
        </w:rPr>
        <w:t>49.8%</w:t>
      </w:r>
      <w:r>
        <w:rPr>
          <w:rFonts w:hint="eastAsia"/>
          <w:spacing w:val="-50"/>
        </w:rPr>
        <w:t>―</w:t>
      </w:r>
      <w:r>
        <w:rPr>
          <w:rFonts w:hint="eastAsia"/>
          <w:spacing w:val="10"/>
        </w:rPr>
        <w:t>―</w:t>
      </w:r>
      <w:r>
        <w:rPr>
          <w:rFonts w:hint="eastAsia"/>
        </w:rPr>
        <w:t>如表</w:t>
      </w:r>
      <w:r>
        <w:rPr>
          <w:rFonts w:hint="eastAsia"/>
        </w:rPr>
        <w:t>11</w:t>
      </w:r>
      <w:r>
        <w:rPr>
          <w:rFonts w:hint="eastAsia"/>
        </w:rPr>
        <w:t>所示。</w:t>
      </w:r>
    </w:p>
    <w:p w:rsidR="007234DD" w:rsidRDefault="007234DD">
      <w:pPr>
        <w:pStyle w:val="SingleTxtGC"/>
        <w:rPr>
          <w:rFonts w:eastAsia="SimHei" w:hint="eastAsia"/>
        </w:rPr>
      </w:pPr>
      <w:r>
        <w:rPr>
          <w:rFonts w:hint="eastAsia"/>
        </w:rPr>
        <w:t>表</w:t>
      </w:r>
      <w:r>
        <w:t>11</w:t>
      </w:r>
      <w:r>
        <w:rPr>
          <w:rFonts w:hint="eastAsia"/>
        </w:rPr>
        <w:br/>
      </w:r>
      <w:r>
        <w:rPr>
          <w:rFonts w:eastAsia="SimHei" w:hint="eastAsia"/>
        </w:rPr>
        <w:t>按性别、科目领域和学年分列的中等教育学生百分比</w:t>
      </w:r>
    </w:p>
    <w:tbl>
      <w:tblPr>
        <w:tblW w:w="7370" w:type="dxa"/>
        <w:tblInd w:w="1134" w:type="dxa"/>
        <w:tblLayout w:type="fixed"/>
        <w:tblCellMar>
          <w:left w:w="0" w:type="dxa"/>
          <w:right w:w="0" w:type="dxa"/>
        </w:tblCellMar>
        <w:tblLook w:val="0000" w:firstRow="0" w:lastRow="0" w:firstColumn="0" w:lastColumn="0" w:noHBand="0" w:noVBand="0"/>
      </w:tblPr>
      <w:tblGrid>
        <w:gridCol w:w="965"/>
        <w:gridCol w:w="900"/>
        <w:gridCol w:w="1768"/>
        <w:gridCol w:w="1868"/>
        <w:gridCol w:w="1869"/>
      </w:tblGrid>
      <w:tr w:rsidR="007234DD" w:rsidTr="00411CD5">
        <w:trPr>
          <w:cantSplit/>
          <w:trHeight w:val="20"/>
          <w:tblHeader/>
        </w:trPr>
        <w:tc>
          <w:tcPr>
            <w:tcW w:w="966" w:type="dxa"/>
            <w:tcBorders>
              <w:top w:val="single" w:sz="4" w:space="0" w:color="auto"/>
              <w:bottom w:val="single" w:sz="12" w:space="0" w:color="auto"/>
            </w:tcBorders>
            <w:shd w:val="clear" w:color="auto" w:fill="auto"/>
            <w:vAlign w:val="bottom"/>
          </w:tcPr>
          <w:p w:rsidR="007234DD" w:rsidRDefault="007234DD" w:rsidP="00411CD5">
            <w:pPr>
              <w:pStyle w:val="a0"/>
              <w:ind w:right="0"/>
              <w:jc w:val="left"/>
              <w:rPr>
                <w:rFonts w:hint="eastAsia"/>
              </w:rPr>
            </w:pPr>
            <w:r>
              <w:rPr>
                <w:rFonts w:hint="eastAsia"/>
              </w:rPr>
              <w:t>学年</w:t>
            </w:r>
          </w:p>
        </w:tc>
        <w:tc>
          <w:tcPr>
            <w:tcW w:w="900"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性别</w:t>
            </w:r>
          </w:p>
        </w:tc>
        <w:tc>
          <w:tcPr>
            <w:tcW w:w="1768"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tl/>
              </w:rPr>
            </w:pPr>
            <w:r>
              <w:rPr>
                <w:rFonts w:hint="eastAsia"/>
              </w:rPr>
              <w:t>学术科目</w:t>
            </w:r>
            <w:r>
              <w:br/>
            </w:r>
            <w:r>
              <w:rPr>
                <w:rFonts w:hint="eastAsia"/>
              </w:rPr>
              <w:t>学生百分比</w:t>
            </w:r>
          </w:p>
        </w:tc>
        <w:tc>
          <w:tcPr>
            <w:tcW w:w="1868"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职业科目</w:t>
            </w:r>
            <w:r>
              <w:br/>
            </w:r>
            <w:r>
              <w:rPr>
                <w:rFonts w:hint="eastAsia"/>
              </w:rPr>
              <w:t>学生百分比</w:t>
            </w:r>
          </w:p>
        </w:tc>
        <w:tc>
          <w:tcPr>
            <w:tcW w:w="1869"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女生占中等教育</w:t>
            </w:r>
            <w:r>
              <w:br/>
            </w:r>
            <w:r>
              <w:rPr>
                <w:rFonts w:hint="eastAsia"/>
              </w:rPr>
              <w:t>学生总数的比例</w:t>
            </w:r>
          </w:p>
        </w:tc>
      </w:tr>
      <w:tr w:rsidR="007234DD">
        <w:trPr>
          <w:cantSplit/>
          <w:trHeight w:val="20"/>
        </w:trPr>
        <w:tc>
          <w:tcPr>
            <w:tcW w:w="966" w:type="dxa"/>
            <w:vMerge w:val="restart"/>
            <w:tcBorders>
              <w:top w:val="single" w:sz="12" w:space="0" w:color="auto"/>
            </w:tcBorders>
            <w:shd w:val="clear" w:color="auto" w:fill="auto"/>
          </w:tcPr>
          <w:p w:rsidR="007234DD" w:rsidRDefault="007234DD">
            <w:pPr>
              <w:pStyle w:val="a5"/>
            </w:pPr>
            <w:r>
              <w:t>2003/04</w:t>
            </w:r>
          </w:p>
        </w:tc>
        <w:tc>
          <w:tcPr>
            <w:tcW w:w="900" w:type="dxa"/>
            <w:tcBorders>
              <w:top w:val="single" w:sz="12" w:space="0" w:color="auto"/>
            </w:tcBorders>
            <w:shd w:val="clear" w:color="auto" w:fill="auto"/>
          </w:tcPr>
          <w:p w:rsidR="007234DD" w:rsidRDefault="007234DD">
            <w:pPr>
              <w:pStyle w:val="a5"/>
              <w:ind w:right="0"/>
              <w:jc w:val="right"/>
            </w:pPr>
            <w:r>
              <w:t>男</w:t>
            </w:r>
          </w:p>
        </w:tc>
        <w:tc>
          <w:tcPr>
            <w:tcW w:w="1768" w:type="dxa"/>
            <w:tcBorders>
              <w:top w:val="single" w:sz="12" w:space="0" w:color="auto"/>
            </w:tcBorders>
            <w:shd w:val="clear" w:color="auto" w:fill="auto"/>
          </w:tcPr>
          <w:p w:rsidR="007234DD" w:rsidRDefault="007234DD">
            <w:pPr>
              <w:pStyle w:val="a5"/>
              <w:ind w:right="0"/>
              <w:jc w:val="right"/>
            </w:pPr>
            <w:r>
              <w:t>97.9</w:t>
            </w:r>
          </w:p>
        </w:tc>
        <w:tc>
          <w:tcPr>
            <w:tcW w:w="1868" w:type="dxa"/>
            <w:tcBorders>
              <w:top w:val="single" w:sz="12" w:space="0" w:color="auto"/>
            </w:tcBorders>
            <w:shd w:val="clear" w:color="auto" w:fill="auto"/>
          </w:tcPr>
          <w:p w:rsidR="007234DD" w:rsidRDefault="007234DD">
            <w:pPr>
              <w:pStyle w:val="a5"/>
              <w:ind w:right="0"/>
              <w:jc w:val="right"/>
            </w:pPr>
            <w:r>
              <w:t>2.1</w:t>
            </w:r>
          </w:p>
        </w:tc>
        <w:tc>
          <w:tcPr>
            <w:tcW w:w="1869" w:type="dxa"/>
            <w:vMerge w:val="restart"/>
            <w:tcBorders>
              <w:top w:val="single" w:sz="12" w:space="0" w:color="auto"/>
            </w:tcBorders>
            <w:shd w:val="clear" w:color="auto" w:fill="auto"/>
          </w:tcPr>
          <w:p w:rsidR="007234DD" w:rsidRDefault="007234DD">
            <w:pPr>
              <w:pStyle w:val="a5"/>
              <w:ind w:right="0"/>
              <w:jc w:val="right"/>
            </w:pPr>
            <w:r>
              <w:t>51.0</w:t>
            </w:r>
          </w:p>
        </w:tc>
      </w:tr>
      <w:tr w:rsidR="007234DD">
        <w:trPr>
          <w:cantSplit/>
          <w:trHeight w:val="20"/>
        </w:trPr>
        <w:tc>
          <w:tcPr>
            <w:tcW w:w="966" w:type="dxa"/>
            <w:vMerge/>
            <w:shd w:val="clear" w:color="auto" w:fill="auto"/>
          </w:tcPr>
          <w:p w:rsidR="007234DD" w:rsidRDefault="007234DD">
            <w:pPr>
              <w:pStyle w:val="a5"/>
            </w:pPr>
          </w:p>
        </w:tc>
        <w:tc>
          <w:tcPr>
            <w:tcW w:w="900" w:type="dxa"/>
            <w:shd w:val="clear" w:color="auto" w:fill="auto"/>
          </w:tcPr>
          <w:p w:rsidR="007234DD" w:rsidRDefault="007234DD">
            <w:pPr>
              <w:pStyle w:val="a5"/>
              <w:ind w:right="0"/>
              <w:jc w:val="right"/>
            </w:pPr>
            <w:r>
              <w:t>女</w:t>
            </w:r>
          </w:p>
        </w:tc>
        <w:tc>
          <w:tcPr>
            <w:tcW w:w="1768" w:type="dxa"/>
            <w:shd w:val="clear" w:color="auto" w:fill="auto"/>
          </w:tcPr>
          <w:p w:rsidR="007234DD" w:rsidRDefault="007234DD">
            <w:pPr>
              <w:pStyle w:val="a5"/>
              <w:ind w:right="0"/>
              <w:jc w:val="right"/>
            </w:pPr>
            <w:r>
              <w:t>100.0</w:t>
            </w:r>
          </w:p>
        </w:tc>
        <w:tc>
          <w:tcPr>
            <w:tcW w:w="1868" w:type="dxa"/>
            <w:shd w:val="clear" w:color="auto" w:fill="auto"/>
          </w:tcPr>
          <w:p w:rsidR="007234DD" w:rsidRDefault="007234DD">
            <w:pPr>
              <w:pStyle w:val="a5"/>
              <w:ind w:right="0"/>
              <w:jc w:val="right"/>
            </w:pPr>
            <w:r>
              <w:t>0.0</w:t>
            </w:r>
          </w:p>
        </w:tc>
        <w:tc>
          <w:tcPr>
            <w:tcW w:w="1869" w:type="dxa"/>
            <w:vMerge/>
            <w:shd w:val="clear" w:color="auto" w:fill="auto"/>
          </w:tcPr>
          <w:p w:rsidR="007234DD" w:rsidRDefault="007234DD">
            <w:pPr>
              <w:pStyle w:val="a5"/>
              <w:ind w:right="0"/>
              <w:jc w:val="right"/>
            </w:pPr>
          </w:p>
        </w:tc>
      </w:tr>
      <w:tr w:rsidR="007234DD">
        <w:trPr>
          <w:cantSplit/>
          <w:trHeight w:val="20"/>
        </w:trPr>
        <w:tc>
          <w:tcPr>
            <w:tcW w:w="966" w:type="dxa"/>
            <w:vMerge w:val="restart"/>
            <w:shd w:val="clear" w:color="auto" w:fill="auto"/>
          </w:tcPr>
          <w:p w:rsidR="007234DD" w:rsidRDefault="007234DD">
            <w:pPr>
              <w:pStyle w:val="a5"/>
              <w:pageBreakBefore/>
            </w:pPr>
            <w:r>
              <w:t>2004/05</w:t>
            </w:r>
          </w:p>
        </w:tc>
        <w:tc>
          <w:tcPr>
            <w:tcW w:w="900" w:type="dxa"/>
            <w:shd w:val="clear" w:color="auto" w:fill="auto"/>
          </w:tcPr>
          <w:p w:rsidR="007234DD" w:rsidRDefault="007234DD">
            <w:pPr>
              <w:pStyle w:val="a5"/>
              <w:ind w:right="0"/>
              <w:jc w:val="right"/>
            </w:pPr>
            <w:r>
              <w:t>男</w:t>
            </w:r>
          </w:p>
        </w:tc>
        <w:tc>
          <w:tcPr>
            <w:tcW w:w="1768" w:type="dxa"/>
            <w:shd w:val="clear" w:color="auto" w:fill="auto"/>
          </w:tcPr>
          <w:p w:rsidR="007234DD" w:rsidRDefault="007234DD">
            <w:pPr>
              <w:pStyle w:val="a5"/>
              <w:ind w:right="0"/>
              <w:jc w:val="right"/>
            </w:pPr>
            <w:r>
              <w:t>97.8</w:t>
            </w:r>
          </w:p>
        </w:tc>
        <w:tc>
          <w:tcPr>
            <w:tcW w:w="1868" w:type="dxa"/>
            <w:shd w:val="clear" w:color="auto" w:fill="auto"/>
          </w:tcPr>
          <w:p w:rsidR="007234DD" w:rsidRDefault="007234DD">
            <w:pPr>
              <w:pStyle w:val="a5"/>
              <w:ind w:right="0"/>
              <w:jc w:val="right"/>
            </w:pPr>
            <w:r>
              <w:t>2.2</w:t>
            </w:r>
          </w:p>
        </w:tc>
        <w:tc>
          <w:tcPr>
            <w:tcW w:w="1869" w:type="dxa"/>
            <w:vMerge w:val="restart"/>
            <w:shd w:val="clear" w:color="auto" w:fill="auto"/>
          </w:tcPr>
          <w:p w:rsidR="007234DD" w:rsidRDefault="007234DD">
            <w:pPr>
              <w:pStyle w:val="a5"/>
              <w:ind w:right="0"/>
              <w:jc w:val="right"/>
            </w:pPr>
            <w:r>
              <w:t>51.2</w:t>
            </w:r>
          </w:p>
        </w:tc>
      </w:tr>
      <w:tr w:rsidR="007234DD">
        <w:trPr>
          <w:cantSplit/>
          <w:trHeight w:val="20"/>
        </w:trPr>
        <w:tc>
          <w:tcPr>
            <w:tcW w:w="966" w:type="dxa"/>
            <w:vMerge/>
            <w:shd w:val="clear" w:color="auto" w:fill="auto"/>
          </w:tcPr>
          <w:p w:rsidR="007234DD" w:rsidRDefault="007234DD">
            <w:pPr>
              <w:pStyle w:val="a5"/>
            </w:pPr>
          </w:p>
        </w:tc>
        <w:tc>
          <w:tcPr>
            <w:tcW w:w="900" w:type="dxa"/>
            <w:shd w:val="clear" w:color="auto" w:fill="auto"/>
          </w:tcPr>
          <w:p w:rsidR="007234DD" w:rsidRDefault="007234DD">
            <w:pPr>
              <w:pStyle w:val="a5"/>
              <w:ind w:right="0"/>
              <w:jc w:val="right"/>
            </w:pPr>
            <w:r>
              <w:t>女</w:t>
            </w:r>
          </w:p>
        </w:tc>
        <w:tc>
          <w:tcPr>
            <w:tcW w:w="1768" w:type="dxa"/>
            <w:shd w:val="clear" w:color="auto" w:fill="auto"/>
          </w:tcPr>
          <w:p w:rsidR="007234DD" w:rsidRDefault="007234DD">
            <w:pPr>
              <w:pStyle w:val="a5"/>
              <w:ind w:right="0"/>
              <w:jc w:val="right"/>
            </w:pPr>
            <w:r>
              <w:t>100.0</w:t>
            </w:r>
          </w:p>
        </w:tc>
        <w:tc>
          <w:tcPr>
            <w:tcW w:w="1868" w:type="dxa"/>
            <w:shd w:val="clear" w:color="auto" w:fill="auto"/>
          </w:tcPr>
          <w:p w:rsidR="007234DD" w:rsidRDefault="007234DD">
            <w:pPr>
              <w:pStyle w:val="a5"/>
              <w:ind w:right="0"/>
              <w:jc w:val="right"/>
            </w:pPr>
            <w:r>
              <w:t>0.0</w:t>
            </w:r>
          </w:p>
        </w:tc>
        <w:tc>
          <w:tcPr>
            <w:tcW w:w="1869" w:type="dxa"/>
            <w:vMerge/>
            <w:shd w:val="clear" w:color="auto" w:fill="auto"/>
          </w:tcPr>
          <w:p w:rsidR="007234DD" w:rsidRDefault="007234DD">
            <w:pPr>
              <w:pStyle w:val="a5"/>
              <w:ind w:right="0"/>
              <w:jc w:val="right"/>
            </w:pPr>
          </w:p>
        </w:tc>
      </w:tr>
      <w:tr w:rsidR="007234DD">
        <w:trPr>
          <w:cantSplit/>
          <w:trHeight w:val="20"/>
        </w:trPr>
        <w:tc>
          <w:tcPr>
            <w:tcW w:w="966" w:type="dxa"/>
            <w:vMerge w:val="restart"/>
            <w:shd w:val="clear" w:color="auto" w:fill="auto"/>
          </w:tcPr>
          <w:p w:rsidR="007234DD" w:rsidRDefault="007234DD">
            <w:pPr>
              <w:pStyle w:val="a5"/>
            </w:pPr>
            <w:r>
              <w:t>2005/06</w:t>
            </w:r>
          </w:p>
        </w:tc>
        <w:tc>
          <w:tcPr>
            <w:tcW w:w="900" w:type="dxa"/>
            <w:shd w:val="clear" w:color="auto" w:fill="auto"/>
          </w:tcPr>
          <w:p w:rsidR="007234DD" w:rsidRDefault="007234DD">
            <w:pPr>
              <w:pStyle w:val="a5"/>
              <w:ind w:right="0"/>
              <w:jc w:val="right"/>
            </w:pPr>
            <w:r>
              <w:t>男</w:t>
            </w:r>
          </w:p>
        </w:tc>
        <w:tc>
          <w:tcPr>
            <w:tcW w:w="1768" w:type="dxa"/>
            <w:shd w:val="clear" w:color="auto" w:fill="auto"/>
          </w:tcPr>
          <w:p w:rsidR="007234DD" w:rsidRDefault="007234DD">
            <w:pPr>
              <w:pStyle w:val="a5"/>
              <w:ind w:right="0"/>
              <w:jc w:val="right"/>
            </w:pPr>
            <w:r>
              <w:t>97.5</w:t>
            </w:r>
          </w:p>
        </w:tc>
        <w:tc>
          <w:tcPr>
            <w:tcW w:w="1868" w:type="dxa"/>
            <w:shd w:val="clear" w:color="auto" w:fill="auto"/>
          </w:tcPr>
          <w:p w:rsidR="007234DD" w:rsidRDefault="007234DD">
            <w:pPr>
              <w:pStyle w:val="a5"/>
              <w:ind w:right="0"/>
              <w:jc w:val="right"/>
            </w:pPr>
            <w:r>
              <w:t>2.5</w:t>
            </w:r>
          </w:p>
        </w:tc>
        <w:tc>
          <w:tcPr>
            <w:tcW w:w="1869" w:type="dxa"/>
            <w:vMerge w:val="restart"/>
            <w:shd w:val="clear" w:color="auto" w:fill="auto"/>
          </w:tcPr>
          <w:p w:rsidR="007234DD" w:rsidRDefault="007234DD">
            <w:pPr>
              <w:pStyle w:val="a5"/>
              <w:ind w:right="0"/>
              <w:jc w:val="right"/>
            </w:pPr>
            <w:r>
              <w:t>50.4</w:t>
            </w:r>
          </w:p>
        </w:tc>
      </w:tr>
      <w:tr w:rsidR="007234DD">
        <w:trPr>
          <w:cantSplit/>
          <w:trHeight w:val="20"/>
        </w:trPr>
        <w:tc>
          <w:tcPr>
            <w:tcW w:w="966" w:type="dxa"/>
            <w:vMerge/>
            <w:shd w:val="clear" w:color="auto" w:fill="auto"/>
          </w:tcPr>
          <w:p w:rsidR="007234DD" w:rsidRDefault="007234DD">
            <w:pPr>
              <w:pStyle w:val="a5"/>
            </w:pPr>
          </w:p>
        </w:tc>
        <w:tc>
          <w:tcPr>
            <w:tcW w:w="900" w:type="dxa"/>
            <w:shd w:val="clear" w:color="auto" w:fill="auto"/>
          </w:tcPr>
          <w:p w:rsidR="007234DD" w:rsidRDefault="007234DD">
            <w:pPr>
              <w:pStyle w:val="a5"/>
              <w:ind w:right="0"/>
              <w:jc w:val="right"/>
            </w:pPr>
            <w:r>
              <w:t>女</w:t>
            </w:r>
          </w:p>
        </w:tc>
        <w:tc>
          <w:tcPr>
            <w:tcW w:w="1768" w:type="dxa"/>
            <w:shd w:val="clear" w:color="auto" w:fill="auto"/>
          </w:tcPr>
          <w:p w:rsidR="007234DD" w:rsidRDefault="007234DD">
            <w:pPr>
              <w:pStyle w:val="a5"/>
              <w:ind w:right="0"/>
              <w:jc w:val="right"/>
            </w:pPr>
            <w:r>
              <w:t>100.0</w:t>
            </w:r>
          </w:p>
        </w:tc>
        <w:tc>
          <w:tcPr>
            <w:tcW w:w="1868" w:type="dxa"/>
            <w:shd w:val="clear" w:color="auto" w:fill="auto"/>
          </w:tcPr>
          <w:p w:rsidR="007234DD" w:rsidRDefault="007234DD">
            <w:pPr>
              <w:pStyle w:val="a5"/>
              <w:ind w:right="0"/>
              <w:jc w:val="right"/>
            </w:pPr>
            <w:r>
              <w:t>0.0</w:t>
            </w:r>
          </w:p>
        </w:tc>
        <w:tc>
          <w:tcPr>
            <w:tcW w:w="1869" w:type="dxa"/>
            <w:vMerge/>
            <w:shd w:val="clear" w:color="auto" w:fill="auto"/>
          </w:tcPr>
          <w:p w:rsidR="007234DD" w:rsidRDefault="007234DD">
            <w:pPr>
              <w:pStyle w:val="a5"/>
              <w:ind w:right="0"/>
              <w:jc w:val="right"/>
            </w:pPr>
          </w:p>
        </w:tc>
      </w:tr>
      <w:tr w:rsidR="007234DD">
        <w:trPr>
          <w:cantSplit/>
          <w:trHeight w:val="20"/>
        </w:trPr>
        <w:tc>
          <w:tcPr>
            <w:tcW w:w="966" w:type="dxa"/>
            <w:vMerge w:val="restart"/>
            <w:shd w:val="clear" w:color="auto" w:fill="auto"/>
          </w:tcPr>
          <w:p w:rsidR="007234DD" w:rsidRDefault="007234DD">
            <w:pPr>
              <w:pStyle w:val="a5"/>
            </w:pPr>
            <w:r>
              <w:t>2006/07</w:t>
            </w:r>
          </w:p>
        </w:tc>
        <w:tc>
          <w:tcPr>
            <w:tcW w:w="900" w:type="dxa"/>
            <w:shd w:val="clear" w:color="auto" w:fill="auto"/>
          </w:tcPr>
          <w:p w:rsidR="007234DD" w:rsidRDefault="007234DD">
            <w:pPr>
              <w:pStyle w:val="a5"/>
              <w:ind w:right="0"/>
              <w:jc w:val="right"/>
            </w:pPr>
            <w:r>
              <w:t>男</w:t>
            </w:r>
          </w:p>
        </w:tc>
        <w:tc>
          <w:tcPr>
            <w:tcW w:w="1768" w:type="dxa"/>
            <w:shd w:val="clear" w:color="auto" w:fill="auto"/>
          </w:tcPr>
          <w:p w:rsidR="007234DD" w:rsidRDefault="007234DD">
            <w:pPr>
              <w:pStyle w:val="a5"/>
              <w:ind w:right="0"/>
              <w:jc w:val="right"/>
            </w:pPr>
            <w:r>
              <w:t>97.2</w:t>
            </w:r>
          </w:p>
        </w:tc>
        <w:tc>
          <w:tcPr>
            <w:tcW w:w="1868" w:type="dxa"/>
            <w:shd w:val="clear" w:color="auto" w:fill="auto"/>
          </w:tcPr>
          <w:p w:rsidR="007234DD" w:rsidRDefault="007234DD">
            <w:pPr>
              <w:pStyle w:val="a5"/>
              <w:ind w:right="0"/>
              <w:jc w:val="right"/>
            </w:pPr>
            <w:r>
              <w:t>2.8</w:t>
            </w:r>
          </w:p>
        </w:tc>
        <w:tc>
          <w:tcPr>
            <w:tcW w:w="1869" w:type="dxa"/>
            <w:vMerge w:val="restart"/>
            <w:shd w:val="clear" w:color="auto" w:fill="auto"/>
          </w:tcPr>
          <w:p w:rsidR="007234DD" w:rsidRDefault="007234DD">
            <w:pPr>
              <w:pStyle w:val="a5"/>
              <w:ind w:right="0"/>
              <w:jc w:val="right"/>
            </w:pPr>
            <w:r>
              <w:t>49.6</w:t>
            </w:r>
          </w:p>
        </w:tc>
      </w:tr>
      <w:tr w:rsidR="007234DD">
        <w:trPr>
          <w:cantSplit/>
          <w:trHeight w:val="20"/>
        </w:trPr>
        <w:tc>
          <w:tcPr>
            <w:tcW w:w="966" w:type="dxa"/>
            <w:vMerge/>
            <w:shd w:val="clear" w:color="auto" w:fill="auto"/>
          </w:tcPr>
          <w:p w:rsidR="007234DD" w:rsidRDefault="007234DD">
            <w:pPr>
              <w:pStyle w:val="a5"/>
            </w:pPr>
          </w:p>
        </w:tc>
        <w:tc>
          <w:tcPr>
            <w:tcW w:w="900" w:type="dxa"/>
            <w:shd w:val="clear" w:color="auto" w:fill="auto"/>
          </w:tcPr>
          <w:p w:rsidR="007234DD" w:rsidRDefault="007234DD">
            <w:pPr>
              <w:pStyle w:val="a5"/>
              <w:ind w:right="0"/>
              <w:jc w:val="right"/>
            </w:pPr>
            <w:r>
              <w:t>女</w:t>
            </w:r>
          </w:p>
        </w:tc>
        <w:tc>
          <w:tcPr>
            <w:tcW w:w="1768" w:type="dxa"/>
            <w:shd w:val="clear" w:color="auto" w:fill="auto"/>
          </w:tcPr>
          <w:p w:rsidR="007234DD" w:rsidRDefault="007234DD">
            <w:pPr>
              <w:pStyle w:val="a5"/>
              <w:ind w:right="0"/>
              <w:jc w:val="right"/>
            </w:pPr>
            <w:r>
              <w:t>100.0</w:t>
            </w:r>
          </w:p>
        </w:tc>
        <w:tc>
          <w:tcPr>
            <w:tcW w:w="1868" w:type="dxa"/>
            <w:shd w:val="clear" w:color="auto" w:fill="auto"/>
          </w:tcPr>
          <w:p w:rsidR="007234DD" w:rsidRDefault="007234DD">
            <w:pPr>
              <w:pStyle w:val="a5"/>
              <w:ind w:right="0"/>
              <w:jc w:val="right"/>
            </w:pPr>
            <w:r>
              <w:t>0.0</w:t>
            </w:r>
          </w:p>
        </w:tc>
        <w:tc>
          <w:tcPr>
            <w:tcW w:w="1869" w:type="dxa"/>
            <w:vMerge/>
            <w:shd w:val="clear" w:color="auto" w:fill="auto"/>
          </w:tcPr>
          <w:p w:rsidR="007234DD" w:rsidRDefault="007234DD">
            <w:pPr>
              <w:pStyle w:val="a5"/>
              <w:ind w:right="0"/>
              <w:jc w:val="right"/>
            </w:pPr>
          </w:p>
        </w:tc>
      </w:tr>
      <w:tr w:rsidR="007234DD">
        <w:trPr>
          <w:cantSplit/>
          <w:trHeight w:val="20"/>
        </w:trPr>
        <w:tc>
          <w:tcPr>
            <w:tcW w:w="966" w:type="dxa"/>
            <w:vMerge w:val="restart"/>
            <w:shd w:val="clear" w:color="auto" w:fill="auto"/>
          </w:tcPr>
          <w:p w:rsidR="007234DD" w:rsidRDefault="007234DD">
            <w:pPr>
              <w:pStyle w:val="a5"/>
            </w:pPr>
            <w:r>
              <w:t>2007/08</w:t>
            </w:r>
          </w:p>
        </w:tc>
        <w:tc>
          <w:tcPr>
            <w:tcW w:w="900" w:type="dxa"/>
            <w:shd w:val="clear" w:color="auto" w:fill="auto"/>
          </w:tcPr>
          <w:p w:rsidR="007234DD" w:rsidRDefault="007234DD">
            <w:pPr>
              <w:pStyle w:val="a5"/>
              <w:ind w:right="0"/>
              <w:jc w:val="right"/>
            </w:pPr>
            <w:r>
              <w:t>男</w:t>
            </w:r>
          </w:p>
        </w:tc>
        <w:tc>
          <w:tcPr>
            <w:tcW w:w="1768" w:type="dxa"/>
            <w:shd w:val="clear" w:color="auto" w:fill="auto"/>
          </w:tcPr>
          <w:p w:rsidR="007234DD" w:rsidRDefault="007234DD">
            <w:pPr>
              <w:pStyle w:val="a5"/>
              <w:ind w:right="0"/>
              <w:jc w:val="right"/>
            </w:pPr>
            <w:r>
              <w:t>97.1</w:t>
            </w:r>
          </w:p>
        </w:tc>
        <w:tc>
          <w:tcPr>
            <w:tcW w:w="1868" w:type="dxa"/>
            <w:shd w:val="clear" w:color="auto" w:fill="auto"/>
          </w:tcPr>
          <w:p w:rsidR="007234DD" w:rsidRDefault="007234DD">
            <w:pPr>
              <w:pStyle w:val="a5"/>
              <w:ind w:right="0"/>
              <w:jc w:val="right"/>
            </w:pPr>
            <w:r>
              <w:t>2.9</w:t>
            </w:r>
          </w:p>
        </w:tc>
        <w:tc>
          <w:tcPr>
            <w:tcW w:w="1869" w:type="dxa"/>
            <w:vMerge w:val="restart"/>
            <w:shd w:val="clear" w:color="auto" w:fill="auto"/>
          </w:tcPr>
          <w:p w:rsidR="007234DD" w:rsidRDefault="007234DD">
            <w:pPr>
              <w:pStyle w:val="a5"/>
              <w:ind w:right="0"/>
              <w:jc w:val="right"/>
            </w:pPr>
            <w:r>
              <w:t>49.4</w:t>
            </w:r>
          </w:p>
        </w:tc>
      </w:tr>
      <w:tr w:rsidR="007234DD">
        <w:trPr>
          <w:cantSplit/>
          <w:trHeight w:val="20"/>
        </w:trPr>
        <w:tc>
          <w:tcPr>
            <w:tcW w:w="966" w:type="dxa"/>
            <w:vMerge/>
            <w:shd w:val="clear" w:color="auto" w:fill="auto"/>
          </w:tcPr>
          <w:p w:rsidR="007234DD" w:rsidRDefault="007234DD">
            <w:pPr>
              <w:pStyle w:val="a5"/>
            </w:pPr>
          </w:p>
        </w:tc>
        <w:tc>
          <w:tcPr>
            <w:tcW w:w="900" w:type="dxa"/>
            <w:shd w:val="clear" w:color="auto" w:fill="auto"/>
          </w:tcPr>
          <w:p w:rsidR="007234DD" w:rsidRDefault="007234DD">
            <w:pPr>
              <w:pStyle w:val="a5"/>
              <w:ind w:right="0"/>
              <w:jc w:val="right"/>
            </w:pPr>
            <w:r>
              <w:t>女</w:t>
            </w:r>
          </w:p>
        </w:tc>
        <w:tc>
          <w:tcPr>
            <w:tcW w:w="1768" w:type="dxa"/>
            <w:shd w:val="clear" w:color="auto" w:fill="auto"/>
          </w:tcPr>
          <w:p w:rsidR="007234DD" w:rsidRDefault="007234DD">
            <w:pPr>
              <w:pStyle w:val="a5"/>
              <w:ind w:right="0"/>
              <w:jc w:val="right"/>
            </w:pPr>
            <w:r>
              <w:t>100.0</w:t>
            </w:r>
          </w:p>
        </w:tc>
        <w:tc>
          <w:tcPr>
            <w:tcW w:w="1868" w:type="dxa"/>
            <w:shd w:val="clear" w:color="auto" w:fill="auto"/>
          </w:tcPr>
          <w:p w:rsidR="007234DD" w:rsidRDefault="007234DD">
            <w:pPr>
              <w:pStyle w:val="a5"/>
              <w:ind w:right="0"/>
              <w:jc w:val="right"/>
            </w:pPr>
            <w:r>
              <w:t>0.0</w:t>
            </w:r>
          </w:p>
        </w:tc>
        <w:tc>
          <w:tcPr>
            <w:tcW w:w="1869" w:type="dxa"/>
            <w:vMerge/>
            <w:shd w:val="clear" w:color="auto" w:fill="auto"/>
          </w:tcPr>
          <w:p w:rsidR="007234DD" w:rsidRDefault="007234DD">
            <w:pPr>
              <w:pStyle w:val="a5"/>
              <w:ind w:right="0"/>
              <w:jc w:val="right"/>
            </w:pPr>
          </w:p>
        </w:tc>
      </w:tr>
      <w:tr w:rsidR="007234DD">
        <w:trPr>
          <w:cantSplit/>
          <w:trHeight w:val="20"/>
        </w:trPr>
        <w:tc>
          <w:tcPr>
            <w:tcW w:w="966" w:type="dxa"/>
            <w:shd w:val="clear" w:color="auto" w:fill="auto"/>
          </w:tcPr>
          <w:p w:rsidR="007234DD" w:rsidRDefault="007234DD">
            <w:pPr>
              <w:pStyle w:val="a5"/>
            </w:pPr>
            <w:r>
              <w:t>2008/09</w:t>
            </w:r>
          </w:p>
        </w:tc>
        <w:tc>
          <w:tcPr>
            <w:tcW w:w="900" w:type="dxa"/>
            <w:shd w:val="clear" w:color="auto" w:fill="auto"/>
          </w:tcPr>
          <w:p w:rsidR="007234DD" w:rsidRDefault="007234DD">
            <w:pPr>
              <w:pStyle w:val="a5"/>
              <w:ind w:right="0"/>
              <w:jc w:val="right"/>
            </w:pPr>
            <w:r>
              <w:t>男</w:t>
            </w:r>
          </w:p>
        </w:tc>
        <w:tc>
          <w:tcPr>
            <w:tcW w:w="1768" w:type="dxa"/>
            <w:shd w:val="clear" w:color="auto" w:fill="auto"/>
          </w:tcPr>
          <w:p w:rsidR="007234DD" w:rsidRDefault="007234DD">
            <w:pPr>
              <w:pStyle w:val="a5"/>
              <w:ind w:right="0"/>
              <w:jc w:val="right"/>
            </w:pPr>
            <w:r>
              <w:t>97.8</w:t>
            </w:r>
          </w:p>
        </w:tc>
        <w:tc>
          <w:tcPr>
            <w:tcW w:w="1868" w:type="dxa"/>
            <w:shd w:val="clear" w:color="auto" w:fill="auto"/>
          </w:tcPr>
          <w:p w:rsidR="007234DD" w:rsidRDefault="007234DD">
            <w:pPr>
              <w:pStyle w:val="a5"/>
              <w:ind w:right="0"/>
              <w:jc w:val="right"/>
            </w:pPr>
            <w:r>
              <w:t>2.2</w:t>
            </w:r>
          </w:p>
        </w:tc>
        <w:tc>
          <w:tcPr>
            <w:tcW w:w="1869" w:type="dxa"/>
            <w:shd w:val="clear" w:color="auto" w:fill="auto"/>
          </w:tcPr>
          <w:p w:rsidR="007234DD" w:rsidRDefault="007234DD">
            <w:pPr>
              <w:pStyle w:val="a5"/>
              <w:ind w:right="0"/>
              <w:jc w:val="right"/>
            </w:pPr>
          </w:p>
        </w:tc>
      </w:tr>
      <w:tr w:rsidR="007234DD">
        <w:trPr>
          <w:cantSplit/>
          <w:trHeight w:val="20"/>
        </w:trPr>
        <w:tc>
          <w:tcPr>
            <w:tcW w:w="966" w:type="dxa"/>
            <w:tcBorders>
              <w:bottom w:val="single" w:sz="12" w:space="0" w:color="auto"/>
            </w:tcBorders>
            <w:shd w:val="clear" w:color="auto" w:fill="auto"/>
          </w:tcPr>
          <w:p w:rsidR="007234DD" w:rsidRDefault="007234DD">
            <w:pPr>
              <w:pStyle w:val="a5"/>
            </w:pPr>
          </w:p>
        </w:tc>
        <w:tc>
          <w:tcPr>
            <w:tcW w:w="900" w:type="dxa"/>
            <w:tcBorders>
              <w:bottom w:val="single" w:sz="12" w:space="0" w:color="auto"/>
            </w:tcBorders>
            <w:shd w:val="clear" w:color="auto" w:fill="auto"/>
          </w:tcPr>
          <w:p w:rsidR="007234DD" w:rsidRDefault="007234DD">
            <w:pPr>
              <w:pStyle w:val="a5"/>
              <w:ind w:right="0"/>
              <w:jc w:val="right"/>
            </w:pPr>
            <w:r>
              <w:t>女</w:t>
            </w:r>
          </w:p>
        </w:tc>
        <w:tc>
          <w:tcPr>
            <w:tcW w:w="1768" w:type="dxa"/>
            <w:tcBorders>
              <w:bottom w:val="single" w:sz="12" w:space="0" w:color="auto"/>
            </w:tcBorders>
            <w:shd w:val="clear" w:color="auto" w:fill="auto"/>
          </w:tcPr>
          <w:p w:rsidR="007234DD" w:rsidRDefault="007234DD">
            <w:pPr>
              <w:pStyle w:val="a5"/>
              <w:ind w:right="0"/>
              <w:jc w:val="right"/>
            </w:pPr>
            <w:r>
              <w:t>100.0</w:t>
            </w:r>
          </w:p>
        </w:tc>
        <w:tc>
          <w:tcPr>
            <w:tcW w:w="1868" w:type="dxa"/>
            <w:tcBorders>
              <w:bottom w:val="single" w:sz="12" w:space="0" w:color="auto"/>
            </w:tcBorders>
            <w:shd w:val="clear" w:color="auto" w:fill="auto"/>
          </w:tcPr>
          <w:p w:rsidR="007234DD" w:rsidRDefault="007234DD">
            <w:pPr>
              <w:pStyle w:val="a5"/>
              <w:ind w:right="0"/>
              <w:jc w:val="right"/>
            </w:pPr>
            <w:r>
              <w:t>0.0</w:t>
            </w:r>
          </w:p>
        </w:tc>
        <w:tc>
          <w:tcPr>
            <w:tcW w:w="1869" w:type="dxa"/>
            <w:tcBorders>
              <w:bottom w:val="single" w:sz="12" w:space="0" w:color="auto"/>
            </w:tcBorders>
            <w:shd w:val="clear" w:color="auto" w:fill="auto"/>
          </w:tcPr>
          <w:p w:rsidR="007234DD" w:rsidRDefault="007234DD">
            <w:pPr>
              <w:pStyle w:val="a5"/>
              <w:ind w:right="0"/>
              <w:jc w:val="right"/>
            </w:pPr>
            <w:r>
              <w:t>49.8</w:t>
            </w:r>
          </w:p>
        </w:tc>
      </w:tr>
    </w:tbl>
    <w:p w:rsidR="007234DD" w:rsidRDefault="00411CD5" w:rsidP="00411CD5">
      <w:pPr>
        <w:pStyle w:val="SingleTxtGC"/>
        <w:tabs>
          <w:tab w:val="left" w:pos="170"/>
          <w:tab w:val="left" w:pos="1300"/>
        </w:tabs>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卡塔尔国，“</w:t>
      </w:r>
      <w:r w:rsidR="007234DD">
        <w:rPr>
          <w:sz w:val="19"/>
          <w:szCs w:val="19"/>
        </w:rPr>
        <w:t>Qalam</w:t>
      </w:r>
      <w:r w:rsidR="007234DD">
        <w:rPr>
          <w:rFonts w:hint="eastAsia"/>
          <w:sz w:val="19"/>
          <w:szCs w:val="19"/>
        </w:rPr>
        <w:t>”项目，</w:t>
      </w:r>
      <w:r w:rsidR="007234DD">
        <w:rPr>
          <w:rFonts w:hint="eastAsia"/>
          <w:sz w:val="19"/>
          <w:szCs w:val="19"/>
        </w:rPr>
        <w:t>2010</w:t>
      </w:r>
      <w:r w:rsidR="007234DD">
        <w:rPr>
          <w:rFonts w:hint="eastAsia"/>
          <w:sz w:val="19"/>
          <w:szCs w:val="19"/>
        </w:rPr>
        <w:t>年，未公布数据。</w:t>
      </w:r>
    </w:p>
    <w:p w:rsidR="007234DD" w:rsidRDefault="007234DD">
      <w:pPr>
        <w:pStyle w:val="SingleTxtGC"/>
      </w:pPr>
      <w:r>
        <w:t xml:space="preserve">227.  </w:t>
      </w:r>
      <w:r>
        <w:rPr>
          <w:rFonts w:hint="eastAsia"/>
        </w:rPr>
        <w:t>国家正在开展大量的工作，通过针对男女两性的一些计划和方案，消除人口中的文盲。这些方案接受率已有所增加，特别是在卡塔尔和非卡塔尔妇女当中。如表</w:t>
      </w:r>
      <w:r>
        <w:rPr>
          <w:rFonts w:hint="eastAsia"/>
        </w:rPr>
        <w:t>12</w:t>
      </w:r>
      <w:r>
        <w:rPr>
          <w:rFonts w:hint="eastAsia"/>
        </w:rPr>
        <w:t>中的数字所示，扫盲方案中女性的入学率从</w:t>
      </w:r>
      <w:r>
        <w:rPr>
          <w:rFonts w:hint="eastAsia"/>
        </w:rPr>
        <w:t>2004</w:t>
      </w:r>
      <w:r>
        <w:rPr>
          <w:rFonts w:hint="eastAsia"/>
        </w:rPr>
        <w:t>年的</w:t>
      </w:r>
      <w:r>
        <w:rPr>
          <w:rFonts w:hint="eastAsia"/>
        </w:rPr>
        <w:t>21.7%</w:t>
      </w:r>
      <w:r>
        <w:rPr>
          <w:rFonts w:hint="eastAsia"/>
        </w:rPr>
        <w:t>上升到了</w:t>
      </w:r>
      <w:r>
        <w:rPr>
          <w:rFonts w:hint="eastAsia"/>
        </w:rPr>
        <w:t>2007</w:t>
      </w:r>
      <w:r>
        <w:rPr>
          <w:rFonts w:hint="eastAsia"/>
        </w:rPr>
        <w:t>年的</w:t>
      </w:r>
      <w:r>
        <w:rPr>
          <w:rFonts w:hint="eastAsia"/>
        </w:rPr>
        <w:t>27.0%</w:t>
      </w:r>
      <w:r>
        <w:rPr>
          <w:rFonts w:hint="eastAsia"/>
        </w:rPr>
        <w:t>。</w:t>
      </w:r>
    </w:p>
    <w:p w:rsidR="007234DD" w:rsidRDefault="007234DD">
      <w:pPr>
        <w:pStyle w:val="SingleTxtGC"/>
        <w:rPr>
          <w:rFonts w:hint="eastAsia"/>
        </w:rPr>
      </w:pPr>
      <w:r>
        <w:rPr>
          <w:rFonts w:hint="eastAsia"/>
        </w:rPr>
        <w:t>表</w:t>
      </w:r>
      <w:r>
        <w:t>12</w:t>
      </w:r>
      <w:r>
        <w:rPr>
          <w:rFonts w:hint="eastAsia"/>
        </w:rPr>
        <w:br/>
      </w:r>
      <w:r>
        <w:rPr>
          <w:rFonts w:eastAsia="SimHei" w:hint="eastAsia"/>
        </w:rPr>
        <w:t>参加夜校和扫盲中心学习的女童百分比</w:t>
      </w:r>
    </w:p>
    <w:tbl>
      <w:tblPr>
        <w:tblW w:w="7370" w:type="dxa"/>
        <w:tblInd w:w="1134" w:type="dxa"/>
        <w:tblLayout w:type="fixed"/>
        <w:tblCellMar>
          <w:left w:w="0" w:type="dxa"/>
          <w:right w:w="0" w:type="dxa"/>
        </w:tblCellMar>
        <w:tblLook w:val="0000" w:firstRow="0" w:lastRow="0" w:firstColumn="0" w:lastColumn="0" w:noHBand="0" w:noVBand="0"/>
      </w:tblPr>
      <w:tblGrid>
        <w:gridCol w:w="785"/>
        <w:gridCol w:w="2195"/>
        <w:gridCol w:w="2195"/>
        <w:gridCol w:w="2195"/>
      </w:tblGrid>
      <w:tr w:rsidR="007234DD">
        <w:trPr>
          <w:cantSplit/>
          <w:trHeight w:val="20"/>
          <w:tblHeader/>
        </w:trPr>
        <w:tc>
          <w:tcPr>
            <w:tcW w:w="784" w:type="dxa"/>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年份</w:t>
            </w:r>
          </w:p>
        </w:tc>
        <w:tc>
          <w:tcPr>
            <w:tcW w:w="2196"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卡塔尔籍女童</w:t>
            </w:r>
          </w:p>
        </w:tc>
        <w:tc>
          <w:tcPr>
            <w:tcW w:w="2196"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非卡塔尔籍</w:t>
            </w:r>
          </w:p>
        </w:tc>
        <w:tc>
          <w:tcPr>
            <w:tcW w:w="2196"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b/>
              </w:rPr>
            </w:pPr>
            <w:r>
              <w:rPr>
                <w:rFonts w:hint="eastAsia"/>
                <w:b/>
              </w:rPr>
              <w:t>合计</w:t>
            </w:r>
          </w:p>
        </w:tc>
      </w:tr>
      <w:tr w:rsidR="007234DD">
        <w:trPr>
          <w:cantSplit/>
          <w:trHeight w:val="20"/>
        </w:trPr>
        <w:tc>
          <w:tcPr>
            <w:tcW w:w="784" w:type="dxa"/>
            <w:tcBorders>
              <w:top w:val="single" w:sz="12" w:space="0" w:color="auto"/>
            </w:tcBorders>
            <w:shd w:val="clear" w:color="auto" w:fill="auto"/>
          </w:tcPr>
          <w:p w:rsidR="007234DD" w:rsidRDefault="007234DD">
            <w:pPr>
              <w:pStyle w:val="a5"/>
              <w:rPr>
                <w:rFonts w:hint="eastAsia"/>
              </w:rPr>
            </w:pPr>
            <w:r>
              <w:t>2004</w:t>
            </w:r>
          </w:p>
        </w:tc>
        <w:tc>
          <w:tcPr>
            <w:tcW w:w="2196" w:type="dxa"/>
            <w:tcBorders>
              <w:top w:val="single" w:sz="12" w:space="0" w:color="auto"/>
            </w:tcBorders>
            <w:shd w:val="clear" w:color="auto" w:fill="auto"/>
          </w:tcPr>
          <w:p w:rsidR="007234DD" w:rsidRDefault="007234DD">
            <w:pPr>
              <w:pStyle w:val="a5"/>
              <w:ind w:right="0"/>
              <w:jc w:val="right"/>
            </w:pPr>
            <w:r>
              <w:t>9.1</w:t>
            </w:r>
          </w:p>
        </w:tc>
        <w:tc>
          <w:tcPr>
            <w:tcW w:w="2196" w:type="dxa"/>
            <w:tcBorders>
              <w:top w:val="single" w:sz="12" w:space="0" w:color="auto"/>
            </w:tcBorders>
            <w:shd w:val="clear" w:color="auto" w:fill="auto"/>
          </w:tcPr>
          <w:p w:rsidR="007234DD" w:rsidRDefault="007234DD">
            <w:pPr>
              <w:pStyle w:val="a5"/>
              <w:ind w:right="0"/>
              <w:jc w:val="right"/>
            </w:pPr>
            <w:r>
              <w:t>10.0</w:t>
            </w:r>
          </w:p>
        </w:tc>
        <w:tc>
          <w:tcPr>
            <w:tcW w:w="2196" w:type="dxa"/>
            <w:tcBorders>
              <w:top w:val="single" w:sz="12" w:space="0" w:color="auto"/>
            </w:tcBorders>
            <w:shd w:val="clear" w:color="auto" w:fill="auto"/>
          </w:tcPr>
          <w:p w:rsidR="007234DD" w:rsidRDefault="007234DD">
            <w:pPr>
              <w:pStyle w:val="a5"/>
              <w:ind w:right="0"/>
              <w:jc w:val="right"/>
              <w:rPr>
                <w:b/>
              </w:rPr>
            </w:pPr>
            <w:r>
              <w:rPr>
                <w:b/>
              </w:rPr>
              <w:t>21.7</w:t>
            </w:r>
          </w:p>
        </w:tc>
      </w:tr>
      <w:tr w:rsidR="007234DD">
        <w:trPr>
          <w:cantSplit/>
          <w:trHeight w:val="20"/>
        </w:trPr>
        <w:tc>
          <w:tcPr>
            <w:tcW w:w="784" w:type="dxa"/>
            <w:shd w:val="clear" w:color="auto" w:fill="auto"/>
          </w:tcPr>
          <w:p w:rsidR="007234DD" w:rsidRDefault="007234DD">
            <w:pPr>
              <w:pStyle w:val="a5"/>
              <w:rPr>
                <w:rFonts w:hint="eastAsia"/>
              </w:rPr>
            </w:pPr>
            <w:r>
              <w:t>2005</w:t>
            </w:r>
          </w:p>
        </w:tc>
        <w:tc>
          <w:tcPr>
            <w:tcW w:w="2196" w:type="dxa"/>
            <w:shd w:val="clear" w:color="auto" w:fill="auto"/>
          </w:tcPr>
          <w:p w:rsidR="007234DD" w:rsidRDefault="007234DD">
            <w:pPr>
              <w:pStyle w:val="a5"/>
              <w:ind w:right="0"/>
              <w:jc w:val="right"/>
            </w:pPr>
            <w:r>
              <w:t>33.7</w:t>
            </w:r>
          </w:p>
        </w:tc>
        <w:tc>
          <w:tcPr>
            <w:tcW w:w="2196" w:type="dxa"/>
            <w:shd w:val="clear" w:color="auto" w:fill="auto"/>
          </w:tcPr>
          <w:p w:rsidR="007234DD" w:rsidRDefault="007234DD">
            <w:pPr>
              <w:pStyle w:val="a5"/>
              <w:ind w:right="0"/>
              <w:jc w:val="right"/>
            </w:pPr>
            <w:r>
              <w:t>53.1</w:t>
            </w:r>
          </w:p>
        </w:tc>
        <w:tc>
          <w:tcPr>
            <w:tcW w:w="2196" w:type="dxa"/>
            <w:shd w:val="clear" w:color="auto" w:fill="auto"/>
          </w:tcPr>
          <w:p w:rsidR="007234DD" w:rsidRDefault="007234DD">
            <w:pPr>
              <w:pStyle w:val="a5"/>
              <w:ind w:right="0"/>
              <w:jc w:val="right"/>
              <w:rPr>
                <w:b/>
              </w:rPr>
            </w:pPr>
            <w:r>
              <w:rPr>
                <w:b/>
              </w:rPr>
              <w:t>36.0</w:t>
            </w:r>
          </w:p>
        </w:tc>
      </w:tr>
      <w:tr w:rsidR="007234DD">
        <w:trPr>
          <w:cantSplit/>
          <w:trHeight w:val="20"/>
        </w:trPr>
        <w:tc>
          <w:tcPr>
            <w:tcW w:w="784" w:type="dxa"/>
            <w:shd w:val="clear" w:color="auto" w:fill="auto"/>
          </w:tcPr>
          <w:p w:rsidR="007234DD" w:rsidRDefault="007234DD">
            <w:pPr>
              <w:pStyle w:val="a5"/>
              <w:rPr>
                <w:rFonts w:hint="eastAsia"/>
              </w:rPr>
            </w:pPr>
            <w:r>
              <w:t>2006</w:t>
            </w:r>
          </w:p>
        </w:tc>
        <w:tc>
          <w:tcPr>
            <w:tcW w:w="2196" w:type="dxa"/>
            <w:shd w:val="clear" w:color="auto" w:fill="auto"/>
          </w:tcPr>
          <w:p w:rsidR="007234DD" w:rsidRDefault="007234DD">
            <w:pPr>
              <w:pStyle w:val="a5"/>
              <w:ind w:right="0"/>
              <w:jc w:val="right"/>
            </w:pPr>
            <w:r>
              <w:t>21.5</w:t>
            </w:r>
          </w:p>
        </w:tc>
        <w:tc>
          <w:tcPr>
            <w:tcW w:w="2196" w:type="dxa"/>
            <w:shd w:val="clear" w:color="auto" w:fill="auto"/>
          </w:tcPr>
          <w:p w:rsidR="007234DD" w:rsidRDefault="007234DD">
            <w:pPr>
              <w:pStyle w:val="a5"/>
              <w:ind w:right="0"/>
              <w:jc w:val="right"/>
            </w:pPr>
            <w:r>
              <w:t>48.3</w:t>
            </w:r>
          </w:p>
        </w:tc>
        <w:tc>
          <w:tcPr>
            <w:tcW w:w="2196" w:type="dxa"/>
            <w:shd w:val="clear" w:color="auto" w:fill="auto"/>
          </w:tcPr>
          <w:p w:rsidR="007234DD" w:rsidRDefault="007234DD">
            <w:pPr>
              <w:pStyle w:val="a5"/>
              <w:ind w:right="0"/>
              <w:jc w:val="right"/>
              <w:rPr>
                <w:b/>
              </w:rPr>
            </w:pPr>
            <w:r>
              <w:rPr>
                <w:b/>
              </w:rPr>
              <w:t>24.2</w:t>
            </w:r>
          </w:p>
        </w:tc>
      </w:tr>
      <w:tr w:rsidR="007234DD">
        <w:trPr>
          <w:cantSplit/>
          <w:trHeight w:val="20"/>
        </w:trPr>
        <w:tc>
          <w:tcPr>
            <w:tcW w:w="784" w:type="dxa"/>
            <w:tcBorders>
              <w:bottom w:val="single" w:sz="12" w:space="0" w:color="auto"/>
            </w:tcBorders>
            <w:shd w:val="clear" w:color="auto" w:fill="auto"/>
          </w:tcPr>
          <w:p w:rsidR="007234DD" w:rsidRDefault="007234DD">
            <w:pPr>
              <w:pStyle w:val="a5"/>
              <w:rPr>
                <w:rFonts w:hint="eastAsia"/>
              </w:rPr>
            </w:pPr>
            <w:r>
              <w:t>2007</w:t>
            </w:r>
          </w:p>
        </w:tc>
        <w:tc>
          <w:tcPr>
            <w:tcW w:w="2196" w:type="dxa"/>
            <w:tcBorders>
              <w:bottom w:val="single" w:sz="12" w:space="0" w:color="auto"/>
            </w:tcBorders>
            <w:shd w:val="clear" w:color="auto" w:fill="auto"/>
          </w:tcPr>
          <w:p w:rsidR="007234DD" w:rsidRDefault="007234DD">
            <w:pPr>
              <w:pStyle w:val="a5"/>
              <w:ind w:right="0"/>
              <w:jc w:val="right"/>
            </w:pPr>
            <w:r>
              <w:t>24.7</w:t>
            </w:r>
          </w:p>
        </w:tc>
        <w:tc>
          <w:tcPr>
            <w:tcW w:w="2196" w:type="dxa"/>
            <w:tcBorders>
              <w:bottom w:val="single" w:sz="12" w:space="0" w:color="auto"/>
            </w:tcBorders>
            <w:shd w:val="clear" w:color="auto" w:fill="auto"/>
          </w:tcPr>
          <w:p w:rsidR="007234DD" w:rsidRDefault="007234DD">
            <w:pPr>
              <w:pStyle w:val="a5"/>
              <w:ind w:right="0"/>
              <w:jc w:val="right"/>
            </w:pPr>
            <w:r>
              <w:t>51.2</w:t>
            </w:r>
          </w:p>
        </w:tc>
        <w:tc>
          <w:tcPr>
            <w:tcW w:w="2196" w:type="dxa"/>
            <w:tcBorders>
              <w:bottom w:val="single" w:sz="12" w:space="0" w:color="auto"/>
            </w:tcBorders>
            <w:shd w:val="clear" w:color="auto" w:fill="auto"/>
          </w:tcPr>
          <w:p w:rsidR="007234DD" w:rsidRDefault="007234DD">
            <w:pPr>
              <w:pStyle w:val="a5"/>
              <w:ind w:right="0"/>
              <w:jc w:val="right"/>
              <w:rPr>
                <w:b/>
              </w:rPr>
            </w:pPr>
            <w:r>
              <w:rPr>
                <w:b/>
              </w:rPr>
              <w:t>27.0</w:t>
            </w:r>
          </w:p>
        </w:tc>
      </w:tr>
    </w:tbl>
    <w:p w:rsidR="007234DD" w:rsidRDefault="00411CD5" w:rsidP="00411CD5">
      <w:pPr>
        <w:pStyle w:val="SingleTxtGC"/>
        <w:tabs>
          <w:tab w:val="left" w:pos="170"/>
          <w:tab w:val="left" w:pos="1300"/>
        </w:tabs>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卡塔尔国，</w:t>
      </w:r>
      <w:r w:rsidR="007234DD">
        <w:rPr>
          <w:rFonts w:hint="eastAsia"/>
          <w:sz w:val="19"/>
          <w:szCs w:val="19"/>
        </w:rPr>
        <w:t>2010</w:t>
      </w:r>
      <w:r w:rsidR="007234DD">
        <w:rPr>
          <w:rFonts w:hint="eastAsia"/>
          <w:sz w:val="19"/>
          <w:szCs w:val="19"/>
        </w:rPr>
        <w:t>年年度统计，连续多年。</w:t>
      </w:r>
    </w:p>
    <w:p w:rsidR="007234DD" w:rsidRDefault="007234DD">
      <w:pPr>
        <w:pStyle w:val="SingleTxtGC"/>
      </w:pPr>
      <w:r>
        <w:t xml:space="preserve">228.  </w:t>
      </w:r>
      <w:r>
        <w:rPr>
          <w:rFonts w:hint="eastAsia"/>
        </w:rPr>
        <w:t>卡塔尔致力于为居住在卡塔尔的所有儿童提供教育，无论是在公立学校还是私立学校，在侨民社区的学校还是外国学校提供。卡塔尔为儿童提供多样化的教育，为他们的家长提供选择希望子女就读的学校的机会。国家为私立学校和侨民社区兴办的学校提供物质支持，例如提供修建学校所需土地、校舍以及伊斯兰教教育课本和阿拉伯语及社会课程教学。</w:t>
      </w:r>
    </w:p>
    <w:p w:rsidR="007234DD" w:rsidRDefault="007234DD">
      <w:pPr>
        <w:pStyle w:val="SingleTxtGC"/>
      </w:pPr>
      <w:r>
        <w:t xml:space="preserve">229.  </w:t>
      </w:r>
      <w:r>
        <w:rPr>
          <w:rFonts w:hint="eastAsia"/>
        </w:rPr>
        <w:t>总共有</w:t>
      </w:r>
      <w:r>
        <w:rPr>
          <w:rFonts w:hint="eastAsia"/>
        </w:rPr>
        <w:t>74,323</w:t>
      </w:r>
      <w:r>
        <w:rPr>
          <w:rFonts w:hint="eastAsia"/>
        </w:rPr>
        <w:t>名非卡塔尔籍学生在卡塔尔注册入学，其中</w:t>
      </w:r>
      <w:r>
        <w:rPr>
          <w:rFonts w:hint="eastAsia"/>
        </w:rPr>
        <w:t>36,863</w:t>
      </w:r>
      <w:r>
        <w:rPr>
          <w:rFonts w:hint="eastAsia"/>
        </w:rPr>
        <w:t>名是女生。有</w:t>
      </w:r>
      <w:r>
        <w:rPr>
          <w:rFonts w:hint="eastAsia"/>
        </w:rPr>
        <w:t>10,888</w:t>
      </w:r>
      <w:r>
        <w:rPr>
          <w:rFonts w:hint="eastAsia"/>
        </w:rPr>
        <w:t>名女生就读于公立学校。</w:t>
      </w:r>
    </w:p>
    <w:p w:rsidR="007234DD" w:rsidRDefault="007234DD">
      <w:pPr>
        <w:pStyle w:val="SingleTxtGC"/>
      </w:pPr>
      <w:r>
        <w:t xml:space="preserve">230.  </w:t>
      </w:r>
      <w:r>
        <w:rPr>
          <w:rFonts w:hint="eastAsia"/>
        </w:rPr>
        <w:t>过去</w:t>
      </w:r>
      <w:r>
        <w:rPr>
          <w:rFonts w:hint="eastAsia"/>
        </w:rPr>
        <w:t>5</w:t>
      </w:r>
      <w:r>
        <w:rPr>
          <w:rFonts w:hint="eastAsia"/>
        </w:rPr>
        <w:t>年，残疾女童参加学校或其他机构学习的百分比没有显著变化：</w:t>
      </w:r>
      <w:r>
        <w:rPr>
          <w:rFonts w:hint="eastAsia"/>
        </w:rPr>
        <w:t>2004</w:t>
      </w:r>
      <w:r>
        <w:rPr>
          <w:rFonts w:hint="eastAsia"/>
        </w:rPr>
        <w:t>年为</w:t>
      </w:r>
      <w:r>
        <w:rPr>
          <w:rFonts w:hint="eastAsia"/>
        </w:rPr>
        <w:t>41.4%</w:t>
      </w:r>
      <w:r>
        <w:rPr>
          <w:rFonts w:hint="eastAsia"/>
        </w:rPr>
        <w:t>，</w:t>
      </w:r>
      <w:r>
        <w:rPr>
          <w:rFonts w:hint="eastAsia"/>
        </w:rPr>
        <w:t>2009</w:t>
      </w:r>
      <w:r>
        <w:rPr>
          <w:rFonts w:hint="eastAsia"/>
        </w:rPr>
        <w:t>年为</w:t>
      </w:r>
      <w:r>
        <w:rPr>
          <w:rFonts w:hint="eastAsia"/>
        </w:rPr>
        <w:t>40.6%</w:t>
      </w:r>
      <w:r>
        <w:rPr>
          <w:rFonts w:hint="eastAsia"/>
        </w:rPr>
        <w:t>。</w:t>
      </w:r>
    </w:p>
    <w:p w:rsidR="007234DD" w:rsidRDefault="007234DD">
      <w:pPr>
        <w:pStyle w:val="SingleTxtGC"/>
      </w:pPr>
      <w:r>
        <w:br w:type="page"/>
      </w:r>
      <w:r>
        <w:rPr>
          <w:rFonts w:hint="eastAsia"/>
        </w:rPr>
        <w:t>表</w:t>
      </w:r>
      <w:r>
        <w:t>13</w:t>
      </w:r>
      <w:r>
        <w:rPr>
          <w:rFonts w:hint="eastAsia"/>
        </w:rPr>
        <w:br/>
      </w:r>
      <w:r>
        <w:rPr>
          <w:rFonts w:eastAsia="SimHei"/>
        </w:rPr>
        <w:t>按国籍和年份分列的残疾女童</w:t>
      </w:r>
      <w:r>
        <w:rPr>
          <w:rFonts w:eastAsia="SimHei"/>
        </w:rPr>
        <w:t>(14</w:t>
      </w:r>
      <w:r>
        <w:rPr>
          <w:rFonts w:eastAsia="SimHei" w:hint="eastAsia"/>
        </w:rPr>
        <w:t>岁</w:t>
      </w:r>
      <w:r>
        <w:rPr>
          <w:rFonts w:eastAsia="SimHei"/>
        </w:rPr>
        <w:t>以下</w:t>
      </w:r>
      <w:r>
        <w:rPr>
          <w:rFonts w:eastAsia="SimHei"/>
        </w:rPr>
        <w:t>)</w:t>
      </w:r>
      <w:r>
        <w:rPr>
          <w:rFonts w:eastAsia="SimHei"/>
        </w:rPr>
        <w:t>参加学校和其他机构学习的百分比</w:t>
      </w:r>
    </w:p>
    <w:tbl>
      <w:tblPr>
        <w:tblW w:w="7370" w:type="dxa"/>
        <w:tblInd w:w="1134" w:type="dxa"/>
        <w:tblLayout w:type="fixed"/>
        <w:tblCellMar>
          <w:left w:w="0" w:type="dxa"/>
          <w:right w:w="0" w:type="dxa"/>
        </w:tblCellMar>
        <w:tblLook w:val="0000" w:firstRow="0" w:lastRow="0" w:firstColumn="0" w:lastColumn="0" w:noHBand="0" w:noVBand="0"/>
      </w:tblPr>
      <w:tblGrid>
        <w:gridCol w:w="765"/>
        <w:gridCol w:w="1240"/>
        <w:gridCol w:w="1390"/>
        <w:gridCol w:w="1223"/>
        <w:gridCol w:w="2752"/>
      </w:tblGrid>
      <w:tr w:rsidR="007234DD">
        <w:trPr>
          <w:cantSplit/>
          <w:trHeight w:val="20"/>
        </w:trPr>
        <w:tc>
          <w:tcPr>
            <w:tcW w:w="765" w:type="dxa"/>
            <w:tcBorders>
              <w:top w:val="single" w:sz="4" w:space="0" w:color="auto"/>
              <w:bottom w:val="single" w:sz="12" w:space="0" w:color="auto"/>
            </w:tcBorders>
            <w:shd w:val="clear" w:color="auto" w:fill="auto"/>
            <w:vAlign w:val="bottom"/>
          </w:tcPr>
          <w:p w:rsidR="007234DD" w:rsidRDefault="007234DD">
            <w:pPr>
              <w:pStyle w:val="a0"/>
              <w:ind w:right="0"/>
              <w:rPr>
                <w:szCs w:val="16"/>
              </w:rPr>
            </w:pPr>
            <w:r>
              <w:t>年份</w:t>
            </w:r>
          </w:p>
        </w:tc>
        <w:tc>
          <w:tcPr>
            <w:tcW w:w="1240" w:type="dxa"/>
            <w:tcBorders>
              <w:top w:val="single" w:sz="4" w:space="0" w:color="auto"/>
              <w:bottom w:val="single" w:sz="12" w:space="0" w:color="auto"/>
            </w:tcBorders>
            <w:shd w:val="clear" w:color="auto" w:fill="auto"/>
            <w:vAlign w:val="bottom"/>
          </w:tcPr>
          <w:p w:rsidR="007234DD" w:rsidRDefault="007234DD">
            <w:pPr>
              <w:pStyle w:val="a0"/>
              <w:ind w:right="0"/>
              <w:jc w:val="right"/>
            </w:pPr>
            <w:r>
              <w:t>卡塔尔籍</w:t>
            </w:r>
            <w:r>
              <w:rPr>
                <w:rFonts w:hint="eastAsia"/>
              </w:rPr>
              <w:t>(</w:t>
            </w:r>
            <w:r>
              <w:t>%</w:t>
            </w:r>
            <w:r>
              <w:rPr>
                <w:rFonts w:hint="eastAsia"/>
              </w:rPr>
              <w:t>)</w:t>
            </w:r>
          </w:p>
        </w:tc>
        <w:tc>
          <w:tcPr>
            <w:tcW w:w="1390"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t>非卡塔尔籍</w:t>
            </w:r>
            <w:r>
              <w:rPr>
                <w:rFonts w:hint="eastAsia"/>
              </w:rPr>
              <w:t>(</w:t>
            </w:r>
            <w:r>
              <w:t>%</w:t>
            </w:r>
            <w:r>
              <w:rPr>
                <w:rFonts w:hint="eastAsia"/>
              </w:rPr>
              <w:t>)</w:t>
            </w:r>
          </w:p>
        </w:tc>
        <w:tc>
          <w:tcPr>
            <w:tcW w:w="1223" w:type="dxa"/>
            <w:tcBorders>
              <w:top w:val="single" w:sz="4" w:space="0" w:color="auto"/>
              <w:bottom w:val="single" w:sz="12" w:space="0" w:color="auto"/>
            </w:tcBorders>
            <w:shd w:val="clear" w:color="auto" w:fill="auto"/>
            <w:vAlign w:val="bottom"/>
          </w:tcPr>
          <w:p w:rsidR="007234DD" w:rsidRDefault="007234DD">
            <w:pPr>
              <w:pStyle w:val="a0"/>
              <w:ind w:right="0"/>
              <w:jc w:val="right"/>
            </w:pPr>
            <w:r>
              <w:t>合计</w:t>
            </w:r>
            <w:r>
              <w:t>(%)</w:t>
            </w:r>
          </w:p>
        </w:tc>
        <w:tc>
          <w:tcPr>
            <w:tcW w:w="2752" w:type="dxa"/>
            <w:tcBorders>
              <w:top w:val="single" w:sz="4" w:space="0" w:color="auto"/>
              <w:bottom w:val="single" w:sz="12" w:space="0" w:color="auto"/>
            </w:tcBorders>
            <w:shd w:val="clear" w:color="auto" w:fill="auto"/>
            <w:vAlign w:val="bottom"/>
          </w:tcPr>
          <w:p w:rsidR="007234DD" w:rsidRPr="00411CD5" w:rsidRDefault="007234DD">
            <w:pPr>
              <w:pStyle w:val="a0"/>
              <w:ind w:right="0"/>
              <w:jc w:val="right"/>
              <w:rPr>
                <w:b/>
                <w:bCs/>
              </w:rPr>
            </w:pPr>
            <w:r w:rsidRPr="00411CD5">
              <w:rPr>
                <w:b/>
                <w:bCs/>
              </w:rPr>
              <w:t>残疾儿童总数</w:t>
            </w:r>
            <w:r w:rsidRPr="00411CD5">
              <w:rPr>
                <w:b/>
                <w:bCs/>
              </w:rPr>
              <w:t>(</w:t>
            </w:r>
            <w:r w:rsidRPr="00411CD5">
              <w:rPr>
                <w:b/>
                <w:bCs/>
              </w:rPr>
              <w:t>男童及女童</w:t>
            </w:r>
            <w:r w:rsidRPr="00411CD5">
              <w:rPr>
                <w:b/>
                <w:bCs/>
              </w:rPr>
              <w:t>)</w:t>
            </w:r>
          </w:p>
        </w:tc>
      </w:tr>
      <w:tr w:rsidR="007234DD">
        <w:trPr>
          <w:cantSplit/>
          <w:trHeight w:val="20"/>
        </w:trPr>
        <w:tc>
          <w:tcPr>
            <w:tcW w:w="765" w:type="dxa"/>
            <w:tcBorders>
              <w:top w:val="single" w:sz="12" w:space="0" w:color="auto"/>
            </w:tcBorders>
            <w:shd w:val="clear" w:color="auto" w:fill="auto"/>
          </w:tcPr>
          <w:p w:rsidR="007234DD" w:rsidRDefault="007234DD">
            <w:pPr>
              <w:pStyle w:val="a5"/>
              <w:rPr>
                <w:lang w:val="en-GB"/>
              </w:rPr>
            </w:pPr>
            <w:r>
              <w:rPr>
                <w:lang w:val="en-GB"/>
              </w:rPr>
              <w:t>2004</w:t>
            </w:r>
          </w:p>
        </w:tc>
        <w:tc>
          <w:tcPr>
            <w:tcW w:w="1240" w:type="dxa"/>
            <w:tcBorders>
              <w:top w:val="single" w:sz="12" w:space="0" w:color="auto"/>
            </w:tcBorders>
            <w:shd w:val="clear" w:color="auto" w:fill="auto"/>
          </w:tcPr>
          <w:p w:rsidR="007234DD" w:rsidRDefault="007234DD">
            <w:pPr>
              <w:pStyle w:val="a5"/>
              <w:ind w:right="0"/>
              <w:jc w:val="right"/>
            </w:pPr>
            <w:r>
              <w:t>41.5</w:t>
            </w:r>
          </w:p>
        </w:tc>
        <w:tc>
          <w:tcPr>
            <w:tcW w:w="1390" w:type="dxa"/>
            <w:tcBorders>
              <w:top w:val="single" w:sz="12" w:space="0" w:color="auto"/>
            </w:tcBorders>
            <w:shd w:val="clear" w:color="auto" w:fill="auto"/>
          </w:tcPr>
          <w:p w:rsidR="007234DD" w:rsidRDefault="007234DD">
            <w:pPr>
              <w:pStyle w:val="a5"/>
              <w:ind w:right="0"/>
              <w:jc w:val="right"/>
            </w:pPr>
            <w:r>
              <w:t>41.2</w:t>
            </w:r>
          </w:p>
        </w:tc>
        <w:tc>
          <w:tcPr>
            <w:tcW w:w="1223" w:type="dxa"/>
            <w:tcBorders>
              <w:top w:val="single" w:sz="12" w:space="0" w:color="auto"/>
            </w:tcBorders>
            <w:shd w:val="clear" w:color="auto" w:fill="auto"/>
          </w:tcPr>
          <w:p w:rsidR="007234DD" w:rsidRDefault="007234DD">
            <w:pPr>
              <w:pStyle w:val="a5"/>
              <w:ind w:right="0"/>
              <w:jc w:val="right"/>
            </w:pPr>
            <w:r>
              <w:t>41.4</w:t>
            </w:r>
          </w:p>
        </w:tc>
        <w:tc>
          <w:tcPr>
            <w:tcW w:w="2752" w:type="dxa"/>
            <w:tcBorders>
              <w:top w:val="single" w:sz="12" w:space="0" w:color="auto"/>
            </w:tcBorders>
            <w:shd w:val="clear" w:color="auto" w:fill="auto"/>
          </w:tcPr>
          <w:p w:rsidR="007234DD" w:rsidRPr="00411CD5" w:rsidRDefault="007234DD">
            <w:pPr>
              <w:pStyle w:val="a5"/>
              <w:ind w:right="0"/>
              <w:jc w:val="right"/>
              <w:rPr>
                <w:b/>
                <w:bCs/>
              </w:rPr>
            </w:pPr>
            <w:r w:rsidRPr="00411CD5">
              <w:rPr>
                <w:b/>
                <w:bCs/>
              </w:rPr>
              <w:t>3,577</w:t>
            </w:r>
          </w:p>
        </w:tc>
      </w:tr>
      <w:tr w:rsidR="007234DD">
        <w:trPr>
          <w:cantSplit/>
          <w:trHeight w:val="20"/>
        </w:trPr>
        <w:tc>
          <w:tcPr>
            <w:tcW w:w="765" w:type="dxa"/>
            <w:shd w:val="clear" w:color="auto" w:fill="auto"/>
          </w:tcPr>
          <w:p w:rsidR="007234DD" w:rsidRDefault="007234DD">
            <w:pPr>
              <w:pStyle w:val="a5"/>
              <w:rPr>
                <w:lang w:val="en-GB"/>
              </w:rPr>
            </w:pPr>
            <w:r>
              <w:rPr>
                <w:lang w:val="en-GB"/>
              </w:rPr>
              <w:t>2005</w:t>
            </w:r>
          </w:p>
        </w:tc>
        <w:tc>
          <w:tcPr>
            <w:tcW w:w="1240" w:type="dxa"/>
            <w:shd w:val="clear" w:color="auto" w:fill="auto"/>
          </w:tcPr>
          <w:p w:rsidR="007234DD" w:rsidRDefault="007234DD">
            <w:pPr>
              <w:pStyle w:val="a5"/>
              <w:ind w:right="0"/>
              <w:jc w:val="right"/>
            </w:pPr>
            <w:r>
              <w:t>40.9</w:t>
            </w:r>
          </w:p>
        </w:tc>
        <w:tc>
          <w:tcPr>
            <w:tcW w:w="1390" w:type="dxa"/>
            <w:shd w:val="clear" w:color="auto" w:fill="auto"/>
          </w:tcPr>
          <w:p w:rsidR="007234DD" w:rsidRDefault="007234DD">
            <w:pPr>
              <w:pStyle w:val="a5"/>
              <w:ind w:right="0"/>
              <w:jc w:val="right"/>
            </w:pPr>
            <w:r>
              <w:t>43.4</w:t>
            </w:r>
          </w:p>
        </w:tc>
        <w:tc>
          <w:tcPr>
            <w:tcW w:w="1223" w:type="dxa"/>
            <w:shd w:val="clear" w:color="auto" w:fill="auto"/>
          </w:tcPr>
          <w:p w:rsidR="007234DD" w:rsidRDefault="007234DD">
            <w:pPr>
              <w:pStyle w:val="a5"/>
              <w:ind w:right="0"/>
              <w:jc w:val="right"/>
            </w:pPr>
            <w:r>
              <w:t>42.0</w:t>
            </w:r>
          </w:p>
        </w:tc>
        <w:tc>
          <w:tcPr>
            <w:tcW w:w="2752" w:type="dxa"/>
            <w:shd w:val="clear" w:color="auto" w:fill="auto"/>
          </w:tcPr>
          <w:p w:rsidR="007234DD" w:rsidRPr="00411CD5" w:rsidRDefault="007234DD">
            <w:pPr>
              <w:pStyle w:val="a5"/>
              <w:ind w:right="0"/>
              <w:jc w:val="right"/>
              <w:rPr>
                <w:b/>
                <w:bCs/>
              </w:rPr>
            </w:pPr>
            <w:r w:rsidRPr="00411CD5">
              <w:rPr>
                <w:b/>
                <w:bCs/>
              </w:rPr>
              <w:t>2,427</w:t>
            </w:r>
          </w:p>
        </w:tc>
      </w:tr>
      <w:tr w:rsidR="007234DD">
        <w:trPr>
          <w:cantSplit/>
          <w:trHeight w:val="20"/>
        </w:trPr>
        <w:tc>
          <w:tcPr>
            <w:tcW w:w="765" w:type="dxa"/>
            <w:shd w:val="clear" w:color="auto" w:fill="auto"/>
          </w:tcPr>
          <w:p w:rsidR="007234DD" w:rsidRDefault="007234DD">
            <w:pPr>
              <w:pStyle w:val="a5"/>
              <w:rPr>
                <w:lang w:val="en-GB"/>
              </w:rPr>
            </w:pPr>
            <w:r>
              <w:rPr>
                <w:lang w:val="en-GB"/>
              </w:rPr>
              <w:t>2006</w:t>
            </w:r>
          </w:p>
        </w:tc>
        <w:tc>
          <w:tcPr>
            <w:tcW w:w="1240" w:type="dxa"/>
            <w:shd w:val="clear" w:color="auto" w:fill="auto"/>
          </w:tcPr>
          <w:p w:rsidR="007234DD" w:rsidRDefault="007234DD">
            <w:pPr>
              <w:pStyle w:val="a5"/>
              <w:ind w:right="0"/>
              <w:jc w:val="right"/>
            </w:pPr>
            <w:r>
              <w:t>38.3</w:t>
            </w:r>
          </w:p>
        </w:tc>
        <w:tc>
          <w:tcPr>
            <w:tcW w:w="1390" w:type="dxa"/>
            <w:shd w:val="clear" w:color="auto" w:fill="auto"/>
          </w:tcPr>
          <w:p w:rsidR="007234DD" w:rsidRDefault="007234DD">
            <w:pPr>
              <w:pStyle w:val="a5"/>
              <w:ind w:right="0"/>
              <w:jc w:val="right"/>
            </w:pPr>
            <w:r>
              <w:t>42.0</w:t>
            </w:r>
          </w:p>
        </w:tc>
        <w:tc>
          <w:tcPr>
            <w:tcW w:w="1223" w:type="dxa"/>
            <w:shd w:val="clear" w:color="auto" w:fill="auto"/>
          </w:tcPr>
          <w:p w:rsidR="007234DD" w:rsidRDefault="007234DD">
            <w:pPr>
              <w:pStyle w:val="a5"/>
              <w:ind w:right="0"/>
              <w:jc w:val="right"/>
            </w:pPr>
            <w:r>
              <w:t>39.8</w:t>
            </w:r>
          </w:p>
        </w:tc>
        <w:tc>
          <w:tcPr>
            <w:tcW w:w="2752" w:type="dxa"/>
            <w:shd w:val="clear" w:color="auto" w:fill="auto"/>
          </w:tcPr>
          <w:p w:rsidR="007234DD" w:rsidRPr="00411CD5" w:rsidRDefault="007234DD">
            <w:pPr>
              <w:pStyle w:val="a5"/>
              <w:ind w:right="0"/>
              <w:jc w:val="right"/>
              <w:rPr>
                <w:b/>
                <w:bCs/>
              </w:rPr>
            </w:pPr>
            <w:r w:rsidRPr="00411CD5">
              <w:rPr>
                <w:b/>
                <w:bCs/>
              </w:rPr>
              <w:t>1,886</w:t>
            </w:r>
          </w:p>
        </w:tc>
      </w:tr>
      <w:tr w:rsidR="007234DD">
        <w:trPr>
          <w:cantSplit/>
          <w:trHeight w:val="20"/>
        </w:trPr>
        <w:tc>
          <w:tcPr>
            <w:tcW w:w="765" w:type="dxa"/>
            <w:shd w:val="clear" w:color="auto" w:fill="auto"/>
          </w:tcPr>
          <w:p w:rsidR="007234DD" w:rsidRDefault="007234DD">
            <w:pPr>
              <w:pStyle w:val="a5"/>
              <w:rPr>
                <w:lang w:val="en-GB"/>
              </w:rPr>
            </w:pPr>
            <w:r>
              <w:rPr>
                <w:lang w:val="en-GB"/>
              </w:rPr>
              <w:t>2007</w:t>
            </w:r>
          </w:p>
        </w:tc>
        <w:tc>
          <w:tcPr>
            <w:tcW w:w="1240" w:type="dxa"/>
            <w:shd w:val="clear" w:color="auto" w:fill="auto"/>
          </w:tcPr>
          <w:p w:rsidR="007234DD" w:rsidRDefault="007234DD">
            <w:pPr>
              <w:pStyle w:val="a5"/>
              <w:ind w:right="0"/>
              <w:jc w:val="right"/>
            </w:pPr>
            <w:r>
              <w:t>43.4</w:t>
            </w:r>
          </w:p>
        </w:tc>
        <w:tc>
          <w:tcPr>
            <w:tcW w:w="1390" w:type="dxa"/>
            <w:shd w:val="clear" w:color="auto" w:fill="auto"/>
          </w:tcPr>
          <w:p w:rsidR="007234DD" w:rsidRDefault="007234DD">
            <w:pPr>
              <w:pStyle w:val="a5"/>
              <w:ind w:right="0"/>
              <w:jc w:val="right"/>
            </w:pPr>
            <w:r>
              <w:t>39.7</w:t>
            </w:r>
          </w:p>
        </w:tc>
        <w:tc>
          <w:tcPr>
            <w:tcW w:w="1223" w:type="dxa"/>
            <w:shd w:val="clear" w:color="auto" w:fill="auto"/>
          </w:tcPr>
          <w:p w:rsidR="007234DD" w:rsidRDefault="007234DD">
            <w:pPr>
              <w:pStyle w:val="a5"/>
              <w:ind w:right="0"/>
              <w:jc w:val="right"/>
            </w:pPr>
            <w:r>
              <w:t>41.4</w:t>
            </w:r>
          </w:p>
        </w:tc>
        <w:tc>
          <w:tcPr>
            <w:tcW w:w="2752" w:type="dxa"/>
            <w:shd w:val="clear" w:color="auto" w:fill="auto"/>
          </w:tcPr>
          <w:p w:rsidR="007234DD" w:rsidRPr="00411CD5" w:rsidRDefault="007234DD">
            <w:pPr>
              <w:pStyle w:val="a5"/>
              <w:ind w:right="0"/>
              <w:jc w:val="right"/>
              <w:rPr>
                <w:b/>
                <w:bCs/>
              </w:rPr>
            </w:pPr>
            <w:r w:rsidRPr="00411CD5">
              <w:rPr>
                <w:b/>
                <w:bCs/>
              </w:rPr>
              <w:t>2,064</w:t>
            </w:r>
          </w:p>
        </w:tc>
      </w:tr>
      <w:tr w:rsidR="007234DD">
        <w:trPr>
          <w:cantSplit/>
          <w:trHeight w:val="20"/>
        </w:trPr>
        <w:tc>
          <w:tcPr>
            <w:tcW w:w="765" w:type="dxa"/>
            <w:shd w:val="clear" w:color="auto" w:fill="auto"/>
          </w:tcPr>
          <w:p w:rsidR="007234DD" w:rsidRDefault="007234DD">
            <w:pPr>
              <w:pStyle w:val="a5"/>
              <w:rPr>
                <w:lang w:val="en-GB"/>
              </w:rPr>
            </w:pPr>
            <w:r>
              <w:rPr>
                <w:lang w:val="en-GB"/>
              </w:rPr>
              <w:t>2008</w:t>
            </w:r>
          </w:p>
        </w:tc>
        <w:tc>
          <w:tcPr>
            <w:tcW w:w="1240" w:type="dxa"/>
            <w:shd w:val="clear" w:color="auto" w:fill="auto"/>
          </w:tcPr>
          <w:p w:rsidR="007234DD" w:rsidRDefault="007234DD">
            <w:pPr>
              <w:pStyle w:val="a5"/>
              <w:ind w:right="0"/>
              <w:jc w:val="right"/>
            </w:pPr>
            <w:r>
              <w:t>43.3</w:t>
            </w:r>
          </w:p>
        </w:tc>
        <w:tc>
          <w:tcPr>
            <w:tcW w:w="1390" w:type="dxa"/>
            <w:shd w:val="clear" w:color="auto" w:fill="auto"/>
          </w:tcPr>
          <w:p w:rsidR="007234DD" w:rsidRDefault="007234DD">
            <w:pPr>
              <w:pStyle w:val="a5"/>
              <w:ind w:right="0"/>
              <w:jc w:val="right"/>
            </w:pPr>
            <w:r>
              <w:t>41.1</w:t>
            </w:r>
          </w:p>
        </w:tc>
        <w:tc>
          <w:tcPr>
            <w:tcW w:w="1223" w:type="dxa"/>
            <w:shd w:val="clear" w:color="auto" w:fill="auto"/>
          </w:tcPr>
          <w:p w:rsidR="007234DD" w:rsidRDefault="007234DD">
            <w:pPr>
              <w:pStyle w:val="a5"/>
              <w:ind w:right="0"/>
              <w:jc w:val="right"/>
            </w:pPr>
            <w:r>
              <w:t>42.3</w:t>
            </w:r>
          </w:p>
        </w:tc>
        <w:tc>
          <w:tcPr>
            <w:tcW w:w="2752" w:type="dxa"/>
            <w:shd w:val="clear" w:color="auto" w:fill="auto"/>
          </w:tcPr>
          <w:p w:rsidR="007234DD" w:rsidRPr="00411CD5" w:rsidRDefault="007234DD">
            <w:pPr>
              <w:pStyle w:val="a5"/>
              <w:ind w:right="0"/>
              <w:jc w:val="right"/>
              <w:rPr>
                <w:b/>
                <w:bCs/>
              </w:rPr>
            </w:pPr>
            <w:r w:rsidRPr="00411CD5">
              <w:rPr>
                <w:b/>
                <w:bCs/>
              </w:rPr>
              <w:t>1,916</w:t>
            </w:r>
          </w:p>
        </w:tc>
      </w:tr>
      <w:tr w:rsidR="007234DD">
        <w:trPr>
          <w:cantSplit/>
          <w:trHeight w:val="20"/>
        </w:trPr>
        <w:tc>
          <w:tcPr>
            <w:tcW w:w="765" w:type="dxa"/>
            <w:tcBorders>
              <w:bottom w:val="single" w:sz="12" w:space="0" w:color="auto"/>
            </w:tcBorders>
            <w:shd w:val="clear" w:color="auto" w:fill="auto"/>
          </w:tcPr>
          <w:p w:rsidR="007234DD" w:rsidRDefault="007234DD">
            <w:pPr>
              <w:pStyle w:val="a5"/>
              <w:rPr>
                <w:lang w:val="en-GB"/>
              </w:rPr>
            </w:pPr>
            <w:r>
              <w:rPr>
                <w:lang w:val="en-GB"/>
              </w:rPr>
              <w:t>2009</w:t>
            </w:r>
          </w:p>
        </w:tc>
        <w:tc>
          <w:tcPr>
            <w:tcW w:w="1240" w:type="dxa"/>
            <w:tcBorders>
              <w:bottom w:val="single" w:sz="12" w:space="0" w:color="auto"/>
            </w:tcBorders>
            <w:shd w:val="clear" w:color="auto" w:fill="auto"/>
          </w:tcPr>
          <w:p w:rsidR="007234DD" w:rsidRDefault="007234DD">
            <w:pPr>
              <w:pStyle w:val="a5"/>
              <w:ind w:right="0"/>
              <w:jc w:val="right"/>
            </w:pPr>
            <w:r>
              <w:t>42.7</w:t>
            </w:r>
          </w:p>
        </w:tc>
        <w:tc>
          <w:tcPr>
            <w:tcW w:w="1390" w:type="dxa"/>
            <w:tcBorders>
              <w:bottom w:val="single" w:sz="12" w:space="0" w:color="auto"/>
            </w:tcBorders>
            <w:shd w:val="clear" w:color="auto" w:fill="auto"/>
          </w:tcPr>
          <w:p w:rsidR="007234DD" w:rsidRDefault="007234DD">
            <w:pPr>
              <w:pStyle w:val="a5"/>
              <w:ind w:right="0"/>
              <w:jc w:val="right"/>
            </w:pPr>
            <w:r>
              <w:t>38.3</w:t>
            </w:r>
          </w:p>
        </w:tc>
        <w:tc>
          <w:tcPr>
            <w:tcW w:w="1223" w:type="dxa"/>
            <w:tcBorders>
              <w:bottom w:val="single" w:sz="12" w:space="0" w:color="auto"/>
            </w:tcBorders>
            <w:shd w:val="clear" w:color="auto" w:fill="auto"/>
          </w:tcPr>
          <w:p w:rsidR="007234DD" w:rsidRDefault="007234DD">
            <w:pPr>
              <w:pStyle w:val="a5"/>
              <w:ind w:right="0"/>
              <w:jc w:val="right"/>
            </w:pPr>
            <w:r>
              <w:t>40.6</w:t>
            </w:r>
          </w:p>
        </w:tc>
        <w:tc>
          <w:tcPr>
            <w:tcW w:w="2752" w:type="dxa"/>
            <w:tcBorders>
              <w:bottom w:val="single" w:sz="12" w:space="0" w:color="auto"/>
            </w:tcBorders>
            <w:shd w:val="clear" w:color="auto" w:fill="auto"/>
          </w:tcPr>
          <w:p w:rsidR="007234DD" w:rsidRPr="00411CD5" w:rsidRDefault="007234DD">
            <w:pPr>
              <w:pStyle w:val="a5"/>
              <w:ind w:right="0"/>
              <w:jc w:val="right"/>
              <w:rPr>
                <w:b/>
                <w:bCs/>
              </w:rPr>
            </w:pPr>
            <w:r w:rsidRPr="00411CD5">
              <w:rPr>
                <w:b/>
                <w:bCs/>
              </w:rPr>
              <w:t>1,764</w:t>
            </w:r>
          </w:p>
        </w:tc>
      </w:tr>
    </w:tbl>
    <w:p w:rsidR="007234DD" w:rsidRDefault="007234DD" w:rsidP="00411CD5">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卡塔尔国，统计局，《</w:t>
      </w:r>
      <w:r>
        <w:rPr>
          <w:rFonts w:hint="eastAsia"/>
          <w:sz w:val="19"/>
          <w:szCs w:val="19"/>
        </w:rPr>
        <w:t>2010</w:t>
      </w:r>
      <w:r>
        <w:rPr>
          <w:rFonts w:hint="eastAsia"/>
          <w:sz w:val="19"/>
          <w:szCs w:val="19"/>
        </w:rPr>
        <w:t>年统计年鉴》，各期。</w:t>
      </w:r>
    </w:p>
    <w:p w:rsidR="007234DD" w:rsidRDefault="007234DD" w:rsidP="00411CD5">
      <w:pPr>
        <w:pStyle w:val="SingleTxtGC"/>
        <w:rPr>
          <w:rFonts w:hint="eastAsia"/>
        </w:rPr>
      </w:pPr>
      <w:r>
        <w:t xml:space="preserve">231.  </w:t>
      </w:r>
      <w:r>
        <w:rPr>
          <w:rFonts w:hint="eastAsia"/>
        </w:rPr>
        <w:t>增强卡塔尔妇女权能的措施已被纳入教育部门包括大学教育在内的所有领域。如表</w:t>
      </w:r>
      <w:r>
        <w:rPr>
          <w:rFonts w:hint="eastAsia"/>
        </w:rPr>
        <w:t>14</w:t>
      </w:r>
      <w:r>
        <w:rPr>
          <w:rFonts w:hint="eastAsia"/>
        </w:rPr>
        <w:t>所示，自</w:t>
      </w:r>
      <w:r>
        <w:rPr>
          <w:rFonts w:hint="eastAsia"/>
        </w:rPr>
        <w:t>2005</w:t>
      </w:r>
      <w:r>
        <w:rPr>
          <w:rFonts w:hint="eastAsia"/>
        </w:rPr>
        <w:t>年起，卡塔尔大学不少于</w:t>
      </w:r>
      <w:r>
        <w:rPr>
          <w:rFonts w:hint="eastAsia"/>
        </w:rPr>
        <w:t>74%</w:t>
      </w:r>
      <w:r>
        <w:rPr>
          <w:rFonts w:hint="eastAsia"/>
        </w:rPr>
        <w:t>的毕业生是妇女，她们分布于所有学科。也就是说，该大学大约四分之三的毕业生是妇女。绝大多数女毕业生都取得了文学和人文学科的学位。</w:t>
      </w:r>
    </w:p>
    <w:p w:rsidR="007234DD" w:rsidRDefault="007234DD">
      <w:pPr>
        <w:pStyle w:val="SingleTxtGC"/>
        <w:rPr>
          <w:rFonts w:hint="eastAsia"/>
        </w:rPr>
      </w:pPr>
      <w:r>
        <w:rPr>
          <w:rFonts w:hint="eastAsia"/>
        </w:rPr>
        <w:t>表</w:t>
      </w:r>
      <w:r>
        <w:t>14</w:t>
      </w:r>
      <w:r>
        <w:rPr>
          <w:rFonts w:hint="eastAsia"/>
        </w:rPr>
        <w:br/>
      </w:r>
      <w:r>
        <w:rPr>
          <w:rFonts w:eastAsia="SimHei" w:hint="eastAsia"/>
        </w:rPr>
        <w:t>卡塔尔大学各学科领域女毕业生百分比</w:t>
      </w:r>
    </w:p>
    <w:tbl>
      <w:tblPr>
        <w:tblW w:w="7370" w:type="dxa"/>
        <w:tblInd w:w="1134" w:type="dxa"/>
        <w:tblLayout w:type="fixed"/>
        <w:tblCellMar>
          <w:left w:w="0" w:type="dxa"/>
          <w:right w:w="0" w:type="dxa"/>
        </w:tblCellMar>
        <w:tblLook w:val="0000" w:firstRow="0" w:lastRow="0" w:firstColumn="0" w:lastColumn="0" w:noHBand="0" w:noVBand="0"/>
      </w:tblPr>
      <w:tblGrid>
        <w:gridCol w:w="2001"/>
        <w:gridCol w:w="1073"/>
        <w:gridCol w:w="1074"/>
        <w:gridCol w:w="1074"/>
        <w:gridCol w:w="1074"/>
        <w:gridCol w:w="1074"/>
      </w:tblGrid>
      <w:tr w:rsidR="007234DD">
        <w:trPr>
          <w:cantSplit/>
          <w:trHeight w:val="20"/>
        </w:trPr>
        <w:tc>
          <w:tcPr>
            <w:tcW w:w="2001" w:type="dxa"/>
            <w:tcBorders>
              <w:top w:val="single" w:sz="4" w:space="0" w:color="auto"/>
            </w:tcBorders>
            <w:shd w:val="clear" w:color="auto" w:fill="auto"/>
            <w:vAlign w:val="bottom"/>
          </w:tcPr>
          <w:p w:rsidR="007234DD" w:rsidRDefault="007234DD">
            <w:pPr>
              <w:pStyle w:val="a0"/>
              <w:ind w:right="0"/>
            </w:pPr>
          </w:p>
        </w:tc>
        <w:tc>
          <w:tcPr>
            <w:tcW w:w="5369" w:type="dxa"/>
            <w:gridSpan w:val="5"/>
            <w:tcBorders>
              <w:top w:val="single" w:sz="4" w:space="0" w:color="auto"/>
              <w:bottom w:val="single" w:sz="6" w:space="0" w:color="auto"/>
            </w:tcBorders>
            <w:shd w:val="clear" w:color="auto" w:fill="auto"/>
            <w:vAlign w:val="bottom"/>
          </w:tcPr>
          <w:p w:rsidR="007234DD" w:rsidRDefault="007234DD">
            <w:pPr>
              <w:pStyle w:val="a0"/>
              <w:ind w:right="0"/>
              <w:jc w:val="center"/>
              <w:rPr>
                <w:iCs/>
                <w:szCs w:val="18"/>
              </w:rPr>
            </w:pPr>
            <w:r>
              <w:rPr>
                <w:rFonts w:hint="eastAsia"/>
                <w:iCs/>
                <w:szCs w:val="18"/>
              </w:rPr>
              <w:t>年份</w:t>
            </w:r>
          </w:p>
        </w:tc>
      </w:tr>
      <w:tr w:rsidR="007234DD">
        <w:trPr>
          <w:cantSplit/>
          <w:trHeight w:val="20"/>
        </w:trPr>
        <w:tc>
          <w:tcPr>
            <w:tcW w:w="2001" w:type="dxa"/>
            <w:tcBorders>
              <w:bottom w:val="single" w:sz="12" w:space="0" w:color="auto"/>
            </w:tcBorders>
            <w:shd w:val="clear" w:color="auto" w:fill="auto"/>
          </w:tcPr>
          <w:p w:rsidR="007234DD" w:rsidRDefault="007234DD">
            <w:pPr>
              <w:pStyle w:val="a0"/>
              <w:ind w:right="0"/>
              <w:jc w:val="left"/>
              <w:rPr>
                <w:iCs/>
                <w:szCs w:val="18"/>
              </w:rPr>
            </w:pPr>
            <w:r>
              <w:rPr>
                <w:iCs/>
                <w:szCs w:val="18"/>
              </w:rPr>
              <w:t>学科领域</w:t>
            </w:r>
          </w:p>
        </w:tc>
        <w:tc>
          <w:tcPr>
            <w:tcW w:w="1073" w:type="dxa"/>
            <w:tcBorders>
              <w:top w:val="single" w:sz="6" w:space="0" w:color="auto"/>
              <w:bottom w:val="single" w:sz="12" w:space="0" w:color="auto"/>
            </w:tcBorders>
            <w:shd w:val="clear" w:color="auto" w:fill="auto"/>
          </w:tcPr>
          <w:p w:rsidR="007234DD" w:rsidRDefault="007234DD">
            <w:pPr>
              <w:pStyle w:val="a0"/>
              <w:ind w:right="0"/>
              <w:jc w:val="right"/>
              <w:rPr>
                <w:iCs/>
                <w:szCs w:val="18"/>
              </w:rPr>
            </w:pPr>
            <w:r>
              <w:rPr>
                <w:iCs/>
                <w:szCs w:val="18"/>
              </w:rPr>
              <w:t>2004/05</w:t>
            </w:r>
          </w:p>
        </w:tc>
        <w:tc>
          <w:tcPr>
            <w:tcW w:w="1074" w:type="dxa"/>
            <w:tcBorders>
              <w:top w:val="single" w:sz="6" w:space="0" w:color="auto"/>
              <w:bottom w:val="single" w:sz="12" w:space="0" w:color="auto"/>
            </w:tcBorders>
            <w:shd w:val="clear" w:color="auto" w:fill="auto"/>
          </w:tcPr>
          <w:p w:rsidR="007234DD" w:rsidRDefault="007234DD">
            <w:pPr>
              <w:pStyle w:val="a0"/>
              <w:ind w:right="0"/>
              <w:jc w:val="right"/>
              <w:rPr>
                <w:iCs/>
                <w:szCs w:val="18"/>
              </w:rPr>
            </w:pPr>
            <w:r>
              <w:rPr>
                <w:iCs/>
                <w:szCs w:val="18"/>
              </w:rPr>
              <w:t>2005/06</w:t>
            </w:r>
          </w:p>
        </w:tc>
        <w:tc>
          <w:tcPr>
            <w:tcW w:w="1074" w:type="dxa"/>
            <w:tcBorders>
              <w:top w:val="single" w:sz="6" w:space="0" w:color="auto"/>
              <w:bottom w:val="single" w:sz="12" w:space="0" w:color="auto"/>
            </w:tcBorders>
            <w:shd w:val="clear" w:color="auto" w:fill="auto"/>
          </w:tcPr>
          <w:p w:rsidR="007234DD" w:rsidRDefault="007234DD">
            <w:pPr>
              <w:pStyle w:val="a0"/>
              <w:ind w:right="0"/>
              <w:jc w:val="right"/>
              <w:rPr>
                <w:iCs/>
                <w:szCs w:val="18"/>
              </w:rPr>
            </w:pPr>
            <w:r>
              <w:rPr>
                <w:iCs/>
                <w:szCs w:val="18"/>
              </w:rPr>
              <w:t>2006/07</w:t>
            </w:r>
          </w:p>
        </w:tc>
        <w:tc>
          <w:tcPr>
            <w:tcW w:w="1074" w:type="dxa"/>
            <w:tcBorders>
              <w:top w:val="single" w:sz="6" w:space="0" w:color="auto"/>
              <w:bottom w:val="single" w:sz="12" w:space="0" w:color="auto"/>
            </w:tcBorders>
            <w:shd w:val="clear" w:color="auto" w:fill="auto"/>
          </w:tcPr>
          <w:p w:rsidR="007234DD" w:rsidRDefault="007234DD">
            <w:pPr>
              <w:pStyle w:val="a0"/>
              <w:ind w:right="0"/>
              <w:jc w:val="right"/>
              <w:rPr>
                <w:iCs/>
                <w:szCs w:val="18"/>
              </w:rPr>
            </w:pPr>
            <w:r>
              <w:rPr>
                <w:iCs/>
                <w:szCs w:val="18"/>
              </w:rPr>
              <w:t>2007/08</w:t>
            </w:r>
          </w:p>
        </w:tc>
        <w:tc>
          <w:tcPr>
            <w:tcW w:w="1074" w:type="dxa"/>
            <w:tcBorders>
              <w:top w:val="single" w:sz="6" w:space="0" w:color="auto"/>
              <w:bottom w:val="single" w:sz="12" w:space="0" w:color="auto"/>
            </w:tcBorders>
            <w:shd w:val="clear" w:color="auto" w:fill="auto"/>
          </w:tcPr>
          <w:p w:rsidR="007234DD" w:rsidRDefault="007234DD">
            <w:pPr>
              <w:pStyle w:val="a0"/>
              <w:ind w:right="0"/>
              <w:jc w:val="right"/>
              <w:rPr>
                <w:iCs/>
                <w:szCs w:val="18"/>
              </w:rPr>
            </w:pPr>
            <w:r>
              <w:rPr>
                <w:iCs/>
                <w:szCs w:val="18"/>
              </w:rPr>
              <w:t>2008/09</w:t>
            </w:r>
          </w:p>
        </w:tc>
      </w:tr>
      <w:tr w:rsidR="007234DD">
        <w:trPr>
          <w:cantSplit/>
          <w:trHeight w:val="20"/>
        </w:trPr>
        <w:tc>
          <w:tcPr>
            <w:tcW w:w="2001" w:type="dxa"/>
            <w:tcBorders>
              <w:top w:val="single" w:sz="12" w:space="0" w:color="auto"/>
            </w:tcBorders>
            <w:shd w:val="clear" w:color="auto" w:fill="auto"/>
          </w:tcPr>
          <w:p w:rsidR="007234DD" w:rsidRDefault="007234DD">
            <w:pPr>
              <w:pStyle w:val="a5"/>
              <w:rPr>
                <w:rFonts w:hint="eastAsia"/>
              </w:rPr>
            </w:pPr>
            <w:r>
              <w:rPr>
                <w:rFonts w:hint="eastAsia"/>
              </w:rPr>
              <w:t>文理科</w:t>
            </w:r>
          </w:p>
        </w:tc>
        <w:tc>
          <w:tcPr>
            <w:tcW w:w="1073" w:type="dxa"/>
            <w:tcBorders>
              <w:top w:val="single" w:sz="12" w:space="0" w:color="auto"/>
            </w:tcBorders>
            <w:shd w:val="clear" w:color="auto" w:fill="auto"/>
          </w:tcPr>
          <w:p w:rsidR="007234DD" w:rsidRDefault="007234DD">
            <w:pPr>
              <w:pStyle w:val="a5"/>
              <w:ind w:right="0"/>
              <w:jc w:val="right"/>
              <w:rPr>
                <w:szCs w:val="18"/>
              </w:rPr>
            </w:pPr>
            <w:r>
              <w:rPr>
                <w:szCs w:val="18"/>
              </w:rPr>
              <w:t>86.0</w:t>
            </w:r>
          </w:p>
        </w:tc>
        <w:tc>
          <w:tcPr>
            <w:tcW w:w="1074" w:type="dxa"/>
            <w:tcBorders>
              <w:top w:val="single" w:sz="12" w:space="0" w:color="auto"/>
            </w:tcBorders>
            <w:shd w:val="clear" w:color="auto" w:fill="auto"/>
          </w:tcPr>
          <w:p w:rsidR="007234DD" w:rsidRDefault="007234DD">
            <w:pPr>
              <w:pStyle w:val="a5"/>
              <w:ind w:right="0"/>
              <w:jc w:val="right"/>
              <w:rPr>
                <w:szCs w:val="18"/>
              </w:rPr>
            </w:pPr>
            <w:r>
              <w:rPr>
                <w:szCs w:val="18"/>
              </w:rPr>
              <w:t>86.4</w:t>
            </w:r>
          </w:p>
        </w:tc>
        <w:tc>
          <w:tcPr>
            <w:tcW w:w="1074" w:type="dxa"/>
            <w:tcBorders>
              <w:top w:val="single" w:sz="12" w:space="0" w:color="auto"/>
            </w:tcBorders>
            <w:shd w:val="clear" w:color="auto" w:fill="auto"/>
          </w:tcPr>
          <w:p w:rsidR="007234DD" w:rsidRDefault="007234DD">
            <w:pPr>
              <w:pStyle w:val="a5"/>
              <w:ind w:right="0"/>
              <w:jc w:val="right"/>
              <w:rPr>
                <w:szCs w:val="18"/>
              </w:rPr>
            </w:pPr>
            <w:r>
              <w:rPr>
                <w:szCs w:val="18"/>
              </w:rPr>
              <w:t>84.1</w:t>
            </w:r>
          </w:p>
        </w:tc>
        <w:tc>
          <w:tcPr>
            <w:tcW w:w="1074" w:type="dxa"/>
            <w:tcBorders>
              <w:top w:val="single" w:sz="12" w:space="0" w:color="auto"/>
            </w:tcBorders>
            <w:shd w:val="clear" w:color="auto" w:fill="auto"/>
          </w:tcPr>
          <w:p w:rsidR="007234DD" w:rsidRDefault="007234DD">
            <w:pPr>
              <w:pStyle w:val="a5"/>
              <w:ind w:right="0"/>
              <w:jc w:val="right"/>
              <w:rPr>
                <w:szCs w:val="18"/>
              </w:rPr>
            </w:pPr>
            <w:r>
              <w:rPr>
                <w:szCs w:val="18"/>
              </w:rPr>
              <w:t>86.6</w:t>
            </w:r>
          </w:p>
        </w:tc>
        <w:tc>
          <w:tcPr>
            <w:tcW w:w="1074" w:type="dxa"/>
            <w:tcBorders>
              <w:top w:val="single" w:sz="12" w:space="0" w:color="auto"/>
            </w:tcBorders>
            <w:shd w:val="clear" w:color="auto" w:fill="auto"/>
          </w:tcPr>
          <w:p w:rsidR="007234DD" w:rsidRDefault="007234DD">
            <w:pPr>
              <w:pStyle w:val="a5"/>
              <w:ind w:right="0"/>
              <w:jc w:val="right"/>
              <w:rPr>
                <w:szCs w:val="18"/>
              </w:rPr>
            </w:pPr>
            <w:r>
              <w:rPr>
                <w:szCs w:val="18"/>
              </w:rPr>
              <w:t>85.4</w:t>
            </w:r>
          </w:p>
        </w:tc>
      </w:tr>
      <w:tr w:rsidR="007234DD">
        <w:trPr>
          <w:cantSplit/>
          <w:trHeight w:val="20"/>
        </w:trPr>
        <w:tc>
          <w:tcPr>
            <w:tcW w:w="2001" w:type="dxa"/>
            <w:shd w:val="clear" w:color="auto" w:fill="auto"/>
          </w:tcPr>
          <w:p w:rsidR="007234DD" w:rsidRDefault="007234DD">
            <w:pPr>
              <w:pStyle w:val="a5"/>
              <w:rPr>
                <w:szCs w:val="18"/>
              </w:rPr>
            </w:pPr>
            <w:r>
              <w:rPr>
                <w:rFonts w:hint="eastAsia"/>
              </w:rPr>
              <w:t>商业及经济学</w:t>
            </w:r>
          </w:p>
        </w:tc>
        <w:tc>
          <w:tcPr>
            <w:tcW w:w="1073" w:type="dxa"/>
            <w:shd w:val="clear" w:color="auto" w:fill="auto"/>
          </w:tcPr>
          <w:p w:rsidR="007234DD" w:rsidRDefault="007234DD">
            <w:pPr>
              <w:pStyle w:val="a5"/>
              <w:ind w:right="0"/>
              <w:jc w:val="right"/>
              <w:rPr>
                <w:szCs w:val="18"/>
              </w:rPr>
            </w:pPr>
            <w:r>
              <w:rPr>
                <w:szCs w:val="18"/>
              </w:rPr>
              <w:t>61.7</w:t>
            </w:r>
          </w:p>
        </w:tc>
        <w:tc>
          <w:tcPr>
            <w:tcW w:w="1074" w:type="dxa"/>
            <w:shd w:val="clear" w:color="auto" w:fill="auto"/>
          </w:tcPr>
          <w:p w:rsidR="007234DD" w:rsidRDefault="007234DD">
            <w:pPr>
              <w:pStyle w:val="a5"/>
              <w:ind w:right="0"/>
              <w:jc w:val="right"/>
              <w:rPr>
                <w:szCs w:val="18"/>
              </w:rPr>
            </w:pPr>
            <w:r>
              <w:rPr>
                <w:szCs w:val="18"/>
              </w:rPr>
              <w:t>63.5</w:t>
            </w:r>
          </w:p>
        </w:tc>
        <w:tc>
          <w:tcPr>
            <w:tcW w:w="1074" w:type="dxa"/>
            <w:shd w:val="clear" w:color="auto" w:fill="auto"/>
          </w:tcPr>
          <w:p w:rsidR="007234DD" w:rsidRDefault="007234DD">
            <w:pPr>
              <w:pStyle w:val="a5"/>
              <w:ind w:right="0"/>
              <w:jc w:val="right"/>
              <w:rPr>
                <w:szCs w:val="18"/>
              </w:rPr>
            </w:pPr>
            <w:r>
              <w:rPr>
                <w:szCs w:val="18"/>
              </w:rPr>
              <w:t>48.8</w:t>
            </w:r>
          </w:p>
        </w:tc>
        <w:tc>
          <w:tcPr>
            <w:tcW w:w="1074" w:type="dxa"/>
            <w:shd w:val="clear" w:color="auto" w:fill="auto"/>
          </w:tcPr>
          <w:p w:rsidR="007234DD" w:rsidRDefault="007234DD">
            <w:pPr>
              <w:pStyle w:val="a5"/>
              <w:ind w:right="0"/>
              <w:jc w:val="right"/>
              <w:rPr>
                <w:szCs w:val="18"/>
              </w:rPr>
            </w:pPr>
            <w:r>
              <w:rPr>
                <w:szCs w:val="18"/>
              </w:rPr>
              <w:t>56.6</w:t>
            </w:r>
          </w:p>
        </w:tc>
        <w:tc>
          <w:tcPr>
            <w:tcW w:w="1074" w:type="dxa"/>
            <w:shd w:val="clear" w:color="auto" w:fill="auto"/>
          </w:tcPr>
          <w:p w:rsidR="007234DD" w:rsidRDefault="007234DD">
            <w:pPr>
              <w:pStyle w:val="a5"/>
              <w:ind w:right="0"/>
              <w:jc w:val="right"/>
              <w:rPr>
                <w:szCs w:val="18"/>
              </w:rPr>
            </w:pPr>
            <w:r>
              <w:rPr>
                <w:szCs w:val="18"/>
              </w:rPr>
              <w:t>63.4</w:t>
            </w:r>
          </w:p>
        </w:tc>
      </w:tr>
      <w:tr w:rsidR="007234DD">
        <w:trPr>
          <w:cantSplit/>
          <w:trHeight w:val="20"/>
        </w:trPr>
        <w:tc>
          <w:tcPr>
            <w:tcW w:w="2001" w:type="dxa"/>
            <w:shd w:val="clear" w:color="auto" w:fill="auto"/>
          </w:tcPr>
          <w:p w:rsidR="007234DD" w:rsidRDefault="007234DD">
            <w:pPr>
              <w:pStyle w:val="a5"/>
              <w:rPr>
                <w:szCs w:val="18"/>
              </w:rPr>
            </w:pPr>
            <w:r>
              <w:rPr>
                <w:rFonts w:hint="eastAsia"/>
              </w:rPr>
              <w:t>教育</w:t>
            </w:r>
          </w:p>
        </w:tc>
        <w:tc>
          <w:tcPr>
            <w:tcW w:w="1073" w:type="dxa"/>
            <w:shd w:val="clear" w:color="auto" w:fill="auto"/>
          </w:tcPr>
          <w:p w:rsidR="007234DD" w:rsidRDefault="007234DD">
            <w:pPr>
              <w:pStyle w:val="a5"/>
              <w:ind w:right="0"/>
              <w:jc w:val="right"/>
              <w:rPr>
                <w:szCs w:val="18"/>
              </w:rPr>
            </w:pPr>
            <w:r>
              <w:rPr>
                <w:szCs w:val="18"/>
              </w:rPr>
              <w:t>93.3</w:t>
            </w:r>
          </w:p>
        </w:tc>
        <w:tc>
          <w:tcPr>
            <w:tcW w:w="1074" w:type="dxa"/>
            <w:shd w:val="clear" w:color="auto" w:fill="auto"/>
          </w:tcPr>
          <w:p w:rsidR="007234DD" w:rsidRDefault="007234DD">
            <w:pPr>
              <w:pStyle w:val="a5"/>
              <w:ind w:right="0"/>
              <w:jc w:val="right"/>
              <w:rPr>
                <w:szCs w:val="18"/>
              </w:rPr>
            </w:pPr>
            <w:r>
              <w:rPr>
                <w:szCs w:val="18"/>
              </w:rPr>
              <w:t>87.3</w:t>
            </w:r>
          </w:p>
        </w:tc>
        <w:tc>
          <w:tcPr>
            <w:tcW w:w="1074" w:type="dxa"/>
            <w:shd w:val="clear" w:color="auto" w:fill="auto"/>
          </w:tcPr>
          <w:p w:rsidR="007234DD" w:rsidRDefault="007234DD">
            <w:pPr>
              <w:pStyle w:val="a5"/>
              <w:ind w:right="0"/>
              <w:jc w:val="right"/>
              <w:rPr>
                <w:szCs w:val="18"/>
              </w:rPr>
            </w:pPr>
            <w:r>
              <w:rPr>
                <w:szCs w:val="18"/>
              </w:rPr>
              <w:t>81.6</w:t>
            </w:r>
          </w:p>
        </w:tc>
        <w:tc>
          <w:tcPr>
            <w:tcW w:w="1074" w:type="dxa"/>
            <w:shd w:val="clear" w:color="auto" w:fill="auto"/>
          </w:tcPr>
          <w:p w:rsidR="007234DD" w:rsidRDefault="007234DD">
            <w:pPr>
              <w:pStyle w:val="a5"/>
              <w:ind w:right="0"/>
              <w:jc w:val="right"/>
              <w:rPr>
                <w:szCs w:val="18"/>
              </w:rPr>
            </w:pPr>
            <w:r>
              <w:rPr>
                <w:szCs w:val="18"/>
              </w:rPr>
              <w:t>85.7</w:t>
            </w:r>
          </w:p>
        </w:tc>
        <w:tc>
          <w:tcPr>
            <w:tcW w:w="1074" w:type="dxa"/>
            <w:shd w:val="clear" w:color="auto" w:fill="auto"/>
          </w:tcPr>
          <w:p w:rsidR="007234DD" w:rsidRDefault="007234DD">
            <w:pPr>
              <w:pStyle w:val="a5"/>
              <w:ind w:right="0"/>
              <w:jc w:val="right"/>
              <w:rPr>
                <w:szCs w:val="18"/>
              </w:rPr>
            </w:pPr>
            <w:r>
              <w:rPr>
                <w:szCs w:val="18"/>
              </w:rPr>
              <w:t>58.8</w:t>
            </w:r>
          </w:p>
        </w:tc>
      </w:tr>
      <w:tr w:rsidR="007234DD">
        <w:trPr>
          <w:cantSplit/>
          <w:trHeight w:val="20"/>
        </w:trPr>
        <w:tc>
          <w:tcPr>
            <w:tcW w:w="2001" w:type="dxa"/>
            <w:shd w:val="clear" w:color="auto" w:fill="auto"/>
          </w:tcPr>
          <w:p w:rsidR="007234DD" w:rsidRDefault="007234DD">
            <w:pPr>
              <w:pStyle w:val="a5"/>
              <w:rPr>
                <w:szCs w:val="18"/>
              </w:rPr>
            </w:pPr>
            <w:r>
              <w:rPr>
                <w:rFonts w:hint="eastAsia"/>
              </w:rPr>
              <w:t>工程</w:t>
            </w:r>
          </w:p>
        </w:tc>
        <w:tc>
          <w:tcPr>
            <w:tcW w:w="1073" w:type="dxa"/>
            <w:shd w:val="clear" w:color="auto" w:fill="auto"/>
          </w:tcPr>
          <w:p w:rsidR="007234DD" w:rsidRDefault="007234DD">
            <w:pPr>
              <w:pStyle w:val="a5"/>
              <w:ind w:right="0"/>
              <w:jc w:val="right"/>
              <w:rPr>
                <w:szCs w:val="18"/>
              </w:rPr>
            </w:pPr>
            <w:r>
              <w:rPr>
                <w:szCs w:val="18"/>
              </w:rPr>
              <w:t>44.5</w:t>
            </w:r>
          </w:p>
        </w:tc>
        <w:tc>
          <w:tcPr>
            <w:tcW w:w="1074" w:type="dxa"/>
            <w:shd w:val="clear" w:color="auto" w:fill="auto"/>
          </w:tcPr>
          <w:p w:rsidR="007234DD" w:rsidRDefault="007234DD">
            <w:pPr>
              <w:pStyle w:val="a5"/>
              <w:ind w:right="0"/>
              <w:jc w:val="right"/>
              <w:rPr>
                <w:szCs w:val="18"/>
              </w:rPr>
            </w:pPr>
            <w:r>
              <w:rPr>
                <w:szCs w:val="18"/>
              </w:rPr>
              <w:t>57.4</w:t>
            </w:r>
          </w:p>
        </w:tc>
        <w:tc>
          <w:tcPr>
            <w:tcW w:w="1074" w:type="dxa"/>
            <w:shd w:val="clear" w:color="auto" w:fill="auto"/>
          </w:tcPr>
          <w:p w:rsidR="007234DD" w:rsidRDefault="007234DD">
            <w:pPr>
              <w:pStyle w:val="a5"/>
              <w:ind w:right="0"/>
              <w:jc w:val="right"/>
              <w:rPr>
                <w:szCs w:val="18"/>
              </w:rPr>
            </w:pPr>
            <w:r>
              <w:rPr>
                <w:szCs w:val="18"/>
              </w:rPr>
              <w:t>49.7</w:t>
            </w:r>
          </w:p>
        </w:tc>
        <w:tc>
          <w:tcPr>
            <w:tcW w:w="1074" w:type="dxa"/>
            <w:shd w:val="clear" w:color="auto" w:fill="auto"/>
          </w:tcPr>
          <w:p w:rsidR="007234DD" w:rsidRDefault="007234DD">
            <w:pPr>
              <w:pStyle w:val="a5"/>
              <w:ind w:right="0"/>
              <w:jc w:val="right"/>
              <w:rPr>
                <w:szCs w:val="18"/>
              </w:rPr>
            </w:pPr>
            <w:r>
              <w:rPr>
                <w:szCs w:val="18"/>
              </w:rPr>
              <w:t>53.2</w:t>
            </w:r>
          </w:p>
        </w:tc>
        <w:tc>
          <w:tcPr>
            <w:tcW w:w="1074" w:type="dxa"/>
            <w:shd w:val="clear" w:color="auto" w:fill="auto"/>
          </w:tcPr>
          <w:p w:rsidR="007234DD" w:rsidRDefault="007234DD">
            <w:pPr>
              <w:pStyle w:val="a5"/>
              <w:ind w:right="0"/>
              <w:jc w:val="right"/>
              <w:rPr>
                <w:szCs w:val="18"/>
              </w:rPr>
            </w:pPr>
            <w:r>
              <w:rPr>
                <w:szCs w:val="18"/>
              </w:rPr>
              <w:t>54.4</w:t>
            </w:r>
          </w:p>
        </w:tc>
      </w:tr>
      <w:tr w:rsidR="007234DD">
        <w:trPr>
          <w:cantSplit/>
          <w:trHeight w:val="20"/>
        </w:trPr>
        <w:tc>
          <w:tcPr>
            <w:tcW w:w="2001" w:type="dxa"/>
            <w:shd w:val="clear" w:color="auto" w:fill="auto"/>
          </w:tcPr>
          <w:p w:rsidR="007234DD" w:rsidRDefault="007234DD">
            <w:pPr>
              <w:pStyle w:val="a5"/>
              <w:rPr>
                <w:rFonts w:hint="eastAsia"/>
                <w:szCs w:val="18"/>
              </w:rPr>
            </w:pPr>
            <w:r>
              <w:rPr>
                <w:rFonts w:hint="eastAsia"/>
              </w:rPr>
              <w:t>法律</w:t>
            </w:r>
          </w:p>
        </w:tc>
        <w:tc>
          <w:tcPr>
            <w:tcW w:w="1073" w:type="dxa"/>
            <w:shd w:val="clear" w:color="auto" w:fill="auto"/>
          </w:tcPr>
          <w:p w:rsidR="007234DD" w:rsidRDefault="007234DD">
            <w:pPr>
              <w:pStyle w:val="a5"/>
              <w:ind w:right="0"/>
              <w:jc w:val="right"/>
              <w:rPr>
                <w:szCs w:val="18"/>
              </w:rPr>
            </w:pPr>
            <w:r>
              <w:rPr>
                <w:szCs w:val="18"/>
              </w:rPr>
              <w:t>22.7</w:t>
            </w:r>
          </w:p>
        </w:tc>
        <w:tc>
          <w:tcPr>
            <w:tcW w:w="1074" w:type="dxa"/>
            <w:shd w:val="clear" w:color="auto" w:fill="auto"/>
          </w:tcPr>
          <w:p w:rsidR="007234DD" w:rsidRDefault="007234DD">
            <w:pPr>
              <w:pStyle w:val="a5"/>
              <w:ind w:right="0"/>
              <w:jc w:val="right"/>
              <w:rPr>
                <w:szCs w:val="18"/>
              </w:rPr>
            </w:pPr>
            <w:r>
              <w:rPr>
                <w:szCs w:val="18"/>
              </w:rPr>
              <w:t>36.5</w:t>
            </w:r>
          </w:p>
        </w:tc>
        <w:tc>
          <w:tcPr>
            <w:tcW w:w="1074" w:type="dxa"/>
            <w:shd w:val="clear" w:color="auto" w:fill="auto"/>
          </w:tcPr>
          <w:p w:rsidR="007234DD" w:rsidRDefault="007234DD">
            <w:pPr>
              <w:pStyle w:val="a5"/>
              <w:ind w:right="0"/>
              <w:jc w:val="right"/>
              <w:rPr>
                <w:szCs w:val="18"/>
              </w:rPr>
            </w:pPr>
            <w:r>
              <w:rPr>
                <w:szCs w:val="18"/>
              </w:rPr>
              <w:t>39.5</w:t>
            </w:r>
          </w:p>
        </w:tc>
        <w:tc>
          <w:tcPr>
            <w:tcW w:w="1074" w:type="dxa"/>
            <w:shd w:val="clear" w:color="auto" w:fill="auto"/>
          </w:tcPr>
          <w:p w:rsidR="007234DD" w:rsidRDefault="007234DD">
            <w:pPr>
              <w:pStyle w:val="a5"/>
              <w:ind w:right="0"/>
              <w:jc w:val="right"/>
              <w:rPr>
                <w:szCs w:val="18"/>
              </w:rPr>
            </w:pPr>
            <w:r>
              <w:rPr>
                <w:szCs w:val="18"/>
              </w:rPr>
              <w:t>59.8</w:t>
            </w:r>
          </w:p>
        </w:tc>
        <w:tc>
          <w:tcPr>
            <w:tcW w:w="1074" w:type="dxa"/>
            <w:shd w:val="clear" w:color="auto" w:fill="auto"/>
          </w:tcPr>
          <w:p w:rsidR="007234DD" w:rsidRDefault="007234DD">
            <w:pPr>
              <w:pStyle w:val="a5"/>
              <w:ind w:right="0"/>
              <w:jc w:val="right"/>
              <w:rPr>
                <w:szCs w:val="18"/>
              </w:rPr>
            </w:pPr>
            <w:r>
              <w:rPr>
                <w:szCs w:val="18"/>
              </w:rPr>
              <w:t>50.0</w:t>
            </w:r>
          </w:p>
        </w:tc>
      </w:tr>
      <w:tr w:rsidR="007234DD">
        <w:trPr>
          <w:cantSplit/>
          <w:trHeight w:val="20"/>
        </w:trPr>
        <w:tc>
          <w:tcPr>
            <w:tcW w:w="2001" w:type="dxa"/>
            <w:shd w:val="clear" w:color="auto" w:fill="auto"/>
          </w:tcPr>
          <w:p w:rsidR="007234DD" w:rsidRDefault="007234DD">
            <w:pPr>
              <w:pStyle w:val="a5"/>
              <w:rPr>
                <w:iCs/>
                <w:szCs w:val="18"/>
              </w:rPr>
            </w:pPr>
            <w:r>
              <w:rPr>
                <w:rFonts w:hint="eastAsia"/>
              </w:rPr>
              <w:t>伊斯兰教法研究</w:t>
            </w:r>
          </w:p>
        </w:tc>
        <w:tc>
          <w:tcPr>
            <w:tcW w:w="1073" w:type="dxa"/>
            <w:shd w:val="clear" w:color="auto" w:fill="auto"/>
          </w:tcPr>
          <w:p w:rsidR="007234DD" w:rsidRDefault="007234DD">
            <w:pPr>
              <w:pStyle w:val="a5"/>
              <w:ind w:right="0"/>
              <w:jc w:val="right"/>
              <w:rPr>
                <w:szCs w:val="18"/>
              </w:rPr>
            </w:pPr>
            <w:r>
              <w:rPr>
                <w:szCs w:val="18"/>
              </w:rPr>
              <w:t>80.5</w:t>
            </w:r>
          </w:p>
        </w:tc>
        <w:tc>
          <w:tcPr>
            <w:tcW w:w="1074" w:type="dxa"/>
            <w:shd w:val="clear" w:color="auto" w:fill="auto"/>
          </w:tcPr>
          <w:p w:rsidR="007234DD" w:rsidRDefault="007234DD">
            <w:pPr>
              <w:pStyle w:val="a5"/>
              <w:ind w:right="0"/>
              <w:jc w:val="right"/>
              <w:rPr>
                <w:szCs w:val="18"/>
              </w:rPr>
            </w:pPr>
            <w:r>
              <w:rPr>
                <w:szCs w:val="18"/>
              </w:rPr>
              <w:t>80.0</w:t>
            </w:r>
          </w:p>
        </w:tc>
        <w:tc>
          <w:tcPr>
            <w:tcW w:w="1074" w:type="dxa"/>
            <w:shd w:val="clear" w:color="auto" w:fill="auto"/>
          </w:tcPr>
          <w:p w:rsidR="007234DD" w:rsidRDefault="007234DD">
            <w:pPr>
              <w:pStyle w:val="a5"/>
              <w:ind w:right="0"/>
              <w:jc w:val="right"/>
              <w:rPr>
                <w:szCs w:val="18"/>
              </w:rPr>
            </w:pPr>
            <w:r>
              <w:rPr>
                <w:szCs w:val="18"/>
              </w:rPr>
              <w:t>75.0</w:t>
            </w:r>
          </w:p>
        </w:tc>
        <w:tc>
          <w:tcPr>
            <w:tcW w:w="1074" w:type="dxa"/>
            <w:shd w:val="clear" w:color="auto" w:fill="auto"/>
          </w:tcPr>
          <w:p w:rsidR="007234DD" w:rsidRDefault="007234DD">
            <w:pPr>
              <w:pStyle w:val="a5"/>
              <w:ind w:right="0"/>
              <w:jc w:val="right"/>
              <w:rPr>
                <w:szCs w:val="18"/>
              </w:rPr>
            </w:pPr>
            <w:r>
              <w:rPr>
                <w:szCs w:val="18"/>
              </w:rPr>
              <w:t>70.0</w:t>
            </w:r>
          </w:p>
        </w:tc>
        <w:tc>
          <w:tcPr>
            <w:tcW w:w="1074" w:type="dxa"/>
            <w:shd w:val="clear" w:color="auto" w:fill="auto"/>
          </w:tcPr>
          <w:p w:rsidR="007234DD" w:rsidRDefault="007234DD">
            <w:pPr>
              <w:pStyle w:val="a5"/>
              <w:ind w:right="0"/>
              <w:jc w:val="right"/>
              <w:rPr>
                <w:szCs w:val="18"/>
              </w:rPr>
            </w:pPr>
            <w:r>
              <w:rPr>
                <w:szCs w:val="18"/>
              </w:rPr>
              <w:t>61.5</w:t>
            </w:r>
          </w:p>
        </w:tc>
      </w:tr>
      <w:tr w:rsidR="007234DD">
        <w:trPr>
          <w:cantSplit/>
          <w:trHeight w:val="20"/>
        </w:trPr>
        <w:tc>
          <w:tcPr>
            <w:tcW w:w="2001" w:type="dxa"/>
            <w:tcBorders>
              <w:bottom w:val="single" w:sz="4" w:space="0" w:color="auto"/>
            </w:tcBorders>
            <w:shd w:val="clear" w:color="auto" w:fill="auto"/>
          </w:tcPr>
          <w:p w:rsidR="007234DD" w:rsidRDefault="007234DD">
            <w:pPr>
              <w:pStyle w:val="a5"/>
              <w:rPr>
                <w:rFonts w:hint="eastAsia"/>
                <w:szCs w:val="18"/>
              </w:rPr>
            </w:pPr>
            <w:r>
              <w:rPr>
                <w:rFonts w:hint="eastAsia"/>
              </w:rPr>
              <w:t>技术</w:t>
            </w:r>
          </w:p>
        </w:tc>
        <w:tc>
          <w:tcPr>
            <w:tcW w:w="1073" w:type="dxa"/>
            <w:tcBorders>
              <w:bottom w:val="single" w:sz="4" w:space="0" w:color="auto"/>
            </w:tcBorders>
            <w:shd w:val="clear" w:color="auto" w:fill="auto"/>
          </w:tcPr>
          <w:p w:rsidR="007234DD" w:rsidRDefault="007234DD">
            <w:pPr>
              <w:pStyle w:val="a5"/>
              <w:ind w:right="0"/>
              <w:jc w:val="right"/>
              <w:rPr>
                <w:szCs w:val="18"/>
              </w:rPr>
            </w:pPr>
            <w:r>
              <w:rPr>
                <w:szCs w:val="18"/>
              </w:rPr>
              <w:t>62.5</w:t>
            </w:r>
          </w:p>
        </w:tc>
        <w:tc>
          <w:tcPr>
            <w:tcW w:w="1074" w:type="dxa"/>
            <w:tcBorders>
              <w:bottom w:val="single" w:sz="4" w:space="0" w:color="auto"/>
            </w:tcBorders>
            <w:shd w:val="clear" w:color="auto" w:fill="auto"/>
          </w:tcPr>
          <w:p w:rsidR="007234DD" w:rsidRDefault="007234DD">
            <w:pPr>
              <w:pStyle w:val="a5"/>
              <w:ind w:right="0"/>
              <w:jc w:val="right"/>
              <w:rPr>
                <w:szCs w:val="18"/>
              </w:rPr>
            </w:pPr>
            <w:r>
              <w:rPr>
                <w:szCs w:val="18"/>
              </w:rPr>
              <w:t>-</w:t>
            </w:r>
          </w:p>
        </w:tc>
        <w:tc>
          <w:tcPr>
            <w:tcW w:w="1074" w:type="dxa"/>
            <w:tcBorders>
              <w:bottom w:val="single" w:sz="4" w:space="0" w:color="auto"/>
            </w:tcBorders>
            <w:shd w:val="clear" w:color="auto" w:fill="auto"/>
          </w:tcPr>
          <w:p w:rsidR="007234DD" w:rsidRDefault="007234DD">
            <w:pPr>
              <w:pStyle w:val="a5"/>
              <w:ind w:right="0"/>
              <w:jc w:val="right"/>
              <w:rPr>
                <w:szCs w:val="18"/>
              </w:rPr>
            </w:pPr>
            <w:r>
              <w:rPr>
                <w:szCs w:val="18"/>
              </w:rPr>
              <w:t>-</w:t>
            </w:r>
          </w:p>
        </w:tc>
        <w:tc>
          <w:tcPr>
            <w:tcW w:w="1074" w:type="dxa"/>
            <w:tcBorders>
              <w:bottom w:val="single" w:sz="4" w:space="0" w:color="auto"/>
            </w:tcBorders>
            <w:shd w:val="clear" w:color="auto" w:fill="auto"/>
          </w:tcPr>
          <w:p w:rsidR="007234DD" w:rsidRDefault="007234DD">
            <w:pPr>
              <w:pStyle w:val="a5"/>
              <w:ind w:right="0"/>
              <w:jc w:val="right"/>
              <w:rPr>
                <w:szCs w:val="18"/>
              </w:rPr>
            </w:pPr>
            <w:r>
              <w:rPr>
                <w:szCs w:val="18"/>
              </w:rPr>
              <w:t>-</w:t>
            </w:r>
          </w:p>
        </w:tc>
        <w:tc>
          <w:tcPr>
            <w:tcW w:w="1074" w:type="dxa"/>
            <w:tcBorders>
              <w:bottom w:val="single" w:sz="4" w:space="0" w:color="auto"/>
            </w:tcBorders>
            <w:shd w:val="clear" w:color="auto" w:fill="auto"/>
          </w:tcPr>
          <w:p w:rsidR="007234DD" w:rsidRDefault="007234DD">
            <w:pPr>
              <w:pStyle w:val="a5"/>
              <w:ind w:right="0"/>
              <w:jc w:val="right"/>
              <w:rPr>
                <w:szCs w:val="18"/>
              </w:rPr>
            </w:pPr>
            <w:r>
              <w:rPr>
                <w:szCs w:val="18"/>
              </w:rPr>
              <w:t>-</w:t>
            </w:r>
          </w:p>
        </w:tc>
      </w:tr>
      <w:tr w:rsidR="007234DD">
        <w:trPr>
          <w:cantSplit/>
          <w:trHeight w:val="20"/>
        </w:trPr>
        <w:tc>
          <w:tcPr>
            <w:tcW w:w="2001"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bCs/>
                <w:szCs w:val="18"/>
              </w:rPr>
            </w:pPr>
            <w:r>
              <w:rPr>
                <w:rFonts w:eastAsia="SimHei" w:hint="eastAsia"/>
                <w:bCs/>
                <w:szCs w:val="18"/>
              </w:rPr>
              <w:t>合计</w:t>
            </w:r>
          </w:p>
        </w:tc>
        <w:tc>
          <w:tcPr>
            <w:tcW w:w="1073"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bCs/>
                <w:szCs w:val="18"/>
              </w:rPr>
            </w:pPr>
            <w:r>
              <w:rPr>
                <w:rFonts w:eastAsia="SimHei"/>
                <w:b/>
                <w:bCs/>
                <w:szCs w:val="18"/>
              </w:rPr>
              <w:t>76.0</w:t>
            </w:r>
          </w:p>
        </w:tc>
        <w:tc>
          <w:tcPr>
            <w:tcW w:w="107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bCs/>
                <w:szCs w:val="18"/>
              </w:rPr>
            </w:pPr>
            <w:r>
              <w:rPr>
                <w:rFonts w:eastAsia="SimHei"/>
                <w:b/>
                <w:bCs/>
                <w:szCs w:val="18"/>
              </w:rPr>
              <w:t>76.0</w:t>
            </w:r>
          </w:p>
        </w:tc>
        <w:tc>
          <w:tcPr>
            <w:tcW w:w="107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bCs/>
                <w:szCs w:val="18"/>
              </w:rPr>
            </w:pPr>
            <w:r>
              <w:rPr>
                <w:rFonts w:eastAsia="SimHei"/>
                <w:b/>
                <w:bCs/>
                <w:szCs w:val="18"/>
              </w:rPr>
              <w:t>70.0</w:t>
            </w:r>
          </w:p>
        </w:tc>
        <w:tc>
          <w:tcPr>
            <w:tcW w:w="107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bCs/>
                <w:szCs w:val="18"/>
              </w:rPr>
            </w:pPr>
            <w:r>
              <w:rPr>
                <w:rFonts w:eastAsia="SimHei"/>
                <w:b/>
                <w:bCs/>
                <w:szCs w:val="18"/>
              </w:rPr>
              <w:t>76.0</w:t>
            </w:r>
          </w:p>
        </w:tc>
        <w:tc>
          <w:tcPr>
            <w:tcW w:w="107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bCs/>
                <w:szCs w:val="18"/>
              </w:rPr>
            </w:pPr>
            <w:r>
              <w:rPr>
                <w:rFonts w:eastAsia="SimHei"/>
                <w:b/>
                <w:bCs/>
                <w:szCs w:val="18"/>
              </w:rPr>
              <w:t>74.0</w:t>
            </w:r>
          </w:p>
        </w:tc>
      </w:tr>
    </w:tbl>
    <w:p w:rsidR="007234DD" w:rsidRDefault="007234DD" w:rsidP="00411CD5">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卡塔尔国，卡塔尔大学，</w:t>
      </w:r>
      <w:r>
        <w:rPr>
          <w:sz w:val="19"/>
          <w:szCs w:val="19"/>
        </w:rPr>
        <w:t>2009</w:t>
      </w:r>
      <w:r>
        <w:rPr>
          <w:rFonts w:hint="eastAsia"/>
          <w:sz w:val="19"/>
          <w:szCs w:val="19"/>
        </w:rPr>
        <w:t>年。</w:t>
      </w:r>
    </w:p>
    <w:p w:rsidR="007234DD" w:rsidRDefault="007234DD">
      <w:pPr>
        <w:pStyle w:val="SingleTxtGC"/>
        <w:rPr>
          <w:rFonts w:hint="eastAsia"/>
        </w:rPr>
      </w:pPr>
      <w:r>
        <w:t xml:space="preserve">232.  </w:t>
      </w:r>
      <w:r>
        <w:rPr>
          <w:rFonts w:hint="eastAsia"/>
        </w:rPr>
        <w:t>为了消除教育领域对妇女的一切形式歧视，国家为合格妇女打开了管理中小学校的机会之门。目前，担负这一职能的妇女多于男子。表</w:t>
      </w:r>
      <w:r>
        <w:rPr>
          <w:rFonts w:hint="eastAsia"/>
        </w:rPr>
        <w:t>15</w:t>
      </w:r>
      <w:r>
        <w:rPr>
          <w:rFonts w:hint="eastAsia"/>
        </w:rPr>
        <w:t>显示，公立走读学校女校长的比例在</w:t>
      </w:r>
      <w:r>
        <w:rPr>
          <w:rFonts w:hint="eastAsia"/>
        </w:rPr>
        <w:t>2003/04</w:t>
      </w:r>
      <w:r>
        <w:rPr>
          <w:rFonts w:hint="eastAsia"/>
        </w:rPr>
        <w:t>学年创下历史最高纪录</w:t>
      </w:r>
      <w:r>
        <w:rPr>
          <w:rFonts w:hint="eastAsia"/>
          <w:spacing w:val="-50"/>
        </w:rPr>
        <w:t>―</w:t>
      </w:r>
      <w:r>
        <w:rPr>
          <w:rFonts w:hint="eastAsia"/>
          <w:spacing w:val="10"/>
        </w:rPr>
        <w:t>―</w:t>
      </w:r>
      <w:r>
        <w:rPr>
          <w:rFonts w:hint="eastAsia"/>
        </w:rPr>
        <w:t>达</w:t>
      </w:r>
      <w:r>
        <w:rPr>
          <w:rFonts w:hint="eastAsia"/>
        </w:rPr>
        <w:t>69.6%</w:t>
      </w:r>
      <w:r>
        <w:rPr>
          <w:rFonts w:hint="eastAsia"/>
        </w:rPr>
        <w:t>，</w:t>
      </w:r>
      <w:r>
        <w:rPr>
          <w:rFonts w:hint="eastAsia"/>
        </w:rPr>
        <w:t>2007/08</w:t>
      </w:r>
      <w:r>
        <w:rPr>
          <w:rFonts w:hint="eastAsia"/>
        </w:rPr>
        <w:t>学年为</w:t>
      </w:r>
      <w:r>
        <w:rPr>
          <w:rFonts w:hint="eastAsia"/>
        </w:rPr>
        <w:t>67.5%</w:t>
      </w:r>
      <w:r>
        <w:rPr>
          <w:rFonts w:hint="eastAsia"/>
        </w:rPr>
        <w:t>。</w:t>
      </w:r>
    </w:p>
    <w:p w:rsidR="007234DD" w:rsidRDefault="007234DD">
      <w:pPr>
        <w:pStyle w:val="SingleTxtGC"/>
        <w:rPr>
          <w:rFonts w:hint="eastAsia"/>
        </w:rPr>
      </w:pPr>
      <w:r>
        <w:rPr>
          <w:rFonts w:hint="eastAsia"/>
        </w:rPr>
        <w:t>表</w:t>
      </w:r>
      <w:r>
        <w:t>15</w:t>
      </w:r>
      <w:r>
        <w:rPr>
          <w:rFonts w:hint="eastAsia"/>
        </w:rPr>
        <w:br/>
      </w:r>
      <w:r>
        <w:rPr>
          <w:rFonts w:eastAsia="SimHei" w:hint="eastAsia"/>
        </w:rPr>
        <w:t>按年份分列的中小学校女校长和男校长的数量</w:t>
      </w:r>
    </w:p>
    <w:tbl>
      <w:tblPr>
        <w:tblW w:w="7370" w:type="dxa"/>
        <w:tblInd w:w="1134" w:type="dxa"/>
        <w:tblLayout w:type="fixed"/>
        <w:tblCellMar>
          <w:left w:w="0" w:type="dxa"/>
          <w:right w:w="0" w:type="dxa"/>
        </w:tblCellMar>
        <w:tblLook w:val="0000" w:firstRow="0" w:lastRow="0" w:firstColumn="0" w:lastColumn="0" w:noHBand="0" w:noVBand="0"/>
      </w:tblPr>
      <w:tblGrid>
        <w:gridCol w:w="1375"/>
        <w:gridCol w:w="1186"/>
        <w:gridCol w:w="2404"/>
        <w:gridCol w:w="2405"/>
      </w:tblGrid>
      <w:tr w:rsidR="007234DD">
        <w:trPr>
          <w:cantSplit/>
          <w:trHeight w:val="20"/>
          <w:tblHeader/>
        </w:trPr>
        <w:tc>
          <w:tcPr>
            <w:tcW w:w="1375" w:type="dxa"/>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学年</w:t>
            </w:r>
          </w:p>
        </w:tc>
        <w:tc>
          <w:tcPr>
            <w:tcW w:w="1186"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性别</w:t>
            </w:r>
          </w:p>
        </w:tc>
        <w:tc>
          <w:tcPr>
            <w:tcW w:w="2404" w:type="dxa"/>
            <w:tcBorders>
              <w:top w:val="single" w:sz="4" w:space="0" w:color="auto"/>
              <w:bottom w:val="single" w:sz="12" w:space="0" w:color="auto"/>
            </w:tcBorders>
            <w:shd w:val="clear" w:color="auto" w:fill="auto"/>
            <w:vAlign w:val="bottom"/>
          </w:tcPr>
          <w:p w:rsidR="007234DD" w:rsidRDefault="007234DD">
            <w:pPr>
              <w:pStyle w:val="a0"/>
              <w:ind w:right="0"/>
              <w:jc w:val="right"/>
            </w:pPr>
            <w:r>
              <w:rPr>
                <w:rFonts w:hint="eastAsia"/>
              </w:rPr>
              <w:t>公立走读学校校长</w:t>
            </w:r>
          </w:p>
        </w:tc>
        <w:tc>
          <w:tcPr>
            <w:tcW w:w="2405" w:type="dxa"/>
            <w:tcBorders>
              <w:top w:val="single" w:sz="4" w:space="0" w:color="auto"/>
              <w:bottom w:val="single" w:sz="12" w:space="0" w:color="auto"/>
            </w:tcBorders>
            <w:shd w:val="clear" w:color="auto" w:fill="auto"/>
            <w:vAlign w:val="bottom"/>
          </w:tcPr>
          <w:p w:rsidR="007234DD" w:rsidRDefault="007234DD">
            <w:pPr>
              <w:pStyle w:val="a0"/>
              <w:ind w:right="0"/>
              <w:jc w:val="right"/>
            </w:pPr>
            <w:r>
              <w:rPr>
                <w:rFonts w:hint="eastAsia"/>
              </w:rPr>
              <w:t>女校长与男校长的比率</w:t>
            </w:r>
          </w:p>
        </w:tc>
      </w:tr>
      <w:tr w:rsidR="007234DD">
        <w:trPr>
          <w:cantSplit/>
          <w:trHeight w:val="20"/>
        </w:trPr>
        <w:tc>
          <w:tcPr>
            <w:tcW w:w="1375" w:type="dxa"/>
            <w:tcBorders>
              <w:top w:val="single" w:sz="12" w:space="0" w:color="auto"/>
            </w:tcBorders>
            <w:shd w:val="clear" w:color="auto" w:fill="auto"/>
          </w:tcPr>
          <w:p w:rsidR="007234DD" w:rsidRDefault="007234DD">
            <w:pPr>
              <w:pStyle w:val="a5"/>
            </w:pPr>
            <w:r>
              <w:t>2003/04</w:t>
            </w:r>
          </w:p>
        </w:tc>
        <w:tc>
          <w:tcPr>
            <w:tcW w:w="1186" w:type="dxa"/>
            <w:tcBorders>
              <w:top w:val="single" w:sz="12" w:space="0" w:color="auto"/>
            </w:tcBorders>
            <w:shd w:val="clear" w:color="auto" w:fill="auto"/>
          </w:tcPr>
          <w:p w:rsidR="007234DD" w:rsidRDefault="007234DD">
            <w:pPr>
              <w:pStyle w:val="a5"/>
              <w:ind w:right="0"/>
              <w:jc w:val="right"/>
            </w:pPr>
            <w:r>
              <w:t>男</w:t>
            </w:r>
          </w:p>
        </w:tc>
        <w:tc>
          <w:tcPr>
            <w:tcW w:w="2404" w:type="dxa"/>
            <w:tcBorders>
              <w:top w:val="single" w:sz="12" w:space="0" w:color="auto"/>
            </w:tcBorders>
            <w:shd w:val="clear" w:color="auto" w:fill="auto"/>
          </w:tcPr>
          <w:p w:rsidR="007234DD" w:rsidRDefault="007234DD">
            <w:pPr>
              <w:pStyle w:val="a5"/>
              <w:ind w:right="0"/>
              <w:jc w:val="right"/>
            </w:pPr>
            <w:r>
              <w:t>55</w:t>
            </w:r>
          </w:p>
        </w:tc>
        <w:tc>
          <w:tcPr>
            <w:tcW w:w="2405" w:type="dxa"/>
            <w:tcBorders>
              <w:top w:val="single" w:sz="12" w:space="0" w:color="auto"/>
            </w:tcBorders>
            <w:shd w:val="clear" w:color="auto" w:fill="auto"/>
          </w:tcPr>
          <w:p w:rsidR="007234DD" w:rsidRDefault="007234DD">
            <w:pPr>
              <w:pStyle w:val="a5"/>
              <w:ind w:right="0"/>
              <w:jc w:val="right"/>
            </w:pPr>
            <w:r>
              <w:t>69.61</w:t>
            </w:r>
          </w:p>
        </w:tc>
      </w:tr>
      <w:tr w:rsidR="007234DD">
        <w:trPr>
          <w:cantSplit/>
          <w:trHeight w:val="20"/>
        </w:trPr>
        <w:tc>
          <w:tcPr>
            <w:tcW w:w="1375" w:type="dxa"/>
            <w:shd w:val="clear" w:color="auto" w:fill="auto"/>
          </w:tcPr>
          <w:p w:rsidR="007234DD" w:rsidRDefault="007234DD">
            <w:pPr>
              <w:pStyle w:val="a5"/>
            </w:pPr>
          </w:p>
        </w:tc>
        <w:tc>
          <w:tcPr>
            <w:tcW w:w="1186" w:type="dxa"/>
            <w:shd w:val="clear" w:color="auto" w:fill="auto"/>
          </w:tcPr>
          <w:p w:rsidR="007234DD" w:rsidRDefault="007234DD">
            <w:pPr>
              <w:pStyle w:val="a5"/>
              <w:ind w:right="0"/>
              <w:jc w:val="right"/>
            </w:pPr>
            <w:r>
              <w:t>女</w:t>
            </w:r>
          </w:p>
        </w:tc>
        <w:tc>
          <w:tcPr>
            <w:tcW w:w="2404" w:type="dxa"/>
            <w:shd w:val="clear" w:color="auto" w:fill="auto"/>
          </w:tcPr>
          <w:p w:rsidR="007234DD" w:rsidRDefault="007234DD">
            <w:pPr>
              <w:pStyle w:val="a5"/>
              <w:ind w:right="0"/>
              <w:jc w:val="right"/>
            </w:pPr>
            <w:r>
              <w:t>126</w:t>
            </w:r>
          </w:p>
        </w:tc>
        <w:tc>
          <w:tcPr>
            <w:tcW w:w="2405" w:type="dxa"/>
            <w:shd w:val="clear" w:color="auto" w:fill="auto"/>
          </w:tcPr>
          <w:p w:rsidR="007234DD" w:rsidRDefault="007234DD">
            <w:pPr>
              <w:pStyle w:val="a5"/>
              <w:ind w:right="0"/>
              <w:jc w:val="right"/>
            </w:pPr>
          </w:p>
        </w:tc>
      </w:tr>
      <w:tr w:rsidR="007234DD">
        <w:trPr>
          <w:cantSplit/>
          <w:trHeight w:val="20"/>
        </w:trPr>
        <w:tc>
          <w:tcPr>
            <w:tcW w:w="1375" w:type="dxa"/>
            <w:shd w:val="clear" w:color="auto" w:fill="auto"/>
          </w:tcPr>
          <w:p w:rsidR="007234DD" w:rsidRDefault="007234DD">
            <w:pPr>
              <w:pStyle w:val="a5"/>
            </w:pPr>
            <w:r>
              <w:t>2004/05</w:t>
            </w:r>
          </w:p>
        </w:tc>
        <w:tc>
          <w:tcPr>
            <w:tcW w:w="1186" w:type="dxa"/>
            <w:shd w:val="clear" w:color="auto" w:fill="auto"/>
          </w:tcPr>
          <w:p w:rsidR="007234DD" w:rsidRDefault="007234DD">
            <w:pPr>
              <w:pStyle w:val="a5"/>
              <w:ind w:right="0"/>
              <w:jc w:val="right"/>
            </w:pPr>
            <w:r>
              <w:t>男</w:t>
            </w:r>
          </w:p>
        </w:tc>
        <w:tc>
          <w:tcPr>
            <w:tcW w:w="2404" w:type="dxa"/>
            <w:shd w:val="clear" w:color="auto" w:fill="auto"/>
          </w:tcPr>
          <w:p w:rsidR="007234DD" w:rsidRDefault="007234DD">
            <w:pPr>
              <w:pStyle w:val="a5"/>
              <w:ind w:right="0"/>
              <w:jc w:val="right"/>
            </w:pPr>
            <w:r>
              <w:t>55</w:t>
            </w:r>
          </w:p>
        </w:tc>
        <w:tc>
          <w:tcPr>
            <w:tcW w:w="2405" w:type="dxa"/>
            <w:shd w:val="clear" w:color="auto" w:fill="auto"/>
          </w:tcPr>
          <w:p w:rsidR="007234DD" w:rsidRDefault="007234DD">
            <w:pPr>
              <w:pStyle w:val="a5"/>
              <w:ind w:right="0"/>
              <w:jc w:val="right"/>
            </w:pPr>
            <w:r>
              <w:t>67.84</w:t>
            </w:r>
          </w:p>
        </w:tc>
      </w:tr>
      <w:tr w:rsidR="007234DD">
        <w:trPr>
          <w:cantSplit/>
          <w:trHeight w:val="20"/>
        </w:trPr>
        <w:tc>
          <w:tcPr>
            <w:tcW w:w="1375" w:type="dxa"/>
            <w:shd w:val="clear" w:color="auto" w:fill="auto"/>
          </w:tcPr>
          <w:p w:rsidR="007234DD" w:rsidRDefault="007234DD">
            <w:pPr>
              <w:pStyle w:val="a5"/>
            </w:pPr>
          </w:p>
        </w:tc>
        <w:tc>
          <w:tcPr>
            <w:tcW w:w="1186" w:type="dxa"/>
            <w:shd w:val="clear" w:color="auto" w:fill="auto"/>
          </w:tcPr>
          <w:p w:rsidR="007234DD" w:rsidRDefault="007234DD">
            <w:pPr>
              <w:pStyle w:val="a5"/>
              <w:ind w:right="0"/>
              <w:jc w:val="right"/>
            </w:pPr>
            <w:r>
              <w:t>女</w:t>
            </w:r>
          </w:p>
        </w:tc>
        <w:tc>
          <w:tcPr>
            <w:tcW w:w="2404" w:type="dxa"/>
            <w:shd w:val="clear" w:color="auto" w:fill="auto"/>
          </w:tcPr>
          <w:p w:rsidR="007234DD" w:rsidRDefault="007234DD">
            <w:pPr>
              <w:pStyle w:val="a5"/>
              <w:ind w:right="0"/>
              <w:jc w:val="right"/>
            </w:pPr>
            <w:r>
              <w:t>116</w:t>
            </w:r>
          </w:p>
        </w:tc>
        <w:tc>
          <w:tcPr>
            <w:tcW w:w="2405" w:type="dxa"/>
            <w:shd w:val="clear" w:color="auto" w:fill="auto"/>
          </w:tcPr>
          <w:p w:rsidR="007234DD" w:rsidRDefault="007234DD">
            <w:pPr>
              <w:pStyle w:val="a5"/>
              <w:ind w:right="0"/>
              <w:jc w:val="right"/>
            </w:pPr>
          </w:p>
        </w:tc>
      </w:tr>
      <w:tr w:rsidR="007234DD">
        <w:trPr>
          <w:cantSplit/>
          <w:trHeight w:val="20"/>
        </w:trPr>
        <w:tc>
          <w:tcPr>
            <w:tcW w:w="1375" w:type="dxa"/>
            <w:shd w:val="clear" w:color="auto" w:fill="auto"/>
          </w:tcPr>
          <w:p w:rsidR="007234DD" w:rsidRDefault="007234DD">
            <w:pPr>
              <w:pStyle w:val="a5"/>
            </w:pPr>
            <w:r>
              <w:t>2005/06</w:t>
            </w:r>
          </w:p>
        </w:tc>
        <w:tc>
          <w:tcPr>
            <w:tcW w:w="1186" w:type="dxa"/>
            <w:shd w:val="clear" w:color="auto" w:fill="auto"/>
          </w:tcPr>
          <w:p w:rsidR="007234DD" w:rsidRDefault="007234DD">
            <w:pPr>
              <w:pStyle w:val="a5"/>
              <w:ind w:right="0"/>
              <w:jc w:val="right"/>
            </w:pPr>
            <w:r>
              <w:t>男</w:t>
            </w:r>
          </w:p>
        </w:tc>
        <w:tc>
          <w:tcPr>
            <w:tcW w:w="2404" w:type="dxa"/>
            <w:shd w:val="clear" w:color="auto" w:fill="auto"/>
          </w:tcPr>
          <w:p w:rsidR="007234DD" w:rsidRDefault="007234DD">
            <w:pPr>
              <w:pStyle w:val="a5"/>
              <w:ind w:right="0"/>
              <w:jc w:val="right"/>
            </w:pPr>
            <w:r>
              <w:t>50</w:t>
            </w:r>
          </w:p>
        </w:tc>
        <w:tc>
          <w:tcPr>
            <w:tcW w:w="2405" w:type="dxa"/>
            <w:shd w:val="clear" w:color="auto" w:fill="auto"/>
          </w:tcPr>
          <w:p w:rsidR="007234DD" w:rsidRDefault="007234DD">
            <w:pPr>
              <w:pStyle w:val="a5"/>
              <w:ind w:right="0"/>
              <w:jc w:val="right"/>
            </w:pPr>
            <w:r>
              <w:t>66.89</w:t>
            </w:r>
          </w:p>
        </w:tc>
      </w:tr>
      <w:tr w:rsidR="007234DD">
        <w:trPr>
          <w:cantSplit/>
          <w:trHeight w:val="20"/>
        </w:trPr>
        <w:tc>
          <w:tcPr>
            <w:tcW w:w="1375" w:type="dxa"/>
            <w:shd w:val="clear" w:color="auto" w:fill="auto"/>
          </w:tcPr>
          <w:p w:rsidR="007234DD" w:rsidRDefault="007234DD">
            <w:pPr>
              <w:pStyle w:val="a5"/>
            </w:pPr>
          </w:p>
        </w:tc>
        <w:tc>
          <w:tcPr>
            <w:tcW w:w="1186" w:type="dxa"/>
            <w:shd w:val="clear" w:color="auto" w:fill="auto"/>
          </w:tcPr>
          <w:p w:rsidR="007234DD" w:rsidRDefault="007234DD">
            <w:pPr>
              <w:pStyle w:val="a5"/>
              <w:ind w:right="0"/>
              <w:jc w:val="right"/>
            </w:pPr>
            <w:r>
              <w:t>女</w:t>
            </w:r>
          </w:p>
        </w:tc>
        <w:tc>
          <w:tcPr>
            <w:tcW w:w="2404" w:type="dxa"/>
            <w:shd w:val="clear" w:color="auto" w:fill="auto"/>
          </w:tcPr>
          <w:p w:rsidR="007234DD" w:rsidRDefault="007234DD">
            <w:pPr>
              <w:pStyle w:val="a5"/>
              <w:ind w:right="0"/>
              <w:jc w:val="right"/>
            </w:pPr>
            <w:r>
              <w:t>101</w:t>
            </w:r>
          </w:p>
        </w:tc>
        <w:tc>
          <w:tcPr>
            <w:tcW w:w="2405" w:type="dxa"/>
            <w:shd w:val="clear" w:color="auto" w:fill="auto"/>
          </w:tcPr>
          <w:p w:rsidR="007234DD" w:rsidRDefault="007234DD">
            <w:pPr>
              <w:pStyle w:val="a5"/>
              <w:ind w:right="0"/>
              <w:jc w:val="right"/>
            </w:pPr>
          </w:p>
        </w:tc>
      </w:tr>
      <w:tr w:rsidR="007234DD">
        <w:trPr>
          <w:cantSplit/>
          <w:trHeight w:val="20"/>
        </w:trPr>
        <w:tc>
          <w:tcPr>
            <w:tcW w:w="1375" w:type="dxa"/>
            <w:shd w:val="clear" w:color="auto" w:fill="auto"/>
          </w:tcPr>
          <w:p w:rsidR="007234DD" w:rsidRDefault="007234DD">
            <w:pPr>
              <w:pStyle w:val="a5"/>
            </w:pPr>
            <w:r>
              <w:t>2006/07</w:t>
            </w:r>
          </w:p>
        </w:tc>
        <w:tc>
          <w:tcPr>
            <w:tcW w:w="1186" w:type="dxa"/>
            <w:shd w:val="clear" w:color="auto" w:fill="auto"/>
          </w:tcPr>
          <w:p w:rsidR="007234DD" w:rsidRDefault="007234DD">
            <w:pPr>
              <w:pStyle w:val="a5"/>
              <w:ind w:right="0"/>
              <w:jc w:val="right"/>
            </w:pPr>
            <w:r>
              <w:t>男</w:t>
            </w:r>
          </w:p>
        </w:tc>
        <w:tc>
          <w:tcPr>
            <w:tcW w:w="2404" w:type="dxa"/>
            <w:shd w:val="clear" w:color="auto" w:fill="auto"/>
          </w:tcPr>
          <w:p w:rsidR="007234DD" w:rsidRDefault="007234DD">
            <w:pPr>
              <w:pStyle w:val="a5"/>
              <w:ind w:right="0"/>
              <w:jc w:val="right"/>
            </w:pPr>
            <w:r>
              <w:t>43</w:t>
            </w:r>
          </w:p>
        </w:tc>
        <w:tc>
          <w:tcPr>
            <w:tcW w:w="2405" w:type="dxa"/>
            <w:shd w:val="clear" w:color="auto" w:fill="auto"/>
          </w:tcPr>
          <w:p w:rsidR="007234DD" w:rsidRDefault="007234DD">
            <w:pPr>
              <w:pStyle w:val="a5"/>
              <w:ind w:right="0"/>
              <w:jc w:val="right"/>
            </w:pPr>
            <w:r>
              <w:t>68.61</w:t>
            </w:r>
          </w:p>
        </w:tc>
      </w:tr>
      <w:tr w:rsidR="007234DD">
        <w:trPr>
          <w:cantSplit/>
          <w:trHeight w:val="20"/>
        </w:trPr>
        <w:tc>
          <w:tcPr>
            <w:tcW w:w="1375" w:type="dxa"/>
            <w:shd w:val="clear" w:color="auto" w:fill="auto"/>
          </w:tcPr>
          <w:p w:rsidR="007234DD" w:rsidRDefault="007234DD">
            <w:pPr>
              <w:pStyle w:val="a5"/>
            </w:pPr>
          </w:p>
        </w:tc>
        <w:tc>
          <w:tcPr>
            <w:tcW w:w="1186" w:type="dxa"/>
            <w:shd w:val="clear" w:color="auto" w:fill="auto"/>
          </w:tcPr>
          <w:p w:rsidR="007234DD" w:rsidRDefault="007234DD">
            <w:pPr>
              <w:pStyle w:val="a5"/>
              <w:ind w:right="0"/>
              <w:jc w:val="right"/>
            </w:pPr>
            <w:r>
              <w:t>女</w:t>
            </w:r>
          </w:p>
        </w:tc>
        <w:tc>
          <w:tcPr>
            <w:tcW w:w="2404" w:type="dxa"/>
            <w:shd w:val="clear" w:color="auto" w:fill="auto"/>
          </w:tcPr>
          <w:p w:rsidR="007234DD" w:rsidRDefault="007234DD">
            <w:pPr>
              <w:pStyle w:val="a5"/>
              <w:ind w:right="0"/>
              <w:jc w:val="right"/>
            </w:pPr>
            <w:r>
              <w:t>94</w:t>
            </w:r>
          </w:p>
        </w:tc>
        <w:tc>
          <w:tcPr>
            <w:tcW w:w="2405" w:type="dxa"/>
            <w:shd w:val="clear" w:color="auto" w:fill="auto"/>
          </w:tcPr>
          <w:p w:rsidR="007234DD" w:rsidRDefault="007234DD">
            <w:pPr>
              <w:pStyle w:val="a5"/>
              <w:ind w:right="0"/>
              <w:jc w:val="right"/>
            </w:pPr>
          </w:p>
        </w:tc>
      </w:tr>
      <w:tr w:rsidR="007234DD">
        <w:trPr>
          <w:cantSplit/>
          <w:trHeight w:val="20"/>
        </w:trPr>
        <w:tc>
          <w:tcPr>
            <w:tcW w:w="1375" w:type="dxa"/>
            <w:shd w:val="clear" w:color="auto" w:fill="auto"/>
          </w:tcPr>
          <w:p w:rsidR="007234DD" w:rsidRDefault="007234DD">
            <w:pPr>
              <w:pStyle w:val="a5"/>
            </w:pPr>
            <w:r>
              <w:t>2007/08</w:t>
            </w:r>
          </w:p>
        </w:tc>
        <w:tc>
          <w:tcPr>
            <w:tcW w:w="1186" w:type="dxa"/>
            <w:shd w:val="clear" w:color="auto" w:fill="auto"/>
          </w:tcPr>
          <w:p w:rsidR="007234DD" w:rsidRDefault="007234DD">
            <w:pPr>
              <w:pStyle w:val="a5"/>
              <w:ind w:right="0"/>
              <w:jc w:val="right"/>
            </w:pPr>
            <w:r>
              <w:t>男</w:t>
            </w:r>
          </w:p>
        </w:tc>
        <w:tc>
          <w:tcPr>
            <w:tcW w:w="2404" w:type="dxa"/>
            <w:shd w:val="clear" w:color="auto" w:fill="auto"/>
          </w:tcPr>
          <w:p w:rsidR="007234DD" w:rsidRDefault="007234DD">
            <w:pPr>
              <w:pStyle w:val="a5"/>
              <w:ind w:right="0"/>
              <w:jc w:val="right"/>
            </w:pPr>
            <w:r>
              <w:t>37</w:t>
            </w:r>
          </w:p>
        </w:tc>
        <w:tc>
          <w:tcPr>
            <w:tcW w:w="2405" w:type="dxa"/>
            <w:shd w:val="clear" w:color="auto" w:fill="auto"/>
          </w:tcPr>
          <w:p w:rsidR="007234DD" w:rsidRDefault="007234DD">
            <w:pPr>
              <w:pStyle w:val="a5"/>
              <w:ind w:right="0"/>
              <w:jc w:val="right"/>
            </w:pPr>
            <w:r>
              <w:t>67.54</w:t>
            </w:r>
          </w:p>
        </w:tc>
      </w:tr>
      <w:tr w:rsidR="007234DD">
        <w:trPr>
          <w:cantSplit/>
          <w:trHeight w:val="20"/>
        </w:trPr>
        <w:tc>
          <w:tcPr>
            <w:tcW w:w="1375" w:type="dxa"/>
            <w:tcBorders>
              <w:bottom w:val="single" w:sz="12" w:space="0" w:color="auto"/>
            </w:tcBorders>
            <w:shd w:val="clear" w:color="auto" w:fill="auto"/>
          </w:tcPr>
          <w:p w:rsidR="007234DD" w:rsidRDefault="007234DD">
            <w:pPr>
              <w:pStyle w:val="a5"/>
            </w:pPr>
          </w:p>
        </w:tc>
        <w:tc>
          <w:tcPr>
            <w:tcW w:w="1186" w:type="dxa"/>
            <w:tcBorders>
              <w:bottom w:val="single" w:sz="12" w:space="0" w:color="auto"/>
            </w:tcBorders>
            <w:shd w:val="clear" w:color="auto" w:fill="auto"/>
          </w:tcPr>
          <w:p w:rsidR="007234DD" w:rsidRDefault="007234DD">
            <w:pPr>
              <w:pStyle w:val="a5"/>
              <w:ind w:right="0"/>
              <w:jc w:val="right"/>
            </w:pPr>
            <w:r>
              <w:t>女</w:t>
            </w:r>
          </w:p>
        </w:tc>
        <w:tc>
          <w:tcPr>
            <w:tcW w:w="2404" w:type="dxa"/>
            <w:tcBorders>
              <w:bottom w:val="single" w:sz="12" w:space="0" w:color="auto"/>
            </w:tcBorders>
            <w:shd w:val="clear" w:color="auto" w:fill="auto"/>
          </w:tcPr>
          <w:p w:rsidR="007234DD" w:rsidRDefault="007234DD">
            <w:pPr>
              <w:pStyle w:val="a5"/>
              <w:ind w:right="0"/>
              <w:jc w:val="right"/>
            </w:pPr>
            <w:r>
              <w:t>77</w:t>
            </w:r>
          </w:p>
        </w:tc>
        <w:tc>
          <w:tcPr>
            <w:tcW w:w="2405" w:type="dxa"/>
            <w:tcBorders>
              <w:bottom w:val="single" w:sz="12" w:space="0" w:color="auto"/>
            </w:tcBorders>
            <w:shd w:val="clear" w:color="auto" w:fill="auto"/>
          </w:tcPr>
          <w:p w:rsidR="007234DD" w:rsidRDefault="007234DD">
            <w:pPr>
              <w:pStyle w:val="a5"/>
              <w:ind w:right="0"/>
              <w:jc w:val="right"/>
            </w:pPr>
          </w:p>
        </w:tc>
      </w:tr>
    </w:tbl>
    <w:p w:rsidR="007234DD" w:rsidRDefault="007234DD" w:rsidP="00411CD5">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卡塔尔国，教育部，教育事务科，教育统计司，</w:t>
      </w:r>
      <w:r>
        <w:rPr>
          <w:rFonts w:hint="eastAsia"/>
          <w:sz w:val="19"/>
          <w:szCs w:val="19"/>
        </w:rPr>
        <w:t>2008</w:t>
      </w:r>
      <w:r>
        <w:rPr>
          <w:rFonts w:hint="eastAsia"/>
          <w:sz w:val="19"/>
          <w:szCs w:val="19"/>
        </w:rPr>
        <w:t>年；统计报告，</w:t>
      </w:r>
      <w:r>
        <w:rPr>
          <w:sz w:val="19"/>
          <w:szCs w:val="19"/>
        </w:rPr>
        <w:t>1999/2000</w:t>
      </w:r>
      <w:r>
        <w:rPr>
          <w:rFonts w:hint="eastAsia"/>
          <w:sz w:val="19"/>
          <w:szCs w:val="19"/>
        </w:rPr>
        <w:t>学年至</w:t>
      </w:r>
      <w:r>
        <w:rPr>
          <w:sz w:val="19"/>
          <w:szCs w:val="19"/>
        </w:rPr>
        <w:t>2007/08</w:t>
      </w:r>
      <w:r>
        <w:rPr>
          <w:rFonts w:hint="eastAsia"/>
          <w:sz w:val="19"/>
          <w:szCs w:val="19"/>
        </w:rPr>
        <w:t>学年，卡塔尔多哈。</w:t>
      </w:r>
    </w:p>
    <w:p w:rsidR="007234DD" w:rsidRDefault="007234DD">
      <w:pPr>
        <w:pStyle w:val="SingleTxtGC"/>
        <w:rPr>
          <w:rFonts w:hint="eastAsia"/>
        </w:rPr>
      </w:pPr>
      <w:r>
        <w:t xml:space="preserve">233.  </w:t>
      </w:r>
      <w:r>
        <w:rPr>
          <w:rFonts w:hint="eastAsia"/>
        </w:rPr>
        <w:t>与在中小学校的管理一样，卡塔尔女性在大学的管理中也发挥重要作用。例如，卡塔尔大学校长是一位妇女。表</w:t>
      </w:r>
      <w:r>
        <w:rPr>
          <w:rFonts w:hint="eastAsia"/>
        </w:rPr>
        <w:t>16</w:t>
      </w:r>
      <w:r>
        <w:rPr>
          <w:rFonts w:hint="eastAsia"/>
        </w:rPr>
        <w:t>中的数字显示，在</w:t>
      </w:r>
      <w:r>
        <w:rPr>
          <w:rFonts w:hint="eastAsia"/>
        </w:rPr>
        <w:t>2008/09</w:t>
      </w:r>
      <w:r>
        <w:rPr>
          <w:rFonts w:hint="eastAsia"/>
        </w:rPr>
        <w:t>学年，卡塔尔大学</w:t>
      </w:r>
      <w:r>
        <w:rPr>
          <w:rFonts w:hint="eastAsia"/>
        </w:rPr>
        <w:t>(</w:t>
      </w:r>
      <w:r>
        <w:rPr>
          <w:rFonts w:hint="eastAsia"/>
        </w:rPr>
        <w:t>唯一的国立大学</w:t>
      </w:r>
      <w:r>
        <w:rPr>
          <w:rFonts w:hint="eastAsia"/>
        </w:rPr>
        <w:t>)43%</w:t>
      </w:r>
      <w:r>
        <w:rPr>
          <w:rFonts w:hint="eastAsia"/>
        </w:rPr>
        <w:t>的学院院长和</w:t>
      </w:r>
      <w:r>
        <w:rPr>
          <w:rFonts w:hint="eastAsia"/>
        </w:rPr>
        <w:t>25%</w:t>
      </w:r>
      <w:r>
        <w:rPr>
          <w:rFonts w:hint="eastAsia"/>
        </w:rPr>
        <w:t>的副院长是女性。此外，</w:t>
      </w:r>
      <w:r>
        <w:rPr>
          <w:rFonts w:hint="eastAsia"/>
        </w:rPr>
        <w:t>13.4%</w:t>
      </w:r>
      <w:r>
        <w:rPr>
          <w:rFonts w:hint="eastAsia"/>
        </w:rPr>
        <w:t>的大学董事会成员是女性。</w:t>
      </w:r>
    </w:p>
    <w:p w:rsidR="007234DD" w:rsidRDefault="007234DD">
      <w:pPr>
        <w:pStyle w:val="SingleTxtGC"/>
      </w:pPr>
      <w:r>
        <w:rPr>
          <w:rFonts w:hint="eastAsia"/>
        </w:rPr>
        <w:t>表</w:t>
      </w:r>
      <w:r>
        <w:t>16</w:t>
      </w:r>
      <w:r>
        <w:rPr>
          <w:rFonts w:hint="eastAsia"/>
        </w:rPr>
        <w:br/>
      </w:r>
      <w:r>
        <w:rPr>
          <w:rFonts w:eastAsia="SimHei"/>
        </w:rPr>
        <w:t>2008/09</w:t>
      </w:r>
      <w:r>
        <w:rPr>
          <w:rFonts w:eastAsia="SimHei"/>
        </w:rPr>
        <w:t>学年卡塔尔大学的女性院长和副院长</w:t>
      </w:r>
    </w:p>
    <w:tbl>
      <w:tblPr>
        <w:tblW w:w="7370" w:type="dxa"/>
        <w:tblInd w:w="1134" w:type="dxa"/>
        <w:tblLayout w:type="fixed"/>
        <w:tblCellMar>
          <w:left w:w="0" w:type="dxa"/>
          <w:right w:w="0" w:type="dxa"/>
        </w:tblCellMar>
        <w:tblLook w:val="0000" w:firstRow="0" w:lastRow="0" w:firstColumn="0" w:lastColumn="0" w:noHBand="0" w:noVBand="0"/>
      </w:tblPr>
      <w:tblGrid>
        <w:gridCol w:w="1580"/>
        <w:gridCol w:w="1447"/>
        <w:gridCol w:w="1448"/>
        <w:gridCol w:w="1447"/>
        <w:gridCol w:w="1448"/>
      </w:tblGrid>
      <w:tr w:rsidR="007234DD">
        <w:trPr>
          <w:cantSplit/>
          <w:trHeight w:val="20"/>
        </w:trPr>
        <w:tc>
          <w:tcPr>
            <w:tcW w:w="1580" w:type="dxa"/>
            <w:vMerge w:val="restart"/>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职位</w:t>
            </w:r>
          </w:p>
        </w:tc>
        <w:tc>
          <w:tcPr>
            <w:tcW w:w="2895" w:type="dxa"/>
            <w:gridSpan w:val="2"/>
            <w:tcBorders>
              <w:top w:val="single" w:sz="4" w:space="0" w:color="auto"/>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rPr>
                <w:rFonts w:hint="eastAsia"/>
              </w:rPr>
              <w:t>男</w:t>
            </w:r>
          </w:p>
        </w:tc>
        <w:tc>
          <w:tcPr>
            <w:tcW w:w="2895" w:type="dxa"/>
            <w:gridSpan w:val="2"/>
            <w:tcBorders>
              <w:top w:val="single" w:sz="4" w:space="0" w:color="auto"/>
              <w:left w:val="single" w:sz="24" w:space="0" w:color="FFFFFF"/>
              <w:bottom w:val="single" w:sz="6" w:space="0" w:color="auto"/>
            </w:tcBorders>
            <w:shd w:val="clear" w:color="auto" w:fill="auto"/>
            <w:vAlign w:val="bottom"/>
          </w:tcPr>
          <w:p w:rsidR="007234DD" w:rsidRDefault="007234DD">
            <w:pPr>
              <w:pStyle w:val="a0"/>
              <w:ind w:right="0"/>
              <w:jc w:val="center"/>
            </w:pPr>
            <w:r>
              <w:t>女</w:t>
            </w:r>
          </w:p>
        </w:tc>
      </w:tr>
      <w:tr w:rsidR="007234DD">
        <w:trPr>
          <w:cantSplit/>
          <w:trHeight w:val="20"/>
        </w:trPr>
        <w:tc>
          <w:tcPr>
            <w:tcW w:w="1580" w:type="dxa"/>
            <w:vMerge/>
            <w:tcBorders>
              <w:top w:val="single" w:sz="12" w:space="0" w:color="auto"/>
              <w:bottom w:val="single" w:sz="12" w:space="0" w:color="auto"/>
            </w:tcBorders>
            <w:shd w:val="clear" w:color="auto" w:fill="auto"/>
          </w:tcPr>
          <w:p w:rsidR="007234DD" w:rsidRDefault="007234DD">
            <w:pPr>
              <w:pStyle w:val="a5"/>
            </w:pPr>
          </w:p>
        </w:tc>
        <w:tc>
          <w:tcPr>
            <w:tcW w:w="1447"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人数</w:t>
            </w:r>
          </w:p>
        </w:tc>
        <w:tc>
          <w:tcPr>
            <w:tcW w:w="1448"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rPr>
                <w:rFonts w:hint="eastAsia"/>
              </w:rPr>
            </w:pPr>
            <w:r>
              <w:rPr>
                <w:rFonts w:hint="eastAsia"/>
              </w:rPr>
              <w:t>百分比</w:t>
            </w:r>
          </w:p>
        </w:tc>
        <w:tc>
          <w:tcPr>
            <w:tcW w:w="1447"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rPr>
                <w:rFonts w:hint="eastAsia"/>
              </w:rPr>
            </w:pPr>
            <w:r>
              <w:rPr>
                <w:rFonts w:hint="eastAsia"/>
              </w:rPr>
              <w:t>人数</w:t>
            </w:r>
          </w:p>
        </w:tc>
        <w:tc>
          <w:tcPr>
            <w:tcW w:w="1448"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百分比</w:t>
            </w:r>
          </w:p>
        </w:tc>
      </w:tr>
      <w:tr w:rsidR="007234DD">
        <w:trPr>
          <w:cantSplit/>
          <w:trHeight w:val="20"/>
        </w:trPr>
        <w:tc>
          <w:tcPr>
            <w:tcW w:w="1580" w:type="dxa"/>
            <w:tcBorders>
              <w:top w:val="single" w:sz="12" w:space="0" w:color="auto"/>
            </w:tcBorders>
            <w:shd w:val="clear" w:color="auto" w:fill="auto"/>
          </w:tcPr>
          <w:p w:rsidR="007234DD" w:rsidRDefault="007234DD">
            <w:pPr>
              <w:pStyle w:val="a5"/>
              <w:rPr>
                <w:rFonts w:hint="eastAsia"/>
              </w:rPr>
            </w:pPr>
            <w:r>
              <w:rPr>
                <w:rFonts w:hint="eastAsia"/>
              </w:rPr>
              <w:t>院长</w:t>
            </w:r>
          </w:p>
        </w:tc>
        <w:tc>
          <w:tcPr>
            <w:tcW w:w="1447" w:type="dxa"/>
            <w:tcBorders>
              <w:top w:val="single" w:sz="12" w:space="0" w:color="auto"/>
            </w:tcBorders>
            <w:shd w:val="clear" w:color="auto" w:fill="auto"/>
          </w:tcPr>
          <w:p w:rsidR="007234DD" w:rsidRDefault="007234DD">
            <w:pPr>
              <w:pStyle w:val="a5"/>
              <w:ind w:right="0"/>
              <w:jc w:val="right"/>
            </w:pPr>
            <w:r>
              <w:t>4</w:t>
            </w:r>
          </w:p>
        </w:tc>
        <w:tc>
          <w:tcPr>
            <w:tcW w:w="1448" w:type="dxa"/>
            <w:tcBorders>
              <w:top w:val="single" w:sz="12" w:space="0" w:color="auto"/>
            </w:tcBorders>
            <w:shd w:val="clear" w:color="auto" w:fill="auto"/>
          </w:tcPr>
          <w:p w:rsidR="007234DD" w:rsidRDefault="007234DD">
            <w:pPr>
              <w:pStyle w:val="a5"/>
              <w:ind w:right="0"/>
              <w:jc w:val="right"/>
            </w:pPr>
            <w:r>
              <w:t>57</w:t>
            </w:r>
          </w:p>
        </w:tc>
        <w:tc>
          <w:tcPr>
            <w:tcW w:w="1447" w:type="dxa"/>
            <w:tcBorders>
              <w:top w:val="single" w:sz="12" w:space="0" w:color="auto"/>
            </w:tcBorders>
            <w:shd w:val="clear" w:color="auto" w:fill="auto"/>
          </w:tcPr>
          <w:p w:rsidR="007234DD" w:rsidRDefault="007234DD">
            <w:pPr>
              <w:pStyle w:val="a5"/>
              <w:ind w:right="0"/>
              <w:jc w:val="right"/>
            </w:pPr>
            <w:r>
              <w:t>3</w:t>
            </w:r>
          </w:p>
        </w:tc>
        <w:tc>
          <w:tcPr>
            <w:tcW w:w="1448" w:type="dxa"/>
            <w:tcBorders>
              <w:top w:val="single" w:sz="12" w:space="0" w:color="auto"/>
            </w:tcBorders>
            <w:shd w:val="clear" w:color="auto" w:fill="auto"/>
          </w:tcPr>
          <w:p w:rsidR="007234DD" w:rsidRDefault="007234DD">
            <w:pPr>
              <w:pStyle w:val="a5"/>
              <w:ind w:right="0"/>
              <w:jc w:val="right"/>
            </w:pPr>
            <w:r>
              <w:t>43</w:t>
            </w:r>
          </w:p>
        </w:tc>
      </w:tr>
      <w:tr w:rsidR="007234DD">
        <w:trPr>
          <w:cantSplit/>
          <w:trHeight w:val="20"/>
        </w:trPr>
        <w:tc>
          <w:tcPr>
            <w:tcW w:w="1580" w:type="dxa"/>
            <w:tcBorders>
              <w:bottom w:val="single" w:sz="12" w:space="0" w:color="auto"/>
            </w:tcBorders>
            <w:shd w:val="clear" w:color="auto" w:fill="auto"/>
          </w:tcPr>
          <w:p w:rsidR="007234DD" w:rsidRDefault="007234DD">
            <w:pPr>
              <w:pStyle w:val="a5"/>
              <w:rPr>
                <w:rFonts w:hint="eastAsia"/>
              </w:rPr>
            </w:pPr>
            <w:r>
              <w:rPr>
                <w:rFonts w:hint="eastAsia"/>
              </w:rPr>
              <w:t>副院长</w:t>
            </w:r>
          </w:p>
        </w:tc>
        <w:tc>
          <w:tcPr>
            <w:tcW w:w="1447" w:type="dxa"/>
            <w:tcBorders>
              <w:bottom w:val="single" w:sz="12" w:space="0" w:color="auto"/>
            </w:tcBorders>
            <w:shd w:val="clear" w:color="auto" w:fill="auto"/>
          </w:tcPr>
          <w:p w:rsidR="007234DD" w:rsidRDefault="007234DD">
            <w:pPr>
              <w:pStyle w:val="a5"/>
              <w:ind w:right="0"/>
              <w:jc w:val="right"/>
            </w:pPr>
            <w:r>
              <w:t>6</w:t>
            </w:r>
          </w:p>
        </w:tc>
        <w:tc>
          <w:tcPr>
            <w:tcW w:w="1448" w:type="dxa"/>
            <w:tcBorders>
              <w:bottom w:val="single" w:sz="12" w:space="0" w:color="auto"/>
            </w:tcBorders>
            <w:shd w:val="clear" w:color="auto" w:fill="auto"/>
          </w:tcPr>
          <w:p w:rsidR="007234DD" w:rsidRDefault="007234DD">
            <w:pPr>
              <w:pStyle w:val="a5"/>
              <w:ind w:right="0"/>
              <w:jc w:val="right"/>
            </w:pPr>
            <w:r>
              <w:t>75</w:t>
            </w:r>
          </w:p>
        </w:tc>
        <w:tc>
          <w:tcPr>
            <w:tcW w:w="1447" w:type="dxa"/>
            <w:tcBorders>
              <w:bottom w:val="single" w:sz="12" w:space="0" w:color="auto"/>
            </w:tcBorders>
            <w:shd w:val="clear" w:color="auto" w:fill="auto"/>
          </w:tcPr>
          <w:p w:rsidR="007234DD" w:rsidRDefault="007234DD">
            <w:pPr>
              <w:pStyle w:val="a5"/>
              <w:ind w:right="0"/>
              <w:jc w:val="right"/>
            </w:pPr>
            <w:r>
              <w:t>2</w:t>
            </w:r>
          </w:p>
        </w:tc>
        <w:tc>
          <w:tcPr>
            <w:tcW w:w="1448" w:type="dxa"/>
            <w:tcBorders>
              <w:bottom w:val="single" w:sz="12" w:space="0" w:color="auto"/>
            </w:tcBorders>
            <w:shd w:val="clear" w:color="auto" w:fill="auto"/>
          </w:tcPr>
          <w:p w:rsidR="007234DD" w:rsidRDefault="007234DD">
            <w:pPr>
              <w:pStyle w:val="a5"/>
              <w:ind w:right="0"/>
              <w:jc w:val="right"/>
            </w:pPr>
            <w:r>
              <w:t>25</w:t>
            </w:r>
          </w:p>
        </w:tc>
      </w:tr>
    </w:tbl>
    <w:p w:rsidR="007234DD" w:rsidRDefault="007234DD" w:rsidP="00411CD5">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卡塔尔国，卡塔尔大学，</w:t>
      </w:r>
      <w:r>
        <w:rPr>
          <w:rFonts w:hint="eastAsia"/>
          <w:sz w:val="19"/>
          <w:szCs w:val="19"/>
        </w:rPr>
        <w:t>2009</w:t>
      </w:r>
      <w:r>
        <w:rPr>
          <w:rFonts w:hint="eastAsia"/>
          <w:sz w:val="19"/>
          <w:szCs w:val="19"/>
        </w:rPr>
        <w:t>年。</w:t>
      </w:r>
    </w:p>
    <w:p w:rsidR="007234DD" w:rsidRDefault="007234DD">
      <w:pPr>
        <w:pStyle w:val="SingleTxtGC"/>
        <w:rPr>
          <w:rFonts w:hint="eastAsia"/>
        </w:rPr>
      </w:pPr>
      <w:r>
        <w:t xml:space="preserve">234.  </w:t>
      </w:r>
      <w:r>
        <w:rPr>
          <w:rFonts w:hint="eastAsia"/>
        </w:rPr>
        <w:t>2007/08</w:t>
      </w:r>
      <w:r>
        <w:rPr>
          <w:rFonts w:hint="eastAsia"/>
        </w:rPr>
        <w:t>学年，卡塔尔大学近</w:t>
      </w:r>
      <w:r>
        <w:rPr>
          <w:rFonts w:hint="eastAsia"/>
        </w:rPr>
        <w:t>39%</w:t>
      </w:r>
      <w:r>
        <w:rPr>
          <w:rFonts w:hint="eastAsia"/>
        </w:rPr>
        <w:t>的教师是妇女</w:t>
      </w:r>
      <w:r>
        <w:rPr>
          <w:rFonts w:hint="eastAsia"/>
        </w:rPr>
        <w:t>(</w:t>
      </w:r>
      <w:r>
        <w:rPr>
          <w:rFonts w:hint="eastAsia"/>
        </w:rPr>
        <w:t>卡塔尔籍及非卡塔尔籍</w:t>
      </w:r>
      <w:r>
        <w:rPr>
          <w:rFonts w:hint="eastAsia"/>
        </w:rPr>
        <w:t>)</w:t>
      </w:r>
      <w:r>
        <w:rPr>
          <w:rFonts w:hint="eastAsia"/>
        </w:rPr>
        <w:t>。大约</w:t>
      </w:r>
      <w:r>
        <w:rPr>
          <w:rFonts w:hint="eastAsia"/>
        </w:rPr>
        <w:t>55%</w:t>
      </w:r>
      <w:r>
        <w:rPr>
          <w:rFonts w:hint="eastAsia"/>
        </w:rPr>
        <w:t>的卡塔尔籍教师是妇女，占女教师总数的</w:t>
      </w:r>
      <w:r>
        <w:rPr>
          <w:rFonts w:hint="eastAsia"/>
        </w:rPr>
        <w:t>53%</w:t>
      </w:r>
      <w:r>
        <w:rPr>
          <w:rFonts w:hint="eastAsia"/>
        </w:rPr>
        <w:t>。</w:t>
      </w:r>
    </w:p>
    <w:p w:rsidR="007234DD" w:rsidRDefault="007234DD">
      <w:pPr>
        <w:pStyle w:val="SingleTxtGC"/>
      </w:pPr>
      <w:r>
        <w:rPr>
          <w:rFonts w:hint="eastAsia"/>
        </w:rPr>
        <w:t>表</w:t>
      </w:r>
      <w:r>
        <w:t>17</w:t>
      </w:r>
      <w:r>
        <w:rPr>
          <w:rFonts w:hint="eastAsia"/>
        </w:rPr>
        <w:br/>
      </w:r>
      <w:r>
        <w:rPr>
          <w:rFonts w:eastAsia="SimHei"/>
        </w:rPr>
        <w:t>2007/08</w:t>
      </w:r>
      <w:r>
        <w:rPr>
          <w:rFonts w:eastAsia="SimHei"/>
        </w:rPr>
        <w:t>学年按性别和国籍分列的卡塔尔大学教师数量</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7234DD">
        <w:trPr>
          <w:cantSplit/>
        </w:trPr>
        <w:tc>
          <w:tcPr>
            <w:tcW w:w="1841" w:type="dxa"/>
            <w:tcBorders>
              <w:top w:val="single" w:sz="4" w:space="0" w:color="auto"/>
              <w:bottom w:val="single" w:sz="12" w:space="0" w:color="auto"/>
            </w:tcBorders>
            <w:shd w:val="clear" w:color="auto" w:fill="auto"/>
            <w:vAlign w:val="bottom"/>
          </w:tcPr>
          <w:p w:rsidR="007234DD" w:rsidRDefault="007234DD">
            <w:pPr>
              <w:pStyle w:val="a0"/>
              <w:ind w:right="0"/>
              <w:rPr>
                <w:rFonts w:hint="eastAsia"/>
              </w:rPr>
            </w:pP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卡塔尔籍</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非卡塔尔籍</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b/>
              </w:rPr>
            </w:pPr>
            <w:r>
              <w:rPr>
                <w:rFonts w:hint="eastAsia"/>
                <w:b/>
              </w:rPr>
              <w:t>合计</w:t>
            </w:r>
          </w:p>
        </w:tc>
      </w:tr>
      <w:tr w:rsidR="007234DD">
        <w:trPr>
          <w:cantSplit/>
        </w:trPr>
        <w:tc>
          <w:tcPr>
            <w:tcW w:w="1841" w:type="dxa"/>
            <w:tcBorders>
              <w:top w:val="single" w:sz="12" w:space="0" w:color="auto"/>
            </w:tcBorders>
            <w:shd w:val="clear" w:color="auto" w:fill="auto"/>
          </w:tcPr>
          <w:p w:rsidR="007234DD" w:rsidRDefault="007234DD">
            <w:pPr>
              <w:pStyle w:val="a5"/>
              <w:rPr>
                <w:rFonts w:hint="eastAsia"/>
              </w:rPr>
            </w:pPr>
            <w:r>
              <w:rPr>
                <w:rFonts w:hint="eastAsia"/>
              </w:rPr>
              <w:t>男</w:t>
            </w:r>
          </w:p>
        </w:tc>
        <w:tc>
          <w:tcPr>
            <w:tcW w:w="1843" w:type="dxa"/>
            <w:tcBorders>
              <w:top w:val="single" w:sz="12" w:space="0" w:color="auto"/>
            </w:tcBorders>
            <w:shd w:val="clear" w:color="auto" w:fill="auto"/>
          </w:tcPr>
          <w:p w:rsidR="007234DD" w:rsidRDefault="007234DD">
            <w:pPr>
              <w:pStyle w:val="a5"/>
              <w:ind w:right="0"/>
              <w:jc w:val="right"/>
            </w:pPr>
            <w:r>
              <w:t>108</w:t>
            </w:r>
          </w:p>
        </w:tc>
        <w:tc>
          <w:tcPr>
            <w:tcW w:w="1843" w:type="dxa"/>
            <w:tcBorders>
              <w:top w:val="single" w:sz="12" w:space="0" w:color="auto"/>
            </w:tcBorders>
            <w:shd w:val="clear" w:color="auto" w:fill="auto"/>
          </w:tcPr>
          <w:p w:rsidR="007234DD" w:rsidRDefault="007234DD">
            <w:pPr>
              <w:pStyle w:val="a5"/>
              <w:ind w:right="0"/>
              <w:jc w:val="right"/>
            </w:pPr>
            <w:r>
              <w:t>282</w:t>
            </w:r>
          </w:p>
        </w:tc>
        <w:tc>
          <w:tcPr>
            <w:tcW w:w="1843" w:type="dxa"/>
            <w:tcBorders>
              <w:top w:val="single" w:sz="12" w:space="0" w:color="auto"/>
            </w:tcBorders>
            <w:shd w:val="clear" w:color="auto" w:fill="auto"/>
          </w:tcPr>
          <w:p w:rsidR="007234DD" w:rsidRDefault="007234DD">
            <w:pPr>
              <w:pStyle w:val="a5"/>
              <w:ind w:right="0"/>
              <w:jc w:val="right"/>
              <w:rPr>
                <w:rFonts w:hint="eastAsia"/>
                <w:b/>
              </w:rPr>
            </w:pPr>
            <w:r>
              <w:rPr>
                <w:rFonts w:hint="eastAsia"/>
                <w:b/>
              </w:rPr>
              <w:t>390</w:t>
            </w:r>
          </w:p>
        </w:tc>
      </w:tr>
      <w:tr w:rsidR="007234DD">
        <w:trPr>
          <w:cantSplit/>
        </w:trPr>
        <w:tc>
          <w:tcPr>
            <w:tcW w:w="1841" w:type="dxa"/>
            <w:tcBorders>
              <w:bottom w:val="single" w:sz="4" w:space="0" w:color="auto"/>
            </w:tcBorders>
            <w:shd w:val="clear" w:color="auto" w:fill="auto"/>
          </w:tcPr>
          <w:p w:rsidR="007234DD" w:rsidRDefault="007234DD">
            <w:pPr>
              <w:pStyle w:val="a5"/>
            </w:pPr>
            <w:r>
              <w:t>女</w:t>
            </w:r>
          </w:p>
        </w:tc>
        <w:tc>
          <w:tcPr>
            <w:tcW w:w="1843" w:type="dxa"/>
            <w:tcBorders>
              <w:bottom w:val="single" w:sz="4" w:space="0" w:color="auto"/>
            </w:tcBorders>
            <w:shd w:val="clear" w:color="auto" w:fill="auto"/>
          </w:tcPr>
          <w:p w:rsidR="007234DD" w:rsidRDefault="007234DD">
            <w:pPr>
              <w:pStyle w:val="a5"/>
              <w:ind w:right="0"/>
              <w:jc w:val="right"/>
            </w:pPr>
            <w:r>
              <w:t>130</w:t>
            </w:r>
          </w:p>
        </w:tc>
        <w:tc>
          <w:tcPr>
            <w:tcW w:w="1843" w:type="dxa"/>
            <w:tcBorders>
              <w:bottom w:val="single" w:sz="4" w:space="0" w:color="auto"/>
            </w:tcBorders>
            <w:shd w:val="clear" w:color="auto" w:fill="auto"/>
          </w:tcPr>
          <w:p w:rsidR="007234DD" w:rsidRDefault="007234DD">
            <w:pPr>
              <w:pStyle w:val="a5"/>
              <w:ind w:right="0"/>
              <w:jc w:val="right"/>
            </w:pPr>
            <w:r>
              <w:t>117</w:t>
            </w:r>
          </w:p>
        </w:tc>
        <w:tc>
          <w:tcPr>
            <w:tcW w:w="1843" w:type="dxa"/>
            <w:tcBorders>
              <w:bottom w:val="single" w:sz="4" w:space="0" w:color="auto"/>
            </w:tcBorders>
            <w:shd w:val="clear" w:color="auto" w:fill="auto"/>
          </w:tcPr>
          <w:p w:rsidR="007234DD" w:rsidRDefault="007234DD">
            <w:pPr>
              <w:pStyle w:val="a5"/>
              <w:ind w:right="0"/>
              <w:jc w:val="right"/>
              <w:rPr>
                <w:rFonts w:hint="eastAsia"/>
                <w:b/>
              </w:rPr>
            </w:pPr>
            <w:r>
              <w:rPr>
                <w:rFonts w:hint="eastAsia"/>
                <w:b/>
              </w:rPr>
              <w:t>247</w:t>
            </w:r>
          </w:p>
        </w:tc>
      </w:tr>
      <w:tr w:rsidR="007234DD">
        <w:trPr>
          <w:cantSplit/>
        </w:trPr>
        <w:tc>
          <w:tcPr>
            <w:tcW w:w="1841"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rPr>
            </w:pPr>
            <w:r>
              <w:rPr>
                <w:rFonts w:eastAsia="SimHei" w:hint="eastAsia"/>
              </w:rPr>
              <w:t>合计</w:t>
            </w:r>
          </w:p>
        </w:tc>
        <w:tc>
          <w:tcPr>
            <w:tcW w:w="1843"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238</w:t>
            </w:r>
          </w:p>
        </w:tc>
        <w:tc>
          <w:tcPr>
            <w:tcW w:w="1843"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399</w:t>
            </w:r>
          </w:p>
        </w:tc>
        <w:tc>
          <w:tcPr>
            <w:tcW w:w="1843"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637</w:t>
            </w:r>
          </w:p>
        </w:tc>
      </w:tr>
    </w:tbl>
    <w:p w:rsidR="007234DD" w:rsidRDefault="007234DD" w:rsidP="00411CD5">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卡塔尔，卡塔尔大学，</w:t>
      </w:r>
      <w:r>
        <w:rPr>
          <w:rFonts w:hint="eastAsia"/>
          <w:sz w:val="19"/>
          <w:szCs w:val="19"/>
        </w:rPr>
        <w:t>2009</w:t>
      </w:r>
      <w:r>
        <w:rPr>
          <w:rFonts w:hint="eastAsia"/>
          <w:sz w:val="19"/>
          <w:szCs w:val="19"/>
        </w:rPr>
        <w:t>年。</w:t>
      </w:r>
    </w:p>
    <w:p w:rsidR="007234DD" w:rsidRDefault="007234DD">
      <w:pPr>
        <w:pStyle w:val="H23GC"/>
        <w:rPr>
          <w:rFonts w:hint="eastAsia"/>
        </w:rPr>
      </w:pPr>
      <w:r>
        <w:rPr>
          <w:rFonts w:hint="eastAsia"/>
        </w:rPr>
        <w:tab/>
      </w:r>
      <w:r>
        <w:rPr>
          <w:rFonts w:hint="eastAsia"/>
        </w:rPr>
        <w:tab/>
      </w:r>
      <w:r>
        <w:rPr>
          <w:rFonts w:hint="eastAsia"/>
        </w:rPr>
        <w:t>学术课程、评估、助学金和任务方面的平等</w:t>
      </w:r>
    </w:p>
    <w:p w:rsidR="007234DD" w:rsidRDefault="007234DD">
      <w:pPr>
        <w:pStyle w:val="H23GC"/>
        <w:spacing w:before="180"/>
        <w:rPr>
          <w:rFonts w:hint="eastAsia"/>
        </w:rPr>
      </w:pPr>
      <w:r>
        <w:rPr>
          <w:rFonts w:hint="eastAsia"/>
        </w:rPr>
        <w:tab/>
      </w:r>
      <w:r>
        <w:rPr>
          <w:rFonts w:hint="eastAsia"/>
        </w:rPr>
        <w:tab/>
      </w:r>
      <w:r>
        <w:rPr>
          <w:rFonts w:hint="eastAsia"/>
        </w:rPr>
        <w:t>学术课程</w:t>
      </w:r>
    </w:p>
    <w:p w:rsidR="007234DD" w:rsidRDefault="007234DD">
      <w:pPr>
        <w:pStyle w:val="SingleTxtGC"/>
      </w:pPr>
      <w:r>
        <w:t xml:space="preserve">235.  </w:t>
      </w:r>
      <w:r>
        <w:rPr>
          <w:rFonts w:hint="eastAsia"/>
        </w:rPr>
        <w:t>国家设立了标准课程，它们不因学习者性别不同而改变。在教育的所有阶段均讲授的一些课程，特别是社会科学课程，通过旨在消除性别陈规定型观念的方法介绍关于妇女的社会经济角色。最高教育委员会最近为各阶段的课程制定了多套标准。妇女问题被列入这项工作，以强调妇女在社会发展中的作用和消除对妇女的一切形式歧视。</w:t>
      </w:r>
    </w:p>
    <w:p w:rsidR="007234DD" w:rsidRDefault="007234DD">
      <w:pPr>
        <w:pStyle w:val="SingleTxtGC"/>
      </w:pPr>
      <w:r>
        <w:t xml:space="preserve">236.  </w:t>
      </w:r>
      <w:r>
        <w:rPr>
          <w:rFonts w:hint="eastAsia"/>
        </w:rPr>
        <w:t>卡塔尔为基于价值观的教育课程建立了一个总体框架，适用于从幼儿园到中学结束的各个阶段。其目标是鼓励学生：对各种价值观以及它们在实践中如何适用于自己、别人、自己所在社区和整个世界进行思考；加深对责任的认识；采取健康的生活方式；与他人建立良好关系并关心他人；获得自信。这样的课程谋求促进基于下列精神</w:t>
      </w:r>
      <w:r>
        <w:rPr>
          <w:rFonts w:hint="eastAsia"/>
        </w:rPr>
        <w:t>(</w:t>
      </w:r>
      <w:r>
        <w:rPr>
          <w:rFonts w:hint="eastAsia"/>
        </w:rPr>
        <w:t>除其他外</w:t>
      </w:r>
      <w:r>
        <w:rPr>
          <w:rFonts w:hint="eastAsia"/>
        </w:rPr>
        <w:t>)</w:t>
      </w:r>
      <w:r>
        <w:rPr>
          <w:rFonts w:hint="eastAsia"/>
        </w:rPr>
        <w:t>的价值观：与他人建立良好关系；尊重他人和为他人着想；合作、同情、平等、仁爱、和平和宽容；以及促进尊重法律、良好公民意识、公民参与、诚实、正直和诚信等其他与社会和公民责任有关的价值观。此外还强调对卡塔尔文化和历史遗产的尊重以及与保护国家遗产和环境有关的价值观。</w:t>
      </w:r>
    </w:p>
    <w:p w:rsidR="007234DD" w:rsidRDefault="007234DD">
      <w:pPr>
        <w:pStyle w:val="SingleTxtGC"/>
      </w:pPr>
      <w:r>
        <w:t xml:space="preserve">237.  </w:t>
      </w:r>
      <w:r>
        <w:rPr>
          <w:rFonts w:hint="eastAsia"/>
        </w:rPr>
        <w:t>在家庭教育总体框架中，重点在于增强学生的知识、技能和对自身能力的自信，以便他们能够积极建立社会关系。家庭教育课程涵盖各种道德、社会、文化、肉体、精神、性和情感问题。课程架构有三个主要组成部分：教育内容、教学技术和评估方法。</w:t>
      </w:r>
    </w:p>
    <w:p w:rsidR="007234DD" w:rsidRDefault="007234DD">
      <w:pPr>
        <w:pStyle w:val="SingleTxtGC"/>
      </w:pPr>
      <w:r>
        <w:t xml:space="preserve">238.  </w:t>
      </w:r>
      <w:r>
        <w:rPr>
          <w:rFonts w:hint="eastAsia"/>
        </w:rPr>
        <w:t>卡塔尔虽然仍然没有面向妇女的技术或职业学校，但已经推出了一项教育发展举措，主要是为学生提供世界一流的培训，使他们在完成中学学业之后能够进入卡塔尔和国外的大学或进入劳动力市场。该举措的制定基于一套原则，例如学校课程多样化，以开启建立多样化学校的道路。事实上，卡塔尔有各类中等职业技术学校，包括工业技术学校和商业学校。最高教育委员会即将完成关于与卡塔尔中央银行合作和协调建立一所先进的商业学校的研究</w:t>
      </w:r>
      <w:r>
        <w:rPr>
          <w:rFonts w:hint="eastAsia"/>
        </w:rPr>
        <w:t>(2010-2011</w:t>
      </w:r>
      <w:r>
        <w:rPr>
          <w:rFonts w:hint="eastAsia"/>
        </w:rPr>
        <w:t>年将开办两所学校，一所面向男性，另一所面向女性</w:t>
      </w:r>
      <w:r>
        <w:rPr>
          <w:rFonts w:hint="eastAsia"/>
        </w:rPr>
        <w:t>)</w:t>
      </w:r>
      <w:r>
        <w:rPr>
          <w:rFonts w:hint="eastAsia"/>
        </w:rPr>
        <w:t>。卡塔尔还拟定了关于建立一所面向女生的中等技术学校的综合计划。该校将开设医学实验科学、一般工业科目、办公室管理及秘书工作等专业。</w:t>
      </w:r>
    </w:p>
    <w:p w:rsidR="007234DD" w:rsidRDefault="007234DD">
      <w:pPr>
        <w:pStyle w:val="SingleTxtGC"/>
      </w:pPr>
      <w:r>
        <w:t xml:space="preserve">239.  </w:t>
      </w:r>
      <w:r>
        <w:rPr>
          <w:rFonts w:hint="eastAsia"/>
        </w:rPr>
        <w:t>卡塔尔正在计划创办一些学校和学院，提供对妇女进行特定技能培训的课程。计划创办一所商业学校以及一所中等技术学校。</w:t>
      </w:r>
    </w:p>
    <w:p w:rsidR="007234DD" w:rsidRDefault="007234DD">
      <w:pPr>
        <w:pStyle w:val="SingleTxtGC"/>
      </w:pPr>
      <w:r>
        <w:t xml:space="preserve">240.  </w:t>
      </w:r>
      <w:r>
        <w:rPr>
          <w:rFonts w:hint="eastAsia"/>
        </w:rPr>
        <w:t>目前没有针对大学生的专设妇女课程，不过卡塔尔大学社会学系的学生也学习与妇女有关的科目</w:t>
      </w:r>
      <w:r>
        <w:rPr>
          <w:rFonts w:hint="eastAsia"/>
        </w:rPr>
        <w:t>(</w:t>
      </w:r>
      <w:r>
        <w:rPr>
          <w:rFonts w:hint="eastAsia"/>
        </w:rPr>
        <w:t>社会学课程和社会服务课程</w:t>
      </w:r>
      <w:r>
        <w:rPr>
          <w:rFonts w:hint="eastAsia"/>
        </w:rPr>
        <w:t>)</w:t>
      </w:r>
      <w:r>
        <w:rPr>
          <w:rFonts w:hint="eastAsia"/>
        </w:rPr>
        <w:t>。该系目前所有在读学生都是女性。</w:t>
      </w:r>
    </w:p>
    <w:p w:rsidR="007234DD" w:rsidRDefault="007234DD">
      <w:pPr>
        <w:pStyle w:val="SingleTxtGC"/>
      </w:pPr>
      <w:r>
        <w:t xml:space="preserve">241.  </w:t>
      </w:r>
      <w:r>
        <w:rPr>
          <w:rFonts w:hint="eastAsia"/>
        </w:rPr>
        <w:t>作为各种课程的一部分，卡塔尔大学社会科学系开设有妇女研究课，例如关于下列领域的课程：性别平等问题、人权、家庭与家庭关系、民族学、现代阿拉伯社会、独立研究等等。许多学生还攻读含有妇女研究部分的研究生项目。</w:t>
      </w:r>
    </w:p>
    <w:p w:rsidR="007234DD" w:rsidRDefault="007234DD">
      <w:pPr>
        <w:pStyle w:val="H23GC"/>
        <w:rPr>
          <w:rFonts w:hint="eastAsia"/>
        </w:rPr>
      </w:pPr>
      <w:r>
        <w:rPr>
          <w:rFonts w:hint="eastAsia"/>
        </w:rPr>
        <w:tab/>
      </w:r>
      <w:r>
        <w:rPr>
          <w:rFonts w:hint="eastAsia"/>
        </w:rPr>
        <w:tab/>
      </w:r>
      <w:r>
        <w:rPr>
          <w:rFonts w:hint="eastAsia"/>
        </w:rPr>
        <w:t>评估</w:t>
      </w:r>
    </w:p>
    <w:p w:rsidR="007234DD" w:rsidRDefault="007234DD">
      <w:pPr>
        <w:pStyle w:val="SingleTxtGC"/>
      </w:pPr>
      <w:r>
        <w:t xml:space="preserve">242.  </w:t>
      </w:r>
      <w:r>
        <w:rPr>
          <w:rFonts w:hint="eastAsia"/>
        </w:rPr>
        <w:t>卡塔尔在考试和不及格率与及格率方面不存在基于性别的区别。对于所有各阶段教育的所有学生而言，考试都是一样的。</w:t>
      </w:r>
    </w:p>
    <w:p w:rsidR="007234DD" w:rsidRDefault="007234DD">
      <w:pPr>
        <w:pStyle w:val="SingleTxtGC"/>
      </w:pPr>
      <w:r>
        <w:t xml:space="preserve">243.  </w:t>
      </w:r>
      <w:r>
        <w:rPr>
          <w:rFonts w:hint="eastAsia"/>
        </w:rPr>
        <w:t>这点同样适用于教师。国家为教师提供他们开展工作所需要的资源，并促进他们的能力发展，不以性别为由加以区别对待。国家为所有阶段的教育建立达到国际标准的学校，不在男女学生群体之间实行任何区别对待。</w:t>
      </w:r>
    </w:p>
    <w:p w:rsidR="007234DD" w:rsidRDefault="007234DD">
      <w:pPr>
        <w:pStyle w:val="H23GC"/>
        <w:spacing w:before="160"/>
        <w:rPr>
          <w:rFonts w:hint="eastAsia"/>
        </w:rPr>
      </w:pPr>
      <w:r>
        <w:rPr>
          <w:rFonts w:hint="eastAsia"/>
        </w:rPr>
        <w:tab/>
      </w:r>
      <w:r>
        <w:rPr>
          <w:rFonts w:hint="eastAsia"/>
        </w:rPr>
        <w:tab/>
      </w:r>
      <w:r>
        <w:rPr>
          <w:rFonts w:hint="eastAsia"/>
        </w:rPr>
        <w:t>男女混合教育</w:t>
      </w:r>
    </w:p>
    <w:p w:rsidR="007234DD" w:rsidRDefault="007234DD">
      <w:pPr>
        <w:pStyle w:val="SingleTxtGC"/>
        <w:spacing w:after="80"/>
      </w:pPr>
      <w:r>
        <w:t xml:space="preserve">244.  </w:t>
      </w:r>
      <w:r>
        <w:rPr>
          <w:rFonts w:hint="eastAsia"/>
        </w:rPr>
        <w:t>卡塔尔有男女混合教育的学校以及男生和女生分开学习的学校。在公立中小学校和卡塔尔大学，男生和女生分开学习；而在私立学校、侨民学校和外国大学在卡塔尔的分校，他们可以一起学习。男女混合教育没有法律障碍。鉴于大多数人口的意愿以及希望鼓励卡塔尔人让其女儿接受所有阶段的教育，国家倾向于维持目前的单一性别教育政策。</w:t>
      </w:r>
    </w:p>
    <w:p w:rsidR="007234DD" w:rsidRDefault="007234DD">
      <w:pPr>
        <w:pStyle w:val="H23GC"/>
        <w:spacing w:before="160"/>
        <w:rPr>
          <w:rFonts w:hint="eastAsia"/>
        </w:rPr>
      </w:pPr>
      <w:r>
        <w:rPr>
          <w:rFonts w:hint="eastAsia"/>
        </w:rPr>
        <w:tab/>
      </w:r>
      <w:r>
        <w:rPr>
          <w:rFonts w:hint="eastAsia"/>
        </w:rPr>
        <w:tab/>
      </w:r>
      <w:r>
        <w:rPr>
          <w:rFonts w:hint="eastAsia"/>
        </w:rPr>
        <w:t>助学金和外派</w:t>
      </w:r>
    </w:p>
    <w:p w:rsidR="007234DD" w:rsidRDefault="007234DD">
      <w:pPr>
        <w:pStyle w:val="SingleTxtGC"/>
      </w:pPr>
      <w:r>
        <w:t xml:space="preserve">245.  </w:t>
      </w:r>
      <w:r>
        <w:rPr>
          <w:rFonts w:hint="eastAsia"/>
        </w:rPr>
        <w:t>国家鼓励女学生修完高等教育课程。国家在所有专业领域提供助学金</w:t>
      </w:r>
      <w:r>
        <w:rPr>
          <w:rFonts w:hint="eastAsia"/>
          <w:spacing w:val="-50"/>
        </w:rPr>
        <w:t>―</w:t>
      </w:r>
      <w:r>
        <w:rPr>
          <w:rFonts w:hint="eastAsia"/>
          <w:spacing w:val="10"/>
        </w:rPr>
        <w:t>―</w:t>
      </w:r>
      <w:r>
        <w:rPr>
          <w:rFonts w:hint="eastAsia"/>
        </w:rPr>
        <w:t>根据当地就业市场的需要。这些助学金按学习成绩提供。</w:t>
      </w:r>
    </w:p>
    <w:p w:rsidR="007234DD" w:rsidRDefault="007234DD">
      <w:pPr>
        <w:pStyle w:val="SingleTxtGC"/>
      </w:pPr>
      <w:r>
        <w:t xml:space="preserve">246.  </w:t>
      </w:r>
      <w:r>
        <w:rPr>
          <w:rFonts w:hint="eastAsia"/>
        </w:rPr>
        <w:t>在</w:t>
      </w:r>
      <w:r>
        <w:rPr>
          <w:rFonts w:hint="eastAsia"/>
        </w:rPr>
        <w:t>2005/06</w:t>
      </w:r>
      <w:r>
        <w:rPr>
          <w:rFonts w:hint="eastAsia"/>
        </w:rPr>
        <w:t>学年之前，大约</w:t>
      </w:r>
      <w:r>
        <w:rPr>
          <w:rFonts w:hint="eastAsia"/>
        </w:rPr>
        <w:t>46%</w:t>
      </w:r>
      <w:r>
        <w:rPr>
          <w:rFonts w:hint="eastAsia"/>
        </w:rPr>
        <w:t>被派出国留学的高等教育学生是妇女。</w:t>
      </w:r>
      <w:r>
        <w:rPr>
          <w:rFonts w:hint="eastAsia"/>
        </w:rPr>
        <w:t>2009/10</w:t>
      </w:r>
      <w:r>
        <w:rPr>
          <w:rFonts w:hint="eastAsia"/>
        </w:rPr>
        <w:t>学年这一数字上升到了</w:t>
      </w:r>
      <w:r>
        <w:rPr>
          <w:rFonts w:hint="eastAsia"/>
        </w:rPr>
        <w:t>56.1%</w:t>
      </w:r>
      <w:r>
        <w:rPr>
          <w:rFonts w:hint="eastAsia"/>
        </w:rPr>
        <w:t>。对卡塔尔妇女来说，这是向前迈进的一步，表明社会文化环境对派遣妇女出国留学</w:t>
      </w:r>
      <w:r>
        <w:rPr>
          <w:rFonts w:hint="eastAsia"/>
        </w:rPr>
        <w:t>(</w:t>
      </w:r>
      <w:r>
        <w:rPr>
          <w:rFonts w:hint="eastAsia"/>
        </w:rPr>
        <w:t>政府对此表示欢迎和支持</w:t>
      </w:r>
      <w:r>
        <w:rPr>
          <w:rFonts w:hint="eastAsia"/>
        </w:rPr>
        <w:t>)</w:t>
      </w:r>
      <w:r>
        <w:rPr>
          <w:rFonts w:hint="eastAsia"/>
        </w:rPr>
        <w:t>的看法发生了显着变化。</w:t>
      </w:r>
    </w:p>
    <w:p w:rsidR="007234DD" w:rsidRDefault="007234DD">
      <w:pPr>
        <w:pStyle w:val="SingleTxtGC"/>
        <w:rPr>
          <w:rFonts w:hint="eastAsia"/>
        </w:rPr>
      </w:pPr>
      <w:r>
        <w:rPr>
          <w:rFonts w:hint="eastAsia"/>
        </w:rPr>
        <w:t>表</w:t>
      </w:r>
      <w:r>
        <w:t>18</w:t>
      </w:r>
      <w:r>
        <w:rPr>
          <w:rFonts w:hint="eastAsia"/>
        </w:rPr>
        <w:br/>
      </w:r>
      <w:r>
        <w:rPr>
          <w:rFonts w:eastAsia="SimHei" w:hint="eastAsia"/>
        </w:rPr>
        <w:t>按性别和学年分列的被派出国留学的高等教育学生</w:t>
      </w:r>
    </w:p>
    <w:tbl>
      <w:tblPr>
        <w:tblW w:w="7370" w:type="dxa"/>
        <w:tblInd w:w="1134" w:type="dxa"/>
        <w:tblLayout w:type="fixed"/>
        <w:tblCellMar>
          <w:left w:w="0" w:type="dxa"/>
          <w:right w:w="0" w:type="dxa"/>
        </w:tblCellMar>
        <w:tblLook w:val="01E0" w:firstRow="1" w:lastRow="1" w:firstColumn="1" w:lastColumn="1" w:noHBand="0" w:noVBand="0"/>
      </w:tblPr>
      <w:tblGrid>
        <w:gridCol w:w="861"/>
        <w:gridCol w:w="865"/>
        <w:gridCol w:w="940"/>
        <w:gridCol w:w="941"/>
        <w:gridCol w:w="941"/>
        <w:gridCol w:w="940"/>
        <w:gridCol w:w="941"/>
        <w:gridCol w:w="941"/>
      </w:tblGrid>
      <w:tr w:rsidR="007234DD">
        <w:trPr>
          <w:cantSplit/>
        </w:trPr>
        <w:tc>
          <w:tcPr>
            <w:tcW w:w="861" w:type="dxa"/>
            <w:vMerge w:val="restart"/>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学年</w:t>
            </w:r>
          </w:p>
        </w:tc>
        <w:tc>
          <w:tcPr>
            <w:tcW w:w="865" w:type="dxa"/>
            <w:vMerge w:val="restart"/>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性别</w:t>
            </w:r>
          </w:p>
        </w:tc>
        <w:tc>
          <w:tcPr>
            <w:tcW w:w="5644" w:type="dxa"/>
            <w:gridSpan w:val="6"/>
            <w:tcBorders>
              <w:top w:val="single" w:sz="4" w:space="0" w:color="auto"/>
              <w:bottom w:val="single" w:sz="6" w:space="0" w:color="auto"/>
            </w:tcBorders>
            <w:shd w:val="clear" w:color="auto" w:fill="auto"/>
            <w:vAlign w:val="bottom"/>
          </w:tcPr>
          <w:p w:rsidR="007234DD" w:rsidRDefault="007234DD">
            <w:pPr>
              <w:pStyle w:val="a0"/>
              <w:ind w:right="0"/>
              <w:jc w:val="center"/>
              <w:rPr>
                <w:rFonts w:hint="eastAsia"/>
              </w:rPr>
            </w:pPr>
            <w:r>
              <w:rPr>
                <w:rFonts w:hint="eastAsia"/>
              </w:rPr>
              <w:t>类别</w:t>
            </w:r>
          </w:p>
        </w:tc>
      </w:tr>
      <w:tr w:rsidR="007234DD">
        <w:trPr>
          <w:cantSplit/>
        </w:trPr>
        <w:tc>
          <w:tcPr>
            <w:tcW w:w="861" w:type="dxa"/>
            <w:vMerge/>
            <w:tcBorders>
              <w:bottom w:val="single" w:sz="12" w:space="0" w:color="auto"/>
            </w:tcBorders>
            <w:shd w:val="clear" w:color="auto" w:fill="auto"/>
          </w:tcPr>
          <w:p w:rsidR="007234DD" w:rsidRDefault="007234DD">
            <w:pPr>
              <w:pStyle w:val="a5"/>
            </w:pPr>
          </w:p>
        </w:tc>
        <w:tc>
          <w:tcPr>
            <w:tcW w:w="865" w:type="dxa"/>
            <w:vMerge/>
            <w:tcBorders>
              <w:bottom w:val="single" w:sz="12" w:space="0" w:color="auto"/>
            </w:tcBorders>
            <w:shd w:val="clear" w:color="auto" w:fill="auto"/>
          </w:tcPr>
          <w:p w:rsidR="007234DD" w:rsidRDefault="007234DD">
            <w:pPr>
              <w:pStyle w:val="a5"/>
              <w:ind w:right="0"/>
              <w:jc w:val="right"/>
            </w:pPr>
          </w:p>
        </w:tc>
        <w:tc>
          <w:tcPr>
            <w:tcW w:w="940"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博士学位</w:t>
            </w:r>
          </w:p>
        </w:tc>
        <w:tc>
          <w:tcPr>
            <w:tcW w:w="941"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硕士学位</w:t>
            </w:r>
          </w:p>
        </w:tc>
        <w:tc>
          <w:tcPr>
            <w:tcW w:w="941"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学士学位</w:t>
            </w:r>
          </w:p>
        </w:tc>
        <w:tc>
          <w:tcPr>
            <w:tcW w:w="940"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其他</w:t>
            </w:r>
          </w:p>
        </w:tc>
        <w:tc>
          <w:tcPr>
            <w:tcW w:w="941" w:type="dxa"/>
            <w:tcBorders>
              <w:top w:val="single" w:sz="6" w:space="0" w:color="auto"/>
              <w:bottom w:val="single" w:sz="12" w:space="0" w:color="auto"/>
            </w:tcBorders>
            <w:shd w:val="clear" w:color="auto" w:fill="auto"/>
          </w:tcPr>
          <w:p w:rsidR="007234DD" w:rsidRDefault="007234DD">
            <w:pPr>
              <w:pStyle w:val="a0"/>
              <w:ind w:right="0"/>
              <w:jc w:val="right"/>
              <w:rPr>
                <w:rFonts w:hint="eastAsia"/>
                <w:b/>
              </w:rPr>
            </w:pPr>
            <w:r>
              <w:rPr>
                <w:rFonts w:hint="eastAsia"/>
                <w:b/>
              </w:rPr>
              <w:t>合计</w:t>
            </w:r>
          </w:p>
        </w:tc>
        <w:tc>
          <w:tcPr>
            <w:tcW w:w="941" w:type="dxa"/>
            <w:tcBorders>
              <w:top w:val="single" w:sz="6" w:space="0" w:color="auto"/>
              <w:bottom w:val="single" w:sz="12" w:space="0" w:color="auto"/>
            </w:tcBorders>
            <w:shd w:val="clear" w:color="auto" w:fill="auto"/>
          </w:tcPr>
          <w:p w:rsidR="007234DD" w:rsidRDefault="007234DD">
            <w:pPr>
              <w:pStyle w:val="a0"/>
              <w:ind w:right="0"/>
              <w:jc w:val="right"/>
              <w:rPr>
                <w:rFonts w:hint="eastAsia"/>
                <w:b/>
              </w:rPr>
            </w:pPr>
            <w:r>
              <w:rPr>
                <w:rFonts w:hint="eastAsia"/>
                <w:b/>
              </w:rPr>
              <w:t>总计</w:t>
            </w:r>
          </w:p>
        </w:tc>
      </w:tr>
      <w:tr w:rsidR="007234DD">
        <w:trPr>
          <w:cantSplit/>
        </w:trPr>
        <w:tc>
          <w:tcPr>
            <w:tcW w:w="861" w:type="dxa"/>
            <w:vMerge w:val="restart"/>
            <w:tcBorders>
              <w:top w:val="single" w:sz="12" w:space="0" w:color="auto"/>
            </w:tcBorders>
            <w:shd w:val="clear" w:color="auto" w:fill="auto"/>
          </w:tcPr>
          <w:p w:rsidR="007234DD" w:rsidRDefault="007234DD">
            <w:pPr>
              <w:pStyle w:val="a5"/>
              <w:spacing w:after="20"/>
              <w:rPr>
                <w:rFonts w:hint="eastAsia"/>
              </w:rPr>
            </w:pPr>
            <w:r>
              <w:t>2005/06</w:t>
            </w:r>
            <w:r>
              <w:rPr>
                <w:rFonts w:hint="eastAsia"/>
              </w:rPr>
              <w:t>学年之前</w:t>
            </w:r>
          </w:p>
        </w:tc>
        <w:tc>
          <w:tcPr>
            <w:tcW w:w="865" w:type="dxa"/>
            <w:tcBorders>
              <w:top w:val="single" w:sz="12" w:space="0" w:color="auto"/>
            </w:tcBorders>
            <w:shd w:val="clear" w:color="auto" w:fill="auto"/>
          </w:tcPr>
          <w:p w:rsidR="007234DD" w:rsidRDefault="007234DD">
            <w:pPr>
              <w:pStyle w:val="a5"/>
              <w:spacing w:after="20"/>
              <w:ind w:right="0"/>
              <w:jc w:val="right"/>
            </w:pPr>
            <w:r>
              <w:t>男</w:t>
            </w:r>
          </w:p>
        </w:tc>
        <w:tc>
          <w:tcPr>
            <w:tcW w:w="940" w:type="dxa"/>
            <w:tcBorders>
              <w:top w:val="single" w:sz="12" w:space="0" w:color="auto"/>
            </w:tcBorders>
            <w:shd w:val="clear" w:color="auto" w:fill="auto"/>
          </w:tcPr>
          <w:p w:rsidR="007234DD" w:rsidRDefault="007234DD">
            <w:pPr>
              <w:pStyle w:val="a5"/>
              <w:spacing w:after="20"/>
              <w:ind w:right="0"/>
              <w:jc w:val="right"/>
            </w:pPr>
            <w:r>
              <w:t>46</w:t>
            </w:r>
          </w:p>
        </w:tc>
        <w:tc>
          <w:tcPr>
            <w:tcW w:w="941" w:type="dxa"/>
            <w:tcBorders>
              <w:top w:val="single" w:sz="12" w:space="0" w:color="auto"/>
            </w:tcBorders>
            <w:shd w:val="clear" w:color="auto" w:fill="auto"/>
          </w:tcPr>
          <w:p w:rsidR="007234DD" w:rsidRDefault="007234DD">
            <w:pPr>
              <w:pStyle w:val="a5"/>
              <w:spacing w:after="20"/>
              <w:ind w:right="0"/>
              <w:jc w:val="right"/>
            </w:pPr>
            <w:r>
              <w:t>70</w:t>
            </w:r>
          </w:p>
        </w:tc>
        <w:tc>
          <w:tcPr>
            <w:tcW w:w="941" w:type="dxa"/>
            <w:tcBorders>
              <w:top w:val="single" w:sz="12" w:space="0" w:color="auto"/>
            </w:tcBorders>
            <w:shd w:val="clear" w:color="auto" w:fill="auto"/>
          </w:tcPr>
          <w:p w:rsidR="007234DD" w:rsidRDefault="007234DD">
            <w:pPr>
              <w:pStyle w:val="a5"/>
              <w:spacing w:after="20"/>
              <w:ind w:right="0"/>
              <w:jc w:val="right"/>
            </w:pPr>
            <w:r>
              <w:t>376</w:t>
            </w:r>
          </w:p>
        </w:tc>
        <w:tc>
          <w:tcPr>
            <w:tcW w:w="940" w:type="dxa"/>
            <w:tcBorders>
              <w:top w:val="single" w:sz="12" w:space="0" w:color="auto"/>
            </w:tcBorders>
            <w:shd w:val="clear" w:color="auto" w:fill="auto"/>
          </w:tcPr>
          <w:p w:rsidR="007234DD" w:rsidRDefault="007234DD">
            <w:pPr>
              <w:pStyle w:val="a5"/>
              <w:spacing w:after="20"/>
              <w:ind w:right="0"/>
              <w:jc w:val="right"/>
            </w:pPr>
            <w:r>
              <w:t>183</w:t>
            </w:r>
          </w:p>
        </w:tc>
        <w:tc>
          <w:tcPr>
            <w:tcW w:w="941" w:type="dxa"/>
            <w:tcBorders>
              <w:top w:val="single" w:sz="12" w:space="0" w:color="auto"/>
            </w:tcBorders>
            <w:shd w:val="clear" w:color="auto" w:fill="auto"/>
          </w:tcPr>
          <w:p w:rsidR="007234DD" w:rsidRDefault="007234DD">
            <w:pPr>
              <w:pStyle w:val="a5"/>
              <w:spacing w:after="20"/>
              <w:ind w:right="0"/>
              <w:jc w:val="right"/>
              <w:rPr>
                <w:b/>
              </w:rPr>
            </w:pPr>
            <w:r>
              <w:rPr>
                <w:b/>
              </w:rPr>
              <w:t>675</w:t>
            </w:r>
          </w:p>
        </w:tc>
        <w:tc>
          <w:tcPr>
            <w:tcW w:w="941" w:type="dxa"/>
            <w:vMerge w:val="restart"/>
            <w:tcBorders>
              <w:top w:val="single" w:sz="12" w:space="0" w:color="auto"/>
            </w:tcBorders>
            <w:shd w:val="clear" w:color="auto" w:fill="auto"/>
          </w:tcPr>
          <w:p w:rsidR="007234DD" w:rsidRDefault="007234DD">
            <w:pPr>
              <w:pStyle w:val="a5"/>
              <w:spacing w:after="20"/>
              <w:ind w:right="0"/>
              <w:jc w:val="right"/>
              <w:rPr>
                <w:b/>
              </w:rPr>
            </w:pPr>
            <w:r>
              <w:rPr>
                <w:b/>
              </w:rPr>
              <w:t>1,249</w:t>
            </w:r>
          </w:p>
        </w:tc>
      </w:tr>
      <w:tr w:rsidR="007234DD">
        <w:trPr>
          <w:cantSplit/>
        </w:trPr>
        <w:tc>
          <w:tcPr>
            <w:tcW w:w="861" w:type="dxa"/>
            <w:vMerge/>
            <w:shd w:val="clear" w:color="auto" w:fill="auto"/>
          </w:tcPr>
          <w:p w:rsidR="007234DD" w:rsidRDefault="007234DD">
            <w:pPr>
              <w:pStyle w:val="a5"/>
              <w:spacing w:after="20"/>
            </w:pPr>
          </w:p>
        </w:tc>
        <w:tc>
          <w:tcPr>
            <w:tcW w:w="865" w:type="dxa"/>
            <w:shd w:val="clear" w:color="auto" w:fill="auto"/>
          </w:tcPr>
          <w:p w:rsidR="007234DD" w:rsidRDefault="007234DD">
            <w:pPr>
              <w:pStyle w:val="a5"/>
              <w:spacing w:after="20"/>
              <w:ind w:right="0"/>
              <w:jc w:val="right"/>
            </w:pPr>
            <w:r>
              <w:t>女</w:t>
            </w:r>
          </w:p>
        </w:tc>
        <w:tc>
          <w:tcPr>
            <w:tcW w:w="940" w:type="dxa"/>
            <w:shd w:val="clear" w:color="auto" w:fill="auto"/>
          </w:tcPr>
          <w:p w:rsidR="007234DD" w:rsidRDefault="007234DD">
            <w:pPr>
              <w:pStyle w:val="a5"/>
              <w:spacing w:after="20"/>
              <w:ind w:right="0"/>
              <w:jc w:val="right"/>
            </w:pPr>
            <w:r>
              <w:t>48</w:t>
            </w:r>
          </w:p>
        </w:tc>
        <w:tc>
          <w:tcPr>
            <w:tcW w:w="941" w:type="dxa"/>
            <w:shd w:val="clear" w:color="auto" w:fill="auto"/>
          </w:tcPr>
          <w:p w:rsidR="007234DD" w:rsidRDefault="007234DD">
            <w:pPr>
              <w:pStyle w:val="a5"/>
              <w:spacing w:after="20"/>
              <w:ind w:right="0"/>
              <w:jc w:val="right"/>
            </w:pPr>
            <w:r>
              <w:t>56</w:t>
            </w:r>
          </w:p>
        </w:tc>
        <w:tc>
          <w:tcPr>
            <w:tcW w:w="941" w:type="dxa"/>
            <w:shd w:val="clear" w:color="auto" w:fill="auto"/>
          </w:tcPr>
          <w:p w:rsidR="007234DD" w:rsidRDefault="007234DD">
            <w:pPr>
              <w:pStyle w:val="a5"/>
              <w:spacing w:after="20"/>
              <w:ind w:right="0"/>
              <w:jc w:val="right"/>
            </w:pPr>
            <w:r>
              <w:t>321</w:t>
            </w:r>
          </w:p>
        </w:tc>
        <w:tc>
          <w:tcPr>
            <w:tcW w:w="940" w:type="dxa"/>
            <w:shd w:val="clear" w:color="auto" w:fill="auto"/>
          </w:tcPr>
          <w:p w:rsidR="007234DD" w:rsidRDefault="007234DD">
            <w:pPr>
              <w:pStyle w:val="a5"/>
              <w:spacing w:after="20"/>
              <w:ind w:right="0"/>
              <w:jc w:val="right"/>
            </w:pPr>
            <w:r>
              <w:t>149</w:t>
            </w:r>
          </w:p>
        </w:tc>
        <w:tc>
          <w:tcPr>
            <w:tcW w:w="941" w:type="dxa"/>
            <w:shd w:val="clear" w:color="auto" w:fill="auto"/>
          </w:tcPr>
          <w:p w:rsidR="007234DD" w:rsidRDefault="007234DD">
            <w:pPr>
              <w:pStyle w:val="a5"/>
              <w:spacing w:after="20"/>
              <w:ind w:right="0"/>
              <w:jc w:val="right"/>
              <w:rPr>
                <w:b/>
              </w:rPr>
            </w:pPr>
            <w:r>
              <w:rPr>
                <w:b/>
              </w:rPr>
              <w:t>574</w:t>
            </w:r>
          </w:p>
        </w:tc>
        <w:tc>
          <w:tcPr>
            <w:tcW w:w="941" w:type="dxa"/>
            <w:vMerge/>
            <w:shd w:val="clear" w:color="auto" w:fill="auto"/>
          </w:tcPr>
          <w:p w:rsidR="007234DD" w:rsidRDefault="007234DD">
            <w:pPr>
              <w:pStyle w:val="a5"/>
              <w:spacing w:after="20"/>
              <w:ind w:right="0"/>
              <w:jc w:val="right"/>
              <w:rPr>
                <w:b/>
              </w:rPr>
            </w:pPr>
          </w:p>
        </w:tc>
      </w:tr>
      <w:tr w:rsidR="007234DD">
        <w:trPr>
          <w:cantSplit/>
        </w:trPr>
        <w:tc>
          <w:tcPr>
            <w:tcW w:w="861" w:type="dxa"/>
            <w:vMerge w:val="restart"/>
            <w:shd w:val="clear" w:color="auto" w:fill="auto"/>
          </w:tcPr>
          <w:p w:rsidR="007234DD" w:rsidRDefault="007234DD">
            <w:pPr>
              <w:pStyle w:val="a5"/>
              <w:spacing w:after="20"/>
            </w:pPr>
            <w:r>
              <w:t>2005/06</w:t>
            </w:r>
          </w:p>
        </w:tc>
        <w:tc>
          <w:tcPr>
            <w:tcW w:w="865" w:type="dxa"/>
            <w:shd w:val="clear" w:color="auto" w:fill="auto"/>
          </w:tcPr>
          <w:p w:rsidR="007234DD" w:rsidRDefault="007234DD">
            <w:pPr>
              <w:pStyle w:val="a5"/>
              <w:spacing w:after="20"/>
              <w:ind w:right="0"/>
              <w:jc w:val="right"/>
            </w:pPr>
            <w:r>
              <w:t>男</w:t>
            </w:r>
          </w:p>
        </w:tc>
        <w:tc>
          <w:tcPr>
            <w:tcW w:w="940" w:type="dxa"/>
            <w:shd w:val="clear" w:color="auto" w:fill="auto"/>
          </w:tcPr>
          <w:p w:rsidR="007234DD" w:rsidRDefault="007234DD">
            <w:pPr>
              <w:pStyle w:val="a5"/>
              <w:spacing w:after="20"/>
              <w:ind w:right="0"/>
              <w:jc w:val="right"/>
            </w:pPr>
            <w:r>
              <w:t>12</w:t>
            </w:r>
          </w:p>
        </w:tc>
        <w:tc>
          <w:tcPr>
            <w:tcW w:w="941" w:type="dxa"/>
            <w:shd w:val="clear" w:color="auto" w:fill="auto"/>
          </w:tcPr>
          <w:p w:rsidR="007234DD" w:rsidRDefault="007234DD">
            <w:pPr>
              <w:pStyle w:val="a5"/>
              <w:spacing w:after="20"/>
              <w:ind w:right="0"/>
              <w:jc w:val="right"/>
            </w:pPr>
            <w:r>
              <w:t>21</w:t>
            </w:r>
          </w:p>
        </w:tc>
        <w:tc>
          <w:tcPr>
            <w:tcW w:w="941" w:type="dxa"/>
            <w:shd w:val="clear" w:color="auto" w:fill="auto"/>
          </w:tcPr>
          <w:p w:rsidR="007234DD" w:rsidRDefault="007234DD">
            <w:pPr>
              <w:pStyle w:val="a5"/>
              <w:spacing w:after="20"/>
              <w:ind w:right="0"/>
              <w:jc w:val="right"/>
            </w:pPr>
            <w:r>
              <w:t>82</w:t>
            </w:r>
          </w:p>
        </w:tc>
        <w:tc>
          <w:tcPr>
            <w:tcW w:w="940" w:type="dxa"/>
            <w:shd w:val="clear" w:color="auto" w:fill="auto"/>
          </w:tcPr>
          <w:p w:rsidR="007234DD" w:rsidRDefault="007234DD">
            <w:pPr>
              <w:pStyle w:val="a5"/>
              <w:spacing w:after="20"/>
              <w:ind w:right="0"/>
              <w:jc w:val="right"/>
            </w:pPr>
            <w:r>
              <w:t>142</w:t>
            </w:r>
          </w:p>
        </w:tc>
        <w:tc>
          <w:tcPr>
            <w:tcW w:w="941" w:type="dxa"/>
            <w:shd w:val="clear" w:color="auto" w:fill="auto"/>
          </w:tcPr>
          <w:p w:rsidR="007234DD" w:rsidRDefault="007234DD">
            <w:pPr>
              <w:pStyle w:val="a5"/>
              <w:spacing w:after="20"/>
              <w:ind w:right="0"/>
              <w:jc w:val="right"/>
              <w:rPr>
                <w:b/>
              </w:rPr>
            </w:pPr>
            <w:r>
              <w:rPr>
                <w:b/>
              </w:rPr>
              <w:t>257</w:t>
            </w:r>
          </w:p>
        </w:tc>
        <w:tc>
          <w:tcPr>
            <w:tcW w:w="941" w:type="dxa"/>
            <w:vMerge w:val="restart"/>
            <w:shd w:val="clear" w:color="auto" w:fill="auto"/>
          </w:tcPr>
          <w:p w:rsidR="007234DD" w:rsidRDefault="007234DD">
            <w:pPr>
              <w:pStyle w:val="a5"/>
              <w:spacing w:after="20"/>
              <w:ind w:right="0"/>
              <w:jc w:val="right"/>
              <w:rPr>
                <w:b/>
              </w:rPr>
            </w:pPr>
            <w:r>
              <w:rPr>
                <w:b/>
              </w:rPr>
              <w:t>489</w:t>
            </w:r>
          </w:p>
        </w:tc>
      </w:tr>
      <w:tr w:rsidR="007234DD">
        <w:trPr>
          <w:cantSplit/>
        </w:trPr>
        <w:tc>
          <w:tcPr>
            <w:tcW w:w="861" w:type="dxa"/>
            <w:vMerge/>
            <w:shd w:val="clear" w:color="auto" w:fill="auto"/>
          </w:tcPr>
          <w:p w:rsidR="007234DD" w:rsidRDefault="007234DD">
            <w:pPr>
              <w:pStyle w:val="a5"/>
              <w:spacing w:after="20"/>
            </w:pPr>
          </w:p>
        </w:tc>
        <w:tc>
          <w:tcPr>
            <w:tcW w:w="865" w:type="dxa"/>
            <w:shd w:val="clear" w:color="auto" w:fill="auto"/>
          </w:tcPr>
          <w:p w:rsidR="007234DD" w:rsidRDefault="007234DD">
            <w:pPr>
              <w:pStyle w:val="a5"/>
              <w:spacing w:after="20"/>
              <w:ind w:right="0"/>
              <w:jc w:val="right"/>
            </w:pPr>
            <w:r>
              <w:t>女</w:t>
            </w:r>
          </w:p>
        </w:tc>
        <w:tc>
          <w:tcPr>
            <w:tcW w:w="940" w:type="dxa"/>
            <w:shd w:val="clear" w:color="auto" w:fill="auto"/>
          </w:tcPr>
          <w:p w:rsidR="007234DD" w:rsidRDefault="007234DD">
            <w:pPr>
              <w:pStyle w:val="a5"/>
              <w:spacing w:after="20"/>
              <w:ind w:right="0"/>
              <w:jc w:val="right"/>
            </w:pPr>
            <w:r>
              <w:t>3</w:t>
            </w:r>
          </w:p>
        </w:tc>
        <w:tc>
          <w:tcPr>
            <w:tcW w:w="941" w:type="dxa"/>
            <w:shd w:val="clear" w:color="auto" w:fill="auto"/>
          </w:tcPr>
          <w:p w:rsidR="007234DD" w:rsidRDefault="007234DD">
            <w:pPr>
              <w:pStyle w:val="a5"/>
              <w:spacing w:after="20"/>
              <w:ind w:right="0"/>
              <w:jc w:val="right"/>
            </w:pPr>
            <w:r>
              <w:t>15</w:t>
            </w:r>
          </w:p>
        </w:tc>
        <w:tc>
          <w:tcPr>
            <w:tcW w:w="941" w:type="dxa"/>
            <w:shd w:val="clear" w:color="auto" w:fill="auto"/>
          </w:tcPr>
          <w:p w:rsidR="007234DD" w:rsidRDefault="007234DD">
            <w:pPr>
              <w:pStyle w:val="a5"/>
              <w:spacing w:after="20"/>
              <w:ind w:right="0"/>
              <w:jc w:val="right"/>
            </w:pPr>
            <w:r>
              <w:t>104</w:t>
            </w:r>
          </w:p>
        </w:tc>
        <w:tc>
          <w:tcPr>
            <w:tcW w:w="940" w:type="dxa"/>
            <w:shd w:val="clear" w:color="auto" w:fill="auto"/>
          </w:tcPr>
          <w:p w:rsidR="007234DD" w:rsidRDefault="007234DD">
            <w:pPr>
              <w:pStyle w:val="a5"/>
              <w:spacing w:after="20"/>
              <w:ind w:right="0"/>
              <w:jc w:val="right"/>
            </w:pPr>
            <w:r>
              <w:t>110</w:t>
            </w:r>
          </w:p>
        </w:tc>
        <w:tc>
          <w:tcPr>
            <w:tcW w:w="941" w:type="dxa"/>
            <w:shd w:val="clear" w:color="auto" w:fill="auto"/>
          </w:tcPr>
          <w:p w:rsidR="007234DD" w:rsidRDefault="007234DD">
            <w:pPr>
              <w:pStyle w:val="a5"/>
              <w:spacing w:after="20"/>
              <w:ind w:right="0"/>
              <w:jc w:val="right"/>
              <w:rPr>
                <w:b/>
              </w:rPr>
            </w:pPr>
            <w:r>
              <w:rPr>
                <w:b/>
              </w:rPr>
              <w:t>232</w:t>
            </w:r>
          </w:p>
        </w:tc>
        <w:tc>
          <w:tcPr>
            <w:tcW w:w="941" w:type="dxa"/>
            <w:vMerge/>
            <w:shd w:val="clear" w:color="auto" w:fill="auto"/>
          </w:tcPr>
          <w:p w:rsidR="007234DD" w:rsidRDefault="007234DD">
            <w:pPr>
              <w:pStyle w:val="a5"/>
              <w:spacing w:after="20"/>
              <w:ind w:right="0"/>
              <w:jc w:val="right"/>
              <w:rPr>
                <w:b/>
              </w:rPr>
            </w:pPr>
          </w:p>
        </w:tc>
      </w:tr>
      <w:tr w:rsidR="007234DD">
        <w:trPr>
          <w:cantSplit/>
        </w:trPr>
        <w:tc>
          <w:tcPr>
            <w:tcW w:w="861" w:type="dxa"/>
            <w:vMerge w:val="restart"/>
            <w:shd w:val="clear" w:color="auto" w:fill="auto"/>
          </w:tcPr>
          <w:p w:rsidR="007234DD" w:rsidRDefault="007234DD">
            <w:pPr>
              <w:pStyle w:val="a5"/>
              <w:spacing w:after="20"/>
            </w:pPr>
            <w:r>
              <w:t>2006/07</w:t>
            </w:r>
          </w:p>
        </w:tc>
        <w:tc>
          <w:tcPr>
            <w:tcW w:w="865" w:type="dxa"/>
            <w:shd w:val="clear" w:color="auto" w:fill="auto"/>
          </w:tcPr>
          <w:p w:rsidR="007234DD" w:rsidRDefault="007234DD">
            <w:pPr>
              <w:pStyle w:val="a5"/>
              <w:spacing w:after="20"/>
              <w:ind w:right="0"/>
              <w:jc w:val="right"/>
            </w:pPr>
            <w:r>
              <w:t>男</w:t>
            </w:r>
          </w:p>
        </w:tc>
        <w:tc>
          <w:tcPr>
            <w:tcW w:w="940" w:type="dxa"/>
            <w:shd w:val="clear" w:color="auto" w:fill="auto"/>
          </w:tcPr>
          <w:p w:rsidR="007234DD" w:rsidRDefault="007234DD">
            <w:pPr>
              <w:pStyle w:val="a5"/>
              <w:spacing w:after="20"/>
              <w:ind w:right="0"/>
              <w:jc w:val="right"/>
            </w:pPr>
            <w:r>
              <w:t>8</w:t>
            </w:r>
          </w:p>
        </w:tc>
        <w:tc>
          <w:tcPr>
            <w:tcW w:w="941" w:type="dxa"/>
            <w:shd w:val="clear" w:color="auto" w:fill="auto"/>
          </w:tcPr>
          <w:p w:rsidR="007234DD" w:rsidRDefault="007234DD">
            <w:pPr>
              <w:pStyle w:val="a5"/>
              <w:spacing w:after="20"/>
              <w:ind w:right="0"/>
              <w:jc w:val="right"/>
            </w:pPr>
            <w:r>
              <w:t>4</w:t>
            </w:r>
          </w:p>
        </w:tc>
        <w:tc>
          <w:tcPr>
            <w:tcW w:w="941" w:type="dxa"/>
            <w:shd w:val="clear" w:color="auto" w:fill="auto"/>
          </w:tcPr>
          <w:p w:rsidR="007234DD" w:rsidRDefault="007234DD">
            <w:pPr>
              <w:pStyle w:val="a5"/>
              <w:spacing w:after="20"/>
              <w:ind w:right="0"/>
              <w:jc w:val="right"/>
            </w:pPr>
            <w:r>
              <w:t>73</w:t>
            </w:r>
          </w:p>
        </w:tc>
        <w:tc>
          <w:tcPr>
            <w:tcW w:w="940" w:type="dxa"/>
            <w:shd w:val="clear" w:color="auto" w:fill="auto"/>
          </w:tcPr>
          <w:p w:rsidR="007234DD" w:rsidRDefault="007234DD">
            <w:pPr>
              <w:pStyle w:val="a5"/>
              <w:spacing w:after="20"/>
              <w:ind w:right="0"/>
              <w:jc w:val="right"/>
            </w:pPr>
            <w:r>
              <w:t>48</w:t>
            </w:r>
          </w:p>
        </w:tc>
        <w:tc>
          <w:tcPr>
            <w:tcW w:w="941" w:type="dxa"/>
            <w:shd w:val="clear" w:color="auto" w:fill="auto"/>
          </w:tcPr>
          <w:p w:rsidR="007234DD" w:rsidRDefault="007234DD">
            <w:pPr>
              <w:pStyle w:val="a5"/>
              <w:spacing w:after="20"/>
              <w:ind w:right="0"/>
              <w:jc w:val="right"/>
              <w:rPr>
                <w:b/>
              </w:rPr>
            </w:pPr>
            <w:r>
              <w:rPr>
                <w:b/>
              </w:rPr>
              <w:t>133</w:t>
            </w:r>
          </w:p>
        </w:tc>
        <w:tc>
          <w:tcPr>
            <w:tcW w:w="941" w:type="dxa"/>
            <w:vMerge w:val="restart"/>
            <w:shd w:val="clear" w:color="auto" w:fill="auto"/>
          </w:tcPr>
          <w:p w:rsidR="007234DD" w:rsidRDefault="007234DD">
            <w:pPr>
              <w:pStyle w:val="a5"/>
              <w:spacing w:after="20"/>
              <w:ind w:right="0"/>
              <w:jc w:val="right"/>
              <w:rPr>
                <w:b/>
              </w:rPr>
            </w:pPr>
            <w:r>
              <w:rPr>
                <w:b/>
              </w:rPr>
              <w:t>305</w:t>
            </w:r>
          </w:p>
        </w:tc>
      </w:tr>
      <w:tr w:rsidR="007234DD">
        <w:trPr>
          <w:cantSplit/>
        </w:trPr>
        <w:tc>
          <w:tcPr>
            <w:tcW w:w="861" w:type="dxa"/>
            <w:vMerge/>
            <w:shd w:val="clear" w:color="auto" w:fill="auto"/>
          </w:tcPr>
          <w:p w:rsidR="007234DD" w:rsidRDefault="007234DD">
            <w:pPr>
              <w:pStyle w:val="a5"/>
              <w:spacing w:after="20"/>
            </w:pPr>
          </w:p>
        </w:tc>
        <w:tc>
          <w:tcPr>
            <w:tcW w:w="865" w:type="dxa"/>
            <w:shd w:val="clear" w:color="auto" w:fill="auto"/>
          </w:tcPr>
          <w:p w:rsidR="007234DD" w:rsidRDefault="007234DD">
            <w:pPr>
              <w:pStyle w:val="a5"/>
              <w:spacing w:after="20"/>
              <w:ind w:right="0"/>
              <w:jc w:val="right"/>
            </w:pPr>
            <w:r>
              <w:t>女</w:t>
            </w:r>
          </w:p>
        </w:tc>
        <w:tc>
          <w:tcPr>
            <w:tcW w:w="940" w:type="dxa"/>
            <w:shd w:val="clear" w:color="auto" w:fill="auto"/>
          </w:tcPr>
          <w:p w:rsidR="007234DD" w:rsidRDefault="007234DD">
            <w:pPr>
              <w:pStyle w:val="a5"/>
              <w:spacing w:after="20"/>
              <w:ind w:right="0"/>
              <w:jc w:val="right"/>
            </w:pPr>
            <w:r>
              <w:t>3</w:t>
            </w:r>
          </w:p>
        </w:tc>
        <w:tc>
          <w:tcPr>
            <w:tcW w:w="941" w:type="dxa"/>
            <w:shd w:val="clear" w:color="auto" w:fill="auto"/>
          </w:tcPr>
          <w:p w:rsidR="007234DD" w:rsidRDefault="007234DD">
            <w:pPr>
              <w:pStyle w:val="a5"/>
              <w:spacing w:after="20"/>
              <w:ind w:right="0"/>
              <w:jc w:val="right"/>
            </w:pPr>
            <w:r>
              <w:t>8</w:t>
            </w:r>
          </w:p>
        </w:tc>
        <w:tc>
          <w:tcPr>
            <w:tcW w:w="941" w:type="dxa"/>
            <w:shd w:val="clear" w:color="auto" w:fill="auto"/>
          </w:tcPr>
          <w:p w:rsidR="007234DD" w:rsidRDefault="007234DD">
            <w:pPr>
              <w:pStyle w:val="a5"/>
              <w:spacing w:after="20"/>
              <w:ind w:right="0"/>
              <w:jc w:val="right"/>
            </w:pPr>
            <w:r>
              <w:t>91</w:t>
            </w:r>
          </w:p>
        </w:tc>
        <w:tc>
          <w:tcPr>
            <w:tcW w:w="940" w:type="dxa"/>
            <w:shd w:val="clear" w:color="auto" w:fill="auto"/>
          </w:tcPr>
          <w:p w:rsidR="007234DD" w:rsidRDefault="007234DD">
            <w:pPr>
              <w:pStyle w:val="a5"/>
              <w:spacing w:after="20"/>
              <w:ind w:right="0"/>
              <w:jc w:val="right"/>
            </w:pPr>
            <w:r>
              <w:t>70</w:t>
            </w:r>
          </w:p>
        </w:tc>
        <w:tc>
          <w:tcPr>
            <w:tcW w:w="941" w:type="dxa"/>
            <w:shd w:val="clear" w:color="auto" w:fill="auto"/>
          </w:tcPr>
          <w:p w:rsidR="007234DD" w:rsidRDefault="007234DD">
            <w:pPr>
              <w:pStyle w:val="a5"/>
              <w:spacing w:after="20"/>
              <w:ind w:right="0"/>
              <w:jc w:val="right"/>
              <w:rPr>
                <w:b/>
              </w:rPr>
            </w:pPr>
            <w:r>
              <w:rPr>
                <w:b/>
              </w:rPr>
              <w:t>172</w:t>
            </w:r>
          </w:p>
        </w:tc>
        <w:tc>
          <w:tcPr>
            <w:tcW w:w="941" w:type="dxa"/>
            <w:vMerge/>
            <w:shd w:val="clear" w:color="auto" w:fill="auto"/>
          </w:tcPr>
          <w:p w:rsidR="007234DD" w:rsidRDefault="007234DD">
            <w:pPr>
              <w:pStyle w:val="a5"/>
              <w:spacing w:after="20"/>
              <w:ind w:right="0"/>
              <w:jc w:val="right"/>
              <w:rPr>
                <w:b/>
              </w:rPr>
            </w:pPr>
          </w:p>
        </w:tc>
      </w:tr>
      <w:tr w:rsidR="007234DD">
        <w:trPr>
          <w:cantSplit/>
        </w:trPr>
        <w:tc>
          <w:tcPr>
            <w:tcW w:w="861" w:type="dxa"/>
            <w:vMerge w:val="restart"/>
            <w:shd w:val="clear" w:color="auto" w:fill="auto"/>
          </w:tcPr>
          <w:p w:rsidR="007234DD" w:rsidRDefault="007234DD">
            <w:pPr>
              <w:pStyle w:val="a5"/>
              <w:spacing w:after="20"/>
            </w:pPr>
            <w:r>
              <w:t>2007/08</w:t>
            </w:r>
          </w:p>
        </w:tc>
        <w:tc>
          <w:tcPr>
            <w:tcW w:w="865" w:type="dxa"/>
            <w:shd w:val="clear" w:color="auto" w:fill="auto"/>
          </w:tcPr>
          <w:p w:rsidR="007234DD" w:rsidRDefault="007234DD">
            <w:pPr>
              <w:pStyle w:val="a5"/>
              <w:spacing w:after="20"/>
              <w:ind w:right="0"/>
              <w:jc w:val="right"/>
            </w:pPr>
            <w:r>
              <w:t>男</w:t>
            </w:r>
          </w:p>
        </w:tc>
        <w:tc>
          <w:tcPr>
            <w:tcW w:w="940" w:type="dxa"/>
            <w:shd w:val="clear" w:color="auto" w:fill="auto"/>
          </w:tcPr>
          <w:p w:rsidR="007234DD" w:rsidRDefault="007234DD">
            <w:pPr>
              <w:pStyle w:val="a5"/>
              <w:spacing w:after="20"/>
              <w:ind w:right="0"/>
              <w:jc w:val="right"/>
            </w:pPr>
            <w:r>
              <w:t>1</w:t>
            </w:r>
          </w:p>
        </w:tc>
        <w:tc>
          <w:tcPr>
            <w:tcW w:w="941" w:type="dxa"/>
            <w:shd w:val="clear" w:color="auto" w:fill="auto"/>
          </w:tcPr>
          <w:p w:rsidR="007234DD" w:rsidRDefault="007234DD">
            <w:pPr>
              <w:pStyle w:val="a5"/>
              <w:spacing w:after="20"/>
              <w:ind w:right="0"/>
              <w:jc w:val="right"/>
            </w:pPr>
            <w:r>
              <w:t>9</w:t>
            </w:r>
          </w:p>
        </w:tc>
        <w:tc>
          <w:tcPr>
            <w:tcW w:w="941" w:type="dxa"/>
            <w:shd w:val="clear" w:color="auto" w:fill="auto"/>
          </w:tcPr>
          <w:p w:rsidR="007234DD" w:rsidRDefault="007234DD">
            <w:pPr>
              <w:pStyle w:val="a5"/>
              <w:spacing w:after="20"/>
              <w:ind w:right="0"/>
              <w:jc w:val="right"/>
            </w:pPr>
            <w:r>
              <w:t>111</w:t>
            </w:r>
          </w:p>
        </w:tc>
        <w:tc>
          <w:tcPr>
            <w:tcW w:w="940" w:type="dxa"/>
            <w:shd w:val="clear" w:color="auto" w:fill="auto"/>
          </w:tcPr>
          <w:p w:rsidR="007234DD" w:rsidRDefault="007234DD">
            <w:pPr>
              <w:pStyle w:val="a5"/>
              <w:spacing w:after="20"/>
              <w:ind w:right="0"/>
              <w:jc w:val="right"/>
            </w:pPr>
            <w:r>
              <w:t>45</w:t>
            </w:r>
          </w:p>
        </w:tc>
        <w:tc>
          <w:tcPr>
            <w:tcW w:w="941" w:type="dxa"/>
            <w:shd w:val="clear" w:color="auto" w:fill="auto"/>
          </w:tcPr>
          <w:p w:rsidR="007234DD" w:rsidRDefault="007234DD">
            <w:pPr>
              <w:pStyle w:val="a5"/>
              <w:spacing w:after="20"/>
              <w:ind w:right="0"/>
              <w:jc w:val="right"/>
              <w:rPr>
                <w:b/>
              </w:rPr>
            </w:pPr>
            <w:r>
              <w:rPr>
                <w:b/>
              </w:rPr>
              <w:t>166</w:t>
            </w:r>
          </w:p>
        </w:tc>
        <w:tc>
          <w:tcPr>
            <w:tcW w:w="941" w:type="dxa"/>
            <w:vMerge w:val="restart"/>
            <w:shd w:val="clear" w:color="auto" w:fill="auto"/>
          </w:tcPr>
          <w:p w:rsidR="007234DD" w:rsidRDefault="007234DD">
            <w:pPr>
              <w:pStyle w:val="a5"/>
              <w:spacing w:after="20"/>
              <w:ind w:right="0"/>
              <w:jc w:val="right"/>
              <w:rPr>
                <w:b/>
              </w:rPr>
            </w:pPr>
            <w:r>
              <w:rPr>
                <w:b/>
              </w:rPr>
              <w:t>391</w:t>
            </w:r>
          </w:p>
        </w:tc>
      </w:tr>
      <w:tr w:rsidR="007234DD">
        <w:trPr>
          <w:cantSplit/>
        </w:trPr>
        <w:tc>
          <w:tcPr>
            <w:tcW w:w="861" w:type="dxa"/>
            <w:vMerge/>
            <w:shd w:val="clear" w:color="auto" w:fill="auto"/>
          </w:tcPr>
          <w:p w:rsidR="007234DD" w:rsidRDefault="007234DD">
            <w:pPr>
              <w:pStyle w:val="a5"/>
              <w:spacing w:after="20"/>
            </w:pPr>
          </w:p>
        </w:tc>
        <w:tc>
          <w:tcPr>
            <w:tcW w:w="865" w:type="dxa"/>
            <w:shd w:val="clear" w:color="auto" w:fill="auto"/>
          </w:tcPr>
          <w:p w:rsidR="007234DD" w:rsidRDefault="007234DD">
            <w:pPr>
              <w:pStyle w:val="a5"/>
              <w:spacing w:after="20"/>
              <w:ind w:right="0"/>
              <w:jc w:val="right"/>
            </w:pPr>
            <w:r>
              <w:t>女</w:t>
            </w:r>
          </w:p>
        </w:tc>
        <w:tc>
          <w:tcPr>
            <w:tcW w:w="940" w:type="dxa"/>
            <w:shd w:val="clear" w:color="auto" w:fill="auto"/>
          </w:tcPr>
          <w:p w:rsidR="007234DD" w:rsidRDefault="007234DD">
            <w:pPr>
              <w:pStyle w:val="a5"/>
              <w:spacing w:after="20"/>
              <w:ind w:right="0"/>
              <w:jc w:val="right"/>
            </w:pPr>
            <w:r>
              <w:t>6</w:t>
            </w:r>
          </w:p>
        </w:tc>
        <w:tc>
          <w:tcPr>
            <w:tcW w:w="941" w:type="dxa"/>
            <w:shd w:val="clear" w:color="auto" w:fill="auto"/>
          </w:tcPr>
          <w:p w:rsidR="007234DD" w:rsidRDefault="007234DD">
            <w:pPr>
              <w:pStyle w:val="a5"/>
              <w:spacing w:after="20"/>
              <w:ind w:right="0"/>
              <w:jc w:val="right"/>
            </w:pPr>
            <w:r>
              <w:t>8</w:t>
            </w:r>
          </w:p>
        </w:tc>
        <w:tc>
          <w:tcPr>
            <w:tcW w:w="941" w:type="dxa"/>
            <w:shd w:val="clear" w:color="auto" w:fill="auto"/>
          </w:tcPr>
          <w:p w:rsidR="007234DD" w:rsidRDefault="007234DD">
            <w:pPr>
              <w:pStyle w:val="a5"/>
              <w:spacing w:after="20"/>
              <w:ind w:right="0"/>
              <w:jc w:val="right"/>
            </w:pPr>
            <w:r>
              <w:t>137</w:t>
            </w:r>
          </w:p>
        </w:tc>
        <w:tc>
          <w:tcPr>
            <w:tcW w:w="940" w:type="dxa"/>
            <w:shd w:val="clear" w:color="auto" w:fill="auto"/>
          </w:tcPr>
          <w:p w:rsidR="007234DD" w:rsidRDefault="007234DD">
            <w:pPr>
              <w:pStyle w:val="a5"/>
              <w:spacing w:after="20"/>
              <w:ind w:right="0"/>
              <w:jc w:val="right"/>
            </w:pPr>
            <w:r>
              <w:t>74</w:t>
            </w:r>
          </w:p>
        </w:tc>
        <w:tc>
          <w:tcPr>
            <w:tcW w:w="941" w:type="dxa"/>
            <w:shd w:val="clear" w:color="auto" w:fill="auto"/>
          </w:tcPr>
          <w:p w:rsidR="007234DD" w:rsidRDefault="007234DD">
            <w:pPr>
              <w:pStyle w:val="a5"/>
              <w:spacing w:after="20"/>
              <w:ind w:right="0"/>
              <w:jc w:val="right"/>
              <w:rPr>
                <w:b/>
              </w:rPr>
            </w:pPr>
            <w:r>
              <w:rPr>
                <w:b/>
              </w:rPr>
              <w:t>225</w:t>
            </w:r>
          </w:p>
        </w:tc>
        <w:tc>
          <w:tcPr>
            <w:tcW w:w="941" w:type="dxa"/>
            <w:vMerge/>
            <w:shd w:val="clear" w:color="auto" w:fill="auto"/>
          </w:tcPr>
          <w:p w:rsidR="007234DD" w:rsidRDefault="007234DD">
            <w:pPr>
              <w:pStyle w:val="a5"/>
              <w:spacing w:after="20"/>
              <w:ind w:right="0"/>
              <w:jc w:val="right"/>
              <w:rPr>
                <w:b/>
              </w:rPr>
            </w:pPr>
          </w:p>
        </w:tc>
      </w:tr>
      <w:tr w:rsidR="007234DD">
        <w:trPr>
          <w:cantSplit/>
        </w:trPr>
        <w:tc>
          <w:tcPr>
            <w:tcW w:w="861" w:type="dxa"/>
            <w:vMerge w:val="restart"/>
            <w:shd w:val="clear" w:color="auto" w:fill="auto"/>
          </w:tcPr>
          <w:p w:rsidR="007234DD" w:rsidRDefault="007234DD">
            <w:pPr>
              <w:pStyle w:val="a5"/>
              <w:spacing w:after="20"/>
            </w:pPr>
            <w:r>
              <w:t>2008/09</w:t>
            </w:r>
          </w:p>
        </w:tc>
        <w:tc>
          <w:tcPr>
            <w:tcW w:w="865" w:type="dxa"/>
            <w:shd w:val="clear" w:color="auto" w:fill="auto"/>
          </w:tcPr>
          <w:p w:rsidR="007234DD" w:rsidRDefault="007234DD">
            <w:pPr>
              <w:pStyle w:val="a5"/>
              <w:spacing w:after="20"/>
              <w:ind w:right="0"/>
              <w:jc w:val="right"/>
            </w:pPr>
            <w:r>
              <w:t>男</w:t>
            </w:r>
          </w:p>
        </w:tc>
        <w:tc>
          <w:tcPr>
            <w:tcW w:w="940" w:type="dxa"/>
            <w:shd w:val="clear" w:color="auto" w:fill="auto"/>
          </w:tcPr>
          <w:p w:rsidR="007234DD" w:rsidRDefault="007234DD">
            <w:pPr>
              <w:pStyle w:val="a5"/>
              <w:spacing w:after="20"/>
              <w:ind w:right="0"/>
              <w:jc w:val="right"/>
            </w:pPr>
            <w:r>
              <w:t>4</w:t>
            </w:r>
          </w:p>
        </w:tc>
        <w:tc>
          <w:tcPr>
            <w:tcW w:w="941" w:type="dxa"/>
            <w:shd w:val="clear" w:color="auto" w:fill="auto"/>
          </w:tcPr>
          <w:p w:rsidR="007234DD" w:rsidRDefault="007234DD">
            <w:pPr>
              <w:pStyle w:val="a5"/>
              <w:spacing w:after="20"/>
              <w:ind w:right="0"/>
              <w:jc w:val="right"/>
            </w:pPr>
            <w:r>
              <w:t>10</w:t>
            </w:r>
          </w:p>
        </w:tc>
        <w:tc>
          <w:tcPr>
            <w:tcW w:w="941" w:type="dxa"/>
            <w:shd w:val="clear" w:color="auto" w:fill="auto"/>
          </w:tcPr>
          <w:p w:rsidR="007234DD" w:rsidRDefault="007234DD">
            <w:pPr>
              <w:pStyle w:val="a5"/>
              <w:spacing w:after="20"/>
              <w:ind w:right="0"/>
              <w:jc w:val="right"/>
            </w:pPr>
            <w:r>
              <w:t>83</w:t>
            </w:r>
          </w:p>
        </w:tc>
        <w:tc>
          <w:tcPr>
            <w:tcW w:w="940" w:type="dxa"/>
            <w:shd w:val="clear" w:color="auto" w:fill="auto"/>
          </w:tcPr>
          <w:p w:rsidR="007234DD" w:rsidRDefault="007234DD">
            <w:pPr>
              <w:pStyle w:val="a5"/>
              <w:spacing w:after="20"/>
              <w:ind w:right="0"/>
              <w:jc w:val="right"/>
            </w:pPr>
            <w:r>
              <w:t>76</w:t>
            </w:r>
          </w:p>
        </w:tc>
        <w:tc>
          <w:tcPr>
            <w:tcW w:w="941" w:type="dxa"/>
            <w:shd w:val="clear" w:color="auto" w:fill="auto"/>
          </w:tcPr>
          <w:p w:rsidR="007234DD" w:rsidRDefault="007234DD">
            <w:pPr>
              <w:pStyle w:val="a5"/>
              <w:spacing w:after="20"/>
              <w:ind w:right="0"/>
              <w:jc w:val="right"/>
              <w:rPr>
                <w:b/>
              </w:rPr>
            </w:pPr>
            <w:r>
              <w:rPr>
                <w:b/>
              </w:rPr>
              <w:t>173</w:t>
            </w:r>
          </w:p>
        </w:tc>
        <w:tc>
          <w:tcPr>
            <w:tcW w:w="941" w:type="dxa"/>
            <w:vMerge w:val="restart"/>
            <w:shd w:val="clear" w:color="auto" w:fill="auto"/>
          </w:tcPr>
          <w:p w:rsidR="007234DD" w:rsidRDefault="007234DD">
            <w:pPr>
              <w:pStyle w:val="a5"/>
              <w:spacing w:after="20"/>
              <w:ind w:right="0"/>
              <w:jc w:val="right"/>
              <w:rPr>
                <w:b/>
              </w:rPr>
            </w:pPr>
            <w:r>
              <w:rPr>
                <w:b/>
              </w:rPr>
              <w:t>462</w:t>
            </w:r>
          </w:p>
        </w:tc>
      </w:tr>
      <w:tr w:rsidR="007234DD">
        <w:trPr>
          <w:cantSplit/>
        </w:trPr>
        <w:tc>
          <w:tcPr>
            <w:tcW w:w="861" w:type="dxa"/>
            <w:vMerge/>
            <w:shd w:val="clear" w:color="auto" w:fill="auto"/>
          </w:tcPr>
          <w:p w:rsidR="007234DD" w:rsidRDefault="007234DD">
            <w:pPr>
              <w:pStyle w:val="a5"/>
              <w:spacing w:after="20"/>
            </w:pPr>
          </w:p>
        </w:tc>
        <w:tc>
          <w:tcPr>
            <w:tcW w:w="865" w:type="dxa"/>
            <w:shd w:val="clear" w:color="auto" w:fill="auto"/>
          </w:tcPr>
          <w:p w:rsidR="007234DD" w:rsidRDefault="007234DD">
            <w:pPr>
              <w:pStyle w:val="a5"/>
              <w:spacing w:after="20"/>
              <w:ind w:right="0"/>
              <w:jc w:val="right"/>
            </w:pPr>
            <w:r>
              <w:t>女</w:t>
            </w:r>
          </w:p>
        </w:tc>
        <w:tc>
          <w:tcPr>
            <w:tcW w:w="940" w:type="dxa"/>
            <w:shd w:val="clear" w:color="auto" w:fill="auto"/>
          </w:tcPr>
          <w:p w:rsidR="007234DD" w:rsidRDefault="007234DD">
            <w:pPr>
              <w:pStyle w:val="a5"/>
              <w:spacing w:after="20"/>
              <w:ind w:right="0"/>
              <w:jc w:val="right"/>
            </w:pPr>
            <w:r>
              <w:t>3</w:t>
            </w:r>
          </w:p>
        </w:tc>
        <w:tc>
          <w:tcPr>
            <w:tcW w:w="941" w:type="dxa"/>
            <w:shd w:val="clear" w:color="auto" w:fill="auto"/>
          </w:tcPr>
          <w:p w:rsidR="007234DD" w:rsidRDefault="007234DD">
            <w:pPr>
              <w:pStyle w:val="a5"/>
              <w:spacing w:after="20"/>
              <w:ind w:right="0"/>
              <w:jc w:val="right"/>
            </w:pPr>
            <w:r>
              <w:t>10</w:t>
            </w:r>
          </w:p>
        </w:tc>
        <w:tc>
          <w:tcPr>
            <w:tcW w:w="941" w:type="dxa"/>
            <w:shd w:val="clear" w:color="auto" w:fill="auto"/>
          </w:tcPr>
          <w:p w:rsidR="007234DD" w:rsidRDefault="007234DD">
            <w:pPr>
              <w:pStyle w:val="a5"/>
              <w:spacing w:after="20"/>
              <w:ind w:right="0"/>
              <w:jc w:val="right"/>
            </w:pPr>
            <w:r>
              <w:t>90</w:t>
            </w:r>
          </w:p>
        </w:tc>
        <w:tc>
          <w:tcPr>
            <w:tcW w:w="940" w:type="dxa"/>
            <w:shd w:val="clear" w:color="auto" w:fill="auto"/>
          </w:tcPr>
          <w:p w:rsidR="007234DD" w:rsidRDefault="007234DD">
            <w:pPr>
              <w:pStyle w:val="a5"/>
              <w:spacing w:after="20"/>
              <w:ind w:right="0"/>
              <w:jc w:val="right"/>
            </w:pPr>
            <w:r>
              <w:t>186</w:t>
            </w:r>
          </w:p>
        </w:tc>
        <w:tc>
          <w:tcPr>
            <w:tcW w:w="941" w:type="dxa"/>
            <w:shd w:val="clear" w:color="auto" w:fill="auto"/>
          </w:tcPr>
          <w:p w:rsidR="007234DD" w:rsidRDefault="007234DD">
            <w:pPr>
              <w:pStyle w:val="a5"/>
              <w:spacing w:after="20"/>
              <w:ind w:right="0"/>
              <w:jc w:val="right"/>
              <w:rPr>
                <w:b/>
              </w:rPr>
            </w:pPr>
            <w:r>
              <w:rPr>
                <w:b/>
              </w:rPr>
              <w:t>289</w:t>
            </w:r>
          </w:p>
        </w:tc>
        <w:tc>
          <w:tcPr>
            <w:tcW w:w="941" w:type="dxa"/>
            <w:vMerge/>
            <w:shd w:val="clear" w:color="auto" w:fill="auto"/>
          </w:tcPr>
          <w:p w:rsidR="007234DD" w:rsidRDefault="007234DD">
            <w:pPr>
              <w:pStyle w:val="a5"/>
              <w:spacing w:after="20"/>
              <w:ind w:right="0"/>
              <w:jc w:val="right"/>
              <w:rPr>
                <w:b/>
              </w:rPr>
            </w:pPr>
          </w:p>
        </w:tc>
      </w:tr>
      <w:tr w:rsidR="007234DD">
        <w:trPr>
          <w:cantSplit/>
        </w:trPr>
        <w:tc>
          <w:tcPr>
            <w:tcW w:w="861" w:type="dxa"/>
            <w:shd w:val="clear" w:color="auto" w:fill="auto"/>
          </w:tcPr>
          <w:p w:rsidR="007234DD" w:rsidRDefault="007234DD">
            <w:pPr>
              <w:pStyle w:val="a5"/>
              <w:spacing w:after="20"/>
            </w:pPr>
            <w:r>
              <w:t>2009/10</w:t>
            </w:r>
          </w:p>
        </w:tc>
        <w:tc>
          <w:tcPr>
            <w:tcW w:w="865" w:type="dxa"/>
            <w:shd w:val="clear" w:color="auto" w:fill="auto"/>
          </w:tcPr>
          <w:p w:rsidR="007234DD" w:rsidRDefault="007234DD">
            <w:pPr>
              <w:pStyle w:val="a5"/>
              <w:spacing w:after="20"/>
              <w:ind w:right="0"/>
              <w:jc w:val="right"/>
            </w:pPr>
            <w:r>
              <w:t>男</w:t>
            </w:r>
          </w:p>
        </w:tc>
        <w:tc>
          <w:tcPr>
            <w:tcW w:w="940" w:type="dxa"/>
            <w:shd w:val="clear" w:color="auto" w:fill="auto"/>
          </w:tcPr>
          <w:p w:rsidR="007234DD" w:rsidRDefault="007234DD">
            <w:pPr>
              <w:pStyle w:val="a5"/>
              <w:spacing w:after="20"/>
              <w:ind w:right="0"/>
              <w:jc w:val="right"/>
            </w:pPr>
            <w:r>
              <w:t>3</w:t>
            </w:r>
          </w:p>
        </w:tc>
        <w:tc>
          <w:tcPr>
            <w:tcW w:w="941" w:type="dxa"/>
            <w:shd w:val="clear" w:color="auto" w:fill="auto"/>
          </w:tcPr>
          <w:p w:rsidR="007234DD" w:rsidRDefault="007234DD">
            <w:pPr>
              <w:pStyle w:val="a5"/>
              <w:spacing w:after="20"/>
              <w:ind w:right="0"/>
              <w:jc w:val="right"/>
            </w:pPr>
            <w:r>
              <w:t>24</w:t>
            </w:r>
          </w:p>
        </w:tc>
        <w:tc>
          <w:tcPr>
            <w:tcW w:w="941" w:type="dxa"/>
            <w:shd w:val="clear" w:color="auto" w:fill="auto"/>
          </w:tcPr>
          <w:p w:rsidR="007234DD" w:rsidRDefault="007234DD">
            <w:pPr>
              <w:pStyle w:val="a5"/>
              <w:spacing w:after="20"/>
              <w:ind w:right="0"/>
              <w:jc w:val="right"/>
            </w:pPr>
            <w:r>
              <w:t>117</w:t>
            </w:r>
          </w:p>
        </w:tc>
        <w:tc>
          <w:tcPr>
            <w:tcW w:w="940" w:type="dxa"/>
            <w:shd w:val="clear" w:color="auto" w:fill="auto"/>
          </w:tcPr>
          <w:p w:rsidR="007234DD" w:rsidRDefault="007234DD">
            <w:pPr>
              <w:pStyle w:val="a5"/>
              <w:spacing w:after="20"/>
              <w:ind w:right="0"/>
              <w:jc w:val="right"/>
            </w:pPr>
            <w:r>
              <w:t>87</w:t>
            </w:r>
          </w:p>
        </w:tc>
        <w:tc>
          <w:tcPr>
            <w:tcW w:w="941" w:type="dxa"/>
            <w:shd w:val="clear" w:color="auto" w:fill="auto"/>
          </w:tcPr>
          <w:p w:rsidR="007234DD" w:rsidRDefault="007234DD">
            <w:pPr>
              <w:pStyle w:val="a5"/>
              <w:spacing w:after="20"/>
              <w:ind w:right="0"/>
              <w:jc w:val="right"/>
              <w:rPr>
                <w:b/>
              </w:rPr>
            </w:pPr>
            <w:r>
              <w:rPr>
                <w:b/>
              </w:rPr>
              <w:t>231</w:t>
            </w:r>
          </w:p>
        </w:tc>
        <w:tc>
          <w:tcPr>
            <w:tcW w:w="941" w:type="dxa"/>
            <w:shd w:val="clear" w:color="auto" w:fill="auto"/>
          </w:tcPr>
          <w:p w:rsidR="007234DD" w:rsidRDefault="007234DD">
            <w:pPr>
              <w:pStyle w:val="a5"/>
              <w:spacing w:after="20"/>
              <w:ind w:right="0"/>
              <w:jc w:val="right"/>
              <w:rPr>
                <w:b/>
              </w:rPr>
            </w:pPr>
          </w:p>
        </w:tc>
      </w:tr>
      <w:tr w:rsidR="007234DD">
        <w:trPr>
          <w:cantSplit/>
        </w:trPr>
        <w:tc>
          <w:tcPr>
            <w:tcW w:w="861" w:type="dxa"/>
            <w:tcBorders>
              <w:bottom w:val="single" w:sz="12" w:space="0" w:color="auto"/>
            </w:tcBorders>
            <w:shd w:val="clear" w:color="auto" w:fill="auto"/>
          </w:tcPr>
          <w:p w:rsidR="007234DD" w:rsidRDefault="007234DD">
            <w:pPr>
              <w:pStyle w:val="a5"/>
            </w:pPr>
          </w:p>
        </w:tc>
        <w:tc>
          <w:tcPr>
            <w:tcW w:w="865" w:type="dxa"/>
            <w:tcBorders>
              <w:bottom w:val="single" w:sz="12" w:space="0" w:color="auto"/>
            </w:tcBorders>
            <w:shd w:val="clear" w:color="auto" w:fill="auto"/>
          </w:tcPr>
          <w:p w:rsidR="007234DD" w:rsidRDefault="007234DD">
            <w:pPr>
              <w:pStyle w:val="a5"/>
              <w:ind w:right="0"/>
              <w:jc w:val="right"/>
            </w:pPr>
            <w:r>
              <w:t>女</w:t>
            </w:r>
          </w:p>
        </w:tc>
        <w:tc>
          <w:tcPr>
            <w:tcW w:w="940" w:type="dxa"/>
            <w:tcBorders>
              <w:bottom w:val="single" w:sz="12" w:space="0" w:color="auto"/>
            </w:tcBorders>
            <w:shd w:val="clear" w:color="auto" w:fill="auto"/>
          </w:tcPr>
          <w:p w:rsidR="007234DD" w:rsidRDefault="007234DD">
            <w:pPr>
              <w:pStyle w:val="a5"/>
              <w:ind w:right="0"/>
              <w:jc w:val="right"/>
            </w:pPr>
            <w:r>
              <w:t>0</w:t>
            </w:r>
          </w:p>
        </w:tc>
        <w:tc>
          <w:tcPr>
            <w:tcW w:w="941" w:type="dxa"/>
            <w:tcBorders>
              <w:bottom w:val="single" w:sz="12" w:space="0" w:color="auto"/>
            </w:tcBorders>
            <w:shd w:val="clear" w:color="auto" w:fill="auto"/>
          </w:tcPr>
          <w:p w:rsidR="007234DD" w:rsidRDefault="007234DD">
            <w:pPr>
              <w:pStyle w:val="a5"/>
              <w:ind w:right="0"/>
              <w:jc w:val="right"/>
            </w:pPr>
            <w:r>
              <w:t>18</w:t>
            </w:r>
          </w:p>
        </w:tc>
        <w:tc>
          <w:tcPr>
            <w:tcW w:w="941" w:type="dxa"/>
            <w:tcBorders>
              <w:bottom w:val="single" w:sz="12" w:space="0" w:color="auto"/>
            </w:tcBorders>
            <w:shd w:val="clear" w:color="auto" w:fill="auto"/>
          </w:tcPr>
          <w:p w:rsidR="007234DD" w:rsidRDefault="007234DD">
            <w:pPr>
              <w:pStyle w:val="a5"/>
              <w:ind w:right="0"/>
              <w:jc w:val="right"/>
            </w:pPr>
            <w:r>
              <w:t>124</w:t>
            </w:r>
          </w:p>
        </w:tc>
        <w:tc>
          <w:tcPr>
            <w:tcW w:w="940" w:type="dxa"/>
            <w:tcBorders>
              <w:bottom w:val="single" w:sz="12" w:space="0" w:color="auto"/>
            </w:tcBorders>
            <w:shd w:val="clear" w:color="auto" w:fill="auto"/>
          </w:tcPr>
          <w:p w:rsidR="007234DD" w:rsidRDefault="007234DD">
            <w:pPr>
              <w:pStyle w:val="a5"/>
              <w:ind w:right="0"/>
              <w:jc w:val="right"/>
            </w:pPr>
            <w:r>
              <w:t>153</w:t>
            </w:r>
          </w:p>
        </w:tc>
        <w:tc>
          <w:tcPr>
            <w:tcW w:w="941" w:type="dxa"/>
            <w:tcBorders>
              <w:bottom w:val="single" w:sz="12" w:space="0" w:color="auto"/>
            </w:tcBorders>
            <w:shd w:val="clear" w:color="auto" w:fill="auto"/>
          </w:tcPr>
          <w:p w:rsidR="007234DD" w:rsidRDefault="007234DD">
            <w:pPr>
              <w:pStyle w:val="a5"/>
              <w:ind w:right="0"/>
              <w:jc w:val="right"/>
              <w:rPr>
                <w:b/>
              </w:rPr>
            </w:pPr>
            <w:r>
              <w:rPr>
                <w:b/>
              </w:rPr>
              <w:t>295</w:t>
            </w:r>
          </w:p>
        </w:tc>
        <w:tc>
          <w:tcPr>
            <w:tcW w:w="941" w:type="dxa"/>
            <w:tcBorders>
              <w:bottom w:val="single" w:sz="12" w:space="0" w:color="auto"/>
            </w:tcBorders>
            <w:shd w:val="clear" w:color="auto" w:fill="auto"/>
          </w:tcPr>
          <w:p w:rsidR="007234DD" w:rsidRDefault="007234DD">
            <w:pPr>
              <w:pStyle w:val="a5"/>
              <w:ind w:right="0"/>
              <w:jc w:val="right"/>
              <w:rPr>
                <w:b/>
              </w:rPr>
            </w:pPr>
            <w:r>
              <w:rPr>
                <w:b/>
              </w:rPr>
              <w:t>526</w:t>
            </w:r>
          </w:p>
        </w:tc>
      </w:tr>
    </w:tbl>
    <w:p w:rsidR="007234DD" w:rsidRDefault="007234DD" w:rsidP="005D71D9">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卡塔尔国，最高教育委员会，</w:t>
      </w:r>
      <w:r>
        <w:rPr>
          <w:rFonts w:hint="eastAsia"/>
          <w:sz w:val="19"/>
          <w:szCs w:val="19"/>
        </w:rPr>
        <w:t>2010</w:t>
      </w:r>
      <w:r>
        <w:rPr>
          <w:rFonts w:hint="eastAsia"/>
          <w:sz w:val="19"/>
          <w:szCs w:val="19"/>
        </w:rPr>
        <w:t>年，未公布数字。</w:t>
      </w:r>
    </w:p>
    <w:p w:rsidR="007234DD" w:rsidRDefault="007234DD">
      <w:pPr>
        <w:pStyle w:val="SingleTxtGC"/>
        <w:rPr>
          <w:rFonts w:hint="eastAsia"/>
        </w:rPr>
      </w:pPr>
      <w:r>
        <w:t xml:space="preserve">247.  </w:t>
      </w:r>
      <w:r>
        <w:rPr>
          <w:rFonts w:hint="eastAsia"/>
        </w:rPr>
        <w:t>国家鼓励学生追求卓越。为此，它已经：设立“学术卓越日奖”；促进卡塔尔社会的创新文化；采用国际卓越标准；制定质量方案；支持个人和机构改善教育成果的举措，包括认可实现学术卓越的人员；发展卓越的定义；鼓励个人和机构改善自己的绩效；培养对知识和科学研究的积极态度；培养学生的创新精神；提高学生在研究、创新思维和发挥才智方面的能力；以及在旨在鼓励创新和提高各领域质量和绩效标准的宏伟大计背景下培养学生之间的竞争精神。下表所载的是</w:t>
      </w:r>
      <w:r>
        <w:rPr>
          <w:rFonts w:hint="eastAsia"/>
        </w:rPr>
        <w:t>2006</w:t>
      </w:r>
      <w:r>
        <w:rPr>
          <w:rFonts w:hint="eastAsia"/>
        </w:rPr>
        <w:t>年至</w:t>
      </w:r>
      <w:r>
        <w:rPr>
          <w:rFonts w:hint="eastAsia"/>
        </w:rPr>
        <w:t>2009</w:t>
      </w:r>
      <w:r>
        <w:rPr>
          <w:rFonts w:hint="eastAsia"/>
        </w:rPr>
        <w:t>年期间颁发的奖项和获奖人员的数字。</w:t>
      </w:r>
    </w:p>
    <w:p w:rsidR="007234DD" w:rsidRDefault="007234DD">
      <w:pPr>
        <w:pStyle w:val="SingleTxtGC"/>
      </w:pPr>
      <w:r>
        <w:rPr>
          <w:rFonts w:hint="eastAsia"/>
        </w:rPr>
        <w:t>表</w:t>
      </w:r>
      <w:r>
        <w:t>19</w:t>
      </w:r>
      <w:r>
        <w:rPr>
          <w:rFonts w:hint="eastAsia"/>
        </w:rPr>
        <w:br/>
      </w:r>
      <w:r>
        <w:rPr>
          <w:rFonts w:eastAsia="SimHei"/>
        </w:rPr>
        <w:t>2006/09</w:t>
      </w:r>
      <w:r>
        <w:rPr>
          <w:rFonts w:eastAsia="SimHei"/>
        </w:rPr>
        <w:t>学年的奖项类别和获奖者</w:t>
      </w:r>
    </w:p>
    <w:tbl>
      <w:tblPr>
        <w:tblW w:w="7370" w:type="dxa"/>
        <w:tblInd w:w="1134" w:type="dxa"/>
        <w:tblLayout w:type="fixed"/>
        <w:tblCellMar>
          <w:left w:w="0" w:type="dxa"/>
          <w:right w:w="0" w:type="dxa"/>
        </w:tblCellMar>
        <w:tblLook w:val="01E0" w:firstRow="1" w:lastRow="1" w:firstColumn="1" w:lastColumn="1" w:noHBand="0" w:noVBand="0"/>
      </w:tblPr>
      <w:tblGrid>
        <w:gridCol w:w="1466"/>
        <w:gridCol w:w="910"/>
        <w:gridCol w:w="624"/>
        <w:gridCol w:w="624"/>
        <w:gridCol w:w="624"/>
        <w:gridCol w:w="625"/>
        <w:gridCol w:w="624"/>
        <w:gridCol w:w="624"/>
        <w:gridCol w:w="624"/>
        <w:gridCol w:w="625"/>
      </w:tblGrid>
      <w:tr w:rsidR="007234DD">
        <w:trPr>
          <w:cantSplit/>
        </w:trPr>
        <w:tc>
          <w:tcPr>
            <w:tcW w:w="2376" w:type="dxa"/>
            <w:gridSpan w:val="2"/>
            <w:vMerge w:val="restart"/>
            <w:tcBorders>
              <w:top w:val="single" w:sz="4" w:space="0" w:color="auto"/>
              <w:bottom w:val="single" w:sz="12" w:space="0" w:color="auto"/>
            </w:tcBorders>
            <w:shd w:val="clear" w:color="auto" w:fill="auto"/>
            <w:vAlign w:val="bottom"/>
          </w:tcPr>
          <w:p w:rsidR="007234DD" w:rsidRDefault="007234DD">
            <w:pPr>
              <w:pStyle w:val="a0"/>
              <w:ind w:right="0"/>
            </w:pPr>
            <w:r>
              <w:t>类别</w:t>
            </w:r>
            <w:r>
              <w:t>/</w:t>
            </w:r>
            <w:r>
              <w:t>年份</w:t>
            </w:r>
          </w:p>
        </w:tc>
        <w:tc>
          <w:tcPr>
            <w:tcW w:w="1248" w:type="dxa"/>
            <w:gridSpan w:val="2"/>
            <w:tcBorders>
              <w:top w:val="single" w:sz="4" w:space="0" w:color="auto"/>
              <w:bottom w:val="single" w:sz="6" w:space="0" w:color="auto"/>
              <w:right w:val="single" w:sz="24" w:space="0" w:color="FFFFFF"/>
            </w:tcBorders>
            <w:shd w:val="clear" w:color="auto" w:fill="auto"/>
            <w:vAlign w:val="bottom"/>
          </w:tcPr>
          <w:p w:rsidR="007234DD" w:rsidRDefault="007234DD">
            <w:pPr>
              <w:pStyle w:val="a0"/>
              <w:ind w:right="0"/>
              <w:jc w:val="center"/>
            </w:pPr>
            <w:r>
              <w:t>2006</w:t>
            </w:r>
          </w:p>
        </w:tc>
        <w:tc>
          <w:tcPr>
            <w:tcW w:w="1249"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7234DD" w:rsidRDefault="007234DD">
            <w:pPr>
              <w:pStyle w:val="a0"/>
              <w:ind w:right="0"/>
              <w:jc w:val="center"/>
            </w:pPr>
            <w:r>
              <w:t>2007</w:t>
            </w:r>
          </w:p>
        </w:tc>
        <w:tc>
          <w:tcPr>
            <w:tcW w:w="1248"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7234DD" w:rsidRDefault="007234DD">
            <w:pPr>
              <w:pStyle w:val="a0"/>
              <w:ind w:right="0"/>
              <w:jc w:val="center"/>
            </w:pPr>
            <w:r>
              <w:t>2008</w:t>
            </w:r>
          </w:p>
        </w:tc>
        <w:tc>
          <w:tcPr>
            <w:tcW w:w="1249" w:type="dxa"/>
            <w:gridSpan w:val="2"/>
            <w:tcBorders>
              <w:top w:val="single" w:sz="4" w:space="0" w:color="auto"/>
              <w:left w:val="single" w:sz="24" w:space="0" w:color="FFFFFF"/>
              <w:bottom w:val="single" w:sz="6" w:space="0" w:color="auto"/>
            </w:tcBorders>
            <w:shd w:val="clear" w:color="auto" w:fill="auto"/>
            <w:vAlign w:val="bottom"/>
          </w:tcPr>
          <w:p w:rsidR="007234DD" w:rsidRDefault="007234DD">
            <w:pPr>
              <w:pStyle w:val="a0"/>
              <w:ind w:right="0"/>
              <w:jc w:val="center"/>
            </w:pPr>
            <w:r>
              <w:t>2009</w:t>
            </w:r>
          </w:p>
        </w:tc>
      </w:tr>
      <w:tr w:rsidR="007234DD">
        <w:trPr>
          <w:cantSplit/>
        </w:trPr>
        <w:tc>
          <w:tcPr>
            <w:tcW w:w="2376" w:type="dxa"/>
            <w:gridSpan w:val="2"/>
            <w:vMerge/>
            <w:tcBorders>
              <w:top w:val="single" w:sz="12" w:space="0" w:color="auto"/>
              <w:bottom w:val="single" w:sz="12" w:space="0" w:color="auto"/>
            </w:tcBorders>
            <w:shd w:val="clear" w:color="auto" w:fill="auto"/>
          </w:tcPr>
          <w:p w:rsidR="007234DD" w:rsidRDefault="007234DD">
            <w:pPr>
              <w:pStyle w:val="a5"/>
            </w:pPr>
          </w:p>
        </w:tc>
        <w:tc>
          <w:tcPr>
            <w:tcW w:w="624" w:type="dxa"/>
            <w:tcBorders>
              <w:top w:val="single" w:sz="6" w:space="0" w:color="auto"/>
              <w:bottom w:val="single" w:sz="12" w:space="0" w:color="auto"/>
            </w:tcBorders>
            <w:shd w:val="clear" w:color="auto" w:fill="auto"/>
          </w:tcPr>
          <w:p w:rsidR="007234DD" w:rsidRDefault="007234DD">
            <w:pPr>
              <w:pStyle w:val="a0"/>
              <w:ind w:right="0"/>
              <w:jc w:val="right"/>
            </w:pPr>
            <w:r>
              <w:t>男</w:t>
            </w:r>
          </w:p>
        </w:tc>
        <w:tc>
          <w:tcPr>
            <w:tcW w:w="624"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pPr>
            <w:r>
              <w:t>女</w:t>
            </w:r>
          </w:p>
        </w:tc>
        <w:tc>
          <w:tcPr>
            <w:tcW w:w="624"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t>男</w:t>
            </w:r>
          </w:p>
        </w:tc>
        <w:tc>
          <w:tcPr>
            <w:tcW w:w="625"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pPr>
            <w:r>
              <w:t>女</w:t>
            </w:r>
          </w:p>
        </w:tc>
        <w:tc>
          <w:tcPr>
            <w:tcW w:w="624"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t>男</w:t>
            </w:r>
          </w:p>
        </w:tc>
        <w:tc>
          <w:tcPr>
            <w:tcW w:w="624"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pPr>
            <w:r>
              <w:t>女</w:t>
            </w:r>
          </w:p>
        </w:tc>
        <w:tc>
          <w:tcPr>
            <w:tcW w:w="624"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t>男</w:t>
            </w:r>
          </w:p>
        </w:tc>
        <w:tc>
          <w:tcPr>
            <w:tcW w:w="625" w:type="dxa"/>
            <w:tcBorders>
              <w:top w:val="single" w:sz="6" w:space="0" w:color="auto"/>
              <w:bottom w:val="single" w:sz="12" w:space="0" w:color="auto"/>
            </w:tcBorders>
            <w:shd w:val="clear" w:color="auto" w:fill="auto"/>
          </w:tcPr>
          <w:p w:rsidR="007234DD" w:rsidRDefault="007234DD">
            <w:pPr>
              <w:pStyle w:val="a0"/>
              <w:ind w:right="0"/>
              <w:jc w:val="right"/>
            </w:pPr>
            <w:r>
              <w:t>女</w:t>
            </w:r>
          </w:p>
        </w:tc>
      </w:tr>
      <w:tr w:rsidR="007234DD">
        <w:trPr>
          <w:cantSplit/>
        </w:trPr>
        <w:tc>
          <w:tcPr>
            <w:tcW w:w="1466" w:type="dxa"/>
            <w:tcBorders>
              <w:top w:val="single" w:sz="12" w:space="0" w:color="auto"/>
            </w:tcBorders>
            <w:shd w:val="clear" w:color="auto" w:fill="auto"/>
          </w:tcPr>
          <w:p w:rsidR="007234DD" w:rsidRDefault="007234DD">
            <w:pPr>
              <w:pStyle w:val="a5"/>
            </w:pPr>
            <w:r>
              <w:rPr>
                <w:rFonts w:hint="eastAsia"/>
              </w:rPr>
              <w:t>博士学位</w:t>
            </w:r>
          </w:p>
        </w:tc>
        <w:tc>
          <w:tcPr>
            <w:tcW w:w="910" w:type="dxa"/>
            <w:vMerge w:val="restart"/>
            <w:tcBorders>
              <w:top w:val="single" w:sz="12" w:space="0" w:color="auto"/>
            </w:tcBorders>
            <w:shd w:val="clear" w:color="auto" w:fill="auto"/>
          </w:tcPr>
          <w:p w:rsidR="007234DD" w:rsidRDefault="007234DD">
            <w:pPr>
              <w:pStyle w:val="a5"/>
            </w:pPr>
            <w:r>
              <w:rPr>
                <w:rFonts w:hint="eastAsia"/>
              </w:rPr>
              <w:t>铂金奖章</w:t>
            </w:r>
          </w:p>
        </w:tc>
        <w:tc>
          <w:tcPr>
            <w:tcW w:w="624" w:type="dxa"/>
            <w:tcBorders>
              <w:top w:val="single" w:sz="12" w:space="0" w:color="auto"/>
            </w:tcBorders>
            <w:shd w:val="clear" w:color="auto" w:fill="auto"/>
          </w:tcPr>
          <w:p w:rsidR="007234DD" w:rsidRDefault="007234DD">
            <w:pPr>
              <w:pStyle w:val="a5"/>
              <w:ind w:right="0"/>
              <w:jc w:val="right"/>
            </w:pPr>
          </w:p>
        </w:tc>
        <w:tc>
          <w:tcPr>
            <w:tcW w:w="624" w:type="dxa"/>
            <w:tcBorders>
              <w:top w:val="single" w:sz="12" w:space="0" w:color="auto"/>
            </w:tcBorders>
            <w:shd w:val="clear" w:color="auto" w:fill="auto"/>
          </w:tcPr>
          <w:p w:rsidR="007234DD" w:rsidRDefault="007234DD">
            <w:pPr>
              <w:pStyle w:val="a5"/>
              <w:ind w:right="0"/>
              <w:jc w:val="right"/>
            </w:pPr>
          </w:p>
        </w:tc>
        <w:tc>
          <w:tcPr>
            <w:tcW w:w="624" w:type="dxa"/>
            <w:tcBorders>
              <w:top w:val="single" w:sz="12" w:space="0" w:color="auto"/>
            </w:tcBorders>
            <w:shd w:val="clear" w:color="auto" w:fill="auto"/>
          </w:tcPr>
          <w:p w:rsidR="007234DD" w:rsidRDefault="007234DD">
            <w:pPr>
              <w:pStyle w:val="a5"/>
              <w:ind w:right="0"/>
              <w:jc w:val="right"/>
            </w:pPr>
            <w:r>
              <w:t>7</w:t>
            </w:r>
          </w:p>
        </w:tc>
        <w:tc>
          <w:tcPr>
            <w:tcW w:w="625" w:type="dxa"/>
            <w:tcBorders>
              <w:top w:val="single" w:sz="12" w:space="0" w:color="auto"/>
            </w:tcBorders>
            <w:shd w:val="clear" w:color="auto" w:fill="auto"/>
          </w:tcPr>
          <w:p w:rsidR="007234DD" w:rsidRDefault="007234DD">
            <w:pPr>
              <w:pStyle w:val="a5"/>
              <w:ind w:right="0"/>
              <w:jc w:val="right"/>
            </w:pPr>
            <w:r>
              <w:t>1</w:t>
            </w:r>
          </w:p>
        </w:tc>
        <w:tc>
          <w:tcPr>
            <w:tcW w:w="624" w:type="dxa"/>
            <w:tcBorders>
              <w:top w:val="single" w:sz="12" w:space="0" w:color="auto"/>
            </w:tcBorders>
            <w:shd w:val="clear" w:color="auto" w:fill="auto"/>
          </w:tcPr>
          <w:p w:rsidR="007234DD" w:rsidRDefault="007234DD">
            <w:pPr>
              <w:pStyle w:val="a5"/>
              <w:ind w:right="0"/>
              <w:jc w:val="right"/>
            </w:pPr>
            <w:r>
              <w:t>0</w:t>
            </w:r>
          </w:p>
        </w:tc>
        <w:tc>
          <w:tcPr>
            <w:tcW w:w="624" w:type="dxa"/>
            <w:tcBorders>
              <w:top w:val="single" w:sz="12" w:space="0" w:color="auto"/>
            </w:tcBorders>
            <w:shd w:val="clear" w:color="auto" w:fill="auto"/>
          </w:tcPr>
          <w:p w:rsidR="007234DD" w:rsidRDefault="007234DD">
            <w:pPr>
              <w:pStyle w:val="a5"/>
              <w:ind w:right="0"/>
              <w:jc w:val="right"/>
            </w:pPr>
            <w:r>
              <w:t>1</w:t>
            </w:r>
          </w:p>
        </w:tc>
        <w:tc>
          <w:tcPr>
            <w:tcW w:w="624" w:type="dxa"/>
            <w:tcBorders>
              <w:top w:val="single" w:sz="12" w:space="0" w:color="auto"/>
            </w:tcBorders>
            <w:shd w:val="clear" w:color="auto" w:fill="auto"/>
          </w:tcPr>
          <w:p w:rsidR="007234DD" w:rsidRDefault="007234DD">
            <w:pPr>
              <w:pStyle w:val="a5"/>
              <w:ind w:right="0"/>
              <w:jc w:val="right"/>
            </w:pPr>
            <w:r>
              <w:t>0</w:t>
            </w:r>
          </w:p>
        </w:tc>
        <w:tc>
          <w:tcPr>
            <w:tcW w:w="625" w:type="dxa"/>
            <w:tcBorders>
              <w:top w:val="single" w:sz="12" w:space="0" w:color="auto"/>
            </w:tcBorders>
            <w:shd w:val="clear" w:color="auto" w:fill="auto"/>
          </w:tcPr>
          <w:p w:rsidR="007234DD" w:rsidRDefault="007234DD">
            <w:pPr>
              <w:pStyle w:val="a5"/>
              <w:ind w:right="0"/>
              <w:jc w:val="right"/>
            </w:pPr>
            <w:r>
              <w:t>2</w:t>
            </w:r>
          </w:p>
        </w:tc>
      </w:tr>
      <w:tr w:rsidR="007234DD">
        <w:trPr>
          <w:cantSplit/>
        </w:trPr>
        <w:tc>
          <w:tcPr>
            <w:tcW w:w="1466" w:type="dxa"/>
            <w:shd w:val="clear" w:color="auto" w:fill="auto"/>
          </w:tcPr>
          <w:p w:rsidR="007234DD" w:rsidRDefault="007234DD">
            <w:pPr>
              <w:pStyle w:val="a5"/>
            </w:pPr>
            <w:r>
              <w:rPr>
                <w:rFonts w:hint="eastAsia"/>
              </w:rPr>
              <w:t>学士学位</w:t>
            </w:r>
          </w:p>
        </w:tc>
        <w:tc>
          <w:tcPr>
            <w:tcW w:w="910" w:type="dxa"/>
            <w:vMerge/>
            <w:shd w:val="clear" w:color="auto" w:fill="auto"/>
          </w:tcPr>
          <w:p w:rsidR="007234DD" w:rsidRDefault="007234DD">
            <w:pPr>
              <w:pStyle w:val="a5"/>
            </w:pPr>
          </w:p>
        </w:tc>
        <w:tc>
          <w:tcPr>
            <w:tcW w:w="624" w:type="dxa"/>
            <w:shd w:val="clear" w:color="auto" w:fill="auto"/>
          </w:tcPr>
          <w:p w:rsidR="007234DD" w:rsidRDefault="007234DD">
            <w:pPr>
              <w:pStyle w:val="a5"/>
              <w:ind w:right="0"/>
              <w:jc w:val="right"/>
            </w:pPr>
            <w:r>
              <w:t>6</w:t>
            </w:r>
          </w:p>
        </w:tc>
        <w:tc>
          <w:tcPr>
            <w:tcW w:w="624" w:type="dxa"/>
            <w:shd w:val="clear" w:color="auto" w:fill="auto"/>
          </w:tcPr>
          <w:p w:rsidR="007234DD" w:rsidRDefault="007234DD">
            <w:pPr>
              <w:pStyle w:val="a5"/>
              <w:ind w:right="0"/>
              <w:jc w:val="right"/>
            </w:pPr>
            <w:r>
              <w:t>10</w:t>
            </w:r>
          </w:p>
        </w:tc>
        <w:tc>
          <w:tcPr>
            <w:tcW w:w="624" w:type="dxa"/>
            <w:shd w:val="clear" w:color="auto" w:fill="auto"/>
          </w:tcPr>
          <w:p w:rsidR="007234DD" w:rsidRDefault="007234DD">
            <w:pPr>
              <w:pStyle w:val="a5"/>
              <w:ind w:right="0"/>
              <w:jc w:val="right"/>
            </w:pPr>
            <w:r>
              <w:t>6</w:t>
            </w:r>
          </w:p>
        </w:tc>
        <w:tc>
          <w:tcPr>
            <w:tcW w:w="625" w:type="dxa"/>
            <w:shd w:val="clear" w:color="auto" w:fill="auto"/>
          </w:tcPr>
          <w:p w:rsidR="007234DD" w:rsidRDefault="007234DD">
            <w:pPr>
              <w:pStyle w:val="a5"/>
              <w:ind w:right="0"/>
              <w:jc w:val="right"/>
            </w:pPr>
            <w:r>
              <w:t>2</w:t>
            </w:r>
          </w:p>
        </w:tc>
        <w:tc>
          <w:tcPr>
            <w:tcW w:w="624" w:type="dxa"/>
            <w:shd w:val="clear" w:color="auto" w:fill="auto"/>
          </w:tcPr>
          <w:p w:rsidR="007234DD" w:rsidRDefault="007234DD">
            <w:pPr>
              <w:pStyle w:val="a5"/>
              <w:ind w:right="0"/>
              <w:jc w:val="right"/>
            </w:pPr>
            <w:r>
              <w:t>2</w:t>
            </w:r>
          </w:p>
        </w:tc>
        <w:tc>
          <w:tcPr>
            <w:tcW w:w="624" w:type="dxa"/>
            <w:shd w:val="clear" w:color="auto" w:fill="auto"/>
          </w:tcPr>
          <w:p w:rsidR="007234DD" w:rsidRDefault="007234DD">
            <w:pPr>
              <w:pStyle w:val="a5"/>
              <w:ind w:right="0"/>
              <w:jc w:val="right"/>
            </w:pPr>
            <w:r>
              <w:t>2</w:t>
            </w:r>
          </w:p>
        </w:tc>
        <w:tc>
          <w:tcPr>
            <w:tcW w:w="624" w:type="dxa"/>
            <w:shd w:val="clear" w:color="auto" w:fill="auto"/>
          </w:tcPr>
          <w:p w:rsidR="007234DD" w:rsidRDefault="007234DD">
            <w:pPr>
              <w:pStyle w:val="a5"/>
              <w:ind w:right="0"/>
              <w:jc w:val="right"/>
            </w:pPr>
            <w:r>
              <w:t>1</w:t>
            </w:r>
          </w:p>
        </w:tc>
        <w:tc>
          <w:tcPr>
            <w:tcW w:w="625" w:type="dxa"/>
            <w:shd w:val="clear" w:color="auto" w:fill="auto"/>
          </w:tcPr>
          <w:p w:rsidR="007234DD" w:rsidRDefault="007234DD">
            <w:pPr>
              <w:pStyle w:val="a5"/>
              <w:ind w:right="0"/>
              <w:jc w:val="right"/>
            </w:pPr>
            <w:r>
              <w:t>1</w:t>
            </w:r>
          </w:p>
        </w:tc>
      </w:tr>
      <w:tr w:rsidR="007234DD">
        <w:trPr>
          <w:cantSplit/>
        </w:trPr>
        <w:tc>
          <w:tcPr>
            <w:tcW w:w="1466" w:type="dxa"/>
            <w:shd w:val="clear" w:color="auto" w:fill="auto"/>
          </w:tcPr>
          <w:p w:rsidR="007234DD" w:rsidRDefault="007234DD">
            <w:pPr>
              <w:pStyle w:val="a5"/>
            </w:pPr>
            <w:r>
              <w:rPr>
                <w:rFonts w:hint="eastAsia"/>
              </w:rPr>
              <w:t>普通中学证书</w:t>
            </w:r>
          </w:p>
        </w:tc>
        <w:tc>
          <w:tcPr>
            <w:tcW w:w="910" w:type="dxa"/>
            <w:vMerge/>
            <w:shd w:val="clear" w:color="auto" w:fill="auto"/>
          </w:tcPr>
          <w:p w:rsidR="007234DD" w:rsidRDefault="007234DD">
            <w:pPr>
              <w:pStyle w:val="a5"/>
            </w:pPr>
          </w:p>
        </w:tc>
        <w:tc>
          <w:tcPr>
            <w:tcW w:w="624" w:type="dxa"/>
            <w:shd w:val="clear" w:color="auto" w:fill="auto"/>
          </w:tcPr>
          <w:p w:rsidR="007234DD" w:rsidRDefault="007234DD">
            <w:pPr>
              <w:pStyle w:val="a5"/>
              <w:ind w:right="0"/>
              <w:jc w:val="right"/>
            </w:pPr>
            <w:r>
              <w:t>4</w:t>
            </w:r>
          </w:p>
        </w:tc>
        <w:tc>
          <w:tcPr>
            <w:tcW w:w="624" w:type="dxa"/>
            <w:shd w:val="clear" w:color="auto" w:fill="auto"/>
          </w:tcPr>
          <w:p w:rsidR="007234DD" w:rsidRDefault="007234DD">
            <w:pPr>
              <w:pStyle w:val="a5"/>
              <w:ind w:right="0"/>
              <w:jc w:val="right"/>
            </w:pPr>
            <w:r>
              <w:t>10</w:t>
            </w:r>
          </w:p>
        </w:tc>
        <w:tc>
          <w:tcPr>
            <w:tcW w:w="624" w:type="dxa"/>
            <w:shd w:val="clear" w:color="auto" w:fill="auto"/>
          </w:tcPr>
          <w:p w:rsidR="007234DD" w:rsidRDefault="007234DD">
            <w:pPr>
              <w:pStyle w:val="a5"/>
              <w:ind w:right="0"/>
              <w:jc w:val="right"/>
            </w:pPr>
            <w:r>
              <w:t>1</w:t>
            </w:r>
          </w:p>
        </w:tc>
        <w:tc>
          <w:tcPr>
            <w:tcW w:w="625" w:type="dxa"/>
            <w:shd w:val="clear" w:color="auto" w:fill="auto"/>
          </w:tcPr>
          <w:p w:rsidR="007234DD" w:rsidRDefault="007234DD">
            <w:pPr>
              <w:pStyle w:val="a5"/>
              <w:ind w:right="0"/>
              <w:jc w:val="right"/>
            </w:pPr>
            <w:r>
              <w:t>8</w:t>
            </w:r>
          </w:p>
        </w:tc>
        <w:tc>
          <w:tcPr>
            <w:tcW w:w="624" w:type="dxa"/>
            <w:shd w:val="clear" w:color="auto" w:fill="auto"/>
          </w:tcPr>
          <w:p w:rsidR="007234DD" w:rsidRDefault="007234DD">
            <w:pPr>
              <w:pStyle w:val="a5"/>
              <w:ind w:right="0"/>
              <w:jc w:val="right"/>
            </w:pPr>
            <w:r>
              <w:t>2</w:t>
            </w:r>
          </w:p>
        </w:tc>
        <w:tc>
          <w:tcPr>
            <w:tcW w:w="624" w:type="dxa"/>
            <w:shd w:val="clear" w:color="auto" w:fill="auto"/>
          </w:tcPr>
          <w:p w:rsidR="007234DD" w:rsidRDefault="007234DD">
            <w:pPr>
              <w:pStyle w:val="a5"/>
              <w:ind w:right="0"/>
              <w:jc w:val="right"/>
            </w:pPr>
            <w:r>
              <w:t>7</w:t>
            </w:r>
          </w:p>
        </w:tc>
        <w:tc>
          <w:tcPr>
            <w:tcW w:w="624" w:type="dxa"/>
            <w:shd w:val="clear" w:color="auto" w:fill="auto"/>
          </w:tcPr>
          <w:p w:rsidR="007234DD" w:rsidRDefault="007234DD">
            <w:pPr>
              <w:pStyle w:val="a5"/>
              <w:ind w:right="0"/>
              <w:jc w:val="right"/>
            </w:pPr>
            <w:r>
              <w:t>0</w:t>
            </w:r>
          </w:p>
        </w:tc>
        <w:tc>
          <w:tcPr>
            <w:tcW w:w="625" w:type="dxa"/>
            <w:shd w:val="clear" w:color="auto" w:fill="auto"/>
          </w:tcPr>
          <w:p w:rsidR="007234DD" w:rsidRDefault="007234DD">
            <w:pPr>
              <w:pStyle w:val="a5"/>
              <w:ind w:right="0"/>
              <w:jc w:val="right"/>
            </w:pPr>
            <w:r>
              <w:t>5</w:t>
            </w:r>
          </w:p>
        </w:tc>
      </w:tr>
      <w:tr w:rsidR="007234DD">
        <w:trPr>
          <w:cantSplit/>
        </w:trPr>
        <w:tc>
          <w:tcPr>
            <w:tcW w:w="1466" w:type="dxa"/>
            <w:shd w:val="clear" w:color="auto" w:fill="auto"/>
          </w:tcPr>
          <w:p w:rsidR="007234DD" w:rsidRDefault="007234DD">
            <w:pPr>
              <w:pStyle w:val="a5"/>
              <w:rPr>
                <w:rFonts w:hint="eastAsia"/>
              </w:rPr>
            </w:pPr>
            <w:r>
              <w:rPr>
                <w:rFonts w:hint="eastAsia"/>
              </w:rPr>
              <w:t>优秀学生</w:t>
            </w:r>
          </w:p>
        </w:tc>
        <w:tc>
          <w:tcPr>
            <w:tcW w:w="910" w:type="dxa"/>
            <w:vMerge/>
            <w:shd w:val="clear" w:color="auto" w:fill="auto"/>
          </w:tcPr>
          <w:p w:rsidR="007234DD" w:rsidRDefault="007234DD">
            <w:pPr>
              <w:pStyle w:val="a5"/>
            </w:pPr>
          </w:p>
        </w:tc>
        <w:tc>
          <w:tcPr>
            <w:tcW w:w="624" w:type="dxa"/>
            <w:shd w:val="clear" w:color="auto" w:fill="auto"/>
          </w:tcPr>
          <w:p w:rsidR="007234DD" w:rsidRDefault="007234DD">
            <w:pPr>
              <w:pStyle w:val="a5"/>
              <w:ind w:right="0"/>
              <w:jc w:val="right"/>
            </w:pPr>
          </w:p>
        </w:tc>
        <w:tc>
          <w:tcPr>
            <w:tcW w:w="624" w:type="dxa"/>
            <w:shd w:val="clear" w:color="auto" w:fill="auto"/>
          </w:tcPr>
          <w:p w:rsidR="007234DD" w:rsidRDefault="007234DD">
            <w:pPr>
              <w:pStyle w:val="a5"/>
              <w:ind w:right="0"/>
              <w:jc w:val="right"/>
            </w:pPr>
          </w:p>
        </w:tc>
        <w:tc>
          <w:tcPr>
            <w:tcW w:w="624" w:type="dxa"/>
            <w:shd w:val="clear" w:color="auto" w:fill="auto"/>
          </w:tcPr>
          <w:p w:rsidR="007234DD" w:rsidRDefault="007234DD">
            <w:pPr>
              <w:pStyle w:val="a5"/>
              <w:ind w:right="0"/>
              <w:jc w:val="right"/>
            </w:pPr>
            <w:r>
              <w:t>0</w:t>
            </w:r>
          </w:p>
        </w:tc>
        <w:tc>
          <w:tcPr>
            <w:tcW w:w="625" w:type="dxa"/>
            <w:shd w:val="clear" w:color="auto" w:fill="auto"/>
          </w:tcPr>
          <w:p w:rsidR="007234DD" w:rsidRDefault="007234DD">
            <w:pPr>
              <w:pStyle w:val="a5"/>
              <w:ind w:right="0"/>
              <w:jc w:val="right"/>
            </w:pPr>
            <w:r>
              <w:t>2</w:t>
            </w:r>
          </w:p>
        </w:tc>
        <w:tc>
          <w:tcPr>
            <w:tcW w:w="624" w:type="dxa"/>
            <w:shd w:val="clear" w:color="auto" w:fill="auto"/>
          </w:tcPr>
          <w:p w:rsidR="007234DD" w:rsidRDefault="007234DD">
            <w:pPr>
              <w:pStyle w:val="a5"/>
              <w:ind w:right="0"/>
              <w:jc w:val="right"/>
            </w:pPr>
            <w:r>
              <w:t>0</w:t>
            </w:r>
          </w:p>
        </w:tc>
        <w:tc>
          <w:tcPr>
            <w:tcW w:w="624" w:type="dxa"/>
            <w:shd w:val="clear" w:color="auto" w:fill="auto"/>
          </w:tcPr>
          <w:p w:rsidR="007234DD" w:rsidRDefault="007234DD">
            <w:pPr>
              <w:pStyle w:val="a5"/>
              <w:ind w:right="0"/>
              <w:jc w:val="right"/>
            </w:pPr>
            <w:r>
              <w:t>2</w:t>
            </w:r>
          </w:p>
        </w:tc>
        <w:tc>
          <w:tcPr>
            <w:tcW w:w="624" w:type="dxa"/>
            <w:shd w:val="clear" w:color="auto" w:fill="auto"/>
          </w:tcPr>
          <w:p w:rsidR="007234DD" w:rsidRDefault="007234DD">
            <w:pPr>
              <w:pStyle w:val="a5"/>
              <w:ind w:right="0"/>
              <w:jc w:val="right"/>
            </w:pPr>
            <w:r>
              <w:t>0</w:t>
            </w:r>
          </w:p>
        </w:tc>
        <w:tc>
          <w:tcPr>
            <w:tcW w:w="625" w:type="dxa"/>
            <w:shd w:val="clear" w:color="auto" w:fill="auto"/>
          </w:tcPr>
          <w:p w:rsidR="007234DD" w:rsidRDefault="007234DD">
            <w:pPr>
              <w:pStyle w:val="a5"/>
              <w:ind w:right="0"/>
              <w:jc w:val="right"/>
            </w:pPr>
            <w:r>
              <w:t>1</w:t>
            </w:r>
          </w:p>
        </w:tc>
      </w:tr>
      <w:tr w:rsidR="007234DD">
        <w:trPr>
          <w:cantSplit/>
        </w:trPr>
        <w:tc>
          <w:tcPr>
            <w:tcW w:w="1466" w:type="dxa"/>
            <w:shd w:val="clear" w:color="auto" w:fill="auto"/>
          </w:tcPr>
          <w:p w:rsidR="007234DD" w:rsidRDefault="007234DD">
            <w:pPr>
              <w:pStyle w:val="a5"/>
              <w:rPr>
                <w:rFonts w:hint="eastAsia"/>
              </w:rPr>
            </w:pPr>
            <w:r>
              <w:rPr>
                <w:rFonts w:hint="eastAsia"/>
              </w:rPr>
              <w:t>优秀教师</w:t>
            </w:r>
          </w:p>
        </w:tc>
        <w:tc>
          <w:tcPr>
            <w:tcW w:w="910" w:type="dxa"/>
            <w:vMerge/>
            <w:shd w:val="clear" w:color="auto" w:fill="auto"/>
          </w:tcPr>
          <w:p w:rsidR="007234DD" w:rsidRDefault="007234DD">
            <w:pPr>
              <w:pStyle w:val="a5"/>
            </w:pPr>
          </w:p>
        </w:tc>
        <w:tc>
          <w:tcPr>
            <w:tcW w:w="624" w:type="dxa"/>
            <w:shd w:val="clear" w:color="auto" w:fill="auto"/>
          </w:tcPr>
          <w:p w:rsidR="007234DD" w:rsidRDefault="007234DD">
            <w:pPr>
              <w:pStyle w:val="a5"/>
              <w:ind w:right="0"/>
              <w:jc w:val="right"/>
            </w:pPr>
            <w:r>
              <w:t>3</w:t>
            </w:r>
          </w:p>
        </w:tc>
        <w:tc>
          <w:tcPr>
            <w:tcW w:w="624" w:type="dxa"/>
            <w:shd w:val="clear" w:color="auto" w:fill="auto"/>
          </w:tcPr>
          <w:p w:rsidR="007234DD" w:rsidRDefault="007234DD">
            <w:pPr>
              <w:pStyle w:val="a5"/>
              <w:ind w:right="0"/>
              <w:jc w:val="right"/>
            </w:pPr>
            <w:r>
              <w:t>5</w:t>
            </w:r>
          </w:p>
        </w:tc>
        <w:tc>
          <w:tcPr>
            <w:tcW w:w="624" w:type="dxa"/>
            <w:shd w:val="clear" w:color="auto" w:fill="auto"/>
          </w:tcPr>
          <w:p w:rsidR="007234DD" w:rsidRDefault="007234DD">
            <w:pPr>
              <w:pStyle w:val="a5"/>
              <w:ind w:right="0"/>
              <w:jc w:val="right"/>
            </w:pPr>
            <w:r>
              <w:t>1</w:t>
            </w:r>
          </w:p>
        </w:tc>
        <w:tc>
          <w:tcPr>
            <w:tcW w:w="625" w:type="dxa"/>
            <w:shd w:val="clear" w:color="auto" w:fill="auto"/>
          </w:tcPr>
          <w:p w:rsidR="007234DD" w:rsidRDefault="007234DD">
            <w:pPr>
              <w:pStyle w:val="a5"/>
              <w:ind w:right="0"/>
              <w:jc w:val="right"/>
            </w:pPr>
            <w:r>
              <w:t>0</w:t>
            </w:r>
          </w:p>
        </w:tc>
        <w:tc>
          <w:tcPr>
            <w:tcW w:w="624" w:type="dxa"/>
            <w:shd w:val="clear" w:color="auto" w:fill="auto"/>
          </w:tcPr>
          <w:p w:rsidR="007234DD" w:rsidRDefault="007234DD">
            <w:pPr>
              <w:pStyle w:val="a5"/>
              <w:ind w:right="0"/>
              <w:jc w:val="right"/>
            </w:pPr>
            <w:r>
              <w:t>1</w:t>
            </w:r>
          </w:p>
        </w:tc>
        <w:tc>
          <w:tcPr>
            <w:tcW w:w="624" w:type="dxa"/>
            <w:shd w:val="clear" w:color="auto" w:fill="auto"/>
          </w:tcPr>
          <w:p w:rsidR="007234DD" w:rsidRDefault="007234DD">
            <w:pPr>
              <w:pStyle w:val="a5"/>
              <w:ind w:right="0"/>
              <w:jc w:val="right"/>
            </w:pPr>
            <w:r>
              <w:t>0</w:t>
            </w:r>
          </w:p>
        </w:tc>
        <w:tc>
          <w:tcPr>
            <w:tcW w:w="624" w:type="dxa"/>
            <w:shd w:val="clear" w:color="auto" w:fill="auto"/>
          </w:tcPr>
          <w:p w:rsidR="007234DD" w:rsidRDefault="007234DD">
            <w:pPr>
              <w:pStyle w:val="a5"/>
              <w:ind w:right="0"/>
              <w:jc w:val="right"/>
            </w:pPr>
            <w:r>
              <w:t>1</w:t>
            </w:r>
          </w:p>
        </w:tc>
        <w:tc>
          <w:tcPr>
            <w:tcW w:w="625" w:type="dxa"/>
            <w:shd w:val="clear" w:color="auto" w:fill="auto"/>
          </w:tcPr>
          <w:p w:rsidR="007234DD" w:rsidRDefault="007234DD">
            <w:pPr>
              <w:pStyle w:val="a5"/>
              <w:ind w:right="0"/>
              <w:jc w:val="right"/>
            </w:pPr>
            <w:r>
              <w:t>0</w:t>
            </w:r>
          </w:p>
        </w:tc>
      </w:tr>
      <w:tr w:rsidR="007234DD">
        <w:trPr>
          <w:cantSplit/>
        </w:trPr>
        <w:tc>
          <w:tcPr>
            <w:tcW w:w="1466" w:type="dxa"/>
            <w:tcBorders>
              <w:bottom w:val="single" w:sz="4" w:space="0" w:color="auto"/>
            </w:tcBorders>
            <w:shd w:val="clear" w:color="auto" w:fill="auto"/>
          </w:tcPr>
          <w:p w:rsidR="007234DD" w:rsidRDefault="007234DD">
            <w:pPr>
              <w:pStyle w:val="a5"/>
            </w:pPr>
            <w:r>
              <w:rPr>
                <w:rFonts w:hint="eastAsia"/>
              </w:rPr>
              <w:t>进步最大学校</w:t>
            </w:r>
          </w:p>
        </w:tc>
        <w:tc>
          <w:tcPr>
            <w:tcW w:w="910" w:type="dxa"/>
            <w:vMerge/>
            <w:tcBorders>
              <w:bottom w:val="single" w:sz="4" w:space="0" w:color="auto"/>
            </w:tcBorders>
            <w:shd w:val="clear" w:color="auto" w:fill="auto"/>
          </w:tcPr>
          <w:p w:rsidR="007234DD" w:rsidRDefault="007234DD">
            <w:pPr>
              <w:pStyle w:val="a5"/>
            </w:pPr>
          </w:p>
        </w:tc>
        <w:tc>
          <w:tcPr>
            <w:tcW w:w="624" w:type="dxa"/>
            <w:tcBorders>
              <w:bottom w:val="single" w:sz="4" w:space="0" w:color="auto"/>
            </w:tcBorders>
            <w:shd w:val="clear" w:color="auto" w:fill="auto"/>
          </w:tcPr>
          <w:p w:rsidR="007234DD" w:rsidRDefault="007234DD">
            <w:pPr>
              <w:pStyle w:val="a5"/>
              <w:ind w:right="0"/>
              <w:jc w:val="right"/>
            </w:pPr>
          </w:p>
        </w:tc>
        <w:tc>
          <w:tcPr>
            <w:tcW w:w="624" w:type="dxa"/>
            <w:tcBorders>
              <w:bottom w:val="single" w:sz="4" w:space="0" w:color="auto"/>
            </w:tcBorders>
            <w:shd w:val="clear" w:color="auto" w:fill="auto"/>
          </w:tcPr>
          <w:p w:rsidR="007234DD" w:rsidRDefault="007234DD">
            <w:pPr>
              <w:pStyle w:val="a5"/>
              <w:ind w:right="0"/>
              <w:jc w:val="right"/>
            </w:pPr>
          </w:p>
        </w:tc>
        <w:tc>
          <w:tcPr>
            <w:tcW w:w="624" w:type="dxa"/>
            <w:tcBorders>
              <w:bottom w:val="single" w:sz="4" w:space="0" w:color="auto"/>
            </w:tcBorders>
            <w:shd w:val="clear" w:color="auto" w:fill="auto"/>
          </w:tcPr>
          <w:p w:rsidR="007234DD" w:rsidRDefault="007234DD">
            <w:pPr>
              <w:pStyle w:val="a5"/>
              <w:ind w:right="0"/>
              <w:jc w:val="right"/>
            </w:pPr>
            <w:r>
              <w:t>0</w:t>
            </w:r>
          </w:p>
        </w:tc>
        <w:tc>
          <w:tcPr>
            <w:tcW w:w="625" w:type="dxa"/>
            <w:tcBorders>
              <w:bottom w:val="single" w:sz="4" w:space="0" w:color="auto"/>
            </w:tcBorders>
            <w:shd w:val="clear" w:color="auto" w:fill="auto"/>
          </w:tcPr>
          <w:p w:rsidR="007234DD" w:rsidRDefault="007234DD">
            <w:pPr>
              <w:pStyle w:val="a5"/>
              <w:ind w:right="0"/>
              <w:jc w:val="right"/>
            </w:pPr>
            <w:r>
              <w:t>1</w:t>
            </w:r>
          </w:p>
        </w:tc>
        <w:tc>
          <w:tcPr>
            <w:tcW w:w="624" w:type="dxa"/>
            <w:tcBorders>
              <w:bottom w:val="single" w:sz="4" w:space="0" w:color="auto"/>
            </w:tcBorders>
            <w:shd w:val="clear" w:color="auto" w:fill="auto"/>
          </w:tcPr>
          <w:p w:rsidR="007234DD" w:rsidRDefault="007234DD">
            <w:pPr>
              <w:pStyle w:val="a5"/>
              <w:ind w:right="0"/>
              <w:jc w:val="right"/>
            </w:pPr>
          </w:p>
        </w:tc>
        <w:tc>
          <w:tcPr>
            <w:tcW w:w="624" w:type="dxa"/>
            <w:tcBorders>
              <w:bottom w:val="single" w:sz="4" w:space="0" w:color="auto"/>
            </w:tcBorders>
            <w:shd w:val="clear" w:color="auto" w:fill="auto"/>
          </w:tcPr>
          <w:p w:rsidR="007234DD" w:rsidRDefault="007234DD">
            <w:pPr>
              <w:pStyle w:val="a5"/>
              <w:ind w:right="0"/>
              <w:jc w:val="right"/>
            </w:pPr>
          </w:p>
        </w:tc>
        <w:tc>
          <w:tcPr>
            <w:tcW w:w="624" w:type="dxa"/>
            <w:tcBorders>
              <w:bottom w:val="single" w:sz="4" w:space="0" w:color="auto"/>
            </w:tcBorders>
            <w:shd w:val="clear" w:color="auto" w:fill="auto"/>
          </w:tcPr>
          <w:p w:rsidR="007234DD" w:rsidRDefault="007234DD">
            <w:pPr>
              <w:pStyle w:val="a5"/>
              <w:ind w:right="0"/>
              <w:jc w:val="right"/>
            </w:pPr>
          </w:p>
        </w:tc>
        <w:tc>
          <w:tcPr>
            <w:tcW w:w="625" w:type="dxa"/>
            <w:tcBorders>
              <w:bottom w:val="single" w:sz="4" w:space="0" w:color="auto"/>
            </w:tcBorders>
            <w:shd w:val="clear" w:color="auto" w:fill="auto"/>
          </w:tcPr>
          <w:p w:rsidR="007234DD" w:rsidRDefault="007234DD">
            <w:pPr>
              <w:pStyle w:val="a5"/>
              <w:ind w:right="0"/>
              <w:jc w:val="right"/>
            </w:pPr>
          </w:p>
        </w:tc>
      </w:tr>
      <w:tr w:rsidR="007234DD">
        <w:trPr>
          <w:cantSplit/>
        </w:trPr>
        <w:tc>
          <w:tcPr>
            <w:tcW w:w="1466" w:type="dxa"/>
            <w:tcBorders>
              <w:top w:val="single" w:sz="4" w:space="0" w:color="auto"/>
              <w:bottom w:val="single" w:sz="6" w:space="0" w:color="auto"/>
            </w:tcBorders>
            <w:shd w:val="clear" w:color="auto" w:fill="auto"/>
          </w:tcPr>
          <w:p w:rsidR="007234DD" w:rsidRDefault="007234DD">
            <w:pPr>
              <w:pStyle w:val="a5"/>
              <w:spacing w:before="80" w:after="80" w:line="200" w:lineRule="exact"/>
              <w:ind w:left="170"/>
              <w:rPr>
                <w:rFonts w:eastAsia="SimHei" w:hint="eastAsia"/>
              </w:rPr>
            </w:pPr>
          </w:p>
        </w:tc>
        <w:tc>
          <w:tcPr>
            <w:tcW w:w="910" w:type="dxa"/>
            <w:tcBorders>
              <w:top w:val="single" w:sz="4" w:space="0" w:color="auto"/>
              <w:bottom w:val="single" w:sz="6" w:space="0" w:color="auto"/>
            </w:tcBorders>
            <w:shd w:val="clear" w:color="auto" w:fill="auto"/>
          </w:tcPr>
          <w:p w:rsidR="007234DD" w:rsidRDefault="007234DD">
            <w:pPr>
              <w:pStyle w:val="a5"/>
              <w:spacing w:before="80" w:after="80" w:line="200" w:lineRule="exact"/>
              <w:ind w:left="170"/>
              <w:rPr>
                <w:rFonts w:eastAsia="SimHei" w:hint="eastAsia"/>
              </w:rPr>
            </w:pPr>
            <w:r>
              <w:rPr>
                <w:rFonts w:eastAsia="SimHei" w:hint="eastAsia"/>
              </w:rPr>
              <w:t>合计</w:t>
            </w:r>
          </w:p>
        </w:tc>
        <w:tc>
          <w:tcPr>
            <w:tcW w:w="624"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13</w:t>
            </w:r>
          </w:p>
        </w:tc>
        <w:tc>
          <w:tcPr>
            <w:tcW w:w="624"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25</w:t>
            </w:r>
          </w:p>
        </w:tc>
        <w:tc>
          <w:tcPr>
            <w:tcW w:w="624"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15</w:t>
            </w:r>
          </w:p>
        </w:tc>
        <w:tc>
          <w:tcPr>
            <w:tcW w:w="625"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14</w:t>
            </w:r>
          </w:p>
        </w:tc>
        <w:tc>
          <w:tcPr>
            <w:tcW w:w="624"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5</w:t>
            </w:r>
          </w:p>
        </w:tc>
        <w:tc>
          <w:tcPr>
            <w:tcW w:w="624"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12</w:t>
            </w:r>
          </w:p>
        </w:tc>
        <w:tc>
          <w:tcPr>
            <w:tcW w:w="624"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w:t>
            </w:r>
          </w:p>
        </w:tc>
        <w:tc>
          <w:tcPr>
            <w:tcW w:w="625"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9</w:t>
            </w:r>
          </w:p>
        </w:tc>
      </w:tr>
      <w:tr w:rsidR="007234DD">
        <w:trPr>
          <w:cantSplit/>
        </w:trPr>
        <w:tc>
          <w:tcPr>
            <w:tcW w:w="1466" w:type="dxa"/>
            <w:tcBorders>
              <w:top w:val="single" w:sz="6" w:space="0" w:color="auto"/>
            </w:tcBorders>
            <w:shd w:val="clear" w:color="auto" w:fill="auto"/>
          </w:tcPr>
          <w:p w:rsidR="007234DD" w:rsidRDefault="007234DD">
            <w:pPr>
              <w:pStyle w:val="a5"/>
              <w:rPr>
                <w:rFonts w:hint="eastAsia"/>
              </w:rPr>
            </w:pPr>
            <w:r>
              <w:rPr>
                <w:rFonts w:hint="eastAsia"/>
              </w:rPr>
              <w:t>学士学位</w:t>
            </w:r>
          </w:p>
        </w:tc>
        <w:tc>
          <w:tcPr>
            <w:tcW w:w="910" w:type="dxa"/>
            <w:vMerge w:val="restart"/>
            <w:tcBorders>
              <w:top w:val="single" w:sz="6" w:space="0" w:color="auto"/>
            </w:tcBorders>
            <w:shd w:val="clear" w:color="auto" w:fill="auto"/>
          </w:tcPr>
          <w:p w:rsidR="007234DD" w:rsidRDefault="007234DD">
            <w:pPr>
              <w:pStyle w:val="a5"/>
              <w:rPr>
                <w:rFonts w:hint="eastAsia"/>
              </w:rPr>
            </w:pPr>
            <w:r>
              <w:rPr>
                <w:rFonts w:hint="eastAsia"/>
              </w:rPr>
              <w:t>金质奖章</w:t>
            </w:r>
          </w:p>
        </w:tc>
        <w:tc>
          <w:tcPr>
            <w:tcW w:w="624" w:type="dxa"/>
            <w:tcBorders>
              <w:top w:val="single" w:sz="6" w:space="0" w:color="auto"/>
            </w:tcBorders>
            <w:shd w:val="clear" w:color="auto" w:fill="auto"/>
          </w:tcPr>
          <w:p w:rsidR="007234DD" w:rsidRDefault="007234DD">
            <w:pPr>
              <w:pStyle w:val="a5"/>
              <w:ind w:right="0"/>
              <w:jc w:val="right"/>
            </w:pPr>
            <w:r>
              <w:t>6</w:t>
            </w:r>
          </w:p>
        </w:tc>
        <w:tc>
          <w:tcPr>
            <w:tcW w:w="624" w:type="dxa"/>
            <w:tcBorders>
              <w:top w:val="single" w:sz="6" w:space="0" w:color="auto"/>
            </w:tcBorders>
            <w:shd w:val="clear" w:color="auto" w:fill="auto"/>
          </w:tcPr>
          <w:p w:rsidR="007234DD" w:rsidRDefault="007234DD">
            <w:pPr>
              <w:pStyle w:val="a5"/>
              <w:ind w:right="0"/>
              <w:jc w:val="right"/>
            </w:pPr>
            <w:r>
              <w:t>28</w:t>
            </w:r>
          </w:p>
        </w:tc>
        <w:tc>
          <w:tcPr>
            <w:tcW w:w="624" w:type="dxa"/>
            <w:tcBorders>
              <w:top w:val="single" w:sz="6" w:space="0" w:color="auto"/>
            </w:tcBorders>
            <w:shd w:val="clear" w:color="auto" w:fill="auto"/>
          </w:tcPr>
          <w:p w:rsidR="007234DD" w:rsidRDefault="007234DD">
            <w:pPr>
              <w:pStyle w:val="a5"/>
              <w:ind w:right="0"/>
              <w:jc w:val="right"/>
            </w:pPr>
            <w:r>
              <w:t>8</w:t>
            </w:r>
          </w:p>
        </w:tc>
        <w:tc>
          <w:tcPr>
            <w:tcW w:w="625" w:type="dxa"/>
            <w:tcBorders>
              <w:top w:val="single" w:sz="6" w:space="0" w:color="auto"/>
            </w:tcBorders>
            <w:shd w:val="clear" w:color="auto" w:fill="auto"/>
          </w:tcPr>
          <w:p w:rsidR="007234DD" w:rsidRDefault="007234DD">
            <w:pPr>
              <w:pStyle w:val="a5"/>
              <w:ind w:right="0"/>
              <w:jc w:val="right"/>
            </w:pPr>
            <w:r>
              <w:t>20</w:t>
            </w:r>
          </w:p>
        </w:tc>
        <w:tc>
          <w:tcPr>
            <w:tcW w:w="624" w:type="dxa"/>
            <w:tcBorders>
              <w:top w:val="single" w:sz="6" w:space="0" w:color="auto"/>
            </w:tcBorders>
            <w:shd w:val="clear" w:color="auto" w:fill="auto"/>
          </w:tcPr>
          <w:p w:rsidR="007234DD" w:rsidRDefault="007234DD">
            <w:pPr>
              <w:pStyle w:val="a5"/>
              <w:ind w:right="0"/>
              <w:jc w:val="right"/>
            </w:pPr>
            <w:r>
              <w:t>1</w:t>
            </w:r>
          </w:p>
        </w:tc>
        <w:tc>
          <w:tcPr>
            <w:tcW w:w="624" w:type="dxa"/>
            <w:tcBorders>
              <w:top w:val="single" w:sz="6" w:space="0" w:color="auto"/>
            </w:tcBorders>
            <w:shd w:val="clear" w:color="auto" w:fill="auto"/>
          </w:tcPr>
          <w:p w:rsidR="007234DD" w:rsidRDefault="007234DD">
            <w:pPr>
              <w:pStyle w:val="a5"/>
              <w:ind w:right="0"/>
              <w:jc w:val="right"/>
            </w:pPr>
            <w:r>
              <w:t>9</w:t>
            </w:r>
          </w:p>
        </w:tc>
        <w:tc>
          <w:tcPr>
            <w:tcW w:w="624" w:type="dxa"/>
            <w:tcBorders>
              <w:top w:val="single" w:sz="6" w:space="0" w:color="auto"/>
            </w:tcBorders>
            <w:shd w:val="clear" w:color="auto" w:fill="auto"/>
          </w:tcPr>
          <w:p w:rsidR="007234DD" w:rsidRDefault="007234DD">
            <w:pPr>
              <w:pStyle w:val="a5"/>
              <w:ind w:right="0"/>
              <w:jc w:val="right"/>
            </w:pPr>
            <w:r>
              <w:t>0</w:t>
            </w:r>
          </w:p>
        </w:tc>
        <w:tc>
          <w:tcPr>
            <w:tcW w:w="625" w:type="dxa"/>
            <w:tcBorders>
              <w:top w:val="single" w:sz="6" w:space="0" w:color="auto"/>
            </w:tcBorders>
            <w:shd w:val="clear" w:color="auto" w:fill="auto"/>
          </w:tcPr>
          <w:p w:rsidR="007234DD" w:rsidRDefault="007234DD">
            <w:pPr>
              <w:pStyle w:val="a5"/>
              <w:ind w:right="0"/>
              <w:jc w:val="right"/>
            </w:pPr>
            <w:r>
              <w:t>2</w:t>
            </w:r>
          </w:p>
        </w:tc>
      </w:tr>
      <w:tr w:rsidR="007234DD">
        <w:trPr>
          <w:cantSplit/>
        </w:trPr>
        <w:tc>
          <w:tcPr>
            <w:tcW w:w="1466" w:type="dxa"/>
            <w:shd w:val="clear" w:color="auto" w:fill="auto"/>
          </w:tcPr>
          <w:p w:rsidR="007234DD" w:rsidRDefault="007234DD">
            <w:pPr>
              <w:pStyle w:val="a5"/>
              <w:rPr>
                <w:rFonts w:hint="eastAsia"/>
              </w:rPr>
            </w:pPr>
            <w:r>
              <w:rPr>
                <w:rFonts w:hint="eastAsia"/>
              </w:rPr>
              <w:t>中学证书</w:t>
            </w:r>
          </w:p>
        </w:tc>
        <w:tc>
          <w:tcPr>
            <w:tcW w:w="910" w:type="dxa"/>
            <w:vMerge/>
            <w:shd w:val="clear" w:color="auto" w:fill="auto"/>
          </w:tcPr>
          <w:p w:rsidR="007234DD" w:rsidRDefault="007234DD">
            <w:pPr>
              <w:pStyle w:val="a5"/>
            </w:pPr>
          </w:p>
        </w:tc>
        <w:tc>
          <w:tcPr>
            <w:tcW w:w="624" w:type="dxa"/>
            <w:shd w:val="clear" w:color="auto" w:fill="auto"/>
          </w:tcPr>
          <w:p w:rsidR="007234DD" w:rsidRDefault="007234DD">
            <w:pPr>
              <w:pStyle w:val="a5"/>
              <w:ind w:right="0"/>
              <w:jc w:val="right"/>
            </w:pPr>
            <w:r>
              <w:t>17</w:t>
            </w:r>
          </w:p>
        </w:tc>
        <w:tc>
          <w:tcPr>
            <w:tcW w:w="624" w:type="dxa"/>
            <w:shd w:val="clear" w:color="auto" w:fill="auto"/>
          </w:tcPr>
          <w:p w:rsidR="007234DD" w:rsidRDefault="007234DD">
            <w:pPr>
              <w:pStyle w:val="a5"/>
              <w:ind w:right="0"/>
              <w:jc w:val="right"/>
            </w:pPr>
            <w:r>
              <w:t>60</w:t>
            </w:r>
          </w:p>
        </w:tc>
        <w:tc>
          <w:tcPr>
            <w:tcW w:w="624" w:type="dxa"/>
            <w:shd w:val="clear" w:color="auto" w:fill="auto"/>
          </w:tcPr>
          <w:p w:rsidR="007234DD" w:rsidRDefault="007234DD">
            <w:pPr>
              <w:pStyle w:val="a5"/>
              <w:ind w:right="0"/>
              <w:jc w:val="right"/>
            </w:pPr>
            <w:r>
              <w:t>9</w:t>
            </w:r>
          </w:p>
        </w:tc>
        <w:tc>
          <w:tcPr>
            <w:tcW w:w="625" w:type="dxa"/>
            <w:shd w:val="clear" w:color="auto" w:fill="auto"/>
          </w:tcPr>
          <w:p w:rsidR="007234DD" w:rsidRDefault="007234DD">
            <w:pPr>
              <w:pStyle w:val="a5"/>
              <w:ind w:right="0"/>
              <w:jc w:val="right"/>
            </w:pPr>
            <w:r>
              <w:t>66</w:t>
            </w:r>
          </w:p>
        </w:tc>
        <w:tc>
          <w:tcPr>
            <w:tcW w:w="624" w:type="dxa"/>
            <w:shd w:val="clear" w:color="auto" w:fill="auto"/>
          </w:tcPr>
          <w:p w:rsidR="007234DD" w:rsidRDefault="007234DD">
            <w:pPr>
              <w:pStyle w:val="a5"/>
              <w:ind w:right="0"/>
              <w:jc w:val="right"/>
            </w:pPr>
            <w:r>
              <w:t>1</w:t>
            </w:r>
          </w:p>
        </w:tc>
        <w:tc>
          <w:tcPr>
            <w:tcW w:w="624" w:type="dxa"/>
            <w:shd w:val="clear" w:color="auto" w:fill="auto"/>
          </w:tcPr>
          <w:p w:rsidR="007234DD" w:rsidRDefault="007234DD">
            <w:pPr>
              <w:pStyle w:val="a5"/>
              <w:ind w:right="0"/>
              <w:jc w:val="right"/>
            </w:pPr>
            <w:r>
              <w:t>8</w:t>
            </w:r>
          </w:p>
        </w:tc>
        <w:tc>
          <w:tcPr>
            <w:tcW w:w="624" w:type="dxa"/>
            <w:shd w:val="clear" w:color="auto" w:fill="auto"/>
          </w:tcPr>
          <w:p w:rsidR="007234DD" w:rsidRDefault="007234DD">
            <w:pPr>
              <w:pStyle w:val="a5"/>
              <w:ind w:right="0"/>
              <w:jc w:val="right"/>
            </w:pPr>
            <w:r>
              <w:t>2</w:t>
            </w:r>
          </w:p>
        </w:tc>
        <w:tc>
          <w:tcPr>
            <w:tcW w:w="625" w:type="dxa"/>
            <w:shd w:val="clear" w:color="auto" w:fill="auto"/>
          </w:tcPr>
          <w:p w:rsidR="007234DD" w:rsidRDefault="007234DD">
            <w:pPr>
              <w:pStyle w:val="a5"/>
              <w:ind w:right="0"/>
              <w:jc w:val="right"/>
            </w:pPr>
            <w:r>
              <w:t>3</w:t>
            </w:r>
          </w:p>
        </w:tc>
      </w:tr>
      <w:tr w:rsidR="007234DD">
        <w:trPr>
          <w:cantSplit/>
        </w:trPr>
        <w:tc>
          <w:tcPr>
            <w:tcW w:w="1466" w:type="dxa"/>
            <w:tcBorders>
              <w:bottom w:val="single" w:sz="4" w:space="0" w:color="auto"/>
            </w:tcBorders>
            <w:shd w:val="clear" w:color="auto" w:fill="auto"/>
          </w:tcPr>
          <w:p w:rsidR="007234DD" w:rsidRDefault="007234DD">
            <w:pPr>
              <w:pStyle w:val="a5"/>
            </w:pPr>
            <w:r>
              <w:rPr>
                <w:rFonts w:hint="eastAsia"/>
              </w:rPr>
              <w:t>中学科学研究</w:t>
            </w:r>
          </w:p>
        </w:tc>
        <w:tc>
          <w:tcPr>
            <w:tcW w:w="910" w:type="dxa"/>
            <w:vMerge/>
            <w:tcBorders>
              <w:bottom w:val="single" w:sz="4" w:space="0" w:color="auto"/>
            </w:tcBorders>
            <w:shd w:val="clear" w:color="auto" w:fill="auto"/>
          </w:tcPr>
          <w:p w:rsidR="007234DD" w:rsidRDefault="007234DD">
            <w:pPr>
              <w:pStyle w:val="a5"/>
            </w:pPr>
          </w:p>
        </w:tc>
        <w:tc>
          <w:tcPr>
            <w:tcW w:w="624" w:type="dxa"/>
            <w:tcBorders>
              <w:bottom w:val="single" w:sz="4" w:space="0" w:color="auto"/>
            </w:tcBorders>
            <w:shd w:val="clear" w:color="auto" w:fill="auto"/>
          </w:tcPr>
          <w:p w:rsidR="007234DD" w:rsidRDefault="007234DD">
            <w:pPr>
              <w:pStyle w:val="a5"/>
              <w:ind w:right="0"/>
              <w:jc w:val="right"/>
            </w:pPr>
          </w:p>
        </w:tc>
        <w:tc>
          <w:tcPr>
            <w:tcW w:w="624" w:type="dxa"/>
            <w:tcBorders>
              <w:bottom w:val="single" w:sz="4" w:space="0" w:color="auto"/>
            </w:tcBorders>
            <w:shd w:val="clear" w:color="auto" w:fill="auto"/>
          </w:tcPr>
          <w:p w:rsidR="007234DD" w:rsidRDefault="007234DD">
            <w:pPr>
              <w:pStyle w:val="a5"/>
              <w:ind w:right="0"/>
              <w:jc w:val="right"/>
            </w:pPr>
          </w:p>
        </w:tc>
        <w:tc>
          <w:tcPr>
            <w:tcW w:w="624" w:type="dxa"/>
            <w:tcBorders>
              <w:bottom w:val="single" w:sz="4" w:space="0" w:color="auto"/>
            </w:tcBorders>
            <w:shd w:val="clear" w:color="auto" w:fill="auto"/>
          </w:tcPr>
          <w:p w:rsidR="007234DD" w:rsidRDefault="007234DD">
            <w:pPr>
              <w:pStyle w:val="a5"/>
              <w:ind w:right="0"/>
              <w:jc w:val="right"/>
            </w:pPr>
            <w:r>
              <w:t>0</w:t>
            </w:r>
          </w:p>
        </w:tc>
        <w:tc>
          <w:tcPr>
            <w:tcW w:w="625" w:type="dxa"/>
            <w:tcBorders>
              <w:bottom w:val="single" w:sz="4" w:space="0" w:color="auto"/>
            </w:tcBorders>
            <w:shd w:val="clear" w:color="auto" w:fill="auto"/>
          </w:tcPr>
          <w:p w:rsidR="007234DD" w:rsidRDefault="007234DD">
            <w:pPr>
              <w:pStyle w:val="a5"/>
              <w:ind w:right="0"/>
              <w:jc w:val="right"/>
            </w:pPr>
            <w:r>
              <w:t>1</w:t>
            </w:r>
          </w:p>
        </w:tc>
        <w:tc>
          <w:tcPr>
            <w:tcW w:w="624" w:type="dxa"/>
            <w:tcBorders>
              <w:bottom w:val="single" w:sz="4" w:space="0" w:color="auto"/>
            </w:tcBorders>
            <w:shd w:val="clear" w:color="auto" w:fill="auto"/>
          </w:tcPr>
          <w:p w:rsidR="007234DD" w:rsidRDefault="007234DD">
            <w:pPr>
              <w:pStyle w:val="a5"/>
              <w:ind w:right="0"/>
              <w:jc w:val="right"/>
            </w:pPr>
            <w:r>
              <w:t>0</w:t>
            </w:r>
          </w:p>
        </w:tc>
        <w:tc>
          <w:tcPr>
            <w:tcW w:w="624" w:type="dxa"/>
            <w:tcBorders>
              <w:bottom w:val="single" w:sz="4" w:space="0" w:color="auto"/>
            </w:tcBorders>
            <w:shd w:val="clear" w:color="auto" w:fill="auto"/>
          </w:tcPr>
          <w:p w:rsidR="007234DD" w:rsidRDefault="007234DD">
            <w:pPr>
              <w:pStyle w:val="a5"/>
              <w:ind w:right="0"/>
              <w:jc w:val="right"/>
            </w:pPr>
            <w:r>
              <w:t>1</w:t>
            </w:r>
          </w:p>
        </w:tc>
        <w:tc>
          <w:tcPr>
            <w:tcW w:w="624" w:type="dxa"/>
            <w:tcBorders>
              <w:bottom w:val="single" w:sz="4" w:space="0" w:color="auto"/>
            </w:tcBorders>
            <w:shd w:val="clear" w:color="auto" w:fill="auto"/>
          </w:tcPr>
          <w:p w:rsidR="007234DD" w:rsidRDefault="007234DD">
            <w:pPr>
              <w:pStyle w:val="a5"/>
              <w:ind w:right="0"/>
              <w:jc w:val="right"/>
            </w:pPr>
            <w:r>
              <w:t>0</w:t>
            </w:r>
          </w:p>
        </w:tc>
        <w:tc>
          <w:tcPr>
            <w:tcW w:w="625" w:type="dxa"/>
            <w:tcBorders>
              <w:bottom w:val="single" w:sz="4" w:space="0" w:color="auto"/>
            </w:tcBorders>
            <w:shd w:val="clear" w:color="auto" w:fill="auto"/>
          </w:tcPr>
          <w:p w:rsidR="007234DD" w:rsidRDefault="007234DD">
            <w:pPr>
              <w:pStyle w:val="a5"/>
              <w:ind w:right="0"/>
              <w:jc w:val="right"/>
            </w:pPr>
            <w:r>
              <w:t>0</w:t>
            </w:r>
          </w:p>
        </w:tc>
      </w:tr>
      <w:tr w:rsidR="007234DD">
        <w:trPr>
          <w:cantSplit/>
        </w:trPr>
        <w:tc>
          <w:tcPr>
            <w:tcW w:w="1466" w:type="dxa"/>
            <w:tcBorders>
              <w:top w:val="single" w:sz="4" w:space="0" w:color="auto"/>
              <w:bottom w:val="single" w:sz="4" w:space="0" w:color="auto"/>
            </w:tcBorders>
            <w:shd w:val="clear" w:color="auto" w:fill="auto"/>
          </w:tcPr>
          <w:p w:rsidR="007234DD" w:rsidRDefault="007234DD">
            <w:pPr>
              <w:pStyle w:val="a5"/>
              <w:spacing w:before="80" w:after="80" w:line="200" w:lineRule="exact"/>
              <w:ind w:left="170"/>
              <w:rPr>
                <w:rFonts w:eastAsia="SimHei" w:hint="eastAsia"/>
              </w:rPr>
            </w:pPr>
          </w:p>
        </w:tc>
        <w:tc>
          <w:tcPr>
            <w:tcW w:w="910" w:type="dxa"/>
            <w:tcBorders>
              <w:top w:val="single" w:sz="4" w:space="0" w:color="auto"/>
              <w:bottom w:val="single" w:sz="4" w:space="0" w:color="auto"/>
            </w:tcBorders>
            <w:shd w:val="clear" w:color="auto" w:fill="auto"/>
          </w:tcPr>
          <w:p w:rsidR="007234DD" w:rsidRDefault="007234DD">
            <w:pPr>
              <w:pStyle w:val="a5"/>
              <w:spacing w:before="80" w:after="80" w:line="200" w:lineRule="exact"/>
              <w:ind w:left="170"/>
              <w:rPr>
                <w:rFonts w:eastAsia="SimHei" w:hint="eastAsia"/>
              </w:rPr>
            </w:pPr>
            <w:r>
              <w:rPr>
                <w:rFonts w:eastAsia="SimHei" w:hint="eastAsia"/>
              </w:rPr>
              <w:t>合计</w:t>
            </w:r>
          </w:p>
        </w:tc>
        <w:tc>
          <w:tcPr>
            <w:tcW w:w="624"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23</w:t>
            </w:r>
          </w:p>
        </w:tc>
        <w:tc>
          <w:tcPr>
            <w:tcW w:w="624"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88</w:t>
            </w:r>
          </w:p>
        </w:tc>
        <w:tc>
          <w:tcPr>
            <w:tcW w:w="624"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17</w:t>
            </w:r>
          </w:p>
        </w:tc>
        <w:tc>
          <w:tcPr>
            <w:tcW w:w="625"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87</w:t>
            </w:r>
          </w:p>
        </w:tc>
        <w:tc>
          <w:tcPr>
            <w:tcW w:w="624"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w:t>
            </w:r>
          </w:p>
        </w:tc>
        <w:tc>
          <w:tcPr>
            <w:tcW w:w="624"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18</w:t>
            </w:r>
          </w:p>
        </w:tc>
        <w:tc>
          <w:tcPr>
            <w:tcW w:w="624"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w:t>
            </w:r>
          </w:p>
        </w:tc>
        <w:tc>
          <w:tcPr>
            <w:tcW w:w="625"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5</w:t>
            </w:r>
          </w:p>
        </w:tc>
      </w:tr>
      <w:tr w:rsidR="007234DD">
        <w:trPr>
          <w:cantSplit/>
        </w:trPr>
        <w:tc>
          <w:tcPr>
            <w:tcW w:w="1466"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rPr>
            </w:pPr>
            <w:r>
              <w:rPr>
                <w:rFonts w:eastAsia="SimHei" w:hint="eastAsia"/>
              </w:rPr>
              <w:t>总计</w:t>
            </w:r>
          </w:p>
        </w:tc>
        <w:tc>
          <w:tcPr>
            <w:tcW w:w="910" w:type="dxa"/>
            <w:tcBorders>
              <w:top w:val="single" w:sz="4" w:space="0" w:color="auto"/>
              <w:bottom w:val="single" w:sz="12" w:space="0" w:color="auto"/>
            </w:tcBorders>
            <w:shd w:val="clear" w:color="auto" w:fill="auto"/>
          </w:tcPr>
          <w:p w:rsidR="007234DD" w:rsidRDefault="007234DD">
            <w:pPr>
              <w:pStyle w:val="a5"/>
              <w:spacing w:before="80" w:after="80" w:line="200" w:lineRule="exact"/>
              <w:rPr>
                <w:rFonts w:eastAsia="SimHei" w:hint="eastAsia"/>
              </w:rPr>
            </w:pPr>
          </w:p>
        </w:tc>
        <w:tc>
          <w:tcPr>
            <w:tcW w:w="62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36</w:t>
            </w:r>
          </w:p>
        </w:tc>
        <w:tc>
          <w:tcPr>
            <w:tcW w:w="62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113</w:t>
            </w:r>
          </w:p>
        </w:tc>
        <w:tc>
          <w:tcPr>
            <w:tcW w:w="62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32</w:t>
            </w:r>
          </w:p>
        </w:tc>
        <w:tc>
          <w:tcPr>
            <w:tcW w:w="625"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101</w:t>
            </w:r>
          </w:p>
        </w:tc>
        <w:tc>
          <w:tcPr>
            <w:tcW w:w="62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7</w:t>
            </w:r>
          </w:p>
        </w:tc>
        <w:tc>
          <w:tcPr>
            <w:tcW w:w="62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30</w:t>
            </w:r>
          </w:p>
        </w:tc>
        <w:tc>
          <w:tcPr>
            <w:tcW w:w="62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4</w:t>
            </w:r>
          </w:p>
        </w:tc>
        <w:tc>
          <w:tcPr>
            <w:tcW w:w="625"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14</w:t>
            </w:r>
          </w:p>
        </w:tc>
      </w:tr>
    </w:tbl>
    <w:p w:rsidR="007234DD" w:rsidRDefault="007234DD">
      <w:pPr>
        <w:pStyle w:val="H23GC"/>
        <w:rPr>
          <w:rFonts w:hint="eastAsia"/>
        </w:rPr>
      </w:pPr>
      <w:r>
        <w:rPr>
          <w:rFonts w:hint="eastAsia"/>
        </w:rPr>
        <w:tab/>
      </w:r>
      <w:r>
        <w:rPr>
          <w:rFonts w:hint="eastAsia"/>
        </w:rPr>
        <w:tab/>
      </w:r>
      <w:r>
        <w:rPr>
          <w:rFonts w:hint="eastAsia"/>
        </w:rPr>
        <w:t>平等参与体育运动</w:t>
      </w:r>
    </w:p>
    <w:p w:rsidR="007234DD" w:rsidRDefault="007234DD">
      <w:pPr>
        <w:pStyle w:val="SingleTxtGC"/>
        <w:rPr>
          <w:rFonts w:hint="eastAsia"/>
        </w:rPr>
      </w:pPr>
      <w:r>
        <w:t xml:space="preserve">248.  </w:t>
      </w:r>
      <w:r>
        <w:rPr>
          <w:rFonts w:hint="eastAsia"/>
        </w:rPr>
        <w:t>1950</w:t>
      </w:r>
      <w:r>
        <w:rPr>
          <w:rFonts w:hint="eastAsia"/>
        </w:rPr>
        <w:t>年代随着正规学校教育的实行，人们开始对女子体育运动感兴趣。体育成为学校教学大纲的核心科目，所有女子学校都建有体育设施。</w:t>
      </w:r>
    </w:p>
    <w:p w:rsidR="007234DD" w:rsidRDefault="007234DD">
      <w:pPr>
        <w:pStyle w:val="SingleTxtGC"/>
      </w:pPr>
      <w:r>
        <w:t xml:space="preserve">249.  </w:t>
      </w:r>
      <w:r>
        <w:rPr>
          <w:rFonts w:hint="eastAsia"/>
        </w:rPr>
        <w:t>卡塔尔大学成立了一个系，给男女学生讲授体育科学。该方案是与体育精英学院</w:t>
      </w:r>
      <w:r>
        <w:rPr>
          <w:rFonts w:hint="eastAsia"/>
        </w:rPr>
        <w:t>(ASPIRE)</w:t>
      </w:r>
      <w:r>
        <w:rPr>
          <w:rFonts w:hint="eastAsia"/>
        </w:rPr>
        <w:t>合作建立的。体育精英学院是中东的第一个此类机构。它汇集了世界各地体育科学和职业体育领域的专家。他们按照科学的方法讲授该科目，而不是像过去那样只是将体育运动当作业余爱好。它致力于促进整个卡塔尔的健康生活和提供符合最新国际标准的科学体育教育。</w:t>
      </w:r>
    </w:p>
    <w:p w:rsidR="007234DD" w:rsidRDefault="007234DD">
      <w:pPr>
        <w:pStyle w:val="SingleTxtGC"/>
      </w:pPr>
      <w:r>
        <w:t xml:space="preserve">250.  </w:t>
      </w:r>
      <w:r>
        <w:rPr>
          <w:rFonts w:hint="eastAsia"/>
        </w:rPr>
        <w:t>2000</w:t>
      </w:r>
      <w:r>
        <w:rPr>
          <w:rFonts w:hint="eastAsia"/>
        </w:rPr>
        <w:t>年，最高家庭事务委员会成立了卡塔尔女子体育委员会，该委员会于</w:t>
      </w:r>
      <w:r>
        <w:rPr>
          <w:rFonts w:hint="eastAsia"/>
        </w:rPr>
        <w:t>2001</w:t>
      </w:r>
      <w:r>
        <w:rPr>
          <w:rFonts w:hint="eastAsia"/>
        </w:rPr>
        <w:t>年加入卡塔尔国家奥林匹克委员会。该委员会致力于促进女子体育，提高女运动员的成绩水平，支持女子体育，鼓励妇女参加体育运动，提高公众对女子体育的重要性的认识，促使卡塔尔妇女参与国内外的体育研讨会、研究和会议，从技术和管理角度改善开展女子体育活动的方式。</w:t>
      </w:r>
    </w:p>
    <w:p w:rsidR="007234DD" w:rsidRDefault="007234DD">
      <w:pPr>
        <w:pStyle w:val="SingleTxtGC"/>
      </w:pPr>
      <w:r>
        <w:t xml:space="preserve">251.  </w:t>
      </w:r>
      <w:r>
        <w:rPr>
          <w:rFonts w:hint="eastAsia"/>
        </w:rPr>
        <w:t>卡塔尔建立了</w:t>
      </w:r>
      <w:r>
        <w:rPr>
          <w:rFonts w:hint="eastAsia"/>
        </w:rPr>
        <w:t>3</w:t>
      </w:r>
      <w:r>
        <w:rPr>
          <w:rFonts w:hint="eastAsia"/>
        </w:rPr>
        <w:t>个女子体育中心，有</w:t>
      </w:r>
      <w:r>
        <w:rPr>
          <w:rFonts w:hint="eastAsia"/>
        </w:rPr>
        <w:t>600</w:t>
      </w:r>
      <w:r>
        <w:rPr>
          <w:rFonts w:hint="eastAsia"/>
        </w:rPr>
        <w:t>名妇女经常光顾那里。有</w:t>
      </w:r>
      <w:r>
        <w:rPr>
          <w:rFonts w:hint="eastAsia"/>
        </w:rPr>
        <w:t>26</w:t>
      </w:r>
      <w:r>
        <w:rPr>
          <w:rFonts w:hint="eastAsia"/>
        </w:rPr>
        <w:t>名卡塔尔籍妇女提供不同类型的体育训练，此外还有一些其他国籍的女教练。</w:t>
      </w:r>
    </w:p>
    <w:p w:rsidR="007234DD" w:rsidRDefault="007234DD">
      <w:pPr>
        <w:pStyle w:val="SingleTxtGC"/>
      </w:pPr>
      <w:r>
        <w:t xml:space="preserve">252.  </w:t>
      </w:r>
      <w:r>
        <w:rPr>
          <w:rFonts w:hint="eastAsia"/>
        </w:rPr>
        <w:t>妇女参加了在卡塔尔、本区域和其他地方</w:t>
      </w:r>
      <w:r>
        <w:rPr>
          <w:rFonts w:hint="eastAsia"/>
        </w:rPr>
        <w:t>(</w:t>
      </w:r>
      <w:r>
        <w:rPr>
          <w:rFonts w:hint="eastAsia"/>
        </w:rPr>
        <w:t>亚洲和世界其他地方</w:t>
      </w:r>
      <w:r>
        <w:rPr>
          <w:rFonts w:hint="eastAsia"/>
        </w:rPr>
        <w:t>)</w:t>
      </w:r>
      <w:r>
        <w:rPr>
          <w:rFonts w:hint="eastAsia"/>
        </w:rPr>
        <w:t>举行的</w:t>
      </w:r>
      <w:r>
        <w:rPr>
          <w:rFonts w:hint="eastAsia"/>
        </w:rPr>
        <w:t>36</w:t>
      </w:r>
      <w:r>
        <w:rPr>
          <w:rFonts w:hint="eastAsia"/>
        </w:rPr>
        <w:t>项体育</w:t>
      </w:r>
      <w:r>
        <w:rPr>
          <w:rFonts w:hint="eastAsia"/>
        </w:rPr>
        <w:t>/</w:t>
      </w:r>
      <w:r>
        <w:rPr>
          <w:rFonts w:hint="eastAsia"/>
        </w:rPr>
        <w:t>竞技锦标赛。</w:t>
      </w:r>
      <w:r>
        <w:rPr>
          <w:rFonts w:hint="eastAsia"/>
        </w:rPr>
        <w:t>2001</w:t>
      </w:r>
      <w:r>
        <w:rPr>
          <w:rFonts w:hint="eastAsia"/>
        </w:rPr>
        <w:t>年至</w:t>
      </w:r>
      <w:r>
        <w:rPr>
          <w:rFonts w:hint="eastAsia"/>
        </w:rPr>
        <w:t>2008</w:t>
      </w:r>
      <w:r>
        <w:rPr>
          <w:rFonts w:hint="eastAsia"/>
        </w:rPr>
        <w:t>年期间，有</w:t>
      </w:r>
      <w:r>
        <w:rPr>
          <w:rFonts w:hint="eastAsia"/>
        </w:rPr>
        <w:t>20</w:t>
      </w:r>
      <w:r>
        <w:rPr>
          <w:rFonts w:hint="eastAsia"/>
        </w:rPr>
        <w:t>名卡塔尔妇女在下列赛事中进入前三名：</w:t>
      </w:r>
      <w:r>
        <w:rPr>
          <w:rFonts w:hint="eastAsia"/>
        </w:rPr>
        <w:t>8</w:t>
      </w:r>
      <w:r>
        <w:rPr>
          <w:rFonts w:hint="eastAsia"/>
        </w:rPr>
        <w:t>项海湾地区锦标赛、</w:t>
      </w:r>
      <w:r>
        <w:rPr>
          <w:rFonts w:hint="eastAsia"/>
        </w:rPr>
        <w:t>4</w:t>
      </w:r>
      <w:r>
        <w:rPr>
          <w:rFonts w:hint="eastAsia"/>
        </w:rPr>
        <w:t>项阿拉伯国家锦标赛和</w:t>
      </w:r>
      <w:r>
        <w:rPr>
          <w:rFonts w:hint="eastAsia"/>
        </w:rPr>
        <w:t>8</w:t>
      </w:r>
      <w:r>
        <w:rPr>
          <w:rFonts w:hint="eastAsia"/>
        </w:rPr>
        <w:t>项亚洲锦标赛。</w:t>
      </w:r>
    </w:p>
    <w:p w:rsidR="007234DD" w:rsidRDefault="007234DD">
      <w:pPr>
        <w:pStyle w:val="SingleTxtGC"/>
      </w:pPr>
      <w:r>
        <w:t xml:space="preserve">253.  </w:t>
      </w:r>
      <w:r>
        <w:rPr>
          <w:rFonts w:hint="eastAsia"/>
        </w:rPr>
        <w:t>卡塔尔妇</w:t>
      </w:r>
      <w:r>
        <w:rPr>
          <w:rFonts w:ascii="MS Mincho" w:eastAsia="MS Mincho" w:hAnsi="MS Mincho" w:cs="MS Mincho" w:hint="eastAsia"/>
        </w:rPr>
        <w:t>​​</w:t>
      </w:r>
      <w:r>
        <w:rPr>
          <w:rFonts w:ascii="SimSun" w:hAnsi="SimSun" w:cs="SimSun" w:hint="eastAsia"/>
        </w:rPr>
        <w:t>女在女童子军运动中发挥了作用。</w:t>
      </w:r>
      <w:r>
        <w:t>1995</w:t>
      </w:r>
      <w:r>
        <w:rPr>
          <w:rFonts w:hint="eastAsia"/>
        </w:rPr>
        <w:t>年成立了</w:t>
      </w:r>
      <w:r>
        <w:rPr>
          <w:rFonts w:ascii="SimSun" w:hAnsi="SimSun" w:cs="SimSun" w:hint="eastAsia"/>
        </w:rPr>
        <w:t>一个女童子军组织。它参加了</w:t>
      </w:r>
      <w:r>
        <w:rPr>
          <w:rFonts w:hint="eastAsia"/>
        </w:rPr>
        <w:t>阿拉伯国家和国际</w:t>
      </w:r>
      <w:r>
        <w:rPr>
          <w:rFonts w:ascii="SimSun" w:hAnsi="SimSun" w:cs="SimSun" w:hint="eastAsia"/>
        </w:rPr>
        <w:t>同行组织</w:t>
      </w:r>
      <w:r>
        <w:rPr>
          <w:rFonts w:hint="eastAsia"/>
        </w:rPr>
        <w:t>的大部分活动。</w:t>
      </w:r>
    </w:p>
    <w:p w:rsidR="007234DD" w:rsidRDefault="007234DD">
      <w:pPr>
        <w:pStyle w:val="H23GC"/>
        <w:rPr>
          <w:rFonts w:hint="eastAsia"/>
        </w:rPr>
      </w:pPr>
      <w:r>
        <w:rPr>
          <w:rFonts w:hint="eastAsia"/>
        </w:rPr>
        <w:tab/>
      </w:r>
      <w:r>
        <w:rPr>
          <w:rFonts w:hint="eastAsia"/>
        </w:rPr>
        <w:tab/>
      </w:r>
      <w:r>
        <w:rPr>
          <w:rFonts w:hint="eastAsia"/>
        </w:rPr>
        <w:t>挑战和未来展望</w:t>
      </w:r>
    </w:p>
    <w:p w:rsidR="007234DD" w:rsidRDefault="007234DD">
      <w:pPr>
        <w:pStyle w:val="SingleTxtGC"/>
      </w:pPr>
      <w:r>
        <w:t xml:space="preserve">254.  </w:t>
      </w:r>
      <w:r>
        <w:rPr>
          <w:rFonts w:hint="eastAsia"/>
        </w:rPr>
        <w:t>虽然卡塔尔妇女在教育领域取得了一些成就，但她们依然面临某些障碍：有些卡塔尔妇女不愿意接受国家提供给她们的国外教育和培训机会，尽管陪同人员的旅行费用可由派遣机构承担。该问题可归因于社会因素，因为妇女仍需获得家人的许可才能出国旅行。</w:t>
      </w:r>
    </w:p>
    <w:p w:rsidR="007234DD" w:rsidRDefault="007234DD">
      <w:pPr>
        <w:pStyle w:val="SingleTxtGC"/>
      </w:pPr>
      <w:r>
        <w:t xml:space="preserve">255.  </w:t>
      </w:r>
      <w:r>
        <w:rPr>
          <w:rFonts w:hint="eastAsia"/>
        </w:rPr>
        <w:t>一个相关挑战是，社会对妇女参加体育运动持有消极看法。这阻碍了妇女参加</w:t>
      </w:r>
      <w:r>
        <w:rPr>
          <w:rFonts w:ascii="SimSun" w:hAnsi="SimSun" w:cs="SimSun" w:hint="eastAsia"/>
        </w:rPr>
        <w:t>卡塔尔</w:t>
      </w:r>
      <w:r>
        <w:rPr>
          <w:rFonts w:hint="eastAsia"/>
        </w:rPr>
        <w:t>女子体育</w:t>
      </w:r>
      <w:r>
        <w:rPr>
          <w:rFonts w:ascii="SimSun" w:hAnsi="SimSun" w:cs="SimSun" w:hint="eastAsia"/>
        </w:rPr>
        <w:t>中心的活动。此外，一些体育项目的性质以及参加某些国际体育竞赛的条件不符合卡塔尔社会的习俗和传统。</w:t>
      </w:r>
    </w:p>
    <w:p w:rsidR="007234DD" w:rsidRDefault="007234DD">
      <w:pPr>
        <w:pStyle w:val="SingleTxtGC"/>
      </w:pPr>
      <w:r>
        <w:t xml:space="preserve">256.  </w:t>
      </w:r>
      <w:r>
        <w:rPr>
          <w:rFonts w:hint="eastAsia"/>
        </w:rPr>
        <w:t>虽然卡塔尔妇女的教育赋权面临一些挑战，但是卡塔尔有这样做的政治意愿，正在不断努力消除这一极其重要领域中对妇女的一切形式歧视，提高整个社会对教育的重要性的认识，这一事实只能导致在质量和数量上获得额外收益，从而将卡塔尔变成教育领域的国际参与者。</w:t>
      </w:r>
    </w:p>
    <w:p w:rsidR="007234DD" w:rsidRDefault="007234DD">
      <w:pPr>
        <w:pStyle w:val="SingleTxtGC"/>
      </w:pPr>
      <w:r>
        <w:t xml:space="preserve">257.  </w:t>
      </w:r>
      <w:r>
        <w:rPr>
          <w:rFonts w:hint="eastAsia"/>
        </w:rPr>
        <w:t>因此，今后可能会继续进行集中努力，让妇女学习更加多元化的学科，鼓励妇女参加职业和技术方案，发展教育和职业咨询服务，鼓励妇女出国留学和接受培训，以及采取更多措施根除卡塔尔妇女中的文盲现象。</w:t>
      </w:r>
    </w:p>
    <w:p w:rsidR="007234DD" w:rsidRDefault="007234DD">
      <w:pPr>
        <w:pStyle w:val="SingleTxtGC"/>
        <w:rPr>
          <w:rFonts w:hint="eastAsia"/>
        </w:rPr>
      </w:pPr>
      <w:r>
        <w:t xml:space="preserve">258.  </w:t>
      </w:r>
      <w:r>
        <w:rPr>
          <w:rFonts w:hint="eastAsia"/>
        </w:rPr>
        <w:t>此外，卡塔尔妇女有望受益于未来教育机会的扩大。这些机会由卡塔尔教育、科学和社区发展基金会的教育城提供，其中将提供为卡塔尔整个社会发展特别是劳动力市场的要求量身定制的专门方案。这些方案将在一些国际性大学设在教育城的分校提供。</w:t>
      </w:r>
    </w:p>
    <w:p w:rsidR="007234DD" w:rsidRDefault="007234DD">
      <w:pPr>
        <w:pStyle w:val="H1GC"/>
      </w:pPr>
      <w:r>
        <w:tab/>
      </w:r>
      <w:r>
        <w:rPr>
          <w:rFonts w:hint="eastAsia"/>
        </w:rPr>
        <w:tab/>
      </w:r>
      <w:r>
        <w:rPr>
          <w:rFonts w:hint="eastAsia"/>
        </w:rPr>
        <w:t>第十一条</w:t>
      </w:r>
      <w:r>
        <w:br/>
      </w:r>
      <w:r>
        <w:rPr>
          <w:rFonts w:hint="eastAsia"/>
        </w:rPr>
        <w:t>就业</w:t>
      </w:r>
    </w:p>
    <w:p w:rsidR="007234DD" w:rsidRDefault="007234DD">
      <w:pPr>
        <w:pStyle w:val="H23GC"/>
      </w:pPr>
      <w:r>
        <w:tab/>
      </w:r>
      <w:r>
        <w:tab/>
      </w:r>
      <w:r>
        <w:rPr>
          <w:rFonts w:hint="eastAsia"/>
        </w:rPr>
        <w:t>工作和享有相同工作机会的权利</w:t>
      </w:r>
    </w:p>
    <w:p w:rsidR="007234DD" w:rsidRDefault="007234DD">
      <w:pPr>
        <w:pStyle w:val="SingleTxtGC"/>
        <w:rPr>
          <w:rFonts w:hint="eastAsia"/>
        </w:rPr>
      </w:pPr>
      <w:r>
        <w:t xml:space="preserve">259.  </w:t>
      </w:r>
      <w:r>
        <w:rPr>
          <w:rFonts w:hint="eastAsia"/>
        </w:rPr>
        <w:t>卡塔尔承诺确保卡塔尔公民享有工作权利，在包括就业在内的各领域享有平等待遇，不因种族、肤色或性别而受到歧视。《宪法》第</w:t>
      </w:r>
      <w:r>
        <w:rPr>
          <w:rFonts w:hint="eastAsia"/>
        </w:rPr>
        <w:t>35</w:t>
      </w:r>
      <w:r>
        <w:rPr>
          <w:rFonts w:hint="eastAsia"/>
        </w:rPr>
        <w:t>条规定：“法律面前人人平等。人与人之间不得存在以性别、出身、语言或宗教为理由的歧视”。《宪法》第</w:t>
      </w:r>
      <w:r>
        <w:rPr>
          <w:rFonts w:hint="eastAsia"/>
        </w:rPr>
        <w:t>28</w:t>
      </w:r>
      <w:r>
        <w:rPr>
          <w:rFonts w:hint="eastAsia"/>
        </w:rPr>
        <w:t>条规定：“国家应依照法律，在社会公平以及公共部门和私营部门间均衡合作的基础上确保经济企业的自由，以期实现社会经济发展，增加产出，使公民繁荣兴盛，提升公民的生活水准并为其提供就业机会”。因此，工作权利是赋予所有国民的基本宪法权利，不得因性别不同而有别。</w:t>
      </w:r>
    </w:p>
    <w:p w:rsidR="007234DD" w:rsidRDefault="007234DD">
      <w:pPr>
        <w:pStyle w:val="SingleTxtGC"/>
      </w:pPr>
      <w:r>
        <w:t xml:space="preserve">260.  </w:t>
      </w:r>
      <w:r>
        <w:rPr>
          <w:rFonts w:hint="eastAsia"/>
        </w:rPr>
        <w:t>这些宪法条款为在卡塔尔制定一套就业法律提供了重要基础。《人力资源管理法》</w:t>
      </w:r>
      <w:r>
        <w:rPr>
          <w:rFonts w:hint="eastAsia"/>
        </w:rPr>
        <w:t>(</w:t>
      </w:r>
      <w:r>
        <w:rPr>
          <w:rFonts w:hint="eastAsia"/>
        </w:rPr>
        <w:t>适用于公共部门雇员</w:t>
      </w:r>
      <w:r>
        <w:rPr>
          <w:rFonts w:hint="eastAsia"/>
        </w:rPr>
        <w:t>)</w:t>
      </w:r>
      <w:r>
        <w:rPr>
          <w:rFonts w:hint="eastAsia"/>
        </w:rPr>
        <w:t>将雇员定义为“为获取薪酬而在雇主的监督或指导下工作的人”。该定义指的是男女两性，并非仅指男性。</w:t>
      </w:r>
    </w:p>
    <w:p w:rsidR="007234DD" w:rsidRDefault="007234DD">
      <w:pPr>
        <w:pStyle w:val="SingleTxtGC"/>
        <w:rPr>
          <w:rFonts w:hint="eastAsia"/>
        </w:rPr>
      </w:pPr>
      <w:r>
        <w:t xml:space="preserve">261.  </w:t>
      </w:r>
      <w:r>
        <w:rPr>
          <w:rFonts w:hint="eastAsia"/>
        </w:rPr>
        <w:t>《人力资源管理法》载有关于产假的条款，并规定女雇员在子女出生后的一年内有权每天用两个小时进行哺乳。何时哺乳由她们自行决定</w:t>
      </w:r>
      <w:r>
        <w:rPr>
          <w:rFonts w:hint="eastAsia"/>
        </w:rPr>
        <w:t>(</w:t>
      </w:r>
      <w:r>
        <w:rPr>
          <w:rFonts w:hint="eastAsia"/>
        </w:rPr>
        <w:t>第</w:t>
      </w:r>
      <w:r>
        <w:rPr>
          <w:rFonts w:hint="eastAsia"/>
        </w:rPr>
        <w:t>109</w:t>
      </w:r>
      <w:r>
        <w:rPr>
          <w:rFonts w:hint="eastAsia"/>
        </w:rPr>
        <w:t>条</w:t>
      </w:r>
      <w:r>
        <w:rPr>
          <w:rFonts w:hint="eastAsia"/>
        </w:rPr>
        <w:t>)</w:t>
      </w:r>
      <w:r>
        <w:rPr>
          <w:rFonts w:hint="eastAsia"/>
        </w:rPr>
        <w:t>。该法还赋予卡塔尔女雇员请假照顾</w:t>
      </w:r>
      <w:r>
        <w:rPr>
          <w:rFonts w:hint="eastAsia"/>
        </w:rPr>
        <w:t>6</w:t>
      </w:r>
      <w:r>
        <w:rPr>
          <w:rFonts w:hint="eastAsia"/>
        </w:rPr>
        <w:t>岁以下残疾子女的权利。在任职期间，妇女可请两次假，每次至多</w:t>
      </w:r>
      <w:r>
        <w:rPr>
          <w:rFonts w:hint="eastAsia"/>
        </w:rPr>
        <w:t>3</w:t>
      </w:r>
      <w:r>
        <w:rPr>
          <w:rFonts w:hint="eastAsia"/>
        </w:rPr>
        <w:t>年。在充分考虑了公众利益之后，首相可以自行斟酌决定准许卡塔尔女雇员休假照顾子女。无论如何，在头</w:t>
      </w:r>
      <w:r>
        <w:rPr>
          <w:rFonts w:hint="eastAsia"/>
        </w:rPr>
        <w:t>3</w:t>
      </w:r>
      <w:r>
        <w:rPr>
          <w:rFonts w:hint="eastAsia"/>
        </w:rPr>
        <w:t>年期间均为全薪休假，在那之后为半薪休假</w:t>
      </w:r>
      <w:r>
        <w:rPr>
          <w:rFonts w:hint="eastAsia"/>
        </w:rPr>
        <w:t>(</w:t>
      </w:r>
      <w:r>
        <w:rPr>
          <w:rFonts w:hint="eastAsia"/>
        </w:rPr>
        <w:t>第</w:t>
      </w:r>
      <w:r>
        <w:rPr>
          <w:rFonts w:hint="eastAsia"/>
        </w:rPr>
        <w:t>110</w:t>
      </w:r>
      <w:r>
        <w:rPr>
          <w:rFonts w:hint="eastAsia"/>
        </w:rPr>
        <w:t>条</w:t>
      </w:r>
      <w:r>
        <w:rPr>
          <w:rFonts w:hint="eastAsia"/>
        </w:rPr>
        <w:t>)</w:t>
      </w:r>
      <w:r>
        <w:rPr>
          <w:rFonts w:hint="eastAsia"/>
        </w:rPr>
        <w:t>。该法中有条款规定准许丧偶的穆斯林女雇员在丈夫去世后休</w:t>
      </w:r>
      <w:r>
        <w:rPr>
          <w:rFonts w:hint="eastAsia"/>
        </w:rPr>
        <w:t>4</w:t>
      </w:r>
      <w:r>
        <w:rPr>
          <w:rFonts w:hint="eastAsia"/>
        </w:rPr>
        <w:t>个月零</w:t>
      </w:r>
      <w:r>
        <w:rPr>
          <w:rFonts w:hint="eastAsia"/>
        </w:rPr>
        <w:t>10</w:t>
      </w:r>
      <w:r>
        <w:rPr>
          <w:rFonts w:hint="eastAsia"/>
        </w:rPr>
        <w:t>天的全薪假，以便渡过婚姻结束后的等待期</w:t>
      </w:r>
      <w:r>
        <w:rPr>
          <w:rFonts w:hint="eastAsia"/>
        </w:rPr>
        <w:t>(</w:t>
      </w:r>
      <w:r>
        <w:rPr>
          <w:rFonts w:eastAsia="KaiTi_GB2312"/>
        </w:rPr>
        <w:t>iddah</w:t>
      </w:r>
      <w:r>
        <w:rPr>
          <w:rFonts w:hint="eastAsia"/>
        </w:rPr>
        <w:t>)</w:t>
      </w:r>
      <w:r>
        <w:rPr>
          <w:rFonts w:hint="eastAsia"/>
        </w:rPr>
        <w:t>，或者如果她们已经怀孕则准许她们休假至生产时。此类休假时间不得从其他类型休假中扣除</w:t>
      </w:r>
      <w:r>
        <w:rPr>
          <w:rFonts w:hint="eastAsia"/>
        </w:rPr>
        <w:t>(</w:t>
      </w:r>
      <w:r>
        <w:rPr>
          <w:rFonts w:hint="eastAsia"/>
        </w:rPr>
        <w:t>第</w:t>
      </w:r>
      <w:r>
        <w:rPr>
          <w:rFonts w:hint="eastAsia"/>
        </w:rPr>
        <w:t>113</w:t>
      </w:r>
      <w:r>
        <w:rPr>
          <w:rFonts w:hint="eastAsia"/>
        </w:rPr>
        <w:t>条</w:t>
      </w:r>
      <w:r>
        <w:rPr>
          <w:rFonts w:hint="eastAsia"/>
        </w:rPr>
        <w:t>)</w:t>
      </w:r>
      <w:r>
        <w:rPr>
          <w:rFonts w:hint="eastAsia"/>
        </w:rPr>
        <w:t>。</w:t>
      </w:r>
    </w:p>
    <w:p w:rsidR="007234DD" w:rsidRDefault="007234DD">
      <w:pPr>
        <w:pStyle w:val="SingleTxtGC"/>
        <w:rPr>
          <w:rFonts w:hint="eastAsia"/>
        </w:rPr>
      </w:pPr>
      <w:r>
        <w:t xml:space="preserve">262.  </w:t>
      </w:r>
      <w:r>
        <w:rPr>
          <w:rFonts w:hint="eastAsia"/>
        </w:rPr>
        <w:t>《劳动法》第</w:t>
      </w:r>
      <w:r>
        <w:rPr>
          <w:rFonts w:hint="eastAsia"/>
        </w:rPr>
        <w:t>9</w:t>
      </w:r>
      <w:r>
        <w:rPr>
          <w:rFonts w:hint="eastAsia"/>
        </w:rPr>
        <w:t>节</w:t>
      </w:r>
      <w:r>
        <w:rPr>
          <w:rFonts w:hint="eastAsia"/>
        </w:rPr>
        <w:t>(2004</w:t>
      </w:r>
      <w:r>
        <w:rPr>
          <w:rFonts w:hint="eastAsia"/>
        </w:rPr>
        <w:t>年第</w:t>
      </w:r>
      <w:r>
        <w:rPr>
          <w:rFonts w:hint="eastAsia"/>
        </w:rPr>
        <w:t>14</w:t>
      </w:r>
      <w:r>
        <w:rPr>
          <w:rFonts w:hint="eastAsia"/>
        </w:rPr>
        <w:t>号法，第</w:t>
      </w:r>
      <w:r>
        <w:rPr>
          <w:rFonts w:hint="eastAsia"/>
        </w:rPr>
        <w:t>93-98</w:t>
      </w:r>
      <w:r>
        <w:rPr>
          <w:rFonts w:hint="eastAsia"/>
        </w:rPr>
        <w:t>条</w:t>
      </w:r>
      <w:r>
        <w:rPr>
          <w:rFonts w:hint="eastAsia"/>
        </w:rPr>
        <w:t>)</w:t>
      </w:r>
      <w:r>
        <w:rPr>
          <w:rFonts w:hint="eastAsia"/>
        </w:rPr>
        <w:t>涉及女性就业，规定妇女享有同工同酬的权利，有平等获得培训和晋升机会的权利，有休产假和在一年内每天享有一小时哺乳时间的权利。不得以结婚或休产假为由解雇女性，也不得在其休假期间终止劳动合同。</w:t>
      </w:r>
    </w:p>
    <w:p w:rsidR="007234DD" w:rsidRDefault="007234DD">
      <w:pPr>
        <w:pStyle w:val="SingleTxtGC"/>
      </w:pPr>
      <w:r>
        <w:t xml:space="preserve">263.  </w:t>
      </w:r>
      <w:r>
        <w:rPr>
          <w:rFonts w:hint="eastAsia"/>
        </w:rPr>
        <w:t>《司法权力法》</w:t>
      </w:r>
      <w:r>
        <w:rPr>
          <w:rFonts w:hint="eastAsia"/>
        </w:rPr>
        <w:t>(2003</w:t>
      </w:r>
      <w:r>
        <w:rPr>
          <w:rFonts w:hint="eastAsia"/>
        </w:rPr>
        <w:t>年第</w:t>
      </w:r>
      <w:r>
        <w:rPr>
          <w:rFonts w:hint="eastAsia"/>
        </w:rPr>
        <w:t>10</w:t>
      </w:r>
      <w:r>
        <w:rPr>
          <w:rFonts w:hint="eastAsia"/>
        </w:rPr>
        <w:t>号法</w:t>
      </w:r>
      <w:r>
        <w:rPr>
          <w:rFonts w:hint="eastAsia"/>
        </w:rPr>
        <w:t>)</w:t>
      </w:r>
      <w:r>
        <w:rPr>
          <w:rFonts w:hint="eastAsia"/>
        </w:rPr>
        <w:t>所载条款无一在司法职能部门就业方面对男女加以区别对待。</w:t>
      </w:r>
      <w:r>
        <w:rPr>
          <w:rFonts w:hint="eastAsia"/>
        </w:rPr>
        <w:t>2010</w:t>
      </w:r>
      <w:r>
        <w:rPr>
          <w:rFonts w:hint="eastAsia"/>
        </w:rPr>
        <w:t>年</w:t>
      </w:r>
      <w:r>
        <w:rPr>
          <w:rFonts w:hint="eastAsia"/>
        </w:rPr>
        <w:t>6</w:t>
      </w:r>
      <w:r>
        <w:rPr>
          <w:rFonts w:hint="eastAsia"/>
        </w:rPr>
        <w:t>月，埃米尔发布命令，首次任命一名卡塔尔妇女主持初审法院。同年</w:t>
      </w:r>
      <w:r>
        <w:rPr>
          <w:rFonts w:hint="eastAsia"/>
        </w:rPr>
        <w:t>3</w:t>
      </w:r>
      <w:r>
        <w:rPr>
          <w:rFonts w:hint="eastAsia"/>
        </w:rPr>
        <w:t>月，一名妇女被任命为助理法官。</w:t>
      </w:r>
    </w:p>
    <w:p w:rsidR="007234DD" w:rsidRDefault="007234DD">
      <w:pPr>
        <w:pStyle w:val="SingleTxtGC"/>
      </w:pPr>
      <w:r>
        <w:t xml:space="preserve">264.  </w:t>
      </w:r>
      <w:r>
        <w:rPr>
          <w:rFonts w:hint="eastAsia"/>
        </w:rPr>
        <w:t>2010</w:t>
      </w:r>
      <w:r>
        <w:rPr>
          <w:rFonts w:hint="eastAsia"/>
        </w:rPr>
        <w:t>年，有史以来第一次任命一名卡塔尔妇女为大使</w:t>
      </w:r>
      <w:r>
        <w:rPr>
          <w:rFonts w:hint="eastAsia"/>
          <w:spacing w:val="-50"/>
        </w:rPr>
        <w:t>―</w:t>
      </w:r>
      <w:r>
        <w:rPr>
          <w:rFonts w:hint="eastAsia"/>
          <w:spacing w:val="10"/>
        </w:rPr>
        <w:t>―</w:t>
      </w:r>
      <w:r>
        <w:rPr>
          <w:rFonts w:hint="eastAsia"/>
        </w:rPr>
        <w:t>卡塔尔常驻纽约联合国代表。</w:t>
      </w:r>
    </w:p>
    <w:p w:rsidR="007234DD" w:rsidRDefault="007234DD">
      <w:pPr>
        <w:pStyle w:val="SingleTxtGC"/>
      </w:pPr>
      <w:r>
        <w:t xml:space="preserve">265.  </w:t>
      </w:r>
      <w:r>
        <w:rPr>
          <w:rFonts w:hint="eastAsia"/>
        </w:rPr>
        <w:t>卡塔尔国批准了许多有关择业的国际公约。卡塔尔于</w:t>
      </w:r>
      <w:r>
        <w:rPr>
          <w:rFonts w:hint="eastAsia"/>
        </w:rPr>
        <w:t>1976</w:t>
      </w:r>
      <w:r>
        <w:rPr>
          <w:rFonts w:hint="eastAsia"/>
        </w:rPr>
        <w:t>年批准国际劳工组织</w:t>
      </w:r>
      <w:r>
        <w:rPr>
          <w:rFonts w:hint="eastAsia"/>
        </w:rPr>
        <w:t>(</w:t>
      </w:r>
      <w:r>
        <w:rPr>
          <w:rFonts w:hint="eastAsia"/>
        </w:rPr>
        <w:t>劳工组织</w:t>
      </w:r>
      <w:r>
        <w:rPr>
          <w:rFonts w:hint="eastAsia"/>
        </w:rPr>
        <w:t>)</w:t>
      </w:r>
      <w:r>
        <w:rPr>
          <w:rFonts w:hint="eastAsia"/>
        </w:rPr>
        <w:t>《</w:t>
      </w:r>
      <w:r>
        <w:rPr>
          <w:rFonts w:hint="eastAsia"/>
        </w:rPr>
        <w:t>1958</w:t>
      </w:r>
      <w:r>
        <w:rPr>
          <w:rFonts w:hint="eastAsia"/>
        </w:rPr>
        <w:t>年</w:t>
      </w:r>
      <w:r>
        <w:rPr>
          <w:rFonts w:hint="eastAsia"/>
        </w:rPr>
        <w:t>(</w:t>
      </w:r>
      <w:r>
        <w:rPr>
          <w:rFonts w:hint="eastAsia"/>
        </w:rPr>
        <w:t>消除就业和职业</w:t>
      </w:r>
      <w:r>
        <w:rPr>
          <w:rFonts w:hint="eastAsia"/>
        </w:rPr>
        <w:t>)</w:t>
      </w:r>
      <w:r>
        <w:rPr>
          <w:rFonts w:hint="eastAsia"/>
        </w:rPr>
        <w:t>歧视公约》</w:t>
      </w:r>
      <w:r>
        <w:rPr>
          <w:rFonts w:hint="eastAsia"/>
        </w:rPr>
        <w:t>(</w:t>
      </w:r>
      <w:r>
        <w:rPr>
          <w:rFonts w:hint="eastAsia"/>
        </w:rPr>
        <w:t>第</w:t>
      </w:r>
      <w:r>
        <w:rPr>
          <w:rFonts w:hint="eastAsia"/>
        </w:rPr>
        <w:t>111</w:t>
      </w:r>
      <w:r>
        <w:rPr>
          <w:rFonts w:hint="eastAsia"/>
        </w:rPr>
        <w:t>号</w:t>
      </w:r>
      <w:r>
        <w:rPr>
          <w:rFonts w:hint="eastAsia"/>
        </w:rPr>
        <w:t>)</w:t>
      </w:r>
      <w:r>
        <w:rPr>
          <w:rFonts w:hint="eastAsia"/>
        </w:rPr>
        <w:t>，于</w:t>
      </w:r>
      <w:r>
        <w:rPr>
          <w:rFonts w:hint="eastAsia"/>
        </w:rPr>
        <w:t>2006</w:t>
      </w:r>
      <w:r>
        <w:rPr>
          <w:rFonts w:hint="eastAsia"/>
        </w:rPr>
        <w:t>年批准《</w:t>
      </w:r>
      <w:r>
        <w:rPr>
          <w:rFonts w:hint="eastAsia"/>
        </w:rPr>
        <w:t>1930</w:t>
      </w:r>
      <w:r>
        <w:rPr>
          <w:rFonts w:hint="eastAsia"/>
        </w:rPr>
        <w:t>年强迫劳动公约》</w:t>
      </w:r>
      <w:r>
        <w:rPr>
          <w:rFonts w:hint="eastAsia"/>
        </w:rPr>
        <w:t>(</w:t>
      </w:r>
      <w:r>
        <w:rPr>
          <w:rFonts w:hint="eastAsia"/>
        </w:rPr>
        <w:t>第</w:t>
      </w:r>
      <w:r>
        <w:rPr>
          <w:rFonts w:hint="eastAsia"/>
        </w:rPr>
        <w:t>29</w:t>
      </w:r>
      <w:r>
        <w:rPr>
          <w:rFonts w:hint="eastAsia"/>
        </w:rPr>
        <w:t>号</w:t>
      </w:r>
      <w:r>
        <w:rPr>
          <w:rFonts w:hint="eastAsia"/>
        </w:rPr>
        <w:t>)</w:t>
      </w:r>
      <w:r>
        <w:rPr>
          <w:rFonts w:hint="eastAsia"/>
        </w:rPr>
        <w:t>，于</w:t>
      </w:r>
      <w:r>
        <w:rPr>
          <w:rFonts w:hint="eastAsia"/>
        </w:rPr>
        <w:t>2007</w:t>
      </w:r>
      <w:r>
        <w:rPr>
          <w:rFonts w:hint="eastAsia"/>
        </w:rPr>
        <w:t>年批准《</w:t>
      </w:r>
      <w:r>
        <w:rPr>
          <w:rFonts w:hint="eastAsia"/>
        </w:rPr>
        <w:t>1957</w:t>
      </w:r>
      <w:r>
        <w:rPr>
          <w:rFonts w:hint="eastAsia"/>
        </w:rPr>
        <w:t>年废止强迫劳动公约》</w:t>
      </w:r>
      <w:r>
        <w:rPr>
          <w:rFonts w:hint="eastAsia"/>
        </w:rPr>
        <w:t>(</w:t>
      </w:r>
      <w:r>
        <w:rPr>
          <w:rFonts w:hint="eastAsia"/>
        </w:rPr>
        <w:t>第</w:t>
      </w:r>
      <w:r>
        <w:rPr>
          <w:rFonts w:hint="eastAsia"/>
        </w:rPr>
        <w:t>105</w:t>
      </w:r>
      <w:r>
        <w:rPr>
          <w:rFonts w:hint="eastAsia"/>
        </w:rPr>
        <w:t>号</w:t>
      </w:r>
      <w:r>
        <w:rPr>
          <w:rFonts w:hint="eastAsia"/>
        </w:rPr>
        <w:t>)</w:t>
      </w:r>
      <w:r>
        <w:rPr>
          <w:rFonts w:hint="eastAsia"/>
        </w:rPr>
        <w:t>。因此，卡塔尔承诺禁止强迫劳动，给予男性和女性充分的择业自由。虽然法律条例中并没有要求妇女从事特定职业的歧视性条款，但是妇女往往在公共部门就业，因为那里的工作条件</w:t>
      </w:r>
      <w:r>
        <w:rPr>
          <w:rFonts w:hint="eastAsia"/>
        </w:rPr>
        <w:t>(</w:t>
      </w:r>
      <w:r>
        <w:rPr>
          <w:rFonts w:hint="eastAsia"/>
        </w:rPr>
        <w:t>即工作时间、薪酬和工作安全</w:t>
      </w:r>
      <w:r>
        <w:rPr>
          <w:rFonts w:hint="eastAsia"/>
        </w:rPr>
        <w:t>)</w:t>
      </w:r>
      <w:r>
        <w:rPr>
          <w:rFonts w:hint="eastAsia"/>
        </w:rPr>
        <w:t>更符合她们的需求。</w:t>
      </w:r>
    </w:p>
    <w:p w:rsidR="007234DD" w:rsidRDefault="007234DD">
      <w:pPr>
        <w:pStyle w:val="H23GC"/>
      </w:pPr>
      <w:r>
        <w:tab/>
      </w:r>
      <w:r>
        <w:tab/>
      </w:r>
      <w:r>
        <w:rPr>
          <w:rFonts w:hint="eastAsia"/>
        </w:rPr>
        <w:t>同酬同福利的权利</w:t>
      </w:r>
    </w:p>
    <w:p w:rsidR="007234DD" w:rsidRDefault="007234DD">
      <w:pPr>
        <w:pStyle w:val="SingleTxtGC"/>
        <w:spacing w:after="100"/>
      </w:pPr>
      <w:r>
        <w:t xml:space="preserve">266.  </w:t>
      </w:r>
      <w:r>
        <w:rPr>
          <w:rFonts w:hint="eastAsia"/>
        </w:rPr>
        <w:t>卡塔尔赋予人们享有同等报酬和同等福利的权利，不以性别为由加以区别对待。《劳动法》第</w:t>
      </w:r>
      <w:r>
        <w:rPr>
          <w:rFonts w:hint="eastAsia"/>
        </w:rPr>
        <w:t>93</w:t>
      </w:r>
      <w:r>
        <w:rPr>
          <w:rFonts w:hint="eastAsia"/>
        </w:rPr>
        <w:t>条规定，妇女有权与男性同工同酬，并享有相同的培训和晋升机会。第</w:t>
      </w:r>
      <w:r>
        <w:rPr>
          <w:rFonts w:hint="eastAsia"/>
        </w:rPr>
        <w:t>79</w:t>
      </w:r>
      <w:r>
        <w:rPr>
          <w:rFonts w:hint="eastAsia"/>
        </w:rPr>
        <w:t>条规定，雇员</w:t>
      </w:r>
      <w:r>
        <w:rPr>
          <w:rFonts w:hint="eastAsia"/>
        </w:rPr>
        <w:t>(</w:t>
      </w:r>
      <w:r>
        <w:rPr>
          <w:rFonts w:hint="eastAsia"/>
        </w:rPr>
        <w:t>男性和女性</w:t>
      </w:r>
      <w:r>
        <w:rPr>
          <w:rFonts w:hint="eastAsia"/>
        </w:rPr>
        <w:t>)</w:t>
      </w:r>
      <w:r>
        <w:rPr>
          <w:rFonts w:hint="eastAsia"/>
        </w:rPr>
        <w:t>为一名雇主工作满一年便有权享受带薪年假。第</w:t>
      </w:r>
      <w:r>
        <w:rPr>
          <w:rFonts w:hint="eastAsia"/>
        </w:rPr>
        <w:t>83</w:t>
      </w:r>
      <w:r>
        <w:rPr>
          <w:rFonts w:hint="eastAsia"/>
        </w:rPr>
        <w:t>条规定，在任职期间，穆斯林雇员可获得一次无薪休假以履行赴麦加朝觐</w:t>
      </w:r>
      <w:r>
        <w:rPr>
          <w:rFonts w:hint="eastAsia"/>
        </w:rPr>
        <w:t>(</w:t>
      </w:r>
      <w:r>
        <w:t>hajj</w:t>
      </w:r>
      <w:r>
        <w:rPr>
          <w:rFonts w:hint="eastAsia"/>
        </w:rPr>
        <w:t>)</w:t>
      </w:r>
      <w:r>
        <w:rPr>
          <w:rFonts w:hint="eastAsia"/>
        </w:rPr>
        <w:t>的义务。《劳动法》第</w:t>
      </w:r>
      <w:r>
        <w:rPr>
          <w:rFonts w:hint="eastAsia"/>
        </w:rPr>
        <w:t>10</w:t>
      </w:r>
      <w:r>
        <w:rPr>
          <w:rFonts w:hint="eastAsia"/>
        </w:rPr>
        <w:t>节题为“职业安全以及卫生和社会福利”，规定雇主及其代表有义务自雇用关系生效起向所有雇员告知职业危害以及如何避免危害，并采取预防措施保护雇员，以免其在工作场所受伤或染病。雇主还有义务安排雇员进行定期检查，以防雇员染上职业病。</w:t>
      </w:r>
    </w:p>
    <w:p w:rsidR="007234DD" w:rsidRDefault="007234DD">
      <w:pPr>
        <w:pStyle w:val="SingleTxtGC"/>
        <w:spacing w:after="100"/>
      </w:pPr>
      <w:r>
        <w:t xml:space="preserve">267.  </w:t>
      </w:r>
      <w:r>
        <w:rPr>
          <w:rFonts w:hint="eastAsia"/>
        </w:rPr>
        <w:t>《人力资源管理法》</w:t>
      </w:r>
      <w:r>
        <w:rPr>
          <w:rFonts w:hint="eastAsia"/>
        </w:rPr>
        <w:t>(2009</w:t>
      </w:r>
      <w:r>
        <w:rPr>
          <w:rFonts w:hint="eastAsia"/>
        </w:rPr>
        <w:t>年第</w:t>
      </w:r>
      <w:r>
        <w:rPr>
          <w:rFonts w:hint="eastAsia"/>
        </w:rPr>
        <w:t>8</w:t>
      </w:r>
      <w:r>
        <w:rPr>
          <w:rFonts w:hint="eastAsia"/>
        </w:rPr>
        <w:t>号法</w:t>
      </w:r>
      <w:r>
        <w:rPr>
          <w:rFonts w:hint="eastAsia"/>
        </w:rPr>
        <w:t>)</w:t>
      </w:r>
      <w:r>
        <w:rPr>
          <w:rFonts w:hint="eastAsia"/>
        </w:rPr>
        <w:t>在工资以及培训和晋升机会的获得方面未规定对男女加以区别对待。该法规定，招聘的优先顺序必须是首先考虑卡塔尔籍男女，其次是卡塔尔女性与外籍人士生育的子女。此外，不论国籍，该法律准许所有丧偶的穆斯林女雇员在婚姻终结后的等待期内休假。该法令还规定为卡塔尔籍女雇员提供住房。</w:t>
      </w:r>
    </w:p>
    <w:p w:rsidR="007234DD" w:rsidRDefault="007234DD">
      <w:pPr>
        <w:pStyle w:val="SingleTxtGC"/>
        <w:spacing w:after="100"/>
      </w:pPr>
      <w:r>
        <w:t xml:space="preserve">268.  </w:t>
      </w:r>
      <w:r>
        <w:rPr>
          <w:rFonts w:hint="eastAsia"/>
        </w:rPr>
        <w:t>过去，卡塔尔男女之间存在工资差距；因为法律推定有工作的父亲负担家计，所以单身女性的工资低于已婚男性。因此，有工作的母亲须证明自己负担家计或是一家之主，才能得到已婚人士的工资待遇。</w:t>
      </w:r>
      <w:r>
        <w:rPr>
          <w:rFonts w:hint="eastAsia"/>
        </w:rPr>
        <w:t>2009</w:t>
      </w:r>
      <w:r>
        <w:rPr>
          <w:rFonts w:hint="eastAsia"/>
        </w:rPr>
        <w:t>年的《人力资源管理法》纠正了这一不公平的规则。根据该法，应付已婚人士或户主的工资必须支付给有资格获得较高工资的一方配偶。另一方配偶将得到单身人士工资。适用本规则时无任何区别对待。此外，若丈夫退休或者被关押在监狱中并没有工资，有工作的已婚妇女有权获得已婚人士的工资或福利。</w:t>
      </w:r>
    </w:p>
    <w:p w:rsidR="007234DD" w:rsidRDefault="007234DD">
      <w:pPr>
        <w:pStyle w:val="H23GC"/>
        <w:spacing w:before="160"/>
      </w:pPr>
      <w:r>
        <w:tab/>
      </w:r>
      <w:r>
        <w:tab/>
      </w:r>
      <w:r>
        <w:rPr>
          <w:rFonts w:hint="eastAsia"/>
        </w:rPr>
        <w:t>享有社会保障的权利</w:t>
      </w:r>
    </w:p>
    <w:p w:rsidR="007234DD" w:rsidRDefault="007234DD">
      <w:pPr>
        <w:pStyle w:val="SingleTxtGC"/>
        <w:spacing w:after="100"/>
      </w:pPr>
      <w:r>
        <w:t xml:space="preserve">269.  </w:t>
      </w:r>
      <w:r>
        <w:rPr>
          <w:rFonts w:hint="eastAsia"/>
        </w:rPr>
        <w:t>根据经修正的</w:t>
      </w:r>
      <w:r>
        <w:rPr>
          <w:rFonts w:hint="eastAsia"/>
        </w:rPr>
        <w:t>1995</w:t>
      </w:r>
      <w:r>
        <w:rPr>
          <w:rFonts w:hint="eastAsia"/>
        </w:rPr>
        <w:t>年第</w:t>
      </w:r>
      <w:r>
        <w:rPr>
          <w:rFonts w:hint="eastAsia"/>
        </w:rPr>
        <w:t>38</w:t>
      </w:r>
      <w:r>
        <w:rPr>
          <w:rFonts w:hint="eastAsia"/>
        </w:rPr>
        <w:t>号法，妇女有权在与男子平等基础上获得社会保障。该法规定“受益人”一词适用于：寡妇、离婚者、贫穷女性、</w:t>
      </w:r>
      <w:r>
        <w:rPr>
          <w:rFonts w:hint="eastAsia"/>
        </w:rPr>
        <w:t>(18</w:t>
      </w:r>
      <w:r>
        <w:rPr>
          <w:rFonts w:hint="eastAsia"/>
        </w:rPr>
        <w:t>岁以下的</w:t>
      </w:r>
      <w:r>
        <w:rPr>
          <w:rFonts w:hint="eastAsia"/>
        </w:rPr>
        <w:t>)</w:t>
      </w:r>
      <w:r>
        <w:rPr>
          <w:rFonts w:hint="eastAsia"/>
        </w:rPr>
        <w:t>残疾人、孤儿、</w:t>
      </w:r>
      <w:r>
        <w:rPr>
          <w:rFonts w:hint="eastAsia"/>
        </w:rPr>
        <w:t>(18</w:t>
      </w:r>
      <w:r>
        <w:rPr>
          <w:rFonts w:hint="eastAsia"/>
        </w:rPr>
        <w:t>岁以上的</w:t>
      </w:r>
      <w:r>
        <w:rPr>
          <w:rFonts w:hint="eastAsia"/>
        </w:rPr>
        <w:t>)</w:t>
      </w:r>
      <w:r>
        <w:rPr>
          <w:rFonts w:hint="eastAsia"/>
        </w:rPr>
        <w:t>不适宜工作的成年人、</w:t>
      </w:r>
      <w:r>
        <w:rPr>
          <w:rFonts w:hint="eastAsia"/>
        </w:rPr>
        <w:t>(60</w:t>
      </w:r>
      <w:r>
        <w:rPr>
          <w:rFonts w:hint="eastAsia"/>
        </w:rPr>
        <w:t>岁以上的</w:t>
      </w:r>
      <w:r>
        <w:rPr>
          <w:rFonts w:hint="eastAsia"/>
        </w:rPr>
        <w:t>)</w:t>
      </w:r>
      <w:r>
        <w:rPr>
          <w:rFonts w:hint="eastAsia"/>
        </w:rPr>
        <w:t>老年人、犯人家属、弃妇以及失踪人员家属。嫁给非卡塔尔人的卡塔尔妇女“若离婚、丧偶或被配偶遗弃”，将有权得到补助金。</w:t>
      </w:r>
      <w:r>
        <w:rPr>
          <w:rFonts w:hint="eastAsia"/>
        </w:rPr>
        <w:t>1996</w:t>
      </w:r>
      <w:r>
        <w:rPr>
          <w:rFonts w:hint="eastAsia"/>
        </w:rPr>
        <w:t>年，社会保障金提高了</w:t>
      </w:r>
      <w:r>
        <w:rPr>
          <w:rFonts w:hint="eastAsia"/>
        </w:rPr>
        <w:t>50%</w:t>
      </w:r>
      <w:r>
        <w:rPr>
          <w:rFonts w:hint="eastAsia"/>
        </w:rPr>
        <w:t>，</w:t>
      </w:r>
      <w:r>
        <w:rPr>
          <w:rFonts w:hint="eastAsia"/>
        </w:rPr>
        <w:t>2006</w:t>
      </w:r>
      <w:r>
        <w:rPr>
          <w:rFonts w:hint="eastAsia"/>
        </w:rPr>
        <w:t>年再次翻番。</w:t>
      </w:r>
    </w:p>
    <w:p w:rsidR="007234DD" w:rsidRDefault="007234DD">
      <w:pPr>
        <w:pStyle w:val="SingleTxtGC"/>
        <w:spacing w:after="100"/>
      </w:pPr>
      <w:r>
        <w:t xml:space="preserve">270.  </w:t>
      </w:r>
      <w:r>
        <w:rPr>
          <w:rFonts w:hint="eastAsia"/>
        </w:rPr>
        <w:t>在退休和养老金方面，根据</w:t>
      </w:r>
      <w:r>
        <w:rPr>
          <w:rFonts w:hint="eastAsia"/>
        </w:rPr>
        <w:t>(</w:t>
      </w:r>
      <w:r>
        <w:rPr>
          <w:rFonts w:hint="eastAsia"/>
        </w:rPr>
        <w:t>经</w:t>
      </w:r>
      <w:r>
        <w:rPr>
          <w:rFonts w:hint="eastAsia"/>
        </w:rPr>
        <w:t>2004</w:t>
      </w:r>
      <w:r>
        <w:rPr>
          <w:rFonts w:hint="eastAsia"/>
        </w:rPr>
        <w:t>年第</w:t>
      </w:r>
      <w:r>
        <w:rPr>
          <w:rFonts w:hint="eastAsia"/>
        </w:rPr>
        <w:t>33</w:t>
      </w:r>
      <w:r>
        <w:rPr>
          <w:rFonts w:hint="eastAsia"/>
        </w:rPr>
        <w:t>号法修正的</w:t>
      </w:r>
      <w:r>
        <w:rPr>
          <w:rFonts w:hint="eastAsia"/>
        </w:rPr>
        <w:t>)2002</w:t>
      </w:r>
      <w:r>
        <w:rPr>
          <w:rFonts w:hint="eastAsia"/>
        </w:rPr>
        <w:t>年第</w:t>
      </w:r>
      <w:r>
        <w:rPr>
          <w:rFonts w:hint="eastAsia"/>
        </w:rPr>
        <w:t>24</w:t>
      </w:r>
      <w:r>
        <w:rPr>
          <w:rFonts w:hint="eastAsia"/>
        </w:rPr>
        <w:t>号法，女性和男性有获得养老金</w:t>
      </w:r>
      <w:r>
        <w:rPr>
          <w:rFonts w:hint="eastAsia"/>
        </w:rPr>
        <w:t>(</w:t>
      </w:r>
      <w:r>
        <w:rPr>
          <w:rFonts w:hint="eastAsia"/>
        </w:rPr>
        <w:t>基本工资的</w:t>
      </w:r>
      <w:r>
        <w:rPr>
          <w:rFonts w:hint="eastAsia"/>
        </w:rPr>
        <w:t>100%</w:t>
      </w:r>
      <w:r>
        <w:rPr>
          <w:rFonts w:hint="eastAsia"/>
        </w:rPr>
        <w:t>、社会福利和住房补贴</w:t>
      </w:r>
      <w:r>
        <w:rPr>
          <w:rFonts w:hint="eastAsia"/>
        </w:rPr>
        <w:t>)</w:t>
      </w:r>
      <w:r>
        <w:rPr>
          <w:rFonts w:hint="eastAsia"/>
        </w:rPr>
        <w:t>的相同权利。该法适用于公共和私营部门。这项法律规定，能够领取养老金的年龄为男性</w:t>
      </w:r>
      <w:r>
        <w:rPr>
          <w:rFonts w:hint="eastAsia"/>
        </w:rPr>
        <w:t>60</w:t>
      </w:r>
      <w:r>
        <w:rPr>
          <w:rFonts w:hint="eastAsia"/>
        </w:rPr>
        <w:t>周岁、女性</w:t>
      </w:r>
      <w:r>
        <w:rPr>
          <w:rFonts w:hint="eastAsia"/>
        </w:rPr>
        <w:t>55</w:t>
      </w:r>
      <w:r>
        <w:rPr>
          <w:rFonts w:hint="eastAsia"/>
        </w:rPr>
        <w:t>周岁。有资格领取养老金的人士必须至少缴纳</w:t>
      </w:r>
      <w:r>
        <w:rPr>
          <w:rFonts w:hint="eastAsia"/>
        </w:rPr>
        <w:t>15</w:t>
      </w:r>
      <w:r>
        <w:rPr>
          <w:rFonts w:hint="eastAsia"/>
        </w:rPr>
        <w:t>年养老保险，就业终止的理由必须是辞职、职位取消、死亡或体质不合格。</w:t>
      </w:r>
    </w:p>
    <w:p w:rsidR="007234DD" w:rsidRDefault="007234DD">
      <w:pPr>
        <w:pStyle w:val="SingleTxtGC"/>
        <w:spacing w:after="100"/>
      </w:pPr>
      <w:r>
        <w:t xml:space="preserve">271.  </w:t>
      </w:r>
      <w:r>
        <w:rPr>
          <w:rFonts w:hint="eastAsia"/>
        </w:rPr>
        <w:t>2002</w:t>
      </w:r>
      <w:r>
        <w:rPr>
          <w:rFonts w:hint="eastAsia"/>
        </w:rPr>
        <w:t>年第</w:t>
      </w:r>
      <w:r>
        <w:rPr>
          <w:rFonts w:hint="eastAsia"/>
        </w:rPr>
        <w:t>24</w:t>
      </w:r>
      <w:r>
        <w:rPr>
          <w:rFonts w:hint="eastAsia"/>
        </w:rPr>
        <w:t>号法适用于依据《人力资源管理法》从事全职工作的卡塔尔雇员、卡塔尔公务员、以及在社会团体和机构、股份制公司及大臣会议决定所列的其他机构中工作的雇员。所有这些雇员，不论男女，缴纳其工资</w:t>
      </w:r>
      <w:r>
        <w:rPr>
          <w:rFonts w:hint="eastAsia"/>
        </w:rPr>
        <w:t>(</w:t>
      </w:r>
      <w:r>
        <w:rPr>
          <w:rFonts w:hint="eastAsia"/>
        </w:rPr>
        <w:t>基本工资外加社会福利金</w:t>
      </w:r>
      <w:r>
        <w:rPr>
          <w:rFonts w:hint="eastAsia"/>
        </w:rPr>
        <w:t>)</w:t>
      </w:r>
      <w:r>
        <w:rPr>
          <w:rFonts w:hint="eastAsia"/>
        </w:rPr>
        <w:t>的</w:t>
      </w:r>
      <w:r>
        <w:rPr>
          <w:rFonts w:hint="eastAsia"/>
        </w:rPr>
        <w:t>5%</w:t>
      </w:r>
      <w:r>
        <w:rPr>
          <w:rFonts w:hint="eastAsia"/>
        </w:rPr>
        <w:t>，雇主缴纳两倍于此的额度。</w:t>
      </w:r>
    </w:p>
    <w:p w:rsidR="007234DD" w:rsidRDefault="007234DD">
      <w:pPr>
        <w:pStyle w:val="SingleTxtGC"/>
        <w:spacing w:after="100"/>
      </w:pPr>
      <w:r>
        <w:t xml:space="preserve">272.  </w:t>
      </w:r>
      <w:r>
        <w:rPr>
          <w:rFonts w:hint="eastAsia"/>
        </w:rPr>
        <w:t>根据经修正的有关退休和养老金的</w:t>
      </w:r>
      <w:r>
        <w:rPr>
          <w:rFonts w:hint="eastAsia"/>
        </w:rPr>
        <w:t>2002</w:t>
      </w:r>
      <w:r>
        <w:rPr>
          <w:rFonts w:hint="eastAsia"/>
        </w:rPr>
        <w:t>年第</w:t>
      </w:r>
      <w:r>
        <w:rPr>
          <w:rFonts w:hint="eastAsia"/>
        </w:rPr>
        <w:t>24</w:t>
      </w:r>
      <w:r>
        <w:rPr>
          <w:rFonts w:hint="eastAsia"/>
        </w:rPr>
        <w:t>号法第</w:t>
      </w:r>
      <w:r>
        <w:rPr>
          <w:rFonts w:hint="eastAsia"/>
        </w:rPr>
        <w:t>6</w:t>
      </w:r>
      <w:r>
        <w:rPr>
          <w:rFonts w:hint="eastAsia"/>
        </w:rPr>
        <w:t>条，若公务员和雇员</w:t>
      </w:r>
      <w:r>
        <w:rPr>
          <w:rFonts w:hint="eastAsia"/>
        </w:rPr>
        <w:t>(</w:t>
      </w:r>
      <w:r>
        <w:rPr>
          <w:rFonts w:hint="eastAsia"/>
        </w:rPr>
        <w:t>男女两性</w:t>
      </w:r>
      <w:r>
        <w:rPr>
          <w:rFonts w:hint="eastAsia"/>
        </w:rPr>
        <w:t>)</w:t>
      </w:r>
      <w:r>
        <w:rPr>
          <w:rFonts w:hint="eastAsia"/>
        </w:rPr>
        <w:t>工作超过</w:t>
      </w:r>
      <w:r>
        <w:rPr>
          <w:rFonts w:hint="eastAsia"/>
        </w:rPr>
        <w:t>15</w:t>
      </w:r>
      <w:r>
        <w:rPr>
          <w:rFonts w:hint="eastAsia"/>
        </w:rPr>
        <w:t>年且年满</w:t>
      </w:r>
      <w:r>
        <w:rPr>
          <w:rFonts w:hint="eastAsia"/>
        </w:rPr>
        <w:t>40</w:t>
      </w:r>
      <w:r>
        <w:rPr>
          <w:rFonts w:hint="eastAsia"/>
        </w:rPr>
        <w:t>岁，便有权在离职后获得养老金。</w:t>
      </w:r>
    </w:p>
    <w:p w:rsidR="007234DD" w:rsidRDefault="007234DD">
      <w:pPr>
        <w:pStyle w:val="H23GC"/>
        <w:spacing w:before="120"/>
      </w:pPr>
      <w:r>
        <w:tab/>
      </w:r>
      <w:r>
        <w:tab/>
      </w:r>
      <w:r>
        <w:rPr>
          <w:rFonts w:hint="eastAsia"/>
        </w:rPr>
        <w:t>职业学习</w:t>
      </w:r>
    </w:p>
    <w:p w:rsidR="007234DD" w:rsidRDefault="007234DD">
      <w:pPr>
        <w:pStyle w:val="SingleTxtGC"/>
        <w:spacing w:after="80"/>
      </w:pPr>
      <w:r>
        <w:t xml:space="preserve">273.  </w:t>
      </w:r>
      <w:r>
        <w:rPr>
          <w:rFonts w:hint="eastAsia"/>
        </w:rPr>
        <w:t>卡塔尔没有只针对男性或女性的职业培训中心。行政发展中心为男女会员提供培训方案，没有任何歧视或限制。这种方案涵盖行政、财务和信息技术等领域。</w:t>
      </w:r>
    </w:p>
    <w:p w:rsidR="007234DD" w:rsidRDefault="007234DD">
      <w:pPr>
        <w:pStyle w:val="SingleTxtGC"/>
      </w:pPr>
      <w:r>
        <w:t xml:space="preserve">274.  </w:t>
      </w:r>
      <w:r>
        <w:rPr>
          <w:rFonts w:hint="eastAsia"/>
        </w:rPr>
        <w:t>近几年参加由行政发展中心所实施方案的人数显示，女性参加的人数更多：</w:t>
      </w:r>
      <w:r>
        <w:rPr>
          <w:rFonts w:hint="eastAsia"/>
        </w:rPr>
        <w:t>2007</w:t>
      </w:r>
      <w:r>
        <w:rPr>
          <w:rFonts w:hint="eastAsia"/>
        </w:rPr>
        <w:t>年占参加总人数的</w:t>
      </w:r>
      <w:r>
        <w:rPr>
          <w:rFonts w:hint="eastAsia"/>
        </w:rPr>
        <w:t>54%</w:t>
      </w:r>
      <w:r>
        <w:rPr>
          <w:rFonts w:hint="eastAsia"/>
        </w:rPr>
        <w:t>；</w:t>
      </w:r>
      <w:r>
        <w:rPr>
          <w:rFonts w:hint="eastAsia"/>
        </w:rPr>
        <w:t>2008</w:t>
      </w:r>
      <w:r>
        <w:rPr>
          <w:rFonts w:hint="eastAsia"/>
        </w:rPr>
        <w:t>年占</w:t>
      </w:r>
      <w:r>
        <w:rPr>
          <w:rFonts w:hint="eastAsia"/>
        </w:rPr>
        <w:t>58%</w:t>
      </w:r>
      <w:r>
        <w:rPr>
          <w:rFonts w:hint="eastAsia"/>
        </w:rPr>
        <w:t>左右；</w:t>
      </w:r>
      <w:r>
        <w:rPr>
          <w:rFonts w:hint="eastAsia"/>
        </w:rPr>
        <w:t>2009</w:t>
      </w:r>
      <w:r>
        <w:rPr>
          <w:rFonts w:hint="eastAsia"/>
        </w:rPr>
        <w:t>年占</w:t>
      </w:r>
      <w:r>
        <w:rPr>
          <w:rFonts w:hint="eastAsia"/>
        </w:rPr>
        <w:t>55%</w:t>
      </w:r>
      <w:r>
        <w:rPr>
          <w:rFonts w:hint="eastAsia"/>
        </w:rPr>
        <w:t>，仍多于男性。这证明了卡塔尔女性学习新技术和新知识并在职业生涯中取得进步的决心。</w:t>
      </w:r>
    </w:p>
    <w:p w:rsidR="007234DD" w:rsidRDefault="007234DD">
      <w:pPr>
        <w:pStyle w:val="SingleTxtGC"/>
      </w:pPr>
      <w:r>
        <w:rPr>
          <w:rFonts w:hint="eastAsia"/>
        </w:rPr>
        <w:t>表</w:t>
      </w:r>
      <w:r>
        <w:rPr>
          <w:rFonts w:hint="eastAsia"/>
        </w:rPr>
        <w:t>20</w:t>
      </w:r>
      <w:r>
        <w:br/>
      </w:r>
      <w:r>
        <w:rPr>
          <w:rFonts w:eastAsia="SimHei" w:hint="eastAsia"/>
        </w:rPr>
        <w:t>2006</w:t>
      </w:r>
      <w:r>
        <w:rPr>
          <w:rFonts w:eastAsia="SimHei" w:hint="eastAsia"/>
        </w:rPr>
        <w:t>年</w:t>
      </w:r>
      <w:r>
        <w:rPr>
          <w:rFonts w:eastAsia="SimHei" w:hint="eastAsia"/>
        </w:rPr>
        <w:t>4</w:t>
      </w:r>
      <w:r>
        <w:rPr>
          <w:rFonts w:eastAsia="SimHei" w:hint="eastAsia"/>
        </w:rPr>
        <w:t>月至</w:t>
      </w:r>
      <w:r>
        <w:rPr>
          <w:rFonts w:eastAsia="SimHei" w:hint="eastAsia"/>
        </w:rPr>
        <w:t>2009</w:t>
      </w:r>
      <w:r>
        <w:rPr>
          <w:rFonts w:eastAsia="SimHei" w:hint="eastAsia"/>
        </w:rPr>
        <w:t>年</w:t>
      </w:r>
      <w:r>
        <w:rPr>
          <w:rFonts w:eastAsia="SimHei" w:hint="eastAsia"/>
        </w:rPr>
        <w:t>3</w:t>
      </w:r>
      <w:r>
        <w:rPr>
          <w:rFonts w:eastAsia="SimHei" w:hint="eastAsia"/>
        </w:rPr>
        <w:t>月期间培训方案的参与者</w:t>
      </w:r>
    </w:p>
    <w:tbl>
      <w:tblPr>
        <w:tblW w:w="7370" w:type="dxa"/>
        <w:tblInd w:w="1134" w:type="dxa"/>
        <w:tblLayout w:type="fixed"/>
        <w:tblCellMar>
          <w:left w:w="0" w:type="dxa"/>
          <w:right w:w="0" w:type="dxa"/>
        </w:tblCellMar>
        <w:tblLook w:val="01E0" w:firstRow="1" w:lastRow="1" w:firstColumn="1" w:lastColumn="1" w:noHBand="0" w:noVBand="0"/>
      </w:tblPr>
      <w:tblGrid>
        <w:gridCol w:w="1967"/>
        <w:gridCol w:w="1801"/>
        <w:gridCol w:w="1801"/>
        <w:gridCol w:w="1801"/>
      </w:tblGrid>
      <w:tr w:rsidR="007234DD">
        <w:trPr>
          <w:cantSplit/>
        </w:trPr>
        <w:tc>
          <w:tcPr>
            <w:tcW w:w="1967" w:type="dxa"/>
            <w:tcBorders>
              <w:top w:val="single" w:sz="4" w:space="0" w:color="auto"/>
              <w:bottom w:val="single" w:sz="12" w:space="0" w:color="auto"/>
            </w:tcBorders>
            <w:shd w:val="clear" w:color="auto" w:fill="auto"/>
            <w:vAlign w:val="bottom"/>
          </w:tcPr>
          <w:p w:rsidR="007234DD" w:rsidRDefault="007234DD">
            <w:pPr>
              <w:pStyle w:val="a0"/>
              <w:ind w:right="0"/>
            </w:pPr>
            <w:r>
              <w:t>参与者</w:t>
            </w:r>
          </w:p>
        </w:tc>
        <w:tc>
          <w:tcPr>
            <w:tcW w:w="1801" w:type="dxa"/>
            <w:tcBorders>
              <w:top w:val="single" w:sz="4" w:space="0" w:color="auto"/>
              <w:bottom w:val="single" w:sz="12" w:space="0" w:color="auto"/>
            </w:tcBorders>
            <w:shd w:val="clear" w:color="auto" w:fill="auto"/>
            <w:vAlign w:val="bottom"/>
          </w:tcPr>
          <w:p w:rsidR="007234DD" w:rsidRDefault="007234DD">
            <w:pPr>
              <w:pStyle w:val="a0"/>
              <w:ind w:right="0"/>
              <w:jc w:val="right"/>
            </w:pPr>
            <w:r>
              <w:t>2006/07</w:t>
            </w:r>
            <w:r>
              <w:t>年</w:t>
            </w:r>
          </w:p>
        </w:tc>
        <w:tc>
          <w:tcPr>
            <w:tcW w:w="1801" w:type="dxa"/>
            <w:tcBorders>
              <w:top w:val="single" w:sz="4" w:space="0" w:color="auto"/>
              <w:bottom w:val="single" w:sz="12" w:space="0" w:color="auto"/>
            </w:tcBorders>
            <w:shd w:val="clear" w:color="auto" w:fill="auto"/>
            <w:vAlign w:val="bottom"/>
          </w:tcPr>
          <w:p w:rsidR="007234DD" w:rsidRDefault="007234DD">
            <w:pPr>
              <w:pStyle w:val="a0"/>
              <w:ind w:right="0"/>
              <w:jc w:val="right"/>
            </w:pPr>
            <w:r>
              <w:t>2007/08</w:t>
            </w:r>
            <w:r>
              <w:t>年</w:t>
            </w:r>
          </w:p>
        </w:tc>
        <w:tc>
          <w:tcPr>
            <w:tcW w:w="1801" w:type="dxa"/>
            <w:tcBorders>
              <w:top w:val="single" w:sz="4" w:space="0" w:color="auto"/>
              <w:bottom w:val="single" w:sz="12" w:space="0" w:color="auto"/>
            </w:tcBorders>
            <w:shd w:val="clear" w:color="auto" w:fill="auto"/>
            <w:vAlign w:val="bottom"/>
          </w:tcPr>
          <w:p w:rsidR="007234DD" w:rsidRDefault="007234DD">
            <w:pPr>
              <w:pStyle w:val="a0"/>
              <w:ind w:right="0"/>
              <w:jc w:val="right"/>
            </w:pPr>
            <w:r>
              <w:t>2008/09</w:t>
            </w:r>
            <w:r>
              <w:t>年</w:t>
            </w:r>
          </w:p>
        </w:tc>
      </w:tr>
      <w:tr w:rsidR="007234DD">
        <w:trPr>
          <w:cantSplit/>
        </w:trPr>
        <w:tc>
          <w:tcPr>
            <w:tcW w:w="1967" w:type="dxa"/>
            <w:tcBorders>
              <w:top w:val="single" w:sz="12" w:space="0" w:color="auto"/>
            </w:tcBorders>
            <w:shd w:val="clear" w:color="auto" w:fill="auto"/>
          </w:tcPr>
          <w:p w:rsidR="007234DD" w:rsidRDefault="007234DD">
            <w:pPr>
              <w:pStyle w:val="a5"/>
              <w:rPr>
                <w:rFonts w:hint="eastAsia"/>
              </w:rPr>
            </w:pPr>
            <w:r>
              <w:rPr>
                <w:rFonts w:hint="eastAsia"/>
              </w:rPr>
              <w:t>男性</w:t>
            </w:r>
          </w:p>
        </w:tc>
        <w:tc>
          <w:tcPr>
            <w:tcW w:w="1801" w:type="dxa"/>
            <w:tcBorders>
              <w:top w:val="single" w:sz="12" w:space="0" w:color="auto"/>
            </w:tcBorders>
            <w:shd w:val="clear" w:color="auto" w:fill="auto"/>
          </w:tcPr>
          <w:p w:rsidR="007234DD" w:rsidRDefault="007234DD">
            <w:pPr>
              <w:pStyle w:val="a5"/>
              <w:ind w:right="0"/>
              <w:jc w:val="right"/>
            </w:pPr>
            <w:r>
              <w:t>1,056</w:t>
            </w:r>
          </w:p>
        </w:tc>
        <w:tc>
          <w:tcPr>
            <w:tcW w:w="1801" w:type="dxa"/>
            <w:tcBorders>
              <w:top w:val="single" w:sz="12" w:space="0" w:color="auto"/>
            </w:tcBorders>
            <w:shd w:val="clear" w:color="auto" w:fill="auto"/>
          </w:tcPr>
          <w:p w:rsidR="007234DD" w:rsidRDefault="007234DD">
            <w:pPr>
              <w:pStyle w:val="a5"/>
              <w:ind w:right="0"/>
              <w:jc w:val="right"/>
            </w:pPr>
            <w:r>
              <w:t>1,115</w:t>
            </w:r>
          </w:p>
        </w:tc>
        <w:tc>
          <w:tcPr>
            <w:tcW w:w="1801" w:type="dxa"/>
            <w:tcBorders>
              <w:top w:val="single" w:sz="12" w:space="0" w:color="auto"/>
            </w:tcBorders>
            <w:shd w:val="clear" w:color="auto" w:fill="auto"/>
          </w:tcPr>
          <w:p w:rsidR="007234DD" w:rsidRDefault="007234DD">
            <w:pPr>
              <w:pStyle w:val="a5"/>
              <w:ind w:right="0"/>
              <w:jc w:val="right"/>
            </w:pPr>
            <w:r>
              <w:t>2,583</w:t>
            </w:r>
          </w:p>
        </w:tc>
      </w:tr>
      <w:tr w:rsidR="007234DD">
        <w:trPr>
          <w:cantSplit/>
        </w:trPr>
        <w:tc>
          <w:tcPr>
            <w:tcW w:w="1967" w:type="dxa"/>
            <w:tcBorders>
              <w:bottom w:val="single" w:sz="4" w:space="0" w:color="auto"/>
            </w:tcBorders>
            <w:shd w:val="clear" w:color="auto" w:fill="auto"/>
          </w:tcPr>
          <w:p w:rsidR="007234DD" w:rsidRDefault="007234DD">
            <w:pPr>
              <w:pStyle w:val="a5"/>
              <w:rPr>
                <w:rFonts w:hint="eastAsia"/>
              </w:rPr>
            </w:pPr>
            <w:r>
              <w:rPr>
                <w:rFonts w:hint="eastAsia"/>
              </w:rPr>
              <w:t>女性</w:t>
            </w:r>
          </w:p>
        </w:tc>
        <w:tc>
          <w:tcPr>
            <w:tcW w:w="1801" w:type="dxa"/>
            <w:tcBorders>
              <w:bottom w:val="single" w:sz="4" w:space="0" w:color="auto"/>
            </w:tcBorders>
            <w:shd w:val="clear" w:color="auto" w:fill="auto"/>
          </w:tcPr>
          <w:p w:rsidR="007234DD" w:rsidRDefault="007234DD">
            <w:pPr>
              <w:pStyle w:val="a5"/>
              <w:ind w:right="0"/>
              <w:jc w:val="right"/>
            </w:pPr>
            <w:r>
              <w:t>1,277</w:t>
            </w:r>
          </w:p>
        </w:tc>
        <w:tc>
          <w:tcPr>
            <w:tcW w:w="1801" w:type="dxa"/>
            <w:tcBorders>
              <w:bottom w:val="single" w:sz="4" w:space="0" w:color="auto"/>
            </w:tcBorders>
            <w:shd w:val="clear" w:color="auto" w:fill="auto"/>
          </w:tcPr>
          <w:p w:rsidR="007234DD" w:rsidRDefault="007234DD">
            <w:pPr>
              <w:pStyle w:val="a5"/>
              <w:ind w:right="0"/>
              <w:jc w:val="right"/>
            </w:pPr>
            <w:r>
              <w:t>1,553</w:t>
            </w:r>
          </w:p>
        </w:tc>
        <w:tc>
          <w:tcPr>
            <w:tcW w:w="1801" w:type="dxa"/>
            <w:tcBorders>
              <w:bottom w:val="single" w:sz="4" w:space="0" w:color="auto"/>
            </w:tcBorders>
            <w:shd w:val="clear" w:color="auto" w:fill="auto"/>
          </w:tcPr>
          <w:p w:rsidR="007234DD" w:rsidRDefault="007234DD">
            <w:pPr>
              <w:pStyle w:val="a5"/>
              <w:ind w:right="0"/>
              <w:jc w:val="right"/>
            </w:pPr>
            <w:r>
              <w:t>3,225</w:t>
            </w:r>
          </w:p>
        </w:tc>
      </w:tr>
      <w:tr w:rsidR="007234DD">
        <w:trPr>
          <w:cantSplit/>
        </w:trPr>
        <w:tc>
          <w:tcPr>
            <w:tcW w:w="1967"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rPr>
            </w:pPr>
            <w:r>
              <w:rPr>
                <w:rFonts w:eastAsia="SimHei" w:hint="eastAsia"/>
              </w:rPr>
              <w:t>合计</w:t>
            </w:r>
          </w:p>
        </w:tc>
        <w:tc>
          <w:tcPr>
            <w:tcW w:w="1801"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w:t>
            </w:r>
            <w:r>
              <w:rPr>
                <w:rFonts w:eastAsia="SimHei"/>
              </w:rPr>
              <w:t>,</w:t>
            </w:r>
            <w:r>
              <w:rPr>
                <w:rFonts w:eastAsia="SimHei"/>
                <w:b/>
              </w:rPr>
              <w:t>333</w:t>
            </w:r>
          </w:p>
        </w:tc>
        <w:tc>
          <w:tcPr>
            <w:tcW w:w="1801"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w:t>
            </w:r>
            <w:r>
              <w:rPr>
                <w:rFonts w:eastAsia="SimHei"/>
              </w:rPr>
              <w:t>,</w:t>
            </w:r>
            <w:r>
              <w:rPr>
                <w:rFonts w:eastAsia="SimHei"/>
                <w:b/>
              </w:rPr>
              <w:t>668</w:t>
            </w:r>
          </w:p>
        </w:tc>
        <w:tc>
          <w:tcPr>
            <w:tcW w:w="1801"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5</w:t>
            </w:r>
            <w:r>
              <w:rPr>
                <w:rFonts w:eastAsia="SimHei"/>
              </w:rPr>
              <w:t>,</w:t>
            </w:r>
            <w:r>
              <w:rPr>
                <w:rFonts w:eastAsia="SimHei"/>
                <w:b/>
              </w:rPr>
              <w:t>808</w:t>
            </w:r>
          </w:p>
        </w:tc>
      </w:tr>
    </w:tbl>
    <w:p w:rsidR="007234DD" w:rsidRDefault="007234DD" w:rsidP="005D71D9">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w:t>
      </w:r>
      <w:r>
        <w:rPr>
          <w:rFonts w:hint="eastAsia"/>
          <w:sz w:val="19"/>
          <w:szCs w:val="19"/>
        </w:rPr>
        <w:t>2010</w:t>
      </w:r>
      <w:r>
        <w:rPr>
          <w:rFonts w:hint="eastAsia"/>
          <w:sz w:val="19"/>
          <w:szCs w:val="19"/>
        </w:rPr>
        <w:t>年。行政发展中心，年度报告，</w:t>
      </w:r>
      <w:r>
        <w:rPr>
          <w:rFonts w:hint="eastAsia"/>
          <w:sz w:val="19"/>
          <w:szCs w:val="19"/>
        </w:rPr>
        <w:t>2008-2009</w:t>
      </w:r>
      <w:r>
        <w:rPr>
          <w:rFonts w:hint="eastAsia"/>
          <w:sz w:val="19"/>
          <w:szCs w:val="19"/>
        </w:rPr>
        <w:t>年。</w:t>
      </w:r>
    </w:p>
    <w:p w:rsidR="007234DD" w:rsidRDefault="007234DD">
      <w:pPr>
        <w:pStyle w:val="SingleTxtGC"/>
      </w:pPr>
      <w:r>
        <w:t xml:space="preserve">275.  </w:t>
      </w:r>
      <w:r>
        <w:rPr>
          <w:rFonts w:hint="eastAsia"/>
        </w:rPr>
        <w:t>其他组织为在不同专业领域工作的男性和女性提供培训。例如，医生在多哈康奈尔大学接受培训，药剂师在卡塔尔大学接受培训，油田和气田的工人由卡塔尔石油学院提供培训。</w:t>
      </w:r>
    </w:p>
    <w:p w:rsidR="007234DD" w:rsidRDefault="007234DD">
      <w:pPr>
        <w:pStyle w:val="SingleTxtGC"/>
      </w:pPr>
      <w:r>
        <w:t xml:space="preserve">276.  </w:t>
      </w:r>
      <w:r>
        <w:rPr>
          <w:rFonts w:hint="eastAsia"/>
        </w:rPr>
        <w:t>2010</w:t>
      </w:r>
      <w:r>
        <w:rPr>
          <w:rFonts w:hint="eastAsia"/>
        </w:rPr>
        <w:t>年</w:t>
      </w:r>
      <w:r>
        <w:rPr>
          <w:rFonts w:hint="eastAsia"/>
        </w:rPr>
        <w:t>1</w:t>
      </w:r>
      <w:r>
        <w:rPr>
          <w:rFonts w:hint="eastAsia"/>
        </w:rPr>
        <w:t>月，通信和信息技术高级委员会宣布推出卡塔尔国家电子学习门户网站，向政府雇员</w:t>
      </w:r>
      <w:r>
        <w:rPr>
          <w:rFonts w:hint="eastAsia"/>
        </w:rPr>
        <w:t>(</w:t>
      </w:r>
      <w:r>
        <w:rPr>
          <w:rFonts w:hint="eastAsia"/>
        </w:rPr>
        <w:t>男女两性</w:t>
      </w:r>
      <w:r>
        <w:rPr>
          <w:rFonts w:hint="eastAsia"/>
        </w:rPr>
        <w:t>)</w:t>
      </w:r>
      <w:r>
        <w:rPr>
          <w:rFonts w:hint="eastAsia"/>
        </w:rPr>
        <w:t>提供超过</w:t>
      </w:r>
      <w:r>
        <w:rPr>
          <w:rFonts w:hint="eastAsia"/>
        </w:rPr>
        <w:t>2,500</w:t>
      </w:r>
      <w:r>
        <w:rPr>
          <w:rFonts w:hint="eastAsia"/>
        </w:rPr>
        <w:t>项免费在线课程，涵盖商业、信息技术、计算、人力资源、市场营销、个人发展及管理等一系列学科领域。</w:t>
      </w:r>
    </w:p>
    <w:p w:rsidR="007234DD" w:rsidRDefault="007234DD">
      <w:pPr>
        <w:pStyle w:val="SingleTxtGC"/>
      </w:pPr>
      <w:r>
        <w:t xml:space="preserve">277.  </w:t>
      </w:r>
      <w:r>
        <w:rPr>
          <w:rFonts w:hint="eastAsia"/>
        </w:rPr>
        <w:t>卡塔尔制订了“生产性家庭”项目，由社会事务部实施。若干私营机构通过以下方式为该项目提供支助：为一个艺术展览会提供资金，以展示项目参与家庭所制作的产品；提供展览空间；为社会事务部培训中心提供全套培训设备和工具；馈赠土地以便为生产性家庭建造永久的销售商店；为有关生产性家庭的永久销售商店的可行性研究提供资料；以及支持培训有关产品的完整团队，使他们做好建立和经营小企业的准备。</w:t>
      </w:r>
    </w:p>
    <w:p w:rsidR="007234DD" w:rsidRDefault="007234DD">
      <w:pPr>
        <w:pStyle w:val="SingleTxtGC"/>
      </w:pPr>
      <w:r>
        <w:t xml:space="preserve">278.  </w:t>
      </w:r>
      <w:r>
        <w:rPr>
          <w:rFonts w:hint="eastAsia"/>
        </w:rPr>
        <w:t>一些非政府组织开办了面向自营职业妇女的培训课程和方案。尤其是慈善机构实施了各种培训方案，包括卡塔尔红新月会的护理方案、卡塔尔慈善团体提供的人道主义援助方案等等。社会发展中心</w:t>
      </w:r>
      <w:r>
        <w:rPr>
          <w:rFonts w:hint="eastAsia"/>
        </w:rPr>
        <w:t>(</w:t>
      </w:r>
      <w:r>
        <w:rPr>
          <w:rFonts w:hint="eastAsia"/>
        </w:rPr>
        <w:t>一个半政府组织</w:t>
      </w:r>
      <w:r>
        <w:rPr>
          <w:rFonts w:hint="eastAsia"/>
        </w:rPr>
        <w:t>)</w:t>
      </w:r>
      <w:r>
        <w:rPr>
          <w:rFonts w:hint="eastAsia"/>
        </w:rPr>
        <w:t>实施了面向自营职业妇女的培训方案。</w:t>
      </w:r>
    </w:p>
    <w:p w:rsidR="007234DD" w:rsidRDefault="007234DD">
      <w:pPr>
        <w:pStyle w:val="H23GC"/>
      </w:pPr>
      <w:r>
        <w:tab/>
      </w:r>
      <w:r>
        <w:tab/>
      </w:r>
      <w:r>
        <w:rPr>
          <w:rFonts w:hint="eastAsia"/>
        </w:rPr>
        <w:t>保护就业妇女</w:t>
      </w:r>
    </w:p>
    <w:p w:rsidR="007234DD" w:rsidRDefault="007234DD">
      <w:pPr>
        <w:pStyle w:val="H23GC"/>
      </w:pPr>
      <w:r>
        <w:tab/>
      </w:r>
      <w:r>
        <w:tab/>
      </w:r>
      <w:r>
        <w:rPr>
          <w:rFonts w:hint="eastAsia"/>
        </w:rPr>
        <w:t>禁止私营部门雇用妇女从事危险职业</w:t>
      </w:r>
    </w:p>
    <w:p w:rsidR="007234DD" w:rsidRDefault="007234DD">
      <w:pPr>
        <w:pStyle w:val="SingleTxtGC"/>
      </w:pPr>
      <w:r>
        <w:t xml:space="preserve">279.  </w:t>
      </w:r>
      <w:r>
        <w:rPr>
          <w:rFonts w:hint="eastAsia"/>
        </w:rPr>
        <w:t>已采取措施保护在卡塔尔所有部门工作的妇女免受与工作有关的危害。《劳动法》</w:t>
      </w:r>
      <w:r>
        <w:rPr>
          <w:rFonts w:hint="eastAsia"/>
        </w:rPr>
        <w:t>(2004</w:t>
      </w:r>
      <w:r>
        <w:rPr>
          <w:rFonts w:hint="eastAsia"/>
        </w:rPr>
        <w:t>年第</w:t>
      </w:r>
      <w:r>
        <w:rPr>
          <w:rFonts w:hint="eastAsia"/>
        </w:rPr>
        <w:t>14</w:t>
      </w:r>
      <w:r>
        <w:rPr>
          <w:rFonts w:hint="eastAsia"/>
        </w:rPr>
        <w:t>号法</w:t>
      </w:r>
      <w:r>
        <w:rPr>
          <w:rFonts w:hint="eastAsia"/>
        </w:rPr>
        <w:t>)</w:t>
      </w:r>
      <w:r>
        <w:rPr>
          <w:rFonts w:hint="eastAsia"/>
        </w:rPr>
        <w:t>第</w:t>
      </w:r>
      <w:r>
        <w:rPr>
          <w:rFonts w:hint="eastAsia"/>
        </w:rPr>
        <w:t>94</w:t>
      </w:r>
      <w:r>
        <w:rPr>
          <w:rFonts w:hint="eastAsia"/>
        </w:rPr>
        <w:t>条规定：“不应雇用妇女从事有危险、重体力或对其身体或精神健康有害的工作，或者从事在大臣的决定中详细说明的其他工作”。该法律规定了对职业妇女的保护，同时适当考虑到了她们的生理结构和家庭角色。该法律规定，不得雇用妇女从事劳动大臣经与有关部门协商确定的某些行业和危险职业。这一规定的目的是保护职业妇女的精神健康和身体健康，确保她们不被雇用从事会危害其健康的职业和行业。至于哪些行业和职业会对妇女的生理和精神安康、健康和心理健康造成风险，《劳动法》第</w:t>
      </w:r>
      <w:r>
        <w:rPr>
          <w:rFonts w:hint="eastAsia"/>
        </w:rPr>
        <w:t>94</w:t>
      </w:r>
      <w:r>
        <w:rPr>
          <w:rFonts w:hint="eastAsia"/>
        </w:rPr>
        <w:t>条只是笼统地说明，留待劳动大臣与有关部门协商后确定。该条款提供的法律保护明确适用于任何有可能危害妇女的生理和心理安康或健康的工作。</w:t>
      </w:r>
    </w:p>
    <w:p w:rsidR="007234DD" w:rsidRDefault="007234DD">
      <w:pPr>
        <w:pStyle w:val="H23GC"/>
      </w:pPr>
      <w:r>
        <w:tab/>
      </w:r>
      <w:r>
        <w:tab/>
      </w:r>
      <w:r>
        <w:rPr>
          <w:rFonts w:hint="eastAsia"/>
        </w:rPr>
        <w:t>禁止夜间工作</w:t>
      </w:r>
    </w:p>
    <w:p w:rsidR="007234DD" w:rsidRDefault="007234DD">
      <w:pPr>
        <w:pStyle w:val="SingleTxtGC"/>
      </w:pPr>
      <w:r>
        <w:t xml:space="preserve">280.  </w:t>
      </w:r>
      <w:r>
        <w:rPr>
          <w:rFonts w:hint="eastAsia"/>
        </w:rPr>
        <w:t>卡塔尔法律考虑到了妇女的工作时长问题；《劳动法》第</w:t>
      </w:r>
      <w:r>
        <w:rPr>
          <w:rFonts w:hint="eastAsia"/>
        </w:rPr>
        <w:t>95</w:t>
      </w:r>
      <w:r>
        <w:rPr>
          <w:rFonts w:hint="eastAsia"/>
        </w:rPr>
        <w:t>条规定，妇女的工作时长不得超过劳动大臣决定中规定的时间。该立法通过在劳动大臣的一项决定中确定妇女的工作时间，力图确保有较大的灵活性。在需要时可以对这一规定进行修改、增补或废除：颁布或修正大臣决定的程序要比颁布或修正法律的程序省时和简单。</w:t>
      </w:r>
    </w:p>
    <w:p w:rsidR="007234DD" w:rsidRDefault="007234DD">
      <w:pPr>
        <w:pStyle w:val="H23GC"/>
      </w:pPr>
      <w:r>
        <w:tab/>
      </w:r>
      <w:r>
        <w:tab/>
      </w:r>
      <w:r>
        <w:rPr>
          <w:rFonts w:hint="eastAsia"/>
        </w:rPr>
        <w:t>禁止因怀孕或母亲身份终止雇用</w:t>
      </w:r>
    </w:p>
    <w:p w:rsidR="007234DD" w:rsidRDefault="007234DD">
      <w:pPr>
        <w:pStyle w:val="SingleTxtGC"/>
      </w:pPr>
      <w:r>
        <w:t xml:space="preserve">281.  </w:t>
      </w:r>
      <w:r>
        <w:rPr>
          <w:rFonts w:hint="eastAsia"/>
        </w:rPr>
        <w:t>卡塔尔考虑到了孕妇和抚养子女的妇女的情况。《劳动法》第</w:t>
      </w:r>
      <w:r>
        <w:rPr>
          <w:rFonts w:hint="eastAsia"/>
        </w:rPr>
        <w:t>96</w:t>
      </w:r>
      <w:r>
        <w:rPr>
          <w:rFonts w:hint="eastAsia"/>
        </w:rPr>
        <w:t>条规定，为雇主工作满一年的妇女有权获得</w:t>
      </w:r>
      <w:r>
        <w:rPr>
          <w:rFonts w:hint="eastAsia"/>
        </w:rPr>
        <w:t>50</w:t>
      </w:r>
      <w:r>
        <w:rPr>
          <w:rFonts w:hint="eastAsia"/>
        </w:rPr>
        <w:t>天全薪产假。根据第</w:t>
      </w:r>
      <w:r>
        <w:rPr>
          <w:rFonts w:hint="eastAsia"/>
        </w:rPr>
        <w:t>97</w:t>
      </w:r>
      <w:r>
        <w:rPr>
          <w:rFonts w:hint="eastAsia"/>
        </w:rPr>
        <w:t>条，职业妇女有权在产假结束后一年内每天用一小时进行哺乳。哺乳时间从工作日中扣除，不导致任何减薪。</w:t>
      </w:r>
    </w:p>
    <w:p w:rsidR="007234DD" w:rsidRDefault="007234DD">
      <w:pPr>
        <w:pStyle w:val="SingleTxtGC"/>
      </w:pPr>
      <w:r>
        <w:t xml:space="preserve">282.  </w:t>
      </w:r>
      <w:r>
        <w:rPr>
          <w:rFonts w:hint="eastAsia"/>
        </w:rPr>
        <w:t>在任何情况下均不得因结婚、怀孕或生产而解雇妇女。《劳动法》第</w:t>
      </w:r>
      <w:r>
        <w:rPr>
          <w:rFonts w:hint="eastAsia"/>
        </w:rPr>
        <w:t>98</w:t>
      </w:r>
      <w:r>
        <w:rPr>
          <w:rFonts w:hint="eastAsia"/>
        </w:rPr>
        <w:t>条规定，禁止因一名职业妇女结婚或休产假而解雇她。</w:t>
      </w:r>
    </w:p>
    <w:p w:rsidR="007234DD" w:rsidRDefault="007234DD">
      <w:pPr>
        <w:pStyle w:val="H23GC"/>
      </w:pPr>
      <w:r>
        <w:tab/>
      </w:r>
      <w:r>
        <w:tab/>
      </w:r>
      <w:r>
        <w:rPr>
          <w:rFonts w:hint="eastAsia"/>
        </w:rPr>
        <w:t>职业妇女就行政决定进行申诉的权利</w:t>
      </w:r>
    </w:p>
    <w:p w:rsidR="007234DD" w:rsidRDefault="007234DD">
      <w:pPr>
        <w:pStyle w:val="SingleTxtGC"/>
      </w:pPr>
      <w:r>
        <w:t xml:space="preserve">283.  </w:t>
      </w:r>
      <w:r>
        <w:rPr>
          <w:rFonts w:hint="eastAsia"/>
        </w:rPr>
        <w:t>卡塔尔立法机关保障男女雇员的权利，并确立了就行政决定进行申诉的程序。</w:t>
      </w:r>
      <w:r>
        <w:rPr>
          <w:rFonts w:hint="eastAsia"/>
        </w:rPr>
        <w:t>2008</w:t>
      </w:r>
      <w:r>
        <w:rPr>
          <w:rFonts w:hint="eastAsia"/>
        </w:rPr>
        <w:t>年第</w:t>
      </w:r>
      <w:r>
        <w:rPr>
          <w:rFonts w:hint="eastAsia"/>
        </w:rPr>
        <w:t>5</w:t>
      </w:r>
      <w:r>
        <w:rPr>
          <w:rFonts w:hint="eastAsia"/>
        </w:rPr>
        <w:t>号首相决定阐明了对于最终行政和纪律处分决定的申诉程序。雇员可视情况向作出该决定的行政部门或上级部门提出申诉。他或她可以亲自递书面交申诉，或通过附带回执的挂号信及任何现代通信方式提交书面申诉。主管部门须在申诉提交</w:t>
      </w:r>
      <w:r>
        <w:rPr>
          <w:rFonts w:hint="eastAsia"/>
        </w:rPr>
        <w:t>60</w:t>
      </w:r>
      <w:r>
        <w:rPr>
          <w:rFonts w:hint="eastAsia"/>
        </w:rPr>
        <w:t>日内决定是受理还是驳回该申诉。若申诉被驳回，须对驳回决定作出解释。须在作出决定</w:t>
      </w:r>
      <w:r>
        <w:rPr>
          <w:rFonts w:hint="eastAsia"/>
        </w:rPr>
        <w:t>3</w:t>
      </w:r>
      <w:r>
        <w:rPr>
          <w:rFonts w:hint="eastAsia"/>
        </w:rPr>
        <w:t>日之内将决定内容告知申诉人。然后，申诉人有权向一审法院行政司提出申诉。</w:t>
      </w:r>
    </w:p>
    <w:p w:rsidR="007234DD" w:rsidRDefault="007234DD">
      <w:pPr>
        <w:pStyle w:val="H23GC"/>
        <w:spacing w:before="160"/>
      </w:pPr>
      <w:r>
        <w:tab/>
      </w:r>
      <w:r>
        <w:tab/>
      </w:r>
      <w:r>
        <w:rPr>
          <w:rFonts w:hint="eastAsia"/>
        </w:rPr>
        <w:t>协调家庭责任和工作职责并参与公共生活</w:t>
      </w:r>
    </w:p>
    <w:p w:rsidR="007234DD" w:rsidRDefault="007234DD">
      <w:pPr>
        <w:pStyle w:val="SingleTxtGC"/>
      </w:pPr>
      <w:r>
        <w:t xml:space="preserve">284.  </w:t>
      </w:r>
      <w:r>
        <w:rPr>
          <w:rFonts w:hint="eastAsia"/>
        </w:rPr>
        <w:t>需要使妇女能够兼顾家庭责任和工作职责，该问题在卡塔尔日益受到关注。根据《劳动法》第</w:t>
      </w:r>
      <w:r>
        <w:rPr>
          <w:rFonts w:hint="eastAsia"/>
        </w:rPr>
        <w:t>107</w:t>
      </w:r>
      <w:r>
        <w:rPr>
          <w:rFonts w:hint="eastAsia"/>
        </w:rPr>
        <w:t>条，拥有</w:t>
      </w:r>
      <w:r>
        <w:rPr>
          <w:rFonts w:hint="eastAsia"/>
        </w:rPr>
        <w:t>50</w:t>
      </w:r>
      <w:r>
        <w:rPr>
          <w:rFonts w:hint="eastAsia"/>
        </w:rPr>
        <w:t>名或</w:t>
      </w:r>
      <w:r>
        <w:rPr>
          <w:rFonts w:hint="eastAsia"/>
        </w:rPr>
        <w:t>50</w:t>
      </w:r>
      <w:r>
        <w:rPr>
          <w:rFonts w:hint="eastAsia"/>
        </w:rPr>
        <w:t>名以上雇员的雇主须向妇女提供合适的工作和服务种类，使她们能够兼顾工作和家庭责任。此外，卡塔尔的人口政策确认，在工作场所需要开设更多的托儿所和幼儿园，以帮助达成这一目标。</w:t>
      </w:r>
    </w:p>
    <w:p w:rsidR="007234DD" w:rsidRDefault="007234DD">
      <w:pPr>
        <w:pStyle w:val="SingleTxtGC"/>
        <w:spacing w:after="80"/>
      </w:pPr>
      <w:r>
        <w:t xml:space="preserve">285.  </w:t>
      </w:r>
      <w:r>
        <w:rPr>
          <w:rFonts w:hint="eastAsia"/>
        </w:rPr>
        <w:t>该领域的一项重大举措是卡塔尔最高教育委员会通过的一项战略计划，它旨在自</w:t>
      </w:r>
      <w:r>
        <w:rPr>
          <w:rFonts w:hint="eastAsia"/>
        </w:rPr>
        <w:t>2010/11</w:t>
      </w:r>
      <w:r>
        <w:rPr>
          <w:rFonts w:hint="eastAsia"/>
        </w:rPr>
        <w:t>年起向</w:t>
      </w:r>
      <w:r>
        <w:rPr>
          <w:rFonts w:hint="eastAsia"/>
        </w:rPr>
        <w:t>3</w:t>
      </w:r>
      <w:r>
        <w:rPr>
          <w:rFonts w:hint="eastAsia"/>
        </w:rPr>
        <w:t>岁以上儿童提供幼儿园义务教育。这为使</w:t>
      </w:r>
      <w:r>
        <w:rPr>
          <w:rFonts w:hint="eastAsia"/>
        </w:rPr>
        <w:t>3</w:t>
      </w:r>
      <w:r>
        <w:rPr>
          <w:rFonts w:hint="eastAsia"/>
        </w:rPr>
        <w:t>至</w:t>
      </w:r>
      <w:r>
        <w:rPr>
          <w:rFonts w:hint="eastAsia"/>
        </w:rPr>
        <w:t>6</w:t>
      </w:r>
      <w:r>
        <w:rPr>
          <w:rFonts w:hint="eastAsia"/>
        </w:rPr>
        <w:t>岁年龄组儿童全部注册进入幼儿园开辟了道路，并赋予国家为他们提供良好教育的责任。</w:t>
      </w:r>
    </w:p>
    <w:p w:rsidR="007234DD" w:rsidRDefault="007234DD">
      <w:pPr>
        <w:pStyle w:val="SingleTxtGC"/>
      </w:pPr>
      <w:r>
        <w:t xml:space="preserve">286.  </w:t>
      </w:r>
      <w:r>
        <w:rPr>
          <w:rFonts w:hint="eastAsia"/>
        </w:rPr>
        <w:t>目前，卡塔尔各地共有</w:t>
      </w:r>
      <w:r>
        <w:rPr>
          <w:rFonts w:hint="eastAsia"/>
        </w:rPr>
        <w:t>13</w:t>
      </w:r>
      <w:r>
        <w:rPr>
          <w:rFonts w:hint="eastAsia"/>
        </w:rPr>
        <w:t>所附属于独立学校的国营幼儿园。其中有两所幼儿园拥有自己的园舍，其余几所设在小学内。这些幼儿园根据一套既定标准提供优质教育。它们被划分为两部分，一部分针对</w:t>
      </w:r>
      <w:r>
        <w:rPr>
          <w:rFonts w:hint="eastAsia"/>
        </w:rPr>
        <w:t>9</w:t>
      </w:r>
      <w:r>
        <w:rPr>
          <w:rFonts w:hint="eastAsia"/>
        </w:rPr>
        <w:t>个月至</w:t>
      </w:r>
      <w:r>
        <w:rPr>
          <w:rFonts w:hint="eastAsia"/>
        </w:rPr>
        <w:t>3</w:t>
      </w:r>
      <w:r>
        <w:rPr>
          <w:rFonts w:hint="eastAsia"/>
        </w:rPr>
        <w:t>周岁的儿童，另一部分针对</w:t>
      </w:r>
      <w:r>
        <w:rPr>
          <w:rFonts w:hint="eastAsia"/>
        </w:rPr>
        <w:t>9</w:t>
      </w:r>
      <w:r>
        <w:rPr>
          <w:rFonts w:hint="eastAsia"/>
        </w:rPr>
        <w:t>个月至</w:t>
      </w:r>
      <w:r>
        <w:rPr>
          <w:rFonts w:hint="eastAsia"/>
        </w:rPr>
        <w:t>4</w:t>
      </w:r>
      <w:r>
        <w:rPr>
          <w:rFonts w:hint="eastAsia"/>
        </w:rPr>
        <w:t>周岁的儿童。</w:t>
      </w:r>
    </w:p>
    <w:p w:rsidR="007234DD" w:rsidRDefault="007234DD">
      <w:pPr>
        <w:pStyle w:val="SingleTxtGC"/>
        <w:rPr>
          <w:rFonts w:hint="eastAsia"/>
        </w:rPr>
      </w:pPr>
      <w:r>
        <w:t xml:space="preserve">287.  </w:t>
      </w:r>
      <w:r>
        <w:rPr>
          <w:rFonts w:hint="eastAsia"/>
        </w:rPr>
        <w:t>2009</w:t>
      </w:r>
      <w:r>
        <w:rPr>
          <w:rFonts w:hint="eastAsia"/>
        </w:rPr>
        <w:t>年，卡塔尔大学教育学院启动了一项本科生初等教育方案，以便向合格教师提供高标准的培训，使其做好在独立学校工作的准备。在该方案的四项专题领域中，有一项侧重于幼儿教育，使学生做好在幼儿园任教和教授小学低年级</w:t>
      </w:r>
      <w:r>
        <w:rPr>
          <w:rFonts w:hint="eastAsia"/>
        </w:rPr>
        <w:t>(</w:t>
      </w:r>
      <w:r>
        <w:rPr>
          <w:rFonts w:hint="eastAsia"/>
        </w:rPr>
        <w:t>一至三年级</w:t>
      </w:r>
      <w:r>
        <w:rPr>
          <w:rFonts w:hint="eastAsia"/>
        </w:rPr>
        <w:t>)</w:t>
      </w:r>
      <w:r>
        <w:rPr>
          <w:rFonts w:hint="eastAsia"/>
        </w:rPr>
        <w:t>学生的准备。</w:t>
      </w:r>
    </w:p>
    <w:p w:rsidR="007234DD" w:rsidRDefault="007234DD">
      <w:pPr>
        <w:pStyle w:val="SingleTxtGC"/>
      </w:pPr>
      <w:r>
        <w:t xml:space="preserve">288.  </w:t>
      </w:r>
      <w:r>
        <w:rPr>
          <w:rFonts w:hint="eastAsia"/>
        </w:rPr>
        <w:t>此外，我们在此忆及上文提到的法律措施，特别是：禁止妇女的工作时间超过大臣决定中规定的时间；允许为雇主工作满一年的职业妇女享有</w:t>
      </w:r>
      <w:r>
        <w:rPr>
          <w:rFonts w:hint="eastAsia"/>
        </w:rPr>
        <w:t>50</w:t>
      </w:r>
      <w:r>
        <w:rPr>
          <w:rFonts w:hint="eastAsia"/>
        </w:rPr>
        <w:t>天的全薪产假；使妇女有权在产假结束后至多一年内享有工作时每天一小时的休息时间，以便哺乳，并且不导致减薪。</w:t>
      </w:r>
    </w:p>
    <w:p w:rsidR="007234DD" w:rsidRDefault="007234DD">
      <w:pPr>
        <w:pStyle w:val="SingleTxtGC"/>
      </w:pPr>
      <w:r>
        <w:t xml:space="preserve">289.  </w:t>
      </w:r>
      <w:r>
        <w:rPr>
          <w:rFonts w:hint="eastAsia"/>
        </w:rPr>
        <w:t>通信和信息技术最高委员会和卡塔尔电信公司采取一项开创性举措，它们宣布同意于</w:t>
      </w:r>
      <w:r>
        <w:rPr>
          <w:rFonts w:hint="eastAsia"/>
        </w:rPr>
        <w:t>2010</w:t>
      </w:r>
      <w:r>
        <w:rPr>
          <w:rFonts w:hint="eastAsia"/>
        </w:rPr>
        <w:t>年</w:t>
      </w:r>
      <w:r>
        <w:rPr>
          <w:rFonts w:hint="eastAsia"/>
        </w:rPr>
        <w:t>4</w:t>
      </w:r>
      <w:r>
        <w:rPr>
          <w:rFonts w:hint="eastAsia"/>
        </w:rPr>
        <w:t>月启动一项名为“</w:t>
      </w:r>
      <w:r>
        <w:rPr>
          <w:rFonts w:hint="eastAsia"/>
        </w:rPr>
        <w:t xml:space="preserve"> </w:t>
      </w:r>
      <w:r>
        <w:rPr>
          <w:rFonts w:hint="eastAsia"/>
        </w:rPr>
        <w:t>妇女离家工作”的试点项目。该项目旨在支持离家工作的妇女，使其能够应对在协调家庭义务与作为员工积极参与工作时遇到的挑战。该项目采用最新的信息和通信技术，旨在使妇女和雇主双方受益。</w:t>
      </w:r>
    </w:p>
    <w:p w:rsidR="007234DD" w:rsidRDefault="007234DD">
      <w:pPr>
        <w:pStyle w:val="H23GC"/>
      </w:pPr>
      <w:r>
        <w:tab/>
      </w:r>
      <w:r>
        <w:tab/>
      </w:r>
      <w:r>
        <w:rPr>
          <w:rFonts w:hint="eastAsia"/>
        </w:rPr>
        <w:t>卡塔尔妇女的劳动力参与率</w:t>
      </w:r>
    </w:p>
    <w:p w:rsidR="007234DD" w:rsidRDefault="007234DD">
      <w:pPr>
        <w:pStyle w:val="SingleTxtGC"/>
      </w:pPr>
      <w:r>
        <w:t xml:space="preserve">290.  </w:t>
      </w:r>
      <w:r>
        <w:rPr>
          <w:rFonts w:hint="eastAsia"/>
        </w:rPr>
        <w:t>卡塔尔男性和女性的劳动力参与率均有提升，失业率则下降。男性和女性的参与率分别由</w:t>
      </w:r>
      <w:r>
        <w:rPr>
          <w:rFonts w:hint="eastAsia"/>
        </w:rPr>
        <w:t>2004</w:t>
      </w:r>
      <w:r>
        <w:rPr>
          <w:rFonts w:hint="eastAsia"/>
        </w:rPr>
        <w:t>年的</w:t>
      </w:r>
      <w:r>
        <w:rPr>
          <w:rFonts w:hint="eastAsia"/>
        </w:rPr>
        <w:t>91.7%</w:t>
      </w:r>
      <w:r>
        <w:rPr>
          <w:rFonts w:hint="eastAsia"/>
        </w:rPr>
        <w:t>和</w:t>
      </w:r>
      <w:r>
        <w:rPr>
          <w:rFonts w:hint="eastAsia"/>
        </w:rPr>
        <w:t>40.6%</w:t>
      </w:r>
      <w:r>
        <w:rPr>
          <w:rFonts w:hint="eastAsia"/>
        </w:rPr>
        <w:t>升至</w:t>
      </w:r>
      <w:r>
        <w:rPr>
          <w:rFonts w:hint="eastAsia"/>
        </w:rPr>
        <w:t>2009</w:t>
      </w:r>
      <w:r>
        <w:rPr>
          <w:rFonts w:hint="eastAsia"/>
        </w:rPr>
        <w:t>年的</w:t>
      </w:r>
      <w:r>
        <w:rPr>
          <w:rFonts w:hint="eastAsia"/>
        </w:rPr>
        <w:t>96%</w:t>
      </w:r>
      <w:r>
        <w:rPr>
          <w:rFonts w:hint="eastAsia"/>
        </w:rPr>
        <w:t>和</w:t>
      </w:r>
      <w:r>
        <w:rPr>
          <w:rFonts w:hint="eastAsia"/>
        </w:rPr>
        <w:t>49.1%</w:t>
      </w:r>
      <w:r>
        <w:rPr>
          <w:rFonts w:hint="eastAsia"/>
        </w:rPr>
        <w:t>。正如预计的那样，妇女劳动力参与率增长最为明显的人群是</w:t>
      </w:r>
      <w:r>
        <w:rPr>
          <w:rFonts w:hint="eastAsia"/>
        </w:rPr>
        <w:t>25</w:t>
      </w:r>
      <w:r>
        <w:rPr>
          <w:rFonts w:hint="eastAsia"/>
        </w:rPr>
        <w:t>至</w:t>
      </w:r>
      <w:r>
        <w:rPr>
          <w:rFonts w:hint="eastAsia"/>
        </w:rPr>
        <w:t>39</w:t>
      </w:r>
      <w:r>
        <w:rPr>
          <w:rFonts w:hint="eastAsia"/>
        </w:rPr>
        <w:t>岁年龄组妇女。相比之下，各主要年龄组的非卡塔尔籍男性的参与率也都很高。</w:t>
      </w:r>
    </w:p>
    <w:p w:rsidR="007234DD" w:rsidRDefault="007234DD">
      <w:pPr>
        <w:pStyle w:val="SingleTxtGC"/>
      </w:pPr>
      <w:r>
        <w:rPr>
          <w:rFonts w:hint="eastAsia"/>
        </w:rPr>
        <w:t>表</w:t>
      </w:r>
      <w:r>
        <w:rPr>
          <w:rFonts w:hint="eastAsia"/>
        </w:rPr>
        <w:t>21</w:t>
      </w:r>
      <w:r>
        <w:br/>
      </w:r>
      <w:r>
        <w:rPr>
          <w:rFonts w:eastAsia="SimHei" w:hint="eastAsia"/>
        </w:rPr>
        <w:t>按年份分列的不同年龄组男性和女性的参与率</w:t>
      </w:r>
    </w:p>
    <w:tbl>
      <w:tblPr>
        <w:tblW w:w="7370" w:type="dxa"/>
        <w:tblInd w:w="1134" w:type="dxa"/>
        <w:tblLayout w:type="fixed"/>
        <w:tblCellMar>
          <w:left w:w="0" w:type="dxa"/>
          <w:right w:w="0" w:type="dxa"/>
        </w:tblCellMar>
        <w:tblLook w:val="01E0" w:firstRow="1" w:lastRow="1" w:firstColumn="1" w:lastColumn="1" w:noHBand="0" w:noVBand="0"/>
      </w:tblPr>
      <w:tblGrid>
        <w:gridCol w:w="1076"/>
        <w:gridCol w:w="629"/>
        <w:gridCol w:w="629"/>
        <w:gridCol w:w="630"/>
        <w:gridCol w:w="629"/>
        <w:gridCol w:w="630"/>
        <w:gridCol w:w="629"/>
        <w:gridCol w:w="629"/>
        <w:gridCol w:w="630"/>
        <w:gridCol w:w="629"/>
        <w:gridCol w:w="630"/>
      </w:tblGrid>
      <w:tr w:rsidR="007234DD">
        <w:trPr>
          <w:cantSplit/>
          <w:tblHeader/>
        </w:trPr>
        <w:tc>
          <w:tcPr>
            <w:tcW w:w="1076" w:type="dxa"/>
            <w:tcBorders>
              <w:top w:val="single" w:sz="4" w:space="0" w:color="auto"/>
            </w:tcBorders>
            <w:shd w:val="clear" w:color="auto" w:fill="auto"/>
            <w:vAlign w:val="bottom"/>
          </w:tcPr>
          <w:p w:rsidR="007234DD" w:rsidRDefault="007234DD">
            <w:pPr>
              <w:pStyle w:val="a0"/>
              <w:ind w:right="0"/>
            </w:pPr>
          </w:p>
        </w:tc>
        <w:tc>
          <w:tcPr>
            <w:tcW w:w="1258" w:type="dxa"/>
            <w:gridSpan w:val="2"/>
            <w:tcBorders>
              <w:top w:val="single" w:sz="4" w:space="0" w:color="auto"/>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t>2004</w:t>
            </w:r>
            <w:r>
              <w:rPr>
                <w:rFonts w:hint="eastAsia"/>
              </w:rPr>
              <w:t>年</w:t>
            </w:r>
          </w:p>
        </w:tc>
        <w:tc>
          <w:tcPr>
            <w:tcW w:w="1259"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t>2006</w:t>
            </w:r>
            <w:r>
              <w:rPr>
                <w:rFonts w:hint="eastAsia"/>
              </w:rPr>
              <w:t>年</w:t>
            </w:r>
          </w:p>
        </w:tc>
        <w:tc>
          <w:tcPr>
            <w:tcW w:w="1259"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t>2007</w:t>
            </w:r>
            <w:r>
              <w:rPr>
                <w:rFonts w:hint="eastAsia"/>
              </w:rPr>
              <w:t>年</w:t>
            </w:r>
          </w:p>
        </w:tc>
        <w:tc>
          <w:tcPr>
            <w:tcW w:w="1259"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t>2008</w:t>
            </w:r>
            <w:r>
              <w:rPr>
                <w:rFonts w:hint="eastAsia"/>
              </w:rPr>
              <w:t>年</w:t>
            </w:r>
          </w:p>
        </w:tc>
        <w:tc>
          <w:tcPr>
            <w:tcW w:w="1259" w:type="dxa"/>
            <w:gridSpan w:val="2"/>
            <w:tcBorders>
              <w:top w:val="single" w:sz="4" w:space="0" w:color="auto"/>
              <w:left w:val="single" w:sz="24" w:space="0" w:color="FFFFFF"/>
              <w:bottom w:val="single" w:sz="6" w:space="0" w:color="auto"/>
            </w:tcBorders>
            <w:shd w:val="clear" w:color="auto" w:fill="auto"/>
            <w:vAlign w:val="bottom"/>
          </w:tcPr>
          <w:p w:rsidR="007234DD" w:rsidRDefault="007234DD">
            <w:pPr>
              <w:pStyle w:val="a0"/>
              <w:ind w:right="0"/>
              <w:jc w:val="center"/>
              <w:rPr>
                <w:rFonts w:hint="eastAsia"/>
              </w:rPr>
            </w:pPr>
            <w:r>
              <w:t>2009</w:t>
            </w:r>
            <w:r>
              <w:rPr>
                <w:rFonts w:hint="eastAsia"/>
              </w:rPr>
              <w:t>年</w:t>
            </w:r>
          </w:p>
        </w:tc>
      </w:tr>
      <w:tr w:rsidR="007234DD">
        <w:trPr>
          <w:cantSplit/>
          <w:tblHeader/>
        </w:trPr>
        <w:tc>
          <w:tcPr>
            <w:tcW w:w="1076" w:type="dxa"/>
            <w:tcBorders>
              <w:bottom w:val="single" w:sz="12" w:space="0" w:color="auto"/>
            </w:tcBorders>
            <w:shd w:val="clear" w:color="auto" w:fill="auto"/>
          </w:tcPr>
          <w:p w:rsidR="007234DD" w:rsidRDefault="007234DD">
            <w:pPr>
              <w:pStyle w:val="a0"/>
              <w:ind w:right="0"/>
              <w:jc w:val="left"/>
              <w:rPr>
                <w:rFonts w:hint="eastAsia"/>
              </w:rPr>
            </w:pPr>
            <w:bookmarkStart w:id="1" w:name="_Hlk340663765"/>
            <w:r>
              <w:rPr>
                <w:rFonts w:hint="eastAsia"/>
              </w:rPr>
              <w:t>年龄组</w:t>
            </w:r>
          </w:p>
        </w:tc>
        <w:tc>
          <w:tcPr>
            <w:tcW w:w="629"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男性</w:t>
            </w:r>
          </w:p>
        </w:tc>
        <w:tc>
          <w:tcPr>
            <w:tcW w:w="629"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rPr>
                <w:rFonts w:hint="eastAsia"/>
              </w:rPr>
            </w:pPr>
            <w:r>
              <w:rPr>
                <w:rFonts w:hint="eastAsia"/>
              </w:rPr>
              <w:t>女性</w:t>
            </w:r>
          </w:p>
        </w:tc>
        <w:tc>
          <w:tcPr>
            <w:tcW w:w="630"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rPr>
                <w:rFonts w:hint="eastAsia"/>
              </w:rPr>
              <w:t>男性</w:t>
            </w:r>
          </w:p>
        </w:tc>
        <w:tc>
          <w:tcPr>
            <w:tcW w:w="629"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pPr>
            <w:r>
              <w:rPr>
                <w:rFonts w:hint="eastAsia"/>
              </w:rPr>
              <w:t>女性</w:t>
            </w:r>
          </w:p>
        </w:tc>
        <w:tc>
          <w:tcPr>
            <w:tcW w:w="630"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rPr>
                <w:rFonts w:hint="eastAsia"/>
              </w:rPr>
              <w:t>男性</w:t>
            </w:r>
          </w:p>
        </w:tc>
        <w:tc>
          <w:tcPr>
            <w:tcW w:w="629"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pPr>
            <w:r>
              <w:rPr>
                <w:rFonts w:hint="eastAsia"/>
              </w:rPr>
              <w:t>女性</w:t>
            </w:r>
          </w:p>
        </w:tc>
        <w:tc>
          <w:tcPr>
            <w:tcW w:w="629"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rPr>
                <w:rFonts w:hint="eastAsia"/>
              </w:rPr>
              <w:t>男性</w:t>
            </w:r>
          </w:p>
        </w:tc>
        <w:tc>
          <w:tcPr>
            <w:tcW w:w="630"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pPr>
            <w:r>
              <w:rPr>
                <w:rFonts w:hint="eastAsia"/>
              </w:rPr>
              <w:t>女性</w:t>
            </w:r>
          </w:p>
        </w:tc>
        <w:tc>
          <w:tcPr>
            <w:tcW w:w="629"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rPr>
                <w:rFonts w:hint="eastAsia"/>
              </w:rPr>
              <w:t>男性</w:t>
            </w:r>
          </w:p>
        </w:tc>
        <w:tc>
          <w:tcPr>
            <w:tcW w:w="630" w:type="dxa"/>
            <w:tcBorders>
              <w:top w:val="single" w:sz="6" w:space="0" w:color="auto"/>
              <w:bottom w:val="single" w:sz="12" w:space="0" w:color="auto"/>
            </w:tcBorders>
            <w:shd w:val="clear" w:color="auto" w:fill="auto"/>
          </w:tcPr>
          <w:p w:rsidR="007234DD" w:rsidRDefault="007234DD">
            <w:pPr>
              <w:pStyle w:val="a0"/>
              <w:ind w:right="0"/>
              <w:jc w:val="right"/>
            </w:pPr>
            <w:r>
              <w:rPr>
                <w:rFonts w:hint="eastAsia"/>
              </w:rPr>
              <w:t>女性</w:t>
            </w:r>
          </w:p>
        </w:tc>
      </w:tr>
      <w:bookmarkEnd w:id="1"/>
      <w:tr w:rsidR="007234DD">
        <w:trPr>
          <w:cantSplit/>
        </w:trPr>
        <w:tc>
          <w:tcPr>
            <w:tcW w:w="1076" w:type="dxa"/>
            <w:tcBorders>
              <w:top w:val="single" w:sz="12" w:space="0" w:color="auto"/>
            </w:tcBorders>
            <w:shd w:val="clear" w:color="auto" w:fill="auto"/>
          </w:tcPr>
          <w:p w:rsidR="007234DD" w:rsidRDefault="007234DD">
            <w:pPr>
              <w:pStyle w:val="a5"/>
              <w:rPr>
                <w:rFonts w:hint="eastAsia"/>
              </w:rPr>
            </w:pPr>
            <w:r>
              <w:t>15–19</w:t>
            </w:r>
            <w:r>
              <w:rPr>
                <w:rFonts w:hint="eastAsia"/>
              </w:rPr>
              <w:t>岁</w:t>
            </w:r>
          </w:p>
        </w:tc>
        <w:tc>
          <w:tcPr>
            <w:tcW w:w="629" w:type="dxa"/>
            <w:tcBorders>
              <w:top w:val="single" w:sz="12" w:space="0" w:color="auto"/>
            </w:tcBorders>
            <w:shd w:val="clear" w:color="auto" w:fill="auto"/>
          </w:tcPr>
          <w:p w:rsidR="007234DD" w:rsidRDefault="007234DD">
            <w:pPr>
              <w:pStyle w:val="a5"/>
              <w:ind w:right="0"/>
              <w:jc w:val="right"/>
            </w:pPr>
            <w:r>
              <w:t>12.4</w:t>
            </w:r>
          </w:p>
        </w:tc>
        <w:tc>
          <w:tcPr>
            <w:tcW w:w="629" w:type="dxa"/>
            <w:tcBorders>
              <w:top w:val="single" w:sz="12" w:space="0" w:color="auto"/>
            </w:tcBorders>
            <w:shd w:val="clear" w:color="auto" w:fill="auto"/>
          </w:tcPr>
          <w:p w:rsidR="007234DD" w:rsidRDefault="007234DD">
            <w:pPr>
              <w:pStyle w:val="a5"/>
              <w:ind w:right="0"/>
              <w:jc w:val="right"/>
            </w:pPr>
            <w:r>
              <w:t>2.8</w:t>
            </w:r>
          </w:p>
        </w:tc>
        <w:tc>
          <w:tcPr>
            <w:tcW w:w="630" w:type="dxa"/>
            <w:tcBorders>
              <w:top w:val="single" w:sz="12" w:space="0" w:color="auto"/>
            </w:tcBorders>
            <w:shd w:val="clear" w:color="auto" w:fill="auto"/>
          </w:tcPr>
          <w:p w:rsidR="007234DD" w:rsidRDefault="007234DD">
            <w:pPr>
              <w:pStyle w:val="a5"/>
              <w:ind w:right="0"/>
              <w:jc w:val="right"/>
            </w:pPr>
            <w:r>
              <w:t>22</w:t>
            </w:r>
          </w:p>
        </w:tc>
        <w:tc>
          <w:tcPr>
            <w:tcW w:w="629" w:type="dxa"/>
            <w:tcBorders>
              <w:top w:val="single" w:sz="12" w:space="0" w:color="auto"/>
            </w:tcBorders>
            <w:shd w:val="clear" w:color="auto" w:fill="auto"/>
          </w:tcPr>
          <w:p w:rsidR="007234DD" w:rsidRDefault="007234DD">
            <w:pPr>
              <w:pStyle w:val="a5"/>
              <w:ind w:right="0"/>
              <w:jc w:val="right"/>
            </w:pPr>
            <w:r>
              <w:t>4.4</w:t>
            </w:r>
          </w:p>
        </w:tc>
        <w:tc>
          <w:tcPr>
            <w:tcW w:w="630" w:type="dxa"/>
            <w:tcBorders>
              <w:top w:val="single" w:sz="12" w:space="0" w:color="auto"/>
            </w:tcBorders>
            <w:shd w:val="clear" w:color="auto" w:fill="auto"/>
          </w:tcPr>
          <w:p w:rsidR="007234DD" w:rsidRDefault="007234DD">
            <w:pPr>
              <w:pStyle w:val="a5"/>
              <w:ind w:right="0"/>
              <w:jc w:val="right"/>
            </w:pPr>
            <w:r>
              <w:t>27.8</w:t>
            </w:r>
          </w:p>
        </w:tc>
        <w:tc>
          <w:tcPr>
            <w:tcW w:w="629" w:type="dxa"/>
            <w:tcBorders>
              <w:top w:val="single" w:sz="12" w:space="0" w:color="auto"/>
            </w:tcBorders>
            <w:shd w:val="clear" w:color="auto" w:fill="auto"/>
          </w:tcPr>
          <w:p w:rsidR="007234DD" w:rsidRDefault="007234DD">
            <w:pPr>
              <w:pStyle w:val="a5"/>
              <w:ind w:right="0"/>
              <w:jc w:val="right"/>
            </w:pPr>
            <w:r>
              <w:t>5.4</w:t>
            </w:r>
          </w:p>
        </w:tc>
        <w:tc>
          <w:tcPr>
            <w:tcW w:w="629" w:type="dxa"/>
            <w:tcBorders>
              <w:top w:val="single" w:sz="12" w:space="0" w:color="auto"/>
            </w:tcBorders>
            <w:shd w:val="clear" w:color="auto" w:fill="auto"/>
          </w:tcPr>
          <w:p w:rsidR="007234DD" w:rsidRDefault="007234DD">
            <w:pPr>
              <w:pStyle w:val="a5"/>
              <w:ind w:right="0"/>
              <w:jc w:val="right"/>
            </w:pPr>
            <w:r>
              <w:t>28.6</w:t>
            </w:r>
          </w:p>
        </w:tc>
        <w:tc>
          <w:tcPr>
            <w:tcW w:w="630" w:type="dxa"/>
            <w:tcBorders>
              <w:top w:val="single" w:sz="12" w:space="0" w:color="auto"/>
            </w:tcBorders>
            <w:shd w:val="clear" w:color="auto" w:fill="auto"/>
          </w:tcPr>
          <w:p w:rsidR="007234DD" w:rsidRDefault="007234DD">
            <w:pPr>
              <w:pStyle w:val="a5"/>
              <w:ind w:right="0"/>
              <w:jc w:val="right"/>
            </w:pPr>
            <w:r>
              <w:t>6.4</w:t>
            </w:r>
          </w:p>
        </w:tc>
        <w:tc>
          <w:tcPr>
            <w:tcW w:w="629" w:type="dxa"/>
            <w:tcBorders>
              <w:top w:val="single" w:sz="12" w:space="0" w:color="auto"/>
            </w:tcBorders>
            <w:shd w:val="clear" w:color="auto" w:fill="auto"/>
          </w:tcPr>
          <w:p w:rsidR="007234DD" w:rsidRDefault="007234DD">
            <w:pPr>
              <w:pStyle w:val="a5"/>
              <w:ind w:right="0"/>
              <w:jc w:val="right"/>
            </w:pPr>
            <w:r>
              <w:t>24.9</w:t>
            </w:r>
          </w:p>
        </w:tc>
        <w:tc>
          <w:tcPr>
            <w:tcW w:w="630" w:type="dxa"/>
            <w:tcBorders>
              <w:top w:val="single" w:sz="12" w:space="0" w:color="auto"/>
            </w:tcBorders>
            <w:shd w:val="clear" w:color="auto" w:fill="auto"/>
          </w:tcPr>
          <w:p w:rsidR="007234DD" w:rsidRDefault="007234DD">
            <w:pPr>
              <w:pStyle w:val="a5"/>
              <w:ind w:right="0"/>
              <w:jc w:val="right"/>
            </w:pPr>
            <w:r>
              <w:t>4.3</w:t>
            </w:r>
          </w:p>
        </w:tc>
      </w:tr>
      <w:tr w:rsidR="007234DD">
        <w:trPr>
          <w:cantSplit/>
        </w:trPr>
        <w:tc>
          <w:tcPr>
            <w:tcW w:w="1076" w:type="dxa"/>
            <w:shd w:val="clear" w:color="auto" w:fill="auto"/>
          </w:tcPr>
          <w:p w:rsidR="007234DD" w:rsidRDefault="007234DD">
            <w:pPr>
              <w:pStyle w:val="a5"/>
              <w:rPr>
                <w:rFonts w:hint="eastAsia"/>
              </w:rPr>
            </w:pPr>
            <w:r>
              <w:t>20–24</w:t>
            </w:r>
            <w:r>
              <w:rPr>
                <w:rFonts w:hint="eastAsia"/>
              </w:rPr>
              <w:t>岁</w:t>
            </w:r>
          </w:p>
        </w:tc>
        <w:tc>
          <w:tcPr>
            <w:tcW w:w="629" w:type="dxa"/>
            <w:shd w:val="clear" w:color="auto" w:fill="auto"/>
          </w:tcPr>
          <w:p w:rsidR="007234DD" w:rsidRDefault="007234DD">
            <w:pPr>
              <w:pStyle w:val="a5"/>
              <w:ind w:right="0"/>
              <w:jc w:val="right"/>
            </w:pPr>
            <w:r>
              <w:t>85.7</w:t>
            </w:r>
          </w:p>
        </w:tc>
        <w:tc>
          <w:tcPr>
            <w:tcW w:w="629" w:type="dxa"/>
            <w:shd w:val="clear" w:color="auto" w:fill="auto"/>
          </w:tcPr>
          <w:p w:rsidR="007234DD" w:rsidRDefault="007234DD">
            <w:pPr>
              <w:pStyle w:val="a5"/>
              <w:ind w:right="0"/>
              <w:jc w:val="right"/>
            </w:pPr>
            <w:r>
              <w:t>27.7</w:t>
            </w:r>
          </w:p>
        </w:tc>
        <w:tc>
          <w:tcPr>
            <w:tcW w:w="630" w:type="dxa"/>
            <w:shd w:val="clear" w:color="auto" w:fill="auto"/>
          </w:tcPr>
          <w:p w:rsidR="007234DD" w:rsidRDefault="007234DD">
            <w:pPr>
              <w:pStyle w:val="a5"/>
              <w:ind w:right="0"/>
              <w:jc w:val="right"/>
            </w:pPr>
            <w:r>
              <w:t>90.9</w:t>
            </w:r>
          </w:p>
        </w:tc>
        <w:tc>
          <w:tcPr>
            <w:tcW w:w="629" w:type="dxa"/>
            <w:shd w:val="clear" w:color="auto" w:fill="auto"/>
          </w:tcPr>
          <w:p w:rsidR="007234DD" w:rsidRDefault="007234DD">
            <w:pPr>
              <w:pStyle w:val="a5"/>
              <w:ind w:right="0"/>
              <w:jc w:val="right"/>
            </w:pPr>
            <w:r>
              <w:t>37.7</w:t>
            </w:r>
          </w:p>
        </w:tc>
        <w:tc>
          <w:tcPr>
            <w:tcW w:w="630" w:type="dxa"/>
            <w:shd w:val="clear" w:color="auto" w:fill="auto"/>
          </w:tcPr>
          <w:p w:rsidR="007234DD" w:rsidRDefault="007234DD">
            <w:pPr>
              <w:pStyle w:val="a5"/>
              <w:ind w:right="0"/>
              <w:jc w:val="right"/>
            </w:pPr>
            <w:r>
              <w:t>93.8</w:t>
            </w:r>
          </w:p>
        </w:tc>
        <w:tc>
          <w:tcPr>
            <w:tcW w:w="629" w:type="dxa"/>
            <w:shd w:val="clear" w:color="auto" w:fill="auto"/>
          </w:tcPr>
          <w:p w:rsidR="007234DD" w:rsidRDefault="007234DD">
            <w:pPr>
              <w:pStyle w:val="a5"/>
              <w:ind w:right="0"/>
              <w:jc w:val="right"/>
            </w:pPr>
            <w:r>
              <w:t>54.7</w:t>
            </w:r>
          </w:p>
        </w:tc>
        <w:tc>
          <w:tcPr>
            <w:tcW w:w="629" w:type="dxa"/>
            <w:shd w:val="clear" w:color="auto" w:fill="auto"/>
          </w:tcPr>
          <w:p w:rsidR="007234DD" w:rsidRDefault="007234DD">
            <w:pPr>
              <w:pStyle w:val="a5"/>
              <w:ind w:right="0"/>
              <w:jc w:val="right"/>
            </w:pPr>
            <w:r>
              <w:t>94.5</w:t>
            </w:r>
          </w:p>
        </w:tc>
        <w:tc>
          <w:tcPr>
            <w:tcW w:w="630" w:type="dxa"/>
            <w:shd w:val="clear" w:color="auto" w:fill="auto"/>
          </w:tcPr>
          <w:p w:rsidR="007234DD" w:rsidRDefault="007234DD">
            <w:pPr>
              <w:pStyle w:val="a5"/>
              <w:ind w:right="0"/>
              <w:jc w:val="right"/>
            </w:pPr>
            <w:r>
              <w:t>53.7</w:t>
            </w:r>
          </w:p>
        </w:tc>
        <w:tc>
          <w:tcPr>
            <w:tcW w:w="629" w:type="dxa"/>
            <w:shd w:val="clear" w:color="auto" w:fill="auto"/>
          </w:tcPr>
          <w:p w:rsidR="007234DD" w:rsidRDefault="007234DD">
            <w:pPr>
              <w:pStyle w:val="a5"/>
              <w:ind w:right="0"/>
              <w:jc w:val="right"/>
            </w:pPr>
            <w:r>
              <w:t>95</w:t>
            </w:r>
          </w:p>
        </w:tc>
        <w:tc>
          <w:tcPr>
            <w:tcW w:w="630" w:type="dxa"/>
            <w:shd w:val="clear" w:color="auto" w:fill="auto"/>
          </w:tcPr>
          <w:p w:rsidR="007234DD" w:rsidRDefault="007234DD">
            <w:pPr>
              <w:pStyle w:val="a5"/>
              <w:ind w:right="0"/>
              <w:jc w:val="right"/>
            </w:pPr>
            <w:r>
              <w:t>52.3</w:t>
            </w:r>
          </w:p>
        </w:tc>
      </w:tr>
      <w:tr w:rsidR="007234DD">
        <w:trPr>
          <w:cantSplit/>
        </w:trPr>
        <w:tc>
          <w:tcPr>
            <w:tcW w:w="1076" w:type="dxa"/>
            <w:shd w:val="clear" w:color="auto" w:fill="auto"/>
          </w:tcPr>
          <w:p w:rsidR="007234DD" w:rsidRDefault="007234DD">
            <w:pPr>
              <w:pStyle w:val="a5"/>
              <w:rPr>
                <w:rFonts w:hint="eastAsia"/>
              </w:rPr>
            </w:pPr>
            <w:r>
              <w:t>25–29</w:t>
            </w:r>
            <w:r>
              <w:rPr>
                <w:rFonts w:hint="eastAsia"/>
              </w:rPr>
              <w:t>岁</w:t>
            </w:r>
          </w:p>
        </w:tc>
        <w:tc>
          <w:tcPr>
            <w:tcW w:w="629" w:type="dxa"/>
            <w:shd w:val="clear" w:color="auto" w:fill="auto"/>
          </w:tcPr>
          <w:p w:rsidR="007234DD" w:rsidRDefault="007234DD">
            <w:pPr>
              <w:pStyle w:val="a5"/>
              <w:ind w:right="0"/>
              <w:jc w:val="right"/>
            </w:pPr>
            <w:r>
              <w:t>98.1</w:t>
            </w:r>
          </w:p>
        </w:tc>
        <w:tc>
          <w:tcPr>
            <w:tcW w:w="629" w:type="dxa"/>
            <w:shd w:val="clear" w:color="auto" w:fill="auto"/>
          </w:tcPr>
          <w:p w:rsidR="007234DD" w:rsidRDefault="007234DD">
            <w:pPr>
              <w:pStyle w:val="a5"/>
              <w:ind w:right="0"/>
              <w:jc w:val="right"/>
            </w:pPr>
            <w:r>
              <w:t>53</w:t>
            </w:r>
          </w:p>
        </w:tc>
        <w:tc>
          <w:tcPr>
            <w:tcW w:w="630" w:type="dxa"/>
            <w:shd w:val="clear" w:color="auto" w:fill="auto"/>
          </w:tcPr>
          <w:p w:rsidR="007234DD" w:rsidRDefault="007234DD">
            <w:pPr>
              <w:pStyle w:val="a5"/>
              <w:ind w:right="0"/>
              <w:jc w:val="right"/>
            </w:pPr>
            <w:r>
              <w:t>98.4</w:t>
            </w:r>
          </w:p>
        </w:tc>
        <w:tc>
          <w:tcPr>
            <w:tcW w:w="629" w:type="dxa"/>
            <w:shd w:val="clear" w:color="auto" w:fill="auto"/>
          </w:tcPr>
          <w:p w:rsidR="007234DD" w:rsidRDefault="007234DD">
            <w:pPr>
              <w:pStyle w:val="a5"/>
              <w:ind w:right="0"/>
              <w:jc w:val="right"/>
            </w:pPr>
            <w:r>
              <w:t>60.2</w:t>
            </w:r>
          </w:p>
        </w:tc>
        <w:tc>
          <w:tcPr>
            <w:tcW w:w="630" w:type="dxa"/>
            <w:shd w:val="clear" w:color="auto" w:fill="auto"/>
          </w:tcPr>
          <w:p w:rsidR="007234DD" w:rsidRDefault="007234DD">
            <w:pPr>
              <w:pStyle w:val="a5"/>
              <w:ind w:right="0"/>
              <w:jc w:val="right"/>
            </w:pPr>
            <w:r>
              <w:t>99.2</w:t>
            </w:r>
          </w:p>
        </w:tc>
        <w:tc>
          <w:tcPr>
            <w:tcW w:w="629" w:type="dxa"/>
            <w:shd w:val="clear" w:color="auto" w:fill="auto"/>
          </w:tcPr>
          <w:p w:rsidR="007234DD" w:rsidRDefault="007234DD">
            <w:pPr>
              <w:pStyle w:val="a5"/>
              <w:ind w:right="0"/>
              <w:jc w:val="right"/>
            </w:pPr>
            <w:r>
              <w:t>66.7</w:t>
            </w:r>
          </w:p>
        </w:tc>
        <w:tc>
          <w:tcPr>
            <w:tcW w:w="629" w:type="dxa"/>
            <w:shd w:val="clear" w:color="auto" w:fill="auto"/>
          </w:tcPr>
          <w:p w:rsidR="007234DD" w:rsidRDefault="007234DD">
            <w:pPr>
              <w:pStyle w:val="a5"/>
              <w:ind w:right="0"/>
              <w:jc w:val="right"/>
            </w:pPr>
            <w:r>
              <w:t>99.3</w:t>
            </w:r>
          </w:p>
        </w:tc>
        <w:tc>
          <w:tcPr>
            <w:tcW w:w="630" w:type="dxa"/>
            <w:shd w:val="clear" w:color="auto" w:fill="auto"/>
          </w:tcPr>
          <w:p w:rsidR="007234DD" w:rsidRDefault="007234DD">
            <w:pPr>
              <w:pStyle w:val="a5"/>
              <w:ind w:right="0"/>
              <w:jc w:val="right"/>
            </w:pPr>
            <w:r>
              <w:t>70.6</w:t>
            </w:r>
          </w:p>
        </w:tc>
        <w:tc>
          <w:tcPr>
            <w:tcW w:w="629" w:type="dxa"/>
            <w:shd w:val="clear" w:color="auto" w:fill="auto"/>
          </w:tcPr>
          <w:p w:rsidR="007234DD" w:rsidRDefault="007234DD">
            <w:pPr>
              <w:pStyle w:val="a5"/>
              <w:ind w:right="0"/>
              <w:jc w:val="right"/>
            </w:pPr>
            <w:r>
              <w:t>99.4</w:t>
            </w:r>
          </w:p>
        </w:tc>
        <w:tc>
          <w:tcPr>
            <w:tcW w:w="630" w:type="dxa"/>
            <w:shd w:val="clear" w:color="auto" w:fill="auto"/>
          </w:tcPr>
          <w:p w:rsidR="007234DD" w:rsidRDefault="007234DD">
            <w:pPr>
              <w:pStyle w:val="a5"/>
              <w:ind w:right="0"/>
              <w:jc w:val="right"/>
            </w:pPr>
            <w:r>
              <w:t>70.3</w:t>
            </w:r>
          </w:p>
        </w:tc>
      </w:tr>
      <w:tr w:rsidR="007234DD">
        <w:trPr>
          <w:cantSplit/>
        </w:trPr>
        <w:tc>
          <w:tcPr>
            <w:tcW w:w="1076" w:type="dxa"/>
            <w:shd w:val="clear" w:color="auto" w:fill="auto"/>
          </w:tcPr>
          <w:p w:rsidR="007234DD" w:rsidRDefault="007234DD">
            <w:pPr>
              <w:pStyle w:val="a5"/>
              <w:rPr>
                <w:rFonts w:hint="eastAsia"/>
              </w:rPr>
            </w:pPr>
            <w:r>
              <w:t>30–34</w:t>
            </w:r>
            <w:r>
              <w:rPr>
                <w:rFonts w:hint="eastAsia"/>
              </w:rPr>
              <w:t>岁</w:t>
            </w:r>
          </w:p>
        </w:tc>
        <w:tc>
          <w:tcPr>
            <w:tcW w:w="629" w:type="dxa"/>
            <w:shd w:val="clear" w:color="auto" w:fill="auto"/>
          </w:tcPr>
          <w:p w:rsidR="007234DD" w:rsidRDefault="007234DD">
            <w:pPr>
              <w:pStyle w:val="a5"/>
              <w:ind w:right="0"/>
              <w:jc w:val="right"/>
            </w:pPr>
            <w:r>
              <w:t>99</w:t>
            </w:r>
          </w:p>
        </w:tc>
        <w:tc>
          <w:tcPr>
            <w:tcW w:w="629" w:type="dxa"/>
            <w:shd w:val="clear" w:color="auto" w:fill="auto"/>
          </w:tcPr>
          <w:p w:rsidR="007234DD" w:rsidRDefault="007234DD">
            <w:pPr>
              <w:pStyle w:val="a5"/>
              <w:ind w:right="0"/>
              <w:jc w:val="right"/>
            </w:pPr>
            <w:r>
              <w:t>56.8</w:t>
            </w:r>
          </w:p>
        </w:tc>
        <w:tc>
          <w:tcPr>
            <w:tcW w:w="630" w:type="dxa"/>
            <w:shd w:val="clear" w:color="auto" w:fill="auto"/>
          </w:tcPr>
          <w:p w:rsidR="007234DD" w:rsidRDefault="007234DD">
            <w:pPr>
              <w:pStyle w:val="a5"/>
              <w:ind w:right="0"/>
              <w:jc w:val="right"/>
            </w:pPr>
            <w:r>
              <w:t>99.3</w:t>
            </w:r>
          </w:p>
        </w:tc>
        <w:tc>
          <w:tcPr>
            <w:tcW w:w="629" w:type="dxa"/>
            <w:shd w:val="clear" w:color="auto" w:fill="auto"/>
          </w:tcPr>
          <w:p w:rsidR="007234DD" w:rsidRDefault="007234DD">
            <w:pPr>
              <w:pStyle w:val="a5"/>
              <w:ind w:right="0"/>
              <w:jc w:val="right"/>
            </w:pPr>
            <w:r>
              <w:t>60.3</w:t>
            </w:r>
          </w:p>
        </w:tc>
        <w:tc>
          <w:tcPr>
            <w:tcW w:w="630" w:type="dxa"/>
            <w:shd w:val="clear" w:color="auto" w:fill="auto"/>
          </w:tcPr>
          <w:p w:rsidR="007234DD" w:rsidRDefault="007234DD">
            <w:pPr>
              <w:pStyle w:val="a5"/>
              <w:ind w:right="0"/>
              <w:jc w:val="right"/>
            </w:pPr>
            <w:r>
              <w:t>99.7</w:t>
            </w:r>
          </w:p>
        </w:tc>
        <w:tc>
          <w:tcPr>
            <w:tcW w:w="629" w:type="dxa"/>
            <w:shd w:val="clear" w:color="auto" w:fill="auto"/>
          </w:tcPr>
          <w:p w:rsidR="007234DD" w:rsidRDefault="007234DD">
            <w:pPr>
              <w:pStyle w:val="a5"/>
              <w:ind w:right="0"/>
              <w:jc w:val="right"/>
            </w:pPr>
            <w:r>
              <w:t>63.1</w:t>
            </w:r>
          </w:p>
        </w:tc>
        <w:tc>
          <w:tcPr>
            <w:tcW w:w="629" w:type="dxa"/>
            <w:shd w:val="clear" w:color="auto" w:fill="auto"/>
          </w:tcPr>
          <w:p w:rsidR="007234DD" w:rsidRDefault="007234DD">
            <w:pPr>
              <w:pStyle w:val="a5"/>
              <w:ind w:right="0"/>
              <w:jc w:val="right"/>
            </w:pPr>
            <w:r>
              <w:t>99.6</w:t>
            </w:r>
          </w:p>
        </w:tc>
        <w:tc>
          <w:tcPr>
            <w:tcW w:w="630" w:type="dxa"/>
            <w:shd w:val="clear" w:color="auto" w:fill="auto"/>
          </w:tcPr>
          <w:p w:rsidR="007234DD" w:rsidRDefault="007234DD">
            <w:pPr>
              <w:pStyle w:val="a5"/>
              <w:ind w:right="0"/>
              <w:jc w:val="right"/>
            </w:pPr>
            <w:r>
              <w:t>64.3</w:t>
            </w:r>
          </w:p>
        </w:tc>
        <w:tc>
          <w:tcPr>
            <w:tcW w:w="629" w:type="dxa"/>
            <w:shd w:val="clear" w:color="auto" w:fill="auto"/>
          </w:tcPr>
          <w:p w:rsidR="007234DD" w:rsidRDefault="007234DD">
            <w:pPr>
              <w:pStyle w:val="a5"/>
              <w:ind w:right="0"/>
              <w:jc w:val="right"/>
            </w:pPr>
            <w:r>
              <w:t>99.6</w:t>
            </w:r>
          </w:p>
        </w:tc>
        <w:tc>
          <w:tcPr>
            <w:tcW w:w="630" w:type="dxa"/>
            <w:shd w:val="clear" w:color="auto" w:fill="auto"/>
          </w:tcPr>
          <w:p w:rsidR="007234DD" w:rsidRDefault="007234DD">
            <w:pPr>
              <w:pStyle w:val="a5"/>
              <w:ind w:right="0"/>
              <w:jc w:val="right"/>
            </w:pPr>
            <w:r>
              <w:t>59.2</w:t>
            </w:r>
          </w:p>
        </w:tc>
      </w:tr>
      <w:tr w:rsidR="007234DD">
        <w:trPr>
          <w:cantSplit/>
        </w:trPr>
        <w:tc>
          <w:tcPr>
            <w:tcW w:w="1076" w:type="dxa"/>
            <w:shd w:val="clear" w:color="auto" w:fill="auto"/>
          </w:tcPr>
          <w:p w:rsidR="007234DD" w:rsidRDefault="007234DD">
            <w:pPr>
              <w:pStyle w:val="a5"/>
              <w:rPr>
                <w:rFonts w:hint="eastAsia"/>
              </w:rPr>
            </w:pPr>
            <w:r>
              <w:t>35–39</w:t>
            </w:r>
            <w:r>
              <w:rPr>
                <w:rFonts w:hint="eastAsia"/>
              </w:rPr>
              <w:t>岁</w:t>
            </w:r>
          </w:p>
        </w:tc>
        <w:tc>
          <w:tcPr>
            <w:tcW w:w="629" w:type="dxa"/>
            <w:shd w:val="clear" w:color="auto" w:fill="auto"/>
          </w:tcPr>
          <w:p w:rsidR="007234DD" w:rsidRDefault="007234DD">
            <w:pPr>
              <w:pStyle w:val="a5"/>
              <w:ind w:right="0"/>
              <w:jc w:val="right"/>
            </w:pPr>
            <w:r>
              <w:t>99.2</w:t>
            </w:r>
          </w:p>
        </w:tc>
        <w:tc>
          <w:tcPr>
            <w:tcW w:w="629" w:type="dxa"/>
            <w:shd w:val="clear" w:color="auto" w:fill="auto"/>
          </w:tcPr>
          <w:p w:rsidR="007234DD" w:rsidRDefault="007234DD">
            <w:pPr>
              <w:pStyle w:val="a5"/>
              <w:ind w:right="0"/>
              <w:jc w:val="right"/>
            </w:pPr>
            <w:r>
              <w:t>56.4</w:t>
            </w:r>
          </w:p>
        </w:tc>
        <w:tc>
          <w:tcPr>
            <w:tcW w:w="630" w:type="dxa"/>
            <w:shd w:val="clear" w:color="auto" w:fill="auto"/>
          </w:tcPr>
          <w:p w:rsidR="007234DD" w:rsidRDefault="007234DD">
            <w:pPr>
              <w:pStyle w:val="a5"/>
              <w:ind w:right="0"/>
              <w:jc w:val="right"/>
            </w:pPr>
            <w:r>
              <w:t>99.5</w:t>
            </w:r>
          </w:p>
        </w:tc>
        <w:tc>
          <w:tcPr>
            <w:tcW w:w="629" w:type="dxa"/>
            <w:shd w:val="clear" w:color="auto" w:fill="auto"/>
          </w:tcPr>
          <w:p w:rsidR="007234DD" w:rsidRDefault="007234DD">
            <w:pPr>
              <w:pStyle w:val="a5"/>
              <w:ind w:right="0"/>
              <w:jc w:val="right"/>
            </w:pPr>
            <w:r>
              <w:t>58.8</w:t>
            </w:r>
          </w:p>
        </w:tc>
        <w:tc>
          <w:tcPr>
            <w:tcW w:w="630" w:type="dxa"/>
            <w:shd w:val="clear" w:color="auto" w:fill="auto"/>
          </w:tcPr>
          <w:p w:rsidR="007234DD" w:rsidRDefault="007234DD">
            <w:pPr>
              <w:pStyle w:val="a5"/>
              <w:ind w:right="0"/>
              <w:jc w:val="right"/>
            </w:pPr>
            <w:r>
              <w:t>99.7</w:t>
            </w:r>
          </w:p>
        </w:tc>
        <w:tc>
          <w:tcPr>
            <w:tcW w:w="629" w:type="dxa"/>
            <w:shd w:val="clear" w:color="auto" w:fill="auto"/>
          </w:tcPr>
          <w:p w:rsidR="007234DD" w:rsidRDefault="007234DD">
            <w:pPr>
              <w:pStyle w:val="a5"/>
              <w:ind w:right="0"/>
              <w:jc w:val="right"/>
            </w:pPr>
            <w:r>
              <w:t>56.9</w:t>
            </w:r>
          </w:p>
        </w:tc>
        <w:tc>
          <w:tcPr>
            <w:tcW w:w="629" w:type="dxa"/>
            <w:shd w:val="clear" w:color="auto" w:fill="auto"/>
          </w:tcPr>
          <w:p w:rsidR="007234DD" w:rsidRDefault="007234DD">
            <w:pPr>
              <w:pStyle w:val="a5"/>
              <w:ind w:right="0"/>
              <w:jc w:val="right"/>
            </w:pPr>
            <w:r>
              <w:t>99.6</w:t>
            </w:r>
          </w:p>
        </w:tc>
        <w:tc>
          <w:tcPr>
            <w:tcW w:w="630" w:type="dxa"/>
            <w:shd w:val="clear" w:color="auto" w:fill="auto"/>
          </w:tcPr>
          <w:p w:rsidR="007234DD" w:rsidRDefault="007234DD">
            <w:pPr>
              <w:pStyle w:val="a5"/>
              <w:ind w:right="0"/>
              <w:jc w:val="right"/>
            </w:pPr>
            <w:r>
              <w:t>59.3</w:t>
            </w:r>
          </w:p>
        </w:tc>
        <w:tc>
          <w:tcPr>
            <w:tcW w:w="629" w:type="dxa"/>
            <w:shd w:val="clear" w:color="auto" w:fill="auto"/>
          </w:tcPr>
          <w:p w:rsidR="007234DD" w:rsidRDefault="007234DD">
            <w:pPr>
              <w:pStyle w:val="a5"/>
              <w:ind w:right="0"/>
              <w:jc w:val="right"/>
            </w:pPr>
            <w:r>
              <w:t>99.8</w:t>
            </w:r>
          </w:p>
        </w:tc>
        <w:tc>
          <w:tcPr>
            <w:tcW w:w="630" w:type="dxa"/>
            <w:shd w:val="clear" w:color="auto" w:fill="auto"/>
          </w:tcPr>
          <w:p w:rsidR="007234DD" w:rsidRDefault="007234DD">
            <w:pPr>
              <w:pStyle w:val="a5"/>
              <w:ind w:right="0"/>
              <w:jc w:val="right"/>
            </w:pPr>
            <w:r>
              <w:t>52.4</w:t>
            </w:r>
          </w:p>
        </w:tc>
      </w:tr>
      <w:tr w:rsidR="007234DD">
        <w:trPr>
          <w:cantSplit/>
        </w:trPr>
        <w:tc>
          <w:tcPr>
            <w:tcW w:w="1076" w:type="dxa"/>
            <w:shd w:val="clear" w:color="auto" w:fill="auto"/>
          </w:tcPr>
          <w:p w:rsidR="007234DD" w:rsidRDefault="007234DD">
            <w:pPr>
              <w:pStyle w:val="a5"/>
              <w:rPr>
                <w:rFonts w:hint="eastAsia"/>
              </w:rPr>
            </w:pPr>
            <w:r>
              <w:t>40–44</w:t>
            </w:r>
            <w:r>
              <w:rPr>
                <w:rFonts w:hint="eastAsia"/>
              </w:rPr>
              <w:t>岁</w:t>
            </w:r>
          </w:p>
        </w:tc>
        <w:tc>
          <w:tcPr>
            <w:tcW w:w="629" w:type="dxa"/>
            <w:shd w:val="clear" w:color="auto" w:fill="auto"/>
          </w:tcPr>
          <w:p w:rsidR="007234DD" w:rsidRDefault="007234DD">
            <w:pPr>
              <w:pStyle w:val="a5"/>
              <w:ind w:right="0"/>
              <w:jc w:val="right"/>
            </w:pPr>
            <w:r>
              <w:t>99</w:t>
            </w:r>
          </w:p>
        </w:tc>
        <w:tc>
          <w:tcPr>
            <w:tcW w:w="629" w:type="dxa"/>
            <w:shd w:val="clear" w:color="auto" w:fill="auto"/>
          </w:tcPr>
          <w:p w:rsidR="007234DD" w:rsidRDefault="007234DD">
            <w:pPr>
              <w:pStyle w:val="a5"/>
              <w:ind w:right="0"/>
              <w:jc w:val="right"/>
            </w:pPr>
            <w:r>
              <w:t>48.9</w:t>
            </w:r>
          </w:p>
        </w:tc>
        <w:tc>
          <w:tcPr>
            <w:tcW w:w="630" w:type="dxa"/>
            <w:shd w:val="clear" w:color="auto" w:fill="auto"/>
          </w:tcPr>
          <w:p w:rsidR="007234DD" w:rsidRDefault="007234DD">
            <w:pPr>
              <w:pStyle w:val="a5"/>
              <w:ind w:right="0"/>
              <w:jc w:val="right"/>
            </w:pPr>
            <w:r>
              <w:t>98.9</w:t>
            </w:r>
          </w:p>
        </w:tc>
        <w:tc>
          <w:tcPr>
            <w:tcW w:w="629" w:type="dxa"/>
            <w:shd w:val="clear" w:color="auto" w:fill="auto"/>
          </w:tcPr>
          <w:p w:rsidR="007234DD" w:rsidRDefault="007234DD">
            <w:pPr>
              <w:pStyle w:val="a5"/>
              <w:ind w:right="0"/>
              <w:jc w:val="right"/>
            </w:pPr>
            <w:r>
              <w:t>56.2</w:t>
            </w:r>
          </w:p>
        </w:tc>
        <w:tc>
          <w:tcPr>
            <w:tcW w:w="630" w:type="dxa"/>
            <w:shd w:val="clear" w:color="auto" w:fill="auto"/>
          </w:tcPr>
          <w:p w:rsidR="007234DD" w:rsidRDefault="007234DD">
            <w:pPr>
              <w:pStyle w:val="a5"/>
              <w:ind w:right="0"/>
              <w:jc w:val="right"/>
            </w:pPr>
            <w:r>
              <w:t>99.4</w:t>
            </w:r>
          </w:p>
        </w:tc>
        <w:tc>
          <w:tcPr>
            <w:tcW w:w="629" w:type="dxa"/>
            <w:shd w:val="clear" w:color="auto" w:fill="auto"/>
          </w:tcPr>
          <w:p w:rsidR="007234DD" w:rsidRDefault="007234DD">
            <w:pPr>
              <w:pStyle w:val="a5"/>
              <w:ind w:right="0"/>
              <w:jc w:val="right"/>
            </w:pPr>
            <w:r>
              <w:t>52.2</w:t>
            </w:r>
          </w:p>
        </w:tc>
        <w:tc>
          <w:tcPr>
            <w:tcW w:w="629" w:type="dxa"/>
            <w:shd w:val="clear" w:color="auto" w:fill="auto"/>
          </w:tcPr>
          <w:p w:rsidR="007234DD" w:rsidRDefault="007234DD">
            <w:pPr>
              <w:pStyle w:val="a5"/>
              <w:ind w:right="0"/>
              <w:jc w:val="right"/>
            </w:pPr>
            <w:r>
              <w:t>99.4</w:t>
            </w:r>
          </w:p>
        </w:tc>
        <w:tc>
          <w:tcPr>
            <w:tcW w:w="630" w:type="dxa"/>
            <w:shd w:val="clear" w:color="auto" w:fill="auto"/>
          </w:tcPr>
          <w:p w:rsidR="007234DD" w:rsidRDefault="007234DD">
            <w:pPr>
              <w:pStyle w:val="a5"/>
              <w:ind w:right="0"/>
              <w:jc w:val="right"/>
            </w:pPr>
            <w:r>
              <w:t>48.3</w:t>
            </w:r>
          </w:p>
        </w:tc>
        <w:tc>
          <w:tcPr>
            <w:tcW w:w="629" w:type="dxa"/>
            <w:shd w:val="clear" w:color="auto" w:fill="auto"/>
          </w:tcPr>
          <w:p w:rsidR="007234DD" w:rsidRDefault="007234DD">
            <w:pPr>
              <w:pStyle w:val="a5"/>
              <w:ind w:right="0"/>
              <w:jc w:val="right"/>
            </w:pPr>
            <w:r>
              <w:t>99.4</w:t>
            </w:r>
          </w:p>
        </w:tc>
        <w:tc>
          <w:tcPr>
            <w:tcW w:w="630" w:type="dxa"/>
            <w:shd w:val="clear" w:color="auto" w:fill="auto"/>
          </w:tcPr>
          <w:p w:rsidR="007234DD" w:rsidRDefault="007234DD">
            <w:pPr>
              <w:pStyle w:val="a5"/>
              <w:ind w:right="0"/>
              <w:jc w:val="right"/>
            </w:pPr>
            <w:r>
              <w:t>49.2</w:t>
            </w:r>
          </w:p>
        </w:tc>
      </w:tr>
      <w:tr w:rsidR="007234DD">
        <w:trPr>
          <w:cantSplit/>
        </w:trPr>
        <w:tc>
          <w:tcPr>
            <w:tcW w:w="1076" w:type="dxa"/>
            <w:shd w:val="clear" w:color="auto" w:fill="auto"/>
          </w:tcPr>
          <w:p w:rsidR="007234DD" w:rsidRDefault="007234DD">
            <w:pPr>
              <w:pStyle w:val="a5"/>
              <w:rPr>
                <w:rFonts w:hint="eastAsia"/>
              </w:rPr>
            </w:pPr>
            <w:r>
              <w:t>45–49</w:t>
            </w:r>
            <w:r>
              <w:rPr>
                <w:rFonts w:hint="eastAsia"/>
              </w:rPr>
              <w:t>岁</w:t>
            </w:r>
          </w:p>
        </w:tc>
        <w:tc>
          <w:tcPr>
            <w:tcW w:w="629" w:type="dxa"/>
            <w:shd w:val="clear" w:color="auto" w:fill="auto"/>
          </w:tcPr>
          <w:p w:rsidR="007234DD" w:rsidRDefault="007234DD">
            <w:pPr>
              <w:pStyle w:val="a5"/>
              <w:ind w:right="0"/>
              <w:jc w:val="right"/>
            </w:pPr>
            <w:r>
              <w:t>98.4</w:t>
            </w:r>
          </w:p>
        </w:tc>
        <w:tc>
          <w:tcPr>
            <w:tcW w:w="629" w:type="dxa"/>
            <w:shd w:val="clear" w:color="auto" w:fill="auto"/>
          </w:tcPr>
          <w:p w:rsidR="007234DD" w:rsidRDefault="007234DD">
            <w:pPr>
              <w:pStyle w:val="a5"/>
              <w:ind w:right="0"/>
              <w:jc w:val="right"/>
            </w:pPr>
            <w:r>
              <w:t>44.5</w:t>
            </w:r>
          </w:p>
        </w:tc>
        <w:tc>
          <w:tcPr>
            <w:tcW w:w="630" w:type="dxa"/>
            <w:shd w:val="clear" w:color="auto" w:fill="auto"/>
          </w:tcPr>
          <w:p w:rsidR="007234DD" w:rsidRDefault="007234DD">
            <w:pPr>
              <w:pStyle w:val="a5"/>
              <w:ind w:right="0"/>
              <w:jc w:val="right"/>
            </w:pPr>
            <w:r>
              <w:t>98.3</w:t>
            </w:r>
          </w:p>
        </w:tc>
        <w:tc>
          <w:tcPr>
            <w:tcW w:w="629" w:type="dxa"/>
            <w:shd w:val="clear" w:color="auto" w:fill="auto"/>
          </w:tcPr>
          <w:p w:rsidR="007234DD" w:rsidRDefault="007234DD">
            <w:pPr>
              <w:pStyle w:val="a5"/>
              <w:ind w:right="0"/>
              <w:jc w:val="right"/>
            </w:pPr>
            <w:r>
              <w:t>51.4</w:t>
            </w:r>
          </w:p>
        </w:tc>
        <w:tc>
          <w:tcPr>
            <w:tcW w:w="630" w:type="dxa"/>
            <w:shd w:val="clear" w:color="auto" w:fill="auto"/>
          </w:tcPr>
          <w:p w:rsidR="007234DD" w:rsidRDefault="007234DD">
            <w:pPr>
              <w:pStyle w:val="a5"/>
              <w:ind w:right="0"/>
              <w:jc w:val="right"/>
            </w:pPr>
            <w:r>
              <w:t>98.4</w:t>
            </w:r>
          </w:p>
        </w:tc>
        <w:tc>
          <w:tcPr>
            <w:tcW w:w="629" w:type="dxa"/>
            <w:shd w:val="clear" w:color="auto" w:fill="auto"/>
          </w:tcPr>
          <w:p w:rsidR="007234DD" w:rsidRDefault="007234DD">
            <w:pPr>
              <w:pStyle w:val="a5"/>
              <w:ind w:right="0"/>
              <w:jc w:val="right"/>
            </w:pPr>
            <w:r>
              <w:t>46.1</w:t>
            </w:r>
          </w:p>
        </w:tc>
        <w:tc>
          <w:tcPr>
            <w:tcW w:w="629" w:type="dxa"/>
            <w:shd w:val="clear" w:color="auto" w:fill="auto"/>
          </w:tcPr>
          <w:p w:rsidR="007234DD" w:rsidRDefault="007234DD">
            <w:pPr>
              <w:pStyle w:val="a5"/>
              <w:ind w:right="0"/>
              <w:jc w:val="right"/>
            </w:pPr>
            <w:r>
              <w:t>99.1</w:t>
            </w:r>
          </w:p>
        </w:tc>
        <w:tc>
          <w:tcPr>
            <w:tcW w:w="630" w:type="dxa"/>
            <w:shd w:val="clear" w:color="auto" w:fill="auto"/>
          </w:tcPr>
          <w:p w:rsidR="007234DD" w:rsidRDefault="007234DD">
            <w:pPr>
              <w:pStyle w:val="a5"/>
              <w:ind w:right="0"/>
              <w:jc w:val="right"/>
            </w:pPr>
            <w:r>
              <w:t>46.5</w:t>
            </w:r>
          </w:p>
        </w:tc>
        <w:tc>
          <w:tcPr>
            <w:tcW w:w="629" w:type="dxa"/>
            <w:shd w:val="clear" w:color="auto" w:fill="auto"/>
          </w:tcPr>
          <w:p w:rsidR="007234DD" w:rsidRDefault="007234DD">
            <w:pPr>
              <w:pStyle w:val="a5"/>
              <w:ind w:right="0"/>
              <w:jc w:val="right"/>
            </w:pPr>
            <w:r>
              <w:t>98.7</w:t>
            </w:r>
          </w:p>
        </w:tc>
        <w:tc>
          <w:tcPr>
            <w:tcW w:w="630" w:type="dxa"/>
            <w:shd w:val="clear" w:color="auto" w:fill="auto"/>
          </w:tcPr>
          <w:p w:rsidR="007234DD" w:rsidRDefault="007234DD">
            <w:pPr>
              <w:pStyle w:val="a5"/>
              <w:ind w:right="0"/>
              <w:jc w:val="right"/>
            </w:pPr>
            <w:r>
              <w:t>46.4</w:t>
            </w:r>
          </w:p>
        </w:tc>
      </w:tr>
      <w:tr w:rsidR="007234DD">
        <w:trPr>
          <w:cantSplit/>
        </w:trPr>
        <w:tc>
          <w:tcPr>
            <w:tcW w:w="1076" w:type="dxa"/>
            <w:shd w:val="clear" w:color="auto" w:fill="auto"/>
          </w:tcPr>
          <w:p w:rsidR="007234DD" w:rsidRDefault="007234DD">
            <w:pPr>
              <w:pStyle w:val="a5"/>
              <w:rPr>
                <w:rFonts w:hint="eastAsia"/>
              </w:rPr>
            </w:pPr>
            <w:r>
              <w:t>50–54</w:t>
            </w:r>
            <w:r>
              <w:rPr>
                <w:rFonts w:hint="eastAsia"/>
              </w:rPr>
              <w:t>岁</w:t>
            </w:r>
          </w:p>
        </w:tc>
        <w:tc>
          <w:tcPr>
            <w:tcW w:w="629" w:type="dxa"/>
            <w:shd w:val="clear" w:color="auto" w:fill="auto"/>
          </w:tcPr>
          <w:p w:rsidR="007234DD" w:rsidRDefault="007234DD">
            <w:pPr>
              <w:pStyle w:val="a5"/>
              <w:ind w:right="0"/>
              <w:jc w:val="right"/>
            </w:pPr>
            <w:r>
              <w:t>97.4</w:t>
            </w:r>
          </w:p>
        </w:tc>
        <w:tc>
          <w:tcPr>
            <w:tcW w:w="629" w:type="dxa"/>
            <w:shd w:val="clear" w:color="auto" w:fill="auto"/>
          </w:tcPr>
          <w:p w:rsidR="007234DD" w:rsidRDefault="007234DD">
            <w:pPr>
              <w:pStyle w:val="a5"/>
              <w:ind w:right="0"/>
              <w:jc w:val="right"/>
            </w:pPr>
            <w:r>
              <w:t>34</w:t>
            </w:r>
          </w:p>
        </w:tc>
        <w:tc>
          <w:tcPr>
            <w:tcW w:w="630" w:type="dxa"/>
            <w:shd w:val="clear" w:color="auto" w:fill="auto"/>
          </w:tcPr>
          <w:p w:rsidR="007234DD" w:rsidRDefault="007234DD">
            <w:pPr>
              <w:pStyle w:val="a5"/>
              <w:ind w:right="0"/>
              <w:jc w:val="right"/>
            </w:pPr>
            <w:r>
              <w:t>96.9</w:t>
            </w:r>
          </w:p>
        </w:tc>
        <w:tc>
          <w:tcPr>
            <w:tcW w:w="629" w:type="dxa"/>
            <w:shd w:val="clear" w:color="auto" w:fill="auto"/>
          </w:tcPr>
          <w:p w:rsidR="007234DD" w:rsidRDefault="007234DD">
            <w:pPr>
              <w:pStyle w:val="a5"/>
              <w:ind w:right="0"/>
              <w:jc w:val="right"/>
            </w:pPr>
            <w:r>
              <w:t>34.4</w:t>
            </w:r>
          </w:p>
        </w:tc>
        <w:tc>
          <w:tcPr>
            <w:tcW w:w="630" w:type="dxa"/>
            <w:shd w:val="clear" w:color="auto" w:fill="auto"/>
          </w:tcPr>
          <w:p w:rsidR="007234DD" w:rsidRDefault="007234DD">
            <w:pPr>
              <w:pStyle w:val="a5"/>
              <w:ind w:right="0"/>
              <w:jc w:val="right"/>
            </w:pPr>
            <w:r>
              <w:t>96.9</w:t>
            </w:r>
          </w:p>
        </w:tc>
        <w:tc>
          <w:tcPr>
            <w:tcW w:w="629" w:type="dxa"/>
            <w:shd w:val="clear" w:color="auto" w:fill="auto"/>
          </w:tcPr>
          <w:p w:rsidR="007234DD" w:rsidRDefault="007234DD">
            <w:pPr>
              <w:pStyle w:val="a5"/>
              <w:ind w:right="0"/>
              <w:jc w:val="right"/>
            </w:pPr>
            <w:r>
              <w:t>42</w:t>
            </w:r>
          </w:p>
        </w:tc>
        <w:tc>
          <w:tcPr>
            <w:tcW w:w="629" w:type="dxa"/>
            <w:shd w:val="clear" w:color="auto" w:fill="auto"/>
          </w:tcPr>
          <w:p w:rsidR="007234DD" w:rsidRDefault="007234DD">
            <w:pPr>
              <w:pStyle w:val="a5"/>
              <w:ind w:right="0"/>
              <w:jc w:val="right"/>
            </w:pPr>
            <w:r>
              <w:t>98.3</w:t>
            </w:r>
          </w:p>
        </w:tc>
        <w:tc>
          <w:tcPr>
            <w:tcW w:w="630" w:type="dxa"/>
            <w:shd w:val="clear" w:color="auto" w:fill="auto"/>
          </w:tcPr>
          <w:p w:rsidR="007234DD" w:rsidRDefault="007234DD">
            <w:pPr>
              <w:pStyle w:val="a5"/>
              <w:ind w:right="0"/>
              <w:jc w:val="right"/>
            </w:pPr>
            <w:r>
              <w:t>37.8</w:t>
            </w:r>
          </w:p>
        </w:tc>
        <w:tc>
          <w:tcPr>
            <w:tcW w:w="629" w:type="dxa"/>
            <w:shd w:val="clear" w:color="auto" w:fill="auto"/>
          </w:tcPr>
          <w:p w:rsidR="007234DD" w:rsidRDefault="007234DD">
            <w:pPr>
              <w:pStyle w:val="a5"/>
              <w:ind w:right="0"/>
              <w:jc w:val="right"/>
            </w:pPr>
            <w:r>
              <w:t>97.4</w:t>
            </w:r>
          </w:p>
        </w:tc>
        <w:tc>
          <w:tcPr>
            <w:tcW w:w="630" w:type="dxa"/>
            <w:shd w:val="clear" w:color="auto" w:fill="auto"/>
          </w:tcPr>
          <w:p w:rsidR="007234DD" w:rsidRDefault="007234DD">
            <w:pPr>
              <w:pStyle w:val="a5"/>
              <w:ind w:right="0"/>
              <w:jc w:val="right"/>
            </w:pPr>
            <w:r>
              <w:t>39.8</w:t>
            </w:r>
          </w:p>
        </w:tc>
      </w:tr>
      <w:tr w:rsidR="007234DD">
        <w:trPr>
          <w:cantSplit/>
        </w:trPr>
        <w:tc>
          <w:tcPr>
            <w:tcW w:w="1076" w:type="dxa"/>
            <w:shd w:val="clear" w:color="auto" w:fill="auto"/>
          </w:tcPr>
          <w:p w:rsidR="007234DD" w:rsidRDefault="007234DD">
            <w:pPr>
              <w:pStyle w:val="a5"/>
              <w:rPr>
                <w:rFonts w:hint="eastAsia"/>
              </w:rPr>
            </w:pPr>
            <w:r>
              <w:t>55–59</w:t>
            </w:r>
            <w:r>
              <w:rPr>
                <w:rFonts w:hint="eastAsia"/>
              </w:rPr>
              <w:t>岁</w:t>
            </w:r>
          </w:p>
        </w:tc>
        <w:tc>
          <w:tcPr>
            <w:tcW w:w="629" w:type="dxa"/>
            <w:shd w:val="clear" w:color="auto" w:fill="auto"/>
          </w:tcPr>
          <w:p w:rsidR="007234DD" w:rsidRDefault="007234DD">
            <w:pPr>
              <w:pStyle w:val="a5"/>
              <w:ind w:right="0"/>
              <w:jc w:val="right"/>
            </w:pPr>
            <w:r>
              <w:t>94.5</w:t>
            </w:r>
          </w:p>
        </w:tc>
        <w:tc>
          <w:tcPr>
            <w:tcW w:w="629" w:type="dxa"/>
            <w:shd w:val="clear" w:color="auto" w:fill="auto"/>
          </w:tcPr>
          <w:p w:rsidR="007234DD" w:rsidRDefault="007234DD">
            <w:pPr>
              <w:pStyle w:val="a5"/>
              <w:ind w:right="0"/>
              <w:jc w:val="right"/>
            </w:pPr>
            <w:r>
              <w:t>19.8</w:t>
            </w:r>
          </w:p>
        </w:tc>
        <w:tc>
          <w:tcPr>
            <w:tcW w:w="630" w:type="dxa"/>
            <w:shd w:val="clear" w:color="auto" w:fill="auto"/>
          </w:tcPr>
          <w:p w:rsidR="007234DD" w:rsidRDefault="007234DD">
            <w:pPr>
              <w:pStyle w:val="a5"/>
              <w:ind w:right="0"/>
              <w:jc w:val="right"/>
            </w:pPr>
            <w:r>
              <w:t>91.6</w:t>
            </w:r>
          </w:p>
        </w:tc>
        <w:tc>
          <w:tcPr>
            <w:tcW w:w="629" w:type="dxa"/>
            <w:shd w:val="clear" w:color="auto" w:fill="auto"/>
          </w:tcPr>
          <w:p w:rsidR="007234DD" w:rsidRDefault="007234DD">
            <w:pPr>
              <w:pStyle w:val="a5"/>
              <w:ind w:right="0"/>
              <w:jc w:val="right"/>
            </w:pPr>
            <w:r>
              <w:t>21</w:t>
            </w:r>
          </w:p>
        </w:tc>
        <w:tc>
          <w:tcPr>
            <w:tcW w:w="630" w:type="dxa"/>
            <w:shd w:val="clear" w:color="auto" w:fill="auto"/>
          </w:tcPr>
          <w:p w:rsidR="007234DD" w:rsidRDefault="007234DD">
            <w:pPr>
              <w:pStyle w:val="a5"/>
              <w:ind w:right="0"/>
              <w:jc w:val="right"/>
            </w:pPr>
            <w:r>
              <w:t>94.4</w:t>
            </w:r>
          </w:p>
        </w:tc>
        <w:tc>
          <w:tcPr>
            <w:tcW w:w="629" w:type="dxa"/>
            <w:shd w:val="clear" w:color="auto" w:fill="auto"/>
          </w:tcPr>
          <w:p w:rsidR="007234DD" w:rsidRDefault="007234DD">
            <w:pPr>
              <w:pStyle w:val="a5"/>
              <w:ind w:right="0"/>
              <w:jc w:val="right"/>
            </w:pPr>
            <w:r>
              <w:t>14.4</w:t>
            </w:r>
          </w:p>
        </w:tc>
        <w:tc>
          <w:tcPr>
            <w:tcW w:w="629" w:type="dxa"/>
            <w:shd w:val="clear" w:color="auto" w:fill="auto"/>
          </w:tcPr>
          <w:p w:rsidR="007234DD" w:rsidRDefault="007234DD">
            <w:pPr>
              <w:pStyle w:val="a5"/>
              <w:ind w:right="0"/>
              <w:jc w:val="right"/>
            </w:pPr>
            <w:r>
              <w:t>95.3</w:t>
            </w:r>
          </w:p>
        </w:tc>
        <w:tc>
          <w:tcPr>
            <w:tcW w:w="630" w:type="dxa"/>
            <w:shd w:val="clear" w:color="auto" w:fill="auto"/>
          </w:tcPr>
          <w:p w:rsidR="007234DD" w:rsidRDefault="007234DD">
            <w:pPr>
              <w:pStyle w:val="a5"/>
              <w:ind w:right="0"/>
              <w:jc w:val="right"/>
            </w:pPr>
            <w:r>
              <w:t>26.2</w:t>
            </w:r>
          </w:p>
        </w:tc>
        <w:tc>
          <w:tcPr>
            <w:tcW w:w="629" w:type="dxa"/>
            <w:shd w:val="clear" w:color="auto" w:fill="auto"/>
          </w:tcPr>
          <w:p w:rsidR="007234DD" w:rsidRDefault="007234DD">
            <w:pPr>
              <w:pStyle w:val="a5"/>
              <w:ind w:right="0"/>
              <w:jc w:val="right"/>
            </w:pPr>
            <w:r>
              <w:t>95.2</w:t>
            </w:r>
          </w:p>
        </w:tc>
        <w:tc>
          <w:tcPr>
            <w:tcW w:w="630" w:type="dxa"/>
            <w:shd w:val="clear" w:color="auto" w:fill="auto"/>
          </w:tcPr>
          <w:p w:rsidR="007234DD" w:rsidRDefault="007234DD">
            <w:pPr>
              <w:pStyle w:val="a5"/>
              <w:ind w:right="0"/>
              <w:jc w:val="right"/>
            </w:pPr>
            <w:r>
              <w:t>27.4</w:t>
            </w:r>
          </w:p>
        </w:tc>
      </w:tr>
      <w:tr w:rsidR="007234DD">
        <w:trPr>
          <w:cantSplit/>
        </w:trPr>
        <w:tc>
          <w:tcPr>
            <w:tcW w:w="1076" w:type="dxa"/>
            <w:shd w:val="clear" w:color="auto" w:fill="auto"/>
          </w:tcPr>
          <w:p w:rsidR="007234DD" w:rsidRDefault="007234DD">
            <w:pPr>
              <w:pStyle w:val="a5"/>
              <w:rPr>
                <w:rFonts w:hint="eastAsia"/>
              </w:rPr>
            </w:pPr>
            <w:r>
              <w:t>60–64</w:t>
            </w:r>
            <w:r>
              <w:rPr>
                <w:rFonts w:hint="eastAsia"/>
              </w:rPr>
              <w:t>岁</w:t>
            </w:r>
          </w:p>
        </w:tc>
        <w:tc>
          <w:tcPr>
            <w:tcW w:w="629" w:type="dxa"/>
            <w:shd w:val="clear" w:color="auto" w:fill="auto"/>
          </w:tcPr>
          <w:p w:rsidR="007234DD" w:rsidRDefault="007234DD">
            <w:pPr>
              <w:pStyle w:val="a5"/>
              <w:ind w:right="0"/>
              <w:jc w:val="right"/>
            </w:pPr>
            <w:r>
              <w:t>84.5</w:t>
            </w:r>
          </w:p>
        </w:tc>
        <w:tc>
          <w:tcPr>
            <w:tcW w:w="629" w:type="dxa"/>
            <w:shd w:val="clear" w:color="auto" w:fill="auto"/>
          </w:tcPr>
          <w:p w:rsidR="007234DD" w:rsidRDefault="007234DD">
            <w:pPr>
              <w:pStyle w:val="a5"/>
              <w:ind w:right="0"/>
              <w:jc w:val="right"/>
            </w:pPr>
            <w:r>
              <w:t>10.5</w:t>
            </w:r>
          </w:p>
        </w:tc>
        <w:tc>
          <w:tcPr>
            <w:tcW w:w="630" w:type="dxa"/>
            <w:shd w:val="clear" w:color="auto" w:fill="auto"/>
          </w:tcPr>
          <w:p w:rsidR="007234DD" w:rsidRDefault="007234DD">
            <w:pPr>
              <w:pStyle w:val="a5"/>
              <w:ind w:right="0"/>
              <w:jc w:val="right"/>
            </w:pPr>
            <w:r>
              <w:t>76.6</w:t>
            </w:r>
          </w:p>
        </w:tc>
        <w:tc>
          <w:tcPr>
            <w:tcW w:w="629" w:type="dxa"/>
            <w:shd w:val="clear" w:color="auto" w:fill="auto"/>
          </w:tcPr>
          <w:p w:rsidR="007234DD" w:rsidRDefault="007234DD">
            <w:pPr>
              <w:pStyle w:val="a5"/>
              <w:ind w:right="0"/>
              <w:jc w:val="right"/>
            </w:pPr>
            <w:r>
              <w:t>15.3</w:t>
            </w:r>
          </w:p>
        </w:tc>
        <w:tc>
          <w:tcPr>
            <w:tcW w:w="630" w:type="dxa"/>
            <w:shd w:val="clear" w:color="auto" w:fill="auto"/>
          </w:tcPr>
          <w:p w:rsidR="007234DD" w:rsidRDefault="007234DD">
            <w:pPr>
              <w:pStyle w:val="a5"/>
              <w:ind w:right="0"/>
              <w:jc w:val="right"/>
            </w:pPr>
            <w:r>
              <w:t>83.7</w:t>
            </w:r>
          </w:p>
        </w:tc>
        <w:tc>
          <w:tcPr>
            <w:tcW w:w="629" w:type="dxa"/>
            <w:shd w:val="clear" w:color="auto" w:fill="auto"/>
          </w:tcPr>
          <w:p w:rsidR="007234DD" w:rsidRDefault="007234DD">
            <w:pPr>
              <w:pStyle w:val="a5"/>
              <w:ind w:right="0"/>
              <w:jc w:val="right"/>
            </w:pPr>
            <w:r>
              <w:t>14.8</w:t>
            </w:r>
          </w:p>
        </w:tc>
        <w:tc>
          <w:tcPr>
            <w:tcW w:w="629" w:type="dxa"/>
            <w:shd w:val="clear" w:color="auto" w:fill="auto"/>
          </w:tcPr>
          <w:p w:rsidR="007234DD" w:rsidRDefault="007234DD">
            <w:pPr>
              <w:pStyle w:val="a5"/>
              <w:ind w:right="0"/>
              <w:jc w:val="right"/>
            </w:pPr>
            <w:r>
              <w:t>86.3</w:t>
            </w:r>
          </w:p>
        </w:tc>
        <w:tc>
          <w:tcPr>
            <w:tcW w:w="630" w:type="dxa"/>
            <w:shd w:val="clear" w:color="auto" w:fill="auto"/>
          </w:tcPr>
          <w:p w:rsidR="007234DD" w:rsidRDefault="007234DD">
            <w:pPr>
              <w:pStyle w:val="a5"/>
              <w:ind w:right="0"/>
              <w:jc w:val="right"/>
            </w:pPr>
            <w:r>
              <w:t>14.7</w:t>
            </w:r>
          </w:p>
        </w:tc>
        <w:tc>
          <w:tcPr>
            <w:tcW w:w="629" w:type="dxa"/>
            <w:shd w:val="clear" w:color="auto" w:fill="auto"/>
          </w:tcPr>
          <w:p w:rsidR="007234DD" w:rsidRDefault="007234DD">
            <w:pPr>
              <w:pStyle w:val="a5"/>
              <w:ind w:right="0"/>
              <w:jc w:val="right"/>
            </w:pPr>
            <w:r>
              <w:t>90</w:t>
            </w:r>
          </w:p>
        </w:tc>
        <w:tc>
          <w:tcPr>
            <w:tcW w:w="630" w:type="dxa"/>
            <w:shd w:val="clear" w:color="auto" w:fill="auto"/>
          </w:tcPr>
          <w:p w:rsidR="007234DD" w:rsidRDefault="007234DD">
            <w:pPr>
              <w:pStyle w:val="a5"/>
              <w:ind w:right="0"/>
              <w:jc w:val="right"/>
            </w:pPr>
            <w:r>
              <w:t>19.3</w:t>
            </w:r>
          </w:p>
        </w:tc>
      </w:tr>
      <w:tr w:rsidR="007234DD">
        <w:trPr>
          <w:cantSplit/>
        </w:trPr>
        <w:tc>
          <w:tcPr>
            <w:tcW w:w="1076" w:type="dxa"/>
            <w:shd w:val="clear" w:color="auto" w:fill="auto"/>
          </w:tcPr>
          <w:p w:rsidR="007234DD" w:rsidRDefault="007234DD">
            <w:pPr>
              <w:pStyle w:val="a5"/>
              <w:rPr>
                <w:rFonts w:hint="eastAsia"/>
              </w:rPr>
            </w:pPr>
            <w:r>
              <w:t>65</w:t>
            </w:r>
            <w:r>
              <w:rPr>
                <w:rFonts w:hint="eastAsia"/>
              </w:rPr>
              <w:t>岁及以上</w:t>
            </w:r>
          </w:p>
        </w:tc>
        <w:tc>
          <w:tcPr>
            <w:tcW w:w="629" w:type="dxa"/>
            <w:shd w:val="clear" w:color="auto" w:fill="auto"/>
          </w:tcPr>
          <w:p w:rsidR="007234DD" w:rsidRDefault="007234DD">
            <w:pPr>
              <w:pStyle w:val="a5"/>
              <w:ind w:right="0"/>
              <w:jc w:val="right"/>
            </w:pPr>
            <w:r>
              <w:t>52.2</w:t>
            </w:r>
          </w:p>
        </w:tc>
        <w:tc>
          <w:tcPr>
            <w:tcW w:w="629" w:type="dxa"/>
            <w:shd w:val="clear" w:color="auto" w:fill="auto"/>
          </w:tcPr>
          <w:p w:rsidR="007234DD" w:rsidRDefault="007234DD">
            <w:pPr>
              <w:pStyle w:val="a5"/>
              <w:ind w:right="0"/>
              <w:jc w:val="right"/>
            </w:pPr>
            <w:r>
              <w:t>3.1</w:t>
            </w:r>
          </w:p>
        </w:tc>
        <w:tc>
          <w:tcPr>
            <w:tcW w:w="630" w:type="dxa"/>
            <w:shd w:val="clear" w:color="auto" w:fill="auto"/>
          </w:tcPr>
          <w:p w:rsidR="007234DD" w:rsidRDefault="007234DD">
            <w:pPr>
              <w:pStyle w:val="a5"/>
              <w:ind w:right="0"/>
              <w:jc w:val="right"/>
            </w:pPr>
            <w:r>
              <w:t>47.3</w:t>
            </w:r>
          </w:p>
        </w:tc>
        <w:tc>
          <w:tcPr>
            <w:tcW w:w="629" w:type="dxa"/>
            <w:shd w:val="clear" w:color="auto" w:fill="auto"/>
          </w:tcPr>
          <w:p w:rsidR="007234DD" w:rsidRDefault="007234DD">
            <w:pPr>
              <w:pStyle w:val="a5"/>
              <w:ind w:right="0"/>
              <w:jc w:val="right"/>
            </w:pPr>
            <w:r>
              <w:t>5.8</w:t>
            </w:r>
          </w:p>
        </w:tc>
        <w:tc>
          <w:tcPr>
            <w:tcW w:w="630" w:type="dxa"/>
            <w:shd w:val="clear" w:color="auto" w:fill="auto"/>
          </w:tcPr>
          <w:p w:rsidR="007234DD" w:rsidRDefault="007234DD">
            <w:pPr>
              <w:pStyle w:val="a5"/>
              <w:ind w:right="0"/>
              <w:jc w:val="right"/>
            </w:pPr>
            <w:r>
              <w:t>59.1</w:t>
            </w:r>
          </w:p>
        </w:tc>
        <w:tc>
          <w:tcPr>
            <w:tcW w:w="629" w:type="dxa"/>
            <w:shd w:val="clear" w:color="auto" w:fill="auto"/>
          </w:tcPr>
          <w:p w:rsidR="007234DD" w:rsidRDefault="007234DD">
            <w:pPr>
              <w:pStyle w:val="a5"/>
              <w:ind w:right="0"/>
              <w:jc w:val="right"/>
            </w:pPr>
            <w:r>
              <w:t>6.9</w:t>
            </w:r>
          </w:p>
        </w:tc>
        <w:tc>
          <w:tcPr>
            <w:tcW w:w="629" w:type="dxa"/>
            <w:shd w:val="clear" w:color="auto" w:fill="auto"/>
          </w:tcPr>
          <w:p w:rsidR="007234DD" w:rsidRDefault="007234DD">
            <w:pPr>
              <w:pStyle w:val="a5"/>
              <w:ind w:right="0"/>
              <w:jc w:val="right"/>
            </w:pPr>
            <w:r>
              <w:t>54.8</w:t>
            </w:r>
          </w:p>
        </w:tc>
        <w:tc>
          <w:tcPr>
            <w:tcW w:w="630" w:type="dxa"/>
            <w:shd w:val="clear" w:color="auto" w:fill="auto"/>
          </w:tcPr>
          <w:p w:rsidR="007234DD" w:rsidRDefault="007234DD">
            <w:pPr>
              <w:pStyle w:val="a5"/>
              <w:ind w:right="0"/>
              <w:jc w:val="right"/>
            </w:pPr>
            <w:r>
              <w:t>4.7</w:t>
            </w:r>
          </w:p>
        </w:tc>
        <w:tc>
          <w:tcPr>
            <w:tcW w:w="629" w:type="dxa"/>
            <w:shd w:val="clear" w:color="auto" w:fill="auto"/>
          </w:tcPr>
          <w:p w:rsidR="007234DD" w:rsidRDefault="007234DD">
            <w:pPr>
              <w:pStyle w:val="a5"/>
              <w:ind w:right="0"/>
              <w:jc w:val="right"/>
            </w:pPr>
            <w:r>
              <w:t>50.9</w:t>
            </w:r>
          </w:p>
        </w:tc>
        <w:tc>
          <w:tcPr>
            <w:tcW w:w="630" w:type="dxa"/>
            <w:shd w:val="clear" w:color="auto" w:fill="auto"/>
          </w:tcPr>
          <w:p w:rsidR="007234DD" w:rsidRDefault="007234DD">
            <w:pPr>
              <w:pStyle w:val="a5"/>
              <w:ind w:right="0"/>
              <w:jc w:val="right"/>
            </w:pPr>
            <w:r>
              <w:t>5.2</w:t>
            </w:r>
          </w:p>
        </w:tc>
      </w:tr>
      <w:tr w:rsidR="007234DD">
        <w:trPr>
          <w:cantSplit/>
        </w:trPr>
        <w:tc>
          <w:tcPr>
            <w:tcW w:w="1076" w:type="dxa"/>
            <w:tcBorders>
              <w:bottom w:val="single" w:sz="12" w:space="0" w:color="auto"/>
            </w:tcBorders>
            <w:shd w:val="clear" w:color="auto" w:fill="auto"/>
          </w:tcPr>
          <w:p w:rsidR="007234DD" w:rsidRDefault="007234DD">
            <w:pPr>
              <w:pStyle w:val="a5"/>
              <w:rPr>
                <w:rFonts w:hint="eastAsia"/>
              </w:rPr>
            </w:pPr>
            <w:r>
              <w:t>15</w:t>
            </w:r>
            <w:r>
              <w:rPr>
                <w:rFonts w:hint="eastAsia"/>
              </w:rPr>
              <w:t>岁及以上</w:t>
            </w:r>
          </w:p>
        </w:tc>
        <w:tc>
          <w:tcPr>
            <w:tcW w:w="629" w:type="dxa"/>
            <w:tcBorders>
              <w:bottom w:val="single" w:sz="12" w:space="0" w:color="auto"/>
            </w:tcBorders>
            <w:shd w:val="clear" w:color="auto" w:fill="auto"/>
          </w:tcPr>
          <w:p w:rsidR="007234DD" w:rsidRDefault="007234DD">
            <w:pPr>
              <w:pStyle w:val="a5"/>
              <w:ind w:right="0"/>
              <w:jc w:val="right"/>
            </w:pPr>
            <w:r>
              <w:t>91.7</w:t>
            </w:r>
          </w:p>
        </w:tc>
        <w:tc>
          <w:tcPr>
            <w:tcW w:w="629" w:type="dxa"/>
            <w:tcBorders>
              <w:bottom w:val="single" w:sz="12" w:space="0" w:color="auto"/>
            </w:tcBorders>
            <w:shd w:val="clear" w:color="auto" w:fill="auto"/>
          </w:tcPr>
          <w:p w:rsidR="007234DD" w:rsidRDefault="007234DD">
            <w:pPr>
              <w:pStyle w:val="a5"/>
              <w:ind w:right="0"/>
              <w:jc w:val="right"/>
            </w:pPr>
            <w:r>
              <w:t>40.6</w:t>
            </w:r>
          </w:p>
        </w:tc>
        <w:tc>
          <w:tcPr>
            <w:tcW w:w="630" w:type="dxa"/>
            <w:tcBorders>
              <w:bottom w:val="single" w:sz="12" w:space="0" w:color="auto"/>
            </w:tcBorders>
            <w:shd w:val="clear" w:color="auto" w:fill="auto"/>
          </w:tcPr>
          <w:p w:rsidR="007234DD" w:rsidRDefault="007234DD">
            <w:pPr>
              <w:pStyle w:val="a5"/>
              <w:ind w:right="0"/>
              <w:jc w:val="right"/>
            </w:pPr>
            <w:r>
              <w:t>93</w:t>
            </w:r>
          </w:p>
        </w:tc>
        <w:tc>
          <w:tcPr>
            <w:tcW w:w="629" w:type="dxa"/>
            <w:tcBorders>
              <w:bottom w:val="single" w:sz="12" w:space="0" w:color="auto"/>
            </w:tcBorders>
            <w:shd w:val="clear" w:color="auto" w:fill="auto"/>
          </w:tcPr>
          <w:p w:rsidR="007234DD" w:rsidRDefault="007234DD">
            <w:pPr>
              <w:pStyle w:val="a5"/>
              <w:ind w:right="0"/>
              <w:jc w:val="right"/>
            </w:pPr>
            <w:r>
              <w:t>45.4</w:t>
            </w:r>
          </w:p>
        </w:tc>
        <w:tc>
          <w:tcPr>
            <w:tcW w:w="630" w:type="dxa"/>
            <w:tcBorders>
              <w:bottom w:val="single" w:sz="12" w:space="0" w:color="auto"/>
            </w:tcBorders>
            <w:shd w:val="clear" w:color="auto" w:fill="auto"/>
          </w:tcPr>
          <w:p w:rsidR="007234DD" w:rsidRDefault="007234DD">
            <w:pPr>
              <w:pStyle w:val="a5"/>
              <w:ind w:right="0"/>
              <w:jc w:val="right"/>
            </w:pPr>
            <w:r>
              <w:t>94.9</w:t>
            </w:r>
          </w:p>
        </w:tc>
        <w:tc>
          <w:tcPr>
            <w:tcW w:w="629" w:type="dxa"/>
            <w:tcBorders>
              <w:bottom w:val="single" w:sz="12" w:space="0" w:color="auto"/>
            </w:tcBorders>
            <w:shd w:val="clear" w:color="auto" w:fill="auto"/>
          </w:tcPr>
          <w:p w:rsidR="007234DD" w:rsidRDefault="007234DD">
            <w:pPr>
              <w:pStyle w:val="a5"/>
              <w:ind w:right="0"/>
              <w:jc w:val="right"/>
            </w:pPr>
            <w:r>
              <w:t>49.3</w:t>
            </w:r>
          </w:p>
        </w:tc>
        <w:tc>
          <w:tcPr>
            <w:tcW w:w="629" w:type="dxa"/>
            <w:tcBorders>
              <w:bottom w:val="single" w:sz="12" w:space="0" w:color="auto"/>
            </w:tcBorders>
            <w:shd w:val="clear" w:color="auto" w:fill="auto"/>
          </w:tcPr>
          <w:p w:rsidR="007234DD" w:rsidRDefault="007234DD">
            <w:pPr>
              <w:pStyle w:val="a5"/>
              <w:ind w:right="0"/>
              <w:jc w:val="right"/>
            </w:pPr>
            <w:r>
              <w:t>95.8</w:t>
            </w:r>
          </w:p>
        </w:tc>
        <w:tc>
          <w:tcPr>
            <w:tcW w:w="630" w:type="dxa"/>
            <w:tcBorders>
              <w:bottom w:val="single" w:sz="12" w:space="0" w:color="auto"/>
            </w:tcBorders>
            <w:shd w:val="clear" w:color="auto" w:fill="auto"/>
          </w:tcPr>
          <w:p w:rsidR="007234DD" w:rsidRDefault="007234DD">
            <w:pPr>
              <w:pStyle w:val="a5"/>
              <w:ind w:right="0"/>
              <w:jc w:val="right"/>
            </w:pPr>
            <w:r>
              <w:t>50.4</w:t>
            </w:r>
          </w:p>
        </w:tc>
        <w:tc>
          <w:tcPr>
            <w:tcW w:w="629" w:type="dxa"/>
            <w:tcBorders>
              <w:bottom w:val="single" w:sz="12" w:space="0" w:color="auto"/>
            </w:tcBorders>
            <w:shd w:val="clear" w:color="auto" w:fill="auto"/>
          </w:tcPr>
          <w:p w:rsidR="007234DD" w:rsidRDefault="007234DD">
            <w:pPr>
              <w:pStyle w:val="a5"/>
              <w:ind w:right="0"/>
              <w:jc w:val="right"/>
            </w:pPr>
            <w:r>
              <w:t>96</w:t>
            </w:r>
          </w:p>
        </w:tc>
        <w:tc>
          <w:tcPr>
            <w:tcW w:w="630" w:type="dxa"/>
            <w:tcBorders>
              <w:bottom w:val="single" w:sz="12" w:space="0" w:color="auto"/>
            </w:tcBorders>
            <w:shd w:val="clear" w:color="auto" w:fill="auto"/>
          </w:tcPr>
          <w:p w:rsidR="007234DD" w:rsidRDefault="007234DD">
            <w:pPr>
              <w:pStyle w:val="a5"/>
              <w:ind w:right="0"/>
              <w:jc w:val="right"/>
            </w:pPr>
            <w:r>
              <w:t>49.1</w:t>
            </w:r>
          </w:p>
        </w:tc>
      </w:tr>
    </w:tbl>
    <w:p w:rsidR="007234DD" w:rsidRDefault="007234DD" w:rsidP="005D71D9">
      <w:pPr>
        <w:tabs>
          <w:tab w:val="clear" w:pos="431"/>
        </w:tabs>
        <w:suppressAutoHyphens/>
        <w:overflowPunct/>
        <w:adjustRightInd/>
        <w:snapToGrid/>
        <w:spacing w:before="120" w:after="24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w:t>
      </w:r>
      <w:bookmarkStart w:id="2" w:name="OLE_LINK21"/>
      <w:bookmarkStart w:id="3" w:name="OLE_LINK22"/>
      <w:r>
        <w:rPr>
          <w:rFonts w:hint="eastAsia"/>
          <w:sz w:val="19"/>
          <w:szCs w:val="19"/>
        </w:rPr>
        <w:t>Qalam</w:t>
      </w:r>
      <w:bookmarkEnd w:id="2"/>
      <w:bookmarkEnd w:id="3"/>
      <w:r>
        <w:rPr>
          <w:rFonts w:hint="eastAsia"/>
          <w:sz w:val="19"/>
          <w:szCs w:val="19"/>
        </w:rPr>
        <w:t>”项目，</w:t>
      </w:r>
      <w:r>
        <w:rPr>
          <w:rFonts w:hint="eastAsia"/>
          <w:sz w:val="19"/>
          <w:szCs w:val="19"/>
        </w:rPr>
        <w:t>www.qix.gov.qa</w:t>
      </w:r>
      <w:r>
        <w:rPr>
          <w:rFonts w:hint="eastAsia"/>
          <w:sz w:val="19"/>
          <w:szCs w:val="19"/>
        </w:rPr>
        <w:t>，未公布数据。</w:t>
      </w:r>
    </w:p>
    <w:p w:rsidR="007234DD" w:rsidRDefault="007234DD">
      <w:pPr>
        <w:pStyle w:val="SingleTxtGC"/>
      </w:pPr>
      <w:r>
        <w:t xml:space="preserve">291.  </w:t>
      </w:r>
      <w:r>
        <w:rPr>
          <w:rFonts w:hint="eastAsia"/>
        </w:rPr>
        <w:t>这方面的积极指标是妇女对劳动力的贡献日益扩大。如表</w:t>
      </w:r>
      <w:r>
        <w:rPr>
          <w:rFonts w:hint="eastAsia"/>
        </w:rPr>
        <w:t>22</w:t>
      </w:r>
      <w:r>
        <w:rPr>
          <w:rFonts w:hint="eastAsia"/>
        </w:rPr>
        <w:t>所示，在</w:t>
      </w:r>
      <w:r>
        <w:rPr>
          <w:rFonts w:hint="eastAsia"/>
        </w:rPr>
        <w:t>2009</w:t>
      </w:r>
      <w:r>
        <w:rPr>
          <w:rFonts w:hint="eastAsia"/>
        </w:rPr>
        <w:t>年，妇女的劳动力参与率突破了</w:t>
      </w:r>
      <w:r>
        <w:rPr>
          <w:rFonts w:hint="eastAsia"/>
        </w:rPr>
        <w:t>36%</w:t>
      </w:r>
      <w:r>
        <w:rPr>
          <w:rFonts w:hint="eastAsia"/>
        </w:rPr>
        <w:t>，而</w:t>
      </w:r>
      <w:r>
        <w:rPr>
          <w:rFonts w:hint="eastAsia"/>
        </w:rPr>
        <w:t>2004</w:t>
      </w:r>
      <w:r>
        <w:rPr>
          <w:rFonts w:hint="eastAsia"/>
        </w:rPr>
        <w:t>年为大约</w:t>
      </w:r>
      <w:r>
        <w:rPr>
          <w:rFonts w:hint="eastAsia"/>
        </w:rPr>
        <w:t>30%</w:t>
      </w:r>
      <w:r>
        <w:rPr>
          <w:rFonts w:hint="eastAsia"/>
        </w:rPr>
        <w:t>。</w:t>
      </w:r>
    </w:p>
    <w:p w:rsidR="007234DD" w:rsidRDefault="007234DD">
      <w:pPr>
        <w:pStyle w:val="SingleTxtGC"/>
      </w:pPr>
      <w:r>
        <w:rPr>
          <w:rFonts w:hint="eastAsia"/>
        </w:rPr>
        <w:t>表</w:t>
      </w:r>
      <w:r>
        <w:rPr>
          <w:rFonts w:hint="eastAsia"/>
        </w:rPr>
        <w:t>22</w:t>
      </w:r>
      <w:r>
        <w:br/>
      </w:r>
      <w:r>
        <w:rPr>
          <w:rFonts w:eastAsia="SimHei" w:hint="eastAsia"/>
        </w:rPr>
        <w:t>按年份分列的妇女劳动力参与率</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7234DD">
        <w:trPr>
          <w:cantSplit/>
        </w:trPr>
        <w:tc>
          <w:tcPr>
            <w:tcW w:w="3685" w:type="dxa"/>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年份</w:t>
            </w:r>
          </w:p>
        </w:tc>
        <w:tc>
          <w:tcPr>
            <w:tcW w:w="3685"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百分比</w:t>
            </w:r>
          </w:p>
        </w:tc>
      </w:tr>
      <w:tr w:rsidR="007234DD">
        <w:trPr>
          <w:cantSplit/>
        </w:trPr>
        <w:tc>
          <w:tcPr>
            <w:tcW w:w="3685" w:type="dxa"/>
            <w:tcBorders>
              <w:top w:val="single" w:sz="12" w:space="0" w:color="auto"/>
            </w:tcBorders>
            <w:shd w:val="clear" w:color="auto" w:fill="auto"/>
          </w:tcPr>
          <w:p w:rsidR="007234DD" w:rsidRDefault="007234DD">
            <w:pPr>
              <w:pStyle w:val="a5"/>
            </w:pPr>
            <w:r>
              <w:t>2004</w:t>
            </w:r>
          </w:p>
        </w:tc>
        <w:tc>
          <w:tcPr>
            <w:tcW w:w="3685" w:type="dxa"/>
            <w:tcBorders>
              <w:top w:val="single" w:sz="12" w:space="0" w:color="auto"/>
            </w:tcBorders>
            <w:shd w:val="clear" w:color="auto" w:fill="auto"/>
          </w:tcPr>
          <w:p w:rsidR="007234DD" w:rsidRDefault="007234DD">
            <w:pPr>
              <w:pStyle w:val="a5"/>
              <w:ind w:right="0"/>
              <w:jc w:val="right"/>
            </w:pPr>
            <w:r>
              <w:t>30.30</w:t>
            </w:r>
          </w:p>
        </w:tc>
      </w:tr>
      <w:tr w:rsidR="007234DD">
        <w:trPr>
          <w:cantSplit/>
        </w:trPr>
        <w:tc>
          <w:tcPr>
            <w:tcW w:w="3685" w:type="dxa"/>
            <w:shd w:val="clear" w:color="auto" w:fill="auto"/>
          </w:tcPr>
          <w:p w:rsidR="007234DD" w:rsidRDefault="007234DD">
            <w:pPr>
              <w:pStyle w:val="a5"/>
            </w:pPr>
            <w:r>
              <w:t>2006</w:t>
            </w:r>
          </w:p>
        </w:tc>
        <w:tc>
          <w:tcPr>
            <w:tcW w:w="3685" w:type="dxa"/>
            <w:shd w:val="clear" w:color="auto" w:fill="auto"/>
          </w:tcPr>
          <w:p w:rsidR="007234DD" w:rsidRDefault="007234DD">
            <w:pPr>
              <w:pStyle w:val="a5"/>
              <w:ind w:right="0"/>
              <w:jc w:val="right"/>
            </w:pPr>
            <w:r>
              <w:t>34.50</w:t>
            </w:r>
          </w:p>
        </w:tc>
      </w:tr>
      <w:tr w:rsidR="007234DD">
        <w:trPr>
          <w:cantSplit/>
        </w:trPr>
        <w:tc>
          <w:tcPr>
            <w:tcW w:w="3685" w:type="dxa"/>
            <w:shd w:val="clear" w:color="auto" w:fill="auto"/>
          </w:tcPr>
          <w:p w:rsidR="007234DD" w:rsidRDefault="007234DD">
            <w:pPr>
              <w:pStyle w:val="a5"/>
            </w:pPr>
            <w:r>
              <w:t>2007</w:t>
            </w:r>
          </w:p>
        </w:tc>
        <w:tc>
          <w:tcPr>
            <w:tcW w:w="3685" w:type="dxa"/>
            <w:shd w:val="clear" w:color="auto" w:fill="auto"/>
          </w:tcPr>
          <w:p w:rsidR="007234DD" w:rsidRDefault="007234DD">
            <w:pPr>
              <w:pStyle w:val="a5"/>
              <w:ind w:right="0"/>
              <w:jc w:val="right"/>
            </w:pPr>
            <w:r>
              <w:t>35.50</w:t>
            </w:r>
          </w:p>
        </w:tc>
      </w:tr>
      <w:tr w:rsidR="007234DD">
        <w:trPr>
          <w:cantSplit/>
        </w:trPr>
        <w:tc>
          <w:tcPr>
            <w:tcW w:w="3685" w:type="dxa"/>
            <w:shd w:val="clear" w:color="auto" w:fill="auto"/>
          </w:tcPr>
          <w:p w:rsidR="007234DD" w:rsidRDefault="007234DD">
            <w:pPr>
              <w:pStyle w:val="a5"/>
            </w:pPr>
            <w:r>
              <w:t>2008</w:t>
            </w:r>
          </w:p>
        </w:tc>
        <w:tc>
          <w:tcPr>
            <w:tcW w:w="3685" w:type="dxa"/>
            <w:shd w:val="clear" w:color="auto" w:fill="auto"/>
          </w:tcPr>
          <w:p w:rsidR="007234DD" w:rsidRDefault="007234DD">
            <w:pPr>
              <w:pStyle w:val="a5"/>
              <w:ind w:right="0"/>
              <w:jc w:val="right"/>
            </w:pPr>
            <w:r>
              <w:t>37.20</w:t>
            </w:r>
          </w:p>
        </w:tc>
      </w:tr>
      <w:tr w:rsidR="007234DD">
        <w:trPr>
          <w:cantSplit/>
        </w:trPr>
        <w:tc>
          <w:tcPr>
            <w:tcW w:w="3685" w:type="dxa"/>
            <w:tcBorders>
              <w:bottom w:val="single" w:sz="12" w:space="0" w:color="auto"/>
            </w:tcBorders>
            <w:shd w:val="clear" w:color="auto" w:fill="auto"/>
          </w:tcPr>
          <w:p w:rsidR="007234DD" w:rsidRDefault="007234DD">
            <w:pPr>
              <w:pStyle w:val="a5"/>
            </w:pPr>
            <w:r>
              <w:t>2009</w:t>
            </w:r>
          </w:p>
        </w:tc>
        <w:tc>
          <w:tcPr>
            <w:tcW w:w="3685" w:type="dxa"/>
            <w:tcBorders>
              <w:bottom w:val="single" w:sz="12" w:space="0" w:color="auto"/>
            </w:tcBorders>
            <w:shd w:val="clear" w:color="auto" w:fill="auto"/>
          </w:tcPr>
          <w:p w:rsidR="007234DD" w:rsidRDefault="007234DD">
            <w:pPr>
              <w:pStyle w:val="a5"/>
              <w:ind w:right="0"/>
              <w:jc w:val="right"/>
            </w:pPr>
            <w:r>
              <w:t>36.40</w:t>
            </w:r>
          </w:p>
        </w:tc>
      </w:tr>
    </w:tbl>
    <w:p w:rsidR="007234DD" w:rsidRDefault="007234DD" w:rsidP="005D71D9">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w:t>
      </w:r>
      <w:r>
        <w:rPr>
          <w:rFonts w:hint="eastAsia"/>
          <w:sz w:val="19"/>
          <w:szCs w:val="19"/>
        </w:rPr>
        <w:t>Qalam</w:t>
      </w:r>
      <w:r>
        <w:rPr>
          <w:rFonts w:hint="eastAsia"/>
          <w:sz w:val="19"/>
          <w:szCs w:val="19"/>
        </w:rPr>
        <w:t>”项目，</w:t>
      </w:r>
      <w:r>
        <w:rPr>
          <w:rFonts w:hint="eastAsia"/>
          <w:sz w:val="19"/>
          <w:szCs w:val="19"/>
        </w:rPr>
        <w:t>www.qix.gov.qa</w:t>
      </w:r>
      <w:r>
        <w:rPr>
          <w:rFonts w:hint="eastAsia"/>
          <w:sz w:val="19"/>
          <w:szCs w:val="19"/>
        </w:rPr>
        <w:t>。</w:t>
      </w:r>
    </w:p>
    <w:p w:rsidR="007234DD" w:rsidRDefault="007234DD">
      <w:pPr>
        <w:pStyle w:val="SingleTxtGC"/>
      </w:pPr>
      <w:r>
        <w:t xml:space="preserve">292.  </w:t>
      </w:r>
      <w:r>
        <w:rPr>
          <w:rFonts w:hint="eastAsia"/>
        </w:rPr>
        <w:t>在这方面，卡塔尔持续的广泛经济增长产生了新的工作岗位，因此能够吸收大量劳动者。随之而来的是，失业率大幅下降，从</w:t>
      </w:r>
      <w:r>
        <w:rPr>
          <w:rFonts w:hint="eastAsia"/>
        </w:rPr>
        <w:t>2004</w:t>
      </w:r>
      <w:r>
        <w:rPr>
          <w:rFonts w:hint="eastAsia"/>
        </w:rPr>
        <w:t>年的</w:t>
      </w:r>
      <w:r>
        <w:rPr>
          <w:rFonts w:hint="eastAsia"/>
        </w:rPr>
        <w:t>1.44%</w:t>
      </w:r>
      <w:r>
        <w:rPr>
          <w:rFonts w:hint="eastAsia"/>
        </w:rPr>
        <w:t>降至</w:t>
      </w:r>
      <w:r>
        <w:rPr>
          <w:rFonts w:hint="eastAsia"/>
        </w:rPr>
        <w:t>2009</w:t>
      </w:r>
      <w:r>
        <w:rPr>
          <w:rFonts w:hint="eastAsia"/>
        </w:rPr>
        <w:t>年的</w:t>
      </w:r>
      <w:r>
        <w:rPr>
          <w:rFonts w:hint="eastAsia"/>
        </w:rPr>
        <w:t>0.31%(</w:t>
      </w:r>
      <w:r>
        <w:rPr>
          <w:rFonts w:hint="eastAsia"/>
        </w:rPr>
        <w:t>如表</w:t>
      </w:r>
      <w:r>
        <w:rPr>
          <w:rFonts w:hint="eastAsia"/>
        </w:rPr>
        <w:t>23</w:t>
      </w:r>
      <w:r>
        <w:rPr>
          <w:rFonts w:hint="eastAsia"/>
        </w:rPr>
        <w:t>中的数据所示</w:t>
      </w:r>
      <w:r>
        <w:rPr>
          <w:rFonts w:hint="eastAsia"/>
        </w:rPr>
        <w:t>)</w:t>
      </w:r>
      <w:r>
        <w:rPr>
          <w:rFonts w:hint="eastAsia"/>
        </w:rPr>
        <w:t>。妇女的失业率高于男性，越来越多的女性在寻找工作，特别是随着大批妇女从大学毕业。这也表明，阻止妇女走出家门工作或令她们的工作局限在少数职业中的传统在主流文化中日渐式微。</w:t>
      </w:r>
    </w:p>
    <w:p w:rsidR="007234DD" w:rsidRDefault="007234DD">
      <w:pPr>
        <w:pStyle w:val="SingleTxtGC"/>
      </w:pPr>
      <w:r>
        <w:rPr>
          <w:rFonts w:hint="eastAsia"/>
        </w:rPr>
        <w:t>表</w:t>
      </w:r>
      <w:r>
        <w:rPr>
          <w:rFonts w:hint="eastAsia"/>
        </w:rPr>
        <w:t>23</w:t>
      </w:r>
      <w:r>
        <w:br/>
      </w:r>
      <w:r>
        <w:rPr>
          <w:rFonts w:eastAsia="SimHei" w:hint="eastAsia"/>
        </w:rPr>
        <w:t>按国籍和年份分列的男性和女性的失业率</w:t>
      </w:r>
    </w:p>
    <w:tbl>
      <w:tblPr>
        <w:tblW w:w="7370" w:type="dxa"/>
        <w:tblInd w:w="1134" w:type="dxa"/>
        <w:tblLayout w:type="fixed"/>
        <w:tblCellMar>
          <w:left w:w="0" w:type="dxa"/>
          <w:right w:w="0" w:type="dxa"/>
        </w:tblCellMar>
        <w:tblLook w:val="01E0" w:firstRow="1" w:lastRow="1" w:firstColumn="1" w:lastColumn="1" w:noHBand="0" w:noVBand="0"/>
      </w:tblPr>
      <w:tblGrid>
        <w:gridCol w:w="734"/>
        <w:gridCol w:w="735"/>
        <w:gridCol w:w="735"/>
        <w:gridCol w:w="739"/>
        <w:gridCol w:w="739"/>
        <w:gridCol w:w="736"/>
        <w:gridCol w:w="740"/>
        <w:gridCol w:w="740"/>
        <w:gridCol w:w="736"/>
        <w:gridCol w:w="736"/>
      </w:tblGrid>
      <w:tr w:rsidR="007234DD">
        <w:trPr>
          <w:cantSplit/>
        </w:trPr>
        <w:tc>
          <w:tcPr>
            <w:tcW w:w="850" w:type="dxa"/>
            <w:tcBorders>
              <w:top w:val="single" w:sz="4" w:space="0" w:color="auto"/>
            </w:tcBorders>
            <w:shd w:val="clear" w:color="auto" w:fill="auto"/>
            <w:vAlign w:val="bottom"/>
          </w:tcPr>
          <w:p w:rsidR="007234DD" w:rsidRDefault="007234DD">
            <w:pPr>
              <w:pStyle w:val="a0"/>
              <w:ind w:right="0"/>
            </w:pPr>
          </w:p>
        </w:tc>
        <w:tc>
          <w:tcPr>
            <w:tcW w:w="2550" w:type="dxa"/>
            <w:gridSpan w:val="3"/>
            <w:tcBorders>
              <w:top w:val="single" w:sz="4" w:space="0" w:color="auto"/>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rPr>
                <w:rFonts w:hint="eastAsia"/>
              </w:rPr>
              <w:t>卡塔尔人</w:t>
            </w:r>
          </w:p>
        </w:tc>
        <w:tc>
          <w:tcPr>
            <w:tcW w:w="2552" w:type="dxa"/>
            <w:gridSpan w:val="3"/>
            <w:tcBorders>
              <w:top w:val="single" w:sz="4" w:space="0" w:color="auto"/>
              <w:left w:val="single" w:sz="24" w:space="0" w:color="FFFFFF"/>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rPr>
                <w:rFonts w:hint="eastAsia"/>
              </w:rPr>
              <w:t>非卡塔尔人</w:t>
            </w:r>
          </w:p>
        </w:tc>
        <w:tc>
          <w:tcPr>
            <w:tcW w:w="2553" w:type="dxa"/>
            <w:gridSpan w:val="3"/>
            <w:tcBorders>
              <w:top w:val="single" w:sz="4" w:space="0" w:color="auto"/>
              <w:left w:val="single" w:sz="24" w:space="0" w:color="FFFFFF"/>
              <w:bottom w:val="single" w:sz="6" w:space="0" w:color="auto"/>
            </w:tcBorders>
            <w:shd w:val="clear" w:color="auto" w:fill="auto"/>
            <w:vAlign w:val="bottom"/>
          </w:tcPr>
          <w:p w:rsidR="007234DD" w:rsidRDefault="007234DD">
            <w:pPr>
              <w:pStyle w:val="a0"/>
              <w:ind w:right="0"/>
              <w:jc w:val="center"/>
              <w:rPr>
                <w:rFonts w:hint="eastAsia"/>
                <w:b/>
              </w:rPr>
            </w:pPr>
            <w:r>
              <w:rPr>
                <w:rFonts w:hint="eastAsia"/>
                <w:b/>
              </w:rPr>
              <w:t>合计</w:t>
            </w:r>
          </w:p>
        </w:tc>
      </w:tr>
      <w:tr w:rsidR="007234DD">
        <w:trPr>
          <w:cantSplit/>
        </w:trPr>
        <w:tc>
          <w:tcPr>
            <w:tcW w:w="850" w:type="dxa"/>
            <w:tcBorders>
              <w:bottom w:val="single" w:sz="12" w:space="0" w:color="auto"/>
            </w:tcBorders>
            <w:shd w:val="clear" w:color="auto" w:fill="auto"/>
          </w:tcPr>
          <w:p w:rsidR="007234DD" w:rsidRDefault="007234DD">
            <w:pPr>
              <w:pStyle w:val="a0"/>
              <w:ind w:right="0"/>
              <w:jc w:val="left"/>
              <w:rPr>
                <w:rFonts w:eastAsia="SimSun" w:hint="eastAsia"/>
                <w:szCs w:val="16"/>
              </w:rPr>
            </w:pPr>
            <w:bookmarkStart w:id="4" w:name="_Hlk340664912"/>
            <w:r>
              <w:rPr>
                <w:rFonts w:hint="eastAsia"/>
              </w:rPr>
              <w:t>年份</w:t>
            </w:r>
          </w:p>
        </w:tc>
        <w:tc>
          <w:tcPr>
            <w:tcW w:w="850"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男性</w:t>
            </w:r>
          </w:p>
        </w:tc>
        <w:tc>
          <w:tcPr>
            <w:tcW w:w="850"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女性</w:t>
            </w:r>
          </w:p>
        </w:tc>
        <w:tc>
          <w:tcPr>
            <w:tcW w:w="850"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rPr>
                <w:rFonts w:hint="eastAsia"/>
              </w:rPr>
            </w:pPr>
            <w:r>
              <w:rPr>
                <w:rFonts w:hint="eastAsia"/>
              </w:rPr>
              <w:t>合计</w:t>
            </w:r>
          </w:p>
        </w:tc>
        <w:tc>
          <w:tcPr>
            <w:tcW w:w="850"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rPr>
                <w:rFonts w:hint="eastAsia"/>
              </w:rPr>
              <w:t>男性</w:t>
            </w:r>
          </w:p>
        </w:tc>
        <w:tc>
          <w:tcPr>
            <w:tcW w:w="851" w:type="dxa"/>
            <w:tcBorders>
              <w:top w:val="single" w:sz="6" w:space="0" w:color="auto"/>
              <w:bottom w:val="single" w:sz="12" w:space="0" w:color="auto"/>
            </w:tcBorders>
            <w:shd w:val="clear" w:color="auto" w:fill="auto"/>
          </w:tcPr>
          <w:p w:rsidR="007234DD" w:rsidRDefault="007234DD">
            <w:pPr>
              <w:pStyle w:val="a0"/>
              <w:ind w:right="0"/>
              <w:jc w:val="right"/>
            </w:pPr>
            <w:r>
              <w:rPr>
                <w:rFonts w:hint="eastAsia"/>
              </w:rPr>
              <w:t>女性</w:t>
            </w:r>
          </w:p>
        </w:tc>
        <w:tc>
          <w:tcPr>
            <w:tcW w:w="851"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rPr>
                <w:b/>
              </w:rPr>
            </w:pPr>
            <w:r>
              <w:rPr>
                <w:rFonts w:hint="eastAsia"/>
                <w:b/>
              </w:rPr>
              <w:t>合计</w:t>
            </w:r>
          </w:p>
        </w:tc>
        <w:tc>
          <w:tcPr>
            <w:tcW w:w="851"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rPr>
                <w:rFonts w:hint="eastAsia"/>
              </w:rPr>
              <w:t>男性</w:t>
            </w:r>
          </w:p>
        </w:tc>
        <w:tc>
          <w:tcPr>
            <w:tcW w:w="851" w:type="dxa"/>
            <w:tcBorders>
              <w:top w:val="single" w:sz="6" w:space="0" w:color="auto"/>
              <w:bottom w:val="single" w:sz="12" w:space="0" w:color="auto"/>
            </w:tcBorders>
            <w:shd w:val="clear" w:color="auto" w:fill="auto"/>
          </w:tcPr>
          <w:p w:rsidR="007234DD" w:rsidRDefault="007234DD">
            <w:pPr>
              <w:pStyle w:val="a0"/>
              <w:ind w:right="0"/>
              <w:jc w:val="right"/>
            </w:pPr>
            <w:r>
              <w:rPr>
                <w:rFonts w:hint="eastAsia"/>
              </w:rPr>
              <w:t>女性</w:t>
            </w:r>
          </w:p>
        </w:tc>
        <w:tc>
          <w:tcPr>
            <w:tcW w:w="851" w:type="dxa"/>
            <w:tcBorders>
              <w:top w:val="single" w:sz="6" w:space="0" w:color="auto"/>
              <w:bottom w:val="single" w:sz="12" w:space="0" w:color="auto"/>
            </w:tcBorders>
            <w:shd w:val="clear" w:color="auto" w:fill="auto"/>
          </w:tcPr>
          <w:p w:rsidR="007234DD" w:rsidRDefault="007234DD">
            <w:pPr>
              <w:pStyle w:val="a0"/>
              <w:ind w:right="0"/>
              <w:jc w:val="right"/>
              <w:rPr>
                <w:b/>
              </w:rPr>
            </w:pPr>
            <w:r>
              <w:rPr>
                <w:rFonts w:hint="eastAsia"/>
                <w:b/>
              </w:rPr>
              <w:t>合计</w:t>
            </w:r>
          </w:p>
        </w:tc>
      </w:tr>
      <w:tr w:rsidR="007234DD">
        <w:trPr>
          <w:cantSplit/>
        </w:trPr>
        <w:tc>
          <w:tcPr>
            <w:tcW w:w="850" w:type="dxa"/>
            <w:tcBorders>
              <w:top w:val="single" w:sz="12" w:space="0" w:color="auto"/>
            </w:tcBorders>
            <w:shd w:val="clear" w:color="auto" w:fill="auto"/>
          </w:tcPr>
          <w:p w:rsidR="007234DD" w:rsidRDefault="007234DD">
            <w:pPr>
              <w:pStyle w:val="a5"/>
              <w:rPr>
                <w:rFonts w:hint="eastAsia"/>
              </w:rPr>
            </w:pPr>
            <w:bookmarkStart w:id="5" w:name="_Hlk340665159"/>
            <w:bookmarkEnd w:id="4"/>
            <w:r>
              <w:t>2004</w:t>
            </w:r>
          </w:p>
        </w:tc>
        <w:tc>
          <w:tcPr>
            <w:tcW w:w="850" w:type="dxa"/>
            <w:tcBorders>
              <w:top w:val="single" w:sz="12" w:space="0" w:color="auto"/>
            </w:tcBorders>
            <w:shd w:val="clear" w:color="auto" w:fill="auto"/>
          </w:tcPr>
          <w:p w:rsidR="007234DD" w:rsidRDefault="007234DD">
            <w:pPr>
              <w:pStyle w:val="a5"/>
              <w:ind w:right="0"/>
              <w:jc w:val="right"/>
            </w:pPr>
            <w:r>
              <w:t>3.9</w:t>
            </w:r>
          </w:p>
        </w:tc>
        <w:tc>
          <w:tcPr>
            <w:tcW w:w="850" w:type="dxa"/>
            <w:tcBorders>
              <w:top w:val="single" w:sz="12" w:space="0" w:color="auto"/>
            </w:tcBorders>
            <w:shd w:val="clear" w:color="auto" w:fill="auto"/>
          </w:tcPr>
          <w:p w:rsidR="007234DD" w:rsidRDefault="007234DD">
            <w:pPr>
              <w:pStyle w:val="a5"/>
              <w:ind w:right="0"/>
              <w:jc w:val="right"/>
            </w:pPr>
            <w:r>
              <w:t>4.91</w:t>
            </w:r>
          </w:p>
        </w:tc>
        <w:tc>
          <w:tcPr>
            <w:tcW w:w="850" w:type="dxa"/>
            <w:tcBorders>
              <w:top w:val="single" w:sz="12" w:space="0" w:color="auto"/>
            </w:tcBorders>
            <w:shd w:val="clear" w:color="auto" w:fill="auto"/>
          </w:tcPr>
          <w:p w:rsidR="007234DD" w:rsidRDefault="007234DD">
            <w:pPr>
              <w:pStyle w:val="a5"/>
              <w:ind w:right="0"/>
              <w:jc w:val="right"/>
            </w:pPr>
            <w:r>
              <w:t>4.21</w:t>
            </w:r>
          </w:p>
        </w:tc>
        <w:tc>
          <w:tcPr>
            <w:tcW w:w="850" w:type="dxa"/>
            <w:tcBorders>
              <w:top w:val="single" w:sz="12" w:space="0" w:color="auto"/>
            </w:tcBorders>
            <w:shd w:val="clear" w:color="auto" w:fill="auto"/>
          </w:tcPr>
          <w:p w:rsidR="007234DD" w:rsidRDefault="007234DD">
            <w:pPr>
              <w:pStyle w:val="a5"/>
              <w:ind w:right="0"/>
              <w:jc w:val="right"/>
            </w:pPr>
            <w:r>
              <w:t>0.7</w:t>
            </w:r>
          </w:p>
        </w:tc>
        <w:tc>
          <w:tcPr>
            <w:tcW w:w="851" w:type="dxa"/>
            <w:tcBorders>
              <w:top w:val="single" w:sz="12" w:space="0" w:color="auto"/>
            </w:tcBorders>
            <w:shd w:val="clear" w:color="auto" w:fill="auto"/>
          </w:tcPr>
          <w:p w:rsidR="007234DD" w:rsidRDefault="007234DD">
            <w:pPr>
              <w:pStyle w:val="a5"/>
              <w:ind w:right="0"/>
              <w:jc w:val="right"/>
            </w:pPr>
            <w:r>
              <w:t>3.48</w:t>
            </w:r>
          </w:p>
        </w:tc>
        <w:tc>
          <w:tcPr>
            <w:tcW w:w="851" w:type="dxa"/>
            <w:tcBorders>
              <w:top w:val="single" w:sz="12" w:space="0" w:color="auto"/>
            </w:tcBorders>
            <w:shd w:val="clear" w:color="auto" w:fill="auto"/>
          </w:tcPr>
          <w:p w:rsidR="007234DD" w:rsidRDefault="007234DD">
            <w:pPr>
              <w:pStyle w:val="a5"/>
              <w:ind w:right="0"/>
              <w:jc w:val="right"/>
              <w:rPr>
                <w:b/>
              </w:rPr>
            </w:pPr>
            <w:r>
              <w:rPr>
                <w:b/>
              </w:rPr>
              <w:t>1.07</w:t>
            </w:r>
          </w:p>
        </w:tc>
        <w:tc>
          <w:tcPr>
            <w:tcW w:w="851" w:type="dxa"/>
            <w:tcBorders>
              <w:top w:val="single" w:sz="12" w:space="0" w:color="auto"/>
            </w:tcBorders>
            <w:shd w:val="clear" w:color="auto" w:fill="auto"/>
          </w:tcPr>
          <w:p w:rsidR="007234DD" w:rsidRDefault="007234DD">
            <w:pPr>
              <w:pStyle w:val="a5"/>
              <w:ind w:right="0"/>
              <w:jc w:val="right"/>
              <w:rPr>
                <w:b/>
              </w:rPr>
            </w:pPr>
            <w:r>
              <w:rPr>
                <w:b/>
              </w:rPr>
              <w:t>1.02</w:t>
            </w:r>
          </w:p>
        </w:tc>
        <w:tc>
          <w:tcPr>
            <w:tcW w:w="851" w:type="dxa"/>
            <w:tcBorders>
              <w:top w:val="single" w:sz="12" w:space="0" w:color="auto"/>
            </w:tcBorders>
            <w:shd w:val="clear" w:color="auto" w:fill="auto"/>
          </w:tcPr>
          <w:p w:rsidR="007234DD" w:rsidRDefault="007234DD">
            <w:pPr>
              <w:pStyle w:val="a5"/>
              <w:ind w:right="0"/>
              <w:jc w:val="right"/>
              <w:rPr>
                <w:b/>
              </w:rPr>
            </w:pPr>
            <w:r>
              <w:rPr>
                <w:b/>
              </w:rPr>
              <w:t>3.83</w:t>
            </w:r>
          </w:p>
        </w:tc>
        <w:tc>
          <w:tcPr>
            <w:tcW w:w="851" w:type="dxa"/>
            <w:tcBorders>
              <w:top w:val="single" w:sz="12" w:space="0" w:color="auto"/>
            </w:tcBorders>
            <w:shd w:val="clear" w:color="auto" w:fill="auto"/>
          </w:tcPr>
          <w:p w:rsidR="007234DD" w:rsidRDefault="007234DD">
            <w:pPr>
              <w:pStyle w:val="a5"/>
              <w:ind w:right="0"/>
              <w:jc w:val="right"/>
              <w:rPr>
                <w:b/>
              </w:rPr>
            </w:pPr>
            <w:r>
              <w:rPr>
                <w:b/>
              </w:rPr>
              <w:t>1.44</w:t>
            </w:r>
          </w:p>
        </w:tc>
      </w:tr>
      <w:tr w:rsidR="007234DD">
        <w:trPr>
          <w:cantSplit/>
        </w:trPr>
        <w:tc>
          <w:tcPr>
            <w:tcW w:w="850" w:type="dxa"/>
            <w:shd w:val="clear" w:color="auto" w:fill="auto"/>
          </w:tcPr>
          <w:p w:rsidR="007234DD" w:rsidRDefault="007234DD">
            <w:pPr>
              <w:pStyle w:val="a5"/>
              <w:rPr>
                <w:rFonts w:hint="eastAsia"/>
              </w:rPr>
            </w:pPr>
            <w:r>
              <w:t>2006</w:t>
            </w:r>
          </w:p>
        </w:tc>
        <w:tc>
          <w:tcPr>
            <w:tcW w:w="850" w:type="dxa"/>
            <w:shd w:val="clear" w:color="auto" w:fill="auto"/>
          </w:tcPr>
          <w:p w:rsidR="007234DD" w:rsidRDefault="007234DD">
            <w:pPr>
              <w:pStyle w:val="a5"/>
              <w:ind w:right="0"/>
              <w:jc w:val="right"/>
            </w:pPr>
            <w:r>
              <w:t>2.17</w:t>
            </w:r>
          </w:p>
        </w:tc>
        <w:tc>
          <w:tcPr>
            <w:tcW w:w="850" w:type="dxa"/>
            <w:shd w:val="clear" w:color="auto" w:fill="auto"/>
          </w:tcPr>
          <w:p w:rsidR="007234DD" w:rsidRDefault="007234DD">
            <w:pPr>
              <w:pStyle w:val="a5"/>
              <w:ind w:right="0"/>
              <w:jc w:val="right"/>
            </w:pPr>
            <w:r>
              <w:t>6.6</w:t>
            </w:r>
          </w:p>
        </w:tc>
        <w:tc>
          <w:tcPr>
            <w:tcW w:w="850" w:type="dxa"/>
            <w:shd w:val="clear" w:color="auto" w:fill="auto"/>
          </w:tcPr>
          <w:p w:rsidR="007234DD" w:rsidRDefault="007234DD">
            <w:pPr>
              <w:pStyle w:val="a5"/>
              <w:ind w:right="0"/>
              <w:jc w:val="right"/>
            </w:pPr>
            <w:r>
              <w:t>3.7</w:t>
            </w:r>
          </w:p>
        </w:tc>
        <w:tc>
          <w:tcPr>
            <w:tcW w:w="850" w:type="dxa"/>
            <w:shd w:val="clear" w:color="auto" w:fill="auto"/>
          </w:tcPr>
          <w:p w:rsidR="007234DD" w:rsidRDefault="007234DD">
            <w:pPr>
              <w:pStyle w:val="a5"/>
              <w:ind w:right="0"/>
              <w:jc w:val="right"/>
            </w:pPr>
            <w:r>
              <w:t>0.25</w:t>
            </w:r>
          </w:p>
        </w:tc>
        <w:tc>
          <w:tcPr>
            <w:tcW w:w="851" w:type="dxa"/>
            <w:shd w:val="clear" w:color="auto" w:fill="auto"/>
          </w:tcPr>
          <w:p w:rsidR="007234DD" w:rsidRDefault="007234DD">
            <w:pPr>
              <w:pStyle w:val="a5"/>
              <w:ind w:right="0"/>
              <w:jc w:val="right"/>
            </w:pPr>
            <w:r>
              <w:t>2.37</w:t>
            </w:r>
          </w:p>
        </w:tc>
        <w:tc>
          <w:tcPr>
            <w:tcW w:w="851" w:type="dxa"/>
            <w:shd w:val="clear" w:color="auto" w:fill="auto"/>
          </w:tcPr>
          <w:p w:rsidR="007234DD" w:rsidRDefault="007234DD">
            <w:pPr>
              <w:pStyle w:val="a5"/>
              <w:ind w:right="0"/>
              <w:jc w:val="right"/>
              <w:rPr>
                <w:b/>
              </w:rPr>
            </w:pPr>
            <w:r>
              <w:rPr>
                <w:b/>
              </w:rPr>
              <w:t>0.51</w:t>
            </w:r>
          </w:p>
        </w:tc>
        <w:tc>
          <w:tcPr>
            <w:tcW w:w="851" w:type="dxa"/>
            <w:shd w:val="clear" w:color="auto" w:fill="auto"/>
          </w:tcPr>
          <w:p w:rsidR="007234DD" w:rsidRDefault="007234DD">
            <w:pPr>
              <w:pStyle w:val="a5"/>
              <w:ind w:right="0"/>
              <w:jc w:val="right"/>
              <w:rPr>
                <w:b/>
              </w:rPr>
            </w:pPr>
            <w:r>
              <w:rPr>
                <w:b/>
              </w:rPr>
              <w:t>0.42</w:t>
            </w:r>
          </w:p>
        </w:tc>
        <w:tc>
          <w:tcPr>
            <w:tcW w:w="851" w:type="dxa"/>
            <w:shd w:val="clear" w:color="auto" w:fill="auto"/>
          </w:tcPr>
          <w:p w:rsidR="007234DD" w:rsidRDefault="007234DD">
            <w:pPr>
              <w:pStyle w:val="a5"/>
              <w:ind w:right="0"/>
              <w:jc w:val="right"/>
              <w:rPr>
                <w:b/>
              </w:rPr>
            </w:pPr>
            <w:r>
              <w:rPr>
                <w:b/>
              </w:rPr>
              <w:t>3.47</w:t>
            </w:r>
          </w:p>
        </w:tc>
        <w:tc>
          <w:tcPr>
            <w:tcW w:w="851" w:type="dxa"/>
            <w:shd w:val="clear" w:color="auto" w:fill="auto"/>
          </w:tcPr>
          <w:p w:rsidR="007234DD" w:rsidRDefault="007234DD">
            <w:pPr>
              <w:pStyle w:val="a5"/>
              <w:ind w:right="0"/>
              <w:jc w:val="right"/>
              <w:rPr>
                <w:b/>
              </w:rPr>
            </w:pPr>
            <w:r>
              <w:rPr>
                <w:b/>
              </w:rPr>
              <w:t>0.87</w:t>
            </w:r>
          </w:p>
        </w:tc>
      </w:tr>
      <w:tr w:rsidR="007234DD">
        <w:trPr>
          <w:cantSplit/>
        </w:trPr>
        <w:tc>
          <w:tcPr>
            <w:tcW w:w="850" w:type="dxa"/>
            <w:shd w:val="clear" w:color="auto" w:fill="auto"/>
          </w:tcPr>
          <w:p w:rsidR="007234DD" w:rsidRDefault="007234DD">
            <w:pPr>
              <w:pStyle w:val="a5"/>
              <w:rPr>
                <w:rFonts w:hint="eastAsia"/>
              </w:rPr>
            </w:pPr>
            <w:r>
              <w:t>2007</w:t>
            </w:r>
          </w:p>
        </w:tc>
        <w:tc>
          <w:tcPr>
            <w:tcW w:w="850" w:type="dxa"/>
            <w:shd w:val="clear" w:color="auto" w:fill="auto"/>
          </w:tcPr>
          <w:p w:rsidR="007234DD" w:rsidRDefault="007234DD">
            <w:pPr>
              <w:pStyle w:val="a5"/>
              <w:ind w:right="0"/>
              <w:jc w:val="right"/>
            </w:pPr>
            <w:r>
              <w:t>1.71</w:t>
            </w:r>
          </w:p>
        </w:tc>
        <w:tc>
          <w:tcPr>
            <w:tcW w:w="850" w:type="dxa"/>
            <w:shd w:val="clear" w:color="auto" w:fill="auto"/>
          </w:tcPr>
          <w:p w:rsidR="007234DD" w:rsidRDefault="007234DD">
            <w:pPr>
              <w:pStyle w:val="a5"/>
              <w:ind w:right="0"/>
              <w:jc w:val="right"/>
            </w:pPr>
            <w:r>
              <w:t>5.97</w:t>
            </w:r>
          </w:p>
        </w:tc>
        <w:tc>
          <w:tcPr>
            <w:tcW w:w="850" w:type="dxa"/>
            <w:shd w:val="clear" w:color="auto" w:fill="auto"/>
          </w:tcPr>
          <w:p w:rsidR="007234DD" w:rsidRDefault="007234DD">
            <w:pPr>
              <w:pStyle w:val="a5"/>
              <w:ind w:right="0"/>
              <w:jc w:val="right"/>
            </w:pPr>
            <w:r>
              <w:t>3.22</w:t>
            </w:r>
          </w:p>
        </w:tc>
        <w:tc>
          <w:tcPr>
            <w:tcW w:w="850" w:type="dxa"/>
            <w:shd w:val="clear" w:color="auto" w:fill="auto"/>
          </w:tcPr>
          <w:p w:rsidR="007234DD" w:rsidRDefault="007234DD">
            <w:pPr>
              <w:pStyle w:val="a5"/>
              <w:ind w:right="0"/>
              <w:jc w:val="right"/>
            </w:pPr>
            <w:r>
              <w:t>0.13</w:t>
            </w:r>
          </w:p>
        </w:tc>
        <w:tc>
          <w:tcPr>
            <w:tcW w:w="851" w:type="dxa"/>
            <w:shd w:val="clear" w:color="auto" w:fill="auto"/>
          </w:tcPr>
          <w:p w:rsidR="007234DD" w:rsidRDefault="007234DD">
            <w:pPr>
              <w:pStyle w:val="a5"/>
              <w:ind w:right="0"/>
              <w:jc w:val="right"/>
            </w:pPr>
            <w:r>
              <w:t>1.71</w:t>
            </w:r>
          </w:p>
        </w:tc>
        <w:tc>
          <w:tcPr>
            <w:tcW w:w="851" w:type="dxa"/>
            <w:shd w:val="clear" w:color="auto" w:fill="auto"/>
          </w:tcPr>
          <w:p w:rsidR="007234DD" w:rsidRDefault="007234DD">
            <w:pPr>
              <w:pStyle w:val="a5"/>
              <w:ind w:right="0"/>
              <w:jc w:val="right"/>
              <w:rPr>
                <w:b/>
              </w:rPr>
            </w:pPr>
            <w:r>
              <w:rPr>
                <w:b/>
              </w:rPr>
              <w:t>0.29</w:t>
            </w:r>
          </w:p>
        </w:tc>
        <w:tc>
          <w:tcPr>
            <w:tcW w:w="851" w:type="dxa"/>
            <w:shd w:val="clear" w:color="auto" w:fill="auto"/>
          </w:tcPr>
          <w:p w:rsidR="007234DD" w:rsidRDefault="007234DD">
            <w:pPr>
              <w:pStyle w:val="a5"/>
              <w:ind w:right="0"/>
              <w:jc w:val="right"/>
              <w:rPr>
                <w:b/>
              </w:rPr>
            </w:pPr>
            <w:r>
              <w:rPr>
                <w:b/>
              </w:rPr>
              <w:t>0.22</w:t>
            </w:r>
          </w:p>
        </w:tc>
        <w:tc>
          <w:tcPr>
            <w:tcW w:w="851" w:type="dxa"/>
            <w:shd w:val="clear" w:color="auto" w:fill="auto"/>
          </w:tcPr>
          <w:p w:rsidR="007234DD" w:rsidRDefault="007234DD">
            <w:pPr>
              <w:pStyle w:val="a5"/>
              <w:ind w:right="0"/>
              <w:jc w:val="right"/>
              <w:rPr>
                <w:b/>
              </w:rPr>
            </w:pPr>
            <w:r>
              <w:rPr>
                <w:b/>
              </w:rPr>
              <w:t>2.64</w:t>
            </w:r>
          </w:p>
        </w:tc>
        <w:tc>
          <w:tcPr>
            <w:tcW w:w="851" w:type="dxa"/>
            <w:shd w:val="clear" w:color="auto" w:fill="auto"/>
          </w:tcPr>
          <w:p w:rsidR="007234DD" w:rsidRDefault="007234DD">
            <w:pPr>
              <w:pStyle w:val="a5"/>
              <w:ind w:right="0"/>
              <w:jc w:val="right"/>
              <w:rPr>
                <w:b/>
              </w:rPr>
            </w:pPr>
            <w:r>
              <w:rPr>
                <w:b/>
              </w:rPr>
              <w:t>0.52</w:t>
            </w:r>
          </w:p>
        </w:tc>
      </w:tr>
      <w:tr w:rsidR="007234DD">
        <w:trPr>
          <w:cantSplit/>
        </w:trPr>
        <w:tc>
          <w:tcPr>
            <w:tcW w:w="850" w:type="dxa"/>
            <w:shd w:val="clear" w:color="auto" w:fill="auto"/>
          </w:tcPr>
          <w:p w:rsidR="007234DD" w:rsidRDefault="007234DD">
            <w:pPr>
              <w:pStyle w:val="a5"/>
              <w:rPr>
                <w:rFonts w:hint="eastAsia"/>
              </w:rPr>
            </w:pPr>
            <w:r>
              <w:t>2008</w:t>
            </w:r>
          </w:p>
        </w:tc>
        <w:tc>
          <w:tcPr>
            <w:tcW w:w="850" w:type="dxa"/>
            <w:shd w:val="clear" w:color="auto" w:fill="auto"/>
          </w:tcPr>
          <w:p w:rsidR="007234DD" w:rsidRDefault="007234DD">
            <w:pPr>
              <w:pStyle w:val="a5"/>
              <w:ind w:right="0"/>
              <w:jc w:val="right"/>
            </w:pPr>
            <w:r>
              <w:t>1.6</w:t>
            </w:r>
          </w:p>
        </w:tc>
        <w:tc>
          <w:tcPr>
            <w:tcW w:w="850" w:type="dxa"/>
            <w:shd w:val="clear" w:color="auto" w:fill="auto"/>
          </w:tcPr>
          <w:p w:rsidR="007234DD" w:rsidRDefault="007234DD">
            <w:pPr>
              <w:pStyle w:val="a5"/>
              <w:ind w:right="0"/>
              <w:jc w:val="right"/>
            </w:pPr>
            <w:r>
              <w:t>3.66</w:t>
            </w:r>
          </w:p>
        </w:tc>
        <w:tc>
          <w:tcPr>
            <w:tcW w:w="850" w:type="dxa"/>
            <w:shd w:val="clear" w:color="auto" w:fill="auto"/>
          </w:tcPr>
          <w:p w:rsidR="007234DD" w:rsidRDefault="007234DD">
            <w:pPr>
              <w:pStyle w:val="a5"/>
              <w:ind w:right="0"/>
              <w:jc w:val="right"/>
            </w:pPr>
            <w:r>
              <w:t>2.36</w:t>
            </w:r>
          </w:p>
        </w:tc>
        <w:tc>
          <w:tcPr>
            <w:tcW w:w="850" w:type="dxa"/>
            <w:shd w:val="clear" w:color="auto" w:fill="auto"/>
          </w:tcPr>
          <w:p w:rsidR="007234DD" w:rsidRDefault="007234DD">
            <w:pPr>
              <w:pStyle w:val="a5"/>
              <w:ind w:right="0"/>
              <w:jc w:val="right"/>
            </w:pPr>
            <w:r>
              <w:t>0.08</w:t>
            </w:r>
          </w:p>
        </w:tc>
        <w:tc>
          <w:tcPr>
            <w:tcW w:w="851" w:type="dxa"/>
            <w:shd w:val="clear" w:color="auto" w:fill="auto"/>
          </w:tcPr>
          <w:p w:rsidR="007234DD" w:rsidRDefault="007234DD">
            <w:pPr>
              <w:pStyle w:val="a5"/>
              <w:ind w:right="0"/>
              <w:jc w:val="right"/>
            </w:pPr>
            <w:r>
              <w:t>1.17</w:t>
            </w:r>
          </w:p>
        </w:tc>
        <w:tc>
          <w:tcPr>
            <w:tcW w:w="851" w:type="dxa"/>
            <w:shd w:val="clear" w:color="auto" w:fill="auto"/>
          </w:tcPr>
          <w:p w:rsidR="007234DD" w:rsidRDefault="007234DD">
            <w:pPr>
              <w:pStyle w:val="a5"/>
              <w:ind w:right="0"/>
              <w:jc w:val="right"/>
              <w:rPr>
                <w:b/>
              </w:rPr>
            </w:pPr>
            <w:r>
              <w:rPr>
                <w:b/>
              </w:rPr>
              <w:t>0.18</w:t>
            </w:r>
          </w:p>
        </w:tc>
        <w:tc>
          <w:tcPr>
            <w:tcW w:w="851" w:type="dxa"/>
            <w:shd w:val="clear" w:color="auto" w:fill="auto"/>
          </w:tcPr>
          <w:p w:rsidR="007234DD" w:rsidRDefault="007234DD">
            <w:pPr>
              <w:pStyle w:val="a5"/>
              <w:ind w:right="0"/>
              <w:jc w:val="right"/>
              <w:rPr>
                <w:b/>
              </w:rPr>
            </w:pPr>
            <w:r>
              <w:rPr>
                <w:b/>
              </w:rPr>
              <w:t>0.14</w:t>
            </w:r>
          </w:p>
        </w:tc>
        <w:tc>
          <w:tcPr>
            <w:tcW w:w="851" w:type="dxa"/>
            <w:shd w:val="clear" w:color="auto" w:fill="auto"/>
          </w:tcPr>
          <w:p w:rsidR="007234DD" w:rsidRDefault="007234DD">
            <w:pPr>
              <w:pStyle w:val="a5"/>
              <w:ind w:right="0"/>
              <w:jc w:val="right"/>
              <w:rPr>
                <w:b/>
              </w:rPr>
            </w:pPr>
            <w:r>
              <w:rPr>
                <w:b/>
              </w:rPr>
              <w:t>1.69</w:t>
            </w:r>
          </w:p>
        </w:tc>
        <w:tc>
          <w:tcPr>
            <w:tcW w:w="851" w:type="dxa"/>
            <w:shd w:val="clear" w:color="auto" w:fill="auto"/>
          </w:tcPr>
          <w:p w:rsidR="007234DD" w:rsidRDefault="007234DD">
            <w:pPr>
              <w:pStyle w:val="a5"/>
              <w:ind w:right="0"/>
              <w:jc w:val="right"/>
              <w:rPr>
                <w:b/>
              </w:rPr>
            </w:pPr>
            <w:r>
              <w:rPr>
                <w:b/>
              </w:rPr>
              <w:t>0.31</w:t>
            </w:r>
          </w:p>
        </w:tc>
      </w:tr>
      <w:tr w:rsidR="007234DD">
        <w:trPr>
          <w:cantSplit/>
        </w:trPr>
        <w:tc>
          <w:tcPr>
            <w:tcW w:w="850" w:type="dxa"/>
            <w:tcBorders>
              <w:bottom w:val="single" w:sz="12" w:space="0" w:color="auto"/>
            </w:tcBorders>
            <w:shd w:val="clear" w:color="auto" w:fill="auto"/>
          </w:tcPr>
          <w:p w:rsidR="007234DD" w:rsidRDefault="007234DD">
            <w:pPr>
              <w:pStyle w:val="a5"/>
              <w:rPr>
                <w:rFonts w:hint="eastAsia"/>
              </w:rPr>
            </w:pPr>
            <w:r>
              <w:t>2009</w:t>
            </w:r>
          </w:p>
        </w:tc>
        <w:tc>
          <w:tcPr>
            <w:tcW w:w="850" w:type="dxa"/>
            <w:tcBorders>
              <w:bottom w:val="single" w:sz="12" w:space="0" w:color="auto"/>
            </w:tcBorders>
            <w:shd w:val="clear" w:color="auto" w:fill="auto"/>
          </w:tcPr>
          <w:p w:rsidR="007234DD" w:rsidRDefault="007234DD">
            <w:pPr>
              <w:pStyle w:val="a5"/>
              <w:ind w:right="0"/>
              <w:jc w:val="right"/>
            </w:pPr>
            <w:r>
              <w:t>1.61</w:t>
            </w:r>
          </w:p>
        </w:tc>
        <w:tc>
          <w:tcPr>
            <w:tcW w:w="850" w:type="dxa"/>
            <w:tcBorders>
              <w:bottom w:val="single" w:sz="12" w:space="0" w:color="auto"/>
            </w:tcBorders>
            <w:shd w:val="clear" w:color="auto" w:fill="auto"/>
          </w:tcPr>
          <w:p w:rsidR="007234DD" w:rsidRDefault="007234DD">
            <w:pPr>
              <w:pStyle w:val="a5"/>
              <w:ind w:right="0"/>
              <w:jc w:val="right"/>
            </w:pPr>
            <w:r>
              <w:t>3.44</w:t>
            </w:r>
          </w:p>
        </w:tc>
        <w:tc>
          <w:tcPr>
            <w:tcW w:w="850" w:type="dxa"/>
            <w:tcBorders>
              <w:bottom w:val="single" w:sz="12" w:space="0" w:color="auto"/>
            </w:tcBorders>
            <w:shd w:val="clear" w:color="auto" w:fill="auto"/>
          </w:tcPr>
          <w:p w:rsidR="007234DD" w:rsidRDefault="007234DD">
            <w:pPr>
              <w:pStyle w:val="a5"/>
              <w:ind w:right="0"/>
              <w:jc w:val="right"/>
            </w:pPr>
            <w:r>
              <w:t>2.27</w:t>
            </w:r>
          </w:p>
        </w:tc>
        <w:tc>
          <w:tcPr>
            <w:tcW w:w="850" w:type="dxa"/>
            <w:tcBorders>
              <w:bottom w:val="single" w:sz="12" w:space="0" w:color="auto"/>
            </w:tcBorders>
            <w:shd w:val="clear" w:color="auto" w:fill="auto"/>
          </w:tcPr>
          <w:p w:rsidR="007234DD" w:rsidRDefault="007234DD">
            <w:pPr>
              <w:pStyle w:val="a5"/>
              <w:ind w:right="0"/>
              <w:jc w:val="right"/>
            </w:pPr>
            <w:r>
              <w:t>0.07</w:t>
            </w:r>
          </w:p>
        </w:tc>
        <w:tc>
          <w:tcPr>
            <w:tcW w:w="851" w:type="dxa"/>
            <w:tcBorders>
              <w:bottom w:val="single" w:sz="12" w:space="0" w:color="auto"/>
            </w:tcBorders>
            <w:shd w:val="clear" w:color="auto" w:fill="auto"/>
          </w:tcPr>
          <w:p w:rsidR="007234DD" w:rsidRDefault="007234DD">
            <w:pPr>
              <w:pStyle w:val="a5"/>
              <w:ind w:right="0"/>
              <w:jc w:val="right"/>
            </w:pPr>
            <w:r>
              <w:t>1.51</w:t>
            </w:r>
          </w:p>
        </w:tc>
        <w:tc>
          <w:tcPr>
            <w:tcW w:w="851" w:type="dxa"/>
            <w:tcBorders>
              <w:bottom w:val="single" w:sz="12" w:space="0" w:color="auto"/>
            </w:tcBorders>
            <w:shd w:val="clear" w:color="auto" w:fill="auto"/>
          </w:tcPr>
          <w:p w:rsidR="007234DD" w:rsidRDefault="007234DD">
            <w:pPr>
              <w:pStyle w:val="a5"/>
              <w:ind w:right="0"/>
              <w:jc w:val="right"/>
              <w:rPr>
                <w:b/>
              </w:rPr>
            </w:pPr>
            <w:r>
              <w:rPr>
                <w:b/>
              </w:rPr>
              <w:t>0.19</w:t>
            </w:r>
          </w:p>
        </w:tc>
        <w:tc>
          <w:tcPr>
            <w:tcW w:w="851" w:type="dxa"/>
            <w:tcBorders>
              <w:bottom w:val="single" w:sz="12" w:space="0" w:color="auto"/>
            </w:tcBorders>
            <w:shd w:val="clear" w:color="auto" w:fill="auto"/>
          </w:tcPr>
          <w:p w:rsidR="007234DD" w:rsidRDefault="007234DD">
            <w:pPr>
              <w:pStyle w:val="a5"/>
              <w:ind w:right="0"/>
              <w:jc w:val="right"/>
              <w:rPr>
                <w:b/>
              </w:rPr>
            </w:pPr>
            <w:r>
              <w:rPr>
                <w:b/>
              </w:rPr>
              <w:t>0.14</w:t>
            </w:r>
          </w:p>
        </w:tc>
        <w:tc>
          <w:tcPr>
            <w:tcW w:w="851" w:type="dxa"/>
            <w:tcBorders>
              <w:bottom w:val="single" w:sz="12" w:space="0" w:color="auto"/>
            </w:tcBorders>
            <w:shd w:val="clear" w:color="auto" w:fill="auto"/>
          </w:tcPr>
          <w:p w:rsidR="007234DD" w:rsidRDefault="007234DD">
            <w:pPr>
              <w:pStyle w:val="a5"/>
              <w:ind w:right="0"/>
              <w:jc w:val="right"/>
              <w:rPr>
                <w:b/>
              </w:rPr>
            </w:pPr>
            <w:r>
              <w:rPr>
                <w:b/>
              </w:rPr>
              <w:t>1.92</w:t>
            </w:r>
          </w:p>
        </w:tc>
        <w:tc>
          <w:tcPr>
            <w:tcW w:w="851" w:type="dxa"/>
            <w:tcBorders>
              <w:bottom w:val="single" w:sz="12" w:space="0" w:color="auto"/>
            </w:tcBorders>
            <w:shd w:val="clear" w:color="auto" w:fill="auto"/>
          </w:tcPr>
          <w:p w:rsidR="007234DD" w:rsidRDefault="007234DD">
            <w:pPr>
              <w:pStyle w:val="a5"/>
              <w:ind w:right="0"/>
              <w:jc w:val="right"/>
              <w:rPr>
                <w:b/>
              </w:rPr>
            </w:pPr>
            <w:r>
              <w:rPr>
                <w:b/>
              </w:rPr>
              <w:t>0.31</w:t>
            </w:r>
          </w:p>
        </w:tc>
      </w:tr>
    </w:tbl>
    <w:bookmarkEnd w:id="5"/>
    <w:p w:rsidR="007234DD" w:rsidRDefault="007234DD" w:rsidP="005D71D9">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w:t>
      </w:r>
      <w:r>
        <w:rPr>
          <w:rFonts w:hint="eastAsia"/>
          <w:sz w:val="19"/>
          <w:szCs w:val="19"/>
        </w:rPr>
        <w:t>Qalam</w:t>
      </w:r>
      <w:r>
        <w:rPr>
          <w:rFonts w:hint="eastAsia"/>
          <w:sz w:val="19"/>
          <w:szCs w:val="19"/>
        </w:rPr>
        <w:t>”项目，</w:t>
      </w:r>
      <w:r>
        <w:rPr>
          <w:rFonts w:hint="eastAsia"/>
          <w:sz w:val="19"/>
          <w:szCs w:val="19"/>
        </w:rPr>
        <w:t>www.qix.gov.qa</w:t>
      </w:r>
      <w:r>
        <w:rPr>
          <w:rFonts w:hint="eastAsia"/>
          <w:sz w:val="19"/>
          <w:szCs w:val="19"/>
        </w:rPr>
        <w:t>，未公布数据。</w:t>
      </w:r>
    </w:p>
    <w:p w:rsidR="007234DD" w:rsidRDefault="007234DD">
      <w:pPr>
        <w:pStyle w:val="SingleTxtGC"/>
      </w:pPr>
      <w:r>
        <w:t xml:space="preserve">293.  </w:t>
      </w:r>
      <w:r>
        <w:rPr>
          <w:rFonts w:hint="eastAsia"/>
        </w:rPr>
        <w:t>正如表</w:t>
      </w:r>
      <w:r>
        <w:rPr>
          <w:rFonts w:hint="eastAsia"/>
        </w:rPr>
        <w:t>23</w:t>
      </w:r>
      <w:r>
        <w:rPr>
          <w:rFonts w:hint="eastAsia"/>
        </w:rPr>
        <w:t>中数据所示，</w:t>
      </w:r>
      <w:r>
        <w:rPr>
          <w:rFonts w:hint="eastAsia"/>
        </w:rPr>
        <w:t>2009</w:t>
      </w:r>
      <w:r>
        <w:rPr>
          <w:rFonts w:hint="eastAsia"/>
        </w:rPr>
        <w:t>年，卡塔尔人的失业率为</w:t>
      </w:r>
      <w:r>
        <w:rPr>
          <w:rFonts w:hint="eastAsia"/>
        </w:rPr>
        <w:t>2.27%</w:t>
      </w:r>
      <w:r>
        <w:rPr>
          <w:rFonts w:hint="eastAsia"/>
        </w:rPr>
        <w:t>，非卡塔尔人的失业率不超过</w:t>
      </w:r>
      <w:r>
        <w:rPr>
          <w:rFonts w:hint="eastAsia"/>
        </w:rPr>
        <w:t>0.19%</w:t>
      </w:r>
      <w:r>
        <w:rPr>
          <w:rFonts w:hint="eastAsia"/>
        </w:rPr>
        <w:t>。非卡塔尔人失业率极低的事实表明，根据卡塔尔《劳动法》，移徙工人在取得就业方面没有任何限制，没有受到任何歧视。</w:t>
      </w:r>
    </w:p>
    <w:p w:rsidR="007234DD" w:rsidRDefault="007234DD">
      <w:pPr>
        <w:pStyle w:val="SingleTxtGC"/>
      </w:pPr>
      <w:r>
        <w:t xml:space="preserve">294.  </w:t>
      </w:r>
      <w:r>
        <w:rPr>
          <w:rFonts w:hint="eastAsia"/>
        </w:rPr>
        <w:t>虽然自营职业妇女在全部女劳动力中仅占一小部分，但是她们的人数已开始增长</w:t>
      </w:r>
      <w:r>
        <w:rPr>
          <w:rFonts w:hint="eastAsia"/>
        </w:rPr>
        <w:t>(</w:t>
      </w:r>
      <w:r>
        <w:rPr>
          <w:rFonts w:hint="eastAsia"/>
        </w:rPr>
        <w:t>尽管增长略缓</w:t>
      </w:r>
      <w:r>
        <w:rPr>
          <w:rFonts w:hint="eastAsia"/>
        </w:rPr>
        <w:t>)</w:t>
      </w:r>
      <w:r>
        <w:rPr>
          <w:rFonts w:hint="eastAsia"/>
        </w:rPr>
        <w:t>，特别是在卡塔尔籍妇女中</w:t>
      </w:r>
      <w:r>
        <w:rPr>
          <w:rFonts w:hint="eastAsia"/>
        </w:rPr>
        <w:t>(</w:t>
      </w:r>
      <w:r>
        <w:rPr>
          <w:rFonts w:hint="eastAsia"/>
        </w:rPr>
        <w:t>见表</w:t>
      </w:r>
      <w:r>
        <w:rPr>
          <w:rFonts w:hint="eastAsia"/>
        </w:rPr>
        <w:t>24)</w:t>
      </w:r>
      <w:r>
        <w:rPr>
          <w:rFonts w:hint="eastAsia"/>
        </w:rPr>
        <w:t>。该指标由</w:t>
      </w:r>
      <w:r>
        <w:rPr>
          <w:rFonts w:hint="eastAsia"/>
        </w:rPr>
        <w:t>2004</w:t>
      </w:r>
      <w:r>
        <w:rPr>
          <w:rFonts w:hint="eastAsia"/>
        </w:rPr>
        <w:t>年的</w:t>
      </w:r>
      <w:r>
        <w:rPr>
          <w:rFonts w:hint="eastAsia"/>
        </w:rPr>
        <w:t>0.16%</w:t>
      </w:r>
      <w:r>
        <w:rPr>
          <w:rFonts w:hint="eastAsia"/>
        </w:rPr>
        <w:t>上升至</w:t>
      </w:r>
      <w:r>
        <w:rPr>
          <w:rFonts w:hint="eastAsia"/>
        </w:rPr>
        <w:t>2009</w:t>
      </w:r>
      <w:r>
        <w:rPr>
          <w:rFonts w:hint="eastAsia"/>
        </w:rPr>
        <w:t>年的</w:t>
      </w:r>
      <w:r>
        <w:rPr>
          <w:rFonts w:hint="eastAsia"/>
        </w:rPr>
        <w:t>0.41%</w:t>
      </w:r>
      <w:r>
        <w:rPr>
          <w:rFonts w:hint="eastAsia"/>
        </w:rPr>
        <w:t>。这证明卡塔尔女性不仅在有薪工作中，还在可以投资工业、商业、旅游业和银行业的工作中取得了成就。这本身就标志着卡塔尔女性的传统投资模式开始发生实质性变化。</w:t>
      </w:r>
    </w:p>
    <w:p w:rsidR="007234DD" w:rsidRDefault="007234DD">
      <w:pPr>
        <w:pStyle w:val="SingleTxtGC"/>
        <w:rPr>
          <w:rFonts w:hint="eastAsia"/>
        </w:rPr>
      </w:pPr>
      <w:r>
        <w:rPr>
          <w:rFonts w:hint="eastAsia"/>
        </w:rPr>
        <w:t>表</w:t>
      </w:r>
      <w:r>
        <w:rPr>
          <w:rFonts w:hint="eastAsia"/>
        </w:rPr>
        <w:t>24</w:t>
      </w:r>
      <w:r>
        <w:br/>
      </w:r>
      <w:r>
        <w:rPr>
          <w:rFonts w:eastAsia="SimHei" w:hint="eastAsia"/>
        </w:rPr>
        <w:t>自营职业妇女占女性劳动力的比例</w:t>
      </w:r>
      <w:r>
        <w:rPr>
          <w:rFonts w:eastAsia="SimHei" w:hint="eastAsia"/>
        </w:rPr>
        <w:t>(%)</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7234DD">
        <w:trPr>
          <w:cantSplit/>
          <w:tblHeader/>
        </w:trPr>
        <w:tc>
          <w:tcPr>
            <w:tcW w:w="1841" w:type="dxa"/>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年份</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pPr>
            <w:r>
              <w:rPr>
                <w:rFonts w:hint="eastAsia"/>
              </w:rPr>
              <w:t>卡塔尔籍妇女</w:t>
            </w:r>
            <w:r>
              <w:t xml:space="preserve"> </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非卡塔尔籍妇女</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b/>
              </w:rPr>
            </w:pPr>
            <w:r>
              <w:rPr>
                <w:rFonts w:hint="eastAsia"/>
                <w:b/>
              </w:rPr>
              <w:t>合计</w:t>
            </w:r>
          </w:p>
        </w:tc>
      </w:tr>
      <w:tr w:rsidR="007234DD">
        <w:trPr>
          <w:cantSplit/>
        </w:trPr>
        <w:tc>
          <w:tcPr>
            <w:tcW w:w="1841" w:type="dxa"/>
            <w:tcBorders>
              <w:top w:val="single" w:sz="12" w:space="0" w:color="auto"/>
            </w:tcBorders>
            <w:shd w:val="clear" w:color="auto" w:fill="auto"/>
          </w:tcPr>
          <w:p w:rsidR="007234DD" w:rsidRDefault="007234DD">
            <w:pPr>
              <w:pStyle w:val="a5"/>
            </w:pPr>
            <w:r>
              <w:t>2004</w:t>
            </w:r>
          </w:p>
        </w:tc>
        <w:tc>
          <w:tcPr>
            <w:tcW w:w="1843" w:type="dxa"/>
            <w:tcBorders>
              <w:top w:val="single" w:sz="12" w:space="0" w:color="auto"/>
            </w:tcBorders>
            <w:shd w:val="clear" w:color="auto" w:fill="auto"/>
          </w:tcPr>
          <w:p w:rsidR="007234DD" w:rsidRDefault="007234DD">
            <w:pPr>
              <w:pStyle w:val="a5"/>
              <w:ind w:right="0"/>
              <w:jc w:val="right"/>
            </w:pPr>
            <w:r>
              <w:t>0.16</w:t>
            </w:r>
          </w:p>
        </w:tc>
        <w:tc>
          <w:tcPr>
            <w:tcW w:w="1843" w:type="dxa"/>
            <w:tcBorders>
              <w:top w:val="single" w:sz="12" w:space="0" w:color="auto"/>
            </w:tcBorders>
            <w:shd w:val="clear" w:color="auto" w:fill="auto"/>
          </w:tcPr>
          <w:p w:rsidR="007234DD" w:rsidRDefault="007234DD">
            <w:pPr>
              <w:pStyle w:val="a5"/>
              <w:ind w:right="0"/>
              <w:jc w:val="right"/>
            </w:pPr>
            <w:r>
              <w:t>0.11</w:t>
            </w:r>
          </w:p>
        </w:tc>
        <w:tc>
          <w:tcPr>
            <w:tcW w:w="1843" w:type="dxa"/>
            <w:tcBorders>
              <w:top w:val="single" w:sz="12" w:space="0" w:color="auto"/>
            </w:tcBorders>
            <w:shd w:val="clear" w:color="auto" w:fill="auto"/>
          </w:tcPr>
          <w:p w:rsidR="007234DD" w:rsidRDefault="007234DD">
            <w:pPr>
              <w:pStyle w:val="a5"/>
              <w:ind w:right="0"/>
              <w:jc w:val="right"/>
              <w:rPr>
                <w:b/>
              </w:rPr>
            </w:pPr>
            <w:r>
              <w:rPr>
                <w:b/>
              </w:rPr>
              <w:t>0.12</w:t>
            </w:r>
          </w:p>
        </w:tc>
      </w:tr>
      <w:tr w:rsidR="007234DD">
        <w:trPr>
          <w:cantSplit/>
        </w:trPr>
        <w:tc>
          <w:tcPr>
            <w:tcW w:w="1841" w:type="dxa"/>
            <w:shd w:val="clear" w:color="auto" w:fill="auto"/>
          </w:tcPr>
          <w:p w:rsidR="007234DD" w:rsidRDefault="007234DD">
            <w:pPr>
              <w:pStyle w:val="a5"/>
            </w:pPr>
            <w:r>
              <w:t>2006</w:t>
            </w:r>
          </w:p>
        </w:tc>
        <w:tc>
          <w:tcPr>
            <w:tcW w:w="1843" w:type="dxa"/>
            <w:shd w:val="clear" w:color="auto" w:fill="auto"/>
          </w:tcPr>
          <w:p w:rsidR="007234DD" w:rsidRDefault="007234DD">
            <w:pPr>
              <w:pStyle w:val="a5"/>
              <w:ind w:right="0"/>
              <w:jc w:val="right"/>
            </w:pPr>
            <w:r>
              <w:t>0.18</w:t>
            </w:r>
          </w:p>
        </w:tc>
        <w:tc>
          <w:tcPr>
            <w:tcW w:w="1843" w:type="dxa"/>
            <w:shd w:val="clear" w:color="auto" w:fill="auto"/>
          </w:tcPr>
          <w:p w:rsidR="007234DD" w:rsidRDefault="007234DD">
            <w:pPr>
              <w:pStyle w:val="a5"/>
              <w:ind w:right="0"/>
              <w:jc w:val="right"/>
            </w:pPr>
            <w:r>
              <w:t>0.13</w:t>
            </w:r>
          </w:p>
        </w:tc>
        <w:tc>
          <w:tcPr>
            <w:tcW w:w="1843" w:type="dxa"/>
            <w:shd w:val="clear" w:color="auto" w:fill="auto"/>
          </w:tcPr>
          <w:p w:rsidR="007234DD" w:rsidRDefault="007234DD">
            <w:pPr>
              <w:pStyle w:val="a5"/>
              <w:ind w:right="0"/>
              <w:jc w:val="right"/>
              <w:rPr>
                <w:b/>
              </w:rPr>
            </w:pPr>
            <w:r>
              <w:rPr>
                <w:b/>
              </w:rPr>
              <w:t>0.14</w:t>
            </w:r>
          </w:p>
        </w:tc>
      </w:tr>
      <w:tr w:rsidR="007234DD">
        <w:trPr>
          <w:cantSplit/>
        </w:trPr>
        <w:tc>
          <w:tcPr>
            <w:tcW w:w="1841" w:type="dxa"/>
            <w:shd w:val="clear" w:color="auto" w:fill="auto"/>
          </w:tcPr>
          <w:p w:rsidR="007234DD" w:rsidRDefault="007234DD">
            <w:pPr>
              <w:pStyle w:val="a5"/>
            </w:pPr>
            <w:r>
              <w:t>2007</w:t>
            </w:r>
          </w:p>
        </w:tc>
        <w:tc>
          <w:tcPr>
            <w:tcW w:w="1843" w:type="dxa"/>
            <w:shd w:val="clear" w:color="auto" w:fill="auto"/>
          </w:tcPr>
          <w:p w:rsidR="007234DD" w:rsidRDefault="007234DD">
            <w:pPr>
              <w:pStyle w:val="a5"/>
              <w:ind w:right="0"/>
              <w:jc w:val="right"/>
            </w:pPr>
            <w:r>
              <w:t>0.24</w:t>
            </w:r>
          </w:p>
        </w:tc>
        <w:tc>
          <w:tcPr>
            <w:tcW w:w="1843" w:type="dxa"/>
            <w:shd w:val="clear" w:color="auto" w:fill="auto"/>
          </w:tcPr>
          <w:p w:rsidR="007234DD" w:rsidRDefault="007234DD">
            <w:pPr>
              <w:pStyle w:val="a5"/>
              <w:ind w:right="0"/>
              <w:jc w:val="right"/>
            </w:pPr>
            <w:r>
              <w:t>0.01</w:t>
            </w:r>
          </w:p>
        </w:tc>
        <w:tc>
          <w:tcPr>
            <w:tcW w:w="1843" w:type="dxa"/>
            <w:shd w:val="clear" w:color="auto" w:fill="auto"/>
          </w:tcPr>
          <w:p w:rsidR="007234DD" w:rsidRDefault="007234DD">
            <w:pPr>
              <w:pStyle w:val="a5"/>
              <w:ind w:right="0"/>
              <w:jc w:val="right"/>
              <w:rPr>
                <w:b/>
              </w:rPr>
            </w:pPr>
            <w:r>
              <w:rPr>
                <w:b/>
              </w:rPr>
              <w:t>0.13</w:t>
            </w:r>
          </w:p>
        </w:tc>
      </w:tr>
      <w:tr w:rsidR="007234DD">
        <w:trPr>
          <w:cantSplit/>
        </w:trPr>
        <w:tc>
          <w:tcPr>
            <w:tcW w:w="1841" w:type="dxa"/>
            <w:shd w:val="clear" w:color="auto" w:fill="auto"/>
          </w:tcPr>
          <w:p w:rsidR="007234DD" w:rsidRDefault="007234DD">
            <w:pPr>
              <w:pStyle w:val="a5"/>
            </w:pPr>
            <w:r>
              <w:t>2008</w:t>
            </w:r>
          </w:p>
        </w:tc>
        <w:tc>
          <w:tcPr>
            <w:tcW w:w="1843" w:type="dxa"/>
            <w:shd w:val="clear" w:color="auto" w:fill="auto"/>
          </w:tcPr>
          <w:p w:rsidR="007234DD" w:rsidRDefault="007234DD">
            <w:pPr>
              <w:pStyle w:val="a5"/>
              <w:ind w:right="0"/>
              <w:jc w:val="right"/>
            </w:pPr>
            <w:r>
              <w:t>0.18</w:t>
            </w:r>
          </w:p>
        </w:tc>
        <w:tc>
          <w:tcPr>
            <w:tcW w:w="1843" w:type="dxa"/>
            <w:shd w:val="clear" w:color="auto" w:fill="auto"/>
          </w:tcPr>
          <w:p w:rsidR="007234DD" w:rsidRDefault="007234DD">
            <w:pPr>
              <w:pStyle w:val="a5"/>
              <w:ind w:right="0"/>
              <w:jc w:val="right"/>
            </w:pPr>
            <w:r>
              <w:t>0.01</w:t>
            </w:r>
          </w:p>
        </w:tc>
        <w:tc>
          <w:tcPr>
            <w:tcW w:w="1843" w:type="dxa"/>
            <w:shd w:val="clear" w:color="auto" w:fill="auto"/>
          </w:tcPr>
          <w:p w:rsidR="007234DD" w:rsidRDefault="007234DD">
            <w:pPr>
              <w:pStyle w:val="a5"/>
              <w:ind w:right="0"/>
              <w:jc w:val="right"/>
              <w:rPr>
                <w:b/>
              </w:rPr>
            </w:pPr>
            <w:r>
              <w:rPr>
                <w:b/>
              </w:rPr>
              <w:t>0.11</w:t>
            </w:r>
          </w:p>
        </w:tc>
      </w:tr>
      <w:tr w:rsidR="007234DD">
        <w:trPr>
          <w:cantSplit/>
        </w:trPr>
        <w:tc>
          <w:tcPr>
            <w:tcW w:w="1841" w:type="dxa"/>
            <w:tcBorders>
              <w:bottom w:val="single" w:sz="12" w:space="0" w:color="auto"/>
            </w:tcBorders>
            <w:shd w:val="clear" w:color="auto" w:fill="auto"/>
          </w:tcPr>
          <w:p w:rsidR="007234DD" w:rsidRDefault="007234DD">
            <w:pPr>
              <w:pStyle w:val="a5"/>
            </w:pPr>
            <w:r>
              <w:t>2009</w:t>
            </w:r>
          </w:p>
        </w:tc>
        <w:tc>
          <w:tcPr>
            <w:tcW w:w="1843" w:type="dxa"/>
            <w:tcBorders>
              <w:bottom w:val="single" w:sz="12" w:space="0" w:color="auto"/>
            </w:tcBorders>
            <w:shd w:val="clear" w:color="auto" w:fill="auto"/>
          </w:tcPr>
          <w:p w:rsidR="007234DD" w:rsidRDefault="007234DD">
            <w:pPr>
              <w:pStyle w:val="a5"/>
              <w:ind w:right="0"/>
              <w:jc w:val="right"/>
            </w:pPr>
            <w:r>
              <w:t>0.41</w:t>
            </w:r>
          </w:p>
        </w:tc>
        <w:tc>
          <w:tcPr>
            <w:tcW w:w="1843" w:type="dxa"/>
            <w:tcBorders>
              <w:bottom w:val="single" w:sz="12" w:space="0" w:color="auto"/>
            </w:tcBorders>
            <w:shd w:val="clear" w:color="auto" w:fill="auto"/>
          </w:tcPr>
          <w:p w:rsidR="007234DD" w:rsidRDefault="007234DD">
            <w:pPr>
              <w:pStyle w:val="a5"/>
              <w:ind w:right="0"/>
              <w:jc w:val="right"/>
            </w:pPr>
            <w:r>
              <w:t>0.01</w:t>
            </w:r>
          </w:p>
        </w:tc>
        <w:tc>
          <w:tcPr>
            <w:tcW w:w="1843" w:type="dxa"/>
            <w:tcBorders>
              <w:bottom w:val="single" w:sz="12" w:space="0" w:color="auto"/>
            </w:tcBorders>
            <w:shd w:val="clear" w:color="auto" w:fill="auto"/>
          </w:tcPr>
          <w:p w:rsidR="007234DD" w:rsidRDefault="007234DD">
            <w:pPr>
              <w:pStyle w:val="a5"/>
              <w:ind w:right="0"/>
              <w:jc w:val="right"/>
              <w:rPr>
                <w:b/>
              </w:rPr>
            </w:pPr>
            <w:r>
              <w:rPr>
                <w:b/>
              </w:rPr>
              <w:t>0.16</w:t>
            </w:r>
          </w:p>
        </w:tc>
      </w:tr>
    </w:tbl>
    <w:p w:rsidR="007234DD" w:rsidRDefault="007234DD" w:rsidP="005D71D9">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w:t>
      </w:r>
      <w:r>
        <w:rPr>
          <w:rFonts w:hint="eastAsia"/>
          <w:sz w:val="19"/>
          <w:szCs w:val="19"/>
        </w:rPr>
        <w:t>Qalam</w:t>
      </w:r>
      <w:r>
        <w:rPr>
          <w:rFonts w:hint="eastAsia"/>
          <w:sz w:val="19"/>
          <w:szCs w:val="19"/>
        </w:rPr>
        <w:t>”项目，</w:t>
      </w:r>
      <w:r>
        <w:rPr>
          <w:rFonts w:hint="eastAsia"/>
          <w:sz w:val="19"/>
          <w:szCs w:val="19"/>
        </w:rPr>
        <w:t>www.qix.gov.qa</w:t>
      </w:r>
      <w:r>
        <w:rPr>
          <w:rFonts w:hint="eastAsia"/>
          <w:sz w:val="19"/>
          <w:szCs w:val="19"/>
        </w:rPr>
        <w:t>。</w:t>
      </w:r>
    </w:p>
    <w:p w:rsidR="007234DD" w:rsidRDefault="007234DD">
      <w:pPr>
        <w:pStyle w:val="SingleTxtGC"/>
      </w:pPr>
      <w:r>
        <w:t xml:space="preserve">295.  </w:t>
      </w:r>
      <w:r>
        <w:rPr>
          <w:rFonts w:hint="eastAsia"/>
        </w:rPr>
        <w:t>教育部门是妇女在就业时优先选择的部门；</w:t>
      </w:r>
      <w:r>
        <w:rPr>
          <w:rFonts w:hint="eastAsia"/>
        </w:rPr>
        <w:t>2009</w:t>
      </w:r>
      <w:r>
        <w:rPr>
          <w:rFonts w:hint="eastAsia"/>
        </w:rPr>
        <w:t>年，</w:t>
      </w:r>
      <w:r>
        <w:rPr>
          <w:rFonts w:hint="eastAsia"/>
        </w:rPr>
        <w:t>38%</w:t>
      </w:r>
      <w:r>
        <w:rPr>
          <w:rFonts w:hint="eastAsia"/>
        </w:rPr>
        <w:t>的卡塔尔妇女在此部门工作。妇女其次选择公共管理、防卫和法定社会保障部门，约占</w:t>
      </w:r>
      <w:r>
        <w:rPr>
          <w:rFonts w:hint="eastAsia"/>
        </w:rPr>
        <w:t>33%</w:t>
      </w:r>
      <w:r>
        <w:rPr>
          <w:rFonts w:hint="eastAsia"/>
        </w:rPr>
        <w:t>。总的来说，大多数参与经济活动的妇女集中在家庭服务部门</w:t>
      </w:r>
      <w:r>
        <w:rPr>
          <w:rFonts w:hint="eastAsia"/>
        </w:rPr>
        <w:t>(2009</w:t>
      </w:r>
      <w:r>
        <w:rPr>
          <w:rFonts w:hint="eastAsia"/>
        </w:rPr>
        <w:t>年为</w:t>
      </w:r>
      <w:r>
        <w:rPr>
          <w:rFonts w:hint="eastAsia"/>
        </w:rPr>
        <w:t>38.8%)</w:t>
      </w:r>
      <w:r>
        <w:rPr>
          <w:rFonts w:hint="eastAsia"/>
        </w:rPr>
        <w:t>。这些提供家庭服务的妇女均不是卡塔尔籍</w:t>
      </w:r>
      <w:r>
        <w:rPr>
          <w:rFonts w:hint="eastAsia"/>
        </w:rPr>
        <w:t>(</w:t>
      </w:r>
      <w:r>
        <w:rPr>
          <w:rFonts w:hint="eastAsia"/>
        </w:rPr>
        <w:t>见表</w:t>
      </w:r>
      <w:r>
        <w:rPr>
          <w:rFonts w:hint="eastAsia"/>
        </w:rPr>
        <w:t>25)</w:t>
      </w:r>
      <w:r>
        <w:rPr>
          <w:rFonts w:hint="eastAsia"/>
        </w:rPr>
        <w:t>。</w:t>
      </w:r>
    </w:p>
    <w:p w:rsidR="007234DD" w:rsidRDefault="007234DD">
      <w:pPr>
        <w:pStyle w:val="SingleTxtGC"/>
      </w:pPr>
      <w:r>
        <w:rPr>
          <w:rFonts w:hint="eastAsia"/>
        </w:rPr>
        <w:t>表</w:t>
      </w:r>
      <w:r>
        <w:rPr>
          <w:rFonts w:hint="eastAsia"/>
        </w:rPr>
        <w:t>25</w:t>
      </w:r>
      <w:r>
        <w:br/>
      </w:r>
      <w:r>
        <w:rPr>
          <w:rFonts w:eastAsia="SimHei" w:hint="eastAsia"/>
        </w:rPr>
        <w:t>2009</w:t>
      </w:r>
      <w:r>
        <w:rPr>
          <w:rFonts w:eastAsia="SimHei" w:hint="eastAsia"/>
        </w:rPr>
        <w:t>年按国籍和经济活动分列的女性在劳动力中的百分比</w:t>
      </w:r>
    </w:p>
    <w:tbl>
      <w:tblPr>
        <w:tblW w:w="7370" w:type="dxa"/>
        <w:tblInd w:w="1134" w:type="dxa"/>
        <w:tblLayout w:type="fixed"/>
        <w:tblCellMar>
          <w:left w:w="0" w:type="dxa"/>
          <w:right w:w="0" w:type="dxa"/>
        </w:tblCellMar>
        <w:tblLook w:val="01E0" w:firstRow="1" w:lastRow="1" w:firstColumn="1" w:lastColumn="1" w:noHBand="0" w:noVBand="0"/>
      </w:tblPr>
      <w:tblGrid>
        <w:gridCol w:w="3247"/>
        <w:gridCol w:w="1374"/>
        <w:gridCol w:w="1395"/>
        <w:gridCol w:w="1354"/>
      </w:tblGrid>
      <w:tr w:rsidR="007234DD">
        <w:trPr>
          <w:cantSplit/>
        </w:trPr>
        <w:tc>
          <w:tcPr>
            <w:tcW w:w="3247" w:type="dxa"/>
            <w:tcBorders>
              <w:top w:val="single" w:sz="4" w:space="0" w:color="auto"/>
            </w:tcBorders>
            <w:shd w:val="clear" w:color="auto" w:fill="auto"/>
            <w:vAlign w:val="bottom"/>
          </w:tcPr>
          <w:p w:rsidR="007234DD" w:rsidRDefault="007234DD">
            <w:pPr>
              <w:pStyle w:val="a0"/>
              <w:ind w:right="0"/>
            </w:pPr>
          </w:p>
        </w:tc>
        <w:tc>
          <w:tcPr>
            <w:tcW w:w="2769" w:type="dxa"/>
            <w:gridSpan w:val="2"/>
            <w:tcBorders>
              <w:top w:val="single" w:sz="4" w:space="0" w:color="auto"/>
              <w:bottom w:val="single" w:sz="6" w:space="0" w:color="auto"/>
            </w:tcBorders>
            <w:shd w:val="clear" w:color="auto" w:fill="auto"/>
            <w:vAlign w:val="bottom"/>
          </w:tcPr>
          <w:p w:rsidR="007234DD" w:rsidRDefault="007234DD">
            <w:pPr>
              <w:pStyle w:val="a0"/>
              <w:ind w:right="0"/>
              <w:jc w:val="center"/>
              <w:rPr>
                <w:rFonts w:hint="eastAsia"/>
              </w:rPr>
            </w:pPr>
            <w:r>
              <w:rPr>
                <w:rFonts w:hint="eastAsia"/>
              </w:rPr>
              <w:t>国籍</w:t>
            </w:r>
          </w:p>
        </w:tc>
        <w:tc>
          <w:tcPr>
            <w:tcW w:w="1354" w:type="dxa"/>
            <w:tcBorders>
              <w:top w:val="single" w:sz="4" w:space="0" w:color="auto"/>
            </w:tcBorders>
            <w:shd w:val="clear" w:color="auto" w:fill="auto"/>
            <w:vAlign w:val="bottom"/>
          </w:tcPr>
          <w:p w:rsidR="007234DD" w:rsidRDefault="007234DD">
            <w:pPr>
              <w:pStyle w:val="a0"/>
              <w:ind w:right="0"/>
              <w:jc w:val="right"/>
            </w:pPr>
          </w:p>
        </w:tc>
      </w:tr>
      <w:tr w:rsidR="007234DD">
        <w:trPr>
          <w:cantSplit/>
        </w:trPr>
        <w:tc>
          <w:tcPr>
            <w:tcW w:w="3247" w:type="dxa"/>
            <w:tcBorders>
              <w:bottom w:val="single" w:sz="12" w:space="0" w:color="auto"/>
            </w:tcBorders>
            <w:shd w:val="clear" w:color="auto" w:fill="auto"/>
          </w:tcPr>
          <w:p w:rsidR="007234DD" w:rsidRDefault="007234DD">
            <w:pPr>
              <w:pStyle w:val="a0"/>
              <w:ind w:right="0"/>
              <w:jc w:val="left"/>
              <w:rPr>
                <w:rFonts w:hint="eastAsia"/>
              </w:rPr>
            </w:pPr>
            <w:r>
              <w:rPr>
                <w:rFonts w:hint="eastAsia"/>
              </w:rPr>
              <w:t>经济活动</w:t>
            </w:r>
          </w:p>
        </w:tc>
        <w:tc>
          <w:tcPr>
            <w:tcW w:w="1374"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卡塔尔籍</w:t>
            </w:r>
          </w:p>
        </w:tc>
        <w:tc>
          <w:tcPr>
            <w:tcW w:w="1395"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非卡塔尔籍</w:t>
            </w:r>
          </w:p>
        </w:tc>
        <w:tc>
          <w:tcPr>
            <w:tcW w:w="1354" w:type="dxa"/>
            <w:tcBorders>
              <w:bottom w:val="single" w:sz="12" w:space="0" w:color="auto"/>
            </w:tcBorders>
            <w:shd w:val="clear" w:color="auto" w:fill="auto"/>
          </w:tcPr>
          <w:p w:rsidR="007234DD" w:rsidRDefault="007234DD">
            <w:pPr>
              <w:pStyle w:val="a0"/>
              <w:ind w:right="0"/>
              <w:jc w:val="right"/>
              <w:rPr>
                <w:rFonts w:hint="eastAsia"/>
                <w:b/>
              </w:rPr>
            </w:pPr>
            <w:r>
              <w:rPr>
                <w:rFonts w:hint="eastAsia"/>
                <w:b/>
              </w:rPr>
              <w:t>合计</w:t>
            </w:r>
          </w:p>
        </w:tc>
      </w:tr>
      <w:tr w:rsidR="007234DD">
        <w:trPr>
          <w:cantSplit/>
        </w:trPr>
        <w:tc>
          <w:tcPr>
            <w:tcW w:w="3247" w:type="dxa"/>
            <w:tcBorders>
              <w:top w:val="single" w:sz="12" w:space="0" w:color="auto"/>
            </w:tcBorders>
            <w:shd w:val="clear" w:color="auto" w:fill="auto"/>
          </w:tcPr>
          <w:p w:rsidR="007234DD" w:rsidRDefault="007234DD">
            <w:pPr>
              <w:pStyle w:val="a5"/>
              <w:rPr>
                <w:rFonts w:hint="eastAsia"/>
              </w:rPr>
            </w:pPr>
            <w:bookmarkStart w:id="6" w:name="OLE_LINK29"/>
            <w:r>
              <w:rPr>
                <w:rFonts w:hint="eastAsia"/>
              </w:rPr>
              <w:t>农业、狩猎和林业</w:t>
            </w:r>
            <w:bookmarkEnd w:id="6"/>
          </w:p>
        </w:tc>
        <w:tc>
          <w:tcPr>
            <w:tcW w:w="1374" w:type="dxa"/>
            <w:tcBorders>
              <w:top w:val="single" w:sz="12" w:space="0" w:color="auto"/>
            </w:tcBorders>
            <w:shd w:val="clear" w:color="auto" w:fill="auto"/>
          </w:tcPr>
          <w:p w:rsidR="007234DD" w:rsidRDefault="007234DD">
            <w:pPr>
              <w:pStyle w:val="a5"/>
              <w:ind w:right="0"/>
              <w:jc w:val="right"/>
            </w:pPr>
            <w:r>
              <w:t>0</w:t>
            </w:r>
          </w:p>
        </w:tc>
        <w:tc>
          <w:tcPr>
            <w:tcW w:w="1395" w:type="dxa"/>
            <w:tcBorders>
              <w:top w:val="single" w:sz="12" w:space="0" w:color="auto"/>
            </w:tcBorders>
            <w:shd w:val="clear" w:color="auto" w:fill="auto"/>
          </w:tcPr>
          <w:p w:rsidR="007234DD" w:rsidRDefault="007234DD">
            <w:pPr>
              <w:pStyle w:val="a5"/>
              <w:ind w:right="0"/>
              <w:jc w:val="right"/>
            </w:pPr>
            <w:r>
              <w:t>0</w:t>
            </w:r>
          </w:p>
        </w:tc>
        <w:tc>
          <w:tcPr>
            <w:tcW w:w="1354" w:type="dxa"/>
            <w:tcBorders>
              <w:top w:val="single" w:sz="12" w:space="0" w:color="auto"/>
            </w:tcBorders>
            <w:shd w:val="clear" w:color="auto" w:fill="auto"/>
          </w:tcPr>
          <w:p w:rsidR="007234DD" w:rsidRDefault="007234DD">
            <w:pPr>
              <w:pStyle w:val="a5"/>
              <w:ind w:right="0"/>
              <w:jc w:val="right"/>
              <w:rPr>
                <w:b/>
              </w:rPr>
            </w:pPr>
            <w:r>
              <w:rPr>
                <w:b/>
              </w:rPr>
              <w:t>0</w:t>
            </w:r>
          </w:p>
        </w:tc>
      </w:tr>
      <w:tr w:rsidR="007234DD">
        <w:trPr>
          <w:cantSplit/>
        </w:trPr>
        <w:tc>
          <w:tcPr>
            <w:tcW w:w="3247" w:type="dxa"/>
            <w:shd w:val="clear" w:color="auto" w:fill="auto"/>
          </w:tcPr>
          <w:p w:rsidR="007234DD" w:rsidRDefault="007234DD">
            <w:pPr>
              <w:pStyle w:val="a5"/>
              <w:rPr>
                <w:rFonts w:hint="eastAsia"/>
              </w:rPr>
            </w:pPr>
            <w:bookmarkStart w:id="7" w:name="_Hlk340668127"/>
            <w:r>
              <w:rPr>
                <w:rFonts w:hint="eastAsia"/>
              </w:rPr>
              <w:t>渔业</w:t>
            </w:r>
          </w:p>
        </w:tc>
        <w:tc>
          <w:tcPr>
            <w:tcW w:w="1374" w:type="dxa"/>
            <w:shd w:val="clear" w:color="auto" w:fill="auto"/>
          </w:tcPr>
          <w:p w:rsidR="007234DD" w:rsidRDefault="007234DD">
            <w:pPr>
              <w:pStyle w:val="a5"/>
              <w:ind w:right="0"/>
              <w:jc w:val="right"/>
            </w:pPr>
            <w:r>
              <w:t>0</w:t>
            </w:r>
          </w:p>
        </w:tc>
        <w:tc>
          <w:tcPr>
            <w:tcW w:w="1395" w:type="dxa"/>
            <w:shd w:val="clear" w:color="auto" w:fill="auto"/>
          </w:tcPr>
          <w:p w:rsidR="007234DD" w:rsidRDefault="007234DD">
            <w:pPr>
              <w:pStyle w:val="a5"/>
              <w:ind w:right="0"/>
              <w:jc w:val="right"/>
            </w:pPr>
            <w:r>
              <w:t>0</w:t>
            </w:r>
          </w:p>
        </w:tc>
        <w:tc>
          <w:tcPr>
            <w:tcW w:w="1354" w:type="dxa"/>
            <w:shd w:val="clear" w:color="auto" w:fill="auto"/>
          </w:tcPr>
          <w:p w:rsidR="007234DD" w:rsidRDefault="007234DD">
            <w:pPr>
              <w:pStyle w:val="a5"/>
              <w:ind w:right="0"/>
              <w:jc w:val="right"/>
              <w:rPr>
                <w:b/>
              </w:rPr>
            </w:pPr>
            <w:r>
              <w:rPr>
                <w:b/>
              </w:rPr>
              <w:t>0</w:t>
            </w:r>
          </w:p>
        </w:tc>
      </w:tr>
      <w:tr w:rsidR="007234DD">
        <w:trPr>
          <w:cantSplit/>
        </w:trPr>
        <w:tc>
          <w:tcPr>
            <w:tcW w:w="3247" w:type="dxa"/>
            <w:shd w:val="clear" w:color="auto" w:fill="auto"/>
          </w:tcPr>
          <w:p w:rsidR="007234DD" w:rsidRDefault="007234DD">
            <w:pPr>
              <w:pStyle w:val="a5"/>
              <w:rPr>
                <w:rFonts w:hint="eastAsia"/>
              </w:rPr>
            </w:pPr>
            <w:r>
              <w:rPr>
                <w:rFonts w:hint="eastAsia"/>
              </w:rPr>
              <w:t>采矿和采石业</w:t>
            </w:r>
          </w:p>
        </w:tc>
        <w:tc>
          <w:tcPr>
            <w:tcW w:w="1374" w:type="dxa"/>
            <w:shd w:val="clear" w:color="auto" w:fill="auto"/>
          </w:tcPr>
          <w:p w:rsidR="007234DD" w:rsidRDefault="007234DD">
            <w:pPr>
              <w:pStyle w:val="a5"/>
              <w:ind w:right="0"/>
              <w:jc w:val="right"/>
            </w:pPr>
            <w:r>
              <w:t>2.86</w:t>
            </w:r>
          </w:p>
        </w:tc>
        <w:tc>
          <w:tcPr>
            <w:tcW w:w="1395" w:type="dxa"/>
            <w:shd w:val="clear" w:color="auto" w:fill="auto"/>
          </w:tcPr>
          <w:p w:rsidR="007234DD" w:rsidRDefault="007234DD">
            <w:pPr>
              <w:pStyle w:val="a5"/>
              <w:ind w:right="0"/>
              <w:jc w:val="right"/>
            </w:pPr>
            <w:r>
              <w:t>2.65</w:t>
            </w:r>
          </w:p>
        </w:tc>
        <w:tc>
          <w:tcPr>
            <w:tcW w:w="1354" w:type="dxa"/>
            <w:shd w:val="clear" w:color="auto" w:fill="auto"/>
          </w:tcPr>
          <w:p w:rsidR="007234DD" w:rsidRDefault="007234DD">
            <w:pPr>
              <w:pStyle w:val="a5"/>
              <w:ind w:right="0"/>
              <w:jc w:val="right"/>
              <w:rPr>
                <w:b/>
              </w:rPr>
            </w:pPr>
            <w:r>
              <w:rPr>
                <w:b/>
              </w:rPr>
              <w:t>2.69</w:t>
            </w:r>
          </w:p>
        </w:tc>
      </w:tr>
      <w:tr w:rsidR="007234DD">
        <w:trPr>
          <w:cantSplit/>
        </w:trPr>
        <w:tc>
          <w:tcPr>
            <w:tcW w:w="3247" w:type="dxa"/>
            <w:shd w:val="clear" w:color="auto" w:fill="auto"/>
          </w:tcPr>
          <w:p w:rsidR="007234DD" w:rsidRDefault="007234DD">
            <w:pPr>
              <w:pStyle w:val="a5"/>
              <w:rPr>
                <w:rFonts w:hint="eastAsia"/>
              </w:rPr>
            </w:pPr>
            <w:r>
              <w:rPr>
                <w:rFonts w:hint="eastAsia"/>
              </w:rPr>
              <w:t>制造业</w:t>
            </w:r>
          </w:p>
        </w:tc>
        <w:tc>
          <w:tcPr>
            <w:tcW w:w="1374" w:type="dxa"/>
            <w:shd w:val="clear" w:color="auto" w:fill="auto"/>
          </w:tcPr>
          <w:p w:rsidR="007234DD" w:rsidRDefault="007234DD">
            <w:pPr>
              <w:pStyle w:val="a5"/>
              <w:ind w:right="0"/>
              <w:jc w:val="right"/>
            </w:pPr>
            <w:r>
              <w:t>0.31</w:t>
            </w:r>
          </w:p>
        </w:tc>
        <w:tc>
          <w:tcPr>
            <w:tcW w:w="1395" w:type="dxa"/>
            <w:shd w:val="clear" w:color="auto" w:fill="auto"/>
          </w:tcPr>
          <w:p w:rsidR="007234DD" w:rsidRDefault="007234DD">
            <w:pPr>
              <w:pStyle w:val="a5"/>
              <w:ind w:right="0"/>
              <w:jc w:val="right"/>
            </w:pPr>
            <w:r>
              <w:t>0.33</w:t>
            </w:r>
          </w:p>
        </w:tc>
        <w:tc>
          <w:tcPr>
            <w:tcW w:w="1354" w:type="dxa"/>
            <w:shd w:val="clear" w:color="auto" w:fill="auto"/>
          </w:tcPr>
          <w:p w:rsidR="007234DD" w:rsidRDefault="007234DD">
            <w:pPr>
              <w:pStyle w:val="a5"/>
              <w:ind w:right="0"/>
              <w:jc w:val="right"/>
              <w:rPr>
                <w:b/>
              </w:rPr>
            </w:pPr>
            <w:r>
              <w:rPr>
                <w:b/>
              </w:rPr>
              <w:t>0.33</w:t>
            </w:r>
          </w:p>
        </w:tc>
      </w:tr>
      <w:tr w:rsidR="007234DD">
        <w:trPr>
          <w:cantSplit/>
        </w:trPr>
        <w:tc>
          <w:tcPr>
            <w:tcW w:w="3247" w:type="dxa"/>
            <w:shd w:val="clear" w:color="auto" w:fill="auto"/>
          </w:tcPr>
          <w:p w:rsidR="007234DD" w:rsidRDefault="007234DD">
            <w:pPr>
              <w:pStyle w:val="a5"/>
              <w:rPr>
                <w:rFonts w:hint="eastAsia"/>
              </w:rPr>
            </w:pPr>
            <w:r>
              <w:rPr>
                <w:rFonts w:hint="eastAsia"/>
              </w:rPr>
              <w:t>电力、燃气、蒸汽和供水</w:t>
            </w:r>
          </w:p>
        </w:tc>
        <w:tc>
          <w:tcPr>
            <w:tcW w:w="1374" w:type="dxa"/>
            <w:shd w:val="clear" w:color="auto" w:fill="auto"/>
          </w:tcPr>
          <w:p w:rsidR="007234DD" w:rsidRDefault="007234DD">
            <w:pPr>
              <w:pStyle w:val="a5"/>
              <w:ind w:right="0"/>
              <w:jc w:val="right"/>
            </w:pPr>
            <w:r>
              <w:t>1.2</w:t>
            </w:r>
          </w:p>
        </w:tc>
        <w:tc>
          <w:tcPr>
            <w:tcW w:w="1395" w:type="dxa"/>
            <w:shd w:val="clear" w:color="auto" w:fill="auto"/>
          </w:tcPr>
          <w:p w:rsidR="007234DD" w:rsidRDefault="007234DD">
            <w:pPr>
              <w:pStyle w:val="a5"/>
              <w:ind w:right="0"/>
              <w:jc w:val="right"/>
            </w:pPr>
            <w:r>
              <w:t>0.04</w:t>
            </w:r>
          </w:p>
        </w:tc>
        <w:tc>
          <w:tcPr>
            <w:tcW w:w="1354" w:type="dxa"/>
            <w:shd w:val="clear" w:color="auto" w:fill="auto"/>
          </w:tcPr>
          <w:p w:rsidR="007234DD" w:rsidRDefault="007234DD">
            <w:pPr>
              <w:pStyle w:val="a5"/>
              <w:ind w:right="0"/>
              <w:jc w:val="right"/>
              <w:rPr>
                <w:b/>
              </w:rPr>
            </w:pPr>
            <w:r>
              <w:rPr>
                <w:b/>
              </w:rPr>
              <w:t>0.28</w:t>
            </w:r>
          </w:p>
        </w:tc>
      </w:tr>
      <w:tr w:rsidR="007234DD">
        <w:trPr>
          <w:cantSplit/>
        </w:trPr>
        <w:tc>
          <w:tcPr>
            <w:tcW w:w="3247" w:type="dxa"/>
            <w:shd w:val="clear" w:color="auto" w:fill="auto"/>
          </w:tcPr>
          <w:p w:rsidR="007234DD" w:rsidRDefault="007234DD">
            <w:pPr>
              <w:pStyle w:val="a5"/>
              <w:rPr>
                <w:rFonts w:hint="eastAsia"/>
              </w:rPr>
            </w:pPr>
            <w:r>
              <w:rPr>
                <w:rFonts w:hint="eastAsia"/>
              </w:rPr>
              <w:t>建筑业</w:t>
            </w:r>
          </w:p>
        </w:tc>
        <w:tc>
          <w:tcPr>
            <w:tcW w:w="1374" w:type="dxa"/>
            <w:shd w:val="clear" w:color="auto" w:fill="auto"/>
          </w:tcPr>
          <w:p w:rsidR="007234DD" w:rsidRDefault="007234DD">
            <w:pPr>
              <w:pStyle w:val="a5"/>
              <w:ind w:right="0"/>
              <w:jc w:val="right"/>
            </w:pPr>
            <w:r>
              <w:t>0.25</w:t>
            </w:r>
          </w:p>
        </w:tc>
        <w:tc>
          <w:tcPr>
            <w:tcW w:w="1395" w:type="dxa"/>
            <w:shd w:val="clear" w:color="auto" w:fill="auto"/>
          </w:tcPr>
          <w:p w:rsidR="007234DD" w:rsidRDefault="007234DD">
            <w:pPr>
              <w:pStyle w:val="a5"/>
              <w:ind w:right="0"/>
              <w:jc w:val="right"/>
            </w:pPr>
            <w:r>
              <w:t>3.45</w:t>
            </w:r>
          </w:p>
        </w:tc>
        <w:tc>
          <w:tcPr>
            <w:tcW w:w="1354" w:type="dxa"/>
            <w:shd w:val="clear" w:color="auto" w:fill="auto"/>
          </w:tcPr>
          <w:p w:rsidR="007234DD" w:rsidRDefault="007234DD">
            <w:pPr>
              <w:pStyle w:val="a5"/>
              <w:ind w:right="0"/>
              <w:jc w:val="right"/>
              <w:rPr>
                <w:b/>
              </w:rPr>
            </w:pPr>
            <w:r>
              <w:rPr>
                <w:b/>
              </w:rPr>
              <w:t>2.79</w:t>
            </w:r>
          </w:p>
        </w:tc>
      </w:tr>
      <w:tr w:rsidR="007234DD">
        <w:trPr>
          <w:cantSplit/>
        </w:trPr>
        <w:tc>
          <w:tcPr>
            <w:tcW w:w="3247" w:type="dxa"/>
            <w:shd w:val="clear" w:color="auto" w:fill="auto"/>
          </w:tcPr>
          <w:p w:rsidR="007234DD" w:rsidRDefault="007234DD">
            <w:pPr>
              <w:pStyle w:val="a5"/>
            </w:pPr>
            <w:r>
              <w:rPr>
                <w:rFonts w:hint="eastAsia"/>
              </w:rPr>
              <w:t>批发零售；汽摩修理；个人和家庭用品</w:t>
            </w:r>
          </w:p>
        </w:tc>
        <w:tc>
          <w:tcPr>
            <w:tcW w:w="1374" w:type="dxa"/>
            <w:shd w:val="clear" w:color="auto" w:fill="auto"/>
          </w:tcPr>
          <w:p w:rsidR="007234DD" w:rsidRDefault="007234DD">
            <w:pPr>
              <w:pStyle w:val="a5"/>
              <w:ind w:right="0"/>
              <w:jc w:val="right"/>
            </w:pPr>
            <w:r>
              <w:t>0.37</w:t>
            </w:r>
          </w:p>
        </w:tc>
        <w:tc>
          <w:tcPr>
            <w:tcW w:w="1395" w:type="dxa"/>
            <w:shd w:val="clear" w:color="auto" w:fill="auto"/>
          </w:tcPr>
          <w:p w:rsidR="007234DD" w:rsidRDefault="007234DD">
            <w:pPr>
              <w:pStyle w:val="a5"/>
              <w:ind w:right="0"/>
              <w:jc w:val="right"/>
            </w:pPr>
            <w:r>
              <w:t>4.35</w:t>
            </w:r>
          </w:p>
        </w:tc>
        <w:tc>
          <w:tcPr>
            <w:tcW w:w="1354" w:type="dxa"/>
            <w:shd w:val="clear" w:color="auto" w:fill="auto"/>
          </w:tcPr>
          <w:p w:rsidR="007234DD" w:rsidRDefault="007234DD">
            <w:pPr>
              <w:pStyle w:val="a5"/>
              <w:ind w:right="0"/>
              <w:jc w:val="right"/>
              <w:rPr>
                <w:b/>
              </w:rPr>
            </w:pPr>
            <w:r>
              <w:rPr>
                <w:b/>
              </w:rPr>
              <w:t>3.53</w:t>
            </w:r>
          </w:p>
        </w:tc>
      </w:tr>
      <w:tr w:rsidR="007234DD">
        <w:trPr>
          <w:cantSplit/>
        </w:trPr>
        <w:tc>
          <w:tcPr>
            <w:tcW w:w="3247" w:type="dxa"/>
            <w:shd w:val="clear" w:color="auto" w:fill="auto"/>
          </w:tcPr>
          <w:p w:rsidR="007234DD" w:rsidRDefault="007234DD">
            <w:pPr>
              <w:pStyle w:val="a5"/>
              <w:rPr>
                <w:rFonts w:hint="eastAsia"/>
              </w:rPr>
            </w:pPr>
            <w:r>
              <w:rPr>
                <w:rFonts w:hint="eastAsia"/>
              </w:rPr>
              <w:t>酒店和餐馆</w:t>
            </w:r>
          </w:p>
        </w:tc>
        <w:tc>
          <w:tcPr>
            <w:tcW w:w="1374" w:type="dxa"/>
            <w:shd w:val="clear" w:color="auto" w:fill="auto"/>
          </w:tcPr>
          <w:p w:rsidR="007234DD" w:rsidRDefault="007234DD">
            <w:pPr>
              <w:pStyle w:val="a5"/>
              <w:ind w:right="0"/>
              <w:jc w:val="right"/>
            </w:pPr>
            <w:r>
              <w:t>0</w:t>
            </w:r>
          </w:p>
        </w:tc>
        <w:tc>
          <w:tcPr>
            <w:tcW w:w="1395" w:type="dxa"/>
            <w:shd w:val="clear" w:color="auto" w:fill="auto"/>
          </w:tcPr>
          <w:p w:rsidR="007234DD" w:rsidRDefault="007234DD">
            <w:pPr>
              <w:pStyle w:val="a5"/>
              <w:ind w:right="0"/>
              <w:jc w:val="right"/>
            </w:pPr>
            <w:r>
              <w:t>4.73</w:t>
            </w:r>
          </w:p>
        </w:tc>
        <w:tc>
          <w:tcPr>
            <w:tcW w:w="1354" w:type="dxa"/>
            <w:shd w:val="clear" w:color="auto" w:fill="auto"/>
          </w:tcPr>
          <w:p w:rsidR="007234DD" w:rsidRDefault="007234DD">
            <w:pPr>
              <w:pStyle w:val="a5"/>
              <w:ind w:right="0"/>
              <w:jc w:val="right"/>
              <w:rPr>
                <w:b/>
              </w:rPr>
            </w:pPr>
            <w:r>
              <w:rPr>
                <w:b/>
              </w:rPr>
              <w:t>3.76</w:t>
            </w:r>
          </w:p>
        </w:tc>
      </w:tr>
      <w:tr w:rsidR="007234DD">
        <w:trPr>
          <w:cantSplit/>
        </w:trPr>
        <w:tc>
          <w:tcPr>
            <w:tcW w:w="3247" w:type="dxa"/>
            <w:shd w:val="clear" w:color="auto" w:fill="auto"/>
          </w:tcPr>
          <w:p w:rsidR="007234DD" w:rsidRDefault="007234DD">
            <w:pPr>
              <w:pStyle w:val="a5"/>
              <w:rPr>
                <w:rFonts w:hint="eastAsia"/>
              </w:rPr>
            </w:pPr>
            <w:r>
              <w:rPr>
                <w:rFonts w:hint="eastAsia"/>
              </w:rPr>
              <w:t>运输、仓储和通信</w:t>
            </w:r>
          </w:p>
        </w:tc>
        <w:tc>
          <w:tcPr>
            <w:tcW w:w="1374" w:type="dxa"/>
            <w:shd w:val="clear" w:color="auto" w:fill="auto"/>
          </w:tcPr>
          <w:p w:rsidR="007234DD" w:rsidRDefault="007234DD">
            <w:pPr>
              <w:pStyle w:val="a5"/>
              <w:ind w:right="0"/>
              <w:jc w:val="right"/>
            </w:pPr>
            <w:r>
              <w:t>2.48</w:t>
            </w:r>
          </w:p>
        </w:tc>
        <w:tc>
          <w:tcPr>
            <w:tcW w:w="1395" w:type="dxa"/>
            <w:shd w:val="clear" w:color="auto" w:fill="auto"/>
          </w:tcPr>
          <w:p w:rsidR="007234DD" w:rsidRDefault="007234DD">
            <w:pPr>
              <w:pStyle w:val="a5"/>
              <w:ind w:right="0"/>
              <w:jc w:val="right"/>
            </w:pPr>
            <w:r>
              <w:t>7.32</w:t>
            </w:r>
          </w:p>
        </w:tc>
        <w:tc>
          <w:tcPr>
            <w:tcW w:w="1354" w:type="dxa"/>
            <w:shd w:val="clear" w:color="auto" w:fill="auto"/>
          </w:tcPr>
          <w:p w:rsidR="007234DD" w:rsidRDefault="007234DD">
            <w:pPr>
              <w:pStyle w:val="a5"/>
              <w:ind w:right="0"/>
              <w:jc w:val="right"/>
              <w:rPr>
                <w:b/>
              </w:rPr>
            </w:pPr>
            <w:r>
              <w:rPr>
                <w:b/>
              </w:rPr>
              <w:t>6.33</w:t>
            </w:r>
          </w:p>
        </w:tc>
      </w:tr>
      <w:tr w:rsidR="007234DD">
        <w:trPr>
          <w:cantSplit/>
        </w:trPr>
        <w:tc>
          <w:tcPr>
            <w:tcW w:w="3247" w:type="dxa"/>
            <w:shd w:val="clear" w:color="auto" w:fill="auto"/>
          </w:tcPr>
          <w:p w:rsidR="007234DD" w:rsidRDefault="007234DD">
            <w:pPr>
              <w:pStyle w:val="a5"/>
              <w:rPr>
                <w:rFonts w:hint="eastAsia"/>
              </w:rPr>
            </w:pPr>
            <w:r>
              <w:rPr>
                <w:rFonts w:hint="eastAsia"/>
              </w:rPr>
              <w:t>金融服务</w:t>
            </w:r>
          </w:p>
        </w:tc>
        <w:tc>
          <w:tcPr>
            <w:tcW w:w="1374" w:type="dxa"/>
            <w:shd w:val="clear" w:color="auto" w:fill="auto"/>
          </w:tcPr>
          <w:p w:rsidR="007234DD" w:rsidRDefault="007234DD">
            <w:pPr>
              <w:pStyle w:val="a5"/>
              <w:ind w:right="0"/>
              <w:jc w:val="right"/>
            </w:pPr>
            <w:r>
              <w:t>5.14</w:t>
            </w:r>
          </w:p>
        </w:tc>
        <w:tc>
          <w:tcPr>
            <w:tcW w:w="1395" w:type="dxa"/>
            <w:shd w:val="clear" w:color="auto" w:fill="auto"/>
          </w:tcPr>
          <w:p w:rsidR="007234DD" w:rsidRDefault="007234DD">
            <w:pPr>
              <w:pStyle w:val="a5"/>
              <w:ind w:right="0"/>
              <w:jc w:val="right"/>
            </w:pPr>
            <w:r>
              <w:t>2.32</w:t>
            </w:r>
          </w:p>
        </w:tc>
        <w:tc>
          <w:tcPr>
            <w:tcW w:w="1354" w:type="dxa"/>
            <w:shd w:val="clear" w:color="auto" w:fill="auto"/>
          </w:tcPr>
          <w:p w:rsidR="007234DD" w:rsidRDefault="007234DD">
            <w:pPr>
              <w:pStyle w:val="a5"/>
              <w:ind w:right="0"/>
              <w:jc w:val="right"/>
              <w:rPr>
                <w:b/>
              </w:rPr>
            </w:pPr>
            <w:r>
              <w:rPr>
                <w:b/>
              </w:rPr>
              <w:t>2.9</w:t>
            </w:r>
          </w:p>
        </w:tc>
      </w:tr>
      <w:tr w:rsidR="007234DD">
        <w:trPr>
          <w:cantSplit/>
        </w:trPr>
        <w:tc>
          <w:tcPr>
            <w:tcW w:w="3247" w:type="dxa"/>
            <w:shd w:val="clear" w:color="auto" w:fill="auto"/>
          </w:tcPr>
          <w:p w:rsidR="007234DD" w:rsidRDefault="007234DD">
            <w:pPr>
              <w:pStyle w:val="a5"/>
              <w:rPr>
                <w:rFonts w:hint="eastAsia"/>
              </w:rPr>
            </w:pPr>
            <w:r>
              <w:rPr>
                <w:rFonts w:hint="eastAsia"/>
              </w:rPr>
              <w:t>房地产、租赁和商业</w:t>
            </w:r>
          </w:p>
        </w:tc>
        <w:tc>
          <w:tcPr>
            <w:tcW w:w="1374" w:type="dxa"/>
            <w:shd w:val="clear" w:color="auto" w:fill="auto"/>
          </w:tcPr>
          <w:p w:rsidR="007234DD" w:rsidRDefault="007234DD">
            <w:pPr>
              <w:pStyle w:val="a5"/>
              <w:ind w:right="0"/>
              <w:jc w:val="right"/>
            </w:pPr>
            <w:r>
              <w:t>0.88</w:t>
            </w:r>
          </w:p>
        </w:tc>
        <w:tc>
          <w:tcPr>
            <w:tcW w:w="1395" w:type="dxa"/>
            <w:shd w:val="clear" w:color="auto" w:fill="auto"/>
          </w:tcPr>
          <w:p w:rsidR="007234DD" w:rsidRDefault="007234DD">
            <w:pPr>
              <w:pStyle w:val="a5"/>
              <w:ind w:right="0"/>
              <w:jc w:val="right"/>
            </w:pPr>
            <w:r>
              <w:t>2.1</w:t>
            </w:r>
          </w:p>
        </w:tc>
        <w:tc>
          <w:tcPr>
            <w:tcW w:w="1354" w:type="dxa"/>
            <w:shd w:val="clear" w:color="auto" w:fill="auto"/>
          </w:tcPr>
          <w:p w:rsidR="007234DD" w:rsidRDefault="007234DD">
            <w:pPr>
              <w:pStyle w:val="a5"/>
              <w:ind w:right="0"/>
              <w:jc w:val="right"/>
              <w:rPr>
                <w:b/>
              </w:rPr>
            </w:pPr>
            <w:r>
              <w:rPr>
                <w:b/>
              </w:rPr>
              <w:t>1.85</w:t>
            </w:r>
          </w:p>
        </w:tc>
      </w:tr>
      <w:tr w:rsidR="007234DD">
        <w:trPr>
          <w:cantSplit/>
        </w:trPr>
        <w:tc>
          <w:tcPr>
            <w:tcW w:w="3247" w:type="dxa"/>
            <w:shd w:val="clear" w:color="auto" w:fill="auto"/>
          </w:tcPr>
          <w:p w:rsidR="007234DD" w:rsidRDefault="007234DD">
            <w:pPr>
              <w:pStyle w:val="a5"/>
            </w:pPr>
            <w:r>
              <w:rPr>
                <w:rFonts w:hint="eastAsia"/>
              </w:rPr>
              <w:t>公共行政，防卫和法定社会保障</w:t>
            </w:r>
          </w:p>
        </w:tc>
        <w:tc>
          <w:tcPr>
            <w:tcW w:w="1374" w:type="dxa"/>
            <w:shd w:val="clear" w:color="auto" w:fill="auto"/>
          </w:tcPr>
          <w:p w:rsidR="007234DD" w:rsidRDefault="007234DD">
            <w:pPr>
              <w:pStyle w:val="a5"/>
              <w:ind w:right="0"/>
              <w:jc w:val="right"/>
            </w:pPr>
            <w:r>
              <w:t>33.08</w:t>
            </w:r>
          </w:p>
        </w:tc>
        <w:tc>
          <w:tcPr>
            <w:tcW w:w="1395" w:type="dxa"/>
            <w:shd w:val="clear" w:color="auto" w:fill="auto"/>
          </w:tcPr>
          <w:p w:rsidR="007234DD" w:rsidRDefault="007234DD">
            <w:pPr>
              <w:pStyle w:val="a5"/>
              <w:ind w:right="0"/>
              <w:jc w:val="right"/>
            </w:pPr>
            <w:r>
              <w:t>0.95</w:t>
            </w:r>
          </w:p>
        </w:tc>
        <w:tc>
          <w:tcPr>
            <w:tcW w:w="1354" w:type="dxa"/>
            <w:shd w:val="clear" w:color="auto" w:fill="auto"/>
          </w:tcPr>
          <w:p w:rsidR="007234DD" w:rsidRDefault="007234DD">
            <w:pPr>
              <w:pStyle w:val="a5"/>
              <w:ind w:right="0"/>
              <w:jc w:val="right"/>
              <w:rPr>
                <w:b/>
              </w:rPr>
            </w:pPr>
            <w:r>
              <w:rPr>
                <w:b/>
              </w:rPr>
              <w:t>7.56</w:t>
            </w:r>
          </w:p>
        </w:tc>
      </w:tr>
      <w:tr w:rsidR="007234DD">
        <w:trPr>
          <w:cantSplit/>
        </w:trPr>
        <w:tc>
          <w:tcPr>
            <w:tcW w:w="3247" w:type="dxa"/>
            <w:shd w:val="clear" w:color="auto" w:fill="auto"/>
          </w:tcPr>
          <w:p w:rsidR="007234DD" w:rsidRDefault="007234DD">
            <w:pPr>
              <w:pStyle w:val="a5"/>
              <w:rPr>
                <w:rFonts w:hint="eastAsia"/>
              </w:rPr>
            </w:pPr>
            <w:r>
              <w:rPr>
                <w:rFonts w:hint="eastAsia"/>
              </w:rPr>
              <w:t>教育</w:t>
            </w:r>
          </w:p>
        </w:tc>
        <w:tc>
          <w:tcPr>
            <w:tcW w:w="1374" w:type="dxa"/>
            <w:shd w:val="clear" w:color="auto" w:fill="auto"/>
          </w:tcPr>
          <w:p w:rsidR="007234DD" w:rsidRDefault="007234DD">
            <w:pPr>
              <w:pStyle w:val="a5"/>
              <w:ind w:right="0"/>
              <w:jc w:val="right"/>
            </w:pPr>
            <w:r>
              <w:t>37.83</w:t>
            </w:r>
          </w:p>
        </w:tc>
        <w:tc>
          <w:tcPr>
            <w:tcW w:w="1395" w:type="dxa"/>
            <w:shd w:val="clear" w:color="auto" w:fill="auto"/>
          </w:tcPr>
          <w:p w:rsidR="007234DD" w:rsidRDefault="007234DD">
            <w:pPr>
              <w:pStyle w:val="a5"/>
              <w:ind w:right="0"/>
              <w:jc w:val="right"/>
            </w:pPr>
            <w:r>
              <w:t>8.38</w:t>
            </w:r>
          </w:p>
        </w:tc>
        <w:tc>
          <w:tcPr>
            <w:tcW w:w="1354" w:type="dxa"/>
            <w:shd w:val="clear" w:color="auto" w:fill="auto"/>
          </w:tcPr>
          <w:p w:rsidR="007234DD" w:rsidRDefault="007234DD">
            <w:pPr>
              <w:pStyle w:val="a5"/>
              <w:ind w:right="0"/>
              <w:jc w:val="right"/>
              <w:rPr>
                <w:b/>
              </w:rPr>
            </w:pPr>
            <w:r>
              <w:rPr>
                <w:b/>
              </w:rPr>
              <w:t>14.43</w:t>
            </w:r>
          </w:p>
        </w:tc>
      </w:tr>
      <w:tr w:rsidR="007234DD">
        <w:trPr>
          <w:cantSplit/>
        </w:trPr>
        <w:tc>
          <w:tcPr>
            <w:tcW w:w="3247" w:type="dxa"/>
            <w:shd w:val="clear" w:color="auto" w:fill="auto"/>
          </w:tcPr>
          <w:p w:rsidR="007234DD" w:rsidRDefault="007234DD">
            <w:pPr>
              <w:pStyle w:val="a5"/>
              <w:rPr>
                <w:rFonts w:hint="eastAsia"/>
              </w:rPr>
            </w:pPr>
            <w:r>
              <w:rPr>
                <w:rFonts w:hint="eastAsia"/>
              </w:rPr>
              <w:t>卫生和社会工作</w:t>
            </w:r>
          </w:p>
        </w:tc>
        <w:tc>
          <w:tcPr>
            <w:tcW w:w="1374" w:type="dxa"/>
            <w:shd w:val="clear" w:color="auto" w:fill="auto"/>
          </w:tcPr>
          <w:p w:rsidR="007234DD" w:rsidRDefault="007234DD">
            <w:pPr>
              <w:pStyle w:val="a5"/>
              <w:ind w:right="0"/>
              <w:jc w:val="right"/>
            </w:pPr>
            <w:r>
              <w:t>13.44</w:t>
            </w:r>
          </w:p>
        </w:tc>
        <w:tc>
          <w:tcPr>
            <w:tcW w:w="1395" w:type="dxa"/>
            <w:shd w:val="clear" w:color="auto" w:fill="auto"/>
          </w:tcPr>
          <w:p w:rsidR="007234DD" w:rsidRDefault="007234DD">
            <w:pPr>
              <w:pStyle w:val="a5"/>
              <w:ind w:right="0"/>
              <w:jc w:val="right"/>
            </w:pPr>
            <w:r>
              <w:t>12.54</w:t>
            </w:r>
          </w:p>
        </w:tc>
        <w:tc>
          <w:tcPr>
            <w:tcW w:w="1354" w:type="dxa"/>
            <w:shd w:val="clear" w:color="auto" w:fill="auto"/>
          </w:tcPr>
          <w:p w:rsidR="007234DD" w:rsidRDefault="007234DD">
            <w:pPr>
              <w:pStyle w:val="a5"/>
              <w:ind w:right="0"/>
              <w:jc w:val="right"/>
              <w:rPr>
                <w:b/>
              </w:rPr>
            </w:pPr>
            <w:r>
              <w:rPr>
                <w:b/>
              </w:rPr>
              <w:t>12.72</w:t>
            </w:r>
          </w:p>
        </w:tc>
      </w:tr>
      <w:tr w:rsidR="007234DD">
        <w:trPr>
          <w:cantSplit/>
        </w:trPr>
        <w:tc>
          <w:tcPr>
            <w:tcW w:w="3247" w:type="dxa"/>
            <w:shd w:val="clear" w:color="auto" w:fill="auto"/>
          </w:tcPr>
          <w:p w:rsidR="007234DD" w:rsidRDefault="007234DD">
            <w:pPr>
              <w:pStyle w:val="a5"/>
              <w:rPr>
                <w:rFonts w:hint="eastAsia"/>
              </w:rPr>
            </w:pPr>
            <w:r>
              <w:rPr>
                <w:rFonts w:hint="eastAsia"/>
              </w:rPr>
              <w:t>社区服务、社会服务和个人服务</w:t>
            </w:r>
          </w:p>
        </w:tc>
        <w:tc>
          <w:tcPr>
            <w:tcW w:w="1374" w:type="dxa"/>
            <w:shd w:val="clear" w:color="auto" w:fill="auto"/>
          </w:tcPr>
          <w:p w:rsidR="007234DD" w:rsidRDefault="007234DD">
            <w:pPr>
              <w:pStyle w:val="a5"/>
              <w:ind w:right="0"/>
              <w:jc w:val="right"/>
            </w:pPr>
            <w:r>
              <w:t>2.16</w:t>
            </w:r>
          </w:p>
        </w:tc>
        <w:tc>
          <w:tcPr>
            <w:tcW w:w="1395" w:type="dxa"/>
            <w:shd w:val="clear" w:color="auto" w:fill="auto"/>
          </w:tcPr>
          <w:p w:rsidR="007234DD" w:rsidRDefault="007234DD">
            <w:pPr>
              <w:pStyle w:val="a5"/>
              <w:ind w:right="0"/>
              <w:jc w:val="right"/>
            </w:pPr>
            <w:r>
              <w:t>1.68</w:t>
            </w:r>
          </w:p>
        </w:tc>
        <w:tc>
          <w:tcPr>
            <w:tcW w:w="1354" w:type="dxa"/>
            <w:shd w:val="clear" w:color="auto" w:fill="auto"/>
          </w:tcPr>
          <w:p w:rsidR="007234DD" w:rsidRDefault="007234DD">
            <w:pPr>
              <w:pStyle w:val="a5"/>
              <w:ind w:right="0"/>
              <w:jc w:val="right"/>
              <w:rPr>
                <w:b/>
              </w:rPr>
            </w:pPr>
            <w:r>
              <w:rPr>
                <w:b/>
              </w:rPr>
              <w:t>1.78</w:t>
            </w:r>
          </w:p>
        </w:tc>
      </w:tr>
      <w:tr w:rsidR="007234DD">
        <w:trPr>
          <w:cantSplit/>
        </w:trPr>
        <w:tc>
          <w:tcPr>
            <w:tcW w:w="3247" w:type="dxa"/>
            <w:shd w:val="clear" w:color="auto" w:fill="auto"/>
          </w:tcPr>
          <w:p w:rsidR="007234DD" w:rsidRDefault="007234DD">
            <w:pPr>
              <w:pStyle w:val="a5"/>
              <w:rPr>
                <w:rFonts w:hint="eastAsia"/>
              </w:rPr>
            </w:pPr>
            <w:r>
              <w:rPr>
                <w:rFonts w:hint="eastAsia"/>
              </w:rPr>
              <w:t>家庭服务</w:t>
            </w:r>
          </w:p>
        </w:tc>
        <w:tc>
          <w:tcPr>
            <w:tcW w:w="1374" w:type="dxa"/>
            <w:shd w:val="clear" w:color="auto" w:fill="auto"/>
          </w:tcPr>
          <w:p w:rsidR="007234DD" w:rsidRDefault="007234DD">
            <w:pPr>
              <w:pStyle w:val="a5"/>
              <w:ind w:right="0"/>
              <w:jc w:val="right"/>
            </w:pPr>
            <w:r>
              <w:t>0</w:t>
            </w:r>
          </w:p>
        </w:tc>
        <w:tc>
          <w:tcPr>
            <w:tcW w:w="1395" w:type="dxa"/>
            <w:shd w:val="clear" w:color="auto" w:fill="auto"/>
          </w:tcPr>
          <w:p w:rsidR="007234DD" w:rsidRDefault="007234DD">
            <w:pPr>
              <w:pStyle w:val="a5"/>
              <w:ind w:right="0"/>
              <w:jc w:val="right"/>
            </w:pPr>
            <w:r>
              <w:t>48.92</w:t>
            </w:r>
          </w:p>
        </w:tc>
        <w:tc>
          <w:tcPr>
            <w:tcW w:w="1354" w:type="dxa"/>
            <w:shd w:val="clear" w:color="auto" w:fill="auto"/>
          </w:tcPr>
          <w:p w:rsidR="007234DD" w:rsidRDefault="007234DD">
            <w:pPr>
              <w:pStyle w:val="a5"/>
              <w:ind w:right="0"/>
              <w:jc w:val="right"/>
              <w:rPr>
                <w:b/>
              </w:rPr>
            </w:pPr>
            <w:r>
              <w:rPr>
                <w:b/>
              </w:rPr>
              <w:t>38.86</w:t>
            </w:r>
          </w:p>
        </w:tc>
      </w:tr>
      <w:tr w:rsidR="007234DD">
        <w:trPr>
          <w:cantSplit/>
        </w:trPr>
        <w:tc>
          <w:tcPr>
            <w:tcW w:w="3247" w:type="dxa"/>
            <w:tcBorders>
              <w:bottom w:val="single" w:sz="4" w:space="0" w:color="auto"/>
            </w:tcBorders>
            <w:shd w:val="clear" w:color="auto" w:fill="auto"/>
          </w:tcPr>
          <w:p w:rsidR="007234DD" w:rsidRDefault="007234DD">
            <w:pPr>
              <w:pStyle w:val="a5"/>
              <w:rPr>
                <w:rFonts w:hint="eastAsia"/>
              </w:rPr>
            </w:pPr>
            <w:r>
              <w:rPr>
                <w:rFonts w:hint="eastAsia"/>
              </w:rPr>
              <w:t>区域和国际组织与机构</w:t>
            </w:r>
          </w:p>
        </w:tc>
        <w:tc>
          <w:tcPr>
            <w:tcW w:w="1374" w:type="dxa"/>
            <w:tcBorders>
              <w:bottom w:val="single" w:sz="4" w:space="0" w:color="auto"/>
            </w:tcBorders>
            <w:shd w:val="clear" w:color="auto" w:fill="auto"/>
          </w:tcPr>
          <w:p w:rsidR="007234DD" w:rsidRDefault="007234DD">
            <w:pPr>
              <w:pStyle w:val="a5"/>
              <w:ind w:right="0"/>
              <w:jc w:val="right"/>
            </w:pPr>
            <w:r>
              <w:t>0</w:t>
            </w:r>
          </w:p>
        </w:tc>
        <w:tc>
          <w:tcPr>
            <w:tcW w:w="1395" w:type="dxa"/>
            <w:tcBorders>
              <w:bottom w:val="single" w:sz="4" w:space="0" w:color="auto"/>
            </w:tcBorders>
            <w:shd w:val="clear" w:color="auto" w:fill="auto"/>
          </w:tcPr>
          <w:p w:rsidR="007234DD" w:rsidRDefault="007234DD">
            <w:pPr>
              <w:pStyle w:val="a5"/>
              <w:ind w:right="0"/>
              <w:jc w:val="right"/>
            </w:pPr>
            <w:r>
              <w:t>0.24</w:t>
            </w:r>
          </w:p>
        </w:tc>
        <w:tc>
          <w:tcPr>
            <w:tcW w:w="1354" w:type="dxa"/>
            <w:tcBorders>
              <w:bottom w:val="single" w:sz="4" w:space="0" w:color="auto"/>
            </w:tcBorders>
            <w:shd w:val="clear" w:color="auto" w:fill="auto"/>
          </w:tcPr>
          <w:p w:rsidR="007234DD" w:rsidRDefault="007234DD">
            <w:pPr>
              <w:pStyle w:val="a5"/>
              <w:ind w:right="0"/>
              <w:jc w:val="right"/>
              <w:rPr>
                <w:b/>
              </w:rPr>
            </w:pPr>
            <w:r>
              <w:rPr>
                <w:b/>
              </w:rPr>
              <w:t>0.19</w:t>
            </w:r>
          </w:p>
        </w:tc>
      </w:tr>
      <w:tr w:rsidR="007234DD">
        <w:trPr>
          <w:cantSplit/>
        </w:trPr>
        <w:tc>
          <w:tcPr>
            <w:tcW w:w="3247" w:type="dxa"/>
            <w:tcBorders>
              <w:top w:val="single" w:sz="4" w:space="0" w:color="auto"/>
              <w:bottom w:val="single" w:sz="4" w:space="0" w:color="auto"/>
            </w:tcBorders>
            <w:shd w:val="clear" w:color="auto" w:fill="auto"/>
          </w:tcPr>
          <w:p w:rsidR="007234DD" w:rsidRDefault="007234DD">
            <w:pPr>
              <w:pStyle w:val="a5"/>
              <w:spacing w:before="80" w:after="80" w:line="200" w:lineRule="exact"/>
              <w:ind w:left="170"/>
              <w:rPr>
                <w:rFonts w:eastAsia="SimHei"/>
              </w:rPr>
            </w:pPr>
            <w:r>
              <w:rPr>
                <w:rFonts w:eastAsia="SimHei" w:hint="eastAsia"/>
              </w:rPr>
              <w:t>合计</w:t>
            </w:r>
            <w:r>
              <w:rPr>
                <w:rFonts w:eastAsia="SimHei"/>
              </w:rPr>
              <w:t>(%)</w:t>
            </w:r>
          </w:p>
        </w:tc>
        <w:tc>
          <w:tcPr>
            <w:tcW w:w="1374"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100</w:t>
            </w:r>
          </w:p>
        </w:tc>
        <w:tc>
          <w:tcPr>
            <w:tcW w:w="1395"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100</w:t>
            </w:r>
          </w:p>
        </w:tc>
        <w:tc>
          <w:tcPr>
            <w:tcW w:w="1354" w:type="dxa"/>
            <w:tcBorders>
              <w:top w:val="single" w:sz="4" w:space="0" w:color="auto"/>
              <w:bottom w:val="single" w:sz="4"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100</w:t>
            </w:r>
          </w:p>
        </w:tc>
      </w:tr>
      <w:tr w:rsidR="007234DD">
        <w:trPr>
          <w:cantSplit/>
        </w:trPr>
        <w:tc>
          <w:tcPr>
            <w:tcW w:w="3247"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rPr>
            </w:pPr>
            <w:r>
              <w:rPr>
                <w:rFonts w:eastAsia="SimHei" w:hint="eastAsia"/>
              </w:rPr>
              <w:t>女性劳动力总计</w:t>
            </w:r>
          </w:p>
        </w:tc>
        <w:tc>
          <w:tcPr>
            <w:tcW w:w="137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25</w:t>
            </w:r>
            <w:r>
              <w:rPr>
                <w:rFonts w:eastAsia="SimHei"/>
              </w:rPr>
              <w:t>,</w:t>
            </w:r>
            <w:r>
              <w:rPr>
                <w:rFonts w:eastAsia="SimHei"/>
                <w:b/>
              </w:rPr>
              <w:t>463</w:t>
            </w:r>
          </w:p>
        </w:tc>
        <w:tc>
          <w:tcPr>
            <w:tcW w:w="1395"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98</w:t>
            </w:r>
            <w:r>
              <w:rPr>
                <w:rFonts w:eastAsia="SimHei"/>
              </w:rPr>
              <w:t>,</w:t>
            </w:r>
            <w:r>
              <w:rPr>
                <w:rFonts w:eastAsia="SimHei"/>
                <w:b/>
              </w:rPr>
              <w:t>420</w:t>
            </w:r>
          </w:p>
        </w:tc>
        <w:tc>
          <w:tcPr>
            <w:tcW w:w="1354"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123</w:t>
            </w:r>
            <w:r>
              <w:rPr>
                <w:rFonts w:eastAsia="SimHei"/>
              </w:rPr>
              <w:t>,</w:t>
            </w:r>
            <w:r>
              <w:rPr>
                <w:rFonts w:eastAsia="SimHei"/>
                <w:b/>
              </w:rPr>
              <w:t>883</w:t>
            </w:r>
          </w:p>
        </w:tc>
      </w:tr>
    </w:tbl>
    <w:bookmarkEnd w:id="7"/>
    <w:p w:rsidR="007234DD" w:rsidRDefault="007234DD" w:rsidP="005D71D9">
      <w:pPr>
        <w:tabs>
          <w:tab w:val="clear" w:pos="431"/>
        </w:tabs>
        <w:suppressAutoHyphens/>
        <w:overflowPunct/>
        <w:adjustRightInd/>
        <w:snapToGrid/>
        <w:spacing w:before="120" w:after="120" w:line="240" w:lineRule="atLeast"/>
        <w:ind w:left="1134" w:right="1134" w:firstLine="170"/>
        <w:jc w:val="left"/>
        <w:rPr>
          <w:rFonts w:hint="eastAsia"/>
        </w:rPr>
      </w:pPr>
      <w:r>
        <w:rPr>
          <w:rFonts w:eastAsia="KaiTi_GB2312" w:hint="eastAsia"/>
          <w:sz w:val="19"/>
          <w:szCs w:val="19"/>
        </w:rPr>
        <w:t>资料来源：</w:t>
      </w:r>
      <w:r>
        <w:rPr>
          <w:rFonts w:hint="eastAsia"/>
          <w:sz w:val="19"/>
          <w:szCs w:val="19"/>
        </w:rPr>
        <w:t>卡塔尔国，“</w:t>
      </w:r>
      <w:r>
        <w:rPr>
          <w:rFonts w:hint="eastAsia"/>
          <w:sz w:val="19"/>
          <w:szCs w:val="19"/>
        </w:rPr>
        <w:t>Qalam</w:t>
      </w:r>
      <w:r>
        <w:rPr>
          <w:rFonts w:hint="eastAsia"/>
          <w:sz w:val="19"/>
          <w:szCs w:val="19"/>
        </w:rPr>
        <w:t>”项目，</w:t>
      </w:r>
      <w:r>
        <w:rPr>
          <w:rFonts w:hint="eastAsia"/>
          <w:sz w:val="19"/>
          <w:szCs w:val="19"/>
        </w:rPr>
        <w:t>www.qix.gov.qa</w:t>
      </w:r>
      <w:r>
        <w:rPr>
          <w:rFonts w:hint="eastAsia"/>
          <w:sz w:val="19"/>
          <w:szCs w:val="19"/>
        </w:rPr>
        <w:t>。</w:t>
      </w:r>
    </w:p>
    <w:p w:rsidR="007234DD" w:rsidRDefault="007234DD">
      <w:pPr>
        <w:pStyle w:val="SingleTxtGC"/>
      </w:pPr>
      <w:r>
        <w:t xml:space="preserve">296.  </w:t>
      </w:r>
      <w:r>
        <w:rPr>
          <w:rFonts w:hint="eastAsia"/>
        </w:rPr>
        <w:t>妇女的经济活动率从</w:t>
      </w:r>
      <w:r>
        <w:rPr>
          <w:rFonts w:hint="eastAsia"/>
        </w:rPr>
        <w:t>1986</w:t>
      </w:r>
      <w:r>
        <w:rPr>
          <w:rFonts w:hint="eastAsia"/>
        </w:rPr>
        <w:t>年的约</w:t>
      </w:r>
      <w:r>
        <w:rPr>
          <w:rFonts w:hint="eastAsia"/>
        </w:rPr>
        <w:t>30%</w:t>
      </w:r>
      <w:r>
        <w:rPr>
          <w:rFonts w:hint="eastAsia"/>
        </w:rPr>
        <w:t>升至</w:t>
      </w:r>
      <w:r>
        <w:rPr>
          <w:rFonts w:hint="eastAsia"/>
        </w:rPr>
        <w:t>2004</w:t>
      </w:r>
      <w:r>
        <w:rPr>
          <w:rFonts w:hint="eastAsia"/>
        </w:rPr>
        <w:t>年的</w:t>
      </w:r>
      <w:r>
        <w:rPr>
          <w:rFonts w:hint="eastAsia"/>
        </w:rPr>
        <w:t>44%</w:t>
      </w:r>
      <w:r>
        <w:rPr>
          <w:rFonts w:hint="eastAsia"/>
        </w:rPr>
        <w:t>，</w:t>
      </w:r>
      <w:r>
        <w:rPr>
          <w:rFonts w:hint="eastAsia"/>
        </w:rPr>
        <w:t>2007</w:t>
      </w:r>
      <w:r>
        <w:rPr>
          <w:rFonts w:hint="eastAsia"/>
        </w:rPr>
        <w:t>年超过</w:t>
      </w:r>
      <w:r>
        <w:rPr>
          <w:rFonts w:hint="eastAsia"/>
        </w:rPr>
        <w:t>52%</w:t>
      </w:r>
      <w:r>
        <w:rPr>
          <w:rFonts w:hint="eastAsia"/>
        </w:rPr>
        <w:t>。这证明妇女对国内生产总值的贡献越来越大。没有关于以百分比计算的该贡献规模的可靠资料，但据《</w:t>
      </w:r>
      <w:r>
        <w:rPr>
          <w:rFonts w:hint="eastAsia"/>
        </w:rPr>
        <w:t>2009</w:t>
      </w:r>
      <w:r>
        <w:rPr>
          <w:rFonts w:hint="eastAsia"/>
        </w:rPr>
        <w:t>年阿拉伯人类发展报告》估计，卡塔尔女性创造的收入</w:t>
      </w:r>
      <w:r>
        <w:rPr>
          <w:rFonts w:hint="eastAsia"/>
        </w:rPr>
        <w:t>(</w:t>
      </w:r>
      <w:r>
        <w:rPr>
          <w:rFonts w:hint="eastAsia"/>
        </w:rPr>
        <w:t>按美元购买力平价计</w:t>
      </w:r>
      <w:r>
        <w:rPr>
          <w:rFonts w:hint="eastAsia"/>
        </w:rPr>
        <w:t>)</w:t>
      </w:r>
      <w:r>
        <w:rPr>
          <w:rFonts w:hint="eastAsia"/>
        </w:rPr>
        <w:t>约为男性创造收入的四分之一</w:t>
      </w:r>
      <w:r>
        <w:rPr>
          <w:rFonts w:hint="eastAsia"/>
        </w:rPr>
        <w:t>(24.4%)</w:t>
      </w:r>
      <w:r>
        <w:rPr>
          <w:rFonts w:hint="eastAsia"/>
        </w:rPr>
        <w:t>。</w:t>
      </w:r>
    </w:p>
    <w:p w:rsidR="007234DD" w:rsidRDefault="007234DD">
      <w:pPr>
        <w:pStyle w:val="SingleTxtGC"/>
      </w:pPr>
      <w:r>
        <w:t xml:space="preserve">297.  </w:t>
      </w:r>
      <w:r>
        <w:rPr>
          <w:rFonts w:hint="eastAsia"/>
        </w:rPr>
        <w:t>在卡塔尔不同经济活动领域工作的男性和女性的平均工资大幅增长，分别由</w:t>
      </w:r>
      <w:r>
        <w:rPr>
          <w:rFonts w:hint="eastAsia"/>
        </w:rPr>
        <w:t>2006</w:t>
      </w:r>
      <w:r>
        <w:rPr>
          <w:rFonts w:hint="eastAsia"/>
        </w:rPr>
        <w:t>年的</w:t>
      </w:r>
      <w:r>
        <w:rPr>
          <w:rFonts w:hint="eastAsia"/>
        </w:rPr>
        <w:t>5,611</w:t>
      </w:r>
      <w:r>
        <w:rPr>
          <w:rFonts w:hint="eastAsia"/>
        </w:rPr>
        <w:t>卡塔尔里亚尔和</w:t>
      </w:r>
      <w:r>
        <w:rPr>
          <w:rFonts w:hint="eastAsia"/>
        </w:rPr>
        <w:t>4,131</w:t>
      </w:r>
      <w:r>
        <w:rPr>
          <w:rFonts w:hint="eastAsia"/>
        </w:rPr>
        <w:t>卡塔尔里亚尔增至</w:t>
      </w:r>
      <w:r>
        <w:rPr>
          <w:rFonts w:hint="eastAsia"/>
        </w:rPr>
        <w:t>2009</w:t>
      </w:r>
      <w:r>
        <w:rPr>
          <w:rFonts w:hint="eastAsia"/>
        </w:rPr>
        <w:t>年的</w:t>
      </w:r>
      <w:r>
        <w:rPr>
          <w:rFonts w:hint="eastAsia"/>
        </w:rPr>
        <w:t>8,484</w:t>
      </w:r>
      <w:r>
        <w:rPr>
          <w:rFonts w:hint="eastAsia"/>
        </w:rPr>
        <w:t>卡塔尔里亚尔和</w:t>
      </w:r>
      <w:r>
        <w:rPr>
          <w:rFonts w:hint="eastAsia"/>
        </w:rPr>
        <w:t>6,106</w:t>
      </w:r>
      <w:r>
        <w:rPr>
          <w:rFonts w:hint="eastAsia"/>
        </w:rPr>
        <w:t>卡塔尔里亚尔。工资存在性别差距主要是由于男女在不同的活动领域工作，并非相同职业的工资差距。在这方面，在金融服务、采矿、采石、公共管理、防卫和法定社会保障服务等部门工作的人收入较高。</w:t>
      </w:r>
      <w:r>
        <w:rPr>
          <w:rFonts w:hint="eastAsia"/>
        </w:rPr>
        <w:t>2009</w:t>
      </w:r>
      <w:r>
        <w:rPr>
          <w:rFonts w:hint="eastAsia"/>
        </w:rPr>
        <w:t>年，男女两性工资的比率为</w:t>
      </w:r>
      <w:r>
        <w:rPr>
          <w:rFonts w:hint="eastAsia"/>
        </w:rPr>
        <w:t>72%</w:t>
      </w:r>
      <w:r>
        <w:rPr>
          <w:rFonts w:hint="eastAsia"/>
        </w:rPr>
        <w:t>；这是国家采取众多措施缩小两性工资差距的结果。工资差距有望进一步缩小，但与世界其他地区相比，卡塔尔的差距被认为并不特别大。</w:t>
      </w:r>
    </w:p>
    <w:p w:rsidR="007234DD" w:rsidRDefault="007234DD">
      <w:pPr>
        <w:pStyle w:val="SingleTxtGC"/>
      </w:pPr>
      <w:r>
        <w:rPr>
          <w:rFonts w:hint="eastAsia"/>
        </w:rPr>
        <w:t>表</w:t>
      </w:r>
      <w:r>
        <w:rPr>
          <w:rFonts w:hint="eastAsia"/>
        </w:rPr>
        <w:t>26</w:t>
      </w:r>
      <w:r>
        <w:br/>
      </w:r>
      <w:r>
        <w:rPr>
          <w:rFonts w:eastAsia="SimHei" w:hint="eastAsia"/>
        </w:rPr>
        <w:t>按经济活动分列的劳动者平均工资</w:t>
      </w:r>
      <w:r>
        <w:rPr>
          <w:rFonts w:eastAsia="SimHei" w:hint="eastAsia"/>
        </w:rPr>
        <w:t>(</w:t>
      </w:r>
      <w:r>
        <w:rPr>
          <w:rFonts w:eastAsia="SimHei" w:hint="eastAsia"/>
        </w:rPr>
        <w:t>卡塔尔里亚尔</w:t>
      </w:r>
      <w:r>
        <w:rPr>
          <w:rFonts w:eastAsia="SimHei" w:hint="eastAsia"/>
        </w:rPr>
        <w:t>)</w:t>
      </w:r>
    </w:p>
    <w:tbl>
      <w:tblPr>
        <w:tblW w:w="7370" w:type="dxa"/>
        <w:tblInd w:w="1134" w:type="dxa"/>
        <w:tblLayout w:type="fixed"/>
        <w:tblCellMar>
          <w:left w:w="0" w:type="dxa"/>
          <w:right w:w="0" w:type="dxa"/>
        </w:tblCellMar>
        <w:tblLook w:val="01E0" w:firstRow="1" w:lastRow="1" w:firstColumn="1" w:lastColumn="1" w:noHBand="0" w:noVBand="0"/>
      </w:tblPr>
      <w:tblGrid>
        <w:gridCol w:w="2246"/>
        <w:gridCol w:w="623"/>
        <w:gridCol w:w="644"/>
        <w:gridCol w:w="643"/>
        <w:gridCol w:w="644"/>
        <w:gridCol w:w="643"/>
        <w:gridCol w:w="644"/>
        <w:gridCol w:w="643"/>
        <w:gridCol w:w="640"/>
      </w:tblGrid>
      <w:tr w:rsidR="007234DD">
        <w:trPr>
          <w:cantSplit/>
          <w:tblHeader/>
        </w:trPr>
        <w:tc>
          <w:tcPr>
            <w:tcW w:w="2246" w:type="dxa"/>
            <w:tcBorders>
              <w:top w:val="single" w:sz="4" w:space="0" w:color="auto"/>
            </w:tcBorders>
            <w:shd w:val="clear" w:color="auto" w:fill="auto"/>
            <w:vAlign w:val="bottom"/>
          </w:tcPr>
          <w:p w:rsidR="007234DD" w:rsidRDefault="007234DD">
            <w:pPr>
              <w:pStyle w:val="a0"/>
              <w:ind w:right="0"/>
            </w:pPr>
          </w:p>
        </w:tc>
        <w:tc>
          <w:tcPr>
            <w:tcW w:w="1267" w:type="dxa"/>
            <w:gridSpan w:val="2"/>
            <w:tcBorders>
              <w:top w:val="single" w:sz="4" w:space="0" w:color="auto"/>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t>2006</w:t>
            </w:r>
            <w:r>
              <w:rPr>
                <w:rFonts w:hint="eastAsia"/>
              </w:rPr>
              <w:t>年</w:t>
            </w:r>
          </w:p>
        </w:tc>
        <w:tc>
          <w:tcPr>
            <w:tcW w:w="1287"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t>2007</w:t>
            </w:r>
            <w:r>
              <w:rPr>
                <w:rFonts w:hint="eastAsia"/>
              </w:rPr>
              <w:t>年</w:t>
            </w:r>
          </w:p>
        </w:tc>
        <w:tc>
          <w:tcPr>
            <w:tcW w:w="1287"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t>2008</w:t>
            </w:r>
            <w:r>
              <w:rPr>
                <w:rFonts w:hint="eastAsia"/>
              </w:rPr>
              <w:t>年</w:t>
            </w:r>
          </w:p>
        </w:tc>
        <w:tc>
          <w:tcPr>
            <w:tcW w:w="1283" w:type="dxa"/>
            <w:gridSpan w:val="2"/>
            <w:tcBorders>
              <w:top w:val="single" w:sz="4" w:space="0" w:color="auto"/>
              <w:left w:val="single" w:sz="24" w:space="0" w:color="FFFFFF"/>
              <w:bottom w:val="single" w:sz="6" w:space="0" w:color="auto"/>
            </w:tcBorders>
            <w:shd w:val="clear" w:color="auto" w:fill="auto"/>
            <w:vAlign w:val="bottom"/>
          </w:tcPr>
          <w:p w:rsidR="007234DD" w:rsidRDefault="007234DD">
            <w:pPr>
              <w:pStyle w:val="a0"/>
              <w:ind w:right="0"/>
              <w:jc w:val="center"/>
              <w:rPr>
                <w:rFonts w:hint="eastAsia"/>
              </w:rPr>
            </w:pPr>
            <w:r>
              <w:t>2009</w:t>
            </w:r>
            <w:r>
              <w:rPr>
                <w:rFonts w:hint="eastAsia"/>
              </w:rPr>
              <w:t>年</w:t>
            </w:r>
          </w:p>
        </w:tc>
      </w:tr>
      <w:tr w:rsidR="007234DD">
        <w:trPr>
          <w:cantSplit/>
          <w:tblHeader/>
        </w:trPr>
        <w:tc>
          <w:tcPr>
            <w:tcW w:w="2246" w:type="dxa"/>
            <w:tcBorders>
              <w:bottom w:val="single" w:sz="12" w:space="0" w:color="auto"/>
            </w:tcBorders>
            <w:shd w:val="clear" w:color="auto" w:fill="auto"/>
          </w:tcPr>
          <w:p w:rsidR="007234DD" w:rsidRDefault="007234DD">
            <w:pPr>
              <w:pStyle w:val="a0"/>
              <w:ind w:right="0"/>
              <w:jc w:val="left"/>
              <w:rPr>
                <w:rFonts w:eastAsia="SimSun" w:hint="eastAsia"/>
              </w:rPr>
            </w:pPr>
            <w:bookmarkStart w:id="8" w:name="_Hlk340668098"/>
            <w:r>
              <w:rPr>
                <w:rFonts w:hint="eastAsia"/>
              </w:rPr>
              <w:t>经济活动</w:t>
            </w:r>
          </w:p>
        </w:tc>
        <w:tc>
          <w:tcPr>
            <w:tcW w:w="623"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男性</w:t>
            </w:r>
          </w:p>
        </w:tc>
        <w:tc>
          <w:tcPr>
            <w:tcW w:w="644"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rPr>
                <w:rFonts w:hint="eastAsia"/>
              </w:rPr>
            </w:pPr>
            <w:r>
              <w:rPr>
                <w:rFonts w:hint="eastAsia"/>
              </w:rPr>
              <w:t>女性</w:t>
            </w:r>
          </w:p>
        </w:tc>
        <w:tc>
          <w:tcPr>
            <w:tcW w:w="643"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rPr>
                <w:rFonts w:hint="eastAsia"/>
              </w:rPr>
              <w:t>男性</w:t>
            </w:r>
          </w:p>
        </w:tc>
        <w:tc>
          <w:tcPr>
            <w:tcW w:w="644"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pPr>
            <w:r>
              <w:rPr>
                <w:rFonts w:hint="eastAsia"/>
              </w:rPr>
              <w:t>女性</w:t>
            </w:r>
          </w:p>
        </w:tc>
        <w:tc>
          <w:tcPr>
            <w:tcW w:w="643"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rPr>
                <w:rFonts w:hint="eastAsia"/>
              </w:rPr>
              <w:t>男性</w:t>
            </w:r>
          </w:p>
        </w:tc>
        <w:tc>
          <w:tcPr>
            <w:tcW w:w="644"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pPr>
            <w:r>
              <w:rPr>
                <w:rFonts w:hint="eastAsia"/>
              </w:rPr>
              <w:t>女性</w:t>
            </w:r>
          </w:p>
        </w:tc>
        <w:tc>
          <w:tcPr>
            <w:tcW w:w="643"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pPr>
            <w:r>
              <w:rPr>
                <w:rFonts w:hint="eastAsia"/>
              </w:rPr>
              <w:t>男性</w:t>
            </w:r>
          </w:p>
        </w:tc>
        <w:tc>
          <w:tcPr>
            <w:tcW w:w="640" w:type="dxa"/>
            <w:tcBorders>
              <w:top w:val="single" w:sz="6" w:space="0" w:color="auto"/>
              <w:bottom w:val="single" w:sz="12" w:space="0" w:color="auto"/>
            </w:tcBorders>
            <w:shd w:val="clear" w:color="auto" w:fill="auto"/>
          </w:tcPr>
          <w:p w:rsidR="007234DD" w:rsidRDefault="007234DD">
            <w:pPr>
              <w:pStyle w:val="a0"/>
              <w:ind w:right="0"/>
              <w:jc w:val="right"/>
            </w:pPr>
            <w:r>
              <w:rPr>
                <w:rFonts w:hint="eastAsia"/>
              </w:rPr>
              <w:t>女性</w:t>
            </w:r>
          </w:p>
        </w:tc>
      </w:tr>
      <w:bookmarkEnd w:id="8"/>
      <w:tr w:rsidR="007234DD">
        <w:trPr>
          <w:cantSplit/>
        </w:trPr>
        <w:tc>
          <w:tcPr>
            <w:tcW w:w="2246" w:type="dxa"/>
            <w:tcBorders>
              <w:top w:val="single" w:sz="12" w:space="0" w:color="auto"/>
            </w:tcBorders>
            <w:shd w:val="clear" w:color="auto" w:fill="auto"/>
          </w:tcPr>
          <w:p w:rsidR="007234DD" w:rsidRDefault="007234DD">
            <w:pPr>
              <w:pStyle w:val="a5"/>
              <w:rPr>
                <w:szCs w:val="18"/>
              </w:rPr>
            </w:pPr>
            <w:r>
              <w:rPr>
                <w:rFonts w:hint="eastAsia"/>
              </w:rPr>
              <w:t>农业、狩猎和林业</w:t>
            </w:r>
          </w:p>
        </w:tc>
        <w:tc>
          <w:tcPr>
            <w:tcW w:w="623" w:type="dxa"/>
            <w:tcBorders>
              <w:top w:val="single" w:sz="12" w:space="0" w:color="auto"/>
            </w:tcBorders>
            <w:shd w:val="clear" w:color="auto" w:fill="auto"/>
          </w:tcPr>
          <w:p w:rsidR="007234DD" w:rsidRDefault="007234DD">
            <w:pPr>
              <w:pStyle w:val="a5"/>
              <w:ind w:right="0"/>
              <w:jc w:val="right"/>
              <w:rPr>
                <w:szCs w:val="18"/>
              </w:rPr>
            </w:pPr>
            <w:r>
              <w:rPr>
                <w:szCs w:val="18"/>
              </w:rPr>
              <w:t>1,740</w:t>
            </w:r>
          </w:p>
        </w:tc>
        <w:tc>
          <w:tcPr>
            <w:tcW w:w="644" w:type="dxa"/>
            <w:tcBorders>
              <w:top w:val="single" w:sz="12" w:space="0" w:color="auto"/>
            </w:tcBorders>
            <w:shd w:val="clear" w:color="auto" w:fill="auto"/>
          </w:tcPr>
          <w:p w:rsidR="007234DD" w:rsidRDefault="007234DD">
            <w:pPr>
              <w:pStyle w:val="a5"/>
              <w:ind w:right="0"/>
              <w:jc w:val="right"/>
              <w:rPr>
                <w:szCs w:val="18"/>
              </w:rPr>
            </w:pPr>
            <w:r>
              <w:rPr>
                <w:szCs w:val="18"/>
              </w:rPr>
              <w:t>0</w:t>
            </w:r>
          </w:p>
        </w:tc>
        <w:tc>
          <w:tcPr>
            <w:tcW w:w="643" w:type="dxa"/>
            <w:tcBorders>
              <w:top w:val="single" w:sz="12" w:space="0" w:color="auto"/>
            </w:tcBorders>
            <w:shd w:val="clear" w:color="auto" w:fill="auto"/>
          </w:tcPr>
          <w:p w:rsidR="007234DD" w:rsidRDefault="007234DD">
            <w:pPr>
              <w:pStyle w:val="a5"/>
              <w:ind w:right="0"/>
              <w:jc w:val="right"/>
              <w:rPr>
                <w:szCs w:val="18"/>
              </w:rPr>
            </w:pPr>
            <w:r>
              <w:rPr>
                <w:szCs w:val="18"/>
              </w:rPr>
              <w:t>2,048</w:t>
            </w:r>
          </w:p>
        </w:tc>
        <w:tc>
          <w:tcPr>
            <w:tcW w:w="644" w:type="dxa"/>
            <w:tcBorders>
              <w:top w:val="single" w:sz="12" w:space="0" w:color="auto"/>
            </w:tcBorders>
            <w:shd w:val="clear" w:color="auto" w:fill="auto"/>
          </w:tcPr>
          <w:p w:rsidR="007234DD" w:rsidRDefault="007234DD">
            <w:pPr>
              <w:pStyle w:val="a5"/>
              <w:ind w:right="0"/>
              <w:jc w:val="right"/>
              <w:rPr>
                <w:szCs w:val="18"/>
              </w:rPr>
            </w:pPr>
            <w:r>
              <w:rPr>
                <w:szCs w:val="18"/>
              </w:rPr>
              <w:t>0</w:t>
            </w:r>
          </w:p>
        </w:tc>
        <w:tc>
          <w:tcPr>
            <w:tcW w:w="643" w:type="dxa"/>
            <w:tcBorders>
              <w:top w:val="single" w:sz="12" w:space="0" w:color="auto"/>
            </w:tcBorders>
            <w:shd w:val="clear" w:color="auto" w:fill="auto"/>
          </w:tcPr>
          <w:p w:rsidR="007234DD" w:rsidRDefault="007234DD">
            <w:pPr>
              <w:pStyle w:val="a5"/>
              <w:ind w:right="0"/>
              <w:jc w:val="right"/>
              <w:rPr>
                <w:szCs w:val="18"/>
              </w:rPr>
            </w:pPr>
            <w:r>
              <w:rPr>
                <w:szCs w:val="18"/>
              </w:rPr>
              <w:t>2,708</w:t>
            </w:r>
          </w:p>
        </w:tc>
        <w:tc>
          <w:tcPr>
            <w:tcW w:w="644" w:type="dxa"/>
            <w:tcBorders>
              <w:top w:val="single" w:sz="12" w:space="0" w:color="auto"/>
            </w:tcBorders>
            <w:shd w:val="clear" w:color="auto" w:fill="auto"/>
          </w:tcPr>
          <w:p w:rsidR="007234DD" w:rsidRDefault="007234DD">
            <w:pPr>
              <w:pStyle w:val="a5"/>
              <w:ind w:right="0"/>
              <w:jc w:val="right"/>
              <w:rPr>
                <w:szCs w:val="18"/>
              </w:rPr>
            </w:pPr>
            <w:r>
              <w:rPr>
                <w:szCs w:val="18"/>
              </w:rPr>
              <w:t>0</w:t>
            </w:r>
          </w:p>
        </w:tc>
        <w:tc>
          <w:tcPr>
            <w:tcW w:w="643" w:type="dxa"/>
            <w:tcBorders>
              <w:top w:val="single" w:sz="12" w:space="0" w:color="auto"/>
            </w:tcBorders>
            <w:shd w:val="clear" w:color="auto" w:fill="auto"/>
          </w:tcPr>
          <w:p w:rsidR="007234DD" w:rsidRDefault="007234DD">
            <w:pPr>
              <w:pStyle w:val="a5"/>
              <w:ind w:right="0"/>
              <w:jc w:val="right"/>
              <w:rPr>
                <w:szCs w:val="18"/>
              </w:rPr>
            </w:pPr>
            <w:r>
              <w:rPr>
                <w:szCs w:val="18"/>
              </w:rPr>
              <w:t>1,895</w:t>
            </w:r>
          </w:p>
        </w:tc>
        <w:tc>
          <w:tcPr>
            <w:tcW w:w="640" w:type="dxa"/>
            <w:tcBorders>
              <w:top w:val="single" w:sz="12" w:space="0" w:color="auto"/>
            </w:tcBorders>
            <w:shd w:val="clear" w:color="auto" w:fill="auto"/>
          </w:tcPr>
          <w:p w:rsidR="007234DD" w:rsidRDefault="007234DD">
            <w:pPr>
              <w:pStyle w:val="a5"/>
              <w:ind w:right="0"/>
              <w:jc w:val="right"/>
              <w:rPr>
                <w:szCs w:val="18"/>
              </w:rPr>
            </w:pPr>
            <w:r>
              <w:rPr>
                <w:szCs w:val="18"/>
              </w:rPr>
              <w:t>0</w:t>
            </w:r>
          </w:p>
        </w:tc>
      </w:tr>
      <w:tr w:rsidR="007234DD">
        <w:trPr>
          <w:cantSplit/>
        </w:trPr>
        <w:tc>
          <w:tcPr>
            <w:tcW w:w="2246" w:type="dxa"/>
            <w:shd w:val="clear" w:color="auto" w:fill="auto"/>
          </w:tcPr>
          <w:p w:rsidR="007234DD" w:rsidRDefault="007234DD">
            <w:pPr>
              <w:pStyle w:val="a5"/>
            </w:pPr>
            <w:bookmarkStart w:id="9" w:name="_Hlk340670024"/>
            <w:r>
              <w:rPr>
                <w:rFonts w:hint="eastAsia"/>
              </w:rPr>
              <w:t>渔业</w:t>
            </w:r>
          </w:p>
        </w:tc>
        <w:tc>
          <w:tcPr>
            <w:tcW w:w="623" w:type="dxa"/>
            <w:shd w:val="clear" w:color="auto" w:fill="auto"/>
          </w:tcPr>
          <w:p w:rsidR="007234DD" w:rsidRDefault="007234DD">
            <w:pPr>
              <w:pStyle w:val="a5"/>
              <w:ind w:right="0"/>
              <w:jc w:val="right"/>
            </w:pPr>
            <w:r>
              <w:t>1,685</w:t>
            </w:r>
          </w:p>
        </w:tc>
        <w:tc>
          <w:tcPr>
            <w:tcW w:w="644" w:type="dxa"/>
            <w:shd w:val="clear" w:color="auto" w:fill="auto"/>
          </w:tcPr>
          <w:p w:rsidR="007234DD" w:rsidRDefault="007234DD">
            <w:pPr>
              <w:pStyle w:val="a5"/>
              <w:ind w:right="0"/>
              <w:jc w:val="right"/>
            </w:pPr>
            <w:r>
              <w:t>0</w:t>
            </w:r>
          </w:p>
        </w:tc>
        <w:tc>
          <w:tcPr>
            <w:tcW w:w="643" w:type="dxa"/>
            <w:shd w:val="clear" w:color="auto" w:fill="auto"/>
          </w:tcPr>
          <w:p w:rsidR="007234DD" w:rsidRDefault="007234DD">
            <w:pPr>
              <w:pStyle w:val="a5"/>
              <w:ind w:right="0"/>
              <w:jc w:val="right"/>
            </w:pPr>
            <w:r>
              <w:t>2,357</w:t>
            </w:r>
          </w:p>
        </w:tc>
        <w:tc>
          <w:tcPr>
            <w:tcW w:w="644" w:type="dxa"/>
            <w:shd w:val="clear" w:color="auto" w:fill="auto"/>
          </w:tcPr>
          <w:p w:rsidR="007234DD" w:rsidRDefault="007234DD">
            <w:pPr>
              <w:pStyle w:val="a5"/>
              <w:ind w:right="0"/>
              <w:jc w:val="right"/>
            </w:pPr>
            <w:r>
              <w:t>0</w:t>
            </w:r>
          </w:p>
        </w:tc>
        <w:tc>
          <w:tcPr>
            <w:tcW w:w="643" w:type="dxa"/>
            <w:shd w:val="clear" w:color="auto" w:fill="auto"/>
          </w:tcPr>
          <w:p w:rsidR="007234DD" w:rsidRDefault="007234DD">
            <w:pPr>
              <w:pStyle w:val="a5"/>
              <w:ind w:right="0"/>
              <w:jc w:val="right"/>
            </w:pPr>
            <w:r>
              <w:t>3,259</w:t>
            </w:r>
          </w:p>
        </w:tc>
        <w:tc>
          <w:tcPr>
            <w:tcW w:w="644" w:type="dxa"/>
            <w:shd w:val="clear" w:color="auto" w:fill="auto"/>
          </w:tcPr>
          <w:p w:rsidR="007234DD" w:rsidRDefault="007234DD">
            <w:pPr>
              <w:pStyle w:val="a5"/>
              <w:ind w:right="0"/>
              <w:jc w:val="right"/>
            </w:pPr>
            <w:r>
              <w:t>0</w:t>
            </w:r>
          </w:p>
        </w:tc>
        <w:tc>
          <w:tcPr>
            <w:tcW w:w="643" w:type="dxa"/>
            <w:shd w:val="clear" w:color="auto" w:fill="auto"/>
          </w:tcPr>
          <w:p w:rsidR="007234DD" w:rsidRDefault="007234DD">
            <w:pPr>
              <w:pStyle w:val="a5"/>
              <w:ind w:right="0"/>
              <w:jc w:val="right"/>
            </w:pPr>
            <w:r>
              <w:t>2,743</w:t>
            </w:r>
          </w:p>
        </w:tc>
        <w:tc>
          <w:tcPr>
            <w:tcW w:w="640" w:type="dxa"/>
            <w:shd w:val="clear" w:color="auto" w:fill="auto"/>
          </w:tcPr>
          <w:p w:rsidR="007234DD" w:rsidRDefault="007234DD">
            <w:pPr>
              <w:pStyle w:val="a5"/>
              <w:ind w:right="0"/>
              <w:jc w:val="right"/>
            </w:pPr>
            <w:r>
              <w:t>0</w:t>
            </w:r>
          </w:p>
        </w:tc>
      </w:tr>
      <w:tr w:rsidR="007234DD">
        <w:trPr>
          <w:cantSplit/>
        </w:trPr>
        <w:tc>
          <w:tcPr>
            <w:tcW w:w="2246" w:type="dxa"/>
            <w:shd w:val="clear" w:color="auto" w:fill="auto"/>
          </w:tcPr>
          <w:p w:rsidR="007234DD" w:rsidRDefault="007234DD">
            <w:pPr>
              <w:pStyle w:val="a5"/>
            </w:pPr>
            <w:r>
              <w:rPr>
                <w:rFonts w:hint="eastAsia"/>
              </w:rPr>
              <w:t>采矿和采石业</w:t>
            </w:r>
          </w:p>
        </w:tc>
        <w:tc>
          <w:tcPr>
            <w:tcW w:w="623" w:type="dxa"/>
            <w:shd w:val="clear" w:color="auto" w:fill="auto"/>
          </w:tcPr>
          <w:p w:rsidR="007234DD" w:rsidRDefault="007234DD">
            <w:pPr>
              <w:pStyle w:val="a5"/>
              <w:ind w:right="0"/>
              <w:jc w:val="right"/>
            </w:pPr>
            <w:r>
              <w:t>11,987</w:t>
            </w:r>
          </w:p>
        </w:tc>
        <w:tc>
          <w:tcPr>
            <w:tcW w:w="644" w:type="dxa"/>
            <w:shd w:val="clear" w:color="auto" w:fill="auto"/>
          </w:tcPr>
          <w:p w:rsidR="007234DD" w:rsidRDefault="007234DD">
            <w:pPr>
              <w:pStyle w:val="a5"/>
              <w:ind w:right="0"/>
              <w:jc w:val="right"/>
            </w:pPr>
            <w:r>
              <w:t>7,637</w:t>
            </w:r>
          </w:p>
        </w:tc>
        <w:tc>
          <w:tcPr>
            <w:tcW w:w="643" w:type="dxa"/>
            <w:shd w:val="clear" w:color="auto" w:fill="auto"/>
          </w:tcPr>
          <w:p w:rsidR="007234DD" w:rsidRDefault="007234DD">
            <w:pPr>
              <w:pStyle w:val="a5"/>
              <w:ind w:right="0"/>
              <w:jc w:val="right"/>
            </w:pPr>
            <w:r>
              <w:t>16,404</w:t>
            </w:r>
          </w:p>
        </w:tc>
        <w:tc>
          <w:tcPr>
            <w:tcW w:w="644" w:type="dxa"/>
            <w:shd w:val="clear" w:color="auto" w:fill="auto"/>
          </w:tcPr>
          <w:p w:rsidR="007234DD" w:rsidRDefault="007234DD">
            <w:pPr>
              <w:pStyle w:val="a5"/>
              <w:ind w:right="0"/>
              <w:jc w:val="right"/>
            </w:pPr>
            <w:r>
              <w:t>11,364</w:t>
            </w:r>
          </w:p>
        </w:tc>
        <w:tc>
          <w:tcPr>
            <w:tcW w:w="643" w:type="dxa"/>
            <w:shd w:val="clear" w:color="auto" w:fill="auto"/>
          </w:tcPr>
          <w:p w:rsidR="007234DD" w:rsidRDefault="007234DD">
            <w:pPr>
              <w:pStyle w:val="a5"/>
              <w:ind w:right="0"/>
              <w:jc w:val="right"/>
            </w:pPr>
            <w:r>
              <w:t>18,575</w:t>
            </w:r>
          </w:p>
        </w:tc>
        <w:tc>
          <w:tcPr>
            <w:tcW w:w="644" w:type="dxa"/>
            <w:shd w:val="clear" w:color="auto" w:fill="auto"/>
          </w:tcPr>
          <w:p w:rsidR="007234DD" w:rsidRDefault="007234DD">
            <w:pPr>
              <w:pStyle w:val="a5"/>
              <w:ind w:right="0"/>
              <w:jc w:val="right"/>
            </w:pPr>
            <w:r>
              <w:t>13,073</w:t>
            </w:r>
          </w:p>
        </w:tc>
        <w:tc>
          <w:tcPr>
            <w:tcW w:w="643" w:type="dxa"/>
            <w:shd w:val="clear" w:color="auto" w:fill="auto"/>
          </w:tcPr>
          <w:p w:rsidR="007234DD" w:rsidRDefault="007234DD">
            <w:pPr>
              <w:pStyle w:val="a5"/>
              <w:ind w:right="0"/>
              <w:jc w:val="right"/>
            </w:pPr>
            <w:r>
              <w:t>17,001</w:t>
            </w:r>
          </w:p>
        </w:tc>
        <w:tc>
          <w:tcPr>
            <w:tcW w:w="640" w:type="dxa"/>
            <w:shd w:val="clear" w:color="auto" w:fill="auto"/>
          </w:tcPr>
          <w:p w:rsidR="007234DD" w:rsidRDefault="007234DD">
            <w:pPr>
              <w:pStyle w:val="a5"/>
              <w:ind w:right="0"/>
              <w:jc w:val="right"/>
            </w:pPr>
            <w:r>
              <w:t>14,902</w:t>
            </w:r>
          </w:p>
        </w:tc>
      </w:tr>
      <w:tr w:rsidR="007234DD">
        <w:trPr>
          <w:cantSplit/>
        </w:trPr>
        <w:tc>
          <w:tcPr>
            <w:tcW w:w="2246" w:type="dxa"/>
            <w:shd w:val="clear" w:color="auto" w:fill="auto"/>
          </w:tcPr>
          <w:p w:rsidR="007234DD" w:rsidRDefault="007234DD">
            <w:pPr>
              <w:pStyle w:val="a5"/>
            </w:pPr>
            <w:r>
              <w:rPr>
                <w:rFonts w:hint="eastAsia"/>
              </w:rPr>
              <w:t>制造业</w:t>
            </w:r>
          </w:p>
        </w:tc>
        <w:tc>
          <w:tcPr>
            <w:tcW w:w="623" w:type="dxa"/>
            <w:shd w:val="clear" w:color="auto" w:fill="auto"/>
          </w:tcPr>
          <w:p w:rsidR="007234DD" w:rsidRDefault="007234DD">
            <w:pPr>
              <w:pStyle w:val="a5"/>
              <w:ind w:right="0"/>
              <w:jc w:val="right"/>
            </w:pPr>
            <w:r>
              <w:t>3,668</w:t>
            </w:r>
          </w:p>
        </w:tc>
        <w:tc>
          <w:tcPr>
            <w:tcW w:w="644" w:type="dxa"/>
            <w:shd w:val="clear" w:color="auto" w:fill="auto"/>
          </w:tcPr>
          <w:p w:rsidR="007234DD" w:rsidRDefault="007234DD">
            <w:pPr>
              <w:pStyle w:val="a5"/>
              <w:ind w:right="0"/>
              <w:jc w:val="right"/>
            </w:pPr>
            <w:r>
              <w:t>4,092</w:t>
            </w:r>
          </w:p>
        </w:tc>
        <w:tc>
          <w:tcPr>
            <w:tcW w:w="643" w:type="dxa"/>
            <w:shd w:val="clear" w:color="auto" w:fill="auto"/>
          </w:tcPr>
          <w:p w:rsidR="007234DD" w:rsidRDefault="007234DD">
            <w:pPr>
              <w:pStyle w:val="a5"/>
              <w:ind w:right="0"/>
              <w:jc w:val="right"/>
            </w:pPr>
            <w:r>
              <w:t>5,027</w:t>
            </w:r>
          </w:p>
        </w:tc>
        <w:tc>
          <w:tcPr>
            <w:tcW w:w="644" w:type="dxa"/>
            <w:shd w:val="clear" w:color="auto" w:fill="auto"/>
          </w:tcPr>
          <w:p w:rsidR="007234DD" w:rsidRDefault="007234DD">
            <w:pPr>
              <w:pStyle w:val="a5"/>
              <w:ind w:right="0"/>
              <w:jc w:val="right"/>
            </w:pPr>
            <w:r>
              <w:t>7,118</w:t>
            </w:r>
          </w:p>
        </w:tc>
        <w:tc>
          <w:tcPr>
            <w:tcW w:w="643" w:type="dxa"/>
            <w:shd w:val="clear" w:color="auto" w:fill="auto"/>
          </w:tcPr>
          <w:p w:rsidR="007234DD" w:rsidRDefault="007234DD">
            <w:pPr>
              <w:pStyle w:val="a5"/>
              <w:ind w:right="0"/>
              <w:jc w:val="right"/>
            </w:pPr>
            <w:r>
              <w:t>6,094</w:t>
            </w:r>
          </w:p>
        </w:tc>
        <w:tc>
          <w:tcPr>
            <w:tcW w:w="644" w:type="dxa"/>
            <w:shd w:val="clear" w:color="auto" w:fill="auto"/>
          </w:tcPr>
          <w:p w:rsidR="007234DD" w:rsidRDefault="007234DD">
            <w:pPr>
              <w:pStyle w:val="a5"/>
              <w:ind w:right="0"/>
              <w:jc w:val="right"/>
            </w:pPr>
            <w:r>
              <w:t>6,294</w:t>
            </w:r>
          </w:p>
        </w:tc>
        <w:tc>
          <w:tcPr>
            <w:tcW w:w="643" w:type="dxa"/>
            <w:shd w:val="clear" w:color="auto" w:fill="auto"/>
          </w:tcPr>
          <w:p w:rsidR="007234DD" w:rsidRDefault="007234DD">
            <w:pPr>
              <w:pStyle w:val="a5"/>
              <w:ind w:right="0"/>
              <w:jc w:val="right"/>
            </w:pPr>
            <w:r>
              <w:t>7,116</w:t>
            </w:r>
          </w:p>
        </w:tc>
        <w:tc>
          <w:tcPr>
            <w:tcW w:w="640" w:type="dxa"/>
            <w:shd w:val="clear" w:color="auto" w:fill="auto"/>
          </w:tcPr>
          <w:p w:rsidR="007234DD" w:rsidRDefault="007234DD">
            <w:pPr>
              <w:pStyle w:val="a5"/>
              <w:ind w:right="0"/>
              <w:jc w:val="right"/>
            </w:pPr>
            <w:r>
              <w:t>9,457</w:t>
            </w:r>
          </w:p>
        </w:tc>
      </w:tr>
      <w:tr w:rsidR="007234DD">
        <w:trPr>
          <w:cantSplit/>
        </w:trPr>
        <w:tc>
          <w:tcPr>
            <w:tcW w:w="2246" w:type="dxa"/>
            <w:shd w:val="clear" w:color="auto" w:fill="auto"/>
          </w:tcPr>
          <w:p w:rsidR="007234DD" w:rsidRDefault="007234DD">
            <w:pPr>
              <w:pStyle w:val="a5"/>
            </w:pPr>
            <w:bookmarkStart w:id="10" w:name="OLE_LINK36"/>
            <w:bookmarkEnd w:id="9"/>
            <w:r>
              <w:rPr>
                <w:rFonts w:hint="eastAsia"/>
              </w:rPr>
              <w:t>电力、燃气、蒸汽和供水</w:t>
            </w:r>
            <w:bookmarkEnd w:id="10"/>
          </w:p>
        </w:tc>
        <w:tc>
          <w:tcPr>
            <w:tcW w:w="623" w:type="dxa"/>
            <w:shd w:val="clear" w:color="auto" w:fill="auto"/>
          </w:tcPr>
          <w:p w:rsidR="007234DD" w:rsidRDefault="007234DD">
            <w:pPr>
              <w:pStyle w:val="a5"/>
              <w:ind w:right="0"/>
              <w:jc w:val="right"/>
            </w:pPr>
            <w:r>
              <w:t>8,438</w:t>
            </w:r>
          </w:p>
        </w:tc>
        <w:tc>
          <w:tcPr>
            <w:tcW w:w="644" w:type="dxa"/>
            <w:shd w:val="clear" w:color="auto" w:fill="auto"/>
          </w:tcPr>
          <w:p w:rsidR="007234DD" w:rsidRDefault="007234DD">
            <w:pPr>
              <w:pStyle w:val="a5"/>
              <w:ind w:right="0"/>
              <w:jc w:val="right"/>
            </w:pPr>
            <w:r>
              <w:t>6,264</w:t>
            </w:r>
          </w:p>
        </w:tc>
        <w:tc>
          <w:tcPr>
            <w:tcW w:w="643" w:type="dxa"/>
            <w:shd w:val="clear" w:color="auto" w:fill="auto"/>
          </w:tcPr>
          <w:p w:rsidR="007234DD" w:rsidRDefault="007234DD">
            <w:pPr>
              <w:pStyle w:val="a5"/>
              <w:ind w:right="0"/>
              <w:jc w:val="right"/>
            </w:pPr>
            <w:r>
              <w:t>11,526</w:t>
            </w:r>
          </w:p>
        </w:tc>
        <w:tc>
          <w:tcPr>
            <w:tcW w:w="644" w:type="dxa"/>
            <w:shd w:val="clear" w:color="auto" w:fill="auto"/>
          </w:tcPr>
          <w:p w:rsidR="007234DD" w:rsidRDefault="007234DD">
            <w:pPr>
              <w:pStyle w:val="a5"/>
              <w:ind w:right="0"/>
              <w:jc w:val="right"/>
            </w:pPr>
            <w:r>
              <w:t>8,194</w:t>
            </w:r>
          </w:p>
        </w:tc>
        <w:tc>
          <w:tcPr>
            <w:tcW w:w="643" w:type="dxa"/>
            <w:shd w:val="clear" w:color="auto" w:fill="auto"/>
          </w:tcPr>
          <w:p w:rsidR="007234DD" w:rsidRDefault="007234DD">
            <w:pPr>
              <w:pStyle w:val="a5"/>
              <w:ind w:right="0"/>
              <w:jc w:val="right"/>
            </w:pPr>
            <w:r>
              <w:t>13,848</w:t>
            </w:r>
          </w:p>
        </w:tc>
        <w:tc>
          <w:tcPr>
            <w:tcW w:w="644" w:type="dxa"/>
            <w:shd w:val="clear" w:color="auto" w:fill="auto"/>
          </w:tcPr>
          <w:p w:rsidR="007234DD" w:rsidRDefault="007234DD">
            <w:pPr>
              <w:pStyle w:val="a5"/>
              <w:ind w:right="0"/>
              <w:jc w:val="right"/>
            </w:pPr>
            <w:r>
              <w:t>7,292</w:t>
            </w:r>
          </w:p>
        </w:tc>
        <w:tc>
          <w:tcPr>
            <w:tcW w:w="643" w:type="dxa"/>
            <w:shd w:val="clear" w:color="auto" w:fill="auto"/>
          </w:tcPr>
          <w:p w:rsidR="007234DD" w:rsidRDefault="007234DD">
            <w:pPr>
              <w:pStyle w:val="a5"/>
              <w:ind w:right="0"/>
              <w:jc w:val="right"/>
            </w:pPr>
            <w:r>
              <w:t>15,340</w:t>
            </w:r>
          </w:p>
        </w:tc>
        <w:tc>
          <w:tcPr>
            <w:tcW w:w="640" w:type="dxa"/>
            <w:shd w:val="clear" w:color="auto" w:fill="auto"/>
          </w:tcPr>
          <w:p w:rsidR="007234DD" w:rsidRDefault="007234DD">
            <w:pPr>
              <w:pStyle w:val="a5"/>
              <w:ind w:right="0"/>
              <w:jc w:val="right"/>
            </w:pPr>
            <w:r>
              <w:t>11,425</w:t>
            </w:r>
          </w:p>
        </w:tc>
      </w:tr>
      <w:tr w:rsidR="007234DD">
        <w:trPr>
          <w:cantSplit/>
        </w:trPr>
        <w:tc>
          <w:tcPr>
            <w:tcW w:w="2246" w:type="dxa"/>
            <w:shd w:val="clear" w:color="auto" w:fill="auto"/>
          </w:tcPr>
          <w:p w:rsidR="007234DD" w:rsidRDefault="007234DD">
            <w:pPr>
              <w:pStyle w:val="a5"/>
            </w:pPr>
            <w:bookmarkStart w:id="11" w:name="_Hlk340670050"/>
            <w:r>
              <w:rPr>
                <w:rFonts w:hint="eastAsia"/>
              </w:rPr>
              <w:t>建筑业</w:t>
            </w:r>
          </w:p>
        </w:tc>
        <w:tc>
          <w:tcPr>
            <w:tcW w:w="623" w:type="dxa"/>
            <w:shd w:val="clear" w:color="auto" w:fill="auto"/>
          </w:tcPr>
          <w:p w:rsidR="007234DD" w:rsidRDefault="007234DD">
            <w:pPr>
              <w:pStyle w:val="a5"/>
              <w:ind w:right="0"/>
              <w:jc w:val="right"/>
            </w:pPr>
            <w:r>
              <w:t>3,418</w:t>
            </w:r>
          </w:p>
        </w:tc>
        <w:tc>
          <w:tcPr>
            <w:tcW w:w="644" w:type="dxa"/>
            <w:shd w:val="clear" w:color="auto" w:fill="auto"/>
          </w:tcPr>
          <w:p w:rsidR="007234DD" w:rsidRDefault="007234DD">
            <w:pPr>
              <w:pStyle w:val="a5"/>
              <w:ind w:right="0"/>
              <w:jc w:val="right"/>
            </w:pPr>
            <w:r>
              <w:t>7,365</w:t>
            </w:r>
          </w:p>
        </w:tc>
        <w:tc>
          <w:tcPr>
            <w:tcW w:w="643" w:type="dxa"/>
            <w:shd w:val="clear" w:color="auto" w:fill="auto"/>
          </w:tcPr>
          <w:p w:rsidR="007234DD" w:rsidRDefault="007234DD">
            <w:pPr>
              <w:pStyle w:val="a5"/>
              <w:ind w:right="0"/>
              <w:jc w:val="right"/>
            </w:pPr>
            <w:r>
              <w:t>3,940</w:t>
            </w:r>
          </w:p>
        </w:tc>
        <w:tc>
          <w:tcPr>
            <w:tcW w:w="644" w:type="dxa"/>
            <w:shd w:val="clear" w:color="auto" w:fill="auto"/>
          </w:tcPr>
          <w:p w:rsidR="007234DD" w:rsidRDefault="007234DD">
            <w:pPr>
              <w:pStyle w:val="a5"/>
              <w:ind w:right="0"/>
              <w:jc w:val="right"/>
            </w:pPr>
            <w:r>
              <w:t>7,242</w:t>
            </w:r>
          </w:p>
        </w:tc>
        <w:tc>
          <w:tcPr>
            <w:tcW w:w="643" w:type="dxa"/>
            <w:shd w:val="clear" w:color="auto" w:fill="auto"/>
          </w:tcPr>
          <w:p w:rsidR="007234DD" w:rsidRDefault="007234DD">
            <w:pPr>
              <w:pStyle w:val="a5"/>
              <w:ind w:right="0"/>
              <w:jc w:val="right"/>
            </w:pPr>
            <w:r>
              <w:t>3,904</w:t>
            </w:r>
          </w:p>
        </w:tc>
        <w:tc>
          <w:tcPr>
            <w:tcW w:w="644" w:type="dxa"/>
            <w:shd w:val="clear" w:color="auto" w:fill="auto"/>
          </w:tcPr>
          <w:p w:rsidR="007234DD" w:rsidRDefault="007234DD">
            <w:pPr>
              <w:pStyle w:val="a5"/>
              <w:ind w:right="0"/>
              <w:jc w:val="right"/>
            </w:pPr>
            <w:r>
              <w:t>8,554</w:t>
            </w:r>
          </w:p>
        </w:tc>
        <w:tc>
          <w:tcPr>
            <w:tcW w:w="643" w:type="dxa"/>
            <w:shd w:val="clear" w:color="auto" w:fill="auto"/>
          </w:tcPr>
          <w:p w:rsidR="007234DD" w:rsidRDefault="007234DD">
            <w:pPr>
              <w:pStyle w:val="a5"/>
              <w:ind w:right="0"/>
              <w:jc w:val="right"/>
            </w:pPr>
            <w:r>
              <w:t>4,847</w:t>
            </w:r>
          </w:p>
        </w:tc>
        <w:tc>
          <w:tcPr>
            <w:tcW w:w="640" w:type="dxa"/>
            <w:shd w:val="clear" w:color="auto" w:fill="auto"/>
          </w:tcPr>
          <w:p w:rsidR="007234DD" w:rsidRDefault="007234DD">
            <w:pPr>
              <w:pStyle w:val="a5"/>
              <w:ind w:right="0"/>
              <w:jc w:val="right"/>
            </w:pPr>
            <w:r>
              <w:t>10,087</w:t>
            </w:r>
          </w:p>
        </w:tc>
      </w:tr>
      <w:tr w:rsidR="007234DD">
        <w:trPr>
          <w:cantSplit/>
        </w:trPr>
        <w:tc>
          <w:tcPr>
            <w:tcW w:w="2246" w:type="dxa"/>
            <w:shd w:val="clear" w:color="auto" w:fill="auto"/>
          </w:tcPr>
          <w:p w:rsidR="007234DD" w:rsidRDefault="007234DD">
            <w:pPr>
              <w:pStyle w:val="a5"/>
            </w:pPr>
            <w:r>
              <w:rPr>
                <w:rFonts w:hint="eastAsia"/>
              </w:rPr>
              <w:t>批发零售；汽摩修理；个人和家庭用品</w:t>
            </w:r>
          </w:p>
        </w:tc>
        <w:tc>
          <w:tcPr>
            <w:tcW w:w="623" w:type="dxa"/>
            <w:shd w:val="clear" w:color="auto" w:fill="auto"/>
          </w:tcPr>
          <w:p w:rsidR="007234DD" w:rsidRDefault="007234DD">
            <w:pPr>
              <w:pStyle w:val="a5"/>
              <w:ind w:right="0"/>
              <w:jc w:val="right"/>
            </w:pPr>
            <w:r>
              <w:t>3,109</w:t>
            </w:r>
          </w:p>
        </w:tc>
        <w:tc>
          <w:tcPr>
            <w:tcW w:w="644" w:type="dxa"/>
            <w:shd w:val="clear" w:color="auto" w:fill="auto"/>
          </w:tcPr>
          <w:p w:rsidR="007234DD" w:rsidRDefault="007234DD">
            <w:pPr>
              <w:pStyle w:val="a5"/>
              <w:ind w:right="0"/>
              <w:jc w:val="right"/>
            </w:pPr>
            <w:r>
              <w:t>3,659</w:t>
            </w:r>
          </w:p>
        </w:tc>
        <w:tc>
          <w:tcPr>
            <w:tcW w:w="643" w:type="dxa"/>
            <w:shd w:val="clear" w:color="auto" w:fill="auto"/>
          </w:tcPr>
          <w:p w:rsidR="007234DD" w:rsidRDefault="007234DD">
            <w:pPr>
              <w:pStyle w:val="a5"/>
              <w:ind w:right="0"/>
              <w:jc w:val="right"/>
            </w:pPr>
            <w:r>
              <w:t>3,607</w:t>
            </w:r>
          </w:p>
        </w:tc>
        <w:tc>
          <w:tcPr>
            <w:tcW w:w="644" w:type="dxa"/>
            <w:shd w:val="clear" w:color="auto" w:fill="auto"/>
          </w:tcPr>
          <w:p w:rsidR="007234DD" w:rsidRDefault="007234DD">
            <w:pPr>
              <w:pStyle w:val="a5"/>
              <w:ind w:right="0"/>
              <w:jc w:val="right"/>
            </w:pPr>
            <w:r>
              <w:t>5,702</w:t>
            </w:r>
          </w:p>
        </w:tc>
        <w:tc>
          <w:tcPr>
            <w:tcW w:w="643" w:type="dxa"/>
            <w:shd w:val="clear" w:color="auto" w:fill="auto"/>
          </w:tcPr>
          <w:p w:rsidR="007234DD" w:rsidRDefault="007234DD">
            <w:pPr>
              <w:pStyle w:val="a5"/>
              <w:ind w:right="0"/>
              <w:jc w:val="right"/>
            </w:pPr>
            <w:r>
              <w:t>5,425</w:t>
            </w:r>
          </w:p>
        </w:tc>
        <w:tc>
          <w:tcPr>
            <w:tcW w:w="644" w:type="dxa"/>
            <w:shd w:val="clear" w:color="auto" w:fill="auto"/>
          </w:tcPr>
          <w:p w:rsidR="007234DD" w:rsidRDefault="007234DD">
            <w:pPr>
              <w:pStyle w:val="a5"/>
              <w:ind w:right="0"/>
              <w:jc w:val="right"/>
            </w:pPr>
            <w:r>
              <w:t>5,695</w:t>
            </w:r>
          </w:p>
        </w:tc>
        <w:tc>
          <w:tcPr>
            <w:tcW w:w="643" w:type="dxa"/>
            <w:shd w:val="clear" w:color="auto" w:fill="auto"/>
          </w:tcPr>
          <w:p w:rsidR="007234DD" w:rsidRDefault="007234DD">
            <w:pPr>
              <w:pStyle w:val="a5"/>
              <w:ind w:right="0"/>
              <w:jc w:val="right"/>
            </w:pPr>
            <w:r>
              <w:t>5,043</w:t>
            </w:r>
          </w:p>
        </w:tc>
        <w:tc>
          <w:tcPr>
            <w:tcW w:w="640" w:type="dxa"/>
            <w:shd w:val="clear" w:color="auto" w:fill="auto"/>
          </w:tcPr>
          <w:p w:rsidR="007234DD" w:rsidRDefault="007234DD">
            <w:pPr>
              <w:pStyle w:val="a5"/>
              <w:ind w:right="0"/>
              <w:jc w:val="right"/>
            </w:pPr>
            <w:r>
              <w:t>4,882</w:t>
            </w:r>
          </w:p>
        </w:tc>
      </w:tr>
      <w:tr w:rsidR="007234DD">
        <w:trPr>
          <w:cantSplit/>
        </w:trPr>
        <w:tc>
          <w:tcPr>
            <w:tcW w:w="2246" w:type="dxa"/>
            <w:shd w:val="clear" w:color="auto" w:fill="auto"/>
          </w:tcPr>
          <w:p w:rsidR="007234DD" w:rsidRDefault="007234DD">
            <w:pPr>
              <w:pStyle w:val="a5"/>
            </w:pPr>
            <w:r>
              <w:rPr>
                <w:rFonts w:hint="eastAsia"/>
              </w:rPr>
              <w:t>酒店和餐馆</w:t>
            </w:r>
          </w:p>
        </w:tc>
        <w:tc>
          <w:tcPr>
            <w:tcW w:w="623" w:type="dxa"/>
            <w:shd w:val="clear" w:color="auto" w:fill="auto"/>
          </w:tcPr>
          <w:p w:rsidR="007234DD" w:rsidRDefault="007234DD">
            <w:pPr>
              <w:pStyle w:val="a5"/>
              <w:ind w:right="0"/>
              <w:jc w:val="right"/>
            </w:pPr>
            <w:r>
              <w:t>2,682</w:t>
            </w:r>
          </w:p>
        </w:tc>
        <w:tc>
          <w:tcPr>
            <w:tcW w:w="644" w:type="dxa"/>
            <w:shd w:val="clear" w:color="auto" w:fill="auto"/>
          </w:tcPr>
          <w:p w:rsidR="007234DD" w:rsidRDefault="007234DD">
            <w:pPr>
              <w:pStyle w:val="a5"/>
              <w:ind w:right="0"/>
              <w:jc w:val="right"/>
            </w:pPr>
            <w:r>
              <w:t>3,820</w:t>
            </w:r>
          </w:p>
        </w:tc>
        <w:tc>
          <w:tcPr>
            <w:tcW w:w="643" w:type="dxa"/>
            <w:shd w:val="clear" w:color="auto" w:fill="auto"/>
          </w:tcPr>
          <w:p w:rsidR="007234DD" w:rsidRDefault="007234DD">
            <w:pPr>
              <w:pStyle w:val="a5"/>
              <w:ind w:right="0"/>
              <w:jc w:val="right"/>
            </w:pPr>
            <w:r>
              <w:t>3,766</w:t>
            </w:r>
          </w:p>
        </w:tc>
        <w:tc>
          <w:tcPr>
            <w:tcW w:w="644" w:type="dxa"/>
            <w:shd w:val="clear" w:color="auto" w:fill="auto"/>
          </w:tcPr>
          <w:p w:rsidR="007234DD" w:rsidRDefault="007234DD">
            <w:pPr>
              <w:pStyle w:val="a5"/>
              <w:ind w:right="0"/>
              <w:jc w:val="right"/>
            </w:pPr>
            <w:r>
              <w:t>5,425</w:t>
            </w:r>
          </w:p>
        </w:tc>
        <w:tc>
          <w:tcPr>
            <w:tcW w:w="643" w:type="dxa"/>
            <w:shd w:val="clear" w:color="auto" w:fill="auto"/>
          </w:tcPr>
          <w:p w:rsidR="007234DD" w:rsidRDefault="007234DD">
            <w:pPr>
              <w:pStyle w:val="a5"/>
              <w:ind w:right="0"/>
              <w:jc w:val="right"/>
            </w:pPr>
            <w:r>
              <w:t>4,656</w:t>
            </w:r>
          </w:p>
        </w:tc>
        <w:tc>
          <w:tcPr>
            <w:tcW w:w="644" w:type="dxa"/>
            <w:shd w:val="clear" w:color="auto" w:fill="auto"/>
          </w:tcPr>
          <w:p w:rsidR="007234DD" w:rsidRDefault="007234DD">
            <w:pPr>
              <w:pStyle w:val="a5"/>
              <w:ind w:right="0"/>
              <w:jc w:val="right"/>
            </w:pPr>
            <w:r>
              <w:t>3,148</w:t>
            </w:r>
          </w:p>
        </w:tc>
        <w:tc>
          <w:tcPr>
            <w:tcW w:w="643" w:type="dxa"/>
            <w:shd w:val="clear" w:color="auto" w:fill="auto"/>
          </w:tcPr>
          <w:p w:rsidR="007234DD" w:rsidRDefault="007234DD">
            <w:pPr>
              <w:pStyle w:val="a5"/>
              <w:ind w:right="0"/>
              <w:jc w:val="right"/>
            </w:pPr>
            <w:r>
              <w:t>4,061</w:t>
            </w:r>
          </w:p>
        </w:tc>
        <w:tc>
          <w:tcPr>
            <w:tcW w:w="640" w:type="dxa"/>
            <w:shd w:val="clear" w:color="auto" w:fill="auto"/>
          </w:tcPr>
          <w:p w:rsidR="007234DD" w:rsidRDefault="007234DD">
            <w:pPr>
              <w:pStyle w:val="a5"/>
              <w:ind w:right="0"/>
              <w:jc w:val="right"/>
            </w:pPr>
            <w:r>
              <w:t>4,091</w:t>
            </w:r>
          </w:p>
        </w:tc>
      </w:tr>
      <w:tr w:rsidR="007234DD">
        <w:trPr>
          <w:cantSplit/>
        </w:trPr>
        <w:tc>
          <w:tcPr>
            <w:tcW w:w="2246" w:type="dxa"/>
            <w:shd w:val="clear" w:color="auto" w:fill="auto"/>
          </w:tcPr>
          <w:p w:rsidR="007234DD" w:rsidRDefault="007234DD">
            <w:pPr>
              <w:pStyle w:val="a5"/>
            </w:pPr>
            <w:r>
              <w:rPr>
                <w:rFonts w:hint="eastAsia"/>
              </w:rPr>
              <w:t>运输、仓储和通信</w:t>
            </w:r>
          </w:p>
        </w:tc>
        <w:tc>
          <w:tcPr>
            <w:tcW w:w="623" w:type="dxa"/>
            <w:shd w:val="clear" w:color="auto" w:fill="auto"/>
          </w:tcPr>
          <w:p w:rsidR="007234DD" w:rsidRDefault="007234DD">
            <w:pPr>
              <w:pStyle w:val="a5"/>
              <w:ind w:right="0"/>
              <w:jc w:val="right"/>
            </w:pPr>
            <w:r>
              <w:t>7,158</w:t>
            </w:r>
          </w:p>
        </w:tc>
        <w:tc>
          <w:tcPr>
            <w:tcW w:w="644" w:type="dxa"/>
            <w:shd w:val="clear" w:color="auto" w:fill="auto"/>
          </w:tcPr>
          <w:p w:rsidR="007234DD" w:rsidRDefault="007234DD">
            <w:pPr>
              <w:pStyle w:val="a5"/>
              <w:ind w:right="0"/>
              <w:jc w:val="right"/>
            </w:pPr>
            <w:r>
              <w:t>5,638</w:t>
            </w:r>
          </w:p>
        </w:tc>
        <w:tc>
          <w:tcPr>
            <w:tcW w:w="643" w:type="dxa"/>
            <w:shd w:val="clear" w:color="auto" w:fill="auto"/>
          </w:tcPr>
          <w:p w:rsidR="007234DD" w:rsidRDefault="007234DD">
            <w:pPr>
              <w:pStyle w:val="a5"/>
              <w:ind w:right="0"/>
              <w:jc w:val="right"/>
            </w:pPr>
            <w:r>
              <w:t>7,721</w:t>
            </w:r>
          </w:p>
        </w:tc>
        <w:tc>
          <w:tcPr>
            <w:tcW w:w="644" w:type="dxa"/>
            <w:shd w:val="clear" w:color="auto" w:fill="auto"/>
          </w:tcPr>
          <w:p w:rsidR="007234DD" w:rsidRDefault="007234DD">
            <w:pPr>
              <w:pStyle w:val="a5"/>
              <w:ind w:right="0"/>
              <w:jc w:val="right"/>
            </w:pPr>
            <w:r>
              <w:t>6,644</w:t>
            </w:r>
          </w:p>
        </w:tc>
        <w:tc>
          <w:tcPr>
            <w:tcW w:w="643" w:type="dxa"/>
            <w:shd w:val="clear" w:color="auto" w:fill="auto"/>
          </w:tcPr>
          <w:p w:rsidR="007234DD" w:rsidRDefault="007234DD">
            <w:pPr>
              <w:pStyle w:val="a5"/>
              <w:ind w:right="0"/>
              <w:jc w:val="right"/>
            </w:pPr>
            <w:r>
              <w:t>8,331</w:t>
            </w:r>
          </w:p>
        </w:tc>
        <w:tc>
          <w:tcPr>
            <w:tcW w:w="644" w:type="dxa"/>
            <w:shd w:val="clear" w:color="auto" w:fill="auto"/>
          </w:tcPr>
          <w:p w:rsidR="007234DD" w:rsidRDefault="007234DD">
            <w:pPr>
              <w:pStyle w:val="a5"/>
              <w:ind w:right="0"/>
              <w:jc w:val="right"/>
            </w:pPr>
            <w:r>
              <w:t>9,145</w:t>
            </w:r>
          </w:p>
        </w:tc>
        <w:tc>
          <w:tcPr>
            <w:tcW w:w="643" w:type="dxa"/>
            <w:shd w:val="clear" w:color="auto" w:fill="auto"/>
          </w:tcPr>
          <w:p w:rsidR="007234DD" w:rsidRDefault="007234DD">
            <w:pPr>
              <w:pStyle w:val="a5"/>
              <w:ind w:right="0"/>
              <w:jc w:val="right"/>
            </w:pPr>
            <w:r>
              <w:t>9,800</w:t>
            </w:r>
          </w:p>
        </w:tc>
        <w:tc>
          <w:tcPr>
            <w:tcW w:w="640" w:type="dxa"/>
            <w:shd w:val="clear" w:color="auto" w:fill="auto"/>
          </w:tcPr>
          <w:p w:rsidR="007234DD" w:rsidRDefault="007234DD">
            <w:pPr>
              <w:pStyle w:val="a5"/>
              <w:ind w:right="0"/>
              <w:jc w:val="right"/>
            </w:pPr>
            <w:r>
              <w:t>9,436</w:t>
            </w:r>
          </w:p>
        </w:tc>
      </w:tr>
      <w:tr w:rsidR="007234DD">
        <w:trPr>
          <w:cantSplit/>
        </w:trPr>
        <w:tc>
          <w:tcPr>
            <w:tcW w:w="2246" w:type="dxa"/>
            <w:shd w:val="clear" w:color="auto" w:fill="auto"/>
          </w:tcPr>
          <w:p w:rsidR="007234DD" w:rsidRDefault="007234DD">
            <w:pPr>
              <w:pStyle w:val="a5"/>
            </w:pPr>
            <w:r>
              <w:rPr>
                <w:rFonts w:hint="eastAsia"/>
              </w:rPr>
              <w:t>金融服务</w:t>
            </w:r>
          </w:p>
        </w:tc>
        <w:tc>
          <w:tcPr>
            <w:tcW w:w="623" w:type="dxa"/>
            <w:shd w:val="clear" w:color="auto" w:fill="auto"/>
          </w:tcPr>
          <w:p w:rsidR="007234DD" w:rsidRDefault="007234DD">
            <w:pPr>
              <w:pStyle w:val="a5"/>
              <w:ind w:right="0"/>
              <w:jc w:val="right"/>
            </w:pPr>
            <w:r>
              <w:t>9,994</w:t>
            </w:r>
          </w:p>
        </w:tc>
        <w:tc>
          <w:tcPr>
            <w:tcW w:w="644" w:type="dxa"/>
            <w:shd w:val="clear" w:color="auto" w:fill="auto"/>
          </w:tcPr>
          <w:p w:rsidR="007234DD" w:rsidRDefault="007234DD">
            <w:pPr>
              <w:pStyle w:val="a5"/>
              <w:ind w:right="0"/>
              <w:jc w:val="right"/>
            </w:pPr>
            <w:r>
              <w:t>6,106</w:t>
            </w:r>
          </w:p>
        </w:tc>
        <w:tc>
          <w:tcPr>
            <w:tcW w:w="643" w:type="dxa"/>
            <w:shd w:val="clear" w:color="auto" w:fill="auto"/>
          </w:tcPr>
          <w:p w:rsidR="007234DD" w:rsidRDefault="007234DD">
            <w:pPr>
              <w:pStyle w:val="a5"/>
              <w:ind w:right="0"/>
              <w:jc w:val="right"/>
            </w:pPr>
            <w:r>
              <w:t>13,211</w:t>
            </w:r>
          </w:p>
        </w:tc>
        <w:tc>
          <w:tcPr>
            <w:tcW w:w="644" w:type="dxa"/>
            <w:shd w:val="clear" w:color="auto" w:fill="auto"/>
          </w:tcPr>
          <w:p w:rsidR="007234DD" w:rsidRDefault="007234DD">
            <w:pPr>
              <w:pStyle w:val="a5"/>
              <w:ind w:right="0"/>
              <w:jc w:val="right"/>
            </w:pPr>
            <w:r>
              <w:t>8,929</w:t>
            </w:r>
          </w:p>
        </w:tc>
        <w:tc>
          <w:tcPr>
            <w:tcW w:w="643" w:type="dxa"/>
            <w:shd w:val="clear" w:color="auto" w:fill="auto"/>
          </w:tcPr>
          <w:p w:rsidR="007234DD" w:rsidRDefault="007234DD">
            <w:pPr>
              <w:pStyle w:val="a5"/>
              <w:ind w:right="0"/>
              <w:jc w:val="right"/>
            </w:pPr>
            <w:r>
              <w:t>16,286</w:t>
            </w:r>
          </w:p>
        </w:tc>
        <w:tc>
          <w:tcPr>
            <w:tcW w:w="644" w:type="dxa"/>
            <w:shd w:val="clear" w:color="auto" w:fill="auto"/>
          </w:tcPr>
          <w:p w:rsidR="007234DD" w:rsidRDefault="007234DD">
            <w:pPr>
              <w:pStyle w:val="a5"/>
              <w:ind w:right="0"/>
              <w:jc w:val="right"/>
            </w:pPr>
            <w:r>
              <w:t>12,540</w:t>
            </w:r>
          </w:p>
        </w:tc>
        <w:tc>
          <w:tcPr>
            <w:tcW w:w="643" w:type="dxa"/>
            <w:shd w:val="clear" w:color="auto" w:fill="auto"/>
          </w:tcPr>
          <w:p w:rsidR="007234DD" w:rsidRDefault="007234DD">
            <w:pPr>
              <w:pStyle w:val="a5"/>
              <w:ind w:right="0"/>
              <w:jc w:val="right"/>
            </w:pPr>
            <w:r>
              <w:t>17,035</w:t>
            </w:r>
          </w:p>
        </w:tc>
        <w:tc>
          <w:tcPr>
            <w:tcW w:w="640" w:type="dxa"/>
            <w:shd w:val="clear" w:color="auto" w:fill="auto"/>
          </w:tcPr>
          <w:p w:rsidR="007234DD" w:rsidRDefault="007234DD">
            <w:pPr>
              <w:pStyle w:val="a5"/>
              <w:ind w:right="0"/>
              <w:jc w:val="right"/>
            </w:pPr>
            <w:r>
              <w:t>10,426</w:t>
            </w:r>
          </w:p>
        </w:tc>
      </w:tr>
      <w:tr w:rsidR="007234DD">
        <w:trPr>
          <w:cantSplit/>
        </w:trPr>
        <w:tc>
          <w:tcPr>
            <w:tcW w:w="2246" w:type="dxa"/>
            <w:shd w:val="clear" w:color="auto" w:fill="auto"/>
          </w:tcPr>
          <w:p w:rsidR="007234DD" w:rsidRDefault="007234DD">
            <w:pPr>
              <w:pStyle w:val="a5"/>
            </w:pPr>
            <w:r>
              <w:rPr>
                <w:rFonts w:hint="eastAsia"/>
              </w:rPr>
              <w:t>房地产、租赁和商业</w:t>
            </w:r>
          </w:p>
        </w:tc>
        <w:tc>
          <w:tcPr>
            <w:tcW w:w="623" w:type="dxa"/>
            <w:shd w:val="clear" w:color="auto" w:fill="auto"/>
          </w:tcPr>
          <w:p w:rsidR="007234DD" w:rsidRDefault="007234DD">
            <w:pPr>
              <w:pStyle w:val="a5"/>
              <w:ind w:right="0"/>
              <w:jc w:val="right"/>
            </w:pPr>
            <w:r>
              <w:t>4,934</w:t>
            </w:r>
          </w:p>
        </w:tc>
        <w:tc>
          <w:tcPr>
            <w:tcW w:w="644" w:type="dxa"/>
            <w:shd w:val="clear" w:color="auto" w:fill="auto"/>
          </w:tcPr>
          <w:p w:rsidR="007234DD" w:rsidRDefault="007234DD">
            <w:pPr>
              <w:pStyle w:val="a5"/>
              <w:ind w:right="0"/>
              <w:jc w:val="right"/>
            </w:pPr>
            <w:r>
              <w:t>5,580</w:t>
            </w:r>
          </w:p>
        </w:tc>
        <w:tc>
          <w:tcPr>
            <w:tcW w:w="643" w:type="dxa"/>
            <w:shd w:val="clear" w:color="auto" w:fill="auto"/>
          </w:tcPr>
          <w:p w:rsidR="007234DD" w:rsidRDefault="007234DD">
            <w:pPr>
              <w:pStyle w:val="a5"/>
              <w:ind w:right="0"/>
              <w:jc w:val="right"/>
            </w:pPr>
            <w:r>
              <w:t>6,288</w:t>
            </w:r>
          </w:p>
        </w:tc>
        <w:tc>
          <w:tcPr>
            <w:tcW w:w="644" w:type="dxa"/>
            <w:shd w:val="clear" w:color="auto" w:fill="auto"/>
          </w:tcPr>
          <w:p w:rsidR="007234DD" w:rsidRDefault="007234DD">
            <w:pPr>
              <w:pStyle w:val="a5"/>
              <w:ind w:right="0"/>
              <w:jc w:val="right"/>
            </w:pPr>
            <w:r>
              <w:t>7,246</w:t>
            </w:r>
          </w:p>
        </w:tc>
        <w:tc>
          <w:tcPr>
            <w:tcW w:w="643" w:type="dxa"/>
            <w:shd w:val="clear" w:color="auto" w:fill="auto"/>
          </w:tcPr>
          <w:p w:rsidR="007234DD" w:rsidRDefault="007234DD">
            <w:pPr>
              <w:pStyle w:val="a5"/>
              <w:ind w:right="0"/>
              <w:jc w:val="right"/>
            </w:pPr>
            <w:r>
              <w:t>7,277</w:t>
            </w:r>
          </w:p>
        </w:tc>
        <w:tc>
          <w:tcPr>
            <w:tcW w:w="644" w:type="dxa"/>
            <w:shd w:val="clear" w:color="auto" w:fill="auto"/>
          </w:tcPr>
          <w:p w:rsidR="007234DD" w:rsidRDefault="007234DD">
            <w:pPr>
              <w:pStyle w:val="a5"/>
              <w:ind w:right="0"/>
              <w:jc w:val="right"/>
            </w:pPr>
            <w:r>
              <w:t>7,928</w:t>
            </w:r>
          </w:p>
        </w:tc>
        <w:tc>
          <w:tcPr>
            <w:tcW w:w="643" w:type="dxa"/>
            <w:shd w:val="clear" w:color="auto" w:fill="auto"/>
          </w:tcPr>
          <w:p w:rsidR="007234DD" w:rsidRDefault="007234DD">
            <w:pPr>
              <w:pStyle w:val="a5"/>
              <w:ind w:right="0"/>
              <w:jc w:val="right"/>
            </w:pPr>
            <w:r>
              <w:t>7,079</w:t>
            </w:r>
          </w:p>
        </w:tc>
        <w:tc>
          <w:tcPr>
            <w:tcW w:w="640" w:type="dxa"/>
            <w:shd w:val="clear" w:color="auto" w:fill="auto"/>
          </w:tcPr>
          <w:p w:rsidR="007234DD" w:rsidRDefault="007234DD">
            <w:pPr>
              <w:pStyle w:val="a5"/>
              <w:ind w:right="0"/>
              <w:jc w:val="right"/>
            </w:pPr>
            <w:r>
              <w:t>10,859</w:t>
            </w:r>
          </w:p>
        </w:tc>
      </w:tr>
      <w:tr w:rsidR="007234DD">
        <w:trPr>
          <w:cantSplit/>
        </w:trPr>
        <w:tc>
          <w:tcPr>
            <w:tcW w:w="2246" w:type="dxa"/>
            <w:shd w:val="clear" w:color="auto" w:fill="auto"/>
          </w:tcPr>
          <w:p w:rsidR="007234DD" w:rsidRDefault="007234DD">
            <w:pPr>
              <w:pStyle w:val="a5"/>
            </w:pPr>
            <w:r>
              <w:rPr>
                <w:rFonts w:hint="eastAsia"/>
              </w:rPr>
              <w:t>公共行政，防卫和法定社会保障</w:t>
            </w:r>
          </w:p>
        </w:tc>
        <w:tc>
          <w:tcPr>
            <w:tcW w:w="623" w:type="dxa"/>
            <w:shd w:val="clear" w:color="auto" w:fill="auto"/>
          </w:tcPr>
          <w:p w:rsidR="007234DD" w:rsidRDefault="007234DD">
            <w:pPr>
              <w:pStyle w:val="a5"/>
              <w:ind w:right="0"/>
              <w:jc w:val="right"/>
            </w:pPr>
            <w:r>
              <w:t>9,085</w:t>
            </w:r>
          </w:p>
        </w:tc>
        <w:tc>
          <w:tcPr>
            <w:tcW w:w="644" w:type="dxa"/>
            <w:shd w:val="clear" w:color="auto" w:fill="auto"/>
          </w:tcPr>
          <w:p w:rsidR="007234DD" w:rsidRDefault="007234DD">
            <w:pPr>
              <w:pStyle w:val="a5"/>
              <w:ind w:right="0"/>
              <w:jc w:val="right"/>
            </w:pPr>
            <w:r>
              <w:t>6,741</w:t>
            </w:r>
          </w:p>
        </w:tc>
        <w:tc>
          <w:tcPr>
            <w:tcW w:w="643" w:type="dxa"/>
            <w:shd w:val="clear" w:color="auto" w:fill="auto"/>
          </w:tcPr>
          <w:p w:rsidR="007234DD" w:rsidRDefault="007234DD">
            <w:pPr>
              <w:pStyle w:val="a5"/>
              <w:ind w:right="0"/>
              <w:jc w:val="right"/>
            </w:pPr>
            <w:r>
              <w:t>12,258</w:t>
            </w:r>
          </w:p>
        </w:tc>
        <w:tc>
          <w:tcPr>
            <w:tcW w:w="644" w:type="dxa"/>
            <w:shd w:val="clear" w:color="auto" w:fill="auto"/>
          </w:tcPr>
          <w:p w:rsidR="007234DD" w:rsidRDefault="007234DD">
            <w:pPr>
              <w:pStyle w:val="a5"/>
              <w:ind w:right="0"/>
              <w:jc w:val="right"/>
            </w:pPr>
            <w:r>
              <w:t>9,485</w:t>
            </w:r>
          </w:p>
        </w:tc>
        <w:tc>
          <w:tcPr>
            <w:tcW w:w="643" w:type="dxa"/>
            <w:shd w:val="clear" w:color="auto" w:fill="auto"/>
          </w:tcPr>
          <w:p w:rsidR="007234DD" w:rsidRDefault="007234DD">
            <w:pPr>
              <w:pStyle w:val="a5"/>
              <w:ind w:right="0"/>
              <w:jc w:val="right"/>
            </w:pPr>
            <w:r>
              <w:t>14,897</w:t>
            </w:r>
          </w:p>
        </w:tc>
        <w:tc>
          <w:tcPr>
            <w:tcW w:w="644" w:type="dxa"/>
            <w:shd w:val="clear" w:color="auto" w:fill="auto"/>
          </w:tcPr>
          <w:p w:rsidR="007234DD" w:rsidRDefault="007234DD">
            <w:pPr>
              <w:pStyle w:val="a5"/>
              <w:ind w:right="0"/>
              <w:jc w:val="right"/>
            </w:pPr>
            <w:r>
              <w:t>10,421</w:t>
            </w:r>
          </w:p>
        </w:tc>
        <w:tc>
          <w:tcPr>
            <w:tcW w:w="643" w:type="dxa"/>
            <w:shd w:val="clear" w:color="auto" w:fill="auto"/>
          </w:tcPr>
          <w:p w:rsidR="007234DD" w:rsidRDefault="007234DD">
            <w:pPr>
              <w:pStyle w:val="a5"/>
              <w:ind w:right="0"/>
              <w:jc w:val="right"/>
            </w:pPr>
            <w:r>
              <w:t>15,907</w:t>
            </w:r>
          </w:p>
        </w:tc>
        <w:tc>
          <w:tcPr>
            <w:tcW w:w="640" w:type="dxa"/>
            <w:shd w:val="clear" w:color="auto" w:fill="auto"/>
          </w:tcPr>
          <w:p w:rsidR="007234DD" w:rsidRDefault="007234DD">
            <w:pPr>
              <w:pStyle w:val="a5"/>
              <w:ind w:right="0"/>
              <w:jc w:val="right"/>
            </w:pPr>
            <w:r>
              <w:t>12,477</w:t>
            </w:r>
          </w:p>
        </w:tc>
      </w:tr>
      <w:tr w:rsidR="007234DD">
        <w:trPr>
          <w:cantSplit/>
        </w:trPr>
        <w:tc>
          <w:tcPr>
            <w:tcW w:w="2246" w:type="dxa"/>
            <w:shd w:val="clear" w:color="auto" w:fill="auto"/>
          </w:tcPr>
          <w:p w:rsidR="007234DD" w:rsidRDefault="007234DD">
            <w:pPr>
              <w:pStyle w:val="a5"/>
            </w:pPr>
            <w:r>
              <w:rPr>
                <w:rFonts w:hint="eastAsia"/>
              </w:rPr>
              <w:t>教育</w:t>
            </w:r>
          </w:p>
        </w:tc>
        <w:tc>
          <w:tcPr>
            <w:tcW w:w="623" w:type="dxa"/>
            <w:shd w:val="clear" w:color="auto" w:fill="auto"/>
          </w:tcPr>
          <w:p w:rsidR="007234DD" w:rsidRDefault="007234DD">
            <w:pPr>
              <w:pStyle w:val="a5"/>
              <w:ind w:right="0"/>
              <w:jc w:val="right"/>
            </w:pPr>
            <w:r>
              <w:t>9,205</w:t>
            </w:r>
          </w:p>
        </w:tc>
        <w:tc>
          <w:tcPr>
            <w:tcW w:w="644" w:type="dxa"/>
            <w:shd w:val="clear" w:color="auto" w:fill="auto"/>
          </w:tcPr>
          <w:p w:rsidR="007234DD" w:rsidRDefault="007234DD">
            <w:pPr>
              <w:pStyle w:val="a5"/>
              <w:ind w:right="0"/>
              <w:jc w:val="right"/>
            </w:pPr>
            <w:r>
              <w:t>7,448</w:t>
            </w:r>
          </w:p>
        </w:tc>
        <w:tc>
          <w:tcPr>
            <w:tcW w:w="643" w:type="dxa"/>
            <w:shd w:val="clear" w:color="auto" w:fill="auto"/>
          </w:tcPr>
          <w:p w:rsidR="007234DD" w:rsidRDefault="007234DD">
            <w:pPr>
              <w:pStyle w:val="a5"/>
              <w:ind w:right="0"/>
              <w:jc w:val="right"/>
            </w:pPr>
            <w:r>
              <w:t>11,065</w:t>
            </w:r>
          </w:p>
        </w:tc>
        <w:tc>
          <w:tcPr>
            <w:tcW w:w="644" w:type="dxa"/>
            <w:shd w:val="clear" w:color="auto" w:fill="auto"/>
          </w:tcPr>
          <w:p w:rsidR="007234DD" w:rsidRDefault="007234DD">
            <w:pPr>
              <w:pStyle w:val="a5"/>
              <w:ind w:right="0"/>
              <w:jc w:val="right"/>
            </w:pPr>
            <w:r>
              <w:t>9,300</w:t>
            </w:r>
          </w:p>
        </w:tc>
        <w:tc>
          <w:tcPr>
            <w:tcW w:w="643" w:type="dxa"/>
            <w:shd w:val="clear" w:color="auto" w:fill="auto"/>
          </w:tcPr>
          <w:p w:rsidR="007234DD" w:rsidRDefault="007234DD">
            <w:pPr>
              <w:pStyle w:val="a5"/>
              <w:ind w:right="0"/>
              <w:jc w:val="right"/>
            </w:pPr>
            <w:r>
              <w:t>13,940</w:t>
            </w:r>
          </w:p>
        </w:tc>
        <w:tc>
          <w:tcPr>
            <w:tcW w:w="644" w:type="dxa"/>
            <w:shd w:val="clear" w:color="auto" w:fill="auto"/>
          </w:tcPr>
          <w:p w:rsidR="007234DD" w:rsidRDefault="007234DD">
            <w:pPr>
              <w:pStyle w:val="a5"/>
              <w:ind w:right="0"/>
              <w:jc w:val="right"/>
            </w:pPr>
            <w:r>
              <w:t>11,130</w:t>
            </w:r>
          </w:p>
        </w:tc>
        <w:tc>
          <w:tcPr>
            <w:tcW w:w="643" w:type="dxa"/>
            <w:shd w:val="clear" w:color="auto" w:fill="auto"/>
          </w:tcPr>
          <w:p w:rsidR="007234DD" w:rsidRDefault="007234DD">
            <w:pPr>
              <w:pStyle w:val="a5"/>
              <w:ind w:right="0"/>
              <w:jc w:val="right"/>
            </w:pPr>
            <w:r>
              <w:t>13,449</w:t>
            </w:r>
          </w:p>
        </w:tc>
        <w:tc>
          <w:tcPr>
            <w:tcW w:w="640" w:type="dxa"/>
            <w:shd w:val="clear" w:color="auto" w:fill="auto"/>
          </w:tcPr>
          <w:p w:rsidR="007234DD" w:rsidRDefault="007234DD">
            <w:pPr>
              <w:pStyle w:val="a5"/>
              <w:ind w:right="0"/>
              <w:jc w:val="right"/>
            </w:pPr>
            <w:r>
              <w:t>11,677</w:t>
            </w:r>
          </w:p>
        </w:tc>
      </w:tr>
      <w:tr w:rsidR="007234DD">
        <w:trPr>
          <w:cantSplit/>
        </w:trPr>
        <w:tc>
          <w:tcPr>
            <w:tcW w:w="2246" w:type="dxa"/>
            <w:shd w:val="clear" w:color="auto" w:fill="auto"/>
          </w:tcPr>
          <w:p w:rsidR="007234DD" w:rsidRDefault="007234DD">
            <w:pPr>
              <w:pStyle w:val="a5"/>
            </w:pPr>
            <w:r>
              <w:rPr>
                <w:rFonts w:hint="eastAsia"/>
              </w:rPr>
              <w:t>卫生和社会工作</w:t>
            </w:r>
          </w:p>
        </w:tc>
        <w:tc>
          <w:tcPr>
            <w:tcW w:w="623" w:type="dxa"/>
            <w:shd w:val="clear" w:color="auto" w:fill="auto"/>
          </w:tcPr>
          <w:p w:rsidR="007234DD" w:rsidRDefault="007234DD">
            <w:pPr>
              <w:pStyle w:val="a5"/>
              <w:ind w:right="0"/>
              <w:jc w:val="right"/>
            </w:pPr>
            <w:r>
              <w:t>8,872</w:t>
            </w:r>
          </w:p>
        </w:tc>
        <w:tc>
          <w:tcPr>
            <w:tcW w:w="644" w:type="dxa"/>
            <w:shd w:val="clear" w:color="auto" w:fill="auto"/>
          </w:tcPr>
          <w:p w:rsidR="007234DD" w:rsidRDefault="007234DD">
            <w:pPr>
              <w:pStyle w:val="a5"/>
              <w:ind w:right="0"/>
              <w:jc w:val="right"/>
            </w:pPr>
            <w:r>
              <w:t>6,684</w:t>
            </w:r>
          </w:p>
        </w:tc>
        <w:tc>
          <w:tcPr>
            <w:tcW w:w="643" w:type="dxa"/>
            <w:shd w:val="clear" w:color="auto" w:fill="auto"/>
          </w:tcPr>
          <w:p w:rsidR="007234DD" w:rsidRDefault="007234DD">
            <w:pPr>
              <w:pStyle w:val="a5"/>
              <w:ind w:right="0"/>
              <w:jc w:val="right"/>
            </w:pPr>
            <w:r>
              <w:t>11,224</w:t>
            </w:r>
          </w:p>
        </w:tc>
        <w:tc>
          <w:tcPr>
            <w:tcW w:w="644" w:type="dxa"/>
            <w:shd w:val="clear" w:color="auto" w:fill="auto"/>
          </w:tcPr>
          <w:p w:rsidR="007234DD" w:rsidRDefault="007234DD">
            <w:pPr>
              <w:pStyle w:val="a5"/>
              <w:ind w:right="0"/>
              <w:jc w:val="right"/>
            </w:pPr>
            <w:r>
              <w:t>8,379</w:t>
            </w:r>
          </w:p>
        </w:tc>
        <w:tc>
          <w:tcPr>
            <w:tcW w:w="643" w:type="dxa"/>
            <w:shd w:val="clear" w:color="auto" w:fill="auto"/>
          </w:tcPr>
          <w:p w:rsidR="007234DD" w:rsidRDefault="007234DD">
            <w:pPr>
              <w:pStyle w:val="a5"/>
              <w:ind w:right="0"/>
              <w:jc w:val="right"/>
            </w:pPr>
            <w:r>
              <w:t>13,066</w:t>
            </w:r>
          </w:p>
        </w:tc>
        <w:tc>
          <w:tcPr>
            <w:tcW w:w="644" w:type="dxa"/>
            <w:shd w:val="clear" w:color="auto" w:fill="auto"/>
          </w:tcPr>
          <w:p w:rsidR="007234DD" w:rsidRDefault="007234DD">
            <w:pPr>
              <w:pStyle w:val="a5"/>
              <w:ind w:right="0"/>
              <w:jc w:val="right"/>
            </w:pPr>
            <w:r>
              <w:t>11,160</w:t>
            </w:r>
          </w:p>
        </w:tc>
        <w:tc>
          <w:tcPr>
            <w:tcW w:w="643" w:type="dxa"/>
            <w:shd w:val="clear" w:color="auto" w:fill="auto"/>
          </w:tcPr>
          <w:p w:rsidR="007234DD" w:rsidRDefault="007234DD">
            <w:pPr>
              <w:pStyle w:val="a5"/>
              <w:ind w:right="0"/>
              <w:jc w:val="right"/>
            </w:pPr>
            <w:r>
              <w:t>13,860</w:t>
            </w:r>
          </w:p>
        </w:tc>
        <w:tc>
          <w:tcPr>
            <w:tcW w:w="640" w:type="dxa"/>
            <w:shd w:val="clear" w:color="auto" w:fill="auto"/>
          </w:tcPr>
          <w:p w:rsidR="007234DD" w:rsidRDefault="007234DD">
            <w:pPr>
              <w:pStyle w:val="a5"/>
              <w:ind w:right="0"/>
              <w:jc w:val="right"/>
            </w:pPr>
            <w:r>
              <w:t>10,764</w:t>
            </w:r>
          </w:p>
        </w:tc>
      </w:tr>
      <w:tr w:rsidR="007234DD">
        <w:trPr>
          <w:cantSplit/>
        </w:trPr>
        <w:tc>
          <w:tcPr>
            <w:tcW w:w="2246" w:type="dxa"/>
            <w:shd w:val="clear" w:color="auto" w:fill="auto"/>
          </w:tcPr>
          <w:p w:rsidR="007234DD" w:rsidRDefault="007234DD">
            <w:pPr>
              <w:pStyle w:val="a5"/>
            </w:pPr>
            <w:r>
              <w:rPr>
                <w:rFonts w:hint="eastAsia"/>
              </w:rPr>
              <w:t>社区服务、社会服务和个人服务</w:t>
            </w:r>
          </w:p>
        </w:tc>
        <w:tc>
          <w:tcPr>
            <w:tcW w:w="623" w:type="dxa"/>
            <w:shd w:val="clear" w:color="auto" w:fill="auto"/>
          </w:tcPr>
          <w:p w:rsidR="007234DD" w:rsidRDefault="007234DD">
            <w:pPr>
              <w:pStyle w:val="a5"/>
              <w:ind w:right="0"/>
              <w:jc w:val="right"/>
            </w:pPr>
            <w:r>
              <w:t>6,936</w:t>
            </w:r>
          </w:p>
        </w:tc>
        <w:tc>
          <w:tcPr>
            <w:tcW w:w="644" w:type="dxa"/>
            <w:shd w:val="clear" w:color="auto" w:fill="auto"/>
          </w:tcPr>
          <w:p w:rsidR="007234DD" w:rsidRDefault="007234DD">
            <w:pPr>
              <w:pStyle w:val="a5"/>
              <w:ind w:right="0"/>
              <w:jc w:val="right"/>
            </w:pPr>
            <w:r>
              <w:t>4,893</w:t>
            </w:r>
          </w:p>
        </w:tc>
        <w:tc>
          <w:tcPr>
            <w:tcW w:w="643" w:type="dxa"/>
            <w:shd w:val="clear" w:color="auto" w:fill="auto"/>
          </w:tcPr>
          <w:p w:rsidR="007234DD" w:rsidRDefault="007234DD">
            <w:pPr>
              <w:pStyle w:val="a5"/>
              <w:ind w:right="0"/>
              <w:jc w:val="right"/>
            </w:pPr>
            <w:r>
              <w:t>9,252</w:t>
            </w:r>
          </w:p>
        </w:tc>
        <w:tc>
          <w:tcPr>
            <w:tcW w:w="644" w:type="dxa"/>
            <w:shd w:val="clear" w:color="auto" w:fill="auto"/>
          </w:tcPr>
          <w:p w:rsidR="007234DD" w:rsidRDefault="007234DD">
            <w:pPr>
              <w:pStyle w:val="a5"/>
              <w:ind w:right="0"/>
              <w:jc w:val="right"/>
            </w:pPr>
            <w:r>
              <w:t>7,128</w:t>
            </w:r>
          </w:p>
        </w:tc>
        <w:tc>
          <w:tcPr>
            <w:tcW w:w="643" w:type="dxa"/>
            <w:shd w:val="clear" w:color="auto" w:fill="auto"/>
          </w:tcPr>
          <w:p w:rsidR="007234DD" w:rsidRDefault="007234DD">
            <w:pPr>
              <w:pStyle w:val="a5"/>
              <w:ind w:right="0"/>
              <w:jc w:val="right"/>
            </w:pPr>
            <w:r>
              <w:t>11,307</w:t>
            </w:r>
          </w:p>
        </w:tc>
        <w:tc>
          <w:tcPr>
            <w:tcW w:w="644" w:type="dxa"/>
            <w:shd w:val="clear" w:color="auto" w:fill="auto"/>
          </w:tcPr>
          <w:p w:rsidR="007234DD" w:rsidRDefault="007234DD">
            <w:pPr>
              <w:pStyle w:val="a5"/>
              <w:ind w:right="0"/>
              <w:jc w:val="right"/>
            </w:pPr>
            <w:r>
              <w:t>8,258</w:t>
            </w:r>
          </w:p>
        </w:tc>
        <w:tc>
          <w:tcPr>
            <w:tcW w:w="643" w:type="dxa"/>
            <w:shd w:val="clear" w:color="auto" w:fill="auto"/>
          </w:tcPr>
          <w:p w:rsidR="007234DD" w:rsidRDefault="007234DD">
            <w:pPr>
              <w:pStyle w:val="a5"/>
              <w:ind w:right="0"/>
              <w:jc w:val="right"/>
            </w:pPr>
            <w:r>
              <w:t>11,833</w:t>
            </w:r>
          </w:p>
        </w:tc>
        <w:tc>
          <w:tcPr>
            <w:tcW w:w="640" w:type="dxa"/>
            <w:shd w:val="clear" w:color="auto" w:fill="auto"/>
          </w:tcPr>
          <w:p w:rsidR="007234DD" w:rsidRDefault="007234DD">
            <w:pPr>
              <w:pStyle w:val="a5"/>
              <w:ind w:right="0"/>
              <w:jc w:val="right"/>
            </w:pPr>
            <w:r>
              <w:t>10,858</w:t>
            </w:r>
          </w:p>
        </w:tc>
      </w:tr>
      <w:tr w:rsidR="007234DD">
        <w:trPr>
          <w:cantSplit/>
        </w:trPr>
        <w:tc>
          <w:tcPr>
            <w:tcW w:w="2246" w:type="dxa"/>
            <w:shd w:val="clear" w:color="auto" w:fill="auto"/>
          </w:tcPr>
          <w:p w:rsidR="007234DD" w:rsidRDefault="007234DD">
            <w:pPr>
              <w:pStyle w:val="a5"/>
            </w:pPr>
            <w:r>
              <w:rPr>
                <w:rFonts w:hint="eastAsia"/>
              </w:rPr>
              <w:t>家庭服务</w:t>
            </w:r>
          </w:p>
        </w:tc>
        <w:tc>
          <w:tcPr>
            <w:tcW w:w="623" w:type="dxa"/>
            <w:shd w:val="clear" w:color="auto" w:fill="auto"/>
          </w:tcPr>
          <w:p w:rsidR="007234DD" w:rsidRDefault="007234DD">
            <w:pPr>
              <w:pStyle w:val="a5"/>
              <w:ind w:right="0"/>
              <w:jc w:val="right"/>
            </w:pPr>
            <w:r>
              <w:t>1,701</w:t>
            </w:r>
          </w:p>
        </w:tc>
        <w:tc>
          <w:tcPr>
            <w:tcW w:w="644" w:type="dxa"/>
            <w:shd w:val="clear" w:color="auto" w:fill="auto"/>
          </w:tcPr>
          <w:p w:rsidR="007234DD" w:rsidRDefault="007234DD">
            <w:pPr>
              <w:pStyle w:val="a5"/>
              <w:ind w:right="0"/>
              <w:jc w:val="right"/>
            </w:pPr>
            <w:r>
              <w:t>1,610</w:t>
            </w:r>
          </w:p>
        </w:tc>
        <w:tc>
          <w:tcPr>
            <w:tcW w:w="643" w:type="dxa"/>
            <w:shd w:val="clear" w:color="auto" w:fill="auto"/>
          </w:tcPr>
          <w:p w:rsidR="007234DD" w:rsidRDefault="007234DD">
            <w:pPr>
              <w:pStyle w:val="a5"/>
              <w:ind w:right="0"/>
              <w:jc w:val="right"/>
            </w:pPr>
            <w:r>
              <w:t>1,771</w:t>
            </w:r>
          </w:p>
        </w:tc>
        <w:tc>
          <w:tcPr>
            <w:tcW w:w="644" w:type="dxa"/>
            <w:shd w:val="clear" w:color="auto" w:fill="auto"/>
          </w:tcPr>
          <w:p w:rsidR="007234DD" w:rsidRDefault="007234DD">
            <w:pPr>
              <w:pStyle w:val="a5"/>
              <w:ind w:right="0"/>
              <w:jc w:val="right"/>
            </w:pPr>
            <w:r>
              <w:t>1,804</w:t>
            </w:r>
          </w:p>
        </w:tc>
        <w:tc>
          <w:tcPr>
            <w:tcW w:w="643" w:type="dxa"/>
            <w:shd w:val="clear" w:color="auto" w:fill="auto"/>
          </w:tcPr>
          <w:p w:rsidR="007234DD" w:rsidRDefault="007234DD">
            <w:pPr>
              <w:pStyle w:val="a5"/>
              <w:ind w:right="0"/>
              <w:jc w:val="right"/>
            </w:pPr>
            <w:r>
              <w:t>1,825</w:t>
            </w:r>
          </w:p>
        </w:tc>
        <w:tc>
          <w:tcPr>
            <w:tcW w:w="644" w:type="dxa"/>
            <w:shd w:val="clear" w:color="auto" w:fill="auto"/>
          </w:tcPr>
          <w:p w:rsidR="007234DD" w:rsidRDefault="007234DD">
            <w:pPr>
              <w:pStyle w:val="a5"/>
              <w:ind w:right="0"/>
              <w:jc w:val="right"/>
            </w:pPr>
            <w:r>
              <w:t>1,718</w:t>
            </w:r>
          </w:p>
        </w:tc>
        <w:tc>
          <w:tcPr>
            <w:tcW w:w="643" w:type="dxa"/>
            <w:shd w:val="clear" w:color="auto" w:fill="auto"/>
          </w:tcPr>
          <w:p w:rsidR="007234DD" w:rsidRDefault="007234DD">
            <w:pPr>
              <w:pStyle w:val="a5"/>
              <w:ind w:right="0"/>
              <w:jc w:val="right"/>
            </w:pPr>
            <w:r>
              <w:t>1,847</w:t>
            </w:r>
          </w:p>
        </w:tc>
        <w:tc>
          <w:tcPr>
            <w:tcW w:w="640" w:type="dxa"/>
            <w:shd w:val="clear" w:color="auto" w:fill="auto"/>
          </w:tcPr>
          <w:p w:rsidR="007234DD" w:rsidRDefault="007234DD">
            <w:pPr>
              <w:pStyle w:val="a5"/>
              <w:ind w:right="0"/>
              <w:jc w:val="right"/>
            </w:pPr>
            <w:r>
              <w:t>1,718</w:t>
            </w:r>
          </w:p>
        </w:tc>
      </w:tr>
      <w:tr w:rsidR="007234DD">
        <w:trPr>
          <w:cantSplit/>
        </w:trPr>
        <w:tc>
          <w:tcPr>
            <w:tcW w:w="2246" w:type="dxa"/>
            <w:tcBorders>
              <w:bottom w:val="single" w:sz="4" w:space="0" w:color="auto"/>
            </w:tcBorders>
            <w:shd w:val="clear" w:color="auto" w:fill="auto"/>
          </w:tcPr>
          <w:p w:rsidR="007234DD" w:rsidRDefault="007234DD">
            <w:pPr>
              <w:pStyle w:val="a5"/>
            </w:pPr>
            <w:r>
              <w:rPr>
                <w:rFonts w:hint="eastAsia"/>
              </w:rPr>
              <w:t>区域和国际组织与机构</w:t>
            </w:r>
          </w:p>
        </w:tc>
        <w:tc>
          <w:tcPr>
            <w:tcW w:w="623" w:type="dxa"/>
            <w:tcBorders>
              <w:bottom w:val="single" w:sz="4" w:space="0" w:color="auto"/>
            </w:tcBorders>
            <w:shd w:val="clear" w:color="auto" w:fill="auto"/>
          </w:tcPr>
          <w:p w:rsidR="007234DD" w:rsidRDefault="007234DD">
            <w:pPr>
              <w:pStyle w:val="a5"/>
              <w:ind w:right="0"/>
              <w:jc w:val="right"/>
            </w:pPr>
            <w:r>
              <w:t>16,281</w:t>
            </w:r>
          </w:p>
        </w:tc>
        <w:tc>
          <w:tcPr>
            <w:tcW w:w="644" w:type="dxa"/>
            <w:tcBorders>
              <w:bottom w:val="single" w:sz="4" w:space="0" w:color="auto"/>
            </w:tcBorders>
            <w:shd w:val="clear" w:color="auto" w:fill="auto"/>
          </w:tcPr>
          <w:p w:rsidR="007234DD" w:rsidRDefault="007234DD">
            <w:pPr>
              <w:pStyle w:val="a5"/>
              <w:ind w:right="0"/>
              <w:jc w:val="right"/>
            </w:pPr>
            <w:r>
              <w:t>8,750</w:t>
            </w:r>
          </w:p>
        </w:tc>
        <w:tc>
          <w:tcPr>
            <w:tcW w:w="643" w:type="dxa"/>
            <w:tcBorders>
              <w:bottom w:val="single" w:sz="4" w:space="0" w:color="auto"/>
            </w:tcBorders>
            <w:shd w:val="clear" w:color="auto" w:fill="auto"/>
          </w:tcPr>
          <w:p w:rsidR="007234DD" w:rsidRDefault="007234DD">
            <w:pPr>
              <w:pStyle w:val="a5"/>
              <w:ind w:right="0"/>
              <w:jc w:val="right"/>
            </w:pPr>
            <w:r>
              <w:t>19,397</w:t>
            </w:r>
          </w:p>
        </w:tc>
        <w:tc>
          <w:tcPr>
            <w:tcW w:w="644" w:type="dxa"/>
            <w:tcBorders>
              <w:bottom w:val="single" w:sz="4" w:space="0" w:color="auto"/>
            </w:tcBorders>
            <w:shd w:val="clear" w:color="auto" w:fill="auto"/>
          </w:tcPr>
          <w:p w:rsidR="007234DD" w:rsidRDefault="007234DD">
            <w:pPr>
              <w:pStyle w:val="a5"/>
              <w:ind w:right="0"/>
              <w:jc w:val="right"/>
            </w:pPr>
            <w:r>
              <w:t>11,828</w:t>
            </w:r>
          </w:p>
        </w:tc>
        <w:tc>
          <w:tcPr>
            <w:tcW w:w="643" w:type="dxa"/>
            <w:tcBorders>
              <w:bottom w:val="single" w:sz="4" w:space="0" w:color="auto"/>
            </w:tcBorders>
            <w:shd w:val="clear" w:color="auto" w:fill="auto"/>
          </w:tcPr>
          <w:p w:rsidR="007234DD" w:rsidRDefault="007234DD">
            <w:pPr>
              <w:pStyle w:val="a5"/>
              <w:ind w:right="0"/>
              <w:jc w:val="right"/>
            </w:pPr>
            <w:r>
              <w:t>15,787</w:t>
            </w:r>
          </w:p>
        </w:tc>
        <w:tc>
          <w:tcPr>
            <w:tcW w:w="644" w:type="dxa"/>
            <w:tcBorders>
              <w:bottom w:val="single" w:sz="4" w:space="0" w:color="auto"/>
            </w:tcBorders>
            <w:shd w:val="clear" w:color="auto" w:fill="auto"/>
          </w:tcPr>
          <w:p w:rsidR="007234DD" w:rsidRDefault="007234DD">
            <w:pPr>
              <w:pStyle w:val="a5"/>
              <w:ind w:right="0"/>
              <w:jc w:val="right"/>
            </w:pPr>
            <w:r>
              <w:t>10,136</w:t>
            </w:r>
          </w:p>
        </w:tc>
        <w:tc>
          <w:tcPr>
            <w:tcW w:w="643" w:type="dxa"/>
            <w:tcBorders>
              <w:bottom w:val="single" w:sz="4" w:space="0" w:color="auto"/>
            </w:tcBorders>
            <w:shd w:val="clear" w:color="auto" w:fill="auto"/>
          </w:tcPr>
          <w:p w:rsidR="007234DD" w:rsidRDefault="007234DD">
            <w:pPr>
              <w:pStyle w:val="a5"/>
              <w:ind w:right="0"/>
              <w:jc w:val="right"/>
            </w:pPr>
            <w:r>
              <w:t>15,761</w:t>
            </w:r>
          </w:p>
        </w:tc>
        <w:tc>
          <w:tcPr>
            <w:tcW w:w="640" w:type="dxa"/>
            <w:tcBorders>
              <w:bottom w:val="single" w:sz="4" w:space="0" w:color="auto"/>
            </w:tcBorders>
            <w:shd w:val="clear" w:color="auto" w:fill="auto"/>
          </w:tcPr>
          <w:p w:rsidR="007234DD" w:rsidRDefault="007234DD">
            <w:pPr>
              <w:pStyle w:val="a5"/>
              <w:ind w:right="0"/>
              <w:jc w:val="right"/>
            </w:pPr>
            <w:r>
              <w:t>9,857</w:t>
            </w:r>
          </w:p>
        </w:tc>
      </w:tr>
      <w:tr w:rsidR="007234DD">
        <w:trPr>
          <w:cantSplit/>
        </w:trPr>
        <w:tc>
          <w:tcPr>
            <w:tcW w:w="2246" w:type="dxa"/>
            <w:tcBorders>
              <w:top w:val="single" w:sz="4" w:space="0" w:color="auto"/>
              <w:bottom w:val="single" w:sz="6" w:space="0" w:color="auto"/>
            </w:tcBorders>
            <w:shd w:val="clear" w:color="auto" w:fill="auto"/>
          </w:tcPr>
          <w:p w:rsidR="007234DD" w:rsidRDefault="007234DD">
            <w:pPr>
              <w:pStyle w:val="a5"/>
              <w:spacing w:before="80" w:after="80" w:line="200" w:lineRule="exact"/>
              <w:ind w:left="170"/>
              <w:rPr>
                <w:rFonts w:eastAsia="SimHei"/>
              </w:rPr>
            </w:pPr>
            <w:r>
              <w:rPr>
                <w:rFonts w:eastAsia="SimHei" w:hint="eastAsia"/>
              </w:rPr>
              <w:t>合计</w:t>
            </w:r>
            <w:r>
              <w:rPr>
                <w:rFonts w:eastAsia="SimHei"/>
              </w:rPr>
              <w:t>(%)</w:t>
            </w:r>
          </w:p>
        </w:tc>
        <w:tc>
          <w:tcPr>
            <w:tcW w:w="623"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5</w:t>
            </w:r>
            <w:r>
              <w:rPr>
                <w:rFonts w:eastAsia="SimHei"/>
              </w:rPr>
              <w:t>,</w:t>
            </w:r>
            <w:r>
              <w:rPr>
                <w:rFonts w:eastAsia="SimHei"/>
                <w:b/>
              </w:rPr>
              <w:t>611</w:t>
            </w:r>
          </w:p>
        </w:tc>
        <w:tc>
          <w:tcPr>
            <w:tcW w:w="644"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4</w:t>
            </w:r>
            <w:r>
              <w:rPr>
                <w:rFonts w:eastAsia="SimHei"/>
              </w:rPr>
              <w:t>,</w:t>
            </w:r>
            <w:r>
              <w:rPr>
                <w:rFonts w:eastAsia="SimHei"/>
                <w:b/>
              </w:rPr>
              <w:t>131</w:t>
            </w:r>
          </w:p>
        </w:tc>
        <w:tc>
          <w:tcPr>
            <w:tcW w:w="643"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6</w:t>
            </w:r>
            <w:r>
              <w:rPr>
                <w:rFonts w:eastAsia="SimHei"/>
              </w:rPr>
              <w:t>,</w:t>
            </w:r>
            <w:r>
              <w:rPr>
                <w:rFonts w:eastAsia="SimHei"/>
                <w:b/>
              </w:rPr>
              <w:t>884</w:t>
            </w:r>
          </w:p>
        </w:tc>
        <w:tc>
          <w:tcPr>
            <w:tcW w:w="644"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4</w:t>
            </w:r>
            <w:r>
              <w:rPr>
                <w:rFonts w:eastAsia="SimHei"/>
              </w:rPr>
              <w:t>,</w:t>
            </w:r>
            <w:r>
              <w:rPr>
                <w:rFonts w:eastAsia="SimHei"/>
                <w:b/>
              </w:rPr>
              <w:t>939</w:t>
            </w:r>
          </w:p>
        </w:tc>
        <w:tc>
          <w:tcPr>
            <w:tcW w:w="643"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8</w:t>
            </w:r>
            <w:r>
              <w:rPr>
                <w:rFonts w:eastAsia="SimHei"/>
              </w:rPr>
              <w:t>,</w:t>
            </w:r>
            <w:r>
              <w:rPr>
                <w:rFonts w:eastAsia="SimHei"/>
                <w:b/>
              </w:rPr>
              <w:t>064</w:t>
            </w:r>
          </w:p>
        </w:tc>
        <w:tc>
          <w:tcPr>
            <w:tcW w:w="644"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5</w:t>
            </w:r>
            <w:r>
              <w:rPr>
                <w:rFonts w:eastAsia="SimHei"/>
              </w:rPr>
              <w:t>,</w:t>
            </w:r>
            <w:r>
              <w:rPr>
                <w:rFonts w:eastAsia="SimHei"/>
                <w:b/>
              </w:rPr>
              <w:t>819</w:t>
            </w:r>
          </w:p>
        </w:tc>
        <w:tc>
          <w:tcPr>
            <w:tcW w:w="643"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8</w:t>
            </w:r>
            <w:r>
              <w:rPr>
                <w:rFonts w:eastAsia="SimHei"/>
              </w:rPr>
              <w:t>,</w:t>
            </w:r>
            <w:r>
              <w:rPr>
                <w:rFonts w:eastAsia="SimHei"/>
                <w:b/>
              </w:rPr>
              <w:t>484</w:t>
            </w:r>
          </w:p>
        </w:tc>
        <w:tc>
          <w:tcPr>
            <w:tcW w:w="640" w:type="dxa"/>
            <w:tcBorders>
              <w:top w:val="single" w:sz="4" w:space="0" w:color="auto"/>
              <w:bottom w:val="single" w:sz="6" w:space="0" w:color="auto"/>
            </w:tcBorders>
            <w:shd w:val="clear" w:color="auto" w:fill="auto"/>
          </w:tcPr>
          <w:p w:rsidR="007234DD" w:rsidRDefault="007234DD">
            <w:pPr>
              <w:pStyle w:val="a5"/>
              <w:spacing w:before="80" w:after="80" w:line="200" w:lineRule="exact"/>
              <w:ind w:right="0"/>
              <w:jc w:val="right"/>
              <w:rPr>
                <w:rFonts w:eastAsia="SimHei"/>
              </w:rPr>
            </w:pPr>
            <w:r>
              <w:rPr>
                <w:rFonts w:eastAsia="SimHei"/>
                <w:b/>
              </w:rPr>
              <w:t>6</w:t>
            </w:r>
            <w:r>
              <w:rPr>
                <w:rFonts w:eastAsia="SimHei"/>
              </w:rPr>
              <w:t>,</w:t>
            </w:r>
            <w:r>
              <w:rPr>
                <w:rFonts w:eastAsia="SimHei"/>
                <w:b/>
              </w:rPr>
              <w:t>106</w:t>
            </w:r>
          </w:p>
        </w:tc>
      </w:tr>
      <w:bookmarkEnd w:id="11"/>
      <w:tr w:rsidR="007234DD">
        <w:trPr>
          <w:cantSplit/>
        </w:trPr>
        <w:tc>
          <w:tcPr>
            <w:tcW w:w="2246" w:type="dxa"/>
            <w:tcBorders>
              <w:top w:val="single" w:sz="6" w:space="0" w:color="auto"/>
              <w:bottom w:val="single" w:sz="12" w:space="0" w:color="auto"/>
            </w:tcBorders>
            <w:shd w:val="clear" w:color="auto" w:fill="auto"/>
          </w:tcPr>
          <w:p w:rsidR="007234DD" w:rsidRDefault="007234DD">
            <w:pPr>
              <w:pStyle w:val="a5"/>
            </w:pPr>
            <w:r>
              <w:rPr>
                <w:rFonts w:hint="eastAsia"/>
              </w:rPr>
              <w:t>女性与男性的平均收入比率</w:t>
            </w:r>
          </w:p>
        </w:tc>
        <w:tc>
          <w:tcPr>
            <w:tcW w:w="1267" w:type="dxa"/>
            <w:gridSpan w:val="2"/>
            <w:tcBorders>
              <w:top w:val="single" w:sz="6" w:space="0" w:color="auto"/>
              <w:bottom w:val="single" w:sz="12" w:space="0" w:color="auto"/>
            </w:tcBorders>
            <w:shd w:val="clear" w:color="auto" w:fill="auto"/>
          </w:tcPr>
          <w:p w:rsidR="007234DD" w:rsidRDefault="007234DD">
            <w:pPr>
              <w:pStyle w:val="a5"/>
              <w:ind w:right="0"/>
              <w:jc w:val="right"/>
            </w:pPr>
            <w:r>
              <w:t>73.6</w:t>
            </w:r>
          </w:p>
        </w:tc>
        <w:tc>
          <w:tcPr>
            <w:tcW w:w="1287" w:type="dxa"/>
            <w:gridSpan w:val="2"/>
            <w:tcBorders>
              <w:top w:val="single" w:sz="6" w:space="0" w:color="auto"/>
              <w:bottom w:val="single" w:sz="12" w:space="0" w:color="auto"/>
            </w:tcBorders>
            <w:shd w:val="clear" w:color="auto" w:fill="auto"/>
          </w:tcPr>
          <w:p w:rsidR="007234DD" w:rsidRDefault="007234DD">
            <w:pPr>
              <w:pStyle w:val="a5"/>
              <w:ind w:right="0"/>
              <w:jc w:val="right"/>
            </w:pPr>
            <w:r>
              <w:t>71.7</w:t>
            </w:r>
          </w:p>
        </w:tc>
        <w:tc>
          <w:tcPr>
            <w:tcW w:w="1287" w:type="dxa"/>
            <w:gridSpan w:val="2"/>
            <w:tcBorders>
              <w:top w:val="single" w:sz="6" w:space="0" w:color="auto"/>
              <w:bottom w:val="single" w:sz="12" w:space="0" w:color="auto"/>
            </w:tcBorders>
            <w:shd w:val="clear" w:color="auto" w:fill="auto"/>
          </w:tcPr>
          <w:p w:rsidR="007234DD" w:rsidRDefault="007234DD">
            <w:pPr>
              <w:pStyle w:val="a5"/>
              <w:ind w:right="0"/>
              <w:jc w:val="right"/>
            </w:pPr>
            <w:r>
              <w:t>72.2</w:t>
            </w:r>
          </w:p>
        </w:tc>
        <w:tc>
          <w:tcPr>
            <w:tcW w:w="1283" w:type="dxa"/>
            <w:gridSpan w:val="2"/>
            <w:tcBorders>
              <w:top w:val="single" w:sz="6" w:space="0" w:color="auto"/>
              <w:bottom w:val="single" w:sz="12" w:space="0" w:color="auto"/>
            </w:tcBorders>
            <w:shd w:val="clear" w:color="auto" w:fill="auto"/>
          </w:tcPr>
          <w:p w:rsidR="007234DD" w:rsidRDefault="007234DD">
            <w:pPr>
              <w:pStyle w:val="a5"/>
              <w:ind w:right="0"/>
              <w:jc w:val="right"/>
            </w:pPr>
            <w:r>
              <w:t>72.0</w:t>
            </w:r>
          </w:p>
        </w:tc>
      </w:tr>
    </w:tbl>
    <w:p w:rsidR="007234DD" w:rsidRPr="005D71D9" w:rsidRDefault="007234DD" w:rsidP="00326C16">
      <w:pPr>
        <w:pStyle w:val="SingleTxtG"/>
        <w:spacing w:before="120"/>
        <w:ind w:firstLine="159"/>
        <w:rPr>
          <w:rFonts w:hint="eastAsia"/>
          <w:lang w:val="en-US"/>
        </w:rPr>
      </w:pPr>
      <w:r>
        <w:rPr>
          <w:rFonts w:eastAsia="KaiTi_GB2312" w:hint="eastAsia"/>
          <w:sz w:val="19"/>
          <w:szCs w:val="19"/>
        </w:rPr>
        <w:t>资料来源</w:t>
      </w:r>
      <w:r w:rsidRPr="005D71D9">
        <w:rPr>
          <w:rFonts w:eastAsia="KaiTi_GB2312" w:hint="eastAsia"/>
          <w:sz w:val="19"/>
          <w:szCs w:val="19"/>
          <w:lang w:val="en-US"/>
        </w:rPr>
        <w:t>：</w:t>
      </w:r>
      <w:r>
        <w:rPr>
          <w:rFonts w:hint="eastAsia"/>
          <w:sz w:val="19"/>
          <w:szCs w:val="19"/>
        </w:rPr>
        <w:t>卡塔尔国</w:t>
      </w:r>
      <w:r w:rsidRPr="005D71D9">
        <w:rPr>
          <w:rFonts w:hint="eastAsia"/>
          <w:sz w:val="19"/>
          <w:szCs w:val="19"/>
          <w:lang w:val="en-US"/>
        </w:rPr>
        <w:t>，</w:t>
      </w:r>
      <w:r w:rsidRPr="005D71D9">
        <w:rPr>
          <w:rFonts w:hint="eastAsia"/>
          <w:sz w:val="19"/>
          <w:szCs w:val="19"/>
          <w:lang w:val="en-US"/>
        </w:rPr>
        <w:t>2010</w:t>
      </w:r>
      <w:r>
        <w:rPr>
          <w:rFonts w:hint="eastAsia"/>
          <w:sz w:val="19"/>
          <w:szCs w:val="19"/>
        </w:rPr>
        <w:t>年</w:t>
      </w:r>
      <w:r w:rsidRPr="005D71D9">
        <w:rPr>
          <w:rFonts w:hint="eastAsia"/>
          <w:sz w:val="19"/>
          <w:szCs w:val="19"/>
          <w:lang w:val="en-US"/>
        </w:rPr>
        <w:t>，</w:t>
      </w:r>
      <w:r>
        <w:rPr>
          <w:rFonts w:hint="eastAsia"/>
          <w:sz w:val="19"/>
          <w:szCs w:val="19"/>
        </w:rPr>
        <w:t>劳动力调查</w:t>
      </w:r>
      <w:r w:rsidRPr="005D71D9">
        <w:rPr>
          <w:rFonts w:hint="eastAsia"/>
          <w:sz w:val="19"/>
          <w:szCs w:val="19"/>
          <w:lang w:val="en-US"/>
        </w:rPr>
        <w:t>，</w:t>
      </w:r>
      <w:r>
        <w:rPr>
          <w:rFonts w:hint="eastAsia"/>
          <w:sz w:val="19"/>
          <w:szCs w:val="19"/>
        </w:rPr>
        <w:t>连续多年</w:t>
      </w:r>
      <w:r w:rsidRPr="005D71D9">
        <w:rPr>
          <w:rFonts w:hint="eastAsia"/>
          <w:sz w:val="19"/>
          <w:szCs w:val="19"/>
          <w:lang w:val="en-US"/>
        </w:rPr>
        <w:t>，</w:t>
      </w:r>
      <w:hyperlink r:id="rId14" w:history="1">
        <w:r w:rsidRPr="005D71D9">
          <w:rPr>
            <w:rStyle w:val="Hyperlink"/>
            <w:rFonts w:hint="eastAsia"/>
            <w:color w:val="auto"/>
            <w:sz w:val="19"/>
            <w:szCs w:val="19"/>
            <w:u w:val="none"/>
            <w:lang w:val="en-US"/>
          </w:rPr>
          <w:t>www.qsa.gov.qa</w:t>
        </w:r>
      </w:hyperlink>
      <w:r>
        <w:rPr>
          <w:rFonts w:hint="eastAsia"/>
          <w:sz w:val="19"/>
          <w:szCs w:val="19"/>
        </w:rPr>
        <w:t>。</w:t>
      </w:r>
    </w:p>
    <w:p w:rsidR="007234DD" w:rsidRDefault="007234DD">
      <w:pPr>
        <w:pStyle w:val="H23GC"/>
        <w:spacing w:before="180"/>
      </w:pPr>
      <w:r w:rsidRPr="005D71D9">
        <w:tab/>
      </w:r>
      <w:r w:rsidRPr="005D71D9">
        <w:tab/>
      </w:r>
      <w:r>
        <w:rPr>
          <w:rFonts w:hint="eastAsia"/>
        </w:rPr>
        <w:t>妇女参加工会</w:t>
      </w:r>
    </w:p>
    <w:p w:rsidR="007234DD" w:rsidRDefault="007234DD">
      <w:pPr>
        <w:pStyle w:val="SingleTxtGC"/>
      </w:pPr>
      <w:r>
        <w:t xml:space="preserve">298.  </w:t>
      </w:r>
      <w:r>
        <w:rPr>
          <w:rFonts w:hint="eastAsia"/>
        </w:rPr>
        <w:t>根据《卡塔尔宪法》</w:t>
      </w:r>
      <w:r>
        <w:rPr>
          <w:rFonts w:hint="eastAsia"/>
        </w:rPr>
        <w:t>(</w:t>
      </w:r>
      <w:r>
        <w:rPr>
          <w:rFonts w:hint="eastAsia"/>
        </w:rPr>
        <w:t>第</w:t>
      </w:r>
      <w:r>
        <w:rPr>
          <w:rFonts w:hint="eastAsia"/>
        </w:rPr>
        <w:t>45</w:t>
      </w:r>
      <w:r>
        <w:rPr>
          <w:rFonts w:hint="eastAsia"/>
        </w:rPr>
        <w:t>条</w:t>
      </w:r>
      <w:r>
        <w:rPr>
          <w:rFonts w:hint="eastAsia"/>
        </w:rPr>
        <w:t>)</w:t>
      </w:r>
      <w:r>
        <w:rPr>
          <w:rFonts w:hint="eastAsia"/>
        </w:rPr>
        <w:t>及相关法律，男性和女性均有权成立协会和工会，不受任何歧视。</w:t>
      </w:r>
    </w:p>
    <w:p w:rsidR="007234DD" w:rsidRDefault="007234DD">
      <w:pPr>
        <w:pStyle w:val="SingleTxtGC"/>
        <w:rPr>
          <w:rFonts w:hint="eastAsia"/>
        </w:rPr>
      </w:pPr>
      <w:r>
        <w:t xml:space="preserve">299.  </w:t>
      </w:r>
      <w:r>
        <w:rPr>
          <w:rFonts w:hint="eastAsia"/>
        </w:rPr>
        <w:t>大量吸收女成员的协会有注册会计师协会、律师协会和医生协会等。卡塔尔医学协会的男女成员人数基本相同，但注册会计师协会和律师协会中女性成员少于男性，这是因为从事这两种职业的卡塔尔女性较少。</w:t>
      </w:r>
    </w:p>
    <w:p w:rsidR="007234DD" w:rsidRDefault="007234DD">
      <w:pPr>
        <w:pStyle w:val="SingleTxtGC"/>
      </w:pPr>
      <w:r>
        <w:rPr>
          <w:rFonts w:hint="eastAsia"/>
        </w:rPr>
        <w:t>表</w:t>
      </w:r>
      <w:r>
        <w:rPr>
          <w:rFonts w:hint="eastAsia"/>
        </w:rPr>
        <w:t>27</w:t>
      </w:r>
      <w:r>
        <w:br/>
      </w:r>
      <w:r>
        <w:rPr>
          <w:rFonts w:eastAsia="SimHei" w:hint="eastAsia"/>
        </w:rPr>
        <w:t>专业协会中男性和女性的人数</w:t>
      </w:r>
    </w:p>
    <w:tbl>
      <w:tblPr>
        <w:tblW w:w="7370" w:type="dxa"/>
        <w:tblInd w:w="1134" w:type="dxa"/>
        <w:tblLayout w:type="fixed"/>
        <w:tblCellMar>
          <w:left w:w="0" w:type="dxa"/>
          <w:right w:w="0" w:type="dxa"/>
        </w:tblCellMar>
        <w:tblLook w:val="01E0" w:firstRow="1" w:lastRow="1" w:firstColumn="1" w:lastColumn="1" w:noHBand="0" w:noVBand="0"/>
      </w:tblPr>
      <w:tblGrid>
        <w:gridCol w:w="3026"/>
        <w:gridCol w:w="1086"/>
        <w:gridCol w:w="1086"/>
        <w:gridCol w:w="1086"/>
        <w:gridCol w:w="1086"/>
      </w:tblGrid>
      <w:tr w:rsidR="007234DD">
        <w:trPr>
          <w:cantSplit/>
        </w:trPr>
        <w:tc>
          <w:tcPr>
            <w:tcW w:w="3026" w:type="dxa"/>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专业协会</w:t>
            </w:r>
          </w:p>
        </w:tc>
        <w:tc>
          <w:tcPr>
            <w:tcW w:w="1086"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女性人数</w:t>
            </w:r>
          </w:p>
        </w:tc>
        <w:tc>
          <w:tcPr>
            <w:tcW w:w="1086" w:type="dxa"/>
            <w:tcBorders>
              <w:top w:val="single" w:sz="4" w:space="0" w:color="auto"/>
              <w:bottom w:val="single" w:sz="12" w:space="0" w:color="auto"/>
            </w:tcBorders>
            <w:shd w:val="clear" w:color="auto" w:fill="auto"/>
            <w:vAlign w:val="bottom"/>
          </w:tcPr>
          <w:p w:rsidR="007234DD" w:rsidRDefault="007234DD">
            <w:pPr>
              <w:pStyle w:val="a0"/>
              <w:ind w:right="0"/>
              <w:jc w:val="right"/>
            </w:pPr>
            <w:r>
              <w:rPr>
                <w:rFonts w:hint="eastAsia"/>
              </w:rPr>
              <w:t>百分比</w:t>
            </w:r>
            <w:r>
              <w:t>(%)</w:t>
            </w:r>
          </w:p>
        </w:tc>
        <w:tc>
          <w:tcPr>
            <w:tcW w:w="1086"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男性人数</w:t>
            </w:r>
          </w:p>
        </w:tc>
        <w:tc>
          <w:tcPr>
            <w:tcW w:w="1086" w:type="dxa"/>
            <w:tcBorders>
              <w:top w:val="single" w:sz="4" w:space="0" w:color="auto"/>
              <w:bottom w:val="single" w:sz="12" w:space="0" w:color="auto"/>
            </w:tcBorders>
            <w:shd w:val="clear" w:color="auto" w:fill="auto"/>
            <w:vAlign w:val="bottom"/>
          </w:tcPr>
          <w:p w:rsidR="007234DD" w:rsidRDefault="007234DD">
            <w:pPr>
              <w:pStyle w:val="a0"/>
              <w:ind w:right="0"/>
              <w:jc w:val="right"/>
            </w:pPr>
            <w:r>
              <w:rPr>
                <w:rFonts w:hint="eastAsia"/>
              </w:rPr>
              <w:t>百分比</w:t>
            </w:r>
            <w:r>
              <w:t>(%)</w:t>
            </w:r>
          </w:p>
        </w:tc>
      </w:tr>
      <w:tr w:rsidR="007234DD">
        <w:trPr>
          <w:cantSplit/>
        </w:trPr>
        <w:tc>
          <w:tcPr>
            <w:tcW w:w="3026" w:type="dxa"/>
            <w:tcBorders>
              <w:top w:val="single" w:sz="12" w:space="0" w:color="auto"/>
            </w:tcBorders>
            <w:shd w:val="clear" w:color="auto" w:fill="auto"/>
          </w:tcPr>
          <w:p w:rsidR="007234DD" w:rsidRDefault="007234DD">
            <w:pPr>
              <w:pStyle w:val="a5"/>
              <w:rPr>
                <w:rFonts w:hint="eastAsia"/>
              </w:rPr>
            </w:pPr>
            <w:r>
              <w:rPr>
                <w:rFonts w:hint="eastAsia"/>
              </w:rPr>
              <w:t>卡塔尔注册会计师协会</w:t>
            </w:r>
          </w:p>
        </w:tc>
        <w:tc>
          <w:tcPr>
            <w:tcW w:w="1086" w:type="dxa"/>
            <w:tcBorders>
              <w:top w:val="single" w:sz="12" w:space="0" w:color="auto"/>
            </w:tcBorders>
            <w:shd w:val="clear" w:color="auto" w:fill="auto"/>
          </w:tcPr>
          <w:p w:rsidR="007234DD" w:rsidRDefault="007234DD">
            <w:pPr>
              <w:pStyle w:val="a5"/>
              <w:ind w:right="0"/>
              <w:jc w:val="right"/>
            </w:pPr>
            <w:r>
              <w:t>11</w:t>
            </w:r>
          </w:p>
        </w:tc>
        <w:tc>
          <w:tcPr>
            <w:tcW w:w="1086" w:type="dxa"/>
            <w:tcBorders>
              <w:top w:val="single" w:sz="12" w:space="0" w:color="auto"/>
            </w:tcBorders>
            <w:shd w:val="clear" w:color="auto" w:fill="auto"/>
          </w:tcPr>
          <w:p w:rsidR="007234DD" w:rsidRDefault="007234DD">
            <w:pPr>
              <w:pStyle w:val="a5"/>
              <w:ind w:right="0"/>
              <w:jc w:val="right"/>
            </w:pPr>
            <w:r>
              <w:t>16</w:t>
            </w:r>
          </w:p>
        </w:tc>
        <w:tc>
          <w:tcPr>
            <w:tcW w:w="1086" w:type="dxa"/>
            <w:tcBorders>
              <w:top w:val="single" w:sz="12" w:space="0" w:color="auto"/>
            </w:tcBorders>
            <w:shd w:val="clear" w:color="auto" w:fill="auto"/>
          </w:tcPr>
          <w:p w:rsidR="007234DD" w:rsidRDefault="007234DD">
            <w:pPr>
              <w:pStyle w:val="a5"/>
              <w:ind w:right="0"/>
              <w:jc w:val="right"/>
            </w:pPr>
            <w:r>
              <w:t>56</w:t>
            </w:r>
          </w:p>
        </w:tc>
        <w:tc>
          <w:tcPr>
            <w:tcW w:w="1086" w:type="dxa"/>
            <w:tcBorders>
              <w:top w:val="single" w:sz="12" w:space="0" w:color="auto"/>
            </w:tcBorders>
            <w:shd w:val="clear" w:color="auto" w:fill="auto"/>
          </w:tcPr>
          <w:p w:rsidR="007234DD" w:rsidRDefault="007234DD">
            <w:pPr>
              <w:pStyle w:val="a5"/>
              <w:ind w:right="0"/>
              <w:jc w:val="right"/>
            </w:pPr>
            <w:r>
              <w:t>83</w:t>
            </w:r>
          </w:p>
        </w:tc>
      </w:tr>
      <w:tr w:rsidR="007234DD">
        <w:trPr>
          <w:cantSplit/>
        </w:trPr>
        <w:tc>
          <w:tcPr>
            <w:tcW w:w="3026" w:type="dxa"/>
            <w:shd w:val="clear" w:color="auto" w:fill="auto"/>
          </w:tcPr>
          <w:p w:rsidR="007234DD" w:rsidRDefault="007234DD">
            <w:pPr>
              <w:pStyle w:val="a5"/>
              <w:rPr>
                <w:rFonts w:hint="eastAsia"/>
              </w:rPr>
            </w:pPr>
            <w:r>
              <w:rPr>
                <w:rFonts w:hint="eastAsia"/>
              </w:rPr>
              <w:t>卡塔尔律师协会</w:t>
            </w:r>
          </w:p>
        </w:tc>
        <w:tc>
          <w:tcPr>
            <w:tcW w:w="1086" w:type="dxa"/>
            <w:shd w:val="clear" w:color="auto" w:fill="auto"/>
          </w:tcPr>
          <w:p w:rsidR="007234DD" w:rsidRDefault="007234DD">
            <w:pPr>
              <w:pStyle w:val="a5"/>
              <w:ind w:right="0"/>
              <w:jc w:val="right"/>
            </w:pPr>
            <w:r>
              <w:t>8</w:t>
            </w:r>
          </w:p>
        </w:tc>
        <w:tc>
          <w:tcPr>
            <w:tcW w:w="1086" w:type="dxa"/>
            <w:shd w:val="clear" w:color="auto" w:fill="auto"/>
          </w:tcPr>
          <w:p w:rsidR="007234DD" w:rsidRDefault="007234DD">
            <w:pPr>
              <w:pStyle w:val="a5"/>
              <w:ind w:right="0"/>
              <w:jc w:val="right"/>
            </w:pPr>
            <w:r>
              <w:t>13</w:t>
            </w:r>
          </w:p>
        </w:tc>
        <w:tc>
          <w:tcPr>
            <w:tcW w:w="1086" w:type="dxa"/>
            <w:shd w:val="clear" w:color="auto" w:fill="auto"/>
          </w:tcPr>
          <w:p w:rsidR="007234DD" w:rsidRDefault="007234DD">
            <w:pPr>
              <w:pStyle w:val="a5"/>
              <w:ind w:right="0"/>
              <w:jc w:val="right"/>
            </w:pPr>
            <w:r>
              <w:t>53</w:t>
            </w:r>
          </w:p>
        </w:tc>
        <w:tc>
          <w:tcPr>
            <w:tcW w:w="1086" w:type="dxa"/>
            <w:shd w:val="clear" w:color="auto" w:fill="auto"/>
          </w:tcPr>
          <w:p w:rsidR="007234DD" w:rsidRDefault="007234DD">
            <w:pPr>
              <w:pStyle w:val="a5"/>
              <w:ind w:right="0"/>
              <w:jc w:val="right"/>
            </w:pPr>
            <w:r>
              <w:t>86</w:t>
            </w:r>
          </w:p>
        </w:tc>
      </w:tr>
      <w:tr w:rsidR="007234DD">
        <w:trPr>
          <w:cantSplit/>
        </w:trPr>
        <w:tc>
          <w:tcPr>
            <w:tcW w:w="3026" w:type="dxa"/>
            <w:shd w:val="clear" w:color="auto" w:fill="auto"/>
          </w:tcPr>
          <w:p w:rsidR="007234DD" w:rsidRDefault="007234DD">
            <w:pPr>
              <w:pStyle w:val="a5"/>
              <w:rPr>
                <w:rFonts w:hint="eastAsia"/>
              </w:rPr>
            </w:pPr>
            <w:r>
              <w:rPr>
                <w:rFonts w:hint="eastAsia"/>
              </w:rPr>
              <w:t>卡塔尔医学协会</w:t>
            </w:r>
          </w:p>
        </w:tc>
        <w:tc>
          <w:tcPr>
            <w:tcW w:w="1086" w:type="dxa"/>
            <w:shd w:val="clear" w:color="auto" w:fill="auto"/>
          </w:tcPr>
          <w:p w:rsidR="007234DD" w:rsidRDefault="007234DD">
            <w:pPr>
              <w:pStyle w:val="a5"/>
              <w:ind w:right="0"/>
              <w:jc w:val="right"/>
            </w:pPr>
            <w:r>
              <w:t>38</w:t>
            </w:r>
          </w:p>
        </w:tc>
        <w:tc>
          <w:tcPr>
            <w:tcW w:w="1086" w:type="dxa"/>
            <w:shd w:val="clear" w:color="auto" w:fill="auto"/>
          </w:tcPr>
          <w:p w:rsidR="007234DD" w:rsidRDefault="007234DD">
            <w:pPr>
              <w:pStyle w:val="a5"/>
              <w:ind w:right="0"/>
              <w:jc w:val="right"/>
            </w:pPr>
            <w:r>
              <w:t>49</w:t>
            </w:r>
          </w:p>
        </w:tc>
        <w:tc>
          <w:tcPr>
            <w:tcW w:w="1086" w:type="dxa"/>
            <w:shd w:val="clear" w:color="auto" w:fill="auto"/>
          </w:tcPr>
          <w:p w:rsidR="007234DD" w:rsidRDefault="007234DD">
            <w:pPr>
              <w:pStyle w:val="a5"/>
              <w:ind w:right="0"/>
              <w:jc w:val="right"/>
            </w:pPr>
            <w:r>
              <w:t>39</w:t>
            </w:r>
          </w:p>
        </w:tc>
        <w:tc>
          <w:tcPr>
            <w:tcW w:w="1086" w:type="dxa"/>
            <w:shd w:val="clear" w:color="auto" w:fill="auto"/>
          </w:tcPr>
          <w:p w:rsidR="007234DD" w:rsidRDefault="007234DD">
            <w:pPr>
              <w:pStyle w:val="a5"/>
              <w:ind w:right="0"/>
              <w:jc w:val="right"/>
            </w:pPr>
            <w:r>
              <w:t>50</w:t>
            </w:r>
          </w:p>
        </w:tc>
      </w:tr>
      <w:tr w:rsidR="007234DD">
        <w:trPr>
          <w:cantSplit/>
        </w:trPr>
        <w:tc>
          <w:tcPr>
            <w:tcW w:w="3026" w:type="dxa"/>
            <w:tcBorders>
              <w:bottom w:val="single" w:sz="12" w:space="0" w:color="auto"/>
            </w:tcBorders>
            <w:shd w:val="clear" w:color="auto" w:fill="auto"/>
          </w:tcPr>
          <w:p w:rsidR="007234DD" w:rsidRDefault="007234DD">
            <w:pPr>
              <w:pStyle w:val="a5"/>
              <w:rPr>
                <w:rFonts w:hint="eastAsia"/>
              </w:rPr>
            </w:pPr>
            <w:r>
              <w:rPr>
                <w:rFonts w:hint="eastAsia"/>
              </w:rPr>
              <w:t>工程师协会</w:t>
            </w:r>
          </w:p>
        </w:tc>
        <w:tc>
          <w:tcPr>
            <w:tcW w:w="1086" w:type="dxa"/>
            <w:tcBorders>
              <w:bottom w:val="single" w:sz="12" w:space="0" w:color="auto"/>
            </w:tcBorders>
            <w:shd w:val="clear" w:color="auto" w:fill="auto"/>
          </w:tcPr>
          <w:p w:rsidR="007234DD" w:rsidRDefault="007234DD">
            <w:pPr>
              <w:pStyle w:val="a5"/>
              <w:ind w:right="0"/>
              <w:jc w:val="right"/>
            </w:pPr>
          </w:p>
        </w:tc>
        <w:tc>
          <w:tcPr>
            <w:tcW w:w="1086" w:type="dxa"/>
            <w:tcBorders>
              <w:bottom w:val="single" w:sz="12" w:space="0" w:color="auto"/>
            </w:tcBorders>
            <w:shd w:val="clear" w:color="auto" w:fill="auto"/>
          </w:tcPr>
          <w:p w:rsidR="007234DD" w:rsidRDefault="007234DD">
            <w:pPr>
              <w:pStyle w:val="a5"/>
              <w:ind w:right="0"/>
              <w:jc w:val="right"/>
            </w:pPr>
          </w:p>
        </w:tc>
        <w:tc>
          <w:tcPr>
            <w:tcW w:w="1086" w:type="dxa"/>
            <w:tcBorders>
              <w:bottom w:val="single" w:sz="12" w:space="0" w:color="auto"/>
            </w:tcBorders>
            <w:shd w:val="clear" w:color="auto" w:fill="auto"/>
          </w:tcPr>
          <w:p w:rsidR="007234DD" w:rsidRDefault="007234DD">
            <w:pPr>
              <w:pStyle w:val="a5"/>
              <w:ind w:right="0"/>
              <w:jc w:val="right"/>
            </w:pPr>
          </w:p>
        </w:tc>
        <w:tc>
          <w:tcPr>
            <w:tcW w:w="1086" w:type="dxa"/>
            <w:tcBorders>
              <w:bottom w:val="single" w:sz="12" w:space="0" w:color="auto"/>
            </w:tcBorders>
            <w:shd w:val="clear" w:color="auto" w:fill="auto"/>
          </w:tcPr>
          <w:p w:rsidR="007234DD" w:rsidRDefault="007234DD">
            <w:pPr>
              <w:pStyle w:val="a5"/>
              <w:ind w:right="0"/>
              <w:jc w:val="right"/>
            </w:pPr>
          </w:p>
        </w:tc>
      </w:tr>
    </w:tbl>
    <w:p w:rsidR="007234DD" w:rsidRDefault="007234DD" w:rsidP="00326C16">
      <w:pPr>
        <w:pStyle w:val="SingleTxtG"/>
        <w:spacing w:before="120"/>
        <w:ind w:firstLine="159"/>
        <w:rPr>
          <w:rFonts w:hint="eastAsia"/>
        </w:rPr>
      </w:pPr>
      <w:r>
        <w:rPr>
          <w:rFonts w:eastAsia="KaiTi_GB2312" w:hint="eastAsia"/>
          <w:sz w:val="19"/>
          <w:szCs w:val="19"/>
        </w:rPr>
        <w:t>资料来源：</w:t>
      </w:r>
      <w:r>
        <w:rPr>
          <w:rFonts w:hint="eastAsia"/>
          <w:sz w:val="19"/>
          <w:szCs w:val="19"/>
        </w:rPr>
        <w:t>根据各种来源的资料编制该表。</w:t>
      </w:r>
    </w:p>
    <w:p w:rsidR="007234DD" w:rsidRDefault="007234DD">
      <w:pPr>
        <w:pStyle w:val="SingleTxtGC"/>
      </w:pPr>
      <w:r>
        <w:t xml:space="preserve">300.  </w:t>
      </w:r>
      <w:r>
        <w:rPr>
          <w:rFonts w:hint="eastAsia"/>
        </w:rPr>
        <w:t>卡塔尔律师协会理事会的决策层中仅有两名女性。</w:t>
      </w:r>
    </w:p>
    <w:p w:rsidR="007234DD" w:rsidRDefault="007234DD">
      <w:pPr>
        <w:pStyle w:val="H23GC"/>
        <w:spacing w:before="180"/>
      </w:pPr>
      <w:r>
        <w:tab/>
      </w:r>
      <w:r>
        <w:tab/>
      </w:r>
      <w:r>
        <w:rPr>
          <w:rFonts w:hint="eastAsia"/>
        </w:rPr>
        <w:t>保护妇女免受性骚扰</w:t>
      </w:r>
    </w:p>
    <w:p w:rsidR="007234DD" w:rsidRDefault="007234DD">
      <w:pPr>
        <w:pStyle w:val="SingleTxtGC"/>
        <w:rPr>
          <w:rFonts w:hint="eastAsia"/>
        </w:rPr>
      </w:pPr>
      <w:r>
        <w:t xml:space="preserve">301.  </w:t>
      </w:r>
      <w:r>
        <w:rPr>
          <w:rFonts w:hint="eastAsia"/>
        </w:rPr>
        <w:t>卡塔尔的《刑法》承认了保护社会不发生公然猥亵行为、确保尊重妇女，保卫她们免受一切冒犯的重要性。该法第</w:t>
      </w:r>
      <w:r>
        <w:rPr>
          <w:rFonts w:hint="eastAsia"/>
        </w:rPr>
        <w:t>291</w:t>
      </w:r>
      <w:r>
        <w:rPr>
          <w:rFonts w:hint="eastAsia"/>
        </w:rPr>
        <w:t>条规定，对于为引起一名妇女注意，在该妇女能够听到的范围内蓄意发出攻击性言论或声音，或者在该妇女能够看到的范围做出无礼手势或展示令人反感内容的任何人，处以</w:t>
      </w:r>
      <w:r>
        <w:rPr>
          <w:rFonts w:hint="eastAsia"/>
        </w:rPr>
        <w:t>1</w:t>
      </w:r>
      <w:r>
        <w:rPr>
          <w:rFonts w:hint="eastAsia"/>
        </w:rPr>
        <w:t>年以下监禁和</w:t>
      </w:r>
      <w:r>
        <w:rPr>
          <w:rFonts w:hint="eastAsia"/>
        </w:rPr>
        <w:t>/</w:t>
      </w:r>
      <w:r>
        <w:rPr>
          <w:rFonts w:hint="eastAsia"/>
        </w:rPr>
        <w:t>或</w:t>
      </w:r>
      <w:r>
        <w:rPr>
          <w:rFonts w:hint="eastAsia"/>
        </w:rPr>
        <w:t>5,000</w:t>
      </w:r>
      <w:r>
        <w:rPr>
          <w:rFonts w:hint="eastAsia"/>
        </w:rPr>
        <w:t>卡塔尔里亚尔以下的罚款。同样的处罚也适用于任何侵犯妇女隐私的人。《刑法》第</w:t>
      </w:r>
      <w:r>
        <w:rPr>
          <w:rFonts w:hint="eastAsia"/>
        </w:rPr>
        <w:t>293</w:t>
      </w:r>
      <w:r>
        <w:rPr>
          <w:rFonts w:hint="eastAsia"/>
        </w:rPr>
        <w:t>条规定，对于通过无线、电子或其他通信手段发出攻击性或不雅言论令他人感到不安或烦扰的行为，处以</w:t>
      </w:r>
      <w:r>
        <w:rPr>
          <w:rFonts w:hint="eastAsia"/>
        </w:rPr>
        <w:t>6</w:t>
      </w:r>
      <w:r>
        <w:rPr>
          <w:rFonts w:hint="eastAsia"/>
        </w:rPr>
        <w:t>个月以下监禁和</w:t>
      </w:r>
      <w:r>
        <w:rPr>
          <w:rFonts w:hint="eastAsia"/>
        </w:rPr>
        <w:t>/</w:t>
      </w:r>
      <w:r>
        <w:rPr>
          <w:rFonts w:hint="eastAsia"/>
        </w:rPr>
        <w:t>或</w:t>
      </w:r>
      <w:r>
        <w:rPr>
          <w:rFonts w:hint="eastAsia"/>
        </w:rPr>
        <w:t>3,000</w:t>
      </w:r>
      <w:r>
        <w:rPr>
          <w:rFonts w:hint="eastAsia"/>
        </w:rPr>
        <w:t>卡塔尔里亚尔以下的罚款。</w:t>
      </w:r>
    </w:p>
    <w:p w:rsidR="007234DD" w:rsidRDefault="007234DD">
      <w:pPr>
        <w:pStyle w:val="SingleTxtGC"/>
      </w:pPr>
      <w:r>
        <w:t xml:space="preserve">302.  </w:t>
      </w:r>
      <w:r>
        <w:rPr>
          <w:rFonts w:hint="eastAsia"/>
        </w:rPr>
        <w:t>向性骚扰的受害者提供社会援助以及健康和心理治疗，以缓解性骚扰对她们的影响。志愿律师还向她们提供法律咨询和司法协助，并代表她们出庭。若受害者需要，还向其提供膳宿，使她们能够摆脱暴力或暴力威胁源。</w:t>
      </w:r>
    </w:p>
    <w:p w:rsidR="007234DD" w:rsidRDefault="007234DD">
      <w:pPr>
        <w:pStyle w:val="H23GC"/>
      </w:pPr>
      <w:r>
        <w:tab/>
      </w:r>
      <w:r>
        <w:tab/>
      </w:r>
      <w:r>
        <w:rPr>
          <w:rFonts w:hint="eastAsia"/>
        </w:rPr>
        <w:t>移徙女工</w:t>
      </w:r>
    </w:p>
    <w:p w:rsidR="007234DD" w:rsidRDefault="007234DD">
      <w:pPr>
        <w:pStyle w:val="SingleTxtGC"/>
      </w:pPr>
      <w:r>
        <w:t xml:space="preserve">303.  </w:t>
      </w:r>
      <w:r>
        <w:rPr>
          <w:rFonts w:hint="eastAsia"/>
        </w:rPr>
        <w:t>卡塔尔高度依赖移徙工人，因为我国人口较少，而各行各业都在蓬勃发展。</w:t>
      </w:r>
      <w:r>
        <w:rPr>
          <w:rFonts w:hint="eastAsia"/>
        </w:rPr>
        <w:t>2009</w:t>
      </w:r>
      <w:r>
        <w:rPr>
          <w:rFonts w:hint="eastAsia"/>
        </w:rPr>
        <w:t>年，在卡塔尔工作的外籍妇女共有</w:t>
      </w:r>
      <w:r>
        <w:rPr>
          <w:rFonts w:hint="eastAsia"/>
        </w:rPr>
        <w:t>98,420</w:t>
      </w:r>
      <w:r>
        <w:rPr>
          <w:rFonts w:hint="eastAsia"/>
        </w:rPr>
        <w:t>名，占工人总数的</w:t>
      </w:r>
      <w:r>
        <w:rPr>
          <w:rFonts w:hint="eastAsia"/>
        </w:rPr>
        <w:t>7.8%</w:t>
      </w:r>
      <w:r>
        <w:rPr>
          <w:rFonts w:hint="eastAsia"/>
        </w:rPr>
        <w:t>，占我国职业妇女总数的</w:t>
      </w:r>
      <w:r>
        <w:rPr>
          <w:rFonts w:hint="eastAsia"/>
        </w:rPr>
        <w:t>79.4%</w:t>
      </w:r>
      <w:r>
        <w:rPr>
          <w:rFonts w:hint="eastAsia"/>
        </w:rPr>
        <w:t>。</w:t>
      </w:r>
    </w:p>
    <w:p w:rsidR="007234DD" w:rsidRDefault="007234DD">
      <w:pPr>
        <w:pStyle w:val="SingleTxtGC"/>
      </w:pPr>
      <w:r>
        <w:t xml:space="preserve">304.  </w:t>
      </w:r>
      <w:r>
        <w:rPr>
          <w:rFonts w:hint="eastAsia"/>
        </w:rPr>
        <w:t>从事家庭服务的移徙女工所占比例最大</w:t>
      </w:r>
      <w:r>
        <w:rPr>
          <w:rFonts w:hint="eastAsia"/>
        </w:rPr>
        <w:t>(48.9%)</w:t>
      </w:r>
      <w:r>
        <w:rPr>
          <w:rFonts w:hint="eastAsia"/>
        </w:rPr>
        <w:t>，其次是卫生和社会保障部门</w:t>
      </w:r>
      <w:r>
        <w:rPr>
          <w:rFonts w:hint="eastAsia"/>
        </w:rPr>
        <w:t>(12.5%)</w:t>
      </w:r>
      <w:r>
        <w:rPr>
          <w:rFonts w:hint="eastAsia"/>
        </w:rPr>
        <w:t>和教育部门</w:t>
      </w:r>
      <w:r>
        <w:rPr>
          <w:rFonts w:hint="eastAsia"/>
        </w:rPr>
        <w:t>(8.4%)</w:t>
      </w:r>
      <w:r>
        <w:rPr>
          <w:rFonts w:hint="eastAsia"/>
        </w:rPr>
        <w:t>。</w:t>
      </w:r>
    </w:p>
    <w:p w:rsidR="007234DD" w:rsidRDefault="007234DD">
      <w:pPr>
        <w:pStyle w:val="SingleTxtGC"/>
      </w:pPr>
      <w:r>
        <w:t xml:space="preserve">305.  </w:t>
      </w:r>
      <w:r>
        <w:rPr>
          <w:rFonts w:hint="eastAsia"/>
        </w:rPr>
        <w:t>移徙女工的雇用事宜由卡塔尔的劳动法管理，因此这些妇女得到与卡塔尔妇女相同的福利，但从事家庭服务者除外。目前，一个委员会正在定稿并审议关于家庭帮佣和相关从业人员的法案草案。该委员会由包括劳动部、内政部、国家人权委员会和发展规划总秘书处在内的若干部委和政府机构的代表组成。它的建立表明了为保证人和雇员的利益而加速完成该法案的愿望</w:t>
      </w:r>
      <w:bookmarkStart w:id="12" w:name="OLE_LINK33"/>
      <w:r>
        <w:rPr>
          <w:rFonts w:hint="eastAsia"/>
        </w:rPr>
        <w:t>。保证人和雇员</w:t>
      </w:r>
      <w:bookmarkEnd w:id="12"/>
      <w:r>
        <w:rPr>
          <w:rFonts w:hint="eastAsia"/>
        </w:rPr>
        <w:t>将被承认具有法律能力和法律责任。为解释该立法，将会探讨若干重要问题并发布实施条例。至于该法案的主要特征，其中所载的一些条款规定了家庭帮佣各方面的权利和义务，包括招聘、合同、权利资格、假期和工作时间。它还确定了通过卡塔尔的特许职介机构招聘家庭帮佣的程序。该法案中还有条款规定，必须根据合同来管理保证人和雇员这个大群体之间的雇佣关系，合同必须登记，以便在发生争议时保护双方的权利。法案规定，与此类雇员签订的合同必须包括有关薪酬、年假和旅行票的规定，并且家庭帮佣应像私营机构和企业中的同行那样，得到服务终止补偿金</w:t>
      </w:r>
      <w:r>
        <w:rPr>
          <w:rFonts w:hint="eastAsia"/>
        </w:rPr>
        <w:t>(</w:t>
      </w:r>
      <w:r>
        <w:rPr>
          <w:rFonts w:hint="eastAsia"/>
        </w:rPr>
        <w:t>其同行的这项权利已被写入合同</w:t>
      </w:r>
      <w:r>
        <w:rPr>
          <w:rFonts w:hint="eastAsia"/>
        </w:rPr>
        <w:t>)</w:t>
      </w:r>
      <w:r>
        <w:rPr>
          <w:rFonts w:hint="eastAsia"/>
        </w:rPr>
        <w:t>。只有满足了全部这些条件，劳动部才会认可合同。正如私营部门的雇员享有《劳动法》赋予的权利，根据该法案，家庭帮佣也享有医疗保健的权利。</w:t>
      </w:r>
    </w:p>
    <w:p w:rsidR="007234DD" w:rsidRDefault="007234DD">
      <w:pPr>
        <w:pStyle w:val="SingleTxtGC"/>
      </w:pPr>
      <w:r>
        <w:rPr>
          <w:rFonts w:hint="eastAsia"/>
        </w:rPr>
        <w:t>表</w:t>
      </w:r>
      <w:r>
        <w:rPr>
          <w:rFonts w:hint="eastAsia"/>
        </w:rPr>
        <w:t>28</w:t>
      </w:r>
      <w:r>
        <w:br/>
      </w:r>
      <w:r>
        <w:rPr>
          <w:rFonts w:eastAsia="SimHei" w:hint="eastAsia"/>
        </w:rPr>
        <w:t>按国籍、性别和活动分列的从事经济活动人口</w:t>
      </w:r>
      <w:r>
        <w:rPr>
          <w:rFonts w:eastAsia="SimHei" w:hint="eastAsia"/>
        </w:rPr>
        <w:t>(15</w:t>
      </w:r>
      <w:r>
        <w:rPr>
          <w:rFonts w:eastAsia="SimHei" w:hint="eastAsia"/>
        </w:rPr>
        <w:t>岁及以上</w:t>
      </w:r>
      <w:r>
        <w:rPr>
          <w:rFonts w:eastAsia="SimHei" w:hint="eastAsia"/>
        </w:rPr>
        <w:t>)</w:t>
      </w:r>
    </w:p>
    <w:tbl>
      <w:tblPr>
        <w:tblW w:w="8505" w:type="dxa"/>
        <w:tblInd w:w="1134" w:type="dxa"/>
        <w:tblLayout w:type="fixed"/>
        <w:tblCellMar>
          <w:left w:w="0" w:type="dxa"/>
          <w:right w:w="0" w:type="dxa"/>
        </w:tblCellMar>
        <w:tblLook w:val="01E0" w:firstRow="1" w:lastRow="1" w:firstColumn="1" w:lastColumn="1" w:noHBand="0" w:noVBand="0"/>
      </w:tblPr>
      <w:tblGrid>
        <w:gridCol w:w="2142"/>
        <w:gridCol w:w="909"/>
        <w:gridCol w:w="909"/>
        <w:gridCol w:w="886"/>
        <w:gridCol w:w="932"/>
        <w:gridCol w:w="909"/>
        <w:gridCol w:w="889"/>
        <w:gridCol w:w="929"/>
      </w:tblGrid>
      <w:tr w:rsidR="007234DD">
        <w:trPr>
          <w:tblHeader/>
        </w:trPr>
        <w:tc>
          <w:tcPr>
            <w:tcW w:w="2142" w:type="dxa"/>
            <w:tcBorders>
              <w:top w:val="single" w:sz="4" w:space="0" w:color="auto"/>
            </w:tcBorders>
            <w:shd w:val="clear" w:color="auto" w:fill="auto"/>
            <w:vAlign w:val="bottom"/>
          </w:tcPr>
          <w:p w:rsidR="007234DD" w:rsidRDefault="007234DD">
            <w:pPr>
              <w:pStyle w:val="a0"/>
              <w:ind w:right="0"/>
            </w:pPr>
          </w:p>
        </w:tc>
        <w:tc>
          <w:tcPr>
            <w:tcW w:w="2704" w:type="dxa"/>
            <w:gridSpan w:val="3"/>
            <w:tcBorders>
              <w:top w:val="single" w:sz="4" w:space="0" w:color="auto"/>
              <w:bottom w:val="single" w:sz="6" w:space="0" w:color="auto"/>
              <w:right w:val="single" w:sz="24" w:space="0" w:color="FFFFFF"/>
            </w:tcBorders>
            <w:shd w:val="clear" w:color="auto" w:fill="auto"/>
            <w:vAlign w:val="bottom"/>
          </w:tcPr>
          <w:p w:rsidR="007234DD" w:rsidRDefault="007234DD">
            <w:pPr>
              <w:pStyle w:val="a0"/>
              <w:ind w:right="0"/>
              <w:jc w:val="center"/>
              <w:rPr>
                <w:rFonts w:hint="eastAsia"/>
              </w:rPr>
            </w:pPr>
            <w:r>
              <w:rPr>
                <w:rFonts w:hint="eastAsia"/>
              </w:rPr>
              <w:t>卡塔尔籍</w:t>
            </w:r>
          </w:p>
        </w:tc>
        <w:tc>
          <w:tcPr>
            <w:tcW w:w="2730" w:type="dxa"/>
            <w:gridSpan w:val="3"/>
            <w:tcBorders>
              <w:top w:val="single" w:sz="4" w:space="0" w:color="auto"/>
              <w:left w:val="single" w:sz="24" w:space="0" w:color="FFFFFF"/>
              <w:bottom w:val="single" w:sz="6" w:space="0" w:color="auto"/>
            </w:tcBorders>
            <w:shd w:val="clear" w:color="auto" w:fill="auto"/>
            <w:vAlign w:val="bottom"/>
          </w:tcPr>
          <w:p w:rsidR="007234DD" w:rsidRDefault="007234DD">
            <w:pPr>
              <w:pStyle w:val="a0"/>
              <w:ind w:right="0"/>
              <w:jc w:val="center"/>
              <w:rPr>
                <w:rFonts w:hint="eastAsia"/>
              </w:rPr>
            </w:pPr>
            <w:r>
              <w:rPr>
                <w:rFonts w:hint="eastAsia"/>
              </w:rPr>
              <w:t>非卡塔尔籍</w:t>
            </w:r>
          </w:p>
        </w:tc>
        <w:tc>
          <w:tcPr>
            <w:tcW w:w="929" w:type="dxa"/>
            <w:tcBorders>
              <w:top w:val="single" w:sz="4" w:space="0" w:color="auto"/>
            </w:tcBorders>
            <w:shd w:val="clear" w:color="auto" w:fill="auto"/>
            <w:vAlign w:val="bottom"/>
          </w:tcPr>
          <w:p w:rsidR="007234DD" w:rsidRDefault="007234DD">
            <w:pPr>
              <w:pStyle w:val="a0"/>
              <w:ind w:right="0"/>
              <w:jc w:val="right"/>
            </w:pPr>
          </w:p>
        </w:tc>
      </w:tr>
      <w:tr w:rsidR="007234DD">
        <w:trPr>
          <w:tblHeader/>
        </w:trPr>
        <w:tc>
          <w:tcPr>
            <w:tcW w:w="2142" w:type="dxa"/>
            <w:tcBorders>
              <w:bottom w:val="single" w:sz="12" w:space="0" w:color="auto"/>
            </w:tcBorders>
            <w:shd w:val="clear" w:color="auto" w:fill="auto"/>
          </w:tcPr>
          <w:p w:rsidR="007234DD" w:rsidRDefault="007234DD">
            <w:pPr>
              <w:pStyle w:val="a0"/>
              <w:ind w:right="0"/>
              <w:jc w:val="left"/>
              <w:rPr>
                <w:rFonts w:eastAsia="SimSun"/>
              </w:rPr>
            </w:pPr>
          </w:p>
        </w:tc>
        <w:tc>
          <w:tcPr>
            <w:tcW w:w="909"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男性</w:t>
            </w:r>
          </w:p>
        </w:tc>
        <w:tc>
          <w:tcPr>
            <w:tcW w:w="909"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女性</w:t>
            </w:r>
          </w:p>
        </w:tc>
        <w:tc>
          <w:tcPr>
            <w:tcW w:w="886"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rPr>
                <w:rFonts w:hint="eastAsia"/>
                <w:b/>
              </w:rPr>
            </w:pPr>
            <w:r>
              <w:rPr>
                <w:rFonts w:hint="eastAsia"/>
                <w:b/>
              </w:rPr>
              <w:t>合计</w:t>
            </w:r>
          </w:p>
        </w:tc>
        <w:tc>
          <w:tcPr>
            <w:tcW w:w="932"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rPr>
                <w:rFonts w:hint="eastAsia"/>
              </w:rPr>
            </w:pPr>
            <w:r>
              <w:rPr>
                <w:rFonts w:hint="eastAsia"/>
              </w:rPr>
              <w:t>男性</w:t>
            </w:r>
          </w:p>
        </w:tc>
        <w:tc>
          <w:tcPr>
            <w:tcW w:w="909"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女性</w:t>
            </w:r>
          </w:p>
        </w:tc>
        <w:tc>
          <w:tcPr>
            <w:tcW w:w="889" w:type="dxa"/>
            <w:tcBorders>
              <w:top w:val="single" w:sz="6" w:space="0" w:color="auto"/>
              <w:bottom w:val="single" w:sz="12" w:space="0" w:color="auto"/>
            </w:tcBorders>
            <w:shd w:val="clear" w:color="auto" w:fill="auto"/>
          </w:tcPr>
          <w:p w:rsidR="007234DD" w:rsidRDefault="007234DD">
            <w:pPr>
              <w:pStyle w:val="a0"/>
              <w:ind w:right="0"/>
              <w:jc w:val="right"/>
              <w:rPr>
                <w:rFonts w:eastAsia="SimHei" w:hint="eastAsia"/>
                <w:b/>
              </w:rPr>
            </w:pPr>
            <w:r>
              <w:rPr>
                <w:rFonts w:eastAsia="SimHei" w:hint="eastAsia"/>
                <w:b/>
              </w:rPr>
              <w:t>合计</w:t>
            </w:r>
          </w:p>
        </w:tc>
        <w:tc>
          <w:tcPr>
            <w:tcW w:w="929" w:type="dxa"/>
            <w:tcBorders>
              <w:bottom w:val="single" w:sz="12" w:space="0" w:color="auto"/>
            </w:tcBorders>
            <w:shd w:val="clear" w:color="auto" w:fill="auto"/>
          </w:tcPr>
          <w:p w:rsidR="007234DD" w:rsidRDefault="007234DD">
            <w:pPr>
              <w:pStyle w:val="a0"/>
              <w:ind w:right="0"/>
              <w:jc w:val="right"/>
              <w:rPr>
                <w:rFonts w:hint="eastAsia"/>
                <w:b/>
              </w:rPr>
            </w:pPr>
            <w:r>
              <w:rPr>
                <w:rFonts w:hint="eastAsia"/>
                <w:b/>
              </w:rPr>
              <w:t>总计</w:t>
            </w:r>
          </w:p>
        </w:tc>
      </w:tr>
      <w:tr w:rsidR="007234DD">
        <w:tc>
          <w:tcPr>
            <w:tcW w:w="2142" w:type="dxa"/>
            <w:tcBorders>
              <w:top w:val="single" w:sz="12" w:space="0" w:color="auto"/>
            </w:tcBorders>
            <w:shd w:val="clear" w:color="auto" w:fill="auto"/>
          </w:tcPr>
          <w:p w:rsidR="007234DD" w:rsidRDefault="007234DD">
            <w:pPr>
              <w:pStyle w:val="a5"/>
              <w:rPr>
                <w:rFonts w:hint="eastAsia"/>
              </w:rPr>
            </w:pPr>
            <w:r>
              <w:rPr>
                <w:rFonts w:hint="eastAsia"/>
              </w:rPr>
              <w:t>经济活动</w:t>
            </w:r>
          </w:p>
        </w:tc>
        <w:tc>
          <w:tcPr>
            <w:tcW w:w="909" w:type="dxa"/>
            <w:tcBorders>
              <w:top w:val="single" w:sz="12" w:space="0" w:color="auto"/>
            </w:tcBorders>
            <w:shd w:val="clear" w:color="auto" w:fill="auto"/>
          </w:tcPr>
          <w:p w:rsidR="007234DD" w:rsidRDefault="007234DD">
            <w:pPr>
              <w:pStyle w:val="a5"/>
              <w:ind w:right="0"/>
              <w:jc w:val="right"/>
            </w:pPr>
            <w:r>
              <w:t>0</w:t>
            </w:r>
          </w:p>
        </w:tc>
        <w:tc>
          <w:tcPr>
            <w:tcW w:w="909" w:type="dxa"/>
            <w:tcBorders>
              <w:top w:val="single" w:sz="12" w:space="0" w:color="auto"/>
            </w:tcBorders>
            <w:shd w:val="clear" w:color="auto" w:fill="auto"/>
          </w:tcPr>
          <w:p w:rsidR="007234DD" w:rsidRDefault="007234DD">
            <w:pPr>
              <w:pStyle w:val="a5"/>
              <w:ind w:right="0"/>
              <w:jc w:val="right"/>
            </w:pPr>
            <w:r>
              <w:t>0</w:t>
            </w:r>
          </w:p>
        </w:tc>
        <w:tc>
          <w:tcPr>
            <w:tcW w:w="886" w:type="dxa"/>
            <w:tcBorders>
              <w:top w:val="single" w:sz="12" w:space="0" w:color="auto"/>
            </w:tcBorders>
            <w:shd w:val="clear" w:color="auto" w:fill="auto"/>
          </w:tcPr>
          <w:p w:rsidR="007234DD" w:rsidRDefault="007234DD">
            <w:pPr>
              <w:pStyle w:val="a5"/>
              <w:ind w:right="0"/>
              <w:jc w:val="right"/>
              <w:rPr>
                <w:b/>
              </w:rPr>
            </w:pPr>
            <w:r>
              <w:rPr>
                <w:b/>
              </w:rPr>
              <w:t>0</w:t>
            </w:r>
          </w:p>
        </w:tc>
        <w:tc>
          <w:tcPr>
            <w:tcW w:w="932" w:type="dxa"/>
            <w:tcBorders>
              <w:top w:val="single" w:sz="12" w:space="0" w:color="auto"/>
            </w:tcBorders>
            <w:shd w:val="clear" w:color="auto" w:fill="auto"/>
          </w:tcPr>
          <w:p w:rsidR="007234DD" w:rsidRDefault="007234DD">
            <w:pPr>
              <w:pStyle w:val="a5"/>
              <w:ind w:right="0"/>
              <w:jc w:val="right"/>
            </w:pPr>
            <w:r>
              <w:t>16,955</w:t>
            </w:r>
          </w:p>
        </w:tc>
        <w:tc>
          <w:tcPr>
            <w:tcW w:w="909" w:type="dxa"/>
            <w:tcBorders>
              <w:top w:val="single" w:sz="12" w:space="0" w:color="auto"/>
            </w:tcBorders>
            <w:shd w:val="clear" w:color="auto" w:fill="auto"/>
          </w:tcPr>
          <w:p w:rsidR="007234DD" w:rsidRDefault="007234DD">
            <w:pPr>
              <w:pStyle w:val="a5"/>
              <w:ind w:right="0"/>
              <w:jc w:val="right"/>
            </w:pPr>
            <w:r>
              <w:t>0</w:t>
            </w:r>
          </w:p>
        </w:tc>
        <w:tc>
          <w:tcPr>
            <w:tcW w:w="889" w:type="dxa"/>
            <w:tcBorders>
              <w:top w:val="single" w:sz="12" w:space="0" w:color="auto"/>
            </w:tcBorders>
            <w:shd w:val="clear" w:color="auto" w:fill="auto"/>
          </w:tcPr>
          <w:p w:rsidR="007234DD" w:rsidRDefault="007234DD">
            <w:pPr>
              <w:pStyle w:val="a5"/>
              <w:ind w:right="0"/>
              <w:jc w:val="right"/>
              <w:rPr>
                <w:b/>
              </w:rPr>
            </w:pPr>
            <w:r>
              <w:rPr>
                <w:b/>
              </w:rPr>
              <w:t>16,955</w:t>
            </w:r>
          </w:p>
        </w:tc>
        <w:tc>
          <w:tcPr>
            <w:tcW w:w="929" w:type="dxa"/>
            <w:tcBorders>
              <w:top w:val="single" w:sz="12" w:space="0" w:color="auto"/>
            </w:tcBorders>
            <w:shd w:val="clear" w:color="auto" w:fill="auto"/>
          </w:tcPr>
          <w:p w:rsidR="007234DD" w:rsidRDefault="007234DD">
            <w:pPr>
              <w:pStyle w:val="a5"/>
              <w:ind w:right="0"/>
              <w:jc w:val="right"/>
              <w:rPr>
                <w:b/>
              </w:rPr>
            </w:pPr>
            <w:r>
              <w:rPr>
                <w:b/>
              </w:rPr>
              <w:t>16,955</w:t>
            </w:r>
          </w:p>
        </w:tc>
      </w:tr>
      <w:tr w:rsidR="007234DD">
        <w:tc>
          <w:tcPr>
            <w:tcW w:w="2142" w:type="dxa"/>
            <w:shd w:val="clear" w:color="auto" w:fill="auto"/>
          </w:tcPr>
          <w:p w:rsidR="007234DD" w:rsidRDefault="007234DD">
            <w:pPr>
              <w:pStyle w:val="a5"/>
            </w:pPr>
            <w:r>
              <w:rPr>
                <w:rFonts w:hint="eastAsia"/>
              </w:rPr>
              <w:t>农业、狩猎和林业</w:t>
            </w:r>
          </w:p>
        </w:tc>
        <w:tc>
          <w:tcPr>
            <w:tcW w:w="909" w:type="dxa"/>
            <w:shd w:val="clear" w:color="auto" w:fill="auto"/>
          </w:tcPr>
          <w:p w:rsidR="007234DD" w:rsidRDefault="007234DD">
            <w:pPr>
              <w:pStyle w:val="a5"/>
              <w:ind w:right="0"/>
              <w:jc w:val="right"/>
            </w:pPr>
            <w:r>
              <w:t>0</w:t>
            </w:r>
          </w:p>
        </w:tc>
        <w:tc>
          <w:tcPr>
            <w:tcW w:w="909" w:type="dxa"/>
            <w:shd w:val="clear" w:color="auto" w:fill="auto"/>
          </w:tcPr>
          <w:p w:rsidR="007234DD" w:rsidRDefault="007234DD">
            <w:pPr>
              <w:pStyle w:val="a5"/>
              <w:ind w:right="0"/>
              <w:jc w:val="right"/>
            </w:pPr>
            <w:r>
              <w:t>0</w:t>
            </w:r>
          </w:p>
        </w:tc>
        <w:tc>
          <w:tcPr>
            <w:tcW w:w="886" w:type="dxa"/>
            <w:shd w:val="clear" w:color="auto" w:fill="auto"/>
          </w:tcPr>
          <w:p w:rsidR="007234DD" w:rsidRDefault="007234DD">
            <w:pPr>
              <w:pStyle w:val="a5"/>
              <w:ind w:right="0"/>
              <w:jc w:val="right"/>
              <w:rPr>
                <w:b/>
              </w:rPr>
            </w:pPr>
            <w:r>
              <w:rPr>
                <w:b/>
              </w:rPr>
              <w:t>0</w:t>
            </w:r>
          </w:p>
        </w:tc>
        <w:tc>
          <w:tcPr>
            <w:tcW w:w="932" w:type="dxa"/>
            <w:shd w:val="clear" w:color="auto" w:fill="auto"/>
          </w:tcPr>
          <w:p w:rsidR="007234DD" w:rsidRDefault="007234DD">
            <w:pPr>
              <w:pStyle w:val="a5"/>
              <w:ind w:right="0"/>
              <w:jc w:val="right"/>
            </w:pPr>
            <w:r>
              <w:t>2,822</w:t>
            </w:r>
          </w:p>
        </w:tc>
        <w:tc>
          <w:tcPr>
            <w:tcW w:w="909" w:type="dxa"/>
            <w:shd w:val="clear" w:color="auto" w:fill="auto"/>
          </w:tcPr>
          <w:p w:rsidR="007234DD" w:rsidRDefault="007234DD">
            <w:pPr>
              <w:pStyle w:val="a5"/>
              <w:ind w:right="0"/>
              <w:jc w:val="right"/>
            </w:pPr>
            <w:r>
              <w:t>0</w:t>
            </w:r>
          </w:p>
        </w:tc>
        <w:tc>
          <w:tcPr>
            <w:tcW w:w="889" w:type="dxa"/>
            <w:shd w:val="clear" w:color="auto" w:fill="auto"/>
          </w:tcPr>
          <w:p w:rsidR="007234DD" w:rsidRDefault="007234DD">
            <w:pPr>
              <w:pStyle w:val="a5"/>
              <w:ind w:right="0"/>
              <w:jc w:val="right"/>
              <w:rPr>
                <w:b/>
              </w:rPr>
            </w:pPr>
            <w:r>
              <w:rPr>
                <w:b/>
              </w:rPr>
              <w:t>2,822</w:t>
            </w:r>
          </w:p>
        </w:tc>
        <w:tc>
          <w:tcPr>
            <w:tcW w:w="929" w:type="dxa"/>
            <w:shd w:val="clear" w:color="auto" w:fill="auto"/>
          </w:tcPr>
          <w:p w:rsidR="007234DD" w:rsidRDefault="007234DD">
            <w:pPr>
              <w:pStyle w:val="a5"/>
              <w:ind w:right="0"/>
              <w:jc w:val="right"/>
              <w:rPr>
                <w:b/>
              </w:rPr>
            </w:pPr>
            <w:r>
              <w:rPr>
                <w:b/>
              </w:rPr>
              <w:t>2,822</w:t>
            </w:r>
          </w:p>
        </w:tc>
      </w:tr>
      <w:tr w:rsidR="007234DD">
        <w:tc>
          <w:tcPr>
            <w:tcW w:w="2142" w:type="dxa"/>
            <w:shd w:val="clear" w:color="auto" w:fill="auto"/>
          </w:tcPr>
          <w:p w:rsidR="007234DD" w:rsidRDefault="007234DD">
            <w:pPr>
              <w:pStyle w:val="a5"/>
            </w:pPr>
            <w:r>
              <w:rPr>
                <w:rFonts w:hint="eastAsia"/>
              </w:rPr>
              <w:t>渔业</w:t>
            </w:r>
          </w:p>
        </w:tc>
        <w:tc>
          <w:tcPr>
            <w:tcW w:w="909" w:type="dxa"/>
            <w:shd w:val="clear" w:color="auto" w:fill="auto"/>
          </w:tcPr>
          <w:p w:rsidR="007234DD" w:rsidRDefault="007234DD">
            <w:pPr>
              <w:pStyle w:val="a5"/>
              <w:ind w:right="0"/>
              <w:jc w:val="right"/>
            </w:pPr>
            <w:r>
              <w:t>4,445</w:t>
            </w:r>
          </w:p>
        </w:tc>
        <w:tc>
          <w:tcPr>
            <w:tcW w:w="909" w:type="dxa"/>
            <w:shd w:val="clear" w:color="auto" w:fill="auto"/>
          </w:tcPr>
          <w:p w:rsidR="007234DD" w:rsidRDefault="007234DD">
            <w:pPr>
              <w:pStyle w:val="a5"/>
              <w:ind w:right="0"/>
              <w:jc w:val="right"/>
            </w:pPr>
            <w:r>
              <w:t>727</w:t>
            </w:r>
          </w:p>
        </w:tc>
        <w:tc>
          <w:tcPr>
            <w:tcW w:w="886" w:type="dxa"/>
            <w:shd w:val="clear" w:color="auto" w:fill="auto"/>
          </w:tcPr>
          <w:p w:rsidR="007234DD" w:rsidRDefault="007234DD">
            <w:pPr>
              <w:pStyle w:val="a5"/>
              <w:ind w:right="0"/>
              <w:jc w:val="right"/>
              <w:rPr>
                <w:b/>
              </w:rPr>
            </w:pPr>
            <w:r>
              <w:rPr>
                <w:b/>
              </w:rPr>
              <w:t>5,172</w:t>
            </w:r>
          </w:p>
        </w:tc>
        <w:tc>
          <w:tcPr>
            <w:tcW w:w="932" w:type="dxa"/>
            <w:shd w:val="clear" w:color="auto" w:fill="auto"/>
          </w:tcPr>
          <w:p w:rsidR="007234DD" w:rsidRDefault="007234DD">
            <w:pPr>
              <w:pStyle w:val="a5"/>
              <w:ind w:right="0"/>
              <w:jc w:val="right"/>
            </w:pPr>
            <w:r>
              <w:t>54,933</w:t>
            </w:r>
          </w:p>
        </w:tc>
        <w:tc>
          <w:tcPr>
            <w:tcW w:w="909" w:type="dxa"/>
            <w:shd w:val="clear" w:color="auto" w:fill="auto"/>
          </w:tcPr>
          <w:p w:rsidR="007234DD" w:rsidRDefault="007234DD">
            <w:pPr>
              <w:pStyle w:val="a5"/>
              <w:ind w:right="0"/>
              <w:jc w:val="right"/>
            </w:pPr>
            <w:r>
              <w:t>2,609</w:t>
            </w:r>
          </w:p>
        </w:tc>
        <w:tc>
          <w:tcPr>
            <w:tcW w:w="889" w:type="dxa"/>
            <w:shd w:val="clear" w:color="auto" w:fill="auto"/>
          </w:tcPr>
          <w:p w:rsidR="007234DD" w:rsidRDefault="007234DD">
            <w:pPr>
              <w:pStyle w:val="a5"/>
              <w:ind w:right="0"/>
              <w:jc w:val="right"/>
              <w:rPr>
                <w:b/>
              </w:rPr>
            </w:pPr>
            <w:r>
              <w:rPr>
                <w:b/>
              </w:rPr>
              <w:t>57,602</w:t>
            </w:r>
          </w:p>
        </w:tc>
        <w:tc>
          <w:tcPr>
            <w:tcW w:w="929" w:type="dxa"/>
            <w:shd w:val="clear" w:color="auto" w:fill="auto"/>
          </w:tcPr>
          <w:p w:rsidR="007234DD" w:rsidRDefault="007234DD">
            <w:pPr>
              <w:pStyle w:val="a5"/>
              <w:ind w:right="0"/>
              <w:jc w:val="right"/>
              <w:rPr>
                <w:b/>
              </w:rPr>
            </w:pPr>
            <w:r>
              <w:rPr>
                <w:b/>
              </w:rPr>
              <w:t>62,744</w:t>
            </w:r>
          </w:p>
        </w:tc>
      </w:tr>
      <w:tr w:rsidR="007234DD">
        <w:tc>
          <w:tcPr>
            <w:tcW w:w="2142" w:type="dxa"/>
            <w:shd w:val="clear" w:color="auto" w:fill="auto"/>
          </w:tcPr>
          <w:p w:rsidR="007234DD" w:rsidRDefault="007234DD">
            <w:pPr>
              <w:pStyle w:val="a5"/>
            </w:pPr>
            <w:r>
              <w:rPr>
                <w:rFonts w:hint="eastAsia"/>
              </w:rPr>
              <w:t>采矿和采石业</w:t>
            </w:r>
          </w:p>
        </w:tc>
        <w:tc>
          <w:tcPr>
            <w:tcW w:w="909" w:type="dxa"/>
            <w:shd w:val="clear" w:color="auto" w:fill="auto"/>
          </w:tcPr>
          <w:p w:rsidR="007234DD" w:rsidRDefault="007234DD">
            <w:pPr>
              <w:pStyle w:val="a5"/>
              <w:ind w:right="0"/>
              <w:jc w:val="right"/>
            </w:pPr>
            <w:r>
              <w:t>842</w:t>
            </w:r>
          </w:p>
        </w:tc>
        <w:tc>
          <w:tcPr>
            <w:tcW w:w="909" w:type="dxa"/>
            <w:shd w:val="clear" w:color="auto" w:fill="auto"/>
          </w:tcPr>
          <w:p w:rsidR="007234DD" w:rsidRDefault="007234DD">
            <w:pPr>
              <w:pStyle w:val="a5"/>
              <w:ind w:right="0"/>
              <w:jc w:val="right"/>
            </w:pPr>
            <w:r>
              <w:t>78</w:t>
            </w:r>
          </w:p>
        </w:tc>
        <w:tc>
          <w:tcPr>
            <w:tcW w:w="886" w:type="dxa"/>
            <w:shd w:val="clear" w:color="auto" w:fill="auto"/>
          </w:tcPr>
          <w:p w:rsidR="007234DD" w:rsidRDefault="007234DD">
            <w:pPr>
              <w:pStyle w:val="a5"/>
              <w:ind w:right="0"/>
              <w:jc w:val="right"/>
              <w:rPr>
                <w:b/>
              </w:rPr>
            </w:pPr>
            <w:r>
              <w:rPr>
                <w:b/>
              </w:rPr>
              <w:t>920</w:t>
            </w:r>
          </w:p>
        </w:tc>
        <w:tc>
          <w:tcPr>
            <w:tcW w:w="932" w:type="dxa"/>
            <w:shd w:val="clear" w:color="auto" w:fill="auto"/>
          </w:tcPr>
          <w:p w:rsidR="007234DD" w:rsidRDefault="007234DD">
            <w:pPr>
              <w:pStyle w:val="a5"/>
              <w:ind w:right="0"/>
              <w:jc w:val="right"/>
            </w:pPr>
            <w:r>
              <w:t>107,538</w:t>
            </w:r>
          </w:p>
        </w:tc>
        <w:tc>
          <w:tcPr>
            <w:tcW w:w="909" w:type="dxa"/>
            <w:shd w:val="clear" w:color="auto" w:fill="auto"/>
          </w:tcPr>
          <w:p w:rsidR="007234DD" w:rsidRDefault="007234DD">
            <w:pPr>
              <w:pStyle w:val="a5"/>
              <w:ind w:right="0"/>
              <w:jc w:val="right"/>
            </w:pPr>
            <w:r>
              <w:t>328</w:t>
            </w:r>
          </w:p>
        </w:tc>
        <w:tc>
          <w:tcPr>
            <w:tcW w:w="889" w:type="dxa"/>
            <w:shd w:val="clear" w:color="auto" w:fill="auto"/>
          </w:tcPr>
          <w:p w:rsidR="007234DD" w:rsidRDefault="007234DD">
            <w:pPr>
              <w:pStyle w:val="a5"/>
              <w:ind w:right="0"/>
              <w:jc w:val="right"/>
              <w:rPr>
                <w:b/>
              </w:rPr>
            </w:pPr>
            <w:r>
              <w:rPr>
                <w:b/>
              </w:rPr>
              <w:t>107,866</w:t>
            </w:r>
          </w:p>
        </w:tc>
        <w:tc>
          <w:tcPr>
            <w:tcW w:w="929" w:type="dxa"/>
            <w:shd w:val="clear" w:color="auto" w:fill="auto"/>
          </w:tcPr>
          <w:p w:rsidR="007234DD" w:rsidRDefault="007234DD">
            <w:pPr>
              <w:pStyle w:val="a5"/>
              <w:ind w:right="0"/>
              <w:jc w:val="right"/>
              <w:rPr>
                <w:b/>
              </w:rPr>
            </w:pPr>
            <w:r>
              <w:rPr>
                <w:b/>
              </w:rPr>
              <w:t>108,786</w:t>
            </w:r>
          </w:p>
        </w:tc>
      </w:tr>
      <w:tr w:rsidR="007234DD">
        <w:tc>
          <w:tcPr>
            <w:tcW w:w="2142" w:type="dxa"/>
            <w:shd w:val="clear" w:color="auto" w:fill="auto"/>
          </w:tcPr>
          <w:p w:rsidR="007234DD" w:rsidRDefault="007234DD">
            <w:pPr>
              <w:pStyle w:val="a5"/>
            </w:pPr>
            <w:r>
              <w:rPr>
                <w:rFonts w:hint="eastAsia"/>
              </w:rPr>
              <w:t>电力、燃气、蒸汽和供水</w:t>
            </w:r>
          </w:p>
        </w:tc>
        <w:tc>
          <w:tcPr>
            <w:tcW w:w="909" w:type="dxa"/>
            <w:shd w:val="clear" w:color="auto" w:fill="auto"/>
          </w:tcPr>
          <w:p w:rsidR="007234DD" w:rsidRDefault="007234DD">
            <w:pPr>
              <w:pStyle w:val="a5"/>
              <w:ind w:right="0"/>
              <w:jc w:val="right"/>
            </w:pPr>
            <w:r>
              <w:t>1,754</w:t>
            </w:r>
          </w:p>
        </w:tc>
        <w:tc>
          <w:tcPr>
            <w:tcW w:w="909" w:type="dxa"/>
            <w:shd w:val="clear" w:color="auto" w:fill="auto"/>
          </w:tcPr>
          <w:p w:rsidR="007234DD" w:rsidRDefault="007234DD">
            <w:pPr>
              <w:pStyle w:val="a5"/>
              <w:ind w:right="0"/>
              <w:jc w:val="right"/>
            </w:pPr>
            <w:r>
              <w:t>306</w:t>
            </w:r>
          </w:p>
        </w:tc>
        <w:tc>
          <w:tcPr>
            <w:tcW w:w="886" w:type="dxa"/>
            <w:shd w:val="clear" w:color="auto" w:fill="auto"/>
          </w:tcPr>
          <w:p w:rsidR="007234DD" w:rsidRDefault="007234DD">
            <w:pPr>
              <w:pStyle w:val="a5"/>
              <w:ind w:right="0"/>
              <w:jc w:val="right"/>
              <w:rPr>
                <w:b/>
              </w:rPr>
            </w:pPr>
            <w:r>
              <w:rPr>
                <w:b/>
              </w:rPr>
              <w:t>2,060</w:t>
            </w:r>
          </w:p>
        </w:tc>
        <w:tc>
          <w:tcPr>
            <w:tcW w:w="932" w:type="dxa"/>
            <w:shd w:val="clear" w:color="auto" w:fill="auto"/>
          </w:tcPr>
          <w:p w:rsidR="007234DD" w:rsidRDefault="007234DD">
            <w:pPr>
              <w:pStyle w:val="a5"/>
              <w:ind w:right="0"/>
              <w:jc w:val="right"/>
            </w:pPr>
            <w:r>
              <w:t>4,054</w:t>
            </w:r>
          </w:p>
        </w:tc>
        <w:tc>
          <w:tcPr>
            <w:tcW w:w="909" w:type="dxa"/>
            <w:shd w:val="clear" w:color="auto" w:fill="auto"/>
          </w:tcPr>
          <w:p w:rsidR="007234DD" w:rsidRDefault="007234DD">
            <w:pPr>
              <w:pStyle w:val="a5"/>
              <w:ind w:right="0"/>
              <w:jc w:val="right"/>
            </w:pPr>
            <w:r>
              <w:t>44</w:t>
            </w:r>
          </w:p>
        </w:tc>
        <w:tc>
          <w:tcPr>
            <w:tcW w:w="889" w:type="dxa"/>
            <w:shd w:val="clear" w:color="auto" w:fill="auto"/>
          </w:tcPr>
          <w:p w:rsidR="007234DD" w:rsidRDefault="007234DD">
            <w:pPr>
              <w:pStyle w:val="a5"/>
              <w:ind w:right="0"/>
              <w:jc w:val="right"/>
              <w:rPr>
                <w:b/>
              </w:rPr>
            </w:pPr>
            <w:r>
              <w:rPr>
                <w:b/>
              </w:rPr>
              <w:t>4,098</w:t>
            </w:r>
          </w:p>
        </w:tc>
        <w:tc>
          <w:tcPr>
            <w:tcW w:w="929" w:type="dxa"/>
            <w:shd w:val="clear" w:color="auto" w:fill="auto"/>
          </w:tcPr>
          <w:p w:rsidR="007234DD" w:rsidRDefault="007234DD">
            <w:pPr>
              <w:pStyle w:val="a5"/>
              <w:ind w:right="0"/>
              <w:jc w:val="right"/>
              <w:rPr>
                <w:b/>
              </w:rPr>
            </w:pPr>
            <w:r>
              <w:rPr>
                <w:b/>
              </w:rPr>
              <w:t>6,158</w:t>
            </w:r>
          </w:p>
        </w:tc>
      </w:tr>
      <w:tr w:rsidR="007234DD">
        <w:tc>
          <w:tcPr>
            <w:tcW w:w="2142" w:type="dxa"/>
            <w:shd w:val="clear" w:color="auto" w:fill="auto"/>
          </w:tcPr>
          <w:p w:rsidR="007234DD" w:rsidRDefault="007234DD">
            <w:pPr>
              <w:pStyle w:val="a5"/>
            </w:pPr>
            <w:r>
              <w:rPr>
                <w:rFonts w:hint="eastAsia"/>
              </w:rPr>
              <w:t>建筑业</w:t>
            </w:r>
          </w:p>
        </w:tc>
        <w:tc>
          <w:tcPr>
            <w:tcW w:w="909" w:type="dxa"/>
            <w:shd w:val="clear" w:color="auto" w:fill="auto"/>
          </w:tcPr>
          <w:p w:rsidR="007234DD" w:rsidRDefault="007234DD">
            <w:pPr>
              <w:pStyle w:val="a5"/>
              <w:ind w:right="0"/>
              <w:jc w:val="right"/>
            </w:pPr>
            <w:r>
              <w:t>864</w:t>
            </w:r>
          </w:p>
        </w:tc>
        <w:tc>
          <w:tcPr>
            <w:tcW w:w="909" w:type="dxa"/>
            <w:shd w:val="clear" w:color="auto" w:fill="auto"/>
          </w:tcPr>
          <w:p w:rsidR="007234DD" w:rsidRDefault="007234DD">
            <w:pPr>
              <w:pStyle w:val="a5"/>
              <w:ind w:right="0"/>
              <w:jc w:val="right"/>
            </w:pPr>
            <w:r>
              <w:t>64</w:t>
            </w:r>
          </w:p>
        </w:tc>
        <w:tc>
          <w:tcPr>
            <w:tcW w:w="886" w:type="dxa"/>
            <w:shd w:val="clear" w:color="auto" w:fill="auto"/>
          </w:tcPr>
          <w:p w:rsidR="007234DD" w:rsidRDefault="007234DD">
            <w:pPr>
              <w:pStyle w:val="a5"/>
              <w:ind w:right="0"/>
              <w:jc w:val="right"/>
              <w:rPr>
                <w:b/>
              </w:rPr>
            </w:pPr>
            <w:r>
              <w:rPr>
                <w:b/>
              </w:rPr>
              <w:t>928</w:t>
            </w:r>
          </w:p>
        </w:tc>
        <w:tc>
          <w:tcPr>
            <w:tcW w:w="932" w:type="dxa"/>
            <w:shd w:val="clear" w:color="auto" w:fill="auto"/>
          </w:tcPr>
          <w:p w:rsidR="007234DD" w:rsidRDefault="007234DD">
            <w:pPr>
              <w:pStyle w:val="a5"/>
              <w:ind w:right="0"/>
              <w:jc w:val="right"/>
            </w:pPr>
            <w:r>
              <w:t>554,740</w:t>
            </w:r>
          </w:p>
        </w:tc>
        <w:tc>
          <w:tcPr>
            <w:tcW w:w="909" w:type="dxa"/>
            <w:shd w:val="clear" w:color="auto" w:fill="auto"/>
          </w:tcPr>
          <w:p w:rsidR="007234DD" w:rsidRDefault="007234DD">
            <w:pPr>
              <w:pStyle w:val="a5"/>
              <w:ind w:right="0"/>
              <w:jc w:val="right"/>
            </w:pPr>
            <w:r>
              <w:t>3,398</w:t>
            </w:r>
          </w:p>
        </w:tc>
        <w:tc>
          <w:tcPr>
            <w:tcW w:w="889" w:type="dxa"/>
            <w:shd w:val="clear" w:color="auto" w:fill="auto"/>
          </w:tcPr>
          <w:p w:rsidR="007234DD" w:rsidRDefault="007234DD">
            <w:pPr>
              <w:pStyle w:val="a5"/>
              <w:ind w:right="0"/>
              <w:jc w:val="right"/>
              <w:rPr>
                <w:b/>
              </w:rPr>
            </w:pPr>
            <w:r>
              <w:rPr>
                <w:b/>
              </w:rPr>
              <w:t>558,138</w:t>
            </w:r>
          </w:p>
        </w:tc>
        <w:tc>
          <w:tcPr>
            <w:tcW w:w="929" w:type="dxa"/>
            <w:shd w:val="clear" w:color="auto" w:fill="auto"/>
          </w:tcPr>
          <w:p w:rsidR="007234DD" w:rsidRDefault="007234DD">
            <w:pPr>
              <w:pStyle w:val="a5"/>
              <w:ind w:right="0"/>
              <w:jc w:val="right"/>
              <w:rPr>
                <w:b/>
              </w:rPr>
            </w:pPr>
            <w:r>
              <w:rPr>
                <w:b/>
              </w:rPr>
              <w:t>559,066</w:t>
            </w:r>
          </w:p>
        </w:tc>
      </w:tr>
      <w:tr w:rsidR="007234DD">
        <w:tc>
          <w:tcPr>
            <w:tcW w:w="2142" w:type="dxa"/>
            <w:shd w:val="clear" w:color="auto" w:fill="auto"/>
          </w:tcPr>
          <w:p w:rsidR="007234DD" w:rsidRDefault="007234DD">
            <w:pPr>
              <w:pStyle w:val="a5"/>
            </w:pPr>
            <w:r>
              <w:rPr>
                <w:rFonts w:hint="eastAsia"/>
              </w:rPr>
              <w:t>批发零售；汽摩修理；个人和家庭用品</w:t>
            </w:r>
          </w:p>
        </w:tc>
        <w:tc>
          <w:tcPr>
            <w:tcW w:w="909" w:type="dxa"/>
            <w:shd w:val="clear" w:color="auto" w:fill="auto"/>
          </w:tcPr>
          <w:p w:rsidR="007234DD" w:rsidRDefault="007234DD">
            <w:pPr>
              <w:pStyle w:val="a5"/>
              <w:ind w:right="0"/>
              <w:jc w:val="right"/>
            </w:pPr>
            <w:r>
              <w:t>708</w:t>
            </w:r>
          </w:p>
        </w:tc>
        <w:tc>
          <w:tcPr>
            <w:tcW w:w="909" w:type="dxa"/>
            <w:shd w:val="clear" w:color="auto" w:fill="auto"/>
          </w:tcPr>
          <w:p w:rsidR="007234DD" w:rsidRDefault="007234DD">
            <w:pPr>
              <w:pStyle w:val="a5"/>
              <w:ind w:right="0"/>
              <w:jc w:val="right"/>
            </w:pPr>
            <w:r>
              <w:t>94</w:t>
            </w:r>
          </w:p>
        </w:tc>
        <w:tc>
          <w:tcPr>
            <w:tcW w:w="886" w:type="dxa"/>
            <w:shd w:val="clear" w:color="auto" w:fill="auto"/>
          </w:tcPr>
          <w:p w:rsidR="007234DD" w:rsidRDefault="007234DD">
            <w:pPr>
              <w:pStyle w:val="a5"/>
              <w:ind w:right="0"/>
              <w:jc w:val="right"/>
              <w:rPr>
                <w:b/>
              </w:rPr>
            </w:pPr>
            <w:r>
              <w:rPr>
                <w:b/>
              </w:rPr>
              <w:t>802</w:t>
            </w:r>
          </w:p>
        </w:tc>
        <w:tc>
          <w:tcPr>
            <w:tcW w:w="932" w:type="dxa"/>
            <w:shd w:val="clear" w:color="auto" w:fill="auto"/>
          </w:tcPr>
          <w:p w:rsidR="007234DD" w:rsidRDefault="007234DD">
            <w:pPr>
              <w:pStyle w:val="a5"/>
              <w:ind w:right="0"/>
              <w:jc w:val="right"/>
            </w:pPr>
            <w:r>
              <w:t>133,275</w:t>
            </w:r>
          </w:p>
        </w:tc>
        <w:tc>
          <w:tcPr>
            <w:tcW w:w="909" w:type="dxa"/>
            <w:shd w:val="clear" w:color="auto" w:fill="auto"/>
          </w:tcPr>
          <w:p w:rsidR="007234DD" w:rsidRDefault="007234DD">
            <w:pPr>
              <w:pStyle w:val="a5"/>
              <w:ind w:right="0"/>
              <w:jc w:val="right"/>
            </w:pPr>
            <w:r>
              <w:t>4,281</w:t>
            </w:r>
          </w:p>
        </w:tc>
        <w:tc>
          <w:tcPr>
            <w:tcW w:w="889" w:type="dxa"/>
            <w:shd w:val="clear" w:color="auto" w:fill="auto"/>
          </w:tcPr>
          <w:p w:rsidR="007234DD" w:rsidRDefault="007234DD">
            <w:pPr>
              <w:pStyle w:val="a5"/>
              <w:ind w:right="0"/>
              <w:jc w:val="right"/>
              <w:rPr>
                <w:b/>
              </w:rPr>
            </w:pPr>
            <w:r>
              <w:rPr>
                <w:b/>
              </w:rPr>
              <w:t>137,556</w:t>
            </w:r>
          </w:p>
        </w:tc>
        <w:tc>
          <w:tcPr>
            <w:tcW w:w="929" w:type="dxa"/>
            <w:shd w:val="clear" w:color="auto" w:fill="auto"/>
          </w:tcPr>
          <w:p w:rsidR="007234DD" w:rsidRDefault="007234DD">
            <w:pPr>
              <w:pStyle w:val="a5"/>
              <w:ind w:right="0"/>
              <w:jc w:val="right"/>
              <w:rPr>
                <w:b/>
              </w:rPr>
            </w:pPr>
            <w:r>
              <w:rPr>
                <w:b/>
              </w:rPr>
              <w:t>138,358</w:t>
            </w:r>
          </w:p>
        </w:tc>
      </w:tr>
      <w:tr w:rsidR="007234DD">
        <w:tc>
          <w:tcPr>
            <w:tcW w:w="2142" w:type="dxa"/>
            <w:shd w:val="clear" w:color="auto" w:fill="auto"/>
          </w:tcPr>
          <w:p w:rsidR="007234DD" w:rsidRDefault="007234DD">
            <w:pPr>
              <w:pStyle w:val="a5"/>
            </w:pPr>
            <w:r>
              <w:rPr>
                <w:rFonts w:hint="eastAsia"/>
              </w:rPr>
              <w:t>酒店和餐馆</w:t>
            </w:r>
          </w:p>
        </w:tc>
        <w:tc>
          <w:tcPr>
            <w:tcW w:w="909" w:type="dxa"/>
            <w:shd w:val="clear" w:color="auto" w:fill="auto"/>
          </w:tcPr>
          <w:p w:rsidR="007234DD" w:rsidRDefault="007234DD">
            <w:pPr>
              <w:pStyle w:val="a5"/>
              <w:ind w:right="0"/>
              <w:jc w:val="right"/>
            </w:pPr>
            <w:r>
              <w:t>16</w:t>
            </w:r>
          </w:p>
        </w:tc>
        <w:tc>
          <w:tcPr>
            <w:tcW w:w="909" w:type="dxa"/>
            <w:shd w:val="clear" w:color="auto" w:fill="auto"/>
          </w:tcPr>
          <w:p w:rsidR="007234DD" w:rsidRDefault="007234DD">
            <w:pPr>
              <w:pStyle w:val="a5"/>
              <w:ind w:right="0"/>
              <w:jc w:val="right"/>
            </w:pPr>
            <w:r>
              <w:t>0</w:t>
            </w:r>
          </w:p>
        </w:tc>
        <w:tc>
          <w:tcPr>
            <w:tcW w:w="886" w:type="dxa"/>
            <w:shd w:val="clear" w:color="auto" w:fill="auto"/>
          </w:tcPr>
          <w:p w:rsidR="007234DD" w:rsidRDefault="007234DD">
            <w:pPr>
              <w:pStyle w:val="a5"/>
              <w:ind w:right="0"/>
              <w:jc w:val="right"/>
              <w:rPr>
                <w:b/>
              </w:rPr>
            </w:pPr>
            <w:r>
              <w:rPr>
                <w:b/>
              </w:rPr>
              <w:t>16</w:t>
            </w:r>
          </w:p>
        </w:tc>
        <w:tc>
          <w:tcPr>
            <w:tcW w:w="932" w:type="dxa"/>
            <w:shd w:val="clear" w:color="auto" w:fill="auto"/>
          </w:tcPr>
          <w:p w:rsidR="007234DD" w:rsidRDefault="007234DD">
            <w:pPr>
              <w:pStyle w:val="a5"/>
              <w:ind w:right="0"/>
              <w:jc w:val="right"/>
            </w:pPr>
            <w:r>
              <w:t>20,272</w:t>
            </w:r>
          </w:p>
        </w:tc>
        <w:tc>
          <w:tcPr>
            <w:tcW w:w="909" w:type="dxa"/>
            <w:shd w:val="clear" w:color="auto" w:fill="auto"/>
          </w:tcPr>
          <w:p w:rsidR="007234DD" w:rsidRDefault="007234DD">
            <w:pPr>
              <w:pStyle w:val="a5"/>
              <w:ind w:right="0"/>
              <w:jc w:val="right"/>
            </w:pPr>
            <w:r>
              <w:t>4,652</w:t>
            </w:r>
          </w:p>
        </w:tc>
        <w:tc>
          <w:tcPr>
            <w:tcW w:w="889" w:type="dxa"/>
            <w:shd w:val="clear" w:color="auto" w:fill="auto"/>
          </w:tcPr>
          <w:p w:rsidR="007234DD" w:rsidRDefault="007234DD">
            <w:pPr>
              <w:pStyle w:val="a5"/>
              <w:ind w:right="0"/>
              <w:jc w:val="right"/>
              <w:rPr>
                <w:b/>
              </w:rPr>
            </w:pPr>
            <w:r>
              <w:rPr>
                <w:b/>
              </w:rPr>
              <w:t>24,924</w:t>
            </w:r>
          </w:p>
        </w:tc>
        <w:tc>
          <w:tcPr>
            <w:tcW w:w="929" w:type="dxa"/>
            <w:shd w:val="clear" w:color="auto" w:fill="auto"/>
          </w:tcPr>
          <w:p w:rsidR="007234DD" w:rsidRDefault="007234DD">
            <w:pPr>
              <w:pStyle w:val="a5"/>
              <w:ind w:right="0"/>
              <w:jc w:val="right"/>
              <w:rPr>
                <w:b/>
              </w:rPr>
            </w:pPr>
            <w:r>
              <w:rPr>
                <w:b/>
              </w:rPr>
              <w:t>24,940</w:t>
            </w:r>
          </w:p>
        </w:tc>
      </w:tr>
      <w:tr w:rsidR="007234DD">
        <w:tc>
          <w:tcPr>
            <w:tcW w:w="2142" w:type="dxa"/>
            <w:shd w:val="clear" w:color="auto" w:fill="auto"/>
          </w:tcPr>
          <w:p w:rsidR="007234DD" w:rsidRDefault="007234DD">
            <w:pPr>
              <w:pStyle w:val="a5"/>
            </w:pPr>
            <w:r>
              <w:rPr>
                <w:rFonts w:hint="eastAsia"/>
              </w:rPr>
              <w:t>运输、仓储和通信</w:t>
            </w:r>
          </w:p>
        </w:tc>
        <w:tc>
          <w:tcPr>
            <w:tcW w:w="909" w:type="dxa"/>
            <w:shd w:val="clear" w:color="auto" w:fill="auto"/>
          </w:tcPr>
          <w:p w:rsidR="007234DD" w:rsidRDefault="007234DD">
            <w:pPr>
              <w:pStyle w:val="a5"/>
              <w:ind w:right="0"/>
              <w:jc w:val="right"/>
            </w:pPr>
            <w:r>
              <w:t>1,072</w:t>
            </w:r>
          </w:p>
        </w:tc>
        <w:tc>
          <w:tcPr>
            <w:tcW w:w="909" w:type="dxa"/>
            <w:shd w:val="clear" w:color="auto" w:fill="auto"/>
          </w:tcPr>
          <w:p w:rsidR="007234DD" w:rsidRDefault="007234DD">
            <w:pPr>
              <w:pStyle w:val="a5"/>
              <w:ind w:right="0"/>
              <w:jc w:val="right"/>
            </w:pPr>
            <w:r>
              <w:t>632</w:t>
            </w:r>
          </w:p>
        </w:tc>
        <w:tc>
          <w:tcPr>
            <w:tcW w:w="886" w:type="dxa"/>
            <w:shd w:val="clear" w:color="auto" w:fill="auto"/>
          </w:tcPr>
          <w:p w:rsidR="007234DD" w:rsidRDefault="007234DD">
            <w:pPr>
              <w:pStyle w:val="a5"/>
              <w:ind w:right="0"/>
              <w:jc w:val="right"/>
              <w:rPr>
                <w:b/>
              </w:rPr>
            </w:pPr>
            <w:r>
              <w:rPr>
                <w:b/>
              </w:rPr>
              <w:t>1,704</w:t>
            </w:r>
          </w:p>
        </w:tc>
        <w:tc>
          <w:tcPr>
            <w:tcW w:w="932" w:type="dxa"/>
            <w:shd w:val="clear" w:color="auto" w:fill="auto"/>
          </w:tcPr>
          <w:p w:rsidR="007234DD" w:rsidRDefault="007234DD">
            <w:pPr>
              <w:pStyle w:val="a5"/>
              <w:ind w:right="0"/>
              <w:jc w:val="right"/>
            </w:pPr>
            <w:r>
              <w:t>46,988</w:t>
            </w:r>
          </w:p>
        </w:tc>
        <w:tc>
          <w:tcPr>
            <w:tcW w:w="909" w:type="dxa"/>
            <w:shd w:val="clear" w:color="auto" w:fill="auto"/>
          </w:tcPr>
          <w:p w:rsidR="007234DD" w:rsidRDefault="007234DD">
            <w:pPr>
              <w:pStyle w:val="a5"/>
              <w:ind w:right="0"/>
              <w:jc w:val="right"/>
            </w:pPr>
            <w:r>
              <w:t>7,208</w:t>
            </w:r>
          </w:p>
        </w:tc>
        <w:tc>
          <w:tcPr>
            <w:tcW w:w="889" w:type="dxa"/>
            <w:shd w:val="clear" w:color="auto" w:fill="auto"/>
          </w:tcPr>
          <w:p w:rsidR="007234DD" w:rsidRDefault="007234DD">
            <w:pPr>
              <w:pStyle w:val="a5"/>
              <w:ind w:right="0"/>
              <w:jc w:val="right"/>
              <w:rPr>
                <w:b/>
              </w:rPr>
            </w:pPr>
            <w:r>
              <w:rPr>
                <w:b/>
              </w:rPr>
              <w:t>54,196</w:t>
            </w:r>
          </w:p>
        </w:tc>
        <w:tc>
          <w:tcPr>
            <w:tcW w:w="929" w:type="dxa"/>
            <w:shd w:val="clear" w:color="auto" w:fill="auto"/>
          </w:tcPr>
          <w:p w:rsidR="007234DD" w:rsidRDefault="007234DD">
            <w:pPr>
              <w:pStyle w:val="a5"/>
              <w:ind w:right="0"/>
              <w:jc w:val="right"/>
              <w:rPr>
                <w:b/>
              </w:rPr>
            </w:pPr>
            <w:r>
              <w:rPr>
                <w:b/>
              </w:rPr>
              <w:t>55,900</w:t>
            </w:r>
          </w:p>
        </w:tc>
      </w:tr>
      <w:tr w:rsidR="007234DD">
        <w:tc>
          <w:tcPr>
            <w:tcW w:w="2142" w:type="dxa"/>
            <w:shd w:val="clear" w:color="auto" w:fill="auto"/>
          </w:tcPr>
          <w:p w:rsidR="007234DD" w:rsidRDefault="007234DD">
            <w:pPr>
              <w:pStyle w:val="a5"/>
            </w:pPr>
            <w:r>
              <w:rPr>
                <w:rFonts w:hint="eastAsia"/>
              </w:rPr>
              <w:t>金融服务</w:t>
            </w:r>
          </w:p>
        </w:tc>
        <w:tc>
          <w:tcPr>
            <w:tcW w:w="909" w:type="dxa"/>
            <w:shd w:val="clear" w:color="auto" w:fill="auto"/>
          </w:tcPr>
          <w:p w:rsidR="007234DD" w:rsidRDefault="007234DD">
            <w:pPr>
              <w:pStyle w:val="a5"/>
              <w:ind w:right="0"/>
              <w:jc w:val="right"/>
            </w:pPr>
            <w:r>
              <w:t>1,437</w:t>
            </w:r>
          </w:p>
        </w:tc>
        <w:tc>
          <w:tcPr>
            <w:tcW w:w="909" w:type="dxa"/>
            <w:shd w:val="clear" w:color="auto" w:fill="auto"/>
          </w:tcPr>
          <w:p w:rsidR="007234DD" w:rsidRDefault="007234DD">
            <w:pPr>
              <w:pStyle w:val="a5"/>
              <w:ind w:right="0"/>
              <w:jc w:val="right"/>
            </w:pPr>
            <w:r>
              <w:t>1,308</w:t>
            </w:r>
          </w:p>
        </w:tc>
        <w:tc>
          <w:tcPr>
            <w:tcW w:w="886" w:type="dxa"/>
            <w:shd w:val="clear" w:color="auto" w:fill="auto"/>
          </w:tcPr>
          <w:p w:rsidR="007234DD" w:rsidRDefault="007234DD">
            <w:pPr>
              <w:pStyle w:val="a5"/>
              <w:ind w:right="0"/>
              <w:jc w:val="right"/>
              <w:rPr>
                <w:b/>
              </w:rPr>
            </w:pPr>
            <w:r>
              <w:rPr>
                <w:b/>
              </w:rPr>
              <w:t>2,745</w:t>
            </w:r>
          </w:p>
        </w:tc>
        <w:tc>
          <w:tcPr>
            <w:tcW w:w="932" w:type="dxa"/>
            <w:shd w:val="clear" w:color="auto" w:fill="auto"/>
          </w:tcPr>
          <w:p w:rsidR="007234DD" w:rsidRDefault="007234DD">
            <w:pPr>
              <w:pStyle w:val="a5"/>
              <w:ind w:right="0"/>
              <w:jc w:val="right"/>
            </w:pPr>
            <w:r>
              <w:t>10,389</w:t>
            </w:r>
          </w:p>
        </w:tc>
        <w:tc>
          <w:tcPr>
            <w:tcW w:w="909" w:type="dxa"/>
            <w:shd w:val="clear" w:color="auto" w:fill="auto"/>
          </w:tcPr>
          <w:p w:rsidR="007234DD" w:rsidRDefault="007234DD">
            <w:pPr>
              <w:pStyle w:val="a5"/>
              <w:ind w:right="0"/>
              <w:jc w:val="right"/>
            </w:pPr>
            <w:r>
              <w:t>2,288</w:t>
            </w:r>
          </w:p>
        </w:tc>
        <w:tc>
          <w:tcPr>
            <w:tcW w:w="889" w:type="dxa"/>
            <w:shd w:val="clear" w:color="auto" w:fill="auto"/>
          </w:tcPr>
          <w:p w:rsidR="007234DD" w:rsidRDefault="007234DD">
            <w:pPr>
              <w:pStyle w:val="a5"/>
              <w:ind w:right="0"/>
              <w:jc w:val="right"/>
              <w:rPr>
                <w:b/>
              </w:rPr>
            </w:pPr>
            <w:r>
              <w:rPr>
                <w:b/>
              </w:rPr>
              <w:t>12,677</w:t>
            </w:r>
          </w:p>
        </w:tc>
        <w:tc>
          <w:tcPr>
            <w:tcW w:w="929" w:type="dxa"/>
            <w:shd w:val="clear" w:color="auto" w:fill="auto"/>
          </w:tcPr>
          <w:p w:rsidR="007234DD" w:rsidRDefault="007234DD">
            <w:pPr>
              <w:pStyle w:val="a5"/>
              <w:ind w:right="0"/>
              <w:jc w:val="right"/>
              <w:rPr>
                <w:b/>
              </w:rPr>
            </w:pPr>
            <w:r>
              <w:rPr>
                <w:b/>
              </w:rPr>
              <w:t>15,422</w:t>
            </w:r>
          </w:p>
        </w:tc>
      </w:tr>
      <w:tr w:rsidR="007234DD">
        <w:tc>
          <w:tcPr>
            <w:tcW w:w="2142" w:type="dxa"/>
            <w:shd w:val="clear" w:color="auto" w:fill="auto"/>
          </w:tcPr>
          <w:p w:rsidR="007234DD" w:rsidRDefault="007234DD">
            <w:pPr>
              <w:pStyle w:val="a5"/>
            </w:pPr>
            <w:r>
              <w:rPr>
                <w:rFonts w:hint="eastAsia"/>
              </w:rPr>
              <w:t>房地产、租赁和商业</w:t>
            </w:r>
          </w:p>
        </w:tc>
        <w:tc>
          <w:tcPr>
            <w:tcW w:w="909" w:type="dxa"/>
            <w:shd w:val="clear" w:color="auto" w:fill="auto"/>
          </w:tcPr>
          <w:p w:rsidR="007234DD" w:rsidRDefault="007234DD">
            <w:pPr>
              <w:pStyle w:val="a5"/>
              <w:ind w:right="0"/>
              <w:jc w:val="right"/>
            </w:pPr>
            <w:r>
              <w:t>813</w:t>
            </w:r>
          </w:p>
        </w:tc>
        <w:tc>
          <w:tcPr>
            <w:tcW w:w="909" w:type="dxa"/>
            <w:shd w:val="clear" w:color="auto" w:fill="auto"/>
          </w:tcPr>
          <w:p w:rsidR="007234DD" w:rsidRDefault="007234DD">
            <w:pPr>
              <w:pStyle w:val="a5"/>
              <w:ind w:right="0"/>
              <w:jc w:val="right"/>
            </w:pPr>
            <w:r>
              <w:t>225</w:t>
            </w:r>
          </w:p>
        </w:tc>
        <w:tc>
          <w:tcPr>
            <w:tcW w:w="886" w:type="dxa"/>
            <w:shd w:val="clear" w:color="auto" w:fill="auto"/>
          </w:tcPr>
          <w:p w:rsidR="007234DD" w:rsidRDefault="007234DD">
            <w:pPr>
              <w:pStyle w:val="a5"/>
              <w:ind w:right="0"/>
              <w:jc w:val="right"/>
              <w:rPr>
                <w:b/>
              </w:rPr>
            </w:pPr>
            <w:r>
              <w:rPr>
                <w:b/>
              </w:rPr>
              <w:t>1,038</w:t>
            </w:r>
          </w:p>
        </w:tc>
        <w:tc>
          <w:tcPr>
            <w:tcW w:w="932" w:type="dxa"/>
            <w:shd w:val="clear" w:color="auto" w:fill="auto"/>
          </w:tcPr>
          <w:p w:rsidR="007234DD" w:rsidRDefault="007234DD">
            <w:pPr>
              <w:pStyle w:val="a5"/>
              <w:ind w:right="0"/>
              <w:jc w:val="right"/>
            </w:pPr>
            <w:r>
              <w:t>43,222</w:t>
            </w:r>
          </w:p>
        </w:tc>
        <w:tc>
          <w:tcPr>
            <w:tcW w:w="909" w:type="dxa"/>
            <w:shd w:val="clear" w:color="auto" w:fill="auto"/>
          </w:tcPr>
          <w:p w:rsidR="007234DD" w:rsidRDefault="007234DD">
            <w:pPr>
              <w:pStyle w:val="a5"/>
              <w:ind w:right="0"/>
              <w:jc w:val="right"/>
            </w:pPr>
            <w:r>
              <w:t>2,066</w:t>
            </w:r>
          </w:p>
        </w:tc>
        <w:tc>
          <w:tcPr>
            <w:tcW w:w="889" w:type="dxa"/>
            <w:shd w:val="clear" w:color="auto" w:fill="auto"/>
          </w:tcPr>
          <w:p w:rsidR="007234DD" w:rsidRDefault="007234DD">
            <w:pPr>
              <w:pStyle w:val="a5"/>
              <w:ind w:right="0"/>
              <w:jc w:val="right"/>
              <w:rPr>
                <w:b/>
              </w:rPr>
            </w:pPr>
            <w:r>
              <w:rPr>
                <w:b/>
              </w:rPr>
              <w:t>45,288</w:t>
            </w:r>
          </w:p>
        </w:tc>
        <w:tc>
          <w:tcPr>
            <w:tcW w:w="929" w:type="dxa"/>
            <w:shd w:val="clear" w:color="auto" w:fill="auto"/>
          </w:tcPr>
          <w:p w:rsidR="007234DD" w:rsidRDefault="007234DD">
            <w:pPr>
              <w:pStyle w:val="a5"/>
              <w:ind w:right="0"/>
              <w:jc w:val="right"/>
              <w:rPr>
                <w:b/>
              </w:rPr>
            </w:pPr>
            <w:r>
              <w:rPr>
                <w:b/>
              </w:rPr>
              <w:t>46,326</w:t>
            </w:r>
          </w:p>
        </w:tc>
      </w:tr>
      <w:tr w:rsidR="007234DD">
        <w:tc>
          <w:tcPr>
            <w:tcW w:w="2142" w:type="dxa"/>
            <w:shd w:val="clear" w:color="auto" w:fill="auto"/>
          </w:tcPr>
          <w:p w:rsidR="007234DD" w:rsidRDefault="007234DD">
            <w:pPr>
              <w:pStyle w:val="a5"/>
            </w:pPr>
            <w:r>
              <w:rPr>
                <w:rFonts w:hint="eastAsia"/>
              </w:rPr>
              <w:t>公共行政，防卫和法定社会保障</w:t>
            </w:r>
          </w:p>
        </w:tc>
        <w:tc>
          <w:tcPr>
            <w:tcW w:w="909" w:type="dxa"/>
            <w:shd w:val="clear" w:color="auto" w:fill="auto"/>
          </w:tcPr>
          <w:p w:rsidR="007234DD" w:rsidRDefault="007234DD">
            <w:pPr>
              <w:pStyle w:val="a5"/>
              <w:ind w:right="0"/>
              <w:jc w:val="right"/>
            </w:pPr>
            <w:r>
              <w:t>28,122</w:t>
            </w:r>
          </w:p>
        </w:tc>
        <w:tc>
          <w:tcPr>
            <w:tcW w:w="909" w:type="dxa"/>
            <w:shd w:val="clear" w:color="auto" w:fill="auto"/>
          </w:tcPr>
          <w:p w:rsidR="007234DD" w:rsidRDefault="007234DD">
            <w:pPr>
              <w:pStyle w:val="a5"/>
              <w:ind w:right="0"/>
              <w:jc w:val="right"/>
            </w:pPr>
            <w:r>
              <w:t>8,424</w:t>
            </w:r>
          </w:p>
        </w:tc>
        <w:tc>
          <w:tcPr>
            <w:tcW w:w="886" w:type="dxa"/>
            <w:shd w:val="clear" w:color="auto" w:fill="auto"/>
          </w:tcPr>
          <w:p w:rsidR="007234DD" w:rsidRDefault="007234DD">
            <w:pPr>
              <w:pStyle w:val="a5"/>
              <w:ind w:right="0"/>
              <w:jc w:val="right"/>
              <w:rPr>
                <w:b/>
              </w:rPr>
            </w:pPr>
            <w:r>
              <w:rPr>
                <w:b/>
              </w:rPr>
              <w:t>36,546</w:t>
            </w:r>
          </w:p>
        </w:tc>
        <w:tc>
          <w:tcPr>
            <w:tcW w:w="932" w:type="dxa"/>
            <w:shd w:val="clear" w:color="auto" w:fill="auto"/>
          </w:tcPr>
          <w:p w:rsidR="007234DD" w:rsidRDefault="007234DD">
            <w:pPr>
              <w:pStyle w:val="a5"/>
              <w:ind w:right="0"/>
              <w:jc w:val="right"/>
            </w:pPr>
            <w:r>
              <w:t>27,325</w:t>
            </w:r>
          </w:p>
        </w:tc>
        <w:tc>
          <w:tcPr>
            <w:tcW w:w="909" w:type="dxa"/>
            <w:shd w:val="clear" w:color="auto" w:fill="auto"/>
          </w:tcPr>
          <w:p w:rsidR="007234DD" w:rsidRDefault="007234DD">
            <w:pPr>
              <w:pStyle w:val="a5"/>
              <w:ind w:right="0"/>
              <w:jc w:val="right"/>
            </w:pPr>
            <w:r>
              <w:t>937</w:t>
            </w:r>
          </w:p>
        </w:tc>
        <w:tc>
          <w:tcPr>
            <w:tcW w:w="889" w:type="dxa"/>
            <w:shd w:val="clear" w:color="auto" w:fill="auto"/>
          </w:tcPr>
          <w:p w:rsidR="007234DD" w:rsidRDefault="007234DD">
            <w:pPr>
              <w:pStyle w:val="a5"/>
              <w:ind w:right="0"/>
              <w:jc w:val="right"/>
              <w:rPr>
                <w:b/>
              </w:rPr>
            </w:pPr>
            <w:r>
              <w:rPr>
                <w:b/>
              </w:rPr>
              <w:t>28,262</w:t>
            </w:r>
          </w:p>
        </w:tc>
        <w:tc>
          <w:tcPr>
            <w:tcW w:w="929" w:type="dxa"/>
            <w:shd w:val="clear" w:color="auto" w:fill="auto"/>
          </w:tcPr>
          <w:p w:rsidR="007234DD" w:rsidRDefault="007234DD">
            <w:pPr>
              <w:pStyle w:val="a5"/>
              <w:ind w:right="0"/>
              <w:jc w:val="right"/>
              <w:rPr>
                <w:b/>
              </w:rPr>
            </w:pPr>
            <w:r>
              <w:rPr>
                <w:b/>
              </w:rPr>
              <w:t>64,808</w:t>
            </w:r>
          </w:p>
        </w:tc>
      </w:tr>
      <w:tr w:rsidR="007234DD">
        <w:tc>
          <w:tcPr>
            <w:tcW w:w="2142" w:type="dxa"/>
            <w:shd w:val="clear" w:color="auto" w:fill="auto"/>
          </w:tcPr>
          <w:p w:rsidR="007234DD" w:rsidRDefault="007234DD">
            <w:pPr>
              <w:pStyle w:val="a5"/>
            </w:pPr>
            <w:r>
              <w:rPr>
                <w:rFonts w:hint="eastAsia"/>
              </w:rPr>
              <w:t>教育</w:t>
            </w:r>
          </w:p>
        </w:tc>
        <w:tc>
          <w:tcPr>
            <w:tcW w:w="909" w:type="dxa"/>
            <w:shd w:val="clear" w:color="auto" w:fill="auto"/>
          </w:tcPr>
          <w:p w:rsidR="007234DD" w:rsidRDefault="007234DD">
            <w:pPr>
              <w:pStyle w:val="a5"/>
              <w:ind w:right="0"/>
              <w:jc w:val="right"/>
            </w:pPr>
            <w:r>
              <w:t>1,809</w:t>
            </w:r>
          </w:p>
        </w:tc>
        <w:tc>
          <w:tcPr>
            <w:tcW w:w="909" w:type="dxa"/>
            <w:shd w:val="clear" w:color="auto" w:fill="auto"/>
          </w:tcPr>
          <w:p w:rsidR="007234DD" w:rsidRDefault="007234DD">
            <w:pPr>
              <w:pStyle w:val="a5"/>
              <w:ind w:right="0"/>
              <w:jc w:val="right"/>
            </w:pPr>
            <w:r>
              <w:t>9,633</w:t>
            </w:r>
          </w:p>
        </w:tc>
        <w:tc>
          <w:tcPr>
            <w:tcW w:w="886" w:type="dxa"/>
            <w:shd w:val="clear" w:color="auto" w:fill="auto"/>
          </w:tcPr>
          <w:p w:rsidR="007234DD" w:rsidRDefault="007234DD">
            <w:pPr>
              <w:pStyle w:val="a5"/>
              <w:ind w:right="0"/>
              <w:jc w:val="right"/>
              <w:rPr>
                <w:b/>
              </w:rPr>
            </w:pPr>
            <w:r>
              <w:rPr>
                <w:b/>
              </w:rPr>
              <w:t>11,442</w:t>
            </w:r>
          </w:p>
        </w:tc>
        <w:tc>
          <w:tcPr>
            <w:tcW w:w="932" w:type="dxa"/>
            <w:shd w:val="clear" w:color="auto" w:fill="auto"/>
          </w:tcPr>
          <w:p w:rsidR="007234DD" w:rsidRDefault="007234DD">
            <w:pPr>
              <w:pStyle w:val="a5"/>
              <w:ind w:right="0"/>
              <w:jc w:val="right"/>
            </w:pPr>
            <w:r>
              <w:t>11,420</w:t>
            </w:r>
          </w:p>
        </w:tc>
        <w:tc>
          <w:tcPr>
            <w:tcW w:w="909" w:type="dxa"/>
            <w:shd w:val="clear" w:color="auto" w:fill="auto"/>
          </w:tcPr>
          <w:p w:rsidR="007234DD" w:rsidRDefault="007234DD">
            <w:pPr>
              <w:pStyle w:val="a5"/>
              <w:ind w:right="0"/>
              <w:jc w:val="right"/>
            </w:pPr>
            <w:r>
              <w:t>8,243</w:t>
            </w:r>
          </w:p>
        </w:tc>
        <w:tc>
          <w:tcPr>
            <w:tcW w:w="889" w:type="dxa"/>
            <w:shd w:val="clear" w:color="auto" w:fill="auto"/>
          </w:tcPr>
          <w:p w:rsidR="007234DD" w:rsidRDefault="007234DD">
            <w:pPr>
              <w:pStyle w:val="a5"/>
              <w:ind w:right="0"/>
              <w:jc w:val="right"/>
              <w:rPr>
                <w:b/>
              </w:rPr>
            </w:pPr>
            <w:r>
              <w:rPr>
                <w:b/>
              </w:rPr>
              <w:t>19,663</w:t>
            </w:r>
          </w:p>
        </w:tc>
        <w:tc>
          <w:tcPr>
            <w:tcW w:w="929" w:type="dxa"/>
            <w:shd w:val="clear" w:color="auto" w:fill="auto"/>
          </w:tcPr>
          <w:p w:rsidR="007234DD" w:rsidRDefault="007234DD">
            <w:pPr>
              <w:pStyle w:val="a5"/>
              <w:ind w:right="0"/>
              <w:jc w:val="right"/>
              <w:rPr>
                <w:b/>
              </w:rPr>
            </w:pPr>
            <w:r>
              <w:rPr>
                <w:b/>
              </w:rPr>
              <w:t>31,105</w:t>
            </w:r>
          </w:p>
        </w:tc>
      </w:tr>
      <w:tr w:rsidR="007234DD">
        <w:tc>
          <w:tcPr>
            <w:tcW w:w="2142" w:type="dxa"/>
            <w:shd w:val="clear" w:color="auto" w:fill="auto"/>
          </w:tcPr>
          <w:p w:rsidR="007234DD" w:rsidRDefault="007234DD">
            <w:pPr>
              <w:pStyle w:val="a5"/>
            </w:pPr>
            <w:r>
              <w:rPr>
                <w:rFonts w:hint="eastAsia"/>
              </w:rPr>
              <w:t>卫生和社会工作</w:t>
            </w:r>
          </w:p>
        </w:tc>
        <w:tc>
          <w:tcPr>
            <w:tcW w:w="909" w:type="dxa"/>
            <w:shd w:val="clear" w:color="auto" w:fill="auto"/>
          </w:tcPr>
          <w:p w:rsidR="007234DD" w:rsidRDefault="007234DD">
            <w:pPr>
              <w:pStyle w:val="a5"/>
              <w:ind w:right="0"/>
              <w:jc w:val="right"/>
            </w:pPr>
            <w:r>
              <w:t>1,653</w:t>
            </w:r>
          </w:p>
        </w:tc>
        <w:tc>
          <w:tcPr>
            <w:tcW w:w="909" w:type="dxa"/>
            <w:shd w:val="clear" w:color="auto" w:fill="auto"/>
          </w:tcPr>
          <w:p w:rsidR="007234DD" w:rsidRDefault="007234DD">
            <w:pPr>
              <w:pStyle w:val="a5"/>
              <w:ind w:right="0"/>
              <w:jc w:val="right"/>
            </w:pPr>
            <w:r>
              <w:t>3,423</w:t>
            </w:r>
          </w:p>
        </w:tc>
        <w:tc>
          <w:tcPr>
            <w:tcW w:w="886" w:type="dxa"/>
            <w:shd w:val="clear" w:color="auto" w:fill="auto"/>
          </w:tcPr>
          <w:p w:rsidR="007234DD" w:rsidRDefault="007234DD">
            <w:pPr>
              <w:pStyle w:val="a5"/>
              <w:ind w:right="0"/>
              <w:jc w:val="right"/>
              <w:rPr>
                <w:b/>
              </w:rPr>
            </w:pPr>
            <w:r>
              <w:rPr>
                <w:b/>
              </w:rPr>
              <w:t>5,076</w:t>
            </w:r>
          </w:p>
        </w:tc>
        <w:tc>
          <w:tcPr>
            <w:tcW w:w="932" w:type="dxa"/>
            <w:shd w:val="clear" w:color="auto" w:fill="auto"/>
          </w:tcPr>
          <w:p w:rsidR="007234DD" w:rsidRDefault="007234DD">
            <w:pPr>
              <w:pStyle w:val="a5"/>
              <w:ind w:right="0"/>
              <w:jc w:val="right"/>
            </w:pPr>
            <w:r>
              <w:t>12,677</w:t>
            </w:r>
          </w:p>
        </w:tc>
        <w:tc>
          <w:tcPr>
            <w:tcW w:w="909" w:type="dxa"/>
            <w:shd w:val="clear" w:color="auto" w:fill="auto"/>
          </w:tcPr>
          <w:p w:rsidR="007234DD" w:rsidRDefault="007234DD">
            <w:pPr>
              <w:pStyle w:val="a5"/>
              <w:ind w:right="0"/>
              <w:jc w:val="right"/>
            </w:pPr>
            <w:r>
              <w:t>12,337</w:t>
            </w:r>
          </w:p>
        </w:tc>
        <w:tc>
          <w:tcPr>
            <w:tcW w:w="889" w:type="dxa"/>
            <w:shd w:val="clear" w:color="auto" w:fill="auto"/>
          </w:tcPr>
          <w:p w:rsidR="007234DD" w:rsidRDefault="007234DD">
            <w:pPr>
              <w:pStyle w:val="a5"/>
              <w:ind w:right="0"/>
              <w:jc w:val="right"/>
              <w:rPr>
                <w:b/>
              </w:rPr>
            </w:pPr>
            <w:r>
              <w:rPr>
                <w:b/>
              </w:rPr>
              <w:t>25,014</w:t>
            </w:r>
          </w:p>
        </w:tc>
        <w:tc>
          <w:tcPr>
            <w:tcW w:w="929" w:type="dxa"/>
            <w:shd w:val="clear" w:color="auto" w:fill="auto"/>
          </w:tcPr>
          <w:p w:rsidR="007234DD" w:rsidRDefault="007234DD">
            <w:pPr>
              <w:pStyle w:val="a5"/>
              <w:ind w:right="0"/>
              <w:jc w:val="right"/>
              <w:rPr>
                <w:b/>
              </w:rPr>
            </w:pPr>
            <w:r>
              <w:rPr>
                <w:b/>
              </w:rPr>
              <w:t>30,090</w:t>
            </w:r>
          </w:p>
        </w:tc>
      </w:tr>
      <w:tr w:rsidR="007234DD">
        <w:tc>
          <w:tcPr>
            <w:tcW w:w="2142" w:type="dxa"/>
            <w:shd w:val="clear" w:color="auto" w:fill="auto"/>
          </w:tcPr>
          <w:p w:rsidR="007234DD" w:rsidRDefault="007234DD">
            <w:pPr>
              <w:pStyle w:val="a5"/>
            </w:pPr>
            <w:r>
              <w:rPr>
                <w:rFonts w:hint="eastAsia"/>
              </w:rPr>
              <w:t>社区服务及其他社会服务</w:t>
            </w:r>
          </w:p>
        </w:tc>
        <w:tc>
          <w:tcPr>
            <w:tcW w:w="909" w:type="dxa"/>
            <w:shd w:val="clear" w:color="auto" w:fill="auto"/>
          </w:tcPr>
          <w:p w:rsidR="007234DD" w:rsidRDefault="007234DD">
            <w:pPr>
              <w:pStyle w:val="a5"/>
              <w:ind w:right="0"/>
              <w:jc w:val="right"/>
            </w:pPr>
            <w:r>
              <w:t>1,841</w:t>
            </w:r>
          </w:p>
        </w:tc>
        <w:tc>
          <w:tcPr>
            <w:tcW w:w="909" w:type="dxa"/>
            <w:shd w:val="clear" w:color="auto" w:fill="auto"/>
          </w:tcPr>
          <w:p w:rsidR="007234DD" w:rsidRDefault="007234DD">
            <w:pPr>
              <w:pStyle w:val="a5"/>
              <w:ind w:right="0"/>
              <w:jc w:val="right"/>
            </w:pPr>
            <w:r>
              <w:t>549</w:t>
            </w:r>
          </w:p>
        </w:tc>
        <w:tc>
          <w:tcPr>
            <w:tcW w:w="886" w:type="dxa"/>
            <w:shd w:val="clear" w:color="auto" w:fill="auto"/>
          </w:tcPr>
          <w:p w:rsidR="007234DD" w:rsidRDefault="007234DD">
            <w:pPr>
              <w:pStyle w:val="a5"/>
              <w:ind w:right="0"/>
              <w:jc w:val="right"/>
              <w:rPr>
                <w:b/>
              </w:rPr>
            </w:pPr>
            <w:r>
              <w:rPr>
                <w:b/>
              </w:rPr>
              <w:t>2,390</w:t>
            </w:r>
          </w:p>
        </w:tc>
        <w:tc>
          <w:tcPr>
            <w:tcW w:w="932" w:type="dxa"/>
            <w:shd w:val="clear" w:color="auto" w:fill="auto"/>
          </w:tcPr>
          <w:p w:rsidR="007234DD" w:rsidRDefault="007234DD">
            <w:pPr>
              <w:pStyle w:val="a5"/>
              <w:ind w:right="0"/>
              <w:jc w:val="right"/>
            </w:pPr>
            <w:r>
              <w:t>12,347</w:t>
            </w:r>
          </w:p>
        </w:tc>
        <w:tc>
          <w:tcPr>
            <w:tcW w:w="909" w:type="dxa"/>
            <w:shd w:val="clear" w:color="auto" w:fill="auto"/>
          </w:tcPr>
          <w:p w:rsidR="007234DD" w:rsidRDefault="007234DD">
            <w:pPr>
              <w:pStyle w:val="a5"/>
              <w:ind w:right="0"/>
              <w:jc w:val="right"/>
            </w:pPr>
            <w:r>
              <w:t>1,650</w:t>
            </w:r>
          </w:p>
        </w:tc>
        <w:tc>
          <w:tcPr>
            <w:tcW w:w="889" w:type="dxa"/>
            <w:shd w:val="clear" w:color="auto" w:fill="auto"/>
          </w:tcPr>
          <w:p w:rsidR="007234DD" w:rsidRDefault="007234DD">
            <w:pPr>
              <w:pStyle w:val="a5"/>
              <w:ind w:right="0"/>
              <w:jc w:val="right"/>
              <w:rPr>
                <w:b/>
              </w:rPr>
            </w:pPr>
            <w:r>
              <w:rPr>
                <w:b/>
              </w:rPr>
              <w:t>13,997</w:t>
            </w:r>
          </w:p>
        </w:tc>
        <w:tc>
          <w:tcPr>
            <w:tcW w:w="929" w:type="dxa"/>
            <w:shd w:val="clear" w:color="auto" w:fill="auto"/>
          </w:tcPr>
          <w:p w:rsidR="007234DD" w:rsidRDefault="007234DD">
            <w:pPr>
              <w:pStyle w:val="a5"/>
              <w:ind w:right="0"/>
              <w:jc w:val="right"/>
              <w:rPr>
                <w:b/>
              </w:rPr>
            </w:pPr>
            <w:r>
              <w:rPr>
                <w:b/>
              </w:rPr>
              <w:t>16,387</w:t>
            </w:r>
          </w:p>
        </w:tc>
      </w:tr>
      <w:tr w:rsidR="007234DD">
        <w:tc>
          <w:tcPr>
            <w:tcW w:w="2142" w:type="dxa"/>
            <w:shd w:val="clear" w:color="auto" w:fill="auto"/>
          </w:tcPr>
          <w:p w:rsidR="007234DD" w:rsidRDefault="007234DD">
            <w:pPr>
              <w:pStyle w:val="a5"/>
            </w:pPr>
            <w:r>
              <w:rPr>
                <w:rFonts w:hint="eastAsia"/>
              </w:rPr>
              <w:t>家庭服务</w:t>
            </w:r>
          </w:p>
        </w:tc>
        <w:tc>
          <w:tcPr>
            <w:tcW w:w="909" w:type="dxa"/>
            <w:shd w:val="clear" w:color="auto" w:fill="auto"/>
          </w:tcPr>
          <w:p w:rsidR="007234DD" w:rsidRDefault="007234DD">
            <w:pPr>
              <w:pStyle w:val="a5"/>
              <w:ind w:right="0"/>
              <w:jc w:val="right"/>
            </w:pPr>
            <w:r>
              <w:t>0</w:t>
            </w:r>
          </w:p>
        </w:tc>
        <w:tc>
          <w:tcPr>
            <w:tcW w:w="909" w:type="dxa"/>
            <w:shd w:val="clear" w:color="auto" w:fill="auto"/>
          </w:tcPr>
          <w:p w:rsidR="007234DD" w:rsidRDefault="007234DD">
            <w:pPr>
              <w:pStyle w:val="a5"/>
              <w:ind w:right="0"/>
              <w:jc w:val="right"/>
            </w:pPr>
            <w:r>
              <w:t>0</w:t>
            </w:r>
          </w:p>
        </w:tc>
        <w:tc>
          <w:tcPr>
            <w:tcW w:w="886" w:type="dxa"/>
            <w:shd w:val="clear" w:color="auto" w:fill="auto"/>
          </w:tcPr>
          <w:p w:rsidR="007234DD" w:rsidRDefault="007234DD">
            <w:pPr>
              <w:pStyle w:val="a5"/>
              <w:ind w:right="0"/>
              <w:jc w:val="right"/>
              <w:rPr>
                <w:b/>
              </w:rPr>
            </w:pPr>
            <w:r>
              <w:rPr>
                <w:b/>
              </w:rPr>
              <w:t>0</w:t>
            </w:r>
          </w:p>
        </w:tc>
        <w:tc>
          <w:tcPr>
            <w:tcW w:w="932" w:type="dxa"/>
            <w:shd w:val="clear" w:color="auto" w:fill="auto"/>
          </w:tcPr>
          <w:p w:rsidR="007234DD" w:rsidRDefault="007234DD">
            <w:pPr>
              <w:pStyle w:val="a5"/>
              <w:ind w:right="0"/>
              <w:jc w:val="right"/>
            </w:pPr>
            <w:r>
              <w:t>32,195</w:t>
            </w:r>
          </w:p>
        </w:tc>
        <w:tc>
          <w:tcPr>
            <w:tcW w:w="909" w:type="dxa"/>
            <w:shd w:val="clear" w:color="auto" w:fill="auto"/>
          </w:tcPr>
          <w:p w:rsidR="007234DD" w:rsidRDefault="007234DD">
            <w:pPr>
              <w:pStyle w:val="a5"/>
              <w:ind w:right="0"/>
              <w:jc w:val="right"/>
            </w:pPr>
            <w:r>
              <w:t>48,147</w:t>
            </w:r>
          </w:p>
        </w:tc>
        <w:tc>
          <w:tcPr>
            <w:tcW w:w="889" w:type="dxa"/>
            <w:shd w:val="clear" w:color="auto" w:fill="auto"/>
          </w:tcPr>
          <w:p w:rsidR="007234DD" w:rsidRDefault="007234DD">
            <w:pPr>
              <w:pStyle w:val="a5"/>
              <w:ind w:right="0"/>
              <w:jc w:val="right"/>
              <w:rPr>
                <w:b/>
              </w:rPr>
            </w:pPr>
            <w:r>
              <w:rPr>
                <w:b/>
              </w:rPr>
              <w:t>80,342</w:t>
            </w:r>
          </w:p>
        </w:tc>
        <w:tc>
          <w:tcPr>
            <w:tcW w:w="929" w:type="dxa"/>
            <w:shd w:val="clear" w:color="auto" w:fill="auto"/>
          </w:tcPr>
          <w:p w:rsidR="007234DD" w:rsidRDefault="007234DD">
            <w:pPr>
              <w:pStyle w:val="a5"/>
              <w:ind w:right="0"/>
              <w:jc w:val="right"/>
              <w:rPr>
                <w:b/>
              </w:rPr>
            </w:pPr>
            <w:r>
              <w:rPr>
                <w:b/>
              </w:rPr>
              <w:t>80,342</w:t>
            </w:r>
          </w:p>
        </w:tc>
      </w:tr>
      <w:tr w:rsidR="007234DD">
        <w:tc>
          <w:tcPr>
            <w:tcW w:w="2142" w:type="dxa"/>
            <w:tcBorders>
              <w:bottom w:val="single" w:sz="4" w:space="0" w:color="auto"/>
            </w:tcBorders>
            <w:shd w:val="clear" w:color="auto" w:fill="auto"/>
          </w:tcPr>
          <w:p w:rsidR="007234DD" w:rsidRDefault="007234DD">
            <w:pPr>
              <w:pStyle w:val="a5"/>
            </w:pPr>
            <w:r>
              <w:rPr>
                <w:rFonts w:hint="eastAsia"/>
              </w:rPr>
              <w:t>区域和国际组织与机构</w:t>
            </w:r>
          </w:p>
        </w:tc>
        <w:tc>
          <w:tcPr>
            <w:tcW w:w="909" w:type="dxa"/>
            <w:tcBorders>
              <w:bottom w:val="single" w:sz="4" w:space="0" w:color="auto"/>
            </w:tcBorders>
            <w:shd w:val="clear" w:color="auto" w:fill="auto"/>
          </w:tcPr>
          <w:p w:rsidR="007234DD" w:rsidRDefault="007234DD">
            <w:pPr>
              <w:pStyle w:val="a5"/>
              <w:ind w:right="0"/>
              <w:jc w:val="right"/>
            </w:pPr>
            <w:r>
              <w:t>34</w:t>
            </w:r>
          </w:p>
        </w:tc>
        <w:tc>
          <w:tcPr>
            <w:tcW w:w="909" w:type="dxa"/>
            <w:tcBorders>
              <w:bottom w:val="single" w:sz="4" w:space="0" w:color="auto"/>
            </w:tcBorders>
            <w:shd w:val="clear" w:color="auto" w:fill="auto"/>
          </w:tcPr>
          <w:p w:rsidR="007234DD" w:rsidRDefault="007234DD">
            <w:pPr>
              <w:pStyle w:val="a5"/>
              <w:ind w:right="0"/>
              <w:jc w:val="right"/>
            </w:pPr>
            <w:r>
              <w:t>0</w:t>
            </w:r>
          </w:p>
        </w:tc>
        <w:tc>
          <w:tcPr>
            <w:tcW w:w="886" w:type="dxa"/>
            <w:tcBorders>
              <w:bottom w:val="single" w:sz="4" w:space="0" w:color="auto"/>
            </w:tcBorders>
            <w:shd w:val="clear" w:color="auto" w:fill="auto"/>
          </w:tcPr>
          <w:p w:rsidR="007234DD" w:rsidRDefault="007234DD">
            <w:pPr>
              <w:pStyle w:val="a5"/>
              <w:ind w:right="0"/>
              <w:jc w:val="right"/>
              <w:rPr>
                <w:b/>
              </w:rPr>
            </w:pPr>
            <w:r>
              <w:rPr>
                <w:b/>
              </w:rPr>
              <w:t>34</w:t>
            </w:r>
          </w:p>
        </w:tc>
        <w:tc>
          <w:tcPr>
            <w:tcW w:w="932" w:type="dxa"/>
            <w:tcBorders>
              <w:bottom w:val="single" w:sz="4" w:space="0" w:color="auto"/>
            </w:tcBorders>
            <w:shd w:val="clear" w:color="auto" w:fill="auto"/>
          </w:tcPr>
          <w:p w:rsidR="007234DD" w:rsidRDefault="007234DD">
            <w:pPr>
              <w:pStyle w:val="a5"/>
              <w:ind w:right="0"/>
              <w:jc w:val="right"/>
            </w:pPr>
            <w:r>
              <w:t>1,758</w:t>
            </w:r>
          </w:p>
        </w:tc>
        <w:tc>
          <w:tcPr>
            <w:tcW w:w="909" w:type="dxa"/>
            <w:tcBorders>
              <w:bottom w:val="single" w:sz="4" w:space="0" w:color="auto"/>
            </w:tcBorders>
            <w:shd w:val="clear" w:color="auto" w:fill="auto"/>
          </w:tcPr>
          <w:p w:rsidR="007234DD" w:rsidRDefault="007234DD">
            <w:pPr>
              <w:pStyle w:val="a5"/>
              <w:ind w:right="0"/>
              <w:jc w:val="right"/>
            </w:pPr>
            <w:r>
              <w:t>232</w:t>
            </w:r>
          </w:p>
        </w:tc>
        <w:tc>
          <w:tcPr>
            <w:tcW w:w="889" w:type="dxa"/>
            <w:tcBorders>
              <w:bottom w:val="single" w:sz="4" w:space="0" w:color="auto"/>
            </w:tcBorders>
            <w:shd w:val="clear" w:color="auto" w:fill="auto"/>
          </w:tcPr>
          <w:p w:rsidR="007234DD" w:rsidRDefault="007234DD">
            <w:pPr>
              <w:pStyle w:val="a5"/>
              <w:ind w:right="0"/>
              <w:jc w:val="right"/>
              <w:rPr>
                <w:b/>
              </w:rPr>
            </w:pPr>
            <w:r>
              <w:rPr>
                <w:b/>
              </w:rPr>
              <w:t>1,990</w:t>
            </w:r>
          </w:p>
        </w:tc>
        <w:tc>
          <w:tcPr>
            <w:tcW w:w="929" w:type="dxa"/>
            <w:tcBorders>
              <w:bottom w:val="single" w:sz="4" w:space="0" w:color="auto"/>
            </w:tcBorders>
            <w:shd w:val="clear" w:color="auto" w:fill="auto"/>
          </w:tcPr>
          <w:p w:rsidR="007234DD" w:rsidRDefault="007234DD">
            <w:pPr>
              <w:pStyle w:val="a5"/>
              <w:ind w:right="0"/>
              <w:jc w:val="right"/>
              <w:rPr>
                <w:b/>
              </w:rPr>
            </w:pPr>
            <w:r>
              <w:rPr>
                <w:b/>
              </w:rPr>
              <w:t>2,024</w:t>
            </w:r>
          </w:p>
        </w:tc>
      </w:tr>
      <w:tr w:rsidR="007234DD">
        <w:tc>
          <w:tcPr>
            <w:tcW w:w="2142" w:type="dxa"/>
            <w:tcBorders>
              <w:top w:val="single" w:sz="4" w:space="0" w:color="auto"/>
              <w:bottom w:val="single" w:sz="12" w:space="0" w:color="auto"/>
            </w:tcBorders>
            <w:shd w:val="clear" w:color="auto" w:fill="auto"/>
          </w:tcPr>
          <w:p w:rsidR="007234DD" w:rsidRDefault="007234DD">
            <w:pPr>
              <w:pStyle w:val="a5"/>
              <w:spacing w:before="80" w:after="80" w:line="200" w:lineRule="exact"/>
              <w:ind w:left="170"/>
              <w:rPr>
                <w:rFonts w:eastAsia="SimHei" w:hint="eastAsia"/>
              </w:rPr>
            </w:pPr>
            <w:r>
              <w:rPr>
                <w:rFonts w:eastAsia="SimHei" w:hint="eastAsia"/>
              </w:rPr>
              <w:t>合计</w:t>
            </w:r>
          </w:p>
        </w:tc>
        <w:tc>
          <w:tcPr>
            <w:tcW w:w="909"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45</w:t>
            </w:r>
            <w:r>
              <w:rPr>
                <w:rFonts w:eastAsia="SimHei"/>
                <w:szCs w:val="18"/>
              </w:rPr>
              <w:t>,</w:t>
            </w:r>
            <w:r>
              <w:rPr>
                <w:rFonts w:eastAsia="SimHei"/>
                <w:b/>
                <w:szCs w:val="18"/>
              </w:rPr>
              <w:t>410</w:t>
            </w:r>
          </w:p>
        </w:tc>
        <w:tc>
          <w:tcPr>
            <w:tcW w:w="909"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25</w:t>
            </w:r>
            <w:r>
              <w:rPr>
                <w:rFonts w:eastAsia="SimHei"/>
                <w:szCs w:val="18"/>
              </w:rPr>
              <w:t>,</w:t>
            </w:r>
            <w:r>
              <w:rPr>
                <w:rFonts w:eastAsia="SimHei"/>
                <w:b/>
                <w:szCs w:val="18"/>
              </w:rPr>
              <w:t>463</w:t>
            </w:r>
          </w:p>
        </w:tc>
        <w:tc>
          <w:tcPr>
            <w:tcW w:w="886"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70</w:t>
            </w:r>
            <w:r>
              <w:rPr>
                <w:rFonts w:eastAsia="SimHei"/>
                <w:szCs w:val="18"/>
              </w:rPr>
              <w:t>,</w:t>
            </w:r>
            <w:r>
              <w:rPr>
                <w:rFonts w:eastAsia="SimHei"/>
                <w:b/>
                <w:szCs w:val="18"/>
              </w:rPr>
              <w:t>873</w:t>
            </w:r>
          </w:p>
        </w:tc>
        <w:tc>
          <w:tcPr>
            <w:tcW w:w="932"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1</w:t>
            </w:r>
            <w:r>
              <w:rPr>
                <w:rFonts w:eastAsia="SimHei"/>
                <w:szCs w:val="18"/>
              </w:rPr>
              <w:t>,</w:t>
            </w:r>
            <w:r>
              <w:rPr>
                <w:rFonts w:eastAsia="SimHei"/>
                <w:b/>
                <w:szCs w:val="18"/>
              </w:rPr>
              <w:t>092</w:t>
            </w:r>
            <w:r>
              <w:rPr>
                <w:rFonts w:eastAsia="SimHei"/>
                <w:szCs w:val="18"/>
              </w:rPr>
              <w:t>,</w:t>
            </w:r>
            <w:r>
              <w:rPr>
                <w:rFonts w:eastAsia="SimHei"/>
                <w:b/>
                <w:szCs w:val="18"/>
              </w:rPr>
              <w:t>970</w:t>
            </w:r>
          </w:p>
        </w:tc>
        <w:tc>
          <w:tcPr>
            <w:tcW w:w="909"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98</w:t>
            </w:r>
            <w:r>
              <w:rPr>
                <w:rFonts w:eastAsia="SimHei"/>
                <w:szCs w:val="18"/>
              </w:rPr>
              <w:t>,</w:t>
            </w:r>
            <w:r>
              <w:rPr>
                <w:rFonts w:eastAsia="SimHei"/>
                <w:b/>
                <w:szCs w:val="18"/>
              </w:rPr>
              <w:t>420</w:t>
            </w:r>
          </w:p>
        </w:tc>
        <w:tc>
          <w:tcPr>
            <w:tcW w:w="889"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1</w:t>
            </w:r>
            <w:r>
              <w:rPr>
                <w:rFonts w:eastAsia="SimHei"/>
                <w:szCs w:val="18"/>
              </w:rPr>
              <w:t>,</w:t>
            </w:r>
            <w:r>
              <w:rPr>
                <w:rFonts w:eastAsia="SimHei"/>
                <w:b/>
                <w:szCs w:val="18"/>
              </w:rPr>
              <w:t>191</w:t>
            </w:r>
            <w:r>
              <w:rPr>
                <w:rFonts w:eastAsia="SimHei"/>
                <w:szCs w:val="18"/>
              </w:rPr>
              <w:t>,</w:t>
            </w:r>
            <w:r>
              <w:rPr>
                <w:rFonts w:eastAsia="SimHei"/>
                <w:b/>
                <w:szCs w:val="18"/>
              </w:rPr>
              <w:t>390</w:t>
            </w:r>
          </w:p>
        </w:tc>
        <w:tc>
          <w:tcPr>
            <w:tcW w:w="929" w:type="dxa"/>
            <w:tcBorders>
              <w:top w:val="single" w:sz="4" w:space="0" w:color="auto"/>
              <w:bottom w:val="single" w:sz="12" w:space="0" w:color="auto"/>
            </w:tcBorders>
            <w:shd w:val="clear" w:color="auto" w:fill="auto"/>
          </w:tcPr>
          <w:p w:rsidR="007234DD" w:rsidRDefault="007234DD">
            <w:pPr>
              <w:pStyle w:val="a5"/>
              <w:spacing w:before="80" w:after="80" w:line="200" w:lineRule="exact"/>
              <w:ind w:right="0"/>
              <w:jc w:val="right"/>
              <w:rPr>
                <w:rFonts w:eastAsia="SimHei"/>
                <w:szCs w:val="18"/>
              </w:rPr>
            </w:pPr>
            <w:r>
              <w:rPr>
                <w:rFonts w:eastAsia="SimHei"/>
                <w:b/>
                <w:szCs w:val="18"/>
              </w:rPr>
              <w:t>1</w:t>
            </w:r>
            <w:r>
              <w:rPr>
                <w:rFonts w:eastAsia="SimHei"/>
                <w:szCs w:val="18"/>
              </w:rPr>
              <w:t>,</w:t>
            </w:r>
            <w:r>
              <w:rPr>
                <w:rFonts w:eastAsia="SimHei"/>
                <w:b/>
                <w:szCs w:val="18"/>
              </w:rPr>
              <w:t>262</w:t>
            </w:r>
            <w:r>
              <w:rPr>
                <w:rFonts w:eastAsia="SimHei"/>
                <w:szCs w:val="18"/>
              </w:rPr>
              <w:t>,</w:t>
            </w:r>
            <w:r>
              <w:rPr>
                <w:rFonts w:eastAsia="SimHei"/>
                <w:b/>
                <w:szCs w:val="18"/>
              </w:rPr>
              <w:t>263</w:t>
            </w:r>
          </w:p>
        </w:tc>
      </w:tr>
    </w:tbl>
    <w:p w:rsidR="007234DD" w:rsidRDefault="007234DD" w:rsidP="00326C16">
      <w:pPr>
        <w:pStyle w:val="SingleTxtG"/>
        <w:spacing w:before="120"/>
        <w:ind w:firstLine="159"/>
        <w:rPr>
          <w:rFonts w:hint="eastAsia"/>
        </w:rPr>
      </w:pPr>
      <w:r>
        <w:rPr>
          <w:rFonts w:eastAsia="KaiTi_GB2312" w:hint="eastAsia"/>
          <w:sz w:val="19"/>
          <w:szCs w:val="19"/>
        </w:rPr>
        <w:t>资料来源：</w:t>
      </w:r>
      <w:r>
        <w:rPr>
          <w:rFonts w:hint="eastAsia"/>
          <w:sz w:val="19"/>
          <w:szCs w:val="19"/>
        </w:rPr>
        <w:t>卡塔尔国，</w:t>
      </w:r>
      <w:r>
        <w:rPr>
          <w:rFonts w:hint="eastAsia"/>
          <w:sz w:val="19"/>
          <w:szCs w:val="19"/>
        </w:rPr>
        <w:t>2010</w:t>
      </w:r>
      <w:r>
        <w:rPr>
          <w:rFonts w:hint="eastAsia"/>
          <w:sz w:val="19"/>
          <w:szCs w:val="19"/>
        </w:rPr>
        <w:t>年，“</w:t>
      </w:r>
      <w:r>
        <w:rPr>
          <w:rFonts w:hint="eastAsia"/>
          <w:sz w:val="19"/>
          <w:szCs w:val="19"/>
        </w:rPr>
        <w:t>Qalam</w:t>
      </w:r>
      <w:r>
        <w:rPr>
          <w:rFonts w:hint="eastAsia"/>
          <w:sz w:val="19"/>
          <w:szCs w:val="19"/>
        </w:rPr>
        <w:t>”项目，</w:t>
      </w:r>
      <w:hyperlink r:id="rId15" w:history="1">
        <w:r>
          <w:rPr>
            <w:rStyle w:val="Hyperlink"/>
            <w:rFonts w:hint="eastAsia"/>
            <w:color w:val="auto"/>
            <w:sz w:val="19"/>
            <w:szCs w:val="19"/>
            <w:u w:val="none"/>
          </w:rPr>
          <w:t>www.qix.gov.qa</w:t>
        </w:r>
      </w:hyperlink>
      <w:r>
        <w:rPr>
          <w:rFonts w:hint="eastAsia"/>
          <w:sz w:val="19"/>
          <w:szCs w:val="19"/>
        </w:rPr>
        <w:t>和统计局。</w:t>
      </w:r>
    </w:p>
    <w:p w:rsidR="007234DD" w:rsidRDefault="007234DD">
      <w:pPr>
        <w:pStyle w:val="H23GC"/>
      </w:pPr>
      <w:r>
        <w:tab/>
      </w:r>
      <w:r>
        <w:tab/>
      </w:r>
      <w:r>
        <w:rPr>
          <w:rFonts w:hint="eastAsia"/>
        </w:rPr>
        <w:t>非政府组织和私营部门在赋予妇女经济权能方面的举措</w:t>
      </w:r>
    </w:p>
    <w:p w:rsidR="007234DD" w:rsidRDefault="007234DD">
      <w:pPr>
        <w:pStyle w:val="SingleTxtGC"/>
      </w:pPr>
      <w:r>
        <w:t xml:space="preserve">306.  </w:t>
      </w:r>
      <w:r>
        <w:rPr>
          <w:rFonts w:hint="eastAsia"/>
        </w:rPr>
        <w:t>社会发展中心属于非政府组织，是卡塔尔教育、科学与社区发展基金会的分支机构，提供一系列培训和金融方案，以鼓励男女青年创业或寻找合适的工作。具体实例如下：</w:t>
      </w:r>
    </w:p>
    <w:p w:rsidR="007234DD" w:rsidRDefault="007234DD">
      <w:pPr>
        <w:pStyle w:val="Bullet1GC"/>
      </w:pPr>
      <w:r>
        <w:rPr>
          <w:rFonts w:hint="eastAsia"/>
        </w:rPr>
        <w:t>2007</w:t>
      </w:r>
      <w:r>
        <w:rPr>
          <w:rFonts w:hint="eastAsia"/>
        </w:rPr>
        <w:t>年，在卡塔尔电信公司</w:t>
      </w:r>
      <w:r>
        <w:rPr>
          <w:rFonts w:hint="eastAsia"/>
        </w:rPr>
        <w:t>(Qtel)</w:t>
      </w:r>
      <w:r>
        <w:rPr>
          <w:rFonts w:hint="eastAsia"/>
        </w:rPr>
        <w:t>的支助下，社会发展中心建立了中小型企业发展中心。该中心提供培训和后续服务，帮助促进卡塔尔的中小型企业发展。它还促进对卡塔尔男女的经济赋权，并开设了“现代家庭”方案。该方案旨在提高家庭收入以及家庭在生产过程中的地位。通过讲习班提供培训和发展服务，提高“现代家庭”方案参与者的能力。截至</w:t>
      </w:r>
      <w:r>
        <w:rPr>
          <w:rFonts w:hint="eastAsia"/>
        </w:rPr>
        <w:t>2009</w:t>
      </w:r>
      <w:r>
        <w:rPr>
          <w:rFonts w:hint="eastAsia"/>
        </w:rPr>
        <w:t>年</w:t>
      </w:r>
      <w:r>
        <w:rPr>
          <w:rFonts w:hint="eastAsia"/>
        </w:rPr>
        <w:t>4</w:t>
      </w:r>
      <w:r>
        <w:rPr>
          <w:rFonts w:hint="eastAsia"/>
        </w:rPr>
        <w:t>月，约有</w:t>
      </w:r>
      <w:r>
        <w:rPr>
          <w:rFonts w:hint="eastAsia"/>
        </w:rPr>
        <w:t>246</w:t>
      </w:r>
      <w:r>
        <w:rPr>
          <w:rFonts w:hint="eastAsia"/>
        </w:rPr>
        <w:t>名妇女报名参加该方案。社会发展中心还开设了“第一步”方案，为</w:t>
      </w:r>
      <w:r>
        <w:rPr>
          <w:rFonts w:hint="eastAsia"/>
        </w:rPr>
        <w:t>18</w:t>
      </w:r>
      <w:r>
        <w:rPr>
          <w:rFonts w:hint="eastAsia"/>
        </w:rPr>
        <w:t>至</w:t>
      </w:r>
      <w:r>
        <w:rPr>
          <w:rFonts w:hint="eastAsia"/>
        </w:rPr>
        <w:t>30</w:t>
      </w:r>
      <w:r>
        <w:rPr>
          <w:rFonts w:hint="eastAsia"/>
        </w:rPr>
        <w:t>岁的青年人提供心理支持、知识和技能等一揽子综合培训，这是他们准备进入劳动力市场时所需要的。</w:t>
      </w:r>
      <w:r>
        <w:rPr>
          <w:rFonts w:hint="eastAsia"/>
        </w:rPr>
        <w:t>2008</w:t>
      </w:r>
      <w:r>
        <w:rPr>
          <w:rFonts w:hint="eastAsia"/>
        </w:rPr>
        <w:t>年，共有</w:t>
      </w:r>
      <w:r>
        <w:rPr>
          <w:rFonts w:hint="eastAsia"/>
        </w:rPr>
        <w:t>217</w:t>
      </w:r>
      <w:r>
        <w:rPr>
          <w:rFonts w:hint="eastAsia"/>
        </w:rPr>
        <w:t>名男性和女性完成了此方案。其中，有</w:t>
      </w:r>
      <w:r>
        <w:rPr>
          <w:rFonts w:hint="eastAsia"/>
        </w:rPr>
        <w:t>163</w:t>
      </w:r>
      <w:r>
        <w:rPr>
          <w:rFonts w:hint="eastAsia"/>
        </w:rPr>
        <w:t>名参与者</w:t>
      </w:r>
      <w:r>
        <w:rPr>
          <w:rFonts w:hint="eastAsia"/>
        </w:rPr>
        <w:t>(</w:t>
      </w:r>
      <w:r>
        <w:rPr>
          <w:rFonts w:hint="eastAsia"/>
        </w:rPr>
        <w:t>大多数为妇女</w:t>
      </w:r>
      <w:r>
        <w:rPr>
          <w:rFonts w:hint="eastAsia"/>
        </w:rPr>
        <w:t>)</w:t>
      </w:r>
      <w:r>
        <w:rPr>
          <w:rFonts w:hint="eastAsia"/>
        </w:rPr>
        <w:t>找到了工作，而</w:t>
      </w:r>
      <w:r>
        <w:rPr>
          <w:rFonts w:hint="eastAsia"/>
        </w:rPr>
        <w:t>2005</w:t>
      </w:r>
      <w:r>
        <w:rPr>
          <w:rFonts w:hint="eastAsia"/>
        </w:rPr>
        <w:t>年找到工作的参与者中有</w:t>
      </w:r>
      <w:r>
        <w:rPr>
          <w:rFonts w:hint="eastAsia"/>
        </w:rPr>
        <w:t>57</w:t>
      </w:r>
      <w:r>
        <w:rPr>
          <w:rFonts w:hint="eastAsia"/>
        </w:rPr>
        <w:t>名妇女，占</w:t>
      </w:r>
      <w:r>
        <w:rPr>
          <w:rFonts w:hint="eastAsia"/>
        </w:rPr>
        <w:t>53%</w:t>
      </w:r>
      <w:r>
        <w:rPr>
          <w:rFonts w:hint="eastAsia"/>
        </w:rPr>
        <w:t>。</w:t>
      </w:r>
    </w:p>
    <w:p w:rsidR="007234DD" w:rsidRDefault="007234DD">
      <w:pPr>
        <w:pStyle w:val="Bullet1GC"/>
      </w:pPr>
      <w:r>
        <w:rPr>
          <w:rFonts w:hint="eastAsia"/>
        </w:rPr>
        <w:t>成立于</w:t>
      </w:r>
      <w:r>
        <w:rPr>
          <w:rFonts w:hint="eastAsia"/>
        </w:rPr>
        <w:t>2003</w:t>
      </w:r>
      <w:r>
        <w:rPr>
          <w:rFonts w:hint="eastAsia"/>
        </w:rPr>
        <w:t>年的</w:t>
      </w:r>
      <w:r>
        <w:rPr>
          <w:rFonts w:hint="eastAsia"/>
        </w:rPr>
        <w:t>Rasameel</w:t>
      </w:r>
      <w:r>
        <w:rPr>
          <w:rFonts w:hint="eastAsia"/>
        </w:rPr>
        <w:t>基金为新创企业的所有人提供支助。这是一种重要机制，在卡塔尔保险公司的帮助下支持新创企业的所有人，并鼓励他们为生产项目融资。共有</w:t>
      </w:r>
      <w:r>
        <w:rPr>
          <w:rFonts w:hint="eastAsia"/>
        </w:rPr>
        <w:t>11</w:t>
      </w:r>
      <w:r>
        <w:rPr>
          <w:rFonts w:hint="eastAsia"/>
        </w:rPr>
        <w:t>人</w:t>
      </w:r>
      <w:r>
        <w:rPr>
          <w:rFonts w:hint="eastAsia"/>
        </w:rPr>
        <w:t>(10</w:t>
      </w:r>
      <w:r>
        <w:rPr>
          <w:rFonts w:hint="eastAsia"/>
        </w:rPr>
        <w:t>名女性和</w:t>
      </w:r>
      <w:r>
        <w:rPr>
          <w:rFonts w:hint="eastAsia"/>
        </w:rPr>
        <w:t>1</w:t>
      </w:r>
      <w:r>
        <w:rPr>
          <w:rFonts w:hint="eastAsia"/>
        </w:rPr>
        <w:t>名男性</w:t>
      </w:r>
      <w:r>
        <w:rPr>
          <w:rFonts w:hint="eastAsia"/>
        </w:rPr>
        <w:t>)</w:t>
      </w:r>
      <w:r>
        <w:rPr>
          <w:rFonts w:hint="eastAsia"/>
        </w:rPr>
        <w:t>得到该基金的援助。</w:t>
      </w:r>
    </w:p>
    <w:p w:rsidR="007234DD" w:rsidRDefault="007234DD">
      <w:pPr>
        <w:pStyle w:val="Bullet1GC"/>
      </w:pPr>
      <w:r>
        <w:rPr>
          <w:rFonts w:hint="eastAsia"/>
        </w:rPr>
        <w:t>成立于</w:t>
      </w:r>
      <w:r>
        <w:rPr>
          <w:rFonts w:hint="eastAsia"/>
        </w:rPr>
        <w:t>2009</w:t>
      </w:r>
      <w:r>
        <w:rPr>
          <w:rFonts w:hint="eastAsia"/>
        </w:rPr>
        <w:t>年的卡塔尔国际美容学院为妇女提供世界一流的美容服务培训方案。</w:t>
      </w:r>
    </w:p>
    <w:p w:rsidR="007234DD" w:rsidRDefault="007234DD">
      <w:pPr>
        <w:pStyle w:val="SingleTxtGC"/>
      </w:pPr>
      <w:r>
        <w:t xml:space="preserve">307.  </w:t>
      </w:r>
      <w:r>
        <w:rPr>
          <w:rFonts w:hint="eastAsia"/>
        </w:rPr>
        <w:t>卡塔尔商界妇女论坛成立于</w:t>
      </w:r>
      <w:r>
        <w:rPr>
          <w:rFonts w:hint="eastAsia"/>
        </w:rPr>
        <w:t>2000</w:t>
      </w:r>
      <w:r>
        <w:rPr>
          <w:rFonts w:hint="eastAsia"/>
        </w:rPr>
        <w:t>年。</w:t>
      </w:r>
      <w:r>
        <w:rPr>
          <w:rFonts w:hint="eastAsia"/>
        </w:rPr>
        <w:t>2010</w:t>
      </w:r>
      <w:r>
        <w:rPr>
          <w:rFonts w:hint="eastAsia"/>
        </w:rPr>
        <w:t>年，该论坛更名为卡塔尔职业妇女网络。该网络旨在支持卡塔尔的商界妇女，支持她们在各个层面对经济增长做出贡献。</w:t>
      </w:r>
      <w:r>
        <w:rPr>
          <w:rFonts w:hint="eastAsia"/>
        </w:rPr>
        <w:t>2007</w:t>
      </w:r>
      <w:r>
        <w:rPr>
          <w:rFonts w:hint="eastAsia"/>
        </w:rPr>
        <w:t>年，在卡塔尔埃米尔的夫人谢哈•穆扎•宾特•纳赛尔•阿勒米斯纳德殿下的赞助下，卡塔尔工商会、卡塔尔职业妇女网络和壳牌公司推出了卡塔尔商界女性年度奖。该奖项授予两类人群：商界妇女和职业妇女，于</w:t>
      </w:r>
      <w:r>
        <w:rPr>
          <w:rFonts w:hint="eastAsia"/>
        </w:rPr>
        <w:t>2008</w:t>
      </w:r>
      <w:r>
        <w:rPr>
          <w:rFonts w:hint="eastAsia"/>
        </w:rPr>
        <w:t>年首次颁奖。</w:t>
      </w:r>
    </w:p>
    <w:p w:rsidR="007234DD" w:rsidRDefault="007234DD">
      <w:pPr>
        <w:pStyle w:val="H23GC"/>
      </w:pPr>
      <w:r>
        <w:tab/>
      </w:r>
      <w:r>
        <w:tab/>
      </w:r>
      <w:r>
        <w:rPr>
          <w:rFonts w:hint="eastAsia"/>
        </w:rPr>
        <w:t>挑战和未来展望</w:t>
      </w:r>
    </w:p>
    <w:p w:rsidR="007234DD" w:rsidRDefault="007234DD">
      <w:pPr>
        <w:pStyle w:val="SingleTxtGC"/>
      </w:pPr>
      <w:r>
        <w:t xml:space="preserve">308.  </w:t>
      </w:r>
      <w:r>
        <w:rPr>
          <w:rFonts w:hint="eastAsia"/>
        </w:rPr>
        <w:t>卡塔尔各行各业妇女的就业状况有了重大改善，如今妇女可以不受阻碍地从事各类工作。在过去几年内，卡塔尔妇女晋升至一些高层职位，在诸如司法机关、检察部门和工程部门等原先由男性独占的领域内也获得立足之地。</w:t>
      </w:r>
    </w:p>
    <w:p w:rsidR="007234DD" w:rsidRDefault="007234DD">
      <w:pPr>
        <w:pStyle w:val="SingleTxtGC"/>
      </w:pPr>
      <w:r>
        <w:t xml:space="preserve">309.  </w:t>
      </w:r>
      <w:r>
        <w:rPr>
          <w:rFonts w:hint="eastAsia"/>
        </w:rPr>
        <w:t>尽管卡塔尔付出了相当大的努力，并继续努力促进就业中的性别平等，但是仍然存在障碍和困难，妨碍着妇女在该领域内获得充分权能。一大障碍是就任高级管理职位的妇女数量不多，虽然近十年来该数据已有稳步改善。此外，鉴于女性在大学主修的专业科目，将教育成果与劳动力市场需求相关联的挑战也是阻碍受教育妇女获得合适工作的一个挑战。另外，社会习俗和文化规范仍影响着妇女的就业选择，使妇女不愿从事某些种类的工作。</w:t>
      </w:r>
    </w:p>
    <w:p w:rsidR="007234DD" w:rsidRDefault="007234DD">
      <w:pPr>
        <w:pStyle w:val="SingleTxtGC"/>
        <w:rPr>
          <w:rFonts w:hint="eastAsia"/>
        </w:rPr>
      </w:pPr>
      <w:r>
        <w:t xml:space="preserve">310.  </w:t>
      </w:r>
      <w:r>
        <w:rPr>
          <w:rFonts w:hint="eastAsia"/>
        </w:rPr>
        <w:t>然而，劳动力预测表明，由于继续努力实施劳动力市场战略并扩大妇女在公共和私营部门就业的机会，从事经济活动的妇女人数将会稳步增长。</w:t>
      </w:r>
    </w:p>
    <w:p w:rsidR="007234DD" w:rsidRDefault="007234DD">
      <w:pPr>
        <w:pStyle w:val="SingleTxtGC"/>
      </w:pPr>
      <w:r>
        <w:t xml:space="preserve">311.  </w:t>
      </w:r>
      <w:r>
        <w:rPr>
          <w:rFonts w:hint="eastAsia"/>
        </w:rPr>
        <w:t>同时，政府和非政府组织一直在加紧努力，通过继续为中小型企业和方案提供支助，援助卡塔尔的生产性家庭，解决这些挑战并克服阻碍妇女在就业方面获得权能特别是自营职业的障碍。</w:t>
      </w:r>
    </w:p>
    <w:p w:rsidR="007234DD" w:rsidRDefault="007234DD">
      <w:pPr>
        <w:pStyle w:val="H1GC"/>
      </w:pPr>
      <w:r>
        <w:tab/>
      </w:r>
      <w:r>
        <w:tab/>
      </w:r>
      <w:r>
        <w:rPr>
          <w:rFonts w:hint="eastAsia"/>
        </w:rPr>
        <w:t>第十二条</w:t>
      </w:r>
      <w:r>
        <w:br/>
      </w:r>
      <w:r>
        <w:rPr>
          <w:rFonts w:hint="eastAsia"/>
        </w:rPr>
        <w:t>卫生</w:t>
      </w:r>
    </w:p>
    <w:p w:rsidR="007234DD" w:rsidRDefault="007234DD">
      <w:pPr>
        <w:pStyle w:val="H23GC"/>
      </w:pPr>
      <w:r>
        <w:tab/>
      </w:r>
      <w:r>
        <w:tab/>
      </w:r>
      <w:r>
        <w:rPr>
          <w:rFonts w:hint="eastAsia"/>
        </w:rPr>
        <w:t>宪法和法律框架</w:t>
      </w:r>
    </w:p>
    <w:p w:rsidR="007234DD" w:rsidRDefault="007234DD">
      <w:pPr>
        <w:pStyle w:val="SingleTxtGC"/>
      </w:pPr>
      <w:r>
        <w:t xml:space="preserve">312.  </w:t>
      </w:r>
      <w:r>
        <w:rPr>
          <w:rFonts w:hint="eastAsia"/>
        </w:rPr>
        <w:t>国家承诺满足所有公民的卫生保健需求，尊重卡塔尔《宪法》第</w:t>
      </w:r>
      <w:r>
        <w:rPr>
          <w:rFonts w:hint="eastAsia"/>
        </w:rPr>
        <w:t>23</w:t>
      </w:r>
      <w:r>
        <w:rPr>
          <w:rFonts w:hint="eastAsia"/>
        </w:rPr>
        <w:t>条赋予他们的权利。该条款规定，国家须保护“公众健康并依法提供预防和治疗疾病和流行病的手段”。</w:t>
      </w:r>
    </w:p>
    <w:p w:rsidR="007234DD" w:rsidRDefault="007234DD">
      <w:pPr>
        <w:pStyle w:val="SingleTxtGC"/>
      </w:pPr>
      <w:r>
        <w:t xml:space="preserve">313.  </w:t>
      </w:r>
      <w:r>
        <w:rPr>
          <w:rFonts w:hint="eastAsia"/>
        </w:rPr>
        <w:t>国家在卫生部门投入相当多的资源，并已制定法律，不加歧视地保护所有人口享有健康的权利。有关医疗和卫生服务的条例载于</w:t>
      </w:r>
      <w:r>
        <w:rPr>
          <w:rFonts w:hint="eastAsia"/>
        </w:rPr>
        <w:t>1996</w:t>
      </w:r>
      <w:r>
        <w:rPr>
          <w:rFonts w:hint="eastAsia"/>
        </w:rPr>
        <w:t>年第</w:t>
      </w:r>
      <w:r>
        <w:rPr>
          <w:rFonts w:hint="eastAsia"/>
        </w:rPr>
        <w:t>7</w:t>
      </w:r>
      <w:r>
        <w:rPr>
          <w:rFonts w:hint="eastAsia"/>
        </w:rPr>
        <w:t>号法；另外，根据</w:t>
      </w:r>
      <w:r>
        <w:rPr>
          <w:rFonts w:hint="eastAsia"/>
        </w:rPr>
        <w:t>2009</w:t>
      </w:r>
      <w:r>
        <w:rPr>
          <w:rFonts w:hint="eastAsia"/>
        </w:rPr>
        <w:t>年第</w:t>
      </w:r>
      <w:r>
        <w:rPr>
          <w:rFonts w:hint="eastAsia"/>
        </w:rPr>
        <w:t>13</w:t>
      </w:r>
      <w:r>
        <w:rPr>
          <w:rFonts w:hint="eastAsia"/>
        </w:rPr>
        <w:t>号埃米尔令，成立了最高卫生委员会。目的是提高卫生保健系统所提供服务的数量和质量，并使卡塔尔所有居民</w:t>
      </w:r>
      <w:r>
        <w:rPr>
          <w:rFonts w:hint="eastAsia"/>
        </w:rPr>
        <w:t>(</w:t>
      </w:r>
      <w:r>
        <w:rPr>
          <w:rFonts w:hint="eastAsia"/>
        </w:rPr>
        <w:t>无论性别或国籍</w:t>
      </w:r>
      <w:r>
        <w:rPr>
          <w:rFonts w:hint="eastAsia"/>
        </w:rPr>
        <w:t>)</w:t>
      </w:r>
      <w:r>
        <w:rPr>
          <w:rFonts w:hint="eastAsia"/>
        </w:rPr>
        <w:t>都能够获得这些服务。</w:t>
      </w:r>
    </w:p>
    <w:p w:rsidR="007234DD" w:rsidRDefault="007234DD">
      <w:pPr>
        <w:pStyle w:val="H23GC"/>
        <w:spacing w:before="180"/>
      </w:pPr>
      <w:r>
        <w:tab/>
      </w:r>
      <w:r>
        <w:tab/>
      </w:r>
      <w:r>
        <w:rPr>
          <w:rFonts w:hint="eastAsia"/>
        </w:rPr>
        <w:t>男女获得卫生服务的机会平等</w:t>
      </w:r>
    </w:p>
    <w:p w:rsidR="007234DD" w:rsidRDefault="007234DD">
      <w:pPr>
        <w:pStyle w:val="H4GC"/>
        <w:spacing w:before="180"/>
      </w:pPr>
      <w:r>
        <w:tab/>
      </w:r>
      <w:r>
        <w:tab/>
      </w:r>
      <w:r>
        <w:rPr>
          <w:rFonts w:hint="eastAsia"/>
        </w:rPr>
        <w:t>公共卫生设施和服务</w:t>
      </w:r>
    </w:p>
    <w:p w:rsidR="007234DD" w:rsidRDefault="007234DD">
      <w:pPr>
        <w:pStyle w:val="SingleTxtGC"/>
        <w:spacing w:after="80"/>
      </w:pPr>
      <w:r>
        <w:t xml:space="preserve">314.  </w:t>
      </w:r>
      <w:r>
        <w:rPr>
          <w:rFonts w:hint="eastAsia"/>
        </w:rPr>
        <w:t>卡塔尔的第一所综合医院建于</w:t>
      </w:r>
      <w:r>
        <w:rPr>
          <w:rFonts w:hint="eastAsia"/>
        </w:rPr>
        <w:t>1945</w:t>
      </w:r>
      <w:r>
        <w:rPr>
          <w:rFonts w:hint="eastAsia"/>
        </w:rPr>
        <w:t>年。此后，公共和私营卫生部门大幅扩张，例如，成立了</w:t>
      </w:r>
      <w:r>
        <w:rPr>
          <w:rFonts w:hint="eastAsia"/>
        </w:rPr>
        <w:t>23</w:t>
      </w:r>
      <w:r>
        <w:rPr>
          <w:rFonts w:hint="eastAsia"/>
        </w:rPr>
        <w:t>个卫生中心以及妇产医院</w:t>
      </w:r>
      <w:r>
        <w:rPr>
          <w:rFonts w:hint="eastAsia"/>
        </w:rPr>
        <w:t>(1991</w:t>
      </w:r>
      <w:r>
        <w:rPr>
          <w:rFonts w:hint="eastAsia"/>
        </w:rPr>
        <w:t>年</w:t>
      </w:r>
      <w:r>
        <w:rPr>
          <w:rFonts w:hint="eastAsia"/>
        </w:rPr>
        <w:t>)</w:t>
      </w:r>
      <w:r>
        <w:rPr>
          <w:rFonts w:hint="eastAsia"/>
        </w:rPr>
        <w:t>、阿迈勒公立医院</w:t>
      </w:r>
      <w:r>
        <w:rPr>
          <w:rFonts w:hint="eastAsia"/>
        </w:rPr>
        <w:t>(2004</w:t>
      </w:r>
      <w:r>
        <w:rPr>
          <w:rFonts w:hint="eastAsia"/>
        </w:rPr>
        <w:t>年</w:t>
      </w:r>
      <w:r>
        <w:rPr>
          <w:rFonts w:hint="eastAsia"/>
        </w:rPr>
        <w:t>)</w:t>
      </w:r>
      <w:r>
        <w:rPr>
          <w:rFonts w:hint="eastAsia"/>
        </w:rPr>
        <w:t>和阿尔沙马尔</w:t>
      </w:r>
      <w:r>
        <w:rPr>
          <w:rFonts w:hint="eastAsia"/>
        </w:rPr>
        <w:t>(</w:t>
      </w:r>
      <w:r>
        <w:rPr>
          <w:rFonts w:hint="eastAsia"/>
        </w:rPr>
        <w:t>阿尔霍尔</w:t>
      </w:r>
      <w:r>
        <w:rPr>
          <w:rFonts w:hint="eastAsia"/>
        </w:rPr>
        <w:t>)</w:t>
      </w:r>
      <w:r>
        <w:rPr>
          <w:rFonts w:hint="eastAsia"/>
        </w:rPr>
        <w:t>公立医院</w:t>
      </w:r>
      <w:r>
        <w:rPr>
          <w:rFonts w:hint="eastAsia"/>
        </w:rPr>
        <w:t>(2006</w:t>
      </w:r>
      <w:r>
        <w:rPr>
          <w:rFonts w:hint="eastAsia"/>
        </w:rPr>
        <w:t>年</w:t>
      </w:r>
      <w:r>
        <w:rPr>
          <w:rFonts w:hint="eastAsia"/>
        </w:rPr>
        <w:t>)</w:t>
      </w:r>
      <w:r>
        <w:rPr>
          <w:rFonts w:hint="eastAsia"/>
        </w:rPr>
        <w:t>。哈马德医疗公司正准备开设阿尔瓦卡拉医院</w:t>
      </w:r>
      <w:r>
        <w:rPr>
          <w:rFonts w:hint="eastAsia"/>
        </w:rPr>
        <w:t>(</w:t>
      </w:r>
      <w:r>
        <w:rPr>
          <w:rFonts w:hint="eastAsia"/>
        </w:rPr>
        <w:t>位于卡塔尔南部</w:t>
      </w:r>
      <w:r>
        <w:rPr>
          <w:rFonts w:hint="eastAsia"/>
        </w:rPr>
        <w:t>)</w:t>
      </w:r>
      <w:r>
        <w:rPr>
          <w:rFonts w:hint="eastAsia"/>
        </w:rPr>
        <w:t>和一家专科教学医院。此外，正计划建立杜坎医院</w:t>
      </w:r>
      <w:r>
        <w:rPr>
          <w:rFonts w:hint="eastAsia"/>
        </w:rPr>
        <w:t>(</w:t>
      </w:r>
      <w:r>
        <w:rPr>
          <w:rFonts w:hint="eastAsia"/>
        </w:rPr>
        <w:t>位于卡塔尔西部</w:t>
      </w:r>
      <w:r>
        <w:rPr>
          <w:rFonts w:hint="eastAsia"/>
        </w:rPr>
        <w:t>)</w:t>
      </w:r>
      <w:r>
        <w:rPr>
          <w:rFonts w:hint="eastAsia"/>
        </w:rPr>
        <w:t>、一家儿童医院和若干技术领先的医疗诊所，包括一家心脏病学中心。这些医院有望在</w:t>
      </w:r>
      <w:r>
        <w:rPr>
          <w:rFonts w:hint="eastAsia"/>
        </w:rPr>
        <w:t>2010-2011</w:t>
      </w:r>
      <w:r>
        <w:rPr>
          <w:rFonts w:hint="eastAsia"/>
        </w:rPr>
        <w:t>年前建成并投入运营。</w:t>
      </w:r>
    </w:p>
    <w:p w:rsidR="007234DD" w:rsidRDefault="007234DD">
      <w:pPr>
        <w:pStyle w:val="SingleTxtGC"/>
      </w:pPr>
      <w:r>
        <w:rPr>
          <w:rFonts w:hint="eastAsia"/>
        </w:rPr>
        <w:t>表</w:t>
      </w:r>
      <w:r>
        <w:rPr>
          <w:rFonts w:hint="eastAsia"/>
        </w:rPr>
        <w:t>29</w:t>
      </w:r>
      <w:r>
        <w:br/>
      </w:r>
      <w:r>
        <w:rPr>
          <w:rFonts w:eastAsia="SimHei" w:hint="eastAsia"/>
        </w:rPr>
        <w:t>1990-2008</w:t>
      </w:r>
      <w:r>
        <w:rPr>
          <w:rFonts w:eastAsia="SimHei" w:hint="eastAsia"/>
        </w:rPr>
        <w:t>年公立和私立医院和卫生诊所</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7234DD">
        <w:trPr>
          <w:tblHeader/>
        </w:trPr>
        <w:tc>
          <w:tcPr>
            <w:tcW w:w="1841" w:type="dxa"/>
            <w:tcBorders>
              <w:top w:val="single" w:sz="4" w:space="0" w:color="auto"/>
              <w:bottom w:val="single" w:sz="12" w:space="0" w:color="auto"/>
            </w:tcBorders>
            <w:shd w:val="clear" w:color="auto" w:fill="auto"/>
            <w:vAlign w:val="bottom"/>
          </w:tcPr>
          <w:p w:rsidR="007234DD" w:rsidRDefault="007234DD">
            <w:pPr>
              <w:pStyle w:val="a0"/>
              <w:ind w:right="0"/>
            </w:pP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公立医院</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私立医院</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卫生中心</w:t>
            </w:r>
          </w:p>
        </w:tc>
      </w:tr>
      <w:tr w:rsidR="007234DD">
        <w:tc>
          <w:tcPr>
            <w:tcW w:w="1841" w:type="dxa"/>
            <w:tcBorders>
              <w:top w:val="single" w:sz="12" w:space="0" w:color="auto"/>
            </w:tcBorders>
            <w:shd w:val="clear" w:color="auto" w:fill="auto"/>
          </w:tcPr>
          <w:p w:rsidR="007234DD" w:rsidRDefault="007234DD">
            <w:pPr>
              <w:pStyle w:val="a5"/>
              <w:rPr>
                <w:rFonts w:hint="eastAsia"/>
              </w:rPr>
            </w:pPr>
            <w:r>
              <w:t>1990</w:t>
            </w:r>
            <w:r>
              <w:rPr>
                <w:rFonts w:hint="eastAsia"/>
              </w:rPr>
              <w:t>年</w:t>
            </w:r>
          </w:p>
        </w:tc>
        <w:tc>
          <w:tcPr>
            <w:tcW w:w="1843" w:type="dxa"/>
            <w:tcBorders>
              <w:top w:val="single" w:sz="12" w:space="0" w:color="auto"/>
            </w:tcBorders>
            <w:shd w:val="clear" w:color="auto" w:fill="auto"/>
          </w:tcPr>
          <w:p w:rsidR="007234DD" w:rsidRDefault="007234DD">
            <w:pPr>
              <w:pStyle w:val="a5"/>
              <w:ind w:right="0"/>
              <w:jc w:val="right"/>
            </w:pPr>
            <w:r>
              <w:t>3</w:t>
            </w:r>
          </w:p>
        </w:tc>
        <w:tc>
          <w:tcPr>
            <w:tcW w:w="1843" w:type="dxa"/>
            <w:tcBorders>
              <w:top w:val="single" w:sz="12" w:space="0" w:color="auto"/>
            </w:tcBorders>
            <w:shd w:val="clear" w:color="auto" w:fill="auto"/>
          </w:tcPr>
          <w:p w:rsidR="007234DD" w:rsidRDefault="007234DD">
            <w:pPr>
              <w:pStyle w:val="a5"/>
              <w:ind w:right="0"/>
              <w:jc w:val="right"/>
            </w:pPr>
          </w:p>
        </w:tc>
        <w:tc>
          <w:tcPr>
            <w:tcW w:w="1843" w:type="dxa"/>
            <w:tcBorders>
              <w:top w:val="single" w:sz="12" w:space="0" w:color="auto"/>
            </w:tcBorders>
            <w:shd w:val="clear" w:color="auto" w:fill="auto"/>
          </w:tcPr>
          <w:p w:rsidR="007234DD" w:rsidRDefault="007234DD">
            <w:pPr>
              <w:pStyle w:val="a5"/>
              <w:ind w:right="0"/>
              <w:jc w:val="right"/>
            </w:pPr>
            <w:r>
              <w:t>22</w:t>
            </w:r>
          </w:p>
        </w:tc>
      </w:tr>
      <w:tr w:rsidR="007234DD">
        <w:tc>
          <w:tcPr>
            <w:tcW w:w="1841" w:type="dxa"/>
            <w:shd w:val="clear" w:color="auto" w:fill="auto"/>
          </w:tcPr>
          <w:p w:rsidR="007234DD" w:rsidRDefault="007234DD">
            <w:pPr>
              <w:pStyle w:val="a5"/>
              <w:rPr>
                <w:rFonts w:hint="eastAsia"/>
              </w:rPr>
            </w:pPr>
            <w:r>
              <w:t>2000</w:t>
            </w:r>
            <w:r>
              <w:rPr>
                <w:rFonts w:hint="eastAsia"/>
              </w:rPr>
              <w:t>年</w:t>
            </w:r>
          </w:p>
        </w:tc>
        <w:tc>
          <w:tcPr>
            <w:tcW w:w="1843" w:type="dxa"/>
            <w:shd w:val="clear" w:color="auto" w:fill="auto"/>
          </w:tcPr>
          <w:p w:rsidR="007234DD" w:rsidRDefault="007234DD">
            <w:pPr>
              <w:pStyle w:val="a5"/>
              <w:ind w:right="0"/>
              <w:jc w:val="right"/>
            </w:pPr>
            <w:r>
              <w:t>3</w:t>
            </w:r>
          </w:p>
        </w:tc>
        <w:tc>
          <w:tcPr>
            <w:tcW w:w="1843" w:type="dxa"/>
            <w:shd w:val="clear" w:color="auto" w:fill="auto"/>
          </w:tcPr>
          <w:p w:rsidR="007234DD" w:rsidRDefault="007234DD">
            <w:pPr>
              <w:pStyle w:val="a5"/>
              <w:ind w:right="0"/>
              <w:jc w:val="right"/>
            </w:pPr>
            <w:r>
              <w:t>1</w:t>
            </w:r>
          </w:p>
        </w:tc>
        <w:tc>
          <w:tcPr>
            <w:tcW w:w="1843" w:type="dxa"/>
            <w:shd w:val="clear" w:color="auto" w:fill="auto"/>
          </w:tcPr>
          <w:p w:rsidR="007234DD" w:rsidRDefault="007234DD">
            <w:pPr>
              <w:pStyle w:val="a5"/>
              <w:ind w:right="0"/>
              <w:jc w:val="right"/>
            </w:pPr>
            <w:r>
              <w:t>25</w:t>
            </w:r>
          </w:p>
        </w:tc>
      </w:tr>
      <w:tr w:rsidR="007234DD">
        <w:tc>
          <w:tcPr>
            <w:tcW w:w="1841" w:type="dxa"/>
            <w:shd w:val="clear" w:color="auto" w:fill="auto"/>
          </w:tcPr>
          <w:p w:rsidR="007234DD" w:rsidRDefault="007234DD">
            <w:pPr>
              <w:pStyle w:val="a5"/>
              <w:rPr>
                <w:rFonts w:hint="eastAsia"/>
              </w:rPr>
            </w:pPr>
            <w:r>
              <w:t>2004</w:t>
            </w:r>
            <w:r>
              <w:rPr>
                <w:rFonts w:hint="eastAsia"/>
              </w:rPr>
              <w:t>年</w:t>
            </w:r>
          </w:p>
        </w:tc>
        <w:tc>
          <w:tcPr>
            <w:tcW w:w="1843" w:type="dxa"/>
            <w:shd w:val="clear" w:color="auto" w:fill="auto"/>
          </w:tcPr>
          <w:p w:rsidR="007234DD" w:rsidRDefault="007234DD">
            <w:pPr>
              <w:pStyle w:val="a5"/>
              <w:ind w:right="0"/>
              <w:jc w:val="right"/>
            </w:pPr>
            <w:r>
              <w:t>5</w:t>
            </w:r>
          </w:p>
        </w:tc>
        <w:tc>
          <w:tcPr>
            <w:tcW w:w="1843" w:type="dxa"/>
            <w:shd w:val="clear" w:color="auto" w:fill="auto"/>
          </w:tcPr>
          <w:p w:rsidR="007234DD" w:rsidRDefault="007234DD">
            <w:pPr>
              <w:pStyle w:val="a5"/>
              <w:ind w:right="0"/>
              <w:jc w:val="right"/>
            </w:pPr>
            <w:r>
              <w:t>4</w:t>
            </w:r>
          </w:p>
        </w:tc>
        <w:tc>
          <w:tcPr>
            <w:tcW w:w="1843" w:type="dxa"/>
            <w:shd w:val="clear" w:color="auto" w:fill="auto"/>
          </w:tcPr>
          <w:p w:rsidR="007234DD" w:rsidRDefault="007234DD">
            <w:pPr>
              <w:pStyle w:val="a5"/>
              <w:ind w:right="0"/>
              <w:jc w:val="right"/>
            </w:pPr>
            <w:r>
              <w:t>23</w:t>
            </w:r>
          </w:p>
        </w:tc>
      </w:tr>
      <w:tr w:rsidR="007234DD">
        <w:tc>
          <w:tcPr>
            <w:tcW w:w="1841" w:type="dxa"/>
            <w:shd w:val="clear" w:color="auto" w:fill="auto"/>
          </w:tcPr>
          <w:p w:rsidR="007234DD" w:rsidRDefault="007234DD">
            <w:pPr>
              <w:pStyle w:val="a5"/>
              <w:rPr>
                <w:rFonts w:hint="eastAsia"/>
              </w:rPr>
            </w:pPr>
            <w:r>
              <w:t>2005</w:t>
            </w:r>
            <w:r>
              <w:rPr>
                <w:rFonts w:hint="eastAsia"/>
              </w:rPr>
              <w:t>年</w:t>
            </w:r>
          </w:p>
        </w:tc>
        <w:tc>
          <w:tcPr>
            <w:tcW w:w="1843" w:type="dxa"/>
            <w:shd w:val="clear" w:color="auto" w:fill="auto"/>
          </w:tcPr>
          <w:p w:rsidR="007234DD" w:rsidRDefault="007234DD">
            <w:pPr>
              <w:pStyle w:val="a5"/>
              <w:ind w:right="0"/>
              <w:jc w:val="right"/>
            </w:pPr>
            <w:r>
              <w:t>5</w:t>
            </w:r>
          </w:p>
        </w:tc>
        <w:tc>
          <w:tcPr>
            <w:tcW w:w="1843" w:type="dxa"/>
            <w:shd w:val="clear" w:color="auto" w:fill="auto"/>
          </w:tcPr>
          <w:p w:rsidR="007234DD" w:rsidRDefault="007234DD">
            <w:pPr>
              <w:pStyle w:val="a5"/>
              <w:ind w:right="0"/>
              <w:jc w:val="right"/>
            </w:pPr>
            <w:r>
              <w:t>4</w:t>
            </w:r>
          </w:p>
        </w:tc>
        <w:tc>
          <w:tcPr>
            <w:tcW w:w="1843" w:type="dxa"/>
            <w:shd w:val="clear" w:color="auto" w:fill="auto"/>
          </w:tcPr>
          <w:p w:rsidR="007234DD" w:rsidRDefault="007234DD">
            <w:pPr>
              <w:pStyle w:val="a5"/>
              <w:ind w:right="0"/>
              <w:jc w:val="right"/>
            </w:pPr>
            <w:r>
              <w:t>23</w:t>
            </w:r>
          </w:p>
        </w:tc>
      </w:tr>
      <w:tr w:rsidR="007234DD">
        <w:tc>
          <w:tcPr>
            <w:tcW w:w="1841" w:type="dxa"/>
            <w:shd w:val="clear" w:color="auto" w:fill="auto"/>
          </w:tcPr>
          <w:p w:rsidR="007234DD" w:rsidRDefault="007234DD">
            <w:pPr>
              <w:pStyle w:val="a5"/>
              <w:rPr>
                <w:rFonts w:hint="eastAsia"/>
              </w:rPr>
            </w:pPr>
            <w:r>
              <w:t>2006</w:t>
            </w:r>
            <w:r>
              <w:rPr>
                <w:rFonts w:hint="eastAsia"/>
              </w:rPr>
              <w:t>年</w:t>
            </w:r>
          </w:p>
        </w:tc>
        <w:tc>
          <w:tcPr>
            <w:tcW w:w="1843" w:type="dxa"/>
            <w:shd w:val="clear" w:color="auto" w:fill="auto"/>
          </w:tcPr>
          <w:p w:rsidR="007234DD" w:rsidRDefault="007234DD">
            <w:pPr>
              <w:pStyle w:val="a5"/>
              <w:ind w:right="0"/>
              <w:jc w:val="right"/>
            </w:pPr>
            <w:r>
              <w:t>5</w:t>
            </w:r>
          </w:p>
        </w:tc>
        <w:tc>
          <w:tcPr>
            <w:tcW w:w="1843" w:type="dxa"/>
            <w:shd w:val="clear" w:color="auto" w:fill="auto"/>
          </w:tcPr>
          <w:p w:rsidR="007234DD" w:rsidRDefault="007234DD">
            <w:pPr>
              <w:pStyle w:val="a5"/>
              <w:ind w:right="0"/>
              <w:jc w:val="right"/>
            </w:pPr>
            <w:r>
              <w:t>4</w:t>
            </w:r>
          </w:p>
        </w:tc>
        <w:tc>
          <w:tcPr>
            <w:tcW w:w="1843" w:type="dxa"/>
            <w:shd w:val="clear" w:color="auto" w:fill="auto"/>
          </w:tcPr>
          <w:p w:rsidR="007234DD" w:rsidRDefault="007234DD">
            <w:pPr>
              <w:pStyle w:val="a5"/>
              <w:ind w:right="0"/>
              <w:jc w:val="right"/>
            </w:pPr>
            <w:r>
              <w:t>23</w:t>
            </w:r>
          </w:p>
        </w:tc>
      </w:tr>
      <w:tr w:rsidR="007234DD">
        <w:tc>
          <w:tcPr>
            <w:tcW w:w="1841" w:type="dxa"/>
            <w:shd w:val="clear" w:color="auto" w:fill="auto"/>
          </w:tcPr>
          <w:p w:rsidR="007234DD" w:rsidRDefault="007234DD">
            <w:pPr>
              <w:pStyle w:val="a5"/>
              <w:rPr>
                <w:rFonts w:hint="eastAsia"/>
              </w:rPr>
            </w:pPr>
            <w:r>
              <w:t>2007</w:t>
            </w:r>
            <w:r>
              <w:rPr>
                <w:rFonts w:hint="eastAsia"/>
              </w:rPr>
              <w:t>年</w:t>
            </w:r>
          </w:p>
        </w:tc>
        <w:tc>
          <w:tcPr>
            <w:tcW w:w="1843" w:type="dxa"/>
            <w:shd w:val="clear" w:color="auto" w:fill="auto"/>
          </w:tcPr>
          <w:p w:rsidR="007234DD" w:rsidRDefault="007234DD">
            <w:pPr>
              <w:pStyle w:val="a5"/>
              <w:ind w:right="0"/>
              <w:jc w:val="right"/>
            </w:pPr>
            <w:r>
              <w:t>5</w:t>
            </w:r>
          </w:p>
        </w:tc>
        <w:tc>
          <w:tcPr>
            <w:tcW w:w="1843" w:type="dxa"/>
            <w:shd w:val="clear" w:color="auto" w:fill="auto"/>
          </w:tcPr>
          <w:p w:rsidR="007234DD" w:rsidRDefault="007234DD">
            <w:pPr>
              <w:pStyle w:val="a5"/>
              <w:ind w:right="0"/>
              <w:jc w:val="right"/>
            </w:pPr>
            <w:r>
              <w:t>4</w:t>
            </w:r>
          </w:p>
        </w:tc>
        <w:tc>
          <w:tcPr>
            <w:tcW w:w="1843" w:type="dxa"/>
            <w:shd w:val="clear" w:color="auto" w:fill="auto"/>
          </w:tcPr>
          <w:p w:rsidR="007234DD" w:rsidRDefault="007234DD">
            <w:pPr>
              <w:pStyle w:val="a5"/>
              <w:ind w:right="0"/>
              <w:jc w:val="right"/>
            </w:pPr>
            <w:r>
              <w:t>23</w:t>
            </w:r>
          </w:p>
        </w:tc>
      </w:tr>
      <w:tr w:rsidR="007234DD">
        <w:tc>
          <w:tcPr>
            <w:tcW w:w="1841" w:type="dxa"/>
            <w:tcBorders>
              <w:bottom w:val="single" w:sz="12" w:space="0" w:color="auto"/>
            </w:tcBorders>
            <w:shd w:val="clear" w:color="auto" w:fill="auto"/>
          </w:tcPr>
          <w:p w:rsidR="007234DD" w:rsidRDefault="007234DD">
            <w:pPr>
              <w:pStyle w:val="a5"/>
              <w:rPr>
                <w:rFonts w:hint="eastAsia"/>
              </w:rPr>
            </w:pPr>
            <w:r>
              <w:t>2008</w:t>
            </w:r>
            <w:r>
              <w:rPr>
                <w:rFonts w:hint="eastAsia"/>
              </w:rPr>
              <w:t>年</w:t>
            </w:r>
          </w:p>
        </w:tc>
        <w:tc>
          <w:tcPr>
            <w:tcW w:w="1843" w:type="dxa"/>
            <w:tcBorders>
              <w:bottom w:val="single" w:sz="12" w:space="0" w:color="auto"/>
            </w:tcBorders>
            <w:shd w:val="clear" w:color="auto" w:fill="auto"/>
          </w:tcPr>
          <w:p w:rsidR="007234DD" w:rsidRDefault="007234DD">
            <w:pPr>
              <w:pStyle w:val="a5"/>
              <w:ind w:right="0"/>
              <w:jc w:val="right"/>
            </w:pPr>
            <w:r>
              <w:t>5</w:t>
            </w:r>
          </w:p>
        </w:tc>
        <w:tc>
          <w:tcPr>
            <w:tcW w:w="1843" w:type="dxa"/>
            <w:tcBorders>
              <w:bottom w:val="single" w:sz="12" w:space="0" w:color="auto"/>
            </w:tcBorders>
            <w:shd w:val="clear" w:color="auto" w:fill="auto"/>
          </w:tcPr>
          <w:p w:rsidR="007234DD" w:rsidRDefault="007234DD">
            <w:pPr>
              <w:pStyle w:val="a5"/>
              <w:ind w:right="0"/>
              <w:jc w:val="right"/>
            </w:pPr>
            <w:r>
              <w:t>4</w:t>
            </w:r>
          </w:p>
        </w:tc>
        <w:tc>
          <w:tcPr>
            <w:tcW w:w="1843" w:type="dxa"/>
            <w:tcBorders>
              <w:bottom w:val="single" w:sz="12" w:space="0" w:color="auto"/>
            </w:tcBorders>
            <w:shd w:val="clear" w:color="auto" w:fill="auto"/>
          </w:tcPr>
          <w:p w:rsidR="007234DD" w:rsidRDefault="007234DD">
            <w:pPr>
              <w:pStyle w:val="a5"/>
              <w:ind w:right="0"/>
              <w:jc w:val="right"/>
            </w:pPr>
            <w:r>
              <w:t>23</w:t>
            </w:r>
          </w:p>
        </w:tc>
      </w:tr>
    </w:tbl>
    <w:p w:rsidR="007234DD" w:rsidRDefault="00326C16" w:rsidP="00326C16">
      <w:pPr>
        <w:pStyle w:val="SingleTxtG"/>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卡塔尔国，</w:t>
      </w:r>
      <w:r w:rsidR="007234DD">
        <w:rPr>
          <w:rFonts w:hint="eastAsia"/>
          <w:sz w:val="19"/>
          <w:szCs w:val="19"/>
        </w:rPr>
        <w:t>2010</w:t>
      </w:r>
      <w:r w:rsidR="007234DD">
        <w:rPr>
          <w:rFonts w:hint="eastAsia"/>
          <w:sz w:val="19"/>
          <w:szCs w:val="19"/>
        </w:rPr>
        <w:t>年，国家卫生局，年度卫生报告，各种版本。</w:t>
      </w:r>
    </w:p>
    <w:p w:rsidR="007234DD" w:rsidRDefault="007234DD">
      <w:pPr>
        <w:pStyle w:val="SingleTxtGC"/>
        <w:spacing w:after="100"/>
      </w:pPr>
      <w:r>
        <w:t xml:space="preserve">315.  </w:t>
      </w:r>
      <w:r>
        <w:rPr>
          <w:rFonts w:hint="eastAsia"/>
        </w:rPr>
        <w:t>伴随着卫生服务的扩张和发展，医疗和卫生培训也取得了发展。威尔康奈尔医学院在卡塔尔设立了分校，以提供最高标准的医学培训。北大西洋学院和卡尔加里护理学院提供有关护理和辅助医疗卫生服务的课程。卫生部门虽然建立时间较短，但是发展迅猛，这在有关人口健康、获得卫生服务的便利度、为处理传染病所采取的措施以及公共卫生和疾病评估的积极指标中得到了反映。</w:t>
      </w:r>
    </w:p>
    <w:p w:rsidR="007234DD" w:rsidRDefault="007234DD">
      <w:pPr>
        <w:pStyle w:val="SingleTxtGC"/>
        <w:spacing w:after="100"/>
      </w:pPr>
      <w:r>
        <w:t xml:space="preserve">316.  </w:t>
      </w:r>
      <w:r>
        <w:rPr>
          <w:rFonts w:hint="eastAsia"/>
        </w:rPr>
        <w:t>国家已采取措施提供电子卫生服务，依照在卡塔尔实施的政治、经济和社会改革政策建立了一个效率高、反应迅速、以结果为导向的卫生系统。此举旨在发展世界一流的卫生服务传送体系，将使各个年龄组的所有居民在一生中均享有较好健康。为发展这一卫生体系，在通信和信息技术最高委员会的监督下，与最高卫生委员会及哈马德医疗公司合作，使用了先进的方案以及通信和信息技术。电子卫生方案将有助于建立所需的数字化基础设施，以改善疾病预防、筛查、诊断、治疗和康复领域内各方面的卫生保健供应。卡塔尔将</w:t>
      </w:r>
      <w:r>
        <w:rPr>
          <w:rFonts w:hint="eastAsia"/>
        </w:rPr>
        <w:t>2010</w:t>
      </w:r>
      <w:r>
        <w:rPr>
          <w:rFonts w:hint="eastAsia"/>
        </w:rPr>
        <w:t>年设定为电子卫生战略实施完毕的目标年。</w:t>
      </w:r>
    </w:p>
    <w:p w:rsidR="007234DD" w:rsidRDefault="007234DD">
      <w:pPr>
        <w:pStyle w:val="H4GC"/>
      </w:pPr>
      <w:r>
        <w:tab/>
      </w:r>
      <w:r>
        <w:tab/>
      </w:r>
      <w:r>
        <w:rPr>
          <w:rFonts w:hint="eastAsia"/>
        </w:rPr>
        <w:t>妇女的卫生设施和服务</w:t>
      </w:r>
    </w:p>
    <w:p w:rsidR="007234DD" w:rsidRDefault="007234DD">
      <w:pPr>
        <w:pStyle w:val="SingleTxtGC"/>
        <w:spacing w:after="40"/>
      </w:pPr>
      <w:r>
        <w:t xml:space="preserve">317.  </w:t>
      </w:r>
      <w:r>
        <w:rPr>
          <w:rFonts w:hint="eastAsia"/>
        </w:rPr>
        <w:t>国家承诺，在合格医生和护士的指导下，在卡塔尔的医院和治疗中心为妇女提供终其一生的预防保健服务和治疗。</w:t>
      </w:r>
      <w:r>
        <w:rPr>
          <w:rFonts w:hint="eastAsia"/>
        </w:rPr>
        <w:t>2003</w:t>
      </w:r>
      <w:r>
        <w:rPr>
          <w:rFonts w:hint="eastAsia"/>
        </w:rPr>
        <w:t>年，女童和妇女</w:t>
      </w:r>
      <w:r>
        <w:rPr>
          <w:rFonts w:hint="eastAsia"/>
        </w:rPr>
        <w:t>(</w:t>
      </w:r>
      <w:r>
        <w:rPr>
          <w:rFonts w:hint="eastAsia"/>
        </w:rPr>
        <w:t>卡塔尔籍和非卡塔尔籍</w:t>
      </w:r>
      <w:r>
        <w:rPr>
          <w:rFonts w:hint="eastAsia"/>
        </w:rPr>
        <w:t>)</w:t>
      </w:r>
      <w:r>
        <w:rPr>
          <w:rFonts w:hint="eastAsia"/>
        </w:rPr>
        <w:t>的卫生服务普及率达到</w:t>
      </w:r>
      <w:r>
        <w:rPr>
          <w:rFonts w:hint="eastAsia"/>
        </w:rPr>
        <w:t>100%</w:t>
      </w:r>
      <w:r>
        <w:rPr>
          <w:rFonts w:hint="eastAsia"/>
        </w:rPr>
        <w:t>。</w:t>
      </w:r>
    </w:p>
    <w:p w:rsidR="007234DD" w:rsidRDefault="007234DD">
      <w:pPr>
        <w:pStyle w:val="SingleTxtGC"/>
      </w:pPr>
      <w:r>
        <w:t xml:space="preserve">318.  </w:t>
      </w:r>
      <w:r>
        <w:rPr>
          <w:rFonts w:hint="eastAsia"/>
        </w:rPr>
        <w:t>妇女可利用医院和卫生中心提供的治疗服务。建于</w:t>
      </w:r>
      <w:r>
        <w:rPr>
          <w:rFonts w:hint="eastAsia"/>
        </w:rPr>
        <w:t>1988</w:t>
      </w:r>
      <w:r>
        <w:rPr>
          <w:rFonts w:hint="eastAsia"/>
        </w:rPr>
        <w:t>年的妇产医院有</w:t>
      </w:r>
      <w:r>
        <w:rPr>
          <w:rFonts w:hint="eastAsia"/>
        </w:rPr>
        <w:t>334</w:t>
      </w:r>
      <w:r>
        <w:rPr>
          <w:rFonts w:hint="eastAsia"/>
        </w:rPr>
        <w:t>张床位，设有一个自然分娩和剖腹产手术科室和一个早产儿科室。</w:t>
      </w:r>
    </w:p>
    <w:p w:rsidR="007234DD" w:rsidRDefault="007234DD">
      <w:pPr>
        <w:pStyle w:val="SingleTxtGC"/>
      </w:pPr>
      <w:r>
        <w:t xml:space="preserve">319.  </w:t>
      </w:r>
      <w:r>
        <w:rPr>
          <w:rFonts w:hint="eastAsia"/>
        </w:rPr>
        <w:t>Sidrah</w:t>
      </w:r>
      <w:r>
        <w:rPr>
          <w:rFonts w:hint="eastAsia"/>
        </w:rPr>
        <w:t>医疗和研究中心将于</w:t>
      </w:r>
      <w:r>
        <w:rPr>
          <w:rFonts w:hint="eastAsia"/>
        </w:rPr>
        <w:t>2012</w:t>
      </w:r>
      <w:r>
        <w:rPr>
          <w:rFonts w:hint="eastAsia"/>
        </w:rPr>
        <w:t>年开放。该中心代表着卡塔尔已开始实施的最雄心勃勃的项目之一。它将为妇女和儿童提供专业医疗保健，为成人提供医疗服务和某些外科手术。该中心配备有最先进的技术设备，将为医学生提供在卡塔尔威尔康奈尔医学院</w:t>
      </w:r>
      <w:r>
        <w:rPr>
          <w:rFonts w:hint="eastAsia"/>
        </w:rPr>
        <w:t>(</w:t>
      </w:r>
      <w:r>
        <w:rPr>
          <w:rFonts w:hint="eastAsia"/>
        </w:rPr>
        <w:t>这是一所纽约著名大学的分校</w:t>
      </w:r>
      <w:r>
        <w:rPr>
          <w:rFonts w:hint="eastAsia"/>
        </w:rPr>
        <w:t>)</w:t>
      </w:r>
      <w:r>
        <w:rPr>
          <w:rFonts w:hint="eastAsia"/>
        </w:rPr>
        <w:t>教学人员的指导下学习的机会。</w:t>
      </w:r>
      <w:r>
        <w:rPr>
          <w:rFonts w:hint="eastAsia"/>
        </w:rPr>
        <w:t>Sidrah</w:t>
      </w:r>
      <w:r>
        <w:rPr>
          <w:rFonts w:hint="eastAsia"/>
        </w:rPr>
        <w:t>中心将为妇女提供专业的妇产科保健、分娩并发症的治疗、高危分娩的助产、针对准妈妈们的护理以及有关妇科肿瘤、生殖内分泌学</w:t>
      </w:r>
      <w:r>
        <w:rPr>
          <w:rFonts w:hint="eastAsia"/>
        </w:rPr>
        <w:t>(</w:t>
      </w:r>
      <w:r>
        <w:rPr>
          <w:rFonts w:hint="eastAsia"/>
        </w:rPr>
        <w:t>包括体外受精</w:t>
      </w:r>
      <w:r>
        <w:rPr>
          <w:rFonts w:hint="eastAsia"/>
        </w:rPr>
        <w:t>(IVF)</w:t>
      </w:r>
      <w:r>
        <w:rPr>
          <w:rFonts w:hint="eastAsia"/>
        </w:rPr>
        <w:t>治疗和其他更为先进的技术</w:t>
      </w:r>
      <w:r>
        <w:rPr>
          <w:rFonts w:hint="eastAsia"/>
        </w:rPr>
        <w:t>)</w:t>
      </w:r>
      <w:r>
        <w:rPr>
          <w:rFonts w:hint="eastAsia"/>
        </w:rPr>
        <w:t>、泌尿科和生殖健康的服务。它还提供儿科医疗服务和方案，特别是：神经外科、耳鼻喉科、整形外科</w:t>
      </w:r>
      <w:r>
        <w:rPr>
          <w:rFonts w:hint="eastAsia"/>
        </w:rPr>
        <w:t>/</w:t>
      </w:r>
      <w:r>
        <w:rPr>
          <w:rFonts w:hint="eastAsia"/>
        </w:rPr>
        <w:t>口腔颌面外科、泌尿科、眼科、以及过敏</w:t>
      </w:r>
      <w:r>
        <w:rPr>
          <w:rFonts w:hint="eastAsia"/>
        </w:rPr>
        <w:t>/</w:t>
      </w:r>
      <w:r>
        <w:rPr>
          <w:rFonts w:hint="eastAsia"/>
        </w:rPr>
        <w:t>哮喘的治疗，此外还提供诸如儿科用药、言语治疗和技能开发、临床病理学，儿童开发服务和呼吸问题治疗等支助服务。</w:t>
      </w:r>
    </w:p>
    <w:p w:rsidR="007234DD" w:rsidRDefault="007234DD">
      <w:pPr>
        <w:pStyle w:val="SingleTxtGC"/>
      </w:pPr>
      <w:r>
        <w:t xml:space="preserve">320.  </w:t>
      </w:r>
      <w:r>
        <w:rPr>
          <w:rFonts w:hint="eastAsia"/>
        </w:rPr>
        <w:t>有关部门开展关于妇女卫生和营养的宣传和提高认识方案。在“促进健康生活方式”的框架下举办了多个培训讲习班。例如有关心脏病和过量饮酒问题的讲习班、有关乳腺癌早期发现的讲习班等等。</w:t>
      </w:r>
    </w:p>
    <w:p w:rsidR="007234DD" w:rsidRDefault="007234DD">
      <w:pPr>
        <w:pStyle w:val="H23GC"/>
      </w:pPr>
      <w:r>
        <w:tab/>
      </w:r>
      <w:r>
        <w:tab/>
      </w:r>
      <w:r>
        <w:rPr>
          <w:rFonts w:hint="eastAsia"/>
        </w:rPr>
        <w:t>妇女产前、围产期和产后护理</w:t>
      </w:r>
    </w:p>
    <w:p w:rsidR="007234DD" w:rsidRDefault="007234DD">
      <w:pPr>
        <w:pStyle w:val="H4GC"/>
      </w:pPr>
      <w:r>
        <w:tab/>
      </w:r>
      <w:r>
        <w:tab/>
      </w:r>
      <w:r>
        <w:rPr>
          <w:rFonts w:hint="eastAsia"/>
        </w:rPr>
        <w:t>婚前检查、建议和咨询服务</w:t>
      </w:r>
    </w:p>
    <w:p w:rsidR="007234DD" w:rsidRDefault="007234DD">
      <w:pPr>
        <w:pStyle w:val="SingleTxtGC"/>
      </w:pPr>
      <w:r>
        <w:t xml:space="preserve">321.  </w:t>
      </w:r>
      <w:r>
        <w:rPr>
          <w:rFonts w:hint="eastAsia"/>
        </w:rPr>
        <w:t>《家庭法》</w:t>
      </w:r>
      <w:r>
        <w:rPr>
          <w:rFonts w:hint="eastAsia"/>
        </w:rPr>
        <w:t>(2006</w:t>
      </w:r>
      <w:r>
        <w:rPr>
          <w:rFonts w:hint="eastAsia"/>
        </w:rPr>
        <w:t>年第</w:t>
      </w:r>
      <w:r>
        <w:rPr>
          <w:rFonts w:hint="eastAsia"/>
        </w:rPr>
        <w:t>22</w:t>
      </w:r>
      <w:r>
        <w:rPr>
          <w:rFonts w:hint="eastAsia"/>
        </w:rPr>
        <w:t>号法</w:t>
      </w:r>
      <w:r>
        <w:rPr>
          <w:rFonts w:hint="eastAsia"/>
        </w:rPr>
        <w:t>)</w:t>
      </w:r>
      <w:r>
        <w:rPr>
          <w:rFonts w:hint="eastAsia"/>
        </w:rPr>
        <w:t>规定，卡塔尔人和非卡塔尔人在结婚前均须接受医学检查。该法第</w:t>
      </w:r>
      <w:r>
        <w:rPr>
          <w:rFonts w:hint="eastAsia"/>
        </w:rPr>
        <w:t>18</w:t>
      </w:r>
      <w:r>
        <w:rPr>
          <w:rFonts w:hint="eastAsia"/>
        </w:rPr>
        <w:t>条规定：“受权主持婚礼仪式的人员只有在结婚双方提供显示其已接受医学检查的证明后，方可为其主持婚礼”。这一检查的目的是，为了配偶双方的健康，以及为了减少因遗传或严重疾病在婚后给配偶双方造成的潜在风险，确保及早发现某些疾病。这一检测筛查三类疾病：可遗传给子女的先天性疾病；传染病</w:t>
      </w:r>
      <w:r>
        <w:rPr>
          <w:rFonts w:hint="eastAsia"/>
        </w:rPr>
        <w:t>(</w:t>
      </w:r>
      <w:r>
        <w:rPr>
          <w:rFonts w:hint="eastAsia"/>
        </w:rPr>
        <w:t>例如肝炎，可由丈夫传染给妻子</w:t>
      </w:r>
      <w:r>
        <w:rPr>
          <w:rFonts w:hint="eastAsia"/>
        </w:rPr>
        <w:t>)</w:t>
      </w:r>
      <w:r>
        <w:rPr>
          <w:rFonts w:hint="eastAsia"/>
        </w:rPr>
        <w:t>；以及高血压、糖尿病等慢性病。</w:t>
      </w:r>
    </w:p>
    <w:p w:rsidR="007234DD" w:rsidRDefault="007234DD">
      <w:pPr>
        <w:pStyle w:val="SingleTxtGC"/>
      </w:pPr>
      <w:r>
        <w:t xml:space="preserve">322.  </w:t>
      </w:r>
      <w:r>
        <w:rPr>
          <w:rFonts w:hint="eastAsia"/>
        </w:rPr>
        <w:t>卫生机构和一些妇女的非政府组织举办座谈会并分发小册子，为大众特别是妇女提供关于婚姻、家庭和常见疾病的建议并提高他们这方面的认识。</w:t>
      </w:r>
    </w:p>
    <w:p w:rsidR="007234DD" w:rsidRDefault="007234DD">
      <w:pPr>
        <w:pStyle w:val="H4GC"/>
      </w:pPr>
      <w:r>
        <w:tab/>
      </w:r>
      <w:r>
        <w:tab/>
      </w:r>
      <w:r>
        <w:rPr>
          <w:rFonts w:hint="eastAsia"/>
        </w:rPr>
        <w:t>妇女产前、围产期和产后阶段的健康</w:t>
      </w:r>
    </w:p>
    <w:p w:rsidR="007234DD" w:rsidRDefault="007234DD">
      <w:pPr>
        <w:pStyle w:val="SingleTxtGC"/>
      </w:pPr>
      <w:r>
        <w:t xml:space="preserve">323.  </w:t>
      </w:r>
      <w:r>
        <w:rPr>
          <w:rFonts w:hint="eastAsia"/>
        </w:rPr>
        <w:t>以对母亲和胎儿进行多项检测的形式，向卡塔尔妇女提供产前综合护理。向卡塔尔籍妇女和外籍居民系统地提供产前医疗服务，特别是在分娩前最后几个月。因此，孕妇经常前往产前诊所。</w:t>
      </w:r>
      <w:r>
        <w:rPr>
          <w:rFonts w:hint="eastAsia"/>
        </w:rPr>
        <w:t>2008</w:t>
      </w:r>
      <w:r>
        <w:rPr>
          <w:rFonts w:hint="eastAsia"/>
        </w:rPr>
        <w:t>年，约</w:t>
      </w:r>
      <w:r>
        <w:rPr>
          <w:rFonts w:hint="eastAsia"/>
        </w:rPr>
        <w:t>20</w:t>
      </w:r>
      <w:r>
        <w:rPr>
          <w:rFonts w:hint="eastAsia"/>
        </w:rPr>
        <w:t>万妇女前往妇产医院的门诊部就诊，这一事实证明妇女获得了此类医疗保健。</w:t>
      </w:r>
    </w:p>
    <w:p w:rsidR="007234DD" w:rsidRDefault="007234DD">
      <w:pPr>
        <w:pStyle w:val="SingleTxtGC"/>
      </w:pPr>
      <w:r>
        <w:t xml:space="preserve">324.  </w:t>
      </w:r>
      <w:r>
        <w:rPr>
          <w:rFonts w:hint="eastAsia"/>
        </w:rPr>
        <w:t>卡塔尔制订了能够使男性和女性利用计划生育服务的政策。世界卫生组织</w:t>
      </w:r>
      <w:r>
        <w:rPr>
          <w:rFonts w:hint="eastAsia"/>
        </w:rPr>
        <w:t>(</w:t>
      </w:r>
      <w:r>
        <w:rPr>
          <w:rFonts w:hint="eastAsia"/>
        </w:rPr>
        <w:t>世卫组织</w:t>
      </w:r>
      <w:r>
        <w:rPr>
          <w:rFonts w:hint="eastAsia"/>
        </w:rPr>
        <w:t>)</w:t>
      </w:r>
      <w:r>
        <w:rPr>
          <w:rFonts w:hint="eastAsia"/>
        </w:rPr>
        <w:t>建议妇女在孕期的三个不同时间段进行筛查，而卡塔尔则为孕妇提供了月度筛查以及在怀孕最后一个月十天一次的诊查机会。也就是说，在一次怀孕期间将进行共计</w:t>
      </w:r>
      <w:r>
        <w:rPr>
          <w:rFonts w:hint="eastAsia"/>
        </w:rPr>
        <w:t>12</w:t>
      </w:r>
      <w:r>
        <w:rPr>
          <w:rFonts w:hint="eastAsia"/>
        </w:rPr>
        <w:t>次诊查。</w:t>
      </w:r>
    </w:p>
    <w:p w:rsidR="007234DD" w:rsidRDefault="007234DD">
      <w:pPr>
        <w:pStyle w:val="SingleTxtGC"/>
      </w:pPr>
      <w:r>
        <w:t xml:space="preserve">325.  </w:t>
      </w:r>
      <w:r>
        <w:rPr>
          <w:rFonts w:hint="eastAsia"/>
        </w:rPr>
        <w:t>通过监控母婴在孕期和分娩时的健康，执行针对孕妇的综合护理方案。此后，新生儿自动接受免疫，母亲则在出院前接受免疫。利用超声设备进行孕期检查，在合格医生的指导下监测母亲健康。向男性和女性提供辅助受孕和生育治疗。</w:t>
      </w:r>
    </w:p>
    <w:p w:rsidR="007234DD" w:rsidRDefault="007234DD">
      <w:pPr>
        <w:pStyle w:val="H23GC"/>
      </w:pPr>
      <w:r>
        <w:tab/>
      </w:r>
      <w:r>
        <w:tab/>
      </w:r>
      <w:r>
        <w:rPr>
          <w:rFonts w:hint="eastAsia"/>
        </w:rPr>
        <w:t>孕妇接种疫苗</w:t>
      </w:r>
    </w:p>
    <w:p w:rsidR="007234DD" w:rsidRDefault="007234DD">
      <w:pPr>
        <w:pStyle w:val="SingleTxtGC"/>
        <w:rPr>
          <w:rFonts w:hint="eastAsia"/>
        </w:rPr>
      </w:pPr>
      <w:r>
        <w:t xml:space="preserve">326.  </w:t>
      </w:r>
      <w:r>
        <w:rPr>
          <w:rFonts w:hint="eastAsia"/>
        </w:rPr>
        <w:t>在卡塔尔，按照一个专门设计的方案，孕妇定期接受风疹检测，并在初次怀孕第五个月和第七个月注射破伤风疫苗。此后，她们每次怀孕时均注射一剂疫苗。</w:t>
      </w:r>
    </w:p>
    <w:p w:rsidR="007234DD" w:rsidRDefault="007234DD">
      <w:pPr>
        <w:pStyle w:val="H23GC"/>
      </w:pPr>
      <w:r>
        <w:tab/>
      </w:r>
      <w:r>
        <w:tab/>
      </w:r>
      <w:r>
        <w:rPr>
          <w:rFonts w:hint="eastAsia"/>
        </w:rPr>
        <w:t>儿童的母乳喂养和免疫</w:t>
      </w:r>
    </w:p>
    <w:p w:rsidR="007234DD" w:rsidRDefault="007234DD">
      <w:pPr>
        <w:pStyle w:val="SingleTxtGC"/>
        <w:spacing w:after="100"/>
      </w:pPr>
      <w:r>
        <w:t xml:space="preserve">327.  </w:t>
      </w:r>
      <w:r>
        <w:rPr>
          <w:rFonts w:hint="eastAsia"/>
        </w:rPr>
        <w:t>最高卫生委员会和哈马德医疗公司鼓励并支持母乳喂养做法。它们努力让妇产医院和在《爱婴倡议》中提供产科和儿科服务的卫生中心参与其中，这是通过母婴保健科和母乳喂养委员会与诸如妇产科、儿科、护理科、初级卫生保健科等科室的共同努力实现的。这些努力的首批成果之一便是拟定了国家母乳喂养政策，由母乳喂养委员会在</w:t>
      </w:r>
      <w:r>
        <w:rPr>
          <w:rFonts w:hint="eastAsia"/>
        </w:rPr>
        <w:t>2000</w:t>
      </w:r>
      <w:r>
        <w:rPr>
          <w:rFonts w:hint="eastAsia"/>
        </w:rPr>
        <w:t>年年底通过。该政策内容如下：</w:t>
      </w:r>
    </w:p>
    <w:p w:rsidR="007234DD" w:rsidRDefault="007234DD">
      <w:pPr>
        <w:pStyle w:val="Bullet1GC"/>
        <w:spacing w:after="100"/>
      </w:pPr>
      <w:r>
        <w:rPr>
          <w:rFonts w:hint="eastAsia"/>
        </w:rPr>
        <w:t>卫生部门的所有员工，即妇科医生、产科医生、儿科医生、护士、卫生教育工作者和营养学家，均须遵守此母乳喂养政策。</w:t>
      </w:r>
    </w:p>
    <w:p w:rsidR="007234DD" w:rsidRDefault="007234DD">
      <w:pPr>
        <w:pStyle w:val="Bullet1GC"/>
        <w:spacing w:after="100"/>
      </w:pPr>
      <w:r>
        <w:rPr>
          <w:rFonts w:hint="eastAsia"/>
        </w:rPr>
        <w:t>所有行政人员和卫生部门工作人员须就执行该政策所需要的技能进行培训。</w:t>
      </w:r>
    </w:p>
    <w:p w:rsidR="007234DD" w:rsidRDefault="007234DD">
      <w:pPr>
        <w:pStyle w:val="Bullet1GC"/>
        <w:spacing w:after="100"/>
      </w:pPr>
      <w:r>
        <w:rPr>
          <w:rFonts w:hint="eastAsia"/>
        </w:rPr>
        <w:t>产前和产后检测须包括乳房检测，必须教导母亲如何进行母乳喂养。</w:t>
      </w:r>
    </w:p>
    <w:p w:rsidR="007234DD" w:rsidRDefault="007234DD">
      <w:pPr>
        <w:pStyle w:val="Bullet1GC"/>
        <w:spacing w:after="100"/>
      </w:pPr>
      <w:r>
        <w:rPr>
          <w:rFonts w:hint="eastAsia"/>
        </w:rPr>
        <w:t>卫生部门员工须向所有孕妇、母亲、哺乳子女的妇女及其家庭成员提供有关母乳喂养的益处的综合建议。他们必须鼓励母亲在子女出生</w:t>
      </w:r>
      <w:r>
        <w:rPr>
          <w:rFonts w:hint="eastAsia"/>
        </w:rPr>
        <w:t>6</w:t>
      </w:r>
      <w:r>
        <w:rPr>
          <w:rFonts w:hint="eastAsia"/>
        </w:rPr>
        <w:t>个月内进行母乳喂养，并鼓励母亲即便在子女开始摄入辅助食物后继续进行母乳喂养直到孩子满两周岁。</w:t>
      </w:r>
    </w:p>
    <w:p w:rsidR="007234DD" w:rsidRDefault="007234DD">
      <w:pPr>
        <w:pStyle w:val="Bullet1GC"/>
        <w:spacing w:after="100"/>
      </w:pPr>
      <w:r>
        <w:rPr>
          <w:rFonts w:hint="eastAsia"/>
        </w:rPr>
        <w:t>母亲应在子女出生后一小时内开始母乳喂养，除非她们或婴儿的身体状况不能进行母乳喂养。</w:t>
      </w:r>
    </w:p>
    <w:p w:rsidR="007234DD" w:rsidRDefault="007234DD">
      <w:pPr>
        <w:pStyle w:val="Bullet1GC"/>
        <w:spacing w:after="100"/>
      </w:pPr>
      <w:r>
        <w:rPr>
          <w:rFonts w:hint="eastAsia"/>
        </w:rPr>
        <w:t>除非出于医疗目的并根据医疗指导，不得向新生儿喂食除母乳或人工乳以外的任何食物或饮料。</w:t>
      </w:r>
    </w:p>
    <w:p w:rsidR="007234DD" w:rsidRDefault="007234DD">
      <w:pPr>
        <w:pStyle w:val="Bullet1GC"/>
        <w:spacing w:after="100"/>
      </w:pPr>
      <w:r>
        <w:rPr>
          <w:rFonts w:hint="eastAsia"/>
        </w:rPr>
        <w:t>母亲和婴儿白天应身处同一个房间。</w:t>
      </w:r>
    </w:p>
    <w:p w:rsidR="007234DD" w:rsidRDefault="007234DD">
      <w:pPr>
        <w:pStyle w:val="Bullet1GC"/>
        <w:spacing w:after="100"/>
      </w:pPr>
      <w:r>
        <w:rPr>
          <w:rFonts w:hint="eastAsia"/>
        </w:rPr>
        <w:t>须鼓励母亲按需进行母乳喂养。</w:t>
      </w:r>
    </w:p>
    <w:p w:rsidR="007234DD" w:rsidRDefault="007234DD">
      <w:pPr>
        <w:pStyle w:val="Bullet1GC"/>
        <w:spacing w:after="100"/>
      </w:pPr>
      <w:r>
        <w:rPr>
          <w:rFonts w:hint="eastAsia"/>
        </w:rPr>
        <w:t>不允许在医院进行人工乳制品和奶瓶等用具的促销、海报张贴、免费样品发放及类似活动。并且禁止向母亲和家庭成员提供这些物品。</w:t>
      </w:r>
    </w:p>
    <w:p w:rsidR="007234DD" w:rsidRDefault="007234DD">
      <w:pPr>
        <w:pStyle w:val="Bullet1GC"/>
        <w:spacing w:after="100"/>
      </w:pPr>
      <w:r>
        <w:rPr>
          <w:rFonts w:hint="eastAsia"/>
        </w:rPr>
        <w:t>须成立母乳喂养支助团队，帮助母亲继续进行母乳喂养。</w:t>
      </w:r>
    </w:p>
    <w:p w:rsidR="007234DD" w:rsidRDefault="007234DD">
      <w:pPr>
        <w:pStyle w:val="SingleTxtGC"/>
      </w:pPr>
      <w:r>
        <w:t xml:space="preserve">328.  </w:t>
      </w:r>
      <w:r>
        <w:rPr>
          <w:rFonts w:hint="eastAsia"/>
        </w:rPr>
        <w:t>相较于过去十年，</w:t>
      </w:r>
      <w:r>
        <w:rPr>
          <w:rFonts w:hint="eastAsia"/>
        </w:rPr>
        <w:t>1</w:t>
      </w:r>
      <w:r>
        <w:rPr>
          <w:rFonts w:hint="eastAsia"/>
        </w:rPr>
        <w:t>岁以下婴儿的免疫覆盖率已提高。例如，</w:t>
      </w:r>
      <w:r>
        <w:rPr>
          <w:rFonts w:hint="eastAsia"/>
        </w:rPr>
        <w:t>2008</w:t>
      </w:r>
      <w:r>
        <w:rPr>
          <w:rFonts w:hint="eastAsia"/>
        </w:rPr>
        <w:t>年，结核病免疫覆盖率为</w:t>
      </w:r>
      <w:r>
        <w:rPr>
          <w:rFonts w:hint="eastAsia"/>
        </w:rPr>
        <w:t>98%</w:t>
      </w:r>
      <w:r>
        <w:rPr>
          <w:rFonts w:hint="eastAsia"/>
        </w:rPr>
        <w:t>，第三针脊髓灰质炎疫苗的覆盖率为</w:t>
      </w:r>
      <w:r>
        <w:rPr>
          <w:rFonts w:hint="eastAsia"/>
        </w:rPr>
        <w:t>97.1%</w:t>
      </w:r>
      <w:r>
        <w:rPr>
          <w:rFonts w:hint="eastAsia"/>
        </w:rPr>
        <w:t>，麻疹疫苗和肝炎疫苗的覆盖率分别为</w:t>
      </w:r>
      <w:r>
        <w:rPr>
          <w:rFonts w:hint="eastAsia"/>
        </w:rPr>
        <w:t>95.3%</w:t>
      </w:r>
      <w:r>
        <w:rPr>
          <w:rFonts w:hint="eastAsia"/>
        </w:rPr>
        <w:t>和</w:t>
      </w:r>
      <w:r>
        <w:t>97.4</w:t>
      </w:r>
      <w:r>
        <w:rPr>
          <w:rFonts w:hint="eastAsia"/>
        </w:rPr>
        <w:t>%</w:t>
      </w:r>
      <w:r>
        <w:rPr>
          <w:rFonts w:hint="eastAsia"/>
        </w:rPr>
        <w:t>。这证明了国家在该领域内所做的工作，也证明了母亲令子女接受免疫的意识和承诺得到提高。其结果是婴儿的健康状况更好了。</w:t>
      </w:r>
    </w:p>
    <w:p w:rsidR="007234DD" w:rsidRDefault="007234DD">
      <w:pPr>
        <w:pStyle w:val="SingleTxtGC"/>
      </w:pPr>
      <w:r>
        <w:rPr>
          <w:rFonts w:hint="eastAsia"/>
        </w:rPr>
        <w:t>表</w:t>
      </w:r>
      <w:r>
        <w:rPr>
          <w:rFonts w:hint="eastAsia"/>
        </w:rPr>
        <w:t>30</w:t>
      </w:r>
      <w:r>
        <w:br/>
      </w:r>
      <w:r>
        <w:rPr>
          <w:rFonts w:eastAsia="SimHei" w:hint="eastAsia"/>
        </w:rPr>
        <w:t>2004-2008</w:t>
      </w:r>
      <w:r>
        <w:rPr>
          <w:rFonts w:eastAsia="SimHei" w:hint="eastAsia"/>
        </w:rPr>
        <w:t>年</w:t>
      </w:r>
      <w:r>
        <w:rPr>
          <w:rFonts w:eastAsia="SimHei" w:hint="eastAsia"/>
        </w:rPr>
        <w:t>1</w:t>
      </w:r>
      <w:r>
        <w:rPr>
          <w:rFonts w:eastAsia="SimHei" w:hint="eastAsia"/>
        </w:rPr>
        <w:t>岁以下婴儿的免疫覆盖率</w:t>
      </w:r>
    </w:p>
    <w:tbl>
      <w:tblPr>
        <w:tblW w:w="7370" w:type="dxa"/>
        <w:tblInd w:w="1134" w:type="dxa"/>
        <w:tblLayout w:type="fixed"/>
        <w:tblCellMar>
          <w:left w:w="0" w:type="dxa"/>
          <w:right w:w="0" w:type="dxa"/>
        </w:tblCellMar>
        <w:tblLook w:val="01E0" w:firstRow="1" w:lastRow="1" w:firstColumn="1" w:lastColumn="1" w:noHBand="0" w:noVBand="0"/>
      </w:tblPr>
      <w:tblGrid>
        <w:gridCol w:w="2766"/>
        <w:gridCol w:w="1151"/>
        <w:gridCol w:w="1189"/>
        <w:gridCol w:w="1170"/>
        <w:gridCol w:w="1094"/>
      </w:tblGrid>
      <w:tr w:rsidR="007234DD">
        <w:trPr>
          <w:cantSplit/>
          <w:trHeight w:val="180"/>
          <w:tblHeader/>
        </w:trPr>
        <w:tc>
          <w:tcPr>
            <w:tcW w:w="2766" w:type="dxa"/>
            <w:vMerge w:val="restart"/>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疫苗类型</w:t>
            </w:r>
          </w:p>
        </w:tc>
        <w:tc>
          <w:tcPr>
            <w:tcW w:w="4604" w:type="dxa"/>
            <w:gridSpan w:val="4"/>
            <w:tcBorders>
              <w:top w:val="single" w:sz="4" w:space="0" w:color="auto"/>
              <w:bottom w:val="single" w:sz="6" w:space="0" w:color="auto"/>
            </w:tcBorders>
            <w:shd w:val="clear" w:color="auto" w:fill="auto"/>
            <w:vAlign w:val="bottom"/>
          </w:tcPr>
          <w:p w:rsidR="007234DD" w:rsidRDefault="007234DD">
            <w:pPr>
              <w:pStyle w:val="a0"/>
              <w:ind w:right="0"/>
              <w:jc w:val="center"/>
              <w:rPr>
                <w:rFonts w:hint="eastAsia"/>
              </w:rPr>
            </w:pPr>
            <w:r>
              <w:rPr>
                <w:rFonts w:hint="eastAsia"/>
              </w:rPr>
              <w:t>年份</w:t>
            </w:r>
          </w:p>
        </w:tc>
      </w:tr>
      <w:tr w:rsidR="007234DD">
        <w:trPr>
          <w:cantSplit/>
          <w:trHeight w:val="180"/>
          <w:tblHeader/>
        </w:trPr>
        <w:tc>
          <w:tcPr>
            <w:tcW w:w="2766" w:type="dxa"/>
            <w:vMerge/>
            <w:tcBorders>
              <w:top w:val="single" w:sz="12" w:space="0" w:color="auto"/>
              <w:bottom w:val="single" w:sz="12" w:space="0" w:color="auto"/>
            </w:tcBorders>
            <w:shd w:val="clear" w:color="auto" w:fill="auto"/>
          </w:tcPr>
          <w:p w:rsidR="007234DD" w:rsidRDefault="007234DD">
            <w:pPr>
              <w:pStyle w:val="a5"/>
            </w:pPr>
          </w:p>
        </w:tc>
        <w:tc>
          <w:tcPr>
            <w:tcW w:w="1151"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t>2004</w:t>
            </w:r>
          </w:p>
        </w:tc>
        <w:tc>
          <w:tcPr>
            <w:tcW w:w="1189"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t>2005</w:t>
            </w:r>
          </w:p>
        </w:tc>
        <w:tc>
          <w:tcPr>
            <w:tcW w:w="1170"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t>2006</w:t>
            </w:r>
          </w:p>
        </w:tc>
        <w:tc>
          <w:tcPr>
            <w:tcW w:w="1094"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t>2007</w:t>
            </w:r>
          </w:p>
        </w:tc>
      </w:tr>
      <w:tr w:rsidR="007234DD">
        <w:trPr>
          <w:cantSplit/>
        </w:trPr>
        <w:tc>
          <w:tcPr>
            <w:tcW w:w="2766" w:type="dxa"/>
            <w:tcBorders>
              <w:top w:val="single" w:sz="12" w:space="0" w:color="auto"/>
            </w:tcBorders>
            <w:shd w:val="clear" w:color="auto" w:fill="auto"/>
          </w:tcPr>
          <w:p w:rsidR="007234DD" w:rsidRDefault="007234DD">
            <w:pPr>
              <w:pStyle w:val="a5"/>
            </w:pPr>
            <w:r>
              <w:rPr>
                <w:rFonts w:hint="eastAsia"/>
              </w:rPr>
              <w:t>肺结核</w:t>
            </w:r>
            <w:r>
              <w:t>(</w:t>
            </w:r>
            <w:bookmarkStart w:id="13" w:name="OLE_LINK40"/>
            <w:bookmarkStart w:id="14" w:name="OLE_LINK41"/>
            <w:r>
              <w:t>BCG</w:t>
            </w:r>
            <w:bookmarkEnd w:id="13"/>
            <w:bookmarkEnd w:id="14"/>
            <w:r>
              <w:t>)</w:t>
            </w:r>
          </w:p>
        </w:tc>
        <w:tc>
          <w:tcPr>
            <w:tcW w:w="1151" w:type="dxa"/>
            <w:tcBorders>
              <w:top w:val="single" w:sz="12" w:space="0" w:color="auto"/>
            </w:tcBorders>
            <w:shd w:val="clear" w:color="auto" w:fill="auto"/>
          </w:tcPr>
          <w:p w:rsidR="007234DD" w:rsidRDefault="007234DD">
            <w:pPr>
              <w:pStyle w:val="a5"/>
              <w:ind w:right="0"/>
              <w:jc w:val="right"/>
            </w:pPr>
            <w:r>
              <w:t>100</w:t>
            </w:r>
          </w:p>
        </w:tc>
        <w:tc>
          <w:tcPr>
            <w:tcW w:w="1189" w:type="dxa"/>
            <w:tcBorders>
              <w:top w:val="single" w:sz="12" w:space="0" w:color="auto"/>
            </w:tcBorders>
            <w:shd w:val="clear" w:color="auto" w:fill="auto"/>
          </w:tcPr>
          <w:p w:rsidR="007234DD" w:rsidRDefault="007234DD">
            <w:pPr>
              <w:pStyle w:val="a5"/>
              <w:ind w:right="0"/>
              <w:jc w:val="right"/>
            </w:pPr>
            <w:r>
              <w:t>100</w:t>
            </w:r>
          </w:p>
        </w:tc>
        <w:tc>
          <w:tcPr>
            <w:tcW w:w="1170" w:type="dxa"/>
            <w:tcBorders>
              <w:top w:val="single" w:sz="12" w:space="0" w:color="auto"/>
            </w:tcBorders>
            <w:shd w:val="clear" w:color="auto" w:fill="auto"/>
          </w:tcPr>
          <w:p w:rsidR="007234DD" w:rsidRDefault="007234DD">
            <w:pPr>
              <w:pStyle w:val="a5"/>
              <w:ind w:right="0"/>
              <w:jc w:val="right"/>
            </w:pPr>
            <w:r>
              <w:t>100</w:t>
            </w:r>
          </w:p>
        </w:tc>
        <w:tc>
          <w:tcPr>
            <w:tcW w:w="1094" w:type="dxa"/>
            <w:tcBorders>
              <w:top w:val="single" w:sz="12" w:space="0" w:color="auto"/>
            </w:tcBorders>
            <w:shd w:val="clear" w:color="auto" w:fill="auto"/>
          </w:tcPr>
          <w:p w:rsidR="007234DD" w:rsidRDefault="007234DD">
            <w:pPr>
              <w:pStyle w:val="a5"/>
              <w:ind w:right="0"/>
              <w:jc w:val="right"/>
            </w:pPr>
            <w:r>
              <w:t>96.2</w:t>
            </w:r>
          </w:p>
        </w:tc>
      </w:tr>
      <w:tr w:rsidR="007234DD">
        <w:trPr>
          <w:cantSplit/>
        </w:trPr>
        <w:tc>
          <w:tcPr>
            <w:tcW w:w="2766" w:type="dxa"/>
            <w:shd w:val="clear" w:color="auto" w:fill="auto"/>
          </w:tcPr>
          <w:p w:rsidR="007234DD" w:rsidRDefault="007234DD">
            <w:pPr>
              <w:pStyle w:val="a5"/>
            </w:pPr>
            <w:r>
              <w:rPr>
                <w:rFonts w:hint="eastAsia"/>
              </w:rPr>
              <w:t>脊髓灰质炎</w:t>
            </w:r>
            <w:r>
              <w:t>(</w:t>
            </w:r>
            <w:r>
              <w:rPr>
                <w:rFonts w:hint="eastAsia"/>
              </w:rPr>
              <w:t>第三剂</w:t>
            </w:r>
            <w:r>
              <w:t>)</w:t>
            </w:r>
          </w:p>
        </w:tc>
        <w:tc>
          <w:tcPr>
            <w:tcW w:w="1151" w:type="dxa"/>
            <w:shd w:val="clear" w:color="auto" w:fill="auto"/>
          </w:tcPr>
          <w:p w:rsidR="007234DD" w:rsidRDefault="007234DD">
            <w:pPr>
              <w:pStyle w:val="a5"/>
              <w:ind w:right="0"/>
              <w:jc w:val="right"/>
            </w:pPr>
            <w:r>
              <w:t>95</w:t>
            </w:r>
          </w:p>
        </w:tc>
        <w:tc>
          <w:tcPr>
            <w:tcW w:w="1189" w:type="dxa"/>
            <w:shd w:val="clear" w:color="auto" w:fill="auto"/>
          </w:tcPr>
          <w:p w:rsidR="007234DD" w:rsidRDefault="007234DD">
            <w:pPr>
              <w:pStyle w:val="a5"/>
              <w:ind w:right="0"/>
              <w:jc w:val="right"/>
            </w:pPr>
            <w:r>
              <w:t>98</w:t>
            </w:r>
          </w:p>
        </w:tc>
        <w:tc>
          <w:tcPr>
            <w:tcW w:w="1170" w:type="dxa"/>
            <w:shd w:val="clear" w:color="auto" w:fill="auto"/>
          </w:tcPr>
          <w:p w:rsidR="007234DD" w:rsidRDefault="007234DD">
            <w:pPr>
              <w:pStyle w:val="a5"/>
              <w:ind w:right="0"/>
              <w:jc w:val="right"/>
            </w:pPr>
            <w:r>
              <w:t>95</w:t>
            </w:r>
          </w:p>
        </w:tc>
        <w:tc>
          <w:tcPr>
            <w:tcW w:w="1094" w:type="dxa"/>
            <w:shd w:val="clear" w:color="auto" w:fill="auto"/>
          </w:tcPr>
          <w:p w:rsidR="007234DD" w:rsidRDefault="007234DD">
            <w:pPr>
              <w:pStyle w:val="a5"/>
              <w:ind w:right="0"/>
              <w:jc w:val="right"/>
            </w:pPr>
            <w:r>
              <w:t>96.7</w:t>
            </w:r>
          </w:p>
        </w:tc>
      </w:tr>
      <w:tr w:rsidR="007234DD">
        <w:trPr>
          <w:cantSplit/>
        </w:trPr>
        <w:tc>
          <w:tcPr>
            <w:tcW w:w="2766" w:type="dxa"/>
            <w:shd w:val="clear" w:color="auto" w:fill="auto"/>
          </w:tcPr>
          <w:p w:rsidR="007234DD" w:rsidRDefault="007234DD">
            <w:pPr>
              <w:pStyle w:val="a5"/>
            </w:pPr>
            <w:r>
              <w:rPr>
                <w:rFonts w:hint="eastAsia"/>
              </w:rPr>
              <w:t>三联疫苗</w:t>
            </w:r>
            <w:r>
              <w:t>(</w:t>
            </w:r>
            <w:r>
              <w:rPr>
                <w:rFonts w:hint="eastAsia"/>
              </w:rPr>
              <w:t>第三剂</w:t>
            </w:r>
            <w:r>
              <w:t>)</w:t>
            </w:r>
          </w:p>
        </w:tc>
        <w:tc>
          <w:tcPr>
            <w:tcW w:w="1151" w:type="dxa"/>
            <w:shd w:val="clear" w:color="auto" w:fill="auto"/>
          </w:tcPr>
          <w:p w:rsidR="007234DD" w:rsidRDefault="007234DD">
            <w:pPr>
              <w:pStyle w:val="a5"/>
              <w:ind w:right="0"/>
              <w:jc w:val="right"/>
            </w:pPr>
            <w:r>
              <w:t>96</w:t>
            </w:r>
          </w:p>
        </w:tc>
        <w:tc>
          <w:tcPr>
            <w:tcW w:w="1189" w:type="dxa"/>
            <w:shd w:val="clear" w:color="auto" w:fill="auto"/>
          </w:tcPr>
          <w:p w:rsidR="007234DD" w:rsidRDefault="007234DD">
            <w:pPr>
              <w:pStyle w:val="a5"/>
              <w:ind w:right="0"/>
              <w:jc w:val="right"/>
            </w:pPr>
            <w:r>
              <w:t>97</w:t>
            </w:r>
          </w:p>
        </w:tc>
        <w:tc>
          <w:tcPr>
            <w:tcW w:w="1170" w:type="dxa"/>
            <w:shd w:val="clear" w:color="auto" w:fill="auto"/>
          </w:tcPr>
          <w:p w:rsidR="007234DD" w:rsidRDefault="007234DD">
            <w:pPr>
              <w:pStyle w:val="a5"/>
              <w:ind w:right="0"/>
              <w:jc w:val="right"/>
            </w:pPr>
            <w:r>
              <w:t>96</w:t>
            </w:r>
          </w:p>
        </w:tc>
        <w:tc>
          <w:tcPr>
            <w:tcW w:w="1094" w:type="dxa"/>
            <w:shd w:val="clear" w:color="auto" w:fill="auto"/>
          </w:tcPr>
          <w:p w:rsidR="007234DD" w:rsidRDefault="007234DD">
            <w:pPr>
              <w:pStyle w:val="a5"/>
              <w:ind w:right="0"/>
              <w:jc w:val="right"/>
            </w:pPr>
            <w:r>
              <w:t>94.2</w:t>
            </w:r>
          </w:p>
        </w:tc>
      </w:tr>
      <w:tr w:rsidR="007234DD">
        <w:trPr>
          <w:cantSplit/>
        </w:trPr>
        <w:tc>
          <w:tcPr>
            <w:tcW w:w="2766" w:type="dxa"/>
            <w:shd w:val="clear" w:color="auto" w:fill="auto"/>
          </w:tcPr>
          <w:p w:rsidR="007234DD" w:rsidRDefault="007234DD">
            <w:pPr>
              <w:pStyle w:val="a5"/>
            </w:pPr>
            <w:r>
              <w:rPr>
                <w:rFonts w:hint="eastAsia"/>
              </w:rPr>
              <w:t>乙肝</w:t>
            </w:r>
            <w:r>
              <w:t>(</w:t>
            </w:r>
            <w:r>
              <w:rPr>
                <w:rFonts w:hint="eastAsia"/>
              </w:rPr>
              <w:t>第三剂</w:t>
            </w:r>
            <w:r>
              <w:t>)</w:t>
            </w:r>
          </w:p>
        </w:tc>
        <w:tc>
          <w:tcPr>
            <w:tcW w:w="1151" w:type="dxa"/>
            <w:shd w:val="clear" w:color="auto" w:fill="auto"/>
          </w:tcPr>
          <w:p w:rsidR="007234DD" w:rsidRDefault="007234DD">
            <w:pPr>
              <w:pStyle w:val="a5"/>
              <w:ind w:right="0"/>
              <w:jc w:val="right"/>
            </w:pPr>
            <w:r>
              <w:t>97</w:t>
            </w:r>
          </w:p>
        </w:tc>
        <w:tc>
          <w:tcPr>
            <w:tcW w:w="1189" w:type="dxa"/>
            <w:shd w:val="clear" w:color="auto" w:fill="auto"/>
          </w:tcPr>
          <w:p w:rsidR="007234DD" w:rsidRDefault="007234DD">
            <w:pPr>
              <w:pStyle w:val="a5"/>
              <w:ind w:right="0"/>
              <w:jc w:val="right"/>
            </w:pPr>
            <w:r>
              <w:t>97</w:t>
            </w:r>
          </w:p>
        </w:tc>
        <w:tc>
          <w:tcPr>
            <w:tcW w:w="1170" w:type="dxa"/>
            <w:shd w:val="clear" w:color="auto" w:fill="auto"/>
          </w:tcPr>
          <w:p w:rsidR="007234DD" w:rsidRDefault="007234DD">
            <w:pPr>
              <w:pStyle w:val="a5"/>
              <w:ind w:right="0"/>
              <w:jc w:val="right"/>
            </w:pPr>
            <w:r>
              <w:t>96</w:t>
            </w:r>
          </w:p>
        </w:tc>
        <w:tc>
          <w:tcPr>
            <w:tcW w:w="1094" w:type="dxa"/>
            <w:shd w:val="clear" w:color="auto" w:fill="auto"/>
          </w:tcPr>
          <w:p w:rsidR="007234DD" w:rsidRDefault="007234DD">
            <w:pPr>
              <w:pStyle w:val="a5"/>
              <w:ind w:right="0"/>
              <w:jc w:val="right"/>
            </w:pPr>
            <w:r>
              <w:t>94.2</w:t>
            </w:r>
          </w:p>
        </w:tc>
      </w:tr>
      <w:tr w:rsidR="007234DD">
        <w:trPr>
          <w:cantSplit/>
        </w:trPr>
        <w:tc>
          <w:tcPr>
            <w:tcW w:w="2766" w:type="dxa"/>
            <w:shd w:val="clear" w:color="auto" w:fill="auto"/>
          </w:tcPr>
          <w:p w:rsidR="007234DD" w:rsidRDefault="007234DD">
            <w:pPr>
              <w:pStyle w:val="a5"/>
            </w:pPr>
            <w:bookmarkStart w:id="15" w:name="OLE_LINK42"/>
            <w:r>
              <w:rPr>
                <w:rFonts w:hint="eastAsia"/>
              </w:rPr>
              <w:t>流感嗜血杆菌</w:t>
            </w:r>
            <w:bookmarkEnd w:id="15"/>
            <w:r>
              <w:t>(</w:t>
            </w:r>
            <w:r>
              <w:rPr>
                <w:rFonts w:hint="eastAsia"/>
              </w:rPr>
              <w:t>第三剂</w:t>
            </w:r>
            <w:r>
              <w:t>)</w:t>
            </w:r>
          </w:p>
        </w:tc>
        <w:tc>
          <w:tcPr>
            <w:tcW w:w="1151" w:type="dxa"/>
            <w:shd w:val="clear" w:color="auto" w:fill="auto"/>
          </w:tcPr>
          <w:p w:rsidR="007234DD" w:rsidRDefault="007234DD">
            <w:pPr>
              <w:pStyle w:val="a5"/>
              <w:ind w:right="0"/>
              <w:jc w:val="right"/>
            </w:pPr>
            <w:r>
              <w:t>96</w:t>
            </w:r>
          </w:p>
        </w:tc>
        <w:tc>
          <w:tcPr>
            <w:tcW w:w="1189" w:type="dxa"/>
            <w:shd w:val="clear" w:color="auto" w:fill="auto"/>
          </w:tcPr>
          <w:p w:rsidR="007234DD" w:rsidRDefault="007234DD">
            <w:pPr>
              <w:pStyle w:val="a5"/>
              <w:ind w:right="0"/>
              <w:jc w:val="right"/>
            </w:pPr>
            <w:r>
              <w:t>97</w:t>
            </w:r>
          </w:p>
        </w:tc>
        <w:tc>
          <w:tcPr>
            <w:tcW w:w="1170" w:type="dxa"/>
            <w:shd w:val="clear" w:color="auto" w:fill="auto"/>
          </w:tcPr>
          <w:p w:rsidR="007234DD" w:rsidRDefault="007234DD">
            <w:pPr>
              <w:pStyle w:val="a5"/>
              <w:ind w:right="0"/>
              <w:jc w:val="right"/>
            </w:pPr>
            <w:r>
              <w:t>96</w:t>
            </w:r>
          </w:p>
        </w:tc>
        <w:tc>
          <w:tcPr>
            <w:tcW w:w="1094" w:type="dxa"/>
            <w:shd w:val="clear" w:color="auto" w:fill="auto"/>
          </w:tcPr>
          <w:p w:rsidR="007234DD" w:rsidRDefault="007234DD">
            <w:pPr>
              <w:pStyle w:val="a5"/>
              <w:ind w:right="0"/>
              <w:jc w:val="right"/>
            </w:pPr>
            <w:r>
              <w:t>94.2</w:t>
            </w:r>
          </w:p>
        </w:tc>
      </w:tr>
      <w:tr w:rsidR="007234DD">
        <w:trPr>
          <w:cantSplit/>
        </w:trPr>
        <w:tc>
          <w:tcPr>
            <w:tcW w:w="2766" w:type="dxa"/>
            <w:shd w:val="clear" w:color="auto" w:fill="auto"/>
          </w:tcPr>
          <w:p w:rsidR="007234DD" w:rsidRDefault="007234DD">
            <w:pPr>
              <w:pStyle w:val="a5"/>
            </w:pPr>
            <w:r>
              <w:rPr>
                <w:rFonts w:hint="eastAsia"/>
              </w:rPr>
              <w:t>麻疹、风疹和腮腺炎</w:t>
            </w:r>
            <w:r>
              <w:t>(</w:t>
            </w:r>
            <w:r>
              <w:rPr>
                <w:rFonts w:hint="eastAsia"/>
              </w:rPr>
              <w:t>第三剂</w:t>
            </w:r>
            <w:r>
              <w:t>)</w:t>
            </w:r>
          </w:p>
        </w:tc>
        <w:tc>
          <w:tcPr>
            <w:tcW w:w="1151" w:type="dxa"/>
            <w:shd w:val="clear" w:color="auto" w:fill="auto"/>
          </w:tcPr>
          <w:p w:rsidR="007234DD" w:rsidRDefault="007234DD">
            <w:pPr>
              <w:pStyle w:val="a5"/>
              <w:ind w:right="0"/>
              <w:jc w:val="right"/>
            </w:pPr>
            <w:r>
              <w:t>99</w:t>
            </w:r>
          </w:p>
        </w:tc>
        <w:tc>
          <w:tcPr>
            <w:tcW w:w="1189" w:type="dxa"/>
            <w:shd w:val="clear" w:color="auto" w:fill="auto"/>
          </w:tcPr>
          <w:p w:rsidR="007234DD" w:rsidRDefault="007234DD">
            <w:pPr>
              <w:pStyle w:val="a5"/>
              <w:ind w:right="0"/>
              <w:jc w:val="right"/>
            </w:pPr>
            <w:r>
              <w:t>100</w:t>
            </w:r>
          </w:p>
        </w:tc>
        <w:tc>
          <w:tcPr>
            <w:tcW w:w="1170" w:type="dxa"/>
            <w:shd w:val="clear" w:color="auto" w:fill="auto"/>
          </w:tcPr>
          <w:p w:rsidR="007234DD" w:rsidRDefault="007234DD">
            <w:pPr>
              <w:pStyle w:val="a5"/>
              <w:ind w:right="0"/>
              <w:jc w:val="right"/>
            </w:pPr>
            <w:r>
              <w:t>99</w:t>
            </w:r>
          </w:p>
        </w:tc>
        <w:tc>
          <w:tcPr>
            <w:tcW w:w="1094" w:type="dxa"/>
            <w:shd w:val="clear" w:color="auto" w:fill="auto"/>
          </w:tcPr>
          <w:p w:rsidR="007234DD" w:rsidRDefault="007234DD">
            <w:pPr>
              <w:pStyle w:val="a5"/>
              <w:ind w:right="0"/>
              <w:jc w:val="right"/>
            </w:pPr>
            <w:r>
              <w:t>92.3</w:t>
            </w:r>
          </w:p>
        </w:tc>
      </w:tr>
      <w:tr w:rsidR="007234DD">
        <w:trPr>
          <w:cantSplit/>
        </w:trPr>
        <w:tc>
          <w:tcPr>
            <w:tcW w:w="2766" w:type="dxa"/>
            <w:shd w:val="clear" w:color="auto" w:fill="auto"/>
          </w:tcPr>
          <w:p w:rsidR="007234DD" w:rsidRDefault="007234DD">
            <w:pPr>
              <w:pStyle w:val="a5"/>
              <w:rPr>
                <w:rFonts w:hint="eastAsia"/>
              </w:rPr>
            </w:pPr>
            <w:r>
              <w:rPr>
                <w:rFonts w:hint="eastAsia"/>
              </w:rPr>
              <w:t>天花</w:t>
            </w:r>
          </w:p>
        </w:tc>
        <w:tc>
          <w:tcPr>
            <w:tcW w:w="1151" w:type="dxa"/>
            <w:shd w:val="clear" w:color="auto" w:fill="auto"/>
          </w:tcPr>
          <w:p w:rsidR="007234DD" w:rsidRDefault="007234DD">
            <w:pPr>
              <w:pStyle w:val="a5"/>
              <w:ind w:right="0"/>
              <w:jc w:val="right"/>
            </w:pPr>
            <w:r>
              <w:t>98</w:t>
            </w:r>
          </w:p>
        </w:tc>
        <w:tc>
          <w:tcPr>
            <w:tcW w:w="1189" w:type="dxa"/>
            <w:shd w:val="clear" w:color="auto" w:fill="auto"/>
          </w:tcPr>
          <w:p w:rsidR="007234DD" w:rsidRDefault="007234DD">
            <w:pPr>
              <w:pStyle w:val="a5"/>
              <w:ind w:right="0"/>
              <w:jc w:val="right"/>
            </w:pPr>
            <w:r>
              <w:t>100</w:t>
            </w:r>
          </w:p>
        </w:tc>
        <w:tc>
          <w:tcPr>
            <w:tcW w:w="1170" w:type="dxa"/>
            <w:shd w:val="clear" w:color="auto" w:fill="auto"/>
          </w:tcPr>
          <w:p w:rsidR="007234DD" w:rsidRDefault="007234DD">
            <w:pPr>
              <w:pStyle w:val="a5"/>
              <w:ind w:right="0"/>
              <w:jc w:val="right"/>
            </w:pPr>
            <w:r>
              <w:t>98</w:t>
            </w:r>
          </w:p>
        </w:tc>
        <w:tc>
          <w:tcPr>
            <w:tcW w:w="1094" w:type="dxa"/>
            <w:shd w:val="clear" w:color="auto" w:fill="auto"/>
          </w:tcPr>
          <w:p w:rsidR="007234DD" w:rsidRDefault="007234DD">
            <w:pPr>
              <w:pStyle w:val="a5"/>
              <w:ind w:right="0"/>
              <w:jc w:val="right"/>
            </w:pPr>
            <w:r>
              <w:t>92.2</w:t>
            </w:r>
          </w:p>
        </w:tc>
      </w:tr>
      <w:tr w:rsidR="007234DD">
        <w:trPr>
          <w:cantSplit/>
        </w:trPr>
        <w:tc>
          <w:tcPr>
            <w:tcW w:w="2766" w:type="dxa"/>
            <w:tcBorders>
              <w:bottom w:val="single" w:sz="12" w:space="0" w:color="auto"/>
            </w:tcBorders>
            <w:shd w:val="clear" w:color="auto" w:fill="auto"/>
          </w:tcPr>
          <w:p w:rsidR="007234DD" w:rsidRDefault="007234DD">
            <w:pPr>
              <w:pStyle w:val="a5"/>
              <w:rPr>
                <w:rFonts w:hint="eastAsia"/>
              </w:rPr>
            </w:pPr>
            <w:r>
              <w:rPr>
                <w:rFonts w:hint="eastAsia"/>
              </w:rPr>
              <w:t>肺炎</w:t>
            </w:r>
          </w:p>
        </w:tc>
        <w:tc>
          <w:tcPr>
            <w:tcW w:w="2340" w:type="dxa"/>
            <w:gridSpan w:val="2"/>
            <w:tcBorders>
              <w:bottom w:val="single" w:sz="12" w:space="0" w:color="auto"/>
            </w:tcBorders>
            <w:shd w:val="clear" w:color="auto" w:fill="auto"/>
          </w:tcPr>
          <w:p w:rsidR="007234DD" w:rsidRDefault="007234DD">
            <w:pPr>
              <w:pStyle w:val="a5"/>
              <w:ind w:right="0"/>
              <w:jc w:val="right"/>
              <w:rPr>
                <w:rFonts w:hint="eastAsia"/>
              </w:rPr>
            </w:pPr>
            <w:r>
              <w:rPr>
                <w:rFonts w:hint="eastAsia"/>
              </w:rPr>
              <w:t>自</w:t>
            </w:r>
            <w:r>
              <w:t>2006</w:t>
            </w:r>
            <w:r>
              <w:rPr>
                <w:rFonts w:hint="eastAsia"/>
              </w:rPr>
              <w:t>年起</w:t>
            </w:r>
          </w:p>
        </w:tc>
        <w:tc>
          <w:tcPr>
            <w:tcW w:w="1170" w:type="dxa"/>
            <w:tcBorders>
              <w:bottom w:val="single" w:sz="12" w:space="0" w:color="auto"/>
            </w:tcBorders>
            <w:shd w:val="clear" w:color="auto" w:fill="auto"/>
          </w:tcPr>
          <w:p w:rsidR="007234DD" w:rsidRDefault="007234DD">
            <w:pPr>
              <w:pStyle w:val="a5"/>
              <w:ind w:right="0"/>
              <w:jc w:val="right"/>
            </w:pPr>
            <w:r>
              <w:t>91</w:t>
            </w:r>
          </w:p>
        </w:tc>
        <w:tc>
          <w:tcPr>
            <w:tcW w:w="1094" w:type="dxa"/>
            <w:tcBorders>
              <w:bottom w:val="single" w:sz="12" w:space="0" w:color="auto"/>
            </w:tcBorders>
            <w:shd w:val="clear" w:color="auto" w:fill="auto"/>
          </w:tcPr>
          <w:p w:rsidR="007234DD" w:rsidRDefault="007234DD">
            <w:pPr>
              <w:pStyle w:val="a5"/>
              <w:ind w:right="0"/>
              <w:jc w:val="right"/>
            </w:pPr>
            <w:r>
              <w:t>90</w:t>
            </w:r>
          </w:p>
        </w:tc>
      </w:tr>
    </w:tbl>
    <w:p w:rsidR="007234DD" w:rsidRDefault="00326C16" w:rsidP="00326C16">
      <w:pPr>
        <w:pStyle w:val="SingleTxtGC"/>
        <w:tabs>
          <w:tab w:val="left" w:pos="1300"/>
        </w:tabs>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卡塔尔国，</w:t>
      </w:r>
      <w:r w:rsidR="007234DD">
        <w:rPr>
          <w:rFonts w:hint="eastAsia"/>
          <w:sz w:val="19"/>
          <w:szCs w:val="19"/>
        </w:rPr>
        <w:t>2009</w:t>
      </w:r>
      <w:r w:rsidR="007234DD">
        <w:rPr>
          <w:rFonts w:hint="eastAsia"/>
          <w:sz w:val="19"/>
          <w:szCs w:val="19"/>
        </w:rPr>
        <w:t>年：年度重要统计数据；出生和死亡；统计局。</w:t>
      </w:r>
    </w:p>
    <w:p w:rsidR="007234DD" w:rsidRDefault="007234DD">
      <w:pPr>
        <w:pStyle w:val="H23GC"/>
      </w:pPr>
      <w:r>
        <w:tab/>
      </w:r>
      <w:r>
        <w:tab/>
      </w:r>
      <w:r>
        <w:rPr>
          <w:rFonts w:hint="eastAsia"/>
        </w:rPr>
        <w:t>确保妇女获得充足营养</w:t>
      </w:r>
    </w:p>
    <w:p w:rsidR="007234DD" w:rsidRDefault="007234DD">
      <w:pPr>
        <w:pStyle w:val="H4GC"/>
      </w:pPr>
      <w:r>
        <w:tab/>
      </w:r>
      <w:r>
        <w:tab/>
      </w:r>
      <w:r>
        <w:rPr>
          <w:rFonts w:hint="eastAsia"/>
        </w:rPr>
        <w:t>怀孕和母乳喂养</w:t>
      </w:r>
    </w:p>
    <w:p w:rsidR="007234DD" w:rsidRDefault="007234DD">
      <w:pPr>
        <w:pStyle w:val="SingleTxtGC"/>
      </w:pPr>
      <w:r>
        <w:t xml:space="preserve">329.  </w:t>
      </w:r>
      <w:r>
        <w:rPr>
          <w:rFonts w:hint="eastAsia"/>
        </w:rPr>
        <w:t>开展了依据医学指导的营养方案，包括按照全国所有卫生中心遵循的怀孕保健的指导方针，针对卡塔尔孕妇和哺乳期妇女的预防缺铁及贫血措施。</w:t>
      </w:r>
    </w:p>
    <w:p w:rsidR="007234DD" w:rsidRDefault="007234DD">
      <w:pPr>
        <w:pStyle w:val="SingleTxtGC"/>
      </w:pPr>
      <w:r>
        <w:t xml:space="preserve">330.  </w:t>
      </w:r>
      <w:r>
        <w:rPr>
          <w:rFonts w:hint="eastAsia"/>
        </w:rPr>
        <w:t>最近的统计数据显示，</w:t>
      </w:r>
      <w:r>
        <w:rPr>
          <w:rFonts w:hint="eastAsia"/>
        </w:rPr>
        <w:t>32%</w:t>
      </w:r>
      <w:r>
        <w:rPr>
          <w:rFonts w:hint="eastAsia"/>
        </w:rPr>
        <w:t>的卡塔尔男性和女性拥有导致血管疾病的常见风险因素：肥胖、不活动、糖尿病以及动物脂肪消耗水平高。儿童文化中心于</w:t>
      </w:r>
      <w:r>
        <w:rPr>
          <w:rFonts w:hint="eastAsia"/>
        </w:rPr>
        <w:t>2008</w:t>
      </w:r>
      <w:r>
        <w:rPr>
          <w:rFonts w:hint="eastAsia"/>
        </w:rPr>
        <w:t>年在世界卫生组织</w:t>
      </w:r>
      <w:r>
        <w:rPr>
          <w:rFonts w:hint="eastAsia"/>
        </w:rPr>
        <w:t>(</w:t>
      </w:r>
      <w:r>
        <w:rPr>
          <w:rFonts w:hint="eastAsia"/>
        </w:rPr>
        <w:t>世卫组织</w:t>
      </w:r>
      <w:r>
        <w:rPr>
          <w:rFonts w:hint="eastAsia"/>
        </w:rPr>
        <w:t>)</w:t>
      </w:r>
      <w:r>
        <w:rPr>
          <w:rFonts w:hint="eastAsia"/>
        </w:rPr>
        <w:t>的协助下进行了一项研究。研究发现，在列入研究的小学生中，</w:t>
      </w:r>
      <w:r>
        <w:rPr>
          <w:rFonts w:hint="eastAsia"/>
        </w:rPr>
        <w:t>39%</w:t>
      </w:r>
      <w:r>
        <w:rPr>
          <w:rFonts w:hint="eastAsia"/>
        </w:rPr>
        <w:t>为肥胖和超重，</w:t>
      </w:r>
      <w:r>
        <w:rPr>
          <w:rFonts w:hint="eastAsia"/>
        </w:rPr>
        <w:t>23%</w:t>
      </w:r>
      <w:r>
        <w:rPr>
          <w:rFonts w:hint="eastAsia"/>
        </w:rPr>
        <w:t>为肥胖，</w:t>
      </w:r>
      <w:r>
        <w:rPr>
          <w:rFonts w:hint="eastAsia"/>
        </w:rPr>
        <w:t>16%</w:t>
      </w:r>
      <w:r>
        <w:rPr>
          <w:rFonts w:hint="eastAsia"/>
        </w:rPr>
        <w:t>为超重。根据这项研究，由于肥胖病的患病率和不健康的营养习惯，预计卡塔尔人今后某些疾病的发病率将会上升。因此，为遏制此类习惯，须开展有效的宣传活动。</w:t>
      </w:r>
    </w:p>
    <w:p w:rsidR="007234DD" w:rsidRDefault="007234DD">
      <w:pPr>
        <w:pStyle w:val="H23GC"/>
      </w:pPr>
      <w:r>
        <w:tab/>
      </w:r>
      <w:r>
        <w:tab/>
      </w:r>
      <w:r>
        <w:rPr>
          <w:rFonts w:hint="eastAsia"/>
        </w:rPr>
        <w:t>卡塔尔妇女健康状况的常规指标</w:t>
      </w:r>
    </w:p>
    <w:p w:rsidR="007234DD" w:rsidRDefault="007234DD">
      <w:pPr>
        <w:pStyle w:val="H4GC"/>
      </w:pPr>
      <w:r>
        <w:tab/>
      </w:r>
      <w:r>
        <w:tab/>
      </w:r>
      <w:r>
        <w:rPr>
          <w:rFonts w:hint="eastAsia"/>
        </w:rPr>
        <w:t>怀孕和分娩期间的孕产妇死亡</w:t>
      </w:r>
    </w:p>
    <w:p w:rsidR="007234DD" w:rsidRDefault="007234DD">
      <w:pPr>
        <w:pStyle w:val="SingleTxtGC"/>
      </w:pPr>
      <w:r>
        <w:t xml:space="preserve">331.  </w:t>
      </w:r>
      <w:r>
        <w:rPr>
          <w:rFonts w:hint="eastAsia"/>
        </w:rPr>
        <w:t>由于这些努力，</w:t>
      </w:r>
      <w:r>
        <w:rPr>
          <w:rFonts w:hint="eastAsia"/>
        </w:rPr>
        <w:t>2008</w:t>
      </w:r>
      <w:r>
        <w:rPr>
          <w:rFonts w:hint="eastAsia"/>
        </w:rPr>
        <w:t>年，孕产妇死亡人数不超过卡塔尔籍妇女死亡人数的</w:t>
      </w:r>
      <w:r>
        <w:rPr>
          <w:rFonts w:hint="eastAsia"/>
        </w:rPr>
        <w:t>0.4%</w:t>
      </w:r>
      <w:r>
        <w:rPr>
          <w:rFonts w:hint="eastAsia"/>
        </w:rPr>
        <w:t>和非卡塔尔籍妇女死亡人数的</w:t>
      </w:r>
      <w:r>
        <w:rPr>
          <w:rFonts w:hint="eastAsia"/>
        </w:rPr>
        <w:t>0.5%</w:t>
      </w:r>
      <w:r>
        <w:rPr>
          <w:rFonts w:hint="eastAsia"/>
        </w:rPr>
        <w:t>。按国际标准来看，这一比率相当低，显示出卡塔尔非常重视孕产妇健康。</w:t>
      </w:r>
    </w:p>
    <w:p w:rsidR="007234DD" w:rsidRDefault="007234DD">
      <w:pPr>
        <w:pStyle w:val="SingleTxtGC"/>
      </w:pPr>
      <w:r>
        <w:rPr>
          <w:rFonts w:hint="eastAsia"/>
        </w:rPr>
        <w:t>表</w:t>
      </w:r>
      <w:r>
        <w:rPr>
          <w:rFonts w:hint="eastAsia"/>
        </w:rPr>
        <w:t>31</w:t>
      </w:r>
      <w:r>
        <w:br/>
      </w:r>
      <w:r>
        <w:rPr>
          <w:rFonts w:eastAsia="SimHei" w:hint="eastAsia"/>
        </w:rPr>
        <w:t>按国籍和年份分列的孕产妇死亡人数占妇女死亡总数的百分比</w:t>
      </w:r>
    </w:p>
    <w:tbl>
      <w:tblPr>
        <w:tblW w:w="7370" w:type="dxa"/>
        <w:tblInd w:w="1134" w:type="dxa"/>
        <w:tblLayout w:type="fixed"/>
        <w:tblCellMar>
          <w:left w:w="0" w:type="dxa"/>
          <w:right w:w="0" w:type="dxa"/>
        </w:tblCellMar>
        <w:tblLook w:val="01E0" w:firstRow="1" w:lastRow="1" w:firstColumn="1" w:lastColumn="1" w:noHBand="0" w:noVBand="0"/>
      </w:tblPr>
      <w:tblGrid>
        <w:gridCol w:w="766"/>
        <w:gridCol w:w="1200"/>
        <w:gridCol w:w="869"/>
        <w:gridCol w:w="1418"/>
        <w:gridCol w:w="1134"/>
        <w:gridCol w:w="930"/>
        <w:gridCol w:w="1053"/>
      </w:tblGrid>
      <w:tr w:rsidR="007234DD">
        <w:trPr>
          <w:cantSplit/>
          <w:tblHeader/>
        </w:trPr>
        <w:tc>
          <w:tcPr>
            <w:tcW w:w="766" w:type="dxa"/>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年份</w:t>
            </w:r>
          </w:p>
        </w:tc>
        <w:tc>
          <w:tcPr>
            <w:tcW w:w="1200" w:type="dxa"/>
            <w:tcBorders>
              <w:top w:val="single" w:sz="4" w:space="0" w:color="auto"/>
              <w:bottom w:val="single" w:sz="12" w:space="0" w:color="auto"/>
            </w:tcBorders>
            <w:shd w:val="clear" w:color="auto" w:fill="auto"/>
            <w:vAlign w:val="bottom"/>
          </w:tcPr>
          <w:p w:rsidR="007234DD" w:rsidRDefault="007234DD">
            <w:pPr>
              <w:pStyle w:val="a0"/>
              <w:ind w:right="0"/>
              <w:jc w:val="right"/>
              <w:rPr>
                <w:szCs w:val="16"/>
              </w:rPr>
            </w:pPr>
            <w:r>
              <w:rPr>
                <w:rFonts w:hint="eastAsia"/>
                <w:szCs w:val="16"/>
              </w:rPr>
              <w:t>卡塔尔籍妇女</w:t>
            </w:r>
            <w:r>
              <w:rPr>
                <w:szCs w:val="16"/>
              </w:rPr>
              <w:br/>
            </w:r>
            <w:r>
              <w:rPr>
                <w:rFonts w:hint="eastAsia"/>
                <w:szCs w:val="16"/>
              </w:rPr>
              <w:t>中的孕产妇</w:t>
            </w:r>
            <w:r>
              <w:rPr>
                <w:szCs w:val="16"/>
              </w:rPr>
              <w:br/>
            </w:r>
            <w:r>
              <w:rPr>
                <w:rFonts w:hint="eastAsia"/>
                <w:szCs w:val="16"/>
              </w:rPr>
              <w:t>死亡率</w:t>
            </w:r>
          </w:p>
        </w:tc>
        <w:tc>
          <w:tcPr>
            <w:tcW w:w="869" w:type="dxa"/>
            <w:tcBorders>
              <w:top w:val="single" w:sz="4" w:space="0" w:color="auto"/>
              <w:bottom w:val="single" w:sz="12" w:space="0" w:color="auto"/>
            </w:tcBorders>
            <w:shd w:val="clear" w:color="auto" w:fill="auto"/>
            <w:vAlign w:val="bottom"/>
          </w:tcPr>
          <w:p w:rsidR="007234DD" w:rsidRDefault="007234DD">
            <w:pPr>
              <w:pStyle w:val="a0"/>
              <w:ind w:right="0"/>
              <w:jc w:val="right"/>
              <w:rPr>
                <w:rFonts w:eastAsia="SimHei"/>
                <w:b/>
              </w:rPr>
            </w:pPr>
            <w:r>
              <w:rPr>
                <w:rFonts w:eastAsia="SimHei" w:hint="eastAsia"/>
                <w:b/>
              </w:rPr>
              <w:t>卡塔尔籍妇女死亡总数</w:t>
            </w:r>
          </w:p>
        </w:tc>
        <w:tc>
          <w:tcPr>
            <w:tcW w:w="1418" w:type="dxa"/>
            <w:tcBorders>
              <w:top w:val="single" w:sz="4" w:space="0" w:color="auto"/>
              <w:bottom w:val="single" w:sz="12" w:space="0" w:color="auto"/>
            </w:tcBorders>
            <w:shd w:val="clear" w:color="auto" w:fill="auto"/>
            <w:vAlign w:val="bottom"/>
          </w:tcPr>
          <w:p w:rsidR="007234DD" w:rsidRDefault="007234DD">
            <w:pPr>
              <w:pStyle w:val="a0"/>
              <w:ind w:right="0"/>
              <w:jc w:val="right"/>
            </w:pPr>
            <w:r>
              <w:rPr>
                <w:rFonts w:hint="eastAsia"/>
              </w:rPr>
              <w:t>非卡塔尔籍</w:t>
            </w:r>
            <w:r>
              <w:br/>
            </w:r>
            <w:r>
              <w:rPr>
                <w:rFonts w:hint="eastAsia"/>
              </w:rPr>
              <w:t>妇女中的孕</w:t>
            </w:r>
            <w:r>
              <w:br/>
            </w:r>
            <w:r>
              <w:rPr>
                <w:rFonts w:hint="eastAsia"/>
              </w:rPr>
              <w:t>产妇死亡率</w:t>
            </w:r>
          </w:p>
        </w:tc>
        <w:tc>
          <w:tcPr>
            <w:tcW w:w="1134" w:type="dxa"/>
            <w:tcBorders>
              <w:top w:val="single" w:sz="4" w:space="0" w:color="auto"/>
              <w:bottom w:val="single" w:sz="12" w:space="0" w:color="auto"/>
            </w:tcBorders>
            <w:shd w:val="clear" w:color="auto" w:fill="auto"/>
            <w:vAlign w:val="bottom"/>
          </w:tcPr>
          <w:p w:rsidR="007234DD" w:rsidRDefault="007234DD">
            <w:pPr>
              <w:pStyle w:val="a0"/>
              <w:ind w:right="0"/>
              <w:jc w:val="right"/>
              <w:rPr>
                <w:b/>
              </w:rPr>
            </w:pPr>
            <w:r>
              <w:rPr>
                <w:rFonts w:hint="eastAsia"/>
                <w:b/>
              </w:rPr>
              <w:t>非卡塔尔籍</w:t>
            </w:r>
            <w:r>
              <w:rPr>
                <w:b/>
              </w:rPr>
              <w:br/>
            </w:r>
            <w:r>
              <w:rPr>
                <w:rFonts w:hint="eastAsia"/>
                <w:b/>
              </w:rPr>
              <w:t>妇女死亡</w:t>
            </w:r>
            <w:r>
              <w:rPr>
                <w:b/>
              </w:rPr>
              <w:br/>
            </w:r>
            <w:r>
              <w:rPr>
                <w:rFonts w:hint="eastAsia"/>
                <w:b/>
              </w:rPr>
              <w:t>总数</w:t>
            </w:r>
          </w:p>
        </w:tc>
        <w:tc>
          <w:tcPr>
            <w:tcW w:w="930" w:type="dxa"/>
            <w:tcBorders>
              <w:top w:val="single" w:sz="4" w:space="0" w:color="auto"/>
              <w:bottom w:val="single" w:sz="12" w:space="0" w:color="auto"/>
            </w:tcBorders>
            <w:shd w:val="clear" w:color="auto" w:fill="auto"/>
            <w:vAlign w:val="bottom"/>
          </w:tcPr>
          <w:p w:rsidR="007234DD" w:rsidRDefault="007234DD">
            <w:pPr>
              <w:pStyle w:val="a0"/>
              <w:ind w:right="0"/>
              <w:jc w:val="right"/>
            </w:pPr>
            <w:r>
              <w:rPr>
                <w:rFonts w:hint="eastAsia"/>
              </w:rPr>
              <w:t>卡塔尔的</w:t>
            </w:r>
            <w:r>
              <w:br/>
            </w:r>
            <w:r>
              <w:rPr>
                <w:rFonts w:hint="eastAsia"/>
              </w:rPr>
              <w:t>孕产妇</w:t>
            </w:r>
            <w:r>
              <w:br/>
            </w:r>
            <w:r>
              <w:rPr>
                <w:rFonts w:hint="eastAsia"/>
              </w:rPr>
              <w:t>死亡率</w:t>
            </w:r>
          </w:p>
        </w:tc>
        <w:tc>
          <w:tcPr>
            <w:tcW w:w="1053" w:type="dxa"/>
            <w:tcBorders>
              <w:top w:val="single" w:sz="4" w:space="0" w:color="auto"/>
              <w:bottom w:val="single" w:sz="12" w:space="0" w:color="auto"/>
            </w:tcBorders>
            <w:shd w:val="clear" w:color="auto" w:fill="auto"/>
            <w:vAlign w:val="bottom"/>
          </w:tcPr>
          <w:p w:rsidR="007234DD" w:rsidRDefault="007234DD">
            <w:pPr>
              <w:pStyle w:val="a0"/>
              <w:ind w:right="0"/>
              <w:jc w:val="right"/>
              <w:rPr>
                <w:b/>
              </w:rPr>
            </w:pPr>
            <w:r>
              <w:rPr>
                <w:rFonts w:hint="eastAsia"/>
                <w:b/>
              </w:rPr>
              <w:t>卡塔尔的</w:t>
            </w:r>
            <w:r>
              <w:rPr>
                <w:b/>
              </w:rPr>
              <w:br/>
            </w:r>
            <w:r>
              <w:rPr>
                <w:rFonts w:hint="eastAsia"/>
                <w:b/>
              </w:rPr>
              <w:t>妇女死亡</w:t>
            </w:r>
            <w:r>
              <w:rPr>
                <w:b/>
              </w:rPr>
              <w:br/>
            </w:r>
            <w:r>
              <w:rPr>
                <w:rFonts w:hint="eastAsia"/>
                <w:b/>
              </w:rPr>
              <w:t>总数</w:t>
            </w:r>
          </w:p>
        </w:tc>
      </w:tr>
      <w:tr w:rsidR="007234DD">
        <w:trPr>
          <w:cantSplit/>
        </w:trPr>
        <w:tc>
          <w:tcPr>
            <w:tcW w:w="766" w:type="dxa"/>
            <w:tcBorders>
              <w:top w:val="single" w:sz="12" w:space="0" w:color="auto"/>
            </w:tcBorders>
            <w:shd w:val="clear" w:color="auto" w:fill="auto"/>
          </w:tcPr>
          <w:p w:rsidR="007234DD" w:rsidRDefault="007234DD">
            <w:pPr>
              <w:pStyle w:val="a5"/>
              <w:rPr>
                <w:rFonts w:hint="eastAsia"/>
              </w:rPr>
            </w:pPr>
            <w:r>
              <w:t>2004</w:t>
            </w:r>
          </w:p>
        </w:tc>
        <w:tc>
          <w:tcPr>
            <w:tcW w:w="1200" w:type="dxa"/>
            <w:tcBorders>
              <w:top w:val="single" w:sz="12" w:space="0" w:color="auto"/>
            </w:tcBorders>
            <w:shd w:val="clear" w:color="auto" w:fill="auto"/>
          </w:tcPr>
          <w:p w:rsidR="007234DD" w:rsidRDefault="007234DD">
            <w:pPr>
              <w:pStyle w:val="a5"/>
              <w:ind w:right="0"/>
              <w:jc w:val="right"/>
              <w:rPr>
                <w:rFonts w:hint="eastAsia"/>
              </w:rPr>
            </w:pPr>
            <w:r>
              <w:rPr>
                <w:rFonts w:hint="eastAsia"/>
              </w:rPr>
              <w:t>无</w:t>
            </w:r>
          </w:p>
        </w:tc>
        <w:tc>
          <w:tcPr>
            <w:tcW w:w="869" w:type="dxa"/>
            <w:tcBorders>
              <w:top w:val="single" w:sz="12" w:space="0" w:color="auto"/>
            </w:tcBorders>
            <w:shd w:val="clear" w:color="auto" w:fill="auto"/>
          </w:tcPr>
          <w:p w:rsidR="007234DD" w:rsidRDefault="007234DD">
            <w:pPr>
              <w:pStyle w:val="a5"/>
              <w:ind w:right="0"/>
              <w:jc w:val="right"/>
              <w:rPr>
                <w:b/>
              </w:rPr>
            </w:pPr>
            <w:r>
              <w:rPr>
                <w:b/>
              </w:rPr>
              <w:t>272</w:t>
            </w:r>
          </w:p>
        </w:tc>
        <w:tc>
          <w:tcPr>
            <w:tcW w:w="1418" w:type="dxa"/>
            <w:tcBorders>
              <w:top w:val="single" w:sz="12" w:space="0" w:color="auto"/>
            </w:tcBorders>
            <w:shd w:val="clear" w:color="auto" w:fill="auto"/>
          </w:tcPr>
          <w:p w:rsidR="007234DD" w:rsidRDefault="007234DD">
            <w:pPr>
              <w:pStyle w:val="a5"/>
              <w:ind w:right="0"/>
              <w:jc w:val="right"/>
            </w:pPr>
            <w:r>
              <w:t>0.7</w:t>
            </w:r>
          </w:p>
        </w:tc>
        <w:tc>
          <w:tcPr>
            <w:tcW w:w="1134" w:type="dxa"/>
            <w:tcBorders>
              <w:top w:val="single" w:sz="12" w:space="0" w:color="auto"/>
            </w:tcBorders>
            <w:shd w:val="clear" w:color="auto" w:fill="auto"/>
          </w:tcPr>
          <w:p w:rsidR="007234DD" w:rsidRDefault="007234DD">
            <w:pPr>
              <w:pStyle w:val="a5"/>
              <w:ind w:right="0"/>
              <w:jc w:val="right"/>
              <w:rPr>
                <w:b/>
              </w:rPr>
            </w:pPr>
            <w:r>
              <w:rPr>
                <w:b/>
              </w:rPr>
              <w:t>145</w:t>
            </w:r>
          </w:p>
        </w:tc>
        <w:tc>
          <w:tcPr>
            <w:tcW w:w="930" w:type="dxa"/>
            <w:tcBorders>
              <w:top w:val="single" w:sz="12" w:space="0" w:color="auto"/>
            </w:tcBorders>
            <w:shd w:val="clear" w:color="auto" w:fill="auto"/>
          </w:tcPr>
          <w:p w:rsidR="007234DD" w:rsidRDefault="007234DD">
            <w:pPr>
              <w:pStyle w:val="a5"/>
              <w:ind w:right="0"/>
              <w:jc w:val="right"/>
            </w:pPr>
          </w:p>
        </w:tc>
        <w:tc>
          <w:tcPr>
            <w:tcW w:w="1053" w:type="dxa"/>
            <w:tcBorders>
              <w:top w:val="single" w:sz="12" w:space="0" w:color="auto"/>
            </w:tcBorders>
            <w:shd w:val="clear" w:color="auto" w:fill="auto"/>
          </w:tcPr>
          <w:p w:rsidR="007234DD" w:rsidRDefault="007234DD">
            <w:pPr>
              <w:pStyle w:val="a5"/>
              <w:ind w:right="0"/>
              <w:jc w:val="right"/>
              <w:rPr>
                <w:b/>
              </w:rPr>
            </w:pPr>
            <w:r>
              <w:rPr>
                <w:b/>
              </w:rPr>
              <w:t>417</w:t>
            </w:r>
          </w:p>
        </w:tc>
      </w:tr>
      <w:tr w:rsidR="007234DD">
        <w:trPr>
          <w:cantSplit/>
        </w:trPr>
        <w:tc>
          <w:tcPr>
            <w:tcW w:w="766" w:type="dxa"/>
            <w:shd w:val="clear" w:color="auto" w:fill="auto"/>
          </w:tcPr>
          <w:p w:rsidR="007234DD" w:rsidRDefault="007234DD">
            <w:pPr>
              <w:pStyle w:val="a5"/>
              <w:rPr>
                <w:rFonts w:hint="eastAsia"/>
              </w:rPr>
            </w:pPr>
            <w:r>
              <w:t>2005</w:t>
            </w:r>
          </w:p>
        </w:tc>
        <w:tc>
          <w:tcPr>
            <w:tcW w:w="1200" w:type="dxa"/>
            <w:shd w:val="clear" w:color="auto" w:fill="auto"/>
          </w:tcPr>
          <w:p w:rsidR="007234DD" w:rsidRDefault="007234DD">
            <w:pPr>
              <w:pStyle w:val="a5"/>
              <w:ind w:right="0"/>
              <w:jc w:val="right"/>
            </w:pPr>
            <w:r>
              <w:t>0.4</w:t>
            </w:r>
          </w:p>
        </w:tc>
        <w:tc>
          <w:tcPr>
            <w:tcW w:w="869" w:type="dxa"/>
            <w:shd w:val="clear" w:color="auto" w:fill="auto"/>
          </w:tcPr>
          <w:p w:rsidR="007234DD" w:rsidRDefault="007234DD">
            <w:pPr>
              <w:pStyle w:val="a5"/>
              <w:ind w:right="0"/>
              <w:jc w:val="right"/>
              <w:rPr>
                <w:b/>
              </w:rPr>
            </w:pPr>
            <w:r>
              <w:rPr>
                <w:b/>
              </w:rPr>
              <w:t>262</w:t>
            </w:r>
          </w:p>
        </w:tc>
        <w:tc>
          <w:tcPr>
            <w:tcW w:w="1418" w:type="dxa"/>
            <w:shd w:val="clear" w:color="auto" w:fill="auto"/>
          </w:tcPr>
          <w:p w:rsidR="007234DD" w:rsidRDefault="007234DD">
            <w:pPr>
              <w:pStyle w:val="a5"/>
              <w:ind w:right="0"/>
              <w:jc w:val="right"/>
            </w:pPr>
            <w:r>
              <w:t>1.1</w:t>
            </w:r>
          </w:p>
        </w:tc>
        <w:tc>
          <w:tcPr>
            <w:tcW w:w="1134" w:type="dxa"/>
            <w:shd w:val="clear" w:color="auto" w:fill="auto"/>
          </w:tcPr>
          <w:p w:rsidR="007234DD" w:rsidRDefault="007234DD">
            <w:pPr>
              <w:pStyle w:val="a5"/>
              <w:ind w:right="0"/>
              <w:jc w:val="right"/>
              <w:rPr>
                <w:b/>
              </w:rPr>
            </w:pPr>
            <w:r>
              <w:rPr>
                <w:b/>
              </w:rPr>
              <w:t>175</w:t>
            </w:r>
          </w:p>
        </w:tc>
        <w:tc>
          <w:tcPr>
            <w:tcW w:w="930" w:type="dxa"/>
            <w:shd w:val="clear" w:color="auto" w:fill="auto"/>
          </w:tcPr>
          <w:p w:rsidR="007234DD" w:rsidRDefault="007234DD">
            <w:pPr>
              <w:pStyle w:val="a5"/>
              <w:ind w:right="0"/>
              <w:jc w:val="right"/>
            </w:pPr>
            <w:r>
              <w:t>0.7</w:t>
            </w:r>
          </w:p>
        </w:tc>
        <w:tc>
          <w:tcPr>
            <w:tcW w:w="1053" w:type="dxa"/>
            <w:shd w:val="clear" w:color="auto" w:fill="auto"/>
          </w:tcPr>
          <w:p w:rsidR="007234DD" w:rsidRDefault="007234DD">
            <w:pPr>
              <w:pStyle w:val="a5"/>
              <w:ind w:right="0"/>
              <w:jc w:val="right"/>
              <w:rPr>
                <w:b/>
              </w:rPr>
            </w:pPr>
            <w:r>
              <w:rPr>
                <w:b/>
              </w:rPr>
              <w:t>437</w:t>
            </w:r>
          </w:p>
        </w:tc>
      </w:tr>
      <w:tr w:rsidR="007234DD">
        <w:trPr>
          <w:cantSplit/>
        </w:trPr>
        <w:tc>
          <w:tcPr>
            <w:tcW w:w="766" w:type="dxa"/>
            <w:shd w:val="clear" w:color="auto" w:fill="auto"/>
          </w:tcPr>
          <w:p w:rsidR="007234DD" w:rsidRDefault="007234DD">
            <w:pPr>
              <w:pStyle w:val="a5"/>
              <w:rPr>
                <w:rFonts w:hint="eastAsia"/>
              </w:rPr>
            </w:pPr>
            <w:r>
              <w:t>2006</w:t>
            </w:r>
          </w:p>
        </w:tc>
        <w:tc>
          <w:tcPr>
            <w:tcW w:w="1200" w:type="dxa"/>
            <w:shd w:val="clear" w:color="auto" w:fill="auto"/>
          </w:tcPr>
          <w:p w:rsidR="007234DD" w:rsidRDefault="007234DD">
            <w:pPr>
              <w:pStyle w:val="a5"/>
              <w:ind w:right="0"/>
              <w:jc w:val="right"/>
              <w:rPr>
                <w:rFonts w:hint="eastAsia"/>
              </w:rPr>
            </w:pPr>
            <w:r>
              <w:rPr>
                <w:rFonts w:hint="eastAsia"/>
              </w:rPr>
              <w:t>无</w:t>
            </w:r>
          </w:p>
        </w:tc>
        <w:tc>
          <w:tcPr>
            <w:tcW w:w="869" w:type="dxa"/>
            <w:shd w:val="clear" w:color="auto" w:fill="auto"/>
          </w:tcPr>
          <w:p w:rsidR="007234DD" w:rsidRDefault="007234DD">
            <w:pPr>
              <w:pStyle w:val="a5"/>
              <w:ind w:right="0"/>
              <w:jc w:val="right"/>
              <w:rPr>
                <w:b/>
              </w:rPr>
            </w:pPr>
            <w:r>
              <w:rPr>
                <w:b/>
              </w:rPr>
              <w:t>277</w:t>
            </w:r>
          </w:p>
        </w:tc>
        <w:tc>
          <w:tcPr>
            <w:tcW w:w="1418" w:type="dxa"/>
            <w:shd w:val="clear" w:color="auto" w:fill="auto"/>
          </w:tcPr>
          <w:p w:rsidR="007234DD" w:rsidRDefault="007234DD">
            <w:pPr>
              <w:pStyle w:val="a5"/>
              <w:ind w:right="0"/>
              <w:jc w:val="right"/>
            </w:pPr>
            <w:r>
              <w:t>0.5</w:t>
            </w:r>
          </w:p>
        </w:tc>
        <w:tc>
          <w:tcPr>
            <w:tcW w:w="1134" w:type="dxa"/>
            <w:shd w:val="clear" w:color="auto" w:fill="auto"/>
          </w:tcPr>
          <w:p w:rsidR="007234DD" w:rsidRDefault="007234DD">
            <w:pPr>
              <w:pStyle w:val="a5"/>
              <w:ind w:right="0"/>
              <w:jc w:val="right"/>
              <w:rPr>
                <w:b/>
              </w:rPr>
            </w:pPr>
            <w:r>
              <w:rPr>
                <w:b/>
              </w:rPr>
              <w:t>199</w:t>
            </w:r>
          </w:p>
        </w:tc>
        <w:tc>
          <w:tcPr>
            <w:tcW w:w="930" w:type="dxa"/>
            <w:shd w:val="clear" w:color="auto" w:fill="auto"/>
          </w:tcPr>
          <w:p w:rsidR="007234DD" w:rsidRDefault="007234DD">
            <w:pPr>
              <w:pStyle w:val="a5"/>
              <w:ind w:right="0"/>
              <w:jc w:val="right"/>
            </w:pPr>
            <w:r>
              <w:t>0.2</w:t>
            </w:r>
          </w:p>
        </w:tc>
        <w:tc>
          <w:tcPr>
            <w:tcW w:w="1053" w:type="dxa"/>
            <w:shd w:val="clear" w:color="auto" w:fill="auto"/>
          </w:tcPr>
          <w:p w:rsidR="007234DD" w:rsidRDefault="007234DD">
            <w:pPr>
              <w:pStyle w:val="a5"/>
              <w:ind w:right="0"/>
              <w:jc w:val="right"/>
              <w:rPr>
                <w:b/>
              </w:rPr>
            </w:pPr>
            <w:r>
              <w:rPr>
                <w:b/>
              </w:rPr>
              <w:t>476</w:t>
            </w:r>
          </w:p>
        </w:tc>
      </w:tr>
      <w:tr w:rsidR="007234DD">
        <w:trPr>
          <w:cantSplit/>
        </w:trPr>
        <w:tc>
          <w:tcPr>
            <w:tcW w:w="766" w:type="dxa"/>
            <w:shd w:val="clear" w:color="auto" w:fill="auto"/>
          </w:tcPr>
          <w:p w:rsidR="007234DD" w:rsidRDefault="007234DD">
            <w:pPr>
              <w:pStyle w:val="a5"/>
              <w:rPr>
                <w:rFonts w:hint="eastAsia"/>
              </w:rPr>
            </w:pPr>
            <w:r>
              <w:t>2007</w:t>
            </w:r>
          </w:p>
        </w:tc>
        <w:tc>
          <w:tcPr>
            <w:tcW w:w="1200" w:type="dxa"/>
            <w:shd w:val="clear" w:color="auto" w:fill="auto"/>
          </w:tcPr>
          <w:p w:rsidR="007234DD" w:rsidRDefault="007234DD">
            <w:pPr>
              <w:pStyle w:val="a5"/>
              <w:ind w:right="0"/>
              <w:jc w:val="right"/>
            </w:pPr>
            <w:r>
              <w:t>0.4</w:t>
            </w:r>
          </w:p>
        </w:tc>
        <w:tc>
          <w:tcPr>
            <w:tcW w:w="869" w:type="dxa"/>
            <w:shd w:val="clear" w:color="auto" w:fill="auto"/>
          </w:tcPr>
          <w:p w:rsidR="007234DD" w:rsidRDefault="007234DD">
            <w:pPr>
              <w:pStyle w:val="a5"/>
              <w:ind w:right="0"/>
              <w:jc w:val="right"/>
              <w:rPr>
                <w:b/>
              </w:rPr>
            </w:pPr>
            <w:r>
              <w:rPr>
                <w:b/>
              </w:rPr>
              <w:t>272</w:t>
            </w:r>
          </w:p>
        </w:tc>
        <w:tc>
          <w:tcPr>
            <w:tcW w:w="1418" w:type="dxa"/>
            <w:shd w:val="clear" w:color="auto" w:fill="auto"/>
          </w:tcPr>
          <w:p w:rsidR="007234DD" w:rsidRDefault="007234DD">
            <w:pPr>
              <w:pStyle w:val="a5"/>
              <w:ind w:right="0"/>
              <w:jc w:val="right"/>
            </w:pPr>
            <w:r>
              <w:t>2.2</w:t>
            </w:r>
          </w:p>
        </w:tc>
        <w:tc>
          <w:tcPr>
            <w:tcW w:w="1134" w:type="dxa"/>
            <w:shd w:val="clear" w:color="auto" w:fill="auto"/>
          </w:tcPr>
          <w:p w:rsidR="007234DD" w:rsidRDefault="007234DD">
            <w:pPr>
              <w:pStyle w:val="a5"/>
              <w:ind w:right="0"/>
              <w:jc w:val="right"/>
              <w:rPr>
                <w:b/>
              </w:rPr>
            </w:pPr>
            <w:r>
              <w:rPr>
                <w:b/>
              </w:rPr>
              <w:t>185</w:t>
            </w:r>
          </w:p>
        </w:tc>
        <w:tc>
          <w:tcPr>
            <w:tcW w:w="930" w:type="dxa"/>
            <w:shd w:val="clear" w:color="auto" w:fill="auto"/>
          </w:tcPr>
          <w:p w:rsidR="007234DD" w:rsidRDefault="007234DD">
            <w:pPr>
              <w:pStyle w:val="a5"/>
              <w:ind w:right="0"/>
              <w:jc w:val="right"/>
            </w:pPr>
            <w:r>
              <w:t>1.1</w:t>
            </w:r>
          </w:p>
        </w:tc>
        <w:tc>
          <w:tcPr>
            <w:tcW w:w="1053" w:type="dxa"/>
            <w:shd w:val="clear" w:color="auto" w:fill="auto"/>
          </w:tcPr>
          <w:p w:rsidR="007234DD" w:rsidRDefault="007234DD">
            <w:pPr>
              <w:pStyle w:val="a5"/>
              <w:ind w:right="0"/>
              <w:jc w:val="right"/>
              <w:rPr>
                <w:b/>
              </w:rPr>
            </w:pPr>
            <w:r>
              <w:rPr>
                <w:b/>
              </w:rPr>
              <w:t>457</w:t>
            </w:r>
          </w:p>
        </w:tc>
      </w:tr>
      <w:tr w:rsidR="007234DD">
        <w:trPr>
          <w:cantSplit/>
        </w:trPr>
        <w:tc>
          <w:tcPr>
            <w:tcW w:w="766" w:type="dxa"/>
            <w:tcBorders>
              <w:bottom w:val="single" w:sz="12" w:space="0" w:color="auto"/>
            </w:tcBorders>
            <w:shd w:val="clear" w:color="auto" w:fill="auto"/>
          </w:tcPr>
          <w:p w:rsidR="007234DD" w:rsidRDefault="007234DD">
            <w:pPr>
              <w:pStyle w:val="a5"/>
              <w:rPr>
                <w:rFonts w:hint="eastAsia"/>
              </w:rPr>
            </w:pPr>
            <w:r>
              <w:t>2008</w:t>
            </w:r>
          </w:p>
        </w:tc>
        <w:tc>
          <w:tcPr>
            <w:tcW w:w="1200" w:type="dxa"/>
            <w:tcBorders>
              <w:bottom w:val="single" w:sz="12" w:space="0" w:color="auto"/>
            </w:tcBorders>
            <w:shd w:val="clear" w:color="auto" w:fill="auto"/>
          </w:tcPr>
          <w:p w:rsidR="007234DD" w:rsidRDefault="007234DD">
            <w:pPr>
              <w:pStyle w:val="a5"/>
              <w:ind w:right="0"/>
              <w:jc w:val="right"/>
            </w:pPr>
            <w:r>
              <w:t>0.4</w:t>
            </w:r>
          </w:p>
        </w:tc>
        <w:tc>
          <w:tcPr>
            <w:tcW w:w="869" w:type="dxa"/>
            <w:tcBorders>
              <w:bottom w:val="single" w:sz="12" w:space="0" w:color="auto"/>
            </w:tcBorders>
            <w:shd w:val="clear" w:color="auto" w:fill="auto"/>
          </w:tcPr>
          <w:p w:rsidR="007234DD" w:rsidRDefault="007234DD">
            <w:pPr>
              <w:pStyle w:val="a5"/>
              <w:ind w:right="0"/>
              <w:jc w:val="right"/>
              <w:rPr>
                <w:b/>
              </w:rPr>
            </w:pPr>
            <w:r>
              <w:rPr>
                <w:b/>
              </w:rPr>
              <w:t>267</w:t>
            </w:r>
          </w:p>
        </w:tc>
        <w:tc>
          <w:tcPr>
            <w:tcW w:w="1418" w:type="dxa"/>
            <w:tcBorders>
              <w:bottom w:val="single" w:sz="12" w:space="0" w:color="auto"/>
            </w:tcBorders>
            <w:shd w:val="clear" w:color="auto" w:fill="auto"/>
          </w:tcPr>
          <w:p w:rsidR="007234DD" w:rsidRDefault="007234DD">
            <w:pPr>
              <w:pStyle w:val="a5"/>
              <w:ind w:right="0"/>
              <w:jc w:val="right"/>
            </w:pPr>
            <w:r>
              <w:t>0.5</w:t>
            </w:r>
          </w:p>
        </w:tc>
        <w:tc>
          <w:tcPr>
            <w:tcW w:w="1134" w:type="dxa"/>
            <w:tcBorders>
              <w:bottom w:val="single" w:sz="12" w:space="0" w:color="auto"/>
            </w:tcBorders>
            <w:shd w:val="clear" w:color="auto" w:fill="auto"/>
          </w:tcPr>
          <w:p w:rsidR="007234DD" w:rsidRDefault="007234DD">
            <w:pPr>
              <w:pStyle w:val="a5"/>
              <w:ind w:right="0"/>
              <w:jc w:val="right"/>
              <w:rPr>
                <w:b/>
              </w:rPr>
            </w:pPr>
            <w:r>
              <w:rPr>
                <w:b/>
              </w:rPr>
              <w:t>220</w:t>
            </w:r>
          </w:p>
        </w:tc>
        <w:tc>
          <w:tcPr>
            <w:tcW w:w="930" w:type="dxa"/>
            <w:tcBorders>
              <w:bottom w:val="single" w:sz="12" w:space="0" w:color="auto"/>
            </w:tcBorders>
            <w:shd w:val="clear" w:color="auto" w:fill="auto"/>
          </w:tcPr>
          <w:p w:rsidR="007234DD" w:rsidRDefault="007234DD">
            <w:pPr>
              <w:pStyle w:val="a5"/>
              <w:ind w:right="0"/>
              <w:jc w:val="right"/>
            </w:pPr>
            <w:r>
              <w:t>0.4</w:t>
            </w:r>
          </w:p>
        </w:tc>
        <w:tc>
          <w:tcPr>
            <w:tcW w:w="1053" w:type="dxa"/>
            <w:tcBorders>
              <w:bottom w:val="single" w:sz="12" w:space="0" w:color="auto"/>
            </w:tcBorders>
            <w:shd w:val="clear" w:color="auto" w:fill="auto"/>
          </w:tcPr>
          <w:p w:rsidR="007234DD" w:rsidRDefault="007234DD">
            <w:pPr>
              <w:pStyle w:val="a5"/>
              <w:ind w:right="0"/>
              <w:jc w:val="right"/>
              <w:rPr>
                <w:b/>
              </w:rPr>
            </w:pPr>
            <w:r>
              <w:rPr>
                <w:b/>
              </w:rPr>
              <w:t>487</w:t>
            </w:r>
          </w:p>
        </w:tc>
      </w:tr>
    </w:tbl>
    <w:p w:rsidR="007234DD" w:rsidRDefault="00326C16" w:rsidP="00326C16">
      <w:pPr>
        <w:pStyle w:val="SingleTxtGC"/>
        <w:tabs>
          <w:tab w:val="left" w:pos="1300"/>
        </w:tabs>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卡塔尔统计局，</w:t>
      </w:r>
      <w:r w:rsidR="007234DD">
        <w:rPr>
          <w:rFonts w:hint="eastAsia"/>
          <w:sz w:val="19"/>
          <w:szCs w:val="19"/>
        </w:rPr>
        <w:t>2010</w:t>
      </w:r>
      <w:r w:rsidR="007234DD">
        <w:rPr>
          <w:rFonts w:hint="eastAsia"/>
          <w:sz w:val="19"/>
          <w:szCs w:val="19"/>
        </w:rPr>
        <w:t>年。</w:t>
      </w:r>
    </w:p>
    <w:p w:rsidR="007234DD" w:rsidRDefault="007234DD">
      <w:pPr>
        <w:pStyle w:val="SingleTxtGC"/>
      </w:pPr>
      <w:r>
        <w:t xml:space="preserve">332.  </w:t>
      </w:r>
      <w:r>
        <w:rPr>
          <w:rFonts w:hint="eastAsia"/>
        </w:rPr>
        <w:t>卫生部门所付出的全部努力体现在卡塔尔人预期寿命的显著延长上</w:t>
      </w:r>
      <w:r>
        <w:rPr>
          <w:rFonts w:hint="eastAsia"/>
        </w:rPr>
        <w:t>(</w:t>
      </w:r>
      <w:r>
        <w:rPr>
          <w:rFonts w:hint="eastAsia"/>
        </w:rPr>
        <w:t>尤其是妇女</w:t>
      </w:r>
      <w:r>
        <w:rPr>
          <w:rFonts w:hint="eastAsia"/>
        </w:rPr>
        <w:t>)</w:t>
      </w:r>
      <w:r>
        <w:rPr>
          <w:rFonts w:hint="eastAsia"/>
        </w:rPr>
        <w:t>；男性和女性的预期寿命分别由</w:t>
      </w:r>
      <w:r>
        <w:rPr>
          <w:rFonts w:hint="eastAsia"/>
        </w:rPr>
        <w:t>2005</w:t>
      </w:r>
      <w:r>
        <w:rPr>
          <w:rFonts w:hint="eastAsia"/>
        </w:rPr>
        <w:t>年的</w:t>
      </w:r>
      <w:r>
        <w:rPr>
          <w:rFonts w:hint="eastAsia"/>
        </w:rPr>
        <w:t>71.4</w:t>
      </w:r>
      <w:r>
        <w:rPr>
          <w:rFonts w:hint="eastAsia"/>
        </w:rPr>
        <w:t>岁和</w:t>
      </w:r>
      <w:r>
        <w:rPr>
          <w:rFonts w:hint="eastAsia"/>
        </w:rPr>
        <w:t>75.8</w:t>
      </w:r>
      <w:r>
        <w:rPr>
          <w:rFonts w:hint="eastAsia"/>
        </w:rPr>
        <w:t>岁延长至</w:t>
      </w:r>
      <w:r>
        <w:rPr>
          <w:rFonts w:hint="eastAsia"/>
        </w:rPr>
        <w:t>2009</w:t>
      </w:r>
      <w:r>
        <w:rPr>
          <w:rFonts w:hint="eastAsia"/>
        </w:rPr>
        <w:t>年的</w:t>
      </w:r>
      <w:r>
        <w:rPr>
          <w:rFonts w:hint="eastAsia"/>
        </w:rPr>
        <w:t>74.5</w:t>
      </w:r>
      <w:r>
        <w:rPr>
          <w:rFonts w:hint="eastAsia"/>
        </w:rPr>
        <w:t>岁和</w:t>
      </w:r>
      <w:r>
        <w:rPr>
          <w:rFonts w:hint="eastAsia"/>
        </w:rPr>
        <w:t>77.8</w:t>
      </w:r>
      <w:r>
        <w:rPr>
          <w:rFonts w:hint="eastAsia"/>
        </w:rPr>
        <w:t>岁。</w:t>
      </w:r>
    </w:p>
    <w:p w:rsidR="007234DD" w:rsidRDefault="007234DD">
      <w:pPr>
        <w:pStyle w:val="SingleTxtGC"/>
      </w:pPr>
      <w:r>
        <w:rPr>
          <w:rFonts w:hint="eastAsia"/>
        </w:rPr>
        <w:t>表</w:t>
      </w:r>
      <w:r>
        <w:rPr>
          <w:rFonts w:hint="eastAsia"/>
        </w:rPr>
        <w:t>32</w:t>
      </w:r>
      <w:r>
        <w:br/>
      </w:r>
      <w:r>
        <w:rPr>
          <w:rFonts w:eastAsia="SimHei" w:hint="eastAsia"/>
        </w:rPr>
        <w:t>按性别和年份分列的卡塔尔人均预期寿命</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7234DD">
        <w:trPr>
          <w:cantSplit/>
        </w:trPr>
        <w:tc>
          <w:tcPr>
            <w:tcW w:w="1841" w:type="dxa"/>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年份</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男性</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女性</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b/>
              </w:rPr>
            </w:pPr>
            <w:r>
              <w:rPr>
                <w:rFonts w:hint="eastAsia"/>
                <w:b/>
              </w:rPr>
              <w:t>合计</w:t>
            </w:r>
          </w:p>
        </w:tc>
      </w:tr>
      <w:tr w:rsidR="007234DD">
        <w:trPr>
          <w:cantSplit/>
        </w:trPr>
        <w:tc>
          <w:tcPr>
            <w:tcW w:w="1841" w:type="dxa"/>
            <w:tcBorders>
              <w:top w:val="single" w:sz="12" w:space="0" w:color="auto"/>
            </w:tcBorders>
            <w:shd w:val="clear" w:color="auto" w:fill="auto"/>
          </w:tcPr>
          <w:p w:rsidR="007234DD" w:rsidRDefault="007234DD">
            <w:pPr>
              <w:pStyle w:val="a5"/>
              <w:rPr>
                <w:rFonts w:hint="eastAsia"/>
              </w:rPr>
            </w:pPr>
            <w:r>
              <w:t>2005</w:t>
            </w:r>
          </w:p>
        </w:tc>
        <w:tc>
          <w:tcPr>
            <w:tcW w:w="1843" w:type="dxa"/>
            <w:tcBorders>
              <w:top w:val="single" w:sz="12" w:space="0" w:color="auto"/>
            </w:tcBorders>
            <w:shd w:val="clear" w:color="auto" w:fill="auto"/>
          </w:tcPr>
          <w:p w:rsidR="007234DD" w:rsidRDefault="007234DD">
            <w:pPr>
              <w:pStyle w:val="a5"/>
              <w:ind w:right="0"/>
              <w:jc w:val="right"/>
            </w:pPr>
            <w:r>
              <w:t>4.71</w:t>
            </w:r>
          </w:p>
        </w:tc>
        <w:tc>
          <w:tcPr>
            <w:tcW w:w="1843" w:type="dxa"/>
            <w:tcBorders>
              <w:top w:val="single" w:sz="12" w:space="0" w:color="auto"/>
            </w:tcBorders>
            <w:shd w:val="clear" w:color="auto" w:fill="auto"/>
          </w:tcPr>
          <w:p w:rsidR="007234DD" w:rsidRDefault="007234DD">
            <w:pPr>
              <w:pStyle w:val="a5"/>
              <w:ind w:right="0"/>
              <w:jc w:val="right"/>
            </w:pPr>
            <w:r>
              <w:t>75.8</w:t>
            </w:r>
          </w:p>
        </w:tc>
        <w:tc>
          <w:tcPr>
            <w:tcW w:w="1843" w:type="dxa"/>
            <w:tcBorders>
              <w:top w:val="single" w:sz="12" w:space="0" w:color="auto"/>
            </w:tcBorders>
            <w:shd w:val="clear" w:color="auto" w:fill="auto"/>
          </w:tcPr>
          <w:p w:rsidR="007234DD" w:rsidRDefault="007234DD">
            <w:pPr>
              <w:pStyle w:val="a5"/>
              <w:ind w:right="0"/>
              <w:jc w:val="right"/>
              <w:rPr>
                <w:b/>
              </w:rPr>
            </w:pPr>
            <w:r>
              <w:rPr>
                <w:b/>
              </w:rPr>
              <w:t>73.6</w:t>
            </w:r>
          </w:p>
        </w:tc>
      </w:tr>
      <w:tr w:rsidR="007234DD">
        <w:trPr>
          <w:cantSplit/>
        </w:trPr>
        <w:tc>
          <w:tcPr>
            <w:tcW w:w="1841" w:type="dxa"/>
            <w:shd w:val="clear" w:color="auto" w:fill="auto"/>
          </w:tcPr>
          <w:p w:rsidR="007234DD" w:rsidRDefault="007234DD">
            <w:pPr>
              <w:pStyle w:val="a5"/>
              <w:rPr>
                <w:rFonts w:hint="eastAsia"/>
              </w:rPr>
            </w:pPr>
            <w:r>
              <w:t>2006</w:t>
            </w:r>
          </w:p>
        </w:tc>
        <w:tc>
          <w:tcPr>
            <w:tcW w:w="1843" w:type="dxa"/>
            <w:shd w:val="clear" w:color="auto" w:fill="auto"/>
          </w:tcPr>
          <w:p w:rsidR="007234DD" w:rsidRDefault="007234DD">
            <w:pPr>
              <w:pStyle w:val="a5"/>
              <w:ind w:right="0"/>
              <w:jc w:val="right"/>
            </w:pPr>
            <w:r>
              <w:t>73</w:t>
            </w:r>
          </w:p>
        </w:tc>
        <w:tc>
          <w:tcPr>
            <w:tcW w:w="1843" w:type="dxa"/>
            <w:shd w:val="clear" w:color="auto" w:fill="auto"/>
          </w:tcPr>
          <w:p w:rsidR="007234DD" w:rsidRDefault="007234DD">
            <w:pPr>
              <w:pStyle w:val="a5"/>
              <w:ind w:right="0"/>
              <w:jc w:val="right"/>
            </w:pPr>
            <w:r>
              <w:t>76.8</w:t>
            </w:r>
          </w:p>
        </w:tc>
        <w:tc>
          <w:tcPr>
            <w:tcW w:w="1843" w:type="dxa"/>
            <w:shd w:val="clear" w:color="auto" w:fill="auto"/>
          </w:tcPr>
          <w:p w:rsidR="007234DD" w:rsidRDefault="007234DD">
            <w:pPr>
              <w:pStyle w:val="a5"/>
              <w:ind w:right="0"/>
              <w:jc w:val="right"/>
              <w:rPr>
                <w:b/>
              </w:rPr>
            </w:pPr>
            <w:r>
              <w:rPr>
                <w:b/>
              </w:rPr>
              <w:t>74.9</w:t>
            </w:r>
          </w:p>
        </w:tc>
      </w:tr>
      <w:tr w:rsidR="007234DD">
        <w:trPr>
          <w:cantSplit/>
        </w:trPr>
        <w:tc>
          <w:tcPr>
            <w:tcW w:w="1841" w:type="dxa"/>
            <w:shd w:val="clear" w:color="auto" w:fill="auto"/>
          </w:tcPr>
          <w:p w:rsidR="007234DD" w:rsidRDefault="007234DD">
            <w:pPr>
              <w:pStyle w:val="a5"/>
              <w:rPr>
                <w:rFonts w:hint="eastAsia"/>
              </w:rPr>
            </w:pPr>
            <w:r>
              <w:t>2007</w:t>
            </w:r>
          </w:p>
        </w:tc>
        <w:tc>
          <w:tcPr>
            <w:tcW w:w="1843" w:type="dxa"/>
            <w:shd w:val="clear" w:color="auto" w:fill="auto"/>
          </w:tcPr>
          <w:p w:rsidR="007234DD" w:rsidRDefault="007234DD">
            <w:pPr>
              <w:pStyle w:val="a5"/>
              <w:ind w:right="0"/>
              <w:jc w:val="right"/>
            </w:pPr>
            <w:r>
              <w:t>73</w:t>
            </w:r>
          </w:p>
        </w:tc>
        <w:tc>
          <w:tcPr>
            <w:tcW w:w="1843" w:type="dxa"/>
            <w:shd w:val="clear" w:color="auto" w:fill="auto"/>
          </w:tcPr>
          <w:p w:rsidR="007234DD" w:rsidRDefault="007234DD">
            <w:pPr>
              <w:pStyle w:val="a5"/>
              <w:ind w:right="0"/>
              <w:jc w:val="right"/>
            </w:pPr>
            <w:r>
              <w:t>76.8</w:t>
            </w:r>
          </w:p>
        </w:tc>
        <w:tc>
          <w:tcPr>
            <w:tcW w:w="1843" w:type="dxa"/>
            <w:shd w:val="clear" w:color="auto" w:fill="auto"/>
          </w:tcPr>
          <w:p w:rsidR="007234DD" w:rsidRDefault="007234DD">
            <w:pPr>
              <w:pStyle w:val="a5"/>
              <w:ind w:right="0"/>
              <w:jc w:val="right"/>
              <w:rPr>
                <w:b/>
              </w:rPr>
            </w:pPr>
            <w:r>
              <w:rPr>
                <w:b/>
              </w:rPr>
              <w:t>74.9</w:t>
            </w:r>
          </w:p>
        </w:tc>
      </w:tr>
      <w:tr w:rsidR="007234DD">
        <w:trPr>
          <w:cantSplit/>
        </w:trPr>
        <w:tc>
          <w:tcPr>
            <w:tcW w:w="1841" w:type="dxa"/>
            <w:shd w:val="clear" w:color="auto" w:fill="auto"/>
          </w:tcPr>
          <w:p w:rsidR="007234DD" w:rsidRDefault="007234DD">
            <w:pPr>
              <w:pStyle w:val="a5"/>
              <w:rPr>
                <w:rFonts w:hint="eastAsia"/>
              </w:rPr>
            </w:pPr>
            <w:r>
              <w:t>2008</w:t>
            </w:r>
          </w:p>
        </w:tc>
        <w:tc>
          <w:tcPr>
            <w:tcW w:w="1843" w:type="dxa"/>
            <w:shd w:val="clear" w:color="auto" w:fill="auto"/>
          </w:tcPr>
          <w:p w:rsidR="007234DD" w:rsidRDefault="007234DD">
            <w:pPr>
              <w:pStyle w:val="a5"/>
              <w:ind w:right="0"/>
              <w:jc w:val="right"/>
            </w:pPr>
            <w:r>
              <w:t>74.2</w:t>
            </w:r>
          </w:p>
        </w:tc>
        <w:tc>
          <w:tcPr>
            <w:tcW w:w="1843" w:type="dxa"/>
            <w:shd w:val="clear" w:color="auto" w:fill="auto"/>
          </w:tcPr>
          <w:p w:rsidR="007234DD" w:rsidRDefault="007234DD">
            <w:pPr>
              <w:pStyle w:val="a5"/>
              <w:ind w:right="0"/>
              <w:jc w:val="right"/>
            </w:pPr>
            <w:r>
              <w:t>77.4</w:t>
            </w:r>
          </w:p>
        </w:tc>
        <w:tc>
          <w:tcPr>
            <w:tcW w:w="1843" w:type="dxa"/>
            <w:shd w:val="clear" w:color="auto" w:fill="auto"/>
          </w:tcPr>
          <w:p w:rsidR="007234DD" w:rsidRDefault="007234DD">
            <w:pPr>
              <w:pStyle w:val="a5"/>
              <w:ind w:right="0"/>
              <w:jc w:val="right"/>
              <w:rPr>
                <w:b/>
              </w:rPr>
            </w:pPr>
            <w:r>
              <w:rPr>
                <w:b/>
              </w:rPr>
              <w:t>75.9</w:t>
            </w:r>
          </w:p>
        </w:tc>
      </w:tr>
      <w:tr w:rsidR="007234DD">
        <w:trPr>
          <w:cantSplit/>
        </w:trPr>
        <w:tc>
          <w:tcPr>
            <w:tcW w:w="1841" w:type="dxa"/>
            <w:tcBorders>
              <w:bottom w:val="single" w:sz="12" w:space="0" w:color="auto"/>
            </w:tcBorders>
            <w:shd w:val="clear" w:color="auto" w:fill="auto"/>
          </w:tcPr>
          <w:p w:rsidR="007234DD" w:rsidRDefault="007234DD">
            <w:pPr>
              <w:pStyle w:val="a5"/>
              <w:rPr>
                <w:rFonts w:hint="eastAsia"/>
              </w:rPr>
            </w:pPr>
            <w:r>
              <w:t>2009</w:t>
            </w:r>
          </w:p>
        </w:tc>
        <w:tc>
          <w:tcPr>
            <w:tcW w:w="1843" w:type="dxa"/>
            <w:tcBorders>
              <w:bottom w:val="single" w:sz="12" w:space="0" w:color="auto"/>
            </w:tcBorders>
            <w:shd w:val="clear" w:color="auto" w:fill="auto"/>
          </w:tcPr>
          <w:p w:rsidR="007234DD" w:rsidRDefault="007234DD">
            <w:pPr>
              <w:pStyle w:val="a5"/>
              <w:ind w:right="0"/>
              <w:jc w:val="right"/>
            </w:pPr>
            <w:r>
              <w:t>74.5</w:t>
            </w:r>
          </w:p>
        </w:tc>
        <w:tc>
          <w:tcPr>
            <w:tcW w:w="1843" w:type="dxa"/>
            <w:tcBorders>
              <w:bottom w:val="single" w:sz="12" w:space="0" w:color="auto"/>
            </w:tcBorders>
            <w:shd w:val="clear" w:color="auto" w:fill="auto"/>
          </w:tcPr>
          <w:p w:rsidR="007234DD" w:rsidRDefault="007234DD">
            <w:pPr>
              <w:pStyle w:val="a5"/>
              <w:ind w:right="0"/>
              <w:jc w:val="right"/>
            </w:pPr>
            <w:r>
              <w:t>77.8</w:t>
            </w:r>
          </w:p>
        </w:tc>
        <w:tc>
          <w:tcPr>
            <w:tcW w:w="1843" w:type="dxa"/>
            <w:tcBorders>
              <w:bottom w:val="single" w:sz="12" w:space="0" w:color="auto"/>
            </w:tcBorders>
            <w:shd w:val="clear" w:color="auto" w:fill="auto"/>
          </w:tcPr>
          <w:p w:rsidR="007234DD" w:rsidRDefault="007234DD">
            <w:pPr>
              <w:pStyle w:val="a5"/>
              <w:ind w:right="0"/>
              <w:jc w:val="right"/>
              <w:rPr>
                <w:b/>
              </w:rPr>
            </w:pPr>
            <w:r>
              <w:rPr>
                <w:b/>
              </w:rPr>
              <w:t>76.2</w:t>
            </w:r>
          </w:p>
        </w:tc>
      </w:tr>
    </w:tbl>
    <w:p w:rsidR="007234DD" w:rsidRDefault="00326C16" w:rsidP="00326C16">
      <w:pPr>
        <w:pStyle w:val="SingleTxtGC"/>
        <w:tabs>
          <w:tab w:val="left" w:pos="1300"/>
        </w:tabs>
        <w:spacing w:before="120" w:line="200" w:lineRule="exact"/>
        <w:rPr>
          <w:rFonts w:hint="eastAsia"/>
        </w:rPr>
      </w:pPr>
      <w:r>
        <w:tab/>
      </w:r>
      <w:r w:rsidR="007234DD">
        <w:rPr>
          <w:rFonts w:eastAsia="KaiTi_GB2312" w:hint="eastAsia"/>
          <w:sz w:val="19"/>
          <w:szCs w:val="19"/>
        </w:rPr>
        <w:t>资料来源：</w:t>
      </w:r>
      <w:r w:rsidR="007234DD">
        <w:rPr>
          <w:rFonts w:hint="eastAsia"/>
          <w:sz w:val="19"/>
          <w:szCs w:val="19"/>
        </w:rPr>
        <w:t>卡塔尔统计局，</w:t>
      </w:r>
      <w:r w:rsidR="007234DD">
        <w:rPr>
          <w:rFonts w:hint="eastAsia"/>
          <w:sz w:val="19"/>
          <w:szCs w:val="19"/>
        </w:rPr>
        <w:t>2010</w:t>
      </w:r>
      <w:r w:rsidR="007234DD">
        <w:rPr>
          <w:rFonts w:hint="eastAsia"/>
          <w:sz w:val="19"/>
          <w:szCs w:val="19"/>
        </w:rPr>
        <w:t>年，《年度统计摘要》，各种版本。</w:t>
      </w:r>
    </w:p>
    <w:p w:rsidR="007234DD" w:rsidRDefault="007234DD">
      <w:pPr>
        <w:pStyle w:val="SingleTxtGC"/>
      </w:pPr>
      <w:r>
        <w:t xml:space="preserve">333.  </w:t>
      </w:r>
      <w:r>
        <w:rPr>
          <w:rFonts w:hint="eastAsia"/>
        </w:rPr>
        <w:t>由于针对儿童采取了有效的预防保健和治疗方案，卡塔尔在降低婴儿死亡率方面取得了长足进步，每</w:t>
      </w:r>
      <w:r>
        <w:rPr>
          <w:rFonts w:hint="eastAsia"/>
        </w:rPr>
        <w:t>1,000</w:t>
      </w:r>
      <w:r>
        <w:rPr>
          <w:rFonts w:hint="eastAsia"/>
        </w:rPr>
        <w:t>名活产儿的死亡人数由</w:t>
      </w:r>
      <w:r>
        <w:rPr>
          <w:rFonts w:hint="eastAsia"/>
        </w:rPr>
        <w:t>2000</w:t>
      </w:r>
      <w:r>
        <w:rPr>
          <w:rFonts w:hint="eastAsia"/>
        </w:rPr>
        <w:t>年的</w:t>
      </w:r>
      <w:r>
        <w:rPr>
          <w:rFonts w:hint="eastAsia"/>
        </w:rPr>
        <w:t>12</w:t>
      </w:r>
      <w:r>
        <w:rPr>
          <w:rFonts w:hint="eastAsia"/>
        </w:rPr>
        <w:t>人降至</w:t>
      </w:r>
      <w:r>
        <w:rPr>
          <w:rFonts w:hint="eastAsia"/>
        </w:rPr>
        <w:t>2008</w:t>
      </w:r>
      <w:r>
        <w:rPr>
          <w:rFonts w:hint="eastAsia"/>
        </w:rPr>
        <w:t>年的</w:t>
      </w:r>
      <w:r>
        <w:rPr>
          <w:rFonts w:hint="eastAsia"/>
        </w:rPr>
        <w:t>7</w:t>
      </w:r>
      <w:r>
        <w:rPr>
          <w:rFonts w:hint="eastAsia"/>
        </w:rPr>
        <w:t>人</w:t>
      </w:r>
      <w:r>
        <w:rPr>
          <w:rFonts w:hint="eastAsia"/>
        </w:rPr>
        <w:t>(</w:t>
      </w:r>
      <w:r>
        <w:rPr>
          <w:rFonts w:hint="eastAsia"/>
        </w:rPr>
        <w:t>见表</w:t>
      </w:r>
      <w:r>
        <w:rPr>
          <w:rFonts w:hint="eastAsia"/>
        </w:rPr>
        <w:t>33)</w:t>
      </w:r>
      <w:r>
        <w:rPr>
          <w:rFonts w:hint="eastAsia"/>
        </w:rPr>
        <w:t>。</w:t>
      </w:r>
    </w:p>
    <w:p w:rsidR="007234DD" w:rsidRDefault="007234DD">
      <w:pPr>
        <w:pStyle w:val="SingleTxtGC"/>
      </w:pPr>
      <w:r>
        <w:br w:type="page"/>
      </w:r>
      <w:r>
        <w:rPr>
          <w:rFonts w:hint="eastAsia"/>
        </w:rPr>
        <w:t>表</w:t>
      </w:r>
      <w:r>
        <w:rPr>
          <w:rFonts w:hint="eastAsia"/>
        </w:rPr>
        <w:t>33</w:t>
      </w:r>
      <w:r>
        <w:br/>
      </w:r>
      <w:r>
        <w:rPr>
          <w:rFonts w:eastAsia="SimHei" w:hint="eastAsia"/>
        </w:rPr>
        <w:t>按国籍和年份分列的婴儿死亡率</w:t>
      </w:r>
      <w:r>
        <w:rPr>
          <w:rFonts w:eastAsia="SimHei" w:hint="eastAsia"/>
        </w:rPr>
        <w:t>(</w:t>
      </w:r>
      <w:r>
        <w:rPr>
          <w:rFonts w:eastAsia="SimHei" w:hint="eastAsia"/>
        </w:rPr>
        <w:t>每</w:t>
      </w:r>
      <w:r>
        <w:rPr>
          <w:rFonts w:eastAsia="SimHei" w:hint="eastAsia"/>
        </w:rPr>
        <w:t>1000</w:t>
      </w:r>
      <w:r>
        <w:rPr>
          <w:rFonts w:eastAsia="SimHei" w:hint="eastAsia"/>
        </w:rPr>
        <w:t>名活产儿</w:t>
      </w:r>
      <w:r>
        <w:rPr>
          <w:rFonts w:eastAsia="SimHei" w:hint="eastAsia"/>
        </w:rPr>
        <w:t>)</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7234DD">
        <w:trPr>
          <w:cantSplit/>
          <w:tblHeader/>
        </w:trPr>
        <w:tc>
          <w:tcPr>
            <w:tcW w:w="1841" w:type="dxa"/>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年份</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卡塔尔人</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rPr>
            </w:pPr>
            <w:r>
              <w:rPr>
                <w:rFonts w:hint="eastAsia"/>
              </w:rPr>
              <w:t>非卡塔尔人</w:t>
            </w:r>
          </w:p>
        </w:tc>
        <w:tc>
          <w:tcPr>
            <w:tcW w:w="1843" w:type="dxa"/>
            <w:tcBorders>
              <w:top w:val="single" w:sz="4" w:space="0" w:color="auto"/>
              <w:bottom w:val="single" w:sz="12" w:space="0" w:color="auto"/>
            </w:tcBorders>
            <w:shd w:val="clear" w:color="auto" w:fill="auto"/>
            <w:vAlign w:val="bottom"/>
          </w:tcPr>
          <w:p w:rsidR="007234DD" w:rsidRDefault="007234DD">
            <w:pPr>
              <w:pStyle w:val="a0"/>
              <w:ind w:right="0"/>
              <w:jc w:val="right"/>
              <w:rPr>
                <w:rFonts w:hint="eastAsia"/>
                <w:b/>
              </w:rPr>
            </w:pPr>
            <w:r>
              <w:rPr>
                <w:rFonts w:hint="eastAsia"/>
                <w:b/>
              </w:rPr>
              <w:t>合计</w:t>
            </w:r>
          </w:p>
        </w:tc>
      </w:tr>
      <w:tr w:rsidR="007234DD">
        <w:trPr>
          <w:cantSplit/>
        </w:trPr>
        <w:tc>
          <w:tcPr>
            <w:tcW w:w="1841" w:type="dxa"/>
            <w:tcBorders>
              <w:top w:val="single" w:sz="12" w:space="0" w:color="auto"/>
            </w:tcBorders>
            <w:shd w:val="clear" w:color="auto" w:fill="auto"/>
          </w:tcPr>
          <w:p w:rsidR="007234DD" w:rsidRDefault="007234DD">
            <w:pPr>
              <w:pStyle w:val="a5"/>
              <w:rPr>
                <w:rFonts w:hint="eastAsia"/>
              </w:rPr>
            </w:pPr>
            <w:r>
              <w:t>2000</w:t>
            </w:r>
          </w:p>
        </w:tc>
        <w:tc>
          <w:tcPr>
            <w:tcW w:w="1843" w:type="dxa"/>
            <w:tcBorders>
              <w:top w:val="single" w:sz="12" w:space="0" w:color="auto"/>
            </w:tcBorders>
            <w:shd w:val="clear" w:color="auto" w:fill="auto"/>
          </w:tcPr>
          <w:p w:rsidR="007234DD" w:rsidRDefault="007234DD">
            <w:pPr>
              <w:pStyle w:val="a5"/>
              <w:ind w:right="0"/>
              <w:jc w:val="right"/>
            </w:pPr>
            <w:r>
              <w:t>10.7</w:t>
            </w:r>
          </w:p>
        </w:tc>
        <w:tc>
          <w:tcPr>
            <w:tcW w:w="1843" w:type="dxa"/>
            <w:tcBorders>
              <w:top w:val="single" w:sz="12" w:space="0" w:color="auto"/>
            </w:tcBorders>
            <w:shd w:val="clear" w:color="auto" w:fill="auto"/>
          </w:tcPr>
          <w:p w:rsidR="007234DD" w:rsidRDefault="007234DD">
            <w:pPr>
              <w:pStyle w:val="a5"/>
              <w:ind w:right="0"/>
              <w:jc w:val="right"/>
            </w:pPr>
            <w:r>
              <w:t>13.3</w:t>
            </w:r>
          </w:p>
        </w:tc>
        <w:tc>
          <w:tcPr>
            <w:tcW w:w="1843" w:type="dxa"/>
            <w:tcBorders>
              <w:top w:val="single" w:sz="12" w:space="0" w:color="auto"/>
            </w:tcBorders>
            <w:shd w:val="clear" w:color="auto" w:fill="auto"/>
          </w:tcPr>
          <w:p w:rsidR="007234DD" w:rsidRDefault="007234DD">
            <w:pPr>
              <w:pStyle w:val="a5"/>
              <w:ind w:right="0"/>
              <w:jc w:val="right"/>
              <w:rPr>
                <w:b/>
              </w:rPr>
            </w:pPr>
            <w:r>
              <w:rPr>
                <w:b/>
              </w:rPr>
              <w:t>12</w:t>
            </w:r>
          </w:p>
        </w:tc>
      </w:tr>
      <w:tr w:rsidR="007234DD">
        <w:trPr>
          <w:cantSplit/>
        </w:trPr>
        <w:tc>
          <w:tcPr>
            <w:tcW w:w="1841" w:type="dxa"/>
            <w:shd w:val="clear" w:color="auto" w:fill="auto"/>
          </w:tcPr>
          <w:p w:rsidR="007234DD" w:rsidRDefault="007234DD">
            <w:pPr>
              <w:pStyle w:val="a5"/>
              <w:rPr>
                <w:rFonts w:hint="eastAsia"/>
              </w:rPr>
            </w:pPr>
            <w:r>
              <w:t>2001</w:t>
            </w:r>
          </w:p>
        </w:tc>
        <w:tc>
          <w:tcPr>
            <w:tcW w:w="1843" w:type="dxa"/>
            <w:shd w:val="clear" w:color="auto" w:fill="auto"/>
          </w:tcPr>
          <w:p w:rsidR="007234DD" w:rsidRDefault="007234DD">
            <w:pPr>
              <w:pStyle w:val="a5"/>
              <w:ind w:right="0"/>
              <w:jc w:val="right"/>
            </w:pPr>
            <w:r>
              <w:t>9.1</w:t>
            </w:r>
          </w:p>
        </w:tc>
        <w:tc>
          <w:tcPr>
            <w:tcW w:w="1843" w:type="dxa"/>
            <w:shd w:val="clear" w:color="auto" w:fill="auto"/>
          </w:tcPr>
          <w:p w:rsidR="007234DD" w:rsidRDefault="007234DD">
            <w:pPr>
              <w:pStyle w:val="a5"/>
              <w:ind w:right="0"/>
              <w:jc w:val="right"/>
            </w:pPr>
            <w:r>
              <w:t>9.3</w:t>
            </w:r>
          </w:p>
        </w:tc>
        <w:tc>
          <w:tcPr>
            <w:tcW w:w="1843" w:type="dxa"/>
            <w:shd w:val="clear" w:color="auto" w:fill="auto"/>
          </w:tcPr>
          <w:p w:rsidR="007234DD" w:rsidRDefault="007234DD">
            <w:pPr>
              <w:pStyle w:val="a5"/>
              <w:ind w:right="0"/>
              <w:jc w:val="right"/>
              <w:rPr>
                <w:b/>
              </w:rPr>
            </w:pPr>
            <w:r>
              <w:rPr>
                <w:b/>
              </w:rPr>
              <w:t>9.2</w:t>
            </w:r>
          </w:p>
        </w:tc>
      </w:tr>
      <w:tr w:rsidR="007234DD">
        <w:trPr>
          <w:cantSplit/>
        </w:trPr>
        <w:tc>
          <w:tcPr>
            <w:tcW w:w="1841" w:type="dxa"/>
            <w:shd w:val="clear" w:color="auto" w:fill="auto"/>
          </w:tcPr>
          <w:p w:rsidR="007234DD" w:rsidRDefault="007234DD">
            <w:pPr>
              <w:pStyle w:val="a5"/>
              <w:rPr>
                <w:rFonts w:hint="eastAsia"/>
              </w:rPr>
            </w:pPr>
            <w:r>
              <w:t>2002</w:t>
            </w:r>
          </w:p>
        </w:tc>
        <w:tc>
          <w:tcPr>
            <w:tcW w:w="1843" w:type="dxa"/>
            <w:shd w:val="clear" w:color="auto" w:fill="auto"/>
          </w:tcPr>
          <w:p w:rsidR="007234DD" w:rsidRDefault="007234DD">
            <w:pPr>
              <w:pStyle w:val="a5"/>
              <w:ind w:right="0"/>
              <w:jc w:val="right"/>
            </w:pPr>
            <w:r>
              <w:t>10.5</w:t>
            </w:r>
          </w:p>
        </w:tc>
        <w:tc>
          <w:tcPr>
            <w:tcW w:w="1843" w:type="dxa"/>
            <w:shd w:val="clear" w:color="auto" w:fill="auto"/>
          </w:tcPr>
          <w:p w:rsidR="007234DD" w:rsidRDefault="007234DD">
            <w:pPr>
              <w:pStyle w:val="a5"/>
              <w:ind w:right="0"/>
              <w:jc w:val="right"/>
            </w:pPr>
            <w:r>
              <w:t>7.2</w:t>
            </w:r>
          </w:p>
        </w:tc>
        <w:tc>
          <w:tcPr>
            <w:tcW w:w="1843" w:type="dxa"/>
            <w:shd w:val="clear" w:color="auto" w:fill="auto"/>
          </w:tcPr>
          <w:p w:rsidR="007234DD" w:rsidRDefault="007234DD">
            <w:pPr>
              <w:pStyle w:val="a5"/>
              <w:ind w:right="0"/>
              <w:jc w:val="right"/>
              <w:rPr>
                <w:b/>
              </w:rPr>
            </w:pPr>
            <w:r>
              <w:rPr>
                <w:b/>
              </w:rPr>
              <w:t>8.8</w:t>
            </w:r>
          </w:p>
        </w:tc>
      </w:tr>
      <w:tr w:rsidR="007234DD">
        <w:trPr>
          <w:cantSplit/>
        </w:trPr>
        <w:tc>
          <w:tcPr>
            <w:tcW w:w="1841" w:type="dxa"/>
            <w:shd w:val="clear" w:color="auto" w:fill="auto"/>
          </w:tcPr>
          <w:p w:rsidR="007234DD" w:rsidRDefault="007234DD">
            <w:pPr>
              <w:pStyle w:val="a5"/>
              <w:rPr>
                <w:rFonts w:hint="eastAsia"/>
              </w:rPr>
            </w:pPr>
            <w:r>
              <w:t>2003</w:t>
            </w:r>
          </w:p>
        </w:tc>
        <w:tc>
          <w:tcPr>
            <w:tcW w:w="1843" w:type="dxa"/>
            <w:shd w:val="clear" w:color="auto" w:fill="auto"/>
          </w:tcPr>
          <w:p w:rsidR="007234DD" w:rsidRDefault="007234DD">
            <w:pPr>
              <w:pStyle w:val="a5"/>
              <w:ind w:right="0"/>
              <w:jc w:val="right"/>
            </w:pPr>
            <w:r>
              <w:t>11.9</w:t>
            </w:r>
          </w:p>
        </w:tc>
        <w:tc>
          <w:tcPr>
            <w:tcW w:w="1843" w:type="dxa"/>
            <w:shd w:val="clear" w:color="auto" w:fill="auto"/>
          </w:tcPr>
          <w:p w:rsidR="007234DD" w:rsidRDefault="007234DD">
            <w:pPr>
              <w:pStyle w:val="a5"/>
              <w:ind w:right="0"/>
              <w:jc w:val="right"/>
            </w:pPr>
            <w:r>
              <w:t>9.5</w:t>
            </w:r>
          </w:p>
        </w:tc>
        <w:tc>
          <w:tcPr>
            <w:tcW w:w="1843" w:type="dxa"/>
            <w:shd w:val="clear" w:color="auto" w:fill="auto"/>
          </w:tcPr>
          <w:p w:rsidR="007234DD" w:rsidRDefault="007234DD">
            <w:pPr>
              <w:pStyle w:val="a5"/>
              <w:ind w:right="0"/>
              <w:jc w:val="right"/>
              <w:rPr>
                <w:b/>
              </w:rPr>
            </w:pPr>
            <w:r>
              <w:rPr>
                <w:b/>
              </w:rPr>
              <w:t>10.7</w:t>
            </w:r>
          </w:p>
        </w:tc>
      </w:tr>
      <w:tr w:rsidR="007234DD">
        <w:trPr>
          <w:cantSplit/>
        </w:trPr>
        <w:tc>
          <w:tcPr>
            <w:tcW w:w="1841" w:type="dxa"/>
            <w:shd w:val="clear" w:color="auto" w:fill="auto"/>
          </w:tcPr>
          <w:p w:rsidR="007234DD" w:rsidRDefault="007234DD">
            <w:pPr>
              <w:pStyle w:val="a5"/>
              <w:rPr>
                <w:rFonts w:hint="eastAsia"/>
              </w:rPr>
            </w:pPr>
            <w:r>
              <w:t>2004</w:t>
            </w:r>
          </w:p>
        </w:tc>
        <w:tc>
          <w:tcPr>
            <w:tcW w:w="1843" w:type="dxa"/>
            <w:shd w:val="clear" w:color="auto" w:fill="auto"/>
          </w:tcPr>
          <w:p w:rsidR="007234DD" w:rsidRDefault="007234DD">
            <w:pPr>
              <w:pStyle w:val="a5"/>
              <w:ind w:right="0"/>
              <w:jc w:val="right"/>
            </w:pPr>
            <w:r>
              <w:t>6.9</w:t>
            </w:r>
          </w:p>
        </w:tc>
        <w:tc>
          <w:tcPr>
            <w:tcW w:w="1843" w:type="dxa"/>
            <w:shd w:val="clear" w:color="auto" w:fill="auto"/>
          </w:tcPr>
          <w:p w:rsidR="007234DD" w:rsidRDefault="007234DD">
            <w:pPr>
              <w:pStyle w:val="a5"/>
              <w:ind w:right="0"/>
              <w:jc w:val="right"/>
            </w:pPr>
            <w:r>
              <w:t>10.1</w:t>
            </w:r>
          </w:p>
        </w:tc>
        <w:tc>
          <w:tcPr>
            <w:tcW w:w="1843" w:type="dxa"/>
            <w:shd w:val="clear" w:color="auto" w:fill="auto"/>
          </w:tcPr>
          <w:p w:rsidR="007234DD" w:rsidRDefault="007234DD">
            <w:pPr>
              <w:pStyle w:val="a5"/>
              <w:ind w:right="0"/>
              <w:jc w:val="right"/>
              <w:rPr>
                <w:b/>
              </w:rPr>
            </w:pPr>
            <w:r>
              <w:rPr>
                <w:b/>
              </w:rPr>
              <w:t>8.6</w:t>
            </w:r>
          </w:p>
        </w:tc>
      </w:tr>
      <w:tr w:rsidR="007234DD">
        <w:trPr>
          <w:cantSplit/>
        </w:trPr>
        <w:tc>
          <w:tcPr>
            <w:tcW w:w="1841" w:type="dxa"/>
            <w:shd w:val="clear" w:color="auto" w:fill="auto"/>
          </w:tcPr>
          <w:p w:rsidR="007234DD" w:rsidRDefault="007234DD">
            <w:pPr>
              <w:pStyle w:val="a5"/>
              <w:rPr>
                <w:rFonts w:hint="eastAsia"/>
              </w:rPr>
            </w:pPr>
            <w:r>
              <w:t>2005</w:t>
            </w:r>
          </w:p>
        </w:tc>
        <w:tc>
          <w:tcPr>
            <w:tcW w:w="1843" w:type="dxa"/>
            <w:shd w:val="clear" w:color="auto" w:fill="auto"/>
          </w:tcPr>
          <w:p w:rsidR="007234DD" w:rsidRDefault="007234DD">
            <w:pPr>
              <w:pStyle w:val="a5"/>
              <w:ind w:right="0"/>
              <w:jc w:val="right"/>
            </w:pPr>
            <w:r>
              <w:t>7.7</w:t>
            </w:r>
          </w:p>
        </w:tc>
        <w:tc>
          <w:tcPr>
            <w:tcW w:w="1843" w:type="dxa"/>
            <w:shd w:val="clear" w:color="auto" w:fill="auto"/>
          </w:tcPr>
          <w:p w:rsidR="007234DD" w:rsidRDefault="007234DD">
            <w:pPr>
              <w:pStyle w:val="a5"/>
              <w:ind w:right="0"/>
              <w:jc w:val="right"/>
            </w:pPr>
            <w:r>
              <w:t>8.7</w:t>
            </w:r>
          </w:p>
        </w:tc>
        <w:tc>
          <w:tcPr>
            <w:tcW w:w="1843" w:type="dxa"/>
            <w:shd w:val="clear" w:color="auto" w:fill="auto"/>
          </w:tcPr>
          <w:p w:rsidR="007234DD" w:rsidRDefault="007234DD">
            <w:pPr>
              <w:pStyle w:val="a5"/>
              <w:ind w:right="0"/>
              <w:jc w:val="right"/>
              <w:rPr>
                <w:b/>
              </w:rPr>
            </w:pPr>
            <w:r>
              <w:rPr>
                <w:b/>
              </w:rPr>
              <w:t>8.2</w:t>
            </w:r>
          </w:p>
        </w:tc>
      </w:tr>
      <w:tr w:rsidR="007234DD">
        <w:trPr>
          <w:cantSplit/>
        </w:trPr>
        <w:tc>
          <w:tcPr>
            <w:tcW w:w="1841" w:type="dxa"/>
            <w:shd w:val="clear" w:color="auto" w:fill="auto"/>
          </w:tcPr>
          <w:p w:rsidR="007234DD" w:rsidRDefault="007234DD">
            <w:pPr>
              <w:pStyle w:val="a5"/>
              <w:rPr>
                <w:rFonts w:hint="eastAsia"/>
              </w:rPr>
            </w:pPr>
            <w:r>
              <w:t>2006</w:t>
            </w:r>
          </w:p>
        </w:tc>
        <w:tc>
          <w:tcPr>
            <w:tcW w:w="1843" w:type="dxa"/>
            <w:shd w:val="clear" w:color="auto" w:fill="auto"/>
          </w:tcPr>
          <w:p w:rsidR="007234DD" w:rsidRDefault="007234DD">
            <w:pPr>
              <w:pStyle w:val="a5"/>
              <w:ind w:right="0"/>
              <w:jc w:val="right"/>
            </w:pPr>
            <w:r>
              <w:t>8.4</w:t>
            </w:r>
          </w:p>
        </w:tc>
        <w:tc>
          <w:tcPr>
            <w:tcW w:w="1843" w:type="dxa"/>
            <w:shd w:val="clear" w:color="auto" w:fill="auto"/>
          </w:tcPr>
          <w:p w:rsidR="007234DD" w:rsidRDefault="007234DD">
            <w:pPr>
              <w:pStyle w:val="a5"/>
              <w:ind w:right="0"/>
              <w:jc w:val="right"/>
            </w:pPr>
            <w:r>
              <w:t>7.8</w:t>
            </w:r>
          </w:p>
        </w:tc>
        <w:tc>
          <w:tcPr>
            <w:tcW w:w="1843" w:type="dxa"/>
            <w:shd w:val="clear" w:color="auto" w:fill="auto"/>
          </w:tcPr>
          <w:p w:rsidR="007234DD" w:rsidRDefault="007234DD">
            <w:pPr>
              <w:pStyle w:val="a5"/>
              <w:ind w:right="0"/>
              <w:jc w:val="right"/>
              <w:rPr>
                <w:b/>
              </w:rPr>
            </w:pPr>
            <w:r>
              <w:rPr>
                <w:b/>
              </w:rPr>
              <w:t>8.1</w:t>
            </w:r>
          </w:p>
        </w:tc>
      </w:tr>
      <w:tr w:rsidR="007234DD">
        <w:trPr>
          <w:cantSplit/>
        </w:trPr>
        <w:tc>
          <w:tcPr>
            <w:tcW w:w="1841" w:type="dxa"/>
            <w:shd w:val="clear" w:color="auto" w:fill="auto"/>
          </w:tcPr>
          <w:p w:rsidR="007234DD" w:rsidRDefault="007234DD">
            <w:pPr>
              <w:pStyle w:val="a5"/>
              <w:rPr>
                <w:rFonts w:hint="eastAsia"/>
              </w:rPr>
            </w:pPr>
            <w:r>
              <w:t>2007</w:t>
            </w:r>
          </w:p>
        </w:tc>
        <w:tc>
          <w:tcPr>
            <w:tcW w:w="1843" w:type="dxa"/>
            <w:shd w:val="clear" w:color="auto" w:fill="auto"/>
          </w:tcPr>
          <w:p w:rsidR="007234DD" w:rsidRDefault="007234DD">
            <w:pPr>
              <w:pStyle w:val="a5"/>
              <w:ind w:right="0"/>
              <w:jc w:val="right"/>
            </w:pPr>
            <w:r>
              <w:t>7.2</w:t>
            </w:r>
          </w:p>
        </w:tc>
        <w:tc>
          <w:tcPr>
            <w:tcW w:w="1843" w:type="dxa"/>
            <w:shd w:val="clear" w:color="auto" w:fill="auto"/>
          </w:tcPr>
          <w:p w:rsidR="007234DD" w:rsidRDefault="007234DD">
            <w:pPr>
              <w:pStyle w:val="a5"/>
              <w:ind w:right="0"/>
              <w:jc w:val="right"/>
            </w:pPr>
            <w:r>
              <w:t>7.6</w:t>
            </w:r>
          </w:p>
        </w:tc>
        <w:tc>
          <w:tcPr>
            <w:tcW w:w="1843" w:type="dxa"/>
            <w:shd w:val="clear" w:color="auto" w:fill="auto"/>
          </w:tcPr>
          <w:p w:rsidR="007234DD" w:rsidRDefault="007234DD">
            <w:pPr>
              <w:pStyle w:val="a5"/>
              <w:ind w:right="0"/>
              <w:jc w:val="right"/>
              <w:rPr>
                <w:b/>
              </w:rPr>
            </w:pPr>
            <w:r>
              <w:rPr>
                <w:b/>
              </w:rPr>
              <w:t>7.5</w:t>
            </w:r>
          </w:p>
        </w:tc>
      </w:tr>
      <w:tr w:rsidR="007234DD">
        <w:trPr>
          <w:cantSplit/>
        </w:trPr>
        <w:tc>
          <w:tcPr>
            <w:tcW w:w="1841" w:type="dxa"/>
            <w:tcBorders>
              <w:bottom w:val="single" w:sz="12" w:space="0" w:color="auto"/>
            </w:tcBorders>
            <w:shd w:val="clear" w:color="auto" w:fill="auto"/>
          </w:tcPr>
          <w:p w:rsidR="007234DD" w:rsidRDefault="007234DD">
            <w:pPr>
              <w:pStyle w:val="a5"/>
              <w:rPr>
                <w:rFonts w:hint="eastAsia"/>
              </w:rPr>
            </w:pPr>
            <w:r>
              <w:t>2008</w:t>
            </w:r>
          </w:p>
        </w:tc>
        <w:tc>
          <w:tcPr>
            <w:tcW w:w="1843" w:type="dxa"/>
            <w:tcBorders>
              <w:bottom w:val="single" w:sz="12" w:space="0" w:color="auto"/>
            </w:tcBorders>
            <w:shd w:val="clear" w:color="auto" w:fill="auto"/>
          </w:tcPr>
          <w:p w:rsidR="007234DD" w:rsidRDefault="007234DD">
            <w:pPr>
              <w:pStyle w:val="a5"/>
              <w:ind w:right="0"/>
              <w:jc w:val="right"/>
            </w:pPr>
            <w:r>
              <w:t>5.7</w:t>
            </w:r>
          </w:p>
        </w:tc>
        <w:tc>
          <w:tcPr>
            <w:tcW w:w="1843" w:type="dxa"/>
            <w:tcBorders>
              <w:bottom w:val="single" w:sz="12" w:space="0" w:color="auto"/>
            </w:tcBorders>
            <w:shd w:val="clear" w:color="auto" w:fill="auto"/>
          </w:tcPr>
          <w:p w:rsidR="007234DD" w:rsidRDefault="007234DD">
            <w:pPr>
              <w:pStyle w:val="a5"/>
              <w:ind w:right="0"/>
              <w:jc w:val="right"/>
            </w:pPr>
            <w:r>
              <w:t>9.1</w:t>
            </w:r>
          </w:p>
        </w:tc>
        <w:tc>
          <w:tcPr>
            <w:tcW w:w="1843" w:type="dxa"/>
            <w:tcBorders>
              <w:bottom w:val="single" w:sz="12" w:space="0" w:color="auto"/>
            </w:tcBorders>
            <w:shd w:val="clear" w:color="auto" w:fill="auto"/>
          </w:tcPr>
          <w:p w:rsidR="007234DD" w:rsidRDefault="007234DD">
            <w:pPr>
              <w:pStyle w:val="a5"/>
              <w:ind w:right="0"/>
              <w:jc w:val="right"/>
              <w:rPr>
                <w:b/>
              </w:rPr>
            </w:pPr>
            <w:r>
              <w:rPr>
                <w:b/>
              </w:rPr>
              <w:t>7.7</w:t>
            </w:r>
          </w:p>
        </w:tc>
      </w:tr>
    </w:tbl>
    <w:p w:rsidR="007234DD" w:rsidRDefault="00326C16" w:rsidP="00326C16">
      <w:pPr>
        <w:pStyle w:val="SingleTxtGC"/>
        <w:tabs>
          <w:tab w:val="left" w:pos="1300"/>
        </w:tabs>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w:t>
      </w:r>
      <w:r w:rsidR="007234DD">
        <w:rPr>
          <w:rFonts w:hint="eastAsia"/>
          <w:sz w:val="19"/>
          <w:szCs w:val="19"/>
        </w:rPr>
        <w:t>Qalam</w:t>
      </w:r>
      <w:r w:rsidR="007234DD">
        <w:rPr>
          <w:rFonts w:hint="eastAsia"/>
          <w:sz w:val="19"/>
          <w:szCs w:val="19"/>
        </w:rPr>
        <w:t>”项目和卡塔尔统计局，</w:t>
      </w:r>
      <w:r w:rsidR="007234DD">
        <w:rPr>
          <w:rFonts w:hint="eastAsia"/>
          <w:sz w:val="19"/>
          <w:szCs w:val="19"/>
        </w:rPr>
        <w:t>2010</w:t>
      </w:r>
      <w:r w:rsidR="007234DD">
        <w:rPr>
          <w:rFonts w:hint="eastAsia"/>
          <w:sz w:val="19"/>
          <w:szCs w:val="19"/>
        </w:rPr>
        <w:t>年。</w:t>
      </w:r>
    </w:p>
    <w:p w:rsidR="007234DD" w:rsidRDefault="007234DD">
      <w:pPr>
        <w:pStyle w:val="SingleTxtGC"/>
      </w:pPr>
      <w:r>
        <w:t xml:space="preserve">334.  </w:t>
      </w:r>
      <w:r>
        <w:rPr>
          <w:rFonts w:hint="eastAsia"/>
        </w:rPr>
        <w:t>近年来，</w:t>
      </w:r>
      <w:r>
        <w:rPr>
          <w:rFonts w:hint="eastAsia"/>
        </w:rPr>
        <w:t>5</w:t>
      </w:r>
      <w:r>
        <w:rPr>
          <w:rFonts w:hint="eastAsia"/>
        </w:rPr>
        <w:t>岁以下儿童的死亡率下降明显，每</w:t>
      </w:r>
      <w:r>
        <w:rPr>
          <w:rFonts w:hint="eastAsia"/>
        </w:rPr>
        <w:t>1</w:t>
      </w:r>
      <w:r>
        <w:t>,</w:t>
      </w:r>
      <w:r>
        <w:rPr>
          <w:rFonts w:hint="eastAsia"/>
        </w:rPr>
        <w:t>000</w:t>
      </w:r>
      <w:r>
        <w:rPr>
          <w:rFonts w:hint="eastAsia"/>
        </w:rPr>
        <w:t>名活产儿的死亡人数由</w:t>
      </w:r>
      <w:r>
        <w:rPr>
          <w:rFonts w:hint="eastAsia"/>
        </w:rPr>
        <w:t>2000</w:t>
      </w:r>
      <w:r>
        <w:rPr>
          <w:rFonts w:hint="eastAsia"/>
        </w:rPr>
        <w:t>年的</w:t>
      </w:r>
      <w:r>
        <w:rPr>
          <w:rFonts w:hint="eastAsia"/>
        </w:rPr>
        <w:t>13</w:t>
      </w:r>
      <w:r>
        <w:rPr>
          <w:rFonts w:hint="eastAsia"/>
        </w:rPr>
        <w:t>人降至</w:t>
      </w:r>
      <w:r>
        <w:rPr>
          <w:rFonts w:hint="eastAsia"/>
        </w:rPr>
        <w:t>2009</w:t>
      </w:r>
      <w:r>
        <w:rPr>
          <w:rFonts w:hint="eastAsia"/>
        </w:rPr>
        <w:t>年的</w:t>
      </w:r>
      <w:r>
        <w:rPr>
          <w:rFonts w:hint="eastAsia"/>
        </w:rPr>
        <w:t>8.8</w:t>
      </w:r>
      <w:r>
        <w:rPr>
          <w:rFonts w:hint="eastAsia"/>
        </w:rPr>
        <w:t>人，因此已接近先进工业化国家的水平，即</w:t>
      </w:r>
      <w:r>
        <w:rPr>
          <w:rFonts w:hint="eastAsia"/>
        </w:rPr>
        <w:t>5</w:t>
      </w:r>
      <w:r>
        <w:rPr>
          <w:rFonts w:hint="eastAsia"/>
        </w:rPr>
        <w:t>岁以下儿童的死亡率约为每</w:t>
      </w:r>
      <w:r>
        <w:rPr>
          <w:rFonts w:hint="eastAsia"/>
        </w:rPr>
        <w:t>1</w:t>
      </w:r>
      <w:r>
        <w:t>,</w:t>
      </w:r>
      <w:r>
        <w:rPr>
          <w:rFonts w:hint="eastAsia"/>
        </w:rPr>
        <w:t>000</w:t>
      </w:r>
      <w:r>
        <w:rPr>
          <w:rFonts w:hint="eastAsia"/>
        </w:rPr>
        <w:t>名活产儿</w:t>
      </w:r>
      <w:r>
        <w:rPr>
          <w:rFonts w:hint="eastAsia"/>
        </w:rPr>
        <w:t>7</w:t>
      </w:r>
      <w:r>
        <w:rPr>
          <w:rFonts w:hint="eastAsia"/>
        </w:rPr>
        <w:t>人。</w:t>
      </w:r>
    </w:p>
    <w:p w:rsidR="007234DD" w:rsidRDefault="007234DD">
      <w:pPr>
        <w:pStyle w:val="H4GC"/>
      </w:pPr>
      <w:r>
        <w:tab/>
      </w:r>
      <w:r>
        <w:tab/>
      </w:r>
      <w:r>
        <w:rPr>
          <w:rFonts w:hint="eastAsia"/>
        </w:rPr>
        <w:t>使用避孕药具</w:t>
      </w:r>
    </w:p>
    <w:p w:rsidR="007234DD" w:rsidRDefault="007234DD">
      <w:pPr>
        <w:pStyle w:val="SingleTxtGC"/>
      </w:pPr>
      <w:r>
        <w:t xml:space="preserve">335.  </w:t>
      </w:r>
      <w:r>
        <w:rPr>
          <w:rFonts w:hint="eastAsia"/>
        </w:rPr>
        <w:t>在经检测确定了最佳避孕方法并确保其健康不受损害之后，妇女可从医院和卫生中心获得避孕药具。</w:t>
      </w:r>
    </w:p>
    <w:p w:rsidR="007234DD" w:rsidRDefault="007234DD">
      <w:pPr>
        <w:pStyle w:val="SingleTxtGC"/>
      </w:pPr>
      <w:r>
        <w:t xml:space="preserve">336.  </w:t>
      </w:r>
      <w:r>
        <w:rPr>
          <w:rFonts w:hint="eastAsia"/>
        </w:rPr>
        <w:t>与其他阿拉伯国家一样，一方面因为某些长久以来形成的社会传统，另一方面因为卡塔尔家庭缺乏任何控制子女数量的尝试，所以并无有关卡塔尔避孕用具使用率的官方数据。避孕药具仅用于控制怀孕时机和间隔，以避免对母亲的健康造成任何不利影响。此外，关于避孕药具的知识限于众所周知的常规避孕方法。现代方法并不广为人知，然而已婚女性都知道这些方法，从</w:t>
      </w:r>
      <w:r>
        <w:rPr>
          <w:rFonts w:hint="eastAsia"/>
        </w:rPr>
        <w:t>1998</w:t>
      </w:r>
      <w:r>
        <w:rPr>
          <w:rFonts w:hint="eastAsia"/>
        </w:rPr>
        <w:t>年的家庭健康调查可以明确得知这一点。计划生育用具</w:t>
      </w:r>
      <w:r>
        <w:rPr>
          <w:rFonts w:hint="eastAsia"/>
        </w:rPr>
        <w:t>(</w:t>
      </w:r>
      <w:r>
        <w:rPr>
          <w:rFonts w:hint="eastAsia"/>
        </w:rPr>
        <w:t>男用避孕套</w:t>
      </w:r>
      <w:r>
        <w:rPr>
          <w:rFonts w:hint="eastAsia"/>
        </w:rPr>
        <w:t>)</w:t>
      </w:r>
      <w:r>
        <w:rPr>
          <w:rFonts w:hint="eastAsia"/>
        </w:rPr>
        <w:t>的使用率不超过</w:t>
      </w:r>
      <w:r>
        <w:rPr>
          <w:rFonts w:hint="eastAsia"/>
        </w:rPr>
        <w:t>20%</w:t>
      </w:r>
      <w:r>
        <w:rPr>
          <w:rFonts w:hint="eastAsia"/>
        </w:rPr>
        <w:t>。</w:t>
      </w:r>
    </w:p>
    <w:p w:rsidR="007234DD" w:rsidRDefault="007234DD">
      <w:pPr>
        <w:pStyle w:val="H23GC"/>
        <w:spacing w:before="160" w:after="100"/>
      </w:pPr>
      <w:r>
        <w:tab/>
      </w:r>
      <w:r>
        <w:tab/>
      </w:r>
      <w:r>
        <w:rPr>
          <w:rFonts w:hint="eastAsia"/>
        </w:rPr>
        <w:t>卡塔尔的妇科疾病</w:t>
      </w:r>
    </w:p>
    <w:p w:rsidR="007234DD" w:rsidRDefault="007234DD">
      <w:pPr>
        <w:pStyle w:val="H4GC"/>
        <w:spacing w:before="160" w:after="100"/>
      </w:pPr>
      <w:r>
        <w:tab/>
      </w:r>
      <w:r>
        <w:tab/>
      </w:r>
      <w:r>
        <w:rPr>
          <w:rFonts w:hint="eastAsia"/>
        </w:rPr>
        <w:t>妇女与不育</w:t>
      </w:r>
    </w:p>
    <w:p w:rsidR="007234DD" w:rsidRDefault="007234DD">
      <w:pPr>
        <w:pStyle w:val="SingleTxtGC"/>
        <w:spacing w:after="100"/>
        <w:rPr>
          <w:rFonts w:hint="eastAsia"/>
        </w:rPr>
      </w:pPr>
      <w:r>
        <w:t xml:space="preserve">337.  </w:t>
      </w:r>
      <w:r>
        <w:rPr>
          <w:rFonts w:hint="eastAsia"/>
        </w:rPr>
        <w:t>卡塔尔妇产医院设立了治疗男女不育的辅助受孕科，自此，卡塔尔的男性和女性可以得到最为先进的不育症治疗。在该领域，以及在使用体外受精的实验室新技术方面，取得了杰出的医学成就。使用试管婴儿技术和显微注射手术的成功率创下新高。</w:t>
      </w:r>
    </w:p>
    <w:p w:rsidR="007234DD" w:rsidRDefault="007234DD">
      <w:pPr>
        <w:pStyle w:val="SingleTxtGC"/>
        <w:spacing w:after="100"/>
      </w:pPr>
      <w:r>
        <w:t xml:space="preserve">338.  </w:t>
      </w:r>
      <w:r>
        <w:rPr>
          <w:rFonts w:hint="eastAsia"/>
        </w:rPr>
        <w:t>1999</w:t>
      </w:r>
      <w:r>
        <w:rPr>
          <w:rFonts w:hint="eastAsia"/>
        </w:rPr>
        <w:t>年引入了针对子宫疾病和问题的激光治疗，患卵巢功能不良、习惯性流产或宫颈机能不全的妇女接受人工受孕的成功率有所提高。还引入了一项开创性技术，在体外受精程序中利用无蛋白培养液来培养胚胎。</w:t>
      </w:r>
    </w:p>
    <w:p w:rsidR="007234DD" w:rsidRDefault="007234DD">
      <w:pPr>
        <w:pStyle w:val="SingleTxtGC"/>
        <w:spacing w:after="100"/>
      </w:pPr>
      <w:r>
        <w:t xml:space="preserve">339.  </w:t>
      </w:r>
      <w:r>
        <w:rPr>
          <w:rFonts w:hint="eastAsia"/>
        </w:rPr>
        <w:t>国家高度重视卡塔尔妇女定期筛查乳腺癌和子宫颈癌的问题，在妇产医院的两个专家门诊和其他医院及卫生中心提供筛查服务。所有被诊断出患有该病者均被转诊至专长于肿瘤疾病的阿尔阿马尔医院。</w:t>
      </w:r>
    </w:p>
    <w:p w:rsidR="007234DD" w:rsidRDefault="007234DD">
      <w:pPr>
        <w:pStyle w:val="SingleTxtGC"/>
        <w:spacing w:after="100"/>
      </w:pPr>
      <w:r>
        <w:t xml:space="preserve">340.  </w:t>
      </w:r>
      <w:r>
        <w:rPr>
          <w:rFonts w:hint="eastAsia"/>
        </w:rPr>
        <w:t>通过散发传单、在卫生中心举办座谈会和讲习班，以及通过各媒体，开展了预防癌症、健康饮食和自我检查的系统宣传活动。</w:t>
      </w:r>
      <w:r>
        <w:rPr>
          <w:rFonts w:hint="eastAsia"/>
        </w:rPr>
        <w:t>2010</w:t>
      </w:r>
      <w:r>
        <w:rPr>
          <w:rFonts w:hint="eastAsia"/>
        </w:rPr>
        <w:t>年，卡塔尔癌症协会组织了一场有超过</w:t>
      </w:r>
      <w:r>
        <w:rPr>
          <w:rFonts w:hint="eastAsia"/>
        </w:rPr>
        <w:t>500</w:t>
      </w:r>
      <w:r>
        <w:rPr>
          <w:rFonts w:hint="eastAsia"/>
        </w:rPr>
        <w:t>名女性参与的游行，向妇女宣传乳腺癌治疗的早期检测及乳房护理的重要性，强调个人的作用，促进人们对该协会开展的提高认识活动和论坛的参与。如今，妇女更加意识到早期筛查的重要性。例如，</w:t>
      </w:r>
      <w:r>
        <w:rPr>
          <w:rFonts w:hint="eastAsia"/>
        </w:rPr>
        <w:t>2009</w:t>
      </w:r>
      <w:r>
        <w:rPr>
          <w:rFonts w:hint="eastAsia"/>
        </w:rPr>
        <w:t>年，</w:t>
      </w:r>
      <w:r>
        <w:rPr>
          <w:rFonts w:hint="eastAsia"/>
        </w:rPr>
        <w:t>800</w:t>
      </w:r>
      <w:r>
        <w:rPr>
          <w:rFonts w:hint="eastAsia"/>
        </w:rPr>
        <w:t>名妇女前来进行乳腺癌筛查，其中发现</w:t>
      </w:r>
      <w:r>
        <w:rPr>
          <w:rFonts w:hint="eastAsia"/>
        </w:rPr>
        <w:t>10</w:t>
      </w:r>
      <w:r>
        <w:rPr>
          <w:rFonts w:hint="eastAsia"/>
        </w:rPr>
        <w:t>个病例。</w:t>
      </w:r>
    </w:p>
    <w:p w:rsidR="007234DD" w:rsidRDefault="007234DD">
      <w:pPr>
        <w:pStyle w:val="H4GC"/>
      </w:pPr>
      <w:r>
        <w:tab/>
      </w:r>
      <w:r>
        <w:tab/>
      </w:r>
      <w:r>
        <w:rPr>
          <w:rFonts w:hint="eastAsia"/>
        </w:rPr>
        <w:t>癌症发病率</w:t>
      </w:r>
    </w:p>
    <w:p w:rsidR="007234DD" w:rsidRDefault="007234DD">
      <w:pPr>
        <w:pStyle w:val="SingleTxtGC"/>
      </w:pPr>
      <w:r>
        <w:t xml:space="preserve">341.  </w:t>
      </w:r>
      <w:r>
        <w:rPr>
          <w:rFonts w:hint="eastAsia"/>
        </w:rPr>
        <w:t>卡塔尔自</w:t>
      </w:r>
      <w:r>
        <w:rPr>
          <w:rFonts w:hint="eastAsia"/>
        </w:rPr>
        <w:t>1987</w:t>
      </w:r>
      <w:r>
        <w:rPr>
          <w:rFonts w:hint="eastAsia"/>
        </w:rPr>
        <w:t>年起记录癌症病例。</w:t>
      </w:r>
      <w:r>
        <w:rPr>
          <w:rFonts w:hint="eastAsia"/>
        </w:rPr>
        <w:t>2009</w:t>
      </w:r>
      <w:r>
        <w:rPr>
          <w:rFonts w:hint="eastAsia"/>
        </w:rPr>
        <w:t>年，已确诊的各类癌症新发病例共</w:t>
      </w:r>
      <w:r>
        <w:rPr>
          <w:rFonts w:hint="eastAsia"/>
        </w:rPr>
        <w:t>756</w:t>
      </w:r>
      <w:r>
        <w:rPr>
          <w:rFonts w:hint="eastAsia"/>
        </w:rPr>
        <w:t>个，其中</w:t>
      </w:r>
      <w:r>
        <w:rPr>
          <w:rFonts w:hint="eastAsia"/>
        </w:rPr>
        <w:t>194</w:t>
      </w:r>
      <w:r>
        <w:rPr>
          <w:rFonts w:hint="eastAsia"/>
        </w:rPr>
        <w:t>人为卡塔尔籍，</w:t>
      </w:r>
      <w:r>
        <w:rPr>
          <w:rFonts w:hint="eastAsia"/>
        </w:rPr>
        <w:t>562</w:t>
      </w:r>
      <w:r>
        <w:rPr>
          <w:rFonts w:hint="eastAsia"/>
        </w:rPr>
        <w:t>人为非卡塔尔籍。乳腺癌病例共计</w:t>
      </w:r>
      <w:r>
        <w:rPr>
          <w:rFonts w:hint="eastAsia"/>
        </w:rPr>
        <w:t>141</w:t>
      </w:r>
      <w:r>
        <w:rPr>
          <w:rFonts w:hint="eastAsia"/>
        </w:rPr>
        <w:t>个。</w:t>
      </w:r>
    </w:p>
    <w:p w:rsidR="007234DD" w:rsidRDefault="007234DD">
      <w:pPr>
        <w:pStyle w:val="SingleTxtGC"/>
        <w:rPr>
          <w:rFonts w:hint="eastAsia"/>
        </w:rPr>
      </w:pPr>
      <w:r>
        <w:t xml:space="preserve">342.  </w:t>
      </w:r>
      <w:r>
        <w:rPr>
          <w:rFonts w:hint="eastAsia"/>
        </w:rPr>
        <w:t>癌症是卡塔尔人第三大死亡原因；</w:t>
      </w:r>
      <w:r>
        <w:rPr>
          <w:rFonts w:hint="eastAsia"/>
        </w:rPr>
        <w:t>2008</w:t>
      </w:r>
      <w:r>
        <w:rPr>
          <w:rFonts w:hint="eastAsia"/>
        </w:rPr>
        <w:t>年，所记录的癌症死亡率最高</w:t>
      </w:r>
      <w:r>
        <w:rPr>
          <w:rFonts w:hint="eastAsia"/>
        </w:rPr>
        <w:t>(12%)</w:t>
      </w:r>
      <w:r>
        <w:rPr>
          <w:rFonts w:hint="eastAsia"/>
        </w:rPr>
        <w:t>。女性的死亡率高于男性，在每</w:t>
      </w:r>
      <w:r>
        <w:rPr>
          <w:rFonts w:hint="eastAsia"/>
        </w:rPr>
        <w:t>10</w:t>
      </w:r>
      <w:r>
        <w:rPr>
          <w:rFonts w:hint="eastAsia"/>
        </w:rPr>
        <w:t>万名女性和男性的死亡统计中，因癌症导致的死亡率分别为</w:t>
      </w:r>
      <w:r>
        <w:rPr>
          <w:rFonts w:hint="eastAsia"/>
        </w:rPr>
        <w:t>17.9%</w:t>
      </w:r>
      <w:r>
        <w:rPr>
          <w:rFonts w:hint="eastAsia"/>
        </w:rPr>
        <w:t>和</w:t>
      </w:r>
      <w:r>
        <w:rPr>
          <w:rFonts w:hint="eastAsia"/>
        </w:rPr>
        <w:t>10.2%</w:t>
      </w:r>
      <w:r>
        <w:rPr>
          <w:rFonts w:hint="eastAsia"/>
        </w:rPr>
        <w:t>。乳腺癌是</w:t>
      </w:r>
      <w:r>
        <w:rPr>
          <w:rFonts w:hint="eastAsia"/>
        </w:rPr>
        <w:t>40-49</w:t>
      </w:r>
      <w:r>
        <w:rPr>
          <w:rFonts w:hint="eastAsia"/>
        </w:rPr>
        <w:t>岁年龄组妇女的头号致死原因。</w:t>
      </w:r>
    </w:p>
    <w:p w:rsidR="007234DD" w:rsidRDefault="007234DD">
      <w:pPr>
        <w:pStyle w:val="SingleTxtGC"/>
      </w:pPr>
      <w:r>
        <w:t xml:space="preserve">343.  </w:t>
      </w:r>
      <w:r>
        <w:rPr>
          <w:rFonts w:hint="eastAsia"/>
        </w:rPr>
        <w:t>卡塔尔提供了治疗所有癌症的现代医疗服务。阿尔阿马尔医院专长于肿瘤疾病，包括早期检查、治疗、会诊、康复、以及针对患者及其家人的教育和认识提高工作。该医院拥有可满足年均</w:t>
      </w:r>
      <w:r>
        <w:rPr>
          <w:rFonts w:hint="eastAsia"/>
        </w:rPr>
        <w:t>3000</w:t>
      </w:r>
      <w:r>
        <w:rPr>
          <w:rFonts w:hint="eastAsia"/>
        </w:rPr>
        <w:t>至</w:t>
      </w:r>
      <w:r>
        <w:rPr>
          <w:rFonts w:hint="eastAsia"/>
        </w:rPr>
        <w:t>4500</w:t>
      </w:r>
      <w:r>
        <w:rPr>
          <w:rFonts w:hint="eastAsia"/>
        </w:rPr>
        <w:t>名患者的设备和医疗技术人员，拥有针对男性、女性和儿童的</w:t>
      </w:r>
      <w:r>
        <w:rPr>
          <w:rFonts w:hint="eastAsia"/>
        </w:rPr>
        <w:t>82</w:t>
      </w:r>
      <w:r>
        <w:rPr>
          <w:rFonts w:hint="eastAsia"/>
        </w:rPr>
        <w:t>张床位，</w:t>
      </w:r>
      <w:r>
        <w:rPr>
          <w:rFonts w:hint="eastAsia"/>
        </w:rPr>
        <w:t>3</w:t>
      </w:r>
      <w:r>
        <w:rPr>
          <w:rFonts w:hint="eastAsia"/>
        </w:rPr>
        <w:t>台放射治疗机和放射科、实验室、药物制备科、物理和核检测科。成立于</w:t>
      </w:r>
      <w:r>
        <w:rPr>
          <w:rFonts w:hint="eastAsia"/>
        </w:rPr>
        <w:t>1997</w:t>
      </w:r>
      <w:r>
        <w:rPr>
          <w:rFonts w:hint="eastAsia"/>
        </w:rPr>
        <w:t>年的卡塔尔癌症协会是一家慈善组织，致力于提高公众认识，促进环境清洁，以及与卫生机构合作为出版物、会议、讲座和研究提供帮助。</w:t>
      </w:r>
    </w:p>
    <w:p w:rsidR="007234DD" w:rsidRDefault="007234DD">
      <w:pPr>
        <w:pStyle w:val="H23GC"/>
        <w:spacing w:before="160" w:after="100"/>
      </w:pPr>
      <w:r>
        <w:tab/>
      </w:r>
      <w:r>
        <w:tab/>
      </w:r>
      <w:r>
        <w:rPr>
          <w:rFonts w:hint="eastAsia"/>
        </w:rPr>
        <w:t>性传播疾病和艾滋病</w:t>
      </w:r>
    </w:p>
    <w:p w:rsidR="007234DD" w:rsidRDefault="007234DD">
      <w:pPr>
        <w:pStyle w:val="H4GC"/>
        <w:spacing w:before="160" w:after="100"/>
      </w:pPr>
      <w:r>
        <w:tab/>
      </w:r>
      <w:r>
        <w:tab/>
      </w:r>
      <w:r>
        <w:rPr>
          <w:rFonts w:hint="eastAsia"/>
        </w:rPr>
        <w:t>艾滋病</w:t>
      </w:r>
      <w:r>
        <w:rPr>
          <w:rFonts w:hint="eastAsia"/>
        </w:rPr>
        <w:t>(</w:t>
      </w:r>
      <w:r>
        <w:rPr>
          <w:rFonts w:hint="eastAsia"/>
        </w:rPr>
        <w:t>获得性免疫缺陷综合症</w:t>
      </w:r>
      <w:r>
        <w:rPr>
          <w:rFonts w:hint="eastAsia"/>
        </w:rPr>
        <w:t>)</w:t>
      </w:r>
    </w:p>
    <w:p w:rsidR="007234DD" w:rsidRDefault="007234DD">
      <w:pPr>
        <w:pStyle w:val="SingleTxtGC"/>
      </w:pPr>
      <w:r>
        <w:t xml:space="preserve">344.  </w:t>
      </w:r>
      <w:r>
        <w:rPr>
          <w:rFonts w:hint="eastAsia"/>
        </w:rPr>
        <w:t>除了由医学委员会记录的新移民病例以外，卡塔尔每年发现大约</w:t>
      </w:r>
      <w:r>
        <w:rPr>
          <w:rFonts w:hint="eastAsia"/>
        </w:rPr>
        <w:t>10</w:t>
      </w:r>
      <w:r>
        <w:rPr>
          <w:rFonts w:hint="eastAsia"/>
        </w:rPr>
        <w:t>个艾滋病毒</w:t>
      </w:r>
      <w:r>
        <w:rPr>
          <w:rFonts w:hint="eastAsia"/>
        </w:rPr>
        <w:t>/</w:t>
      </w:r>
      <w:r>
        <w:rPr>
          <w:rFonts w:hint="eastAsia"/>
        </w:rPr>
        <w:t>艾滋病新发病例。在</w:t>
      </w:r>
      <w:r>
        <w:rPr>
          <w:rFonts w:hint="eastAsia"/>
        </w:rPr>
        <w:t>1999</w:t>
      </w:r>
      <w:r>
        <w:rPr>
          <w:rFonts w:hint="eastAsia"/>
        </w:rPr>
        <w:t>年至</w:t>
      </w:r>
      <w:r>
        <w:rPr>
          <w:rFonts w:hint="eastAsia"/>
        </w:rPr>
        <w:t>2002</w:t>
      </w:r>
      <w:r>
        <w:rPr>
          <w:rFonts w:hint="eastAsia"/>
        </w:rPr>
        <w:t>年期间，共报告</w:t>
      </w:r>
      <w:r>
        <w:rPr>
          <w:rFonts w:hint="eastAsia"/>
        </w:rPr>
        <w:t>242</w:t>
      </w:r>
      <w:r>
        <w:rPr>
          <w:rFonts w:hint="eastAsia"/>
        </w:rPr>
        <w:t>个病例，半数为卡塔尔人，半数为居住在卡塔尔的外籍人士。患有这种疾病的男性是女性的两倍多。然而，所发现的病例数可能低于实际病例数；一些患病者未意识到自己被感染，而另一些人知道自己已感染，但因害怕社会轻蔑而隐瞒病情。</w:t>
      </w:r>
    </w:p>
    <w:p w:rsidR="007234DD" w:rsidRDefault="007234DD">
      <w:pPr>
        <w:pStyle w:val="SingleTxtGC"/>
      </w:pPr>
      <w:r>
        <w:t xml:space="preserve">345.  </w:t>
      </w:r>
      <w:r>
        <w:rPr>
          <w:rFonts w:hint="eastAsia"/>
        </w:rPr>
        <w:t>卡塔尔于</w:t>
      </w:r>
      <w:r>
        <w:rPr>
          <w:rFonts w:hint="eastAsia"/>
        </w:rPr>
        <w:t>2006</w:t>
      </w:r>
      <w:r>
        <w:rPr>
          <w:rFonts w:hint="eastAsia"/>
        </w:rPr>
        <w:t>年成立了国家预防艾滋病委员会，与联合国开发计划署</w:t>
      </w:r>
      <w:r>
        <w:rPr>
          <w:rFonts w:hint="eastAsia"/>
        </w:rPr>
        <w:t>(</w:t>
      </w:r>
      <w:r>
        <w:rPr>
          <w:rFonts w:hint="eastAsia"/>
        </w:rPr>
        <w:t>开发署</w:t>
      </w:r>
      <w:r>
        <w:rPr>
          <w:rFonts w:hint="eastAsia"/>
        </w:rPr>
        <w:t>)</w:t>
      </w:r>
      <w:r>
        <w:rPr>
          <w:rFonts w:hint="eastAsia"/>
        </w:rPr>
        <w:t>签订了关于制订国家艾滋病计划的合作协议。该委员会自成立以来组织了七个专门方案，以培训舆论领袖，提高公众对艾滋病和艾滋病预防方法的认识。在这些方案中，有四个方案针对清真寺的阿訇，两个方案针对决策者，另一个方案针对媒体人士。</w:t>
      </w:r>
    </w:p>
    <w:p w:rsidR="007234DD" w:rsidRDefault="007234DD">
      <w:pPr>
        <w:pStyle w:val="H4GC"/>
      </w:pPr>
      <w:r>
        <w:tab/>
      </w:r>
      <w:r>
        <w:tab/>
      </w:r>
      <w:r>
        <w:rPr>
          <w:rFonts w:hint="eastAsia"/>
        </w:rPr>
        <w:t>其他性传播疾病</w:t>
      </w:r>
    </w:p>
    <w:p w:rsidR="007234DD" w:rsidRDefault="007234DD">
      <w:pPr>
        <w:pStyle w:val="SingleTxtGC"/>
      </w:pPr>
      <w:r>
        <w:t xml:space="preserve">346.  </w:t>
      </w:r>
      <w:r>
        <w:rPr>
          <w:rFonts w:hint="eastAsia"/>
        </w:rPr>
        <w:t>其他性传播疾病在男性中的流行程度高于女性，原因是男性移徙工人的数量远高于女性移徙工人数。带状疱疹患者中</w:t>
      </w:r>
      <w:r>
        <w:rPr>
          <w:rFonts w:hint="eastAsia"/>
        </w:rPr>
        <w:t>82%</w:t>
      </w:r>
      <w:r>
        <w:rPr>
          <w:rFonts w:hint="eastAsia"/>
        </w:rPr>
        <w:t>为男性，</w:t>
      </w:r>
      <w:r>
        <w:rPr>
          <w:rFonts w:hint="eastAsia"/>
        </w:rPr>
        <w:t>18%</w:t>
      </w:r>
      <w:r>
        <w:rPr>
          <w:rFonts w:hint="eastAsia"/>
        </w:rPr>
        <w:t>为女性；乙肝病毒感染者中</w:t>
      </w:r>
      <w:r>
        <w:rPr>
          <w:rFonts w:hint="eastAsia"/>
        </w:rPr>
        <w:t>67%</w:t>
      </w:r>
      <w:r>
        <w:rPr>
          <w:rFonts w:hint="eastAsia"/>
        </w:rPr>
        <w:t>为男性，</w:t>
      </w:r>
      <w:r>
        <w:rPr>
          <w:rFonts w:hint="eastAsia"/>
        </w:rPr>
        <w:t>33%</w:t>
      </w:r>
      <w:r>
        <w:rPr>
          <w:rFonts w:hint="eastAsia"/>
        </w:rPr>
        <w:t>为女性；丙肝病毒感染者中</w:t>
      </w:r>
      <w:r>
        <w:rPr>
          <w:rFonts w:hint="eastAsia"/>
        </w:rPr>
        <w:t>75%</w:t>
      </w:r>
      <w:r>
        <w:rPr>
          <w:rFonts w:hint="eastAsia"/>
        </w:rPr>
        <w:t>为男性，</w:t>
      </w:r>
      <w:r>
        <w:rPr>
          <w:rFonts w:hint="eastAsia"/>
        </w:rPr>
        <w:t>25%</w:t>
      </w:r>
      <w:r>
        <w:rPr>
          <w:rFonts w:hint="eastAsia"/>
        </w:rPr>
        <w:t>为女性。</w:t>
      </w:r>
    </w:p>
    <w:p w:rsidR="007234DD" w:rsidRDefault="007234DD">
      <w:pPr>
        <w:pStyle w:val="H23GC"/>
        <w:spacing w:before="180"/>
      </w:pPr>
      <w:r>
        <w:tab/>
      </w:r>
      <w:r>
        <w:tab/>
      </w:r>
      <w:r>
        <w:rPr>
          <w:rFonts w:hint="eastAsia"/>
        </w:rPr>
        <w:t>精神疾病</w:t>
      </w:r>
    </w:p>
    <w:p w:rsidR="007234DD" w:rsidRDefault="007234DD">
      <w:pPr>
        <w:pStyle w:val="SingleTxtGC"/>
      </w:pPr>
      <w:r>
        <w:t xml:space="preserve">347.  </w:t>
      </w:r>
      <w:r>
        <w:rPr>
          <w:rFonts w:hint="eastAsia"/>
        </w:rPr>
        <w:t>同其他阿拉伯国家一样，卡塔尔在开展精神卫生服务方面面临诸多挑战。主要挑战是精神疾病的总体发病率上升。没有关于卡塔尔精神疾病流行率的官方数据。精神卫生服务的低利用率表明，精神疾病或是不甚普遍，或是未得到正确诊断。由于社会以精神失常为耻，精神卫生信息系统很不发达。因此，前来要求精神卫生服务的患者寥寥无几，有些人则赴国外寻求此类服务。由于担心遭到社会轻蔑，这些病例未被记录。</w:t>
      </w:r>
    </w:p>
    <w:p w:rsidR="007234DD" w:rsidRDefault="007234DD">
      <w:pPr>
        <w:pStyle w:val="SingleTxtGC"/>
      </w:pPr>
      <w:r>
        <w:t xml:space="preserve">348.  </w:t>
      </w:r>
      <w:r>
        <w:rPr>
          <w:rFonts w:hint="eastAsia"/>
        </w:rPr>
        <w:t>前往精神卫生诊所就诊的人数逐步增加，由</w:t>
      </w:r>
      <w:r>
        <w:rPr>
          <w:rFonts w:hint="eastAsia"/>
        </w:rPr>
        <w:t>2001</w:t>
      </w:r>
      <w:r>
        <w:rPr>
          <w:rFonts w:hint="eastAsia"/>
        </w:rPr>
        <w:t>年的</w:t>
      </w:r>
      <w:r>
        <w:rPr>
          <w:rFonts w:hint="eastAsia"/>
        </w:rPr>
        <w:t>14,017</w:t>
      </w:r>
      <w:r>
        <w:rPr>
          <w:rFonts w:hint="eastAsia"/>
        </w:rPr>
        <w:t>人增至</w:t>
      </w:r>
      <w:r>
        <w:rPr>
          <w:rFonts w:hint="eastAsia"/>
        </w:rPr>
        <w:t>2008</w:t>
      </w:r>
      <w:r>
        <w:rPr>
          <w:rFonts w:hint="eastAsia"/>
        </w:rPr>
        <w:t>年的</w:t>
      </w:r>
      <w:r>
        <w:rPr>
          <w:rFonts w:hint="eastAsia"/>
        </w:rPr>
        <w:t>18,225</w:t>
      </w:r>
      <w:r>
        <w:rPr>
          <w:rFonts w:hint="eastAsia"/>
        </w:rPr>
        <w:t>人。分配给精神疾病患者的床位由</w:t>
      </w:r>
      <w:r>
        <w:rPr>
          <w:rFonts w:hint="eastAsia"/>
        </w:rPr>
        <w:t>2000</w:t>
      </w:r>
      <w:r>
        <w:rPr>
          <w:rFonts w:hint="eastAsia"/>
        </w:rPr>
        <w:t>年的</w:t>
      </w:r>
      <w:r>
        <w:rPr>
          <w:rFonts w:hint="eastAsia"/>
        </w:rPr>
        <w:t>37</w:t>
      </w:r>
      <w:r>
        <w:rPr>
          <w:rFonts w:hint="eastAsia"/>
        </w:rPr>
        <w:t>张增至</w:t>
      </w:r>
      <w:r>
        <w:rPr>
          <w:rFonts w:hint="eastAsia"/>
        </w:rPr>
        <w:t>2006</w:t>
      </w:r>
      <w:r>
        <w:rPr>
          <w:rFonts w:hint="eastAsia"/>
        </w:rPr>
        <w:t>年的</w:t>
      </w:r>
      <w:r>
        <w:rPr>
          <w:rFonts w:hint="eastAsia"/>
        </w:rPr>
        <w:t>56</w:t>
      </w:r>
      <w:r>
        <w:rPr>
          <w:rFonts w:hint="eastAsia"/>
        </w:rPr>
        <w:t>张</w:t>
      </w:r>
      <w:r>
        <w:rPr>
          <w:rFonts w:hint="eastAsia"/>
        </w:rPr>
        <w:t>(</w:t>
      </w:r>
      <w:r>
        <w:rPr>
          <w:rFonts w:hint="eastAsia"/>
        </w:rPr>
        <w:t>其中男性</w:t>
      </w:r>
      <w:r>
        <w:rPr>
          <w:rFonts w:hint="eastAsia"/>
        </w:rPr>
        <w:t>40</w:t>
      </w:r>
      <w:r>
        <w:rPr>
          <w:rFonts w:hint="eastAsia"/>
        </w:rPr>
        <w:t>张、女性</w:t>
      </w:r>
      <w:r>
        <w:rPr>
          <w:rFonts w:hint="eastAsia"/>
        </w:rPr>
        <w:t>16</w:t>
      </w:r>
      <w:r>
        <w:rPr>
          <w:rFonts w:hint="eastAsia"/>
        </w:rPr>
        <w:t>张</w:t>
      </w:r>
      <w:r>
        <w:rPr>
          <w:rFonts w:hint="eastAsia"/>
        </w:rPr>
        <w:t>)</w:t>
      </w:r>
      <w:r>
        <w:rPr>
          <w:rFonts w:hint="eastAsia"/>
        </w:rPr>
        <w:t>，床位数继续增长，</w:t>
      </w:r>
      <w:r>
        <w:rPr>
          <w:rFonts w:hint="eastAsia"/>
        </w:rPr>
        <w:t>2008</w:t>
      </w:r>
      <w:r>
        <w:rPr>
          <w:rFonts w:hint="eastAsia"/>
        </w:rPr>
        <w:t>年达到</w:t>
      </w:r>
      <w:r>
        <w:rPr>
          <w:rFonts w:hint="eastAsia"/>
        </w:rPr>
        <w:t>76</w:t>
      </w:r>
      <w:r>
        <w:rPr>
          <w:rFonts w:hint="eastAsia"/>
        </w:rPr>
        <w:t>张。</w:t>
      </w:r>
    </w:p>
    <w:p w:rsidR="007234DD" w:rsidRDefault="007234DD">
      <w:pPr>
        <w:pStyle w:val="H23GC"/>
      </w:pPr>
      <w:r>
        <w:tab/>
      </w:r>
      <w:r>
        <w:tab/>
      </w:r>
      <w:r>
        <w:rPr>
          <w:rFonts w:hint="eastAsia"/>
        </w:rPr>
        <w:t>老年护理</w:t>
      </w:r>
    </w:p>
    <w:p w:rsidR="007234DD" w:rsidRDefault="007234DD">
      <w:pPr>
        <w:pStyle w:val="SingleTxtGC"/>
      </w:pPr>
      <w:r>
        <w:t xml:space="preserve">349.  </w:t>
      </w:r>
      <w:r>
        <w:rPr>
          <w:rFonts w:hint="eastAsia"/>
        </w:rPr>
        <w:t>因为能够得到保健和社会护理，卡塔尔的老年人口增加了。例如，</w:t>
      </w:r>
      <w:r>
        <w:rPr>
          <w:rFonts w:hint="eastAsia"/>
        </w:rPr>
        <w:t>65</w:t>
      </w:r>
      <w:r>
        <w:rPr>
          <w:rFonts w:hint="eastAsia"/>
        </w:rPr>
        <w:t>岁以上的妇女人数由</w:t>
      </w:r>
      <w:r>
        <w:rPr>
          <w:rFonts w:hint="eastAsia"/>
        </w:rPr>
        <w:t>1986</w:t>
      </w:r>
      <w:r>
        <w:rPr>
          <w:rFonts w:hint="eastAsia"/>
        </w:rPr>
        <w:t>年的</w:t>
      </w:r>
      <w:r>
        <w:rPr>
          <w:rFonts w:hint="eastAsia"/>
        </w:rPr>
        <w:t>1,595</w:t>
      </w:r>
      <w:r>
        <w:rPr>
          <w:rFonts w:hint="eastAsia"/>
        </w:rPr>
        <w:t>人增至</w:t>
      </w:r>
      <w:r>
        <w:rPr>
          <w:rFonts w:hint="eastAsia"/>
        </w:rPr>
        <w:t>2009</w:t>
      </w:r>
      <w:r>
        <w:rPr>
          <w:rFonts w:hint="eastAsia"/>
        </w:rPr>
        <w:t>年的</w:t>
      </w:r>
      <w:r>
        <w:rPr>
          <w:rFonts w:hint="eastAsia"/>
        </w:rPr>
        <w:t>6,026</w:t>
      </w:r>
      <w:r>
        <w:rPr>
          <w:rFonts w:hint="eastAsia"/>
        </w:rPr>
        <w:t>人。</w:t>
      </w:r>
    </w:p>
    <w:p w:rsidR="007234DD" w:rsidRDefault="007234DD">
      <w:pPr>
        <w:pStyle w:val="SingleTxtGC"/>
      </w:pPr>
      <w:r>
        <w:t xml:space="preserve">350.  </w:t>
      </w:r>
      <w:r>
        <w:rPr>
          <w:rFonts w:hint="eastAsia"/>
        </w:rPr>
        <w:t>卡塔尔开办了为老年妇女提供治疗和社会护理的设施，这证实国家关注这一人群。</w:t>
      </w:r>
      <w:r>
        <w:rPr>
          <w:rFonts w:hint="eastAsia"/>
        </w:rPr>
        <w:t>Rumailah</w:t>
      </w:r>
      <w:r>
        <w:rPr>
          <w:rFonts w:hint="eastAsia"/>
        </w:rPr>
        <w:t>医院在</w:t>
      </w:r>
      <w:r>
        <w:rPr>
          <w:rFonts w:hint="eastAsia"/>
        </w:rPr>
        <w:t>1957</w:t>
      </w:r>
      <w:r>
        <w:rPr>
          <w:rFonts w:hint="eastAsia"/>
        </w:rPr>
        <w:t>年成为卡塔尔首家为包括老年人在内的所有人群提供服务的医院。从此，该医院在老年护理方面发挥了关键作用。自</w:t>
      </w:r>
      <w:r>
        <w:rPr>
          <w:rFonts w:hint="eastAsia"/>
        </w:rPr>
        <w:t>1982</w:t>
      </w:r>
      <w:r>
        <w:rPr>
          <w:rFonts w:hint="eastAsia"/>
        </w:rPr>
        <w:t>年成立哈马德总医院以来，</w:t>
      </w:r>
      <w:r>
        <w:rPr>
          <w:rFonts w:hint="eastAsia"/>
        </w:rPr>
        <w:t>Rumailah</w:t>
      </w:r>
      <w:r>
        <w:rPr>
          <w:rFonts w:hint="eastAsia"/>
        </w:rPr>
        <w:t>医院开始专门从事老年人护理和各年龄人群的康复，老年人占据了该院</w:t>
      </w:r>
      <w:r>
        <w:rPr>
          <w:rFonts w:hint="eastAsia"/>
        </w:rPr>
        <w:t>120</w:t>
      </w:r>
      <w:r>
        <w:rPr>
          <w:rFonts w:hint="eastAsia"/>
        </w:rPr>
        <w:t>张床位的大多数。该医院经过整修于</w:t>
      </w:r>
      <w:r>
        <w:rPr>
          <w:rFonts w:hint="eastAsia"/>
        </w:rPr>
        <w:t>1997</w:t>
      </w:r>
      <w:r>
        <w:rPr>
          <w:rFonts w:hint="eastAsia"/>
        </w:rPr>
        <w:t>年重新开张，共拥有</w:t>
      </w:r>
      <w:r>
        <w:rPr>
          <w:rFonts w:hint="eastAsia"/>
        </w:rPr>
        <w:t>459</w:t>
      </w:r>
      <w:r>
        <w:rPr>
          <w:rFonts w:hint="eastAsia"/>
        </w:rPr>
        <w:t>张床位，其中</w:t>
      </w:r>
      <w:r>
        <w:rPr>
          <w:rFonts w:hint="eastAsia"/>
        </w:rPr>
        <w:t>244</w:t>
      </w:r>
      <w:r>
        <w:rPr>
          <w:rFonts w:hint="eastAsia"/>
        </w:rPr>
        <w:t>张床位提供给老年科。在为老年人提供健康、社会和心理护理方面</w:t>
      </w:r>
      <w:r>
        <w:rPr>
          <w:rFonts w:hint="eastAsia"/>
        </w:rPr>
        <w:t>(</w:t>
      </w:r>
      <w:r>
        <w:rPr>
          <w:rFonts w:hint="eastAsia"/>
        </w:rPr>
        <w:t>包括持续的私人保健和治疗</w:t>
      </w:r>
      <w:r>
        <w:rPr>
          <w:rFonts w:hint="eastAsia"/>
        </w:rPr>
        <w:t>)</w:t>
      </w:r>
      <w:r>
        <w:rPr>
          <w:rFonts w:hint="eastAsia"/>
        </w:rPr>
        <w:t>，</w:t>
      </w:r>
      <w:r>
        <w:rPr>
          <w:rFonts w:hint="eastAsia"/>
        </w:rPr>
        <w:t>Rumailah</w:t>
      </w:r>
      <w:r>
        <w:rPr>
          <w:rFonts w:hint="eastAsia"/>
        </w:rPr>
        <w:t>医院发挥了卓有成效的主导作用。该医院还为一些没有家人提供居家照料的老年人提供服务，为老年人的家属提供护理培训。为此，该医院进行家访，为老年人提供在家所需的必需品。在护理团队的协助下，家庭护理科的老年病专家提供健康、心理和社会护理。</w:t>
      </w:r>
    </w:p>
    <w:p w:rsidR="007234DD" w:rsidRDefault="007234DD">
      <w:pPr>
        <w:pStyle w:val="SingleTxtGC"/>
      </w:pPr>
      <w:r>
        <w:t xml:space="preserve">351.  </w:t>
      </w:r>
      <w:r>
        <w:rPr>
          <w:rFonts w:hint="eastAsia"/>
        </w:rPr>
        <w:t>那些不亟需医疗护理的老年妇女由卡塔尔老年人护理基金会负责照料。该基金会拥有设备齐全、技术先进且与男部分开的女部。该基金会还开展了许多针对老年人的教育、社交和康乐方案。</w:t>
      </w:r>
      <w:r>
        <w:rPr>
          <w:rFonts w:hint="eastAsia"/>
        </w:rPr>
        <w:t>2003</w:t>
      </w:r>
      <w:r>
        <w:rPr>
          <w:rFonts w:hint="eastAsia"/>
        </w:rPr>
        <w:t>年该基金会的建立代表着卡塔尔在老年人护理领域内发生了重大的质的转变。该基金会的目标是：为那些家人无法照料或无家人照料的老年人提供膳宿和适当的卫生、社会和心理护理；为住在家里或生活在家庭环境中的老年人提供护理服务；提高家人对于需要包容老年人的认识；为家人提供有关最佳护理方法的指导；装备老年人，使其能够应对并适应老年问题；使老年人根据其个人能力融入社会。该基金会是非营利组织。</w:t>
      </w:r>
    </w:p>
    <w:p w:rsidR="007234DD" w:rsidRDefault="007234DD">
      <w:pPr>
        <w:pStyle w:val="H23GC"/>
      </w:pPr>
      <w:r>
        <w:tab/>
      </w:r>
      <w:r>
        <w:tab/>
      </w:r>
      <w:r>
        <w:rPr>
          <w:rFonts w:hint="eastAsia"/>
        </w:rPr>
        <w:t>针对残疾妇女的保健</w:t>
      </w:r>
    </w:p>
    <w:p w:rsidR="007234DD" w:rsidRDefault="007234DD">
      <w:pPr>
        <w:pStyle w:val="SingleTxtGC"/>
      </w:pPr>
      <w:r>
        <w:t xml:space="preserve">352.  </w:t>
      </w:r>
      <w:r>
        <w:rPr>
          <w:rFonts w:hint="eastAsia"/>
        </w:rPr>
        <w:t>2007</w:t>
      </w:r>
      <w:r>
        <w:rPr>
          <w:rFonts w:hint="eastAsia"/>
        </w:rPr>
        <w:t>年进行了一次有关残疾人的调查，残疾人或其亲属共申报了</w:t>
      </w:r>
      <w:r>
        <w:rPr>
          <w:rFonts w:hint="eastAsia"/>
        </w:rPr>
        <w:t>4,321</w:t>
      </w:r>
      <w:r>
        <w:rPr>
          <w:rFonts w:hint="eastAsia"/>
        </w:rPr>
        <w:t>例残疾情况，其中卡塔尔人占</w:t>
      </w:r>
      <w:r>
        <w:rPr>
          <w:rFonts w:hint="eastAsia"/>
        </w:rPr>
        <w:t>59%</w:t>
      </w:r>
      <w:r>
        <w:rPr>
          <w:rFonts w:hint="eastAsia"/>
        </w:rPr>
        <w:t>，非卡塔尔人占</w:t>
      </w:r>
      <w:r>
        <w:rPr>
          <w:rFonts w:hint="eastAsia"/>
        </w:rPr>
        <w:t>41%</w:t>
      </w:r>
      <w:r>
        <w:rPr>
          <w:rFonts w:hint="eastAsia"/>
        </w:rPr>
        <w:t>。按照性别分列，女性占</w:t>
      </w:r>
      <w:r>
        <w:rPr>
          <w:rFonts w:hint="eastAsia"/>
        </w:rPr>
        <w:t>39%</w:t>
      </w:r>
      <w:r>
        <w:rPr>
          <w:rFonts w:hint="eastAsia"/>
        </w:rPr>
        <w:t>，男性占</w:t>
      </w:r>
      <w:r>
        <w:rPr>
          <w:rFonts w:hint="eastAsia"/>
        </w:rPr>
        <w:t>61%</w:t>
      </w:r>
      <w:r>
        <w:rPr>
          <w:rFonts w:hint="eastAsia"/>
        </w:rPr>
        <w:t>。卡塔尔残疾人口占总人口的比率由</w:t>
      </w:r>
      <w:r>
        <w:rPr>
          <w:rFonts w:hint="eastAsia"/>
        </w:rPr>
        <w:t>2004</w:t>
      </w:r>
      <w:r>
        <w:rPr>
          <w:rFonts w:hint="eastAsia"/>
        </w:rPr>
        <w:t>年的</w:t>
      </w:r>
      <w:r>
        <w:rPr>
          <w:rFonts w:hint="eastAsia"/>
        </w:rPr>
        <w:t>2.1%</w:t>
      </w:r>
      <w:r>
        <w:rPr>
          <w:rFonts w:hint="eastAsia"/>
        </w:rPr>
        <w:t>降至</w:t>
      </w:r>
      <w:r>
        <w:rPr>
          <w:rFonts w:hint="eastAsia"/>
        </w:rPr>
        <w:t>2009</w:t>
      </w:r>
      <w:r>
        <w:rPr>
          <w:rFonts w:hint="eastAsia"/>
        </w:rPr>
        <w:t>年的</w:t>
      </w:r>
      <w:r>
        <w:rPr>
          <w:rFonts w:hint="eastAsia"/>
        </w:rPr>
        <w:t>1.4%</w:t>
      </w:r>
      <w:r>
        <w:rPr>
          <w:rFonts w:hint="eastAsia"/>
        </w:rPr>
        <w:t>。与全球人口约</w:t>
      </w:r>
      <w:r>
        <w:rPr>
          <w:rFonts w:hint="eastAsia"/>
        </w:rPr>
        <w:t>10%</w:t>
      </w:r>
      <w:r>
        <w:rPr>
          <w:rFonts w:hint="eastAsia"/>
        </w:rPr>
        <w:t>的残疾比例相比，这一数据非常低。同样地，卡塔尔籍妇女的残疾比率远低于非卡塔尔籍妇女。</w:t>
      </w:r>
    </w:p>
    <w:p w:rsidR="007234DD" w:rsidRDefault="007234DD">
      <w:pPr>
        <w:pStyle w:val="SingleTxtGC"/>
      </w:pPr>
      <w:r>
        <w:rPr>
          <w:rFonts w:hint="eastAsia"/>
        </w:rPr>
        <w:t>表</w:t>
      </w:r>
      <w:r>
        <w:rPr>
          <w:rFonts w:hint="eastAsia"/>
        </w:rPr>
        <w:t>34</w:t>
      </w:r>
      <w:r>
        <w:br/>
      </w:r>
      <w:r>
        <w:rPr>
          <w:rFonts w:eastAsia="SimHei" w:hint="eastAsia"/>
        </w:rPr>
        <w:t>按性别、国籍和年份分列的残疾发生率</w:t>
      </w:r>
      <w:r>
        <w:rPr>
          <w:rFonts w:eastAsia="SimHei" w:hint="eastAsia"/>
        </w:rPr>
        <w:t>(%)</w:t>
      </w:r>
    </w:p>
    <w:tbl>
      <w:tblPr>
        <w:tblW w:w="7370" w:type="dxa"/>
        <w:tblInd w:w="1134" w:type="dxa"/>
        <w:tblLayout w:type="fixed"/>
        <w:tblCellMar>
          <w:left w:w="0" w:type="dxa"/>
          <w:right w:w="0" w:type="dxa"/>
        </w:tblCellMar>
        <w:tblLook w:val="01E0" w:firstRow="1" w:lastRow="1" w:firstColumn="1" w:lastColumn="1" w:noHBand="0" w:noVBand="0"/>
      </w:tblPr>
      <w:tblGrid>
        <w:gridCol w:w="737"/>
        <w:gridCol w:w="737"/>
        <w:gridCol w:w="737"/>
        <w:gridCol w:w="737"/>
        <w:gridCol w:w="737"/>
        <w:gridCol w:w="737"/>
        <w:gridCol w:w="737"/>
        <w:gridCol w:w="737"/>
        <w:gridCol w:w="737"/>
        <w:gridCol w:w="737"/>
      </w:tblGrid>
      <w:tr w:rsidR="007234DD">
        <w:trPr>
          <w:cantSplit/>
          <w:trHeight w:val="180"/>
          <w:tblHeader/>
        </w:trPr>
        <w:tc>
          <w:tcPr>
            <w:tcW w:w="737" w:type="dxa"/>
            <w:vMerge w:val="restart"/>
            <w:tcBorders>
              <w:top w:val="single" w:sz="4" w:space="0" w:color="auto"/>
              <w:bottom w:val="single" w:sz="12" w:space="0" w:color="auto"/>
            </w:tcBorders>
            <w:shd w:val="clear" w:color="auto" w:fill="auto"/>
            <w:vAlign w:val="bottom"/>
          </w:tcPr>
          <w:p w:rsidR="007234DD" w:rsidRDefault="007234DD">
            <w:pPr>
              <w:pStyle w:val="a0"/>
              <w:ind w:right="0"/>
              <w:rPr>
                <w:rFonts w:hint="eastAsia"/>
              </w:rPr>
            </w:pPr>
            <w:r>
              <w:rPr>
                <w:rFonts w:hint="eastAsia"/>
              </w:rPr>
              <w:t>年份</w:t>
            </w:r>
          </w:p>
        </w:tc>
        <w:tc>
          <w:tcPr>
            <w:tcW w:w="2211" w:type="dxa"/>
            <w:gridSpan w:val="3"/>
            <w:tcBorders>
              <w:top w:val="single" w:sz="4" w:space="0" w:color="auto"/>
              <w:bottom w:val="single" w:sz="6" w:space="0" w:color="auto"/>
              <w:right w:val="single" w:sz="24" w:space="0" w:color="FFFFFF"/>
            </w:tcBorders>
            <w:shd w:val="clear" w:color="auto" w:fill="auto"/>
            <w:vAlign w:val="bottom"/>
          </w:tcPr>
          <w:p w:rsidR="007234DD" w:rsidRDefault="007234DD">
            <w:pPr>
              <w:pStyle w:val="a0"/>
              <w:ind w:right="0"/>
              <w:jc w:val="center"/>
            </w:pPr>
            <w:r>
              <w:rPr>
                <w:rFonts w:hint="eastAsia"/>
              </w:rPr>
              <w:t>卡塔尔人的</w:t>
            </w:r>
            <w:r>
              <w:br/>
            </w:r>
            <w:r>
              <w:rPr>
                <w:rFonts w:hint="eastAsia"/>
              </w:rPr>
              <w:t>残疾发生率</w:t>
            </w:r>
            <w:r>
              <w:t>(%)</w:t>
            </w:r>
          </w:p>
        </w:tc>
        <w:tc>
          <w:tcPr>
            <w:tcW w:w="2211" w:type="dxa"/>
            <w:gridSpan w:val="3"/>
            <w:tcBorders>
              <w:top w:val="single" w:sz="4" w:space="0" w:color="auto"/>
              <w:left w:val="single" w:sz="24" w:space="0" w:color="FFFFFF"/>
              <w:bottom w:val="single" w:sz="6" w:space="0" w:color="auto"/>
              <w:right w:val="single" w:sz="24" w:space="0" w:color="FFFFFF"/>
            </w:tcBorders>
            <w:shd w:val="clear" w:color="auto" w:fill="auto"/>
            <w:vAlign w:val="bottom"/>
          </w:tcPr>
          <w:p w:rsidR="007234DD" w:rsidRDefault="007234DD">
            <w:pPr>
              <w:pStyle w:val="a0"/>
              <w:ind w:right="0"/>
              <w:jc w:val="center"/>
            </w:pPr>
            <w:r>
              <w:rPr>
                <w:rFonts w:hint="eastAsia"/>
              </w:rPr>
              <w:t>非卡塔尔人的</w:t>
            </w:r>
            <w:r>
              <w:br/>
            </w:r>
            <w:r>
              <w:rPr>
                <w:rFonts w:hint="eastAsia"/>
              </w:rPr>
              <w:t>残疾发生率</w:t>
            </w:r>
            <w:r>
              <w:t>(%)</w:t>
            </w:r>
          </w:p>
        </w:tc>
        <w:tc>
          <w:tcPr>
            <w:tcW w:w="2211" w:type="dxa"/>
            <w:gridSpan w:val="3"/>
            <w:tcBorders>
              <w:top w:val="single" w:sz="4" w:space="0" w:color="auto"/>
              <w:left w:val="single" w:sz="24" w:space="0" w:color="FFFFFF"/>
              <w:bottom w:val="single" w:sz="6" w:space="0" w:color="auto"/>
            </w:tcBorders>
            <w:shd w:val="clear" w:color="auto" w:fill="auto"/>
            <w:vAlign w:val="bottom"/>
          </w:tcPr>
          <w:p w:rsidR="007234DD" w:rsidRDefault="007234DD">
            <w:pPr>
              <w:pStyle w:val="a0"/>
              <w:ind w:right="0"/>
              <w:jc w:val="center"/>
            </w:pPr>
            <w:r>
              <w:rPr>
                <w:rFonts w:hint="eastAsia"/>
              </w:rPr>
              <w:t>卡塔尔国内的</w:t>
            </w:r>
            <w:r>
              <w:br/>
            </w:r>
            <w:r>
              <w:rPr>
                <w:rFonts w:hint="eastAsia"/>
              </w:rPr>
              <w:t>残疾发生率</w:t>
            </w:r>
            <w:r>
              <w:t>(%)</w:t>
            </w:r>
          </w:p>
        </w:tc>
      </w:tr>
      <w:tr w:rsidR="007234DD">
        <w:trPr>
          <w:cantSplit/>
          <w:trHeight w:val="180"/>
          <w:tblHeader/>
        </w:trPr>
        <w:tc>
          <w:tcPr>
            <w:tcW w:w="737" w:type="dxa"/>
            <w:vMerge/>
            <w:tcBorders>
              <w:top w:val="single" w:sz="12" w:space="0" w:color="auto"/>
              <w:bottom w:val="single" w:sz="12" w:space="0" w:color="auto"/>
            </w:tcBorders>
            <w:shd w:val="clear" w:color="auto" w:fill="auto"/>
          </w:tcPr>
          <w:p w:rsidR="007234DD" w:rsidRDefault="007234DD">
            <w:pPr>
              <w:pStyle w:val="a5"/>
            </w:pPr>
          </w:p>
        </w:tc>
        <w:tc>
          <w:tcPr>
            <w:tcW w:w="737"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男性</w:t>
            </w:r>
          </w:p>
        </w:tc>
        <w:tc>
          <w:tcPr>
            <w:tcW w:w="737"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女性</w:t>
            </w:r>
          </w:p>
        </w:tc>
        <w:tc>
          <w:tcPr>
            <w:tcW w:w="737"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rPr>
                <w:rFonts w:hint="eastAsia"/>
              </w:rPr>
            </w:pPr>
            <w:r>
              <w:rPr>
                <w:rFonts w:hint="eastAsia"/>
              </w:rPr>
              <w:t>合计</w:t>
            </w:r>
          </w:p>
        </w:tc>
        <w:tc>
          <w:tcPr>
            <w:tcW w:w="737"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rPr>
                <w:rFonts w:hint="eastAsia"/>
              </w:rPr>
            </w:pPr>
            <w:r>
              <w:rPr>
                <w:rFonts w:hint="eastAsia"/>
              </w:rPr>
              <w:t>男性</w:t>
            </w:r>
          </w:p>
        </w:tc>
        <w:tc>
          <w:tcPr>
            <w:tcW w:w="737"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女性</w:t>
            </w:r>
          </w:p>
        </w:tc>
        <w:tc>
          <w:tcPr>
            <w:tcW w:w="737" w:type="dxa"/>
            <w:tcBorders>
              <w:top w:val="single" w:sz="6" w:space="0" w:color="auto"/>
              <w:bottom w:val="single" w:sz="12" w:space="0" w:color="auto"/>
              <w:right w:val="single" w:sz="24" w:space="0" w:color="FFFFFF"/>
            </w:tcBorders>
            <w:shd w:val="clear" w:color="auto" w:fill="auto"/>
          </w:tcPr>
          <w:p w:rsidR="007234DD" w:rsidRDefault="007234DD">
            <w:pPr>
              <w:pStyle w:val="a0"/>
              <w:ind w:right="0"/>
              <w:jc w:val="right"/>
              <w:rPr>
                <w:rFonts w:hint="eastAsia"/>
              </w:rPr>
            </w:pPr>
            <w:r>
              <w:rPr>
                <w:rFonts w:hint="eastAsia"/>
              </w:rPr>
              <w:t>合计</w:t>
            </w:r>
          </w:p>
        </w:tc>
        <w:tc>
          <w:tcPr>
            <w:tcW w:w="737" w:type="dxa"/>
            <w:tcBorders>
              <w:top w:val="single" w:sz="6" w:space="0" w:color="auto"/>
              <w:left w:val="single" w:sz="24" w:space="0" w:color="FFFFFF"/>
              <w:bottom w:val="single" w:sz="12" w:space="0" w:color="auto"/>
            </w:tcBorders>
            <w:shd w:val="clear" w:color="auto" w:fill="auto"/>
          </w:tcPr>
          <w:p w:rsidR="007234DD" w:rsidRDefault="007234DD">
            <w:pPr>
              <w:pStyle w:val="a0"/>
              <w:ind w:right="0"/>
              <w:jc w:val="right"/>
              <w:rPr>
                <w:rFonts w:hint="eastAsia"/>
              </w:rPr>
            </w:pPr>
            <w:r>
              <w:rPr>
                <w:rFonts w:hint="eastAsia"/>
              </w:rPr>
              <w:t>男性</w:t>
            </w:r>
          </w:p>
        </w:tc>
        <w:tc>
          <w:tcPr>
            <w:tcW w:w="737" w:type="dxa"/>
            <w:tcBorders>
              <w:top w:val="single" w:sz="6" w:space="0" w:color="auto"/>
              <w:bottom w:val="single" w:sz="12" w:space="0" w:color="auto"/>
            </w:tcBorders>
            <w:shd w:val="clear" w:color="auto" w:fill="auto"/>
          </w:tcPr>
          <w:p w:rsidR="007234DD" w:rsidRDefault="007234DD">
            <w:pPr>
              <w:pStyle w:val="a0"/>
              <w:ind w:right="0"/>
              <w:jc w:val="right"/>
              <w:rPr>
                <w:rFonts w:hint="eastAsia"/>
              </w:rPr>
            </w:pPr>
            <w:r>
              <w:rPr>
                <w:rFonts w:hint="eastAsia"/>
              </w:rPr>
              <w:t>女性</w:t>
            </w:r>
          </w:p>
        </w:tc>
        <w:tc>
          <w:tcPr>
            <w:tcW w:w="737" w:type="dxa"/>
            <w:tcBorders>
              <w:top w:val="single" w:sz="6" w:space="0" w:color="auto"/>
              <w:bottom w:val="single" w:sz="12" w:space="0" w:color="auto"/>
            </w:tcBorders>
            <w:shd w:val="clear" w:color="auto" w:fill="auto"/>
          </w:tcPr>
          <w:p w:rsidR="007234DD" w:rsidRDefault="007234DD">
            <w:pPr>
              <w:pStyle w:val="a0"/>
              <w:ind w:right="0"/>
              <w:jc w:val="right"/>
              <w:rPr>
                <w:rFonts w:hint="eastAsia"/>
                <w:b/>
              </w:rPr>
            </w:pPr>
            <w:r>
              <w:rPr>
                <w:rFonts w:hint="eastAsia"/>
                <w:b/>
              </w:rPr>
              <w:t>合计</w:t>
            </w:r>
          </w:p>
        </w:tc>
      </w:tr>
      <w:tr w:rsidR="007234DD">
        <w:trPr>
          <w:cantSplit/>
        </w:trPr>
        <w:tc>
          <w:tcPr>
            <w:tcW w:w="737" w:type="dxa"/>
            <w:tcBorders>
              <w:top w:val="single" w:sz="12" w:space="0" w:color="auto"/>
            </w:tcBorders>
            <w:shd w:val="clear" w:color="auto" w:fill="auto"/>
          </w:tcPr>
          <w:p w:rsidR="007234DD" w:rsidRDefault="007234DD">
            <w:pPr>
              <w:pStyle w:val="a5"/>
              <w:rPr>
                <w:rFonts w:hint="eastAsia"/>
              </w:rPr>
            </w:pPr>
            <w:r>
              <w:t>2004</w:t>
            </w:r>
          </w:p>
        </w:tc>
        <w:tc>
          <w:tcPr>
            <w:tcW w:w="737" w:type="dxa"/>
            <w:tcBorders>
              <w:top w:val="single" w:sz="12" w:space="0" w:color="auto"/>
            </w:tcBorders>
            <w:shd w:val="clear" w:color="auto" w:fill="auto"/>
          </w:tcPr>
          <w:p w:rsidR="007234DD" w:rsidRDefault="007234DD">
            <w:pPr>
              <w:pStyle w:val="a5"/>
              <w:ind w:right="0"/>
              <w:jc w:val="right"/>
            </w:pPr>
            <w:r>
              <w:t>2.6</w:t>
            </w:r>
          </w:p>
        </w:tc>
        <w:tc>
          <w:tcPr>
            <w:tcW w:w="737" w:type="dxa"/>
            <w:tcBorders>
              <w:top w:val="single" w:sz="12" w:space="0" w:color="auto"/>
            </w:tcBorders>
            <w:shd w:val="clear" w:color="auto" w:fill="auto"/>
          </w:tcPr>
          <w:p w:rsidR="007234DD" w:rsidRDefault="007234DD">
            <w:pPr>
              <w:pStyle w:val="a5"/>
              <w:ind w:right="0"/>
              <w:jc w:val="right"/>
            </w:pPr>
            <w:r>
              <w:t>1.7</w:t>
            </w:r>
          </w:p>
        </w:tc>
        <w:tc>
          <w:tcPr>
            <w:tcW w:w="737" w:type="dxa"/>
            <w:tcBorders>
              <w:top w:val="single" w:sz="12" w:space="0" w:color="auto"/>
            </w:tcBorders>
            <w:shd w:val="clear" w:color="auto" w:fill="auto"/>
          </w:tcPr>
          <w:p w:rsidR="007234DD" w:rsidRDefault="007234DD">
            <w:pPr>
              <w:pStyle w:val="a5"/>
              <w:ind w:right="0"/>
              <w:jc w:val="right"/>
            </w:pPr>
            <w:r>
              <w:t>2.1</w:t>
            </w:r>
          </w:p>
        </w:tc>
        <w:tc>
          <w:tcPr>
            <w:tcW w:w="737" w:type="dxa"/>
            <w:tcBorders>
              <w:top w:val="single" w:sz="12" w:space="0" w:color="auto"/>
            </w:tcBorders>
            <w:shd w:val="clear" w:color="auto" w:fill="auto"/>
          </w:tcPr>
          <w:p w:rsidR="007234DD" w:rsidRDefault="007234DD">
            <w:pPr>
              <w:pStyle w:val="a5"/>
              <w:ind w:right="0"/>
              <w:jc w:val="right"/>
            </w:pPr>
            <w:r>
              <w:t>0.4</w:t>
            </w:r>
          </w:p>
        </w:tc>
        <w:tc>
          <w:tcPr>
            <w:tcW w:w="737" w:type="dxa"/>
            <w:tcBorders>
              <w:top w:val="single" w:sz="12" w:space="0" w:color="auto"/>
            </w:tcBorders>
            <w:shd w:val="clear" w:color="auto" w:fill="auto"/>
          </w:tcPr>
          <w:p w:rsidR="007234DD" w:rsidRDefault="007234DD">
            <w:pPr>
              <w:pStyle w:val="a5"/>
              <w:ind w:right="0"/>
              <w:jc w:val="right"/>
            </w:pPr>
            <w:r>
              <w:t>0.7</w:t>
            </w:r>
          </w:p>
        </w:tc>
        <w:tc>
          <w:tcPr>
            <w:tcW w:w="737" w:type="dxa"/>
            <w:tcBorders>
              <w:top w:val="single" w:sz="12" w:space="0" w:color="auto"/>
            </w:tcBorders>
            <w:shd w:val="clear" w:color="auto" w:fill="auto"/>
          </w:tcPr>
          <w:p w:rsidR="007234DD" w:rsidRDefault="007234DD">
            <w:pPr>
              <w:pStyle w:val="a5"/>
              <w:ind w:right="0"/>
              <w:jc w:val="right"/>
            </w:pPr>
            <w:r>
              <w:t>0.5</w:t>
            </w:r>
          </w:p>
        </w:tc>
        <w:tc>
          <w:tcPr>
            <w:tcW w:w="737" w:type="dxa"/>
            <w:tcBorders>
              <w:top w:val="single" w:sz="12" w:space="0" w:color="auto"/>
            </w:tcBorders>
            <w:shd w:val="clear" w:color="auto" w:fill="auto"/>
          </w:tcPr>
          <w:p w:rsidR="007234DD" w:rsidRDefault="007234DD">
            <w:pPr>
              <w:pStyle w:val="a5"/>
              <w:ind w:right="0"/>
              <w:jc w:val="right"/>
            </w:pPr>
            <w:r>
              <w:t>0.8</w:t>
            </w:r>
          </w:p>
        </w:tc>
        <w:tc>
          <w:tcPr>
            <w:tcW w:w="737" w:type="dxa"/>
            <w:tcBorders>
              <w:top w:val="single" w:sz="12" w:space="0" w:color="auto"/>
            </w:tcBorders>
            <w:shd w:val="clear" w:color="auto" w:fill="auto"/>
          </w:tcPr>
          <w:p w:rsidR="007234DD" w:rsidRDefault="007234DD">
            <w:pPr>
              <w:pStyle w:val="a5"/>
              <w:ind w:right="0"/>
              <w:jc w:val="right"/>
            </w:pPr>
            <w:r>
              <w:t>1.1</w:t>
            </w:r>
          </w:p>
        </w:tc>
        <w:tc>
          <w:tcPr>
            <w:tcW w:w="737" w:type="dxa"/>
            <w:tcBorders>
              <w:top w:val="single" w:sz="12" w:space="0" w:color="auto"/>
            </w:tcBorders>
            <w:shd w:val="clear" w:color="auto" w:fill="auto"/>
          </w:tcPr>
          <w:p w:rsidR="007234DD" w:rsidRDefault="007234DD">
            <w:pPr>
              <w:pStyle w:val="a5"/>
              <w:ind w:right="0"/>
              <w:jc w:val="right"/>
              <w:rPr>
                <w:b/>
              </w:rPr>
            </w:pPr>
            <w:r>
              <w:rPr>
                <w:b/>
              </w:rPr>
              <w:t>0.9</w:t>
            </w:r>
          </w:p>
        </w:tc>
      </w:tr>
      <w:tr w:rsidR="007234DD">
        <w:trPr>
          <w:cantSplit/>
        </w:trPr>
        <w:tc>
          <w:tcPr>
            <w:tcW w:w="737" w:type="dxa"/>
            <w:shd w:val="clear" w:color="auto" w:fill="auto"/>
          </w:tcPr>
          <w:p w:rsidR="007234DD" w:rsidRDefault="007234DD">
            <w:pPr>
              <w:pStyle w:val="a5"/>
              <w:rPr>
                <w:rFonts w:hint="eastAsia"/>
              </w:rPr>
            </w:pPr>
            <w:r>
              <w:t>2005</w:t>
            </w:r>
          </w:p>
        </w:tc>
        <w:tc>
          <w:tcPr>
            <w:tcW w:w="737" w:type="dxa"/>
            <w:shd w:val="clear" w:color="auto" w:fill="auto"/>
          </w:tcPr>
          <w:p w:rsidR="007234DD" w:rsidRDefault="007234DD">
            <w:pPr>
              <w:pStyle w:val="a5"/>
              <w:ind w:right="0"/>
              <w:jc w:val="right"/>
            </w:pPr>
            <w:r>
              <w:t>2.2</w:t>
            </w:r>
          </w:p>
        </w:tc>
        <w:tc>
          <w:tcPr>
            <w:tcW w:w="737" w:type="dxa"/>
            <w:shd w:val="clear" w:color="auto" w:fill="auto"/>
          </w:tcPr>
          <w:p w:rsidR="007234DD" w:rsidRDefault="007234DD">
            <w:pPr>
              <w:pStyle w:val="a5"/>
              <w:ind w:right="0"/>
              <w:jc w:val="right"/>
            </w:pPr>
            <w:r>
              <w:t>1.4</w:t>
            </w:r>
          </w:p>
        </w:tc>
        <w:tc>
          <w:tcPr>
            <w:tcW w:w="737" w:type="dxa"/>
            <w:shd w:val="clear" w:color="auto" w:fill="auto"/>
          </w:tcPr>
          <w:p w:rsidR="007234DD" w:rsidRDefault="007234DD">
            <w:pPr>
              <w:pStyle w:val="a5"/>
              <w:ind w:right="0"/>
              <w:jc w:val="right"/>
            </w:pPr>
            <w:r>
              <w:t>1.8</w:t>
            </w:r>
          </w:p>
        </w:tc>
        <w:tc>
          <w:tcPr>
            <w:tcW w:w="737" w:type="dxa"/>
            <w:shd w:val="clear" w:color="auto" w:fill="auto"/>
          </w:tcPr>
          <w:p w:rsidR="007234DD" w:rsidRDefault="007234DD">
            <w:pPr>
              <w:pStyle w:val="a5"/>
              <w:ind w:right="0"/>
              <w:jc w:val="right"/>
            </w:pPr>
            <w:r>
              <w:t>0.3</w:t>
            </w:r>
          </w:p>
        </w:tc>
        <w:tc>
          <w:tcPr>
            <w:tcW w:w="737" w:type="dxa"/>
            <w:shd w:val="clear" w:color="auto" w:fill="auto"/>
          </w:tcPr>
          <w:p w:rsidR="007234DD" w:rsidRDefault="007234DD">
            <w:pPr>
              <w:pStyle w:val="a5"/>
              <w:ind w:right="0"/>
              <w:jc w:val="right"/>
            </w:pPr>
            <w:r>
              <w:t>0.5</w:t>
            </w:r>
          </w:p>
        </w:tc>
        <w:tc>
          <w:tcPr>
            <w:tcW w:w="737" w:type="dxa"/>
            <w:shd w:val="clear" w:color="auto" w:fill="auto"/>
          </w:tcPr>
          <w:p w:rsidR="007234DD" w:rsidRDefault="007234DD">
            <w:pPr>
              <w:pStyle w:val="a5"/>
              <w:ind w:right="0"/>
              <w:jc w:val="right"/>
            </w:pPr>
            <w:r>
              <w:t>0.4</w:t>
            </w:r>
          </w:p>
        </w:tc>
        <w:tc>
          <w:tcPr>
            <w:tcW w:w="737" w:type="dxa"/>
            <w:shd w:val="clear" w:color="auto" w:fill="auto"/>
          </w:tcPr>
          <w:p w:rsidR="007234DD" w:rsidRDefault="007234DD">
            <w:pPr>
              <w:pStyle w:val="a5"/>
              <w:ind w:right="0"/>
              <w:jc w:val="right"/>
            </w:pPr>
            <w:r>
              <w:t>0.6</w:t>
            </w:r>
          </w:p>
        </w:tc>
        <w:tc>
          <w:tcPr>
            <w:tcW w:w="737" w:type="dxa"/>
            <w:shd w:val="clear" w:color="auto" w:fill="auto"/>
          </w:tcPr>
          <w:p w:rsidR="007234DD" w:rsidRDefault="007234DD">
            <w:pPr>
              <w:pStyle w:val="a5"/>
              <w:ind w:right="0"/>
              <w:jc w:val="right"/>
            </w:pPr>
            <w:r>
              <w:t>0.8</w:t>
            </w:r>
          </w:p>
        </w:tc>
        <w:tc>
          <w:tcPr>
            <w:tcW w:w="737" w:type="dxa"/>
            <w:shd w:val="clear" w:color="auto" w:fill="auto"/>
          </w:tcPr>
          <w:p w:rsidR="007234DD" w:rsidRDefault="007234DD">
            <w:pPr>
              <w:pStyle w:val="a5"/>
              <w:ind w:right="0"/>
              <w:jc w:val="right"/>
              <w:rPr>
                <w:b/>
              </w:rPr>
            </w:pPr>
            <w:r>
              <w:rPr>
                <w:b/>
              </w:rPr>
              <w:t>0.7</w:t>
            </w:r>
          </w:p>
        </w:tc>
      </w:tr>
      <w:tr w:rsidR="007234DD">
        <w:trPr>
          <w:cantSplit/>
        </w:trPr>
        <w:tc>
          <w:tcPr>
            <w:tcW w:w="737" w:type="dxa"/>
            <w:shd w:val="clear" w:color="auto" w:fill="auto"/>
          </w:tcPr>
          <w:p w:rsidR="007234DD" w:rsidRDefault="007234DD">
            <w:pPr>
              <w:pStyle w:val="a5"/>
              <w:rPr>
                <w:rFonts w:hint="eastAsia"/>
              </w:rPr>
            </w:pPr>
            <w:r>
              <w:t>2006</w:t>
            </w:r>
          </w:p>
        </w:tc>
        <w:tc>
          <w:tcPr>
            <w:tcW w:w="737" w:type="dxa"/>
            <w:shd w:val="clear" w:color="auto" w:fill="auto"/>
          </w:tcPr>
          <w:p w:rsidR="007234DD" w:rsidRDefault="007234DD">
            <w:pPr>
              <w:pStyle w:val="a5"/>
              <w:ind w:right="0"/>
              <w:jc w:val="right"/>
            </w:pPr>
            <w:r>
              <w:t>1.7</w:t>
            </w:r>
          </w:p>
        </w:tc>
        <w:tc>
          <w:tcPr>
            <w:tcW w:w="737" w:type="dxa"/>
            <w:shd w:val="clear" w:color="auto" w:fill="auto"/>
          </w:tcPr>
          <w:p w:rsidR="007234DD" w:rsidRDefault="007234DD">
            <w:pPr>
              <w:pStyle w:val="a5"/>
              <w:ind w:right="0"/>
              <w:jc w:val="right"/>
            </w:pPr>
            <w:r>
              <w:t>1.1</w:t>
            </w:r>
          </w:p>
        </w:tc>
        <w:tc>
          <w:tcPr>
            <w:tcW w:w="737" w:type="dxa"/>
            <w:shd w:val="clear" w:color="auto" w:fill="auto"/>
          </w:tcPr>
          <w:p w:rsidR="007234DD" w:rsidRDefault="007234DD">
            <w:pPr>
              <w:pStyle w:val="a5"/>
              <w:ind w:right="0"/>
              <w:jc w:val="right"/>
            </w:pPr>
            <w:r>
              <w:t>1.4</w:t>
            </w:r>
          </w:p>
        </w:tc>
        <w:tc>
          <w:tcPr>
            <w:tcW w:w="737" w:type="dxa"/>
            <w:shd w:val="clear" w:color="auto" w:fill="auto"/>
          </w:tcPr>
          <w:p w:rsidR="007234DD" w:rsidRDefault="007234DD">
            <w:pPr>
              <w:pStyle w:val="a5"/>
              <w:ind w:right="0"/>
              <w:jc w:val="right"/>
            </w:pPr>
            <w:r>
              <w:t>0.2</w:t>
            </w:r>
          </w:p>
        </w:tc>
        <w:tc>
          <w:tcPr>
            <w:tcW w:w="737" w:type="dxa"/>
            <w:shd w:val="clear" w:color="auto" w:fill="auto"/>
          </w:tcPr>
          <w:p w:rsidR="007234DD" w:rsidRDefault="007234DD">
            <w:pPr>
              <w:pStyle w:val="a5"/>
              <w:ind w:right="0"/>
              <w:jc w:val="right"/>
            </w:pPr>
            <w:r>
              <w:t>0.4</w:t>
            </w:r>
          </w:p>
        </w:tc>
        <w:tc>
          <w:tcPr>
            <w:tcW w:w="737" w:type="dxa"/>
            <w:shd w:val="clear" w:color="auto" w:fill="auto"/>
          </w:tcPr>
          <w:p w:rsidR="007234DD" w:rsidRDefault="007234DD">
            <w:pPr>
              <w:pStyle w:val="a5"/>
              <w:ind w:right="0"/>
              <w:jc w:val="right"/>
            </w:pPr>
            <w:r>
              <w:t>0.2</w:t>
            </w:r>
          </w:p>
        </w:tc>
        <w:tc>
          <w:tcPr>
            <w:tcW w:w="737" w:type="dxa"/>
            <w:shd w:val="clear" w:color="auto" w:fill="auto"/>
          </w:tcPr>
          <w:p w:rsidR="007234DD" w:rsidRDefault="007234DD">
            <w:pPr>
              <w:pStyle w:val="a5"/>
              <w:ind w:right="0"/>
              <w:jc w:val="right"/>
            </w:pPr>
            <w:r>
              <w:t>0.4</w:t>
            </w:r>
          </w:p>
        </w:tc>
        <w:tc>
          <w:tcPr>
            <w:tcW w:w="737" w:type="dxa"/>
            <w:shd w:val="clear" w:color="auto" w:fill="auto"/>
          </w:tcPr>
          <w:p w:rsidR="007234DD" w:rsidRDefault="007234DD">
            <w:pPr>
              <w:pStyle w:val="a5"/>
              <w:ind w:right="0"/>
              <w:jc w:val="right"/>
            </w:pPr>
            <w:r>
              <w:t>0.6</w:t>
            </w:r>
          </w:p>
        </w:tc>
        <w:tc>
          <w:tcPr>
            <w:tcW w:w="737" w:type="dxa"/>
            <w:shd w:val="clear" w:color="auto" w:fill="auto"/>
          </w:tcPr>
          <w:p w:rsidR="007234DD" w:rsidRDefault="007234DD">
            <w:pPr>
              <w:pStyle w:val="a5"/>
              <w:ind w:right="0"/>
              <w:jc w:val="right"/>
              <w:rPr>
                <w:b/>
              </w:rPr>
            </w:pPr>
            <w:r>
              <w:rPr>
                <w:b/>
              </w:rPr>
              <w:t>0.5</w:t>
            </w:r>
          </w:p>
        </w:tc>
      </w:tr>
      <w:tr w:rsidR="007234DD">
        <w:trPr>
          <w:cantSplit/>
        </w:trPr>
        <w:tc>
          <w:tcPr>
            <w:tcW w:w="737" w:type="dxa"/>
            <w:shd w:val="clear" w:color="auto" w:fill="auto"/>
          </w:tcPr>
          <w:p w:rsidR="007234DD" w:rsidRDefault="007234DD">
            <w:pPr>
              <w:pStyle w:val="a5"/>
              <w:rPr>
                <w:rFonts w:hint="eastAsia"/>
              </w:rPr>
            </w:pPr>
            <w:r>
              <w:t>2007</w:t>
            </w:r>
          </w:p>
        </w:tc>
        <w:tc>
          <w:tcPr>
            <w:tcW w:w="737" w:type="dxa"/>
            <w:shd w:val="clear" w:color="auto" w:fill="auto"/>
          </w:tcPr>
          <w:p w:rsidR="007234DD" w:rsidRDefault="007234DD">
            <w:pPr>
              <w:pStyle w:val="a5"/>
              <w:ind w:right="0"/>
              <w:jc w:val="right"/>
            </w:pPr>
            <w:r>
              <w:t>1.6</w:t>
            </w:r>
          </w:p>
        </w:tc>
        <w:tc>
          <w:tcPr>
            <w:tcW w:w="737" w:type="dxa"/>
            <w:shd w:val="clear" w:color="auto" w:fill="auto"/>
          </w:tcPr>
          <w:p w:rsidR="007234DD" w:rsidRDefault="007234DD">
            <w:pPr>
              <w:pStyle w:val="a5"/>
              <w:ind w:right="0"/>
              <w:jc w:val="right"/>
            </w:pPr>
            <w:r>
              <w:t>1.1</w:t>
            </w:r>
          </w:p>
        </w:tc>
        <w:tc>
          <w:tcPr>
            <w:tcW w:w="737" w:type="dxa"/>
            <w:shd w:val="clear" w:color="auto" w:fill="auto"/>
          </w:tcPr>
          <w:p w:rsidR="007234DD" w:rsidRDefault="007234DD">
            <w:pPr>
              <w:pStyle w:val="a5"/>
              <w:ind w:right="0"/>
              <w:jc w:val="right"/>
            </w:pPr>
            <w:r>
              <w:t>1.3</w:t>
            </w:r>
          </w:p>
        </w:tc>
        <w:tc>
          <w:tcPr>
            <w:tcW w:w="737" w:type="dxa"/>
            <w:shd w:val="clear" w:color="auto" w:fill="auto"/>
          </w:tcPr>
          <w:p w:rsidR="007234DD" w:rsidRDefault="007234DD">
            <w:pPr>
              <w:pStyle w:val="a5"/>
              <w:ind w:right="0"/>
              <w:jc w:val="right"/>
            </w:pPr>
            <w:r>
              <w:t>0.2</w:t>
            </w:r>
          </w:p>
        </w:tc>
        <w:tc>
          <w:tcPr>
            <w:tcW w:w="737" w:type="dxa"/>
            <w:shd w:val="clear" w:color="auto" w:fill="auto"/>
          </w:tcPr>
          <w:p w:rsidR="007234DD" w:rsidRDefault="007234DD">
            <w:pPr>
              <w:pStyle w:val="a5"/>
              <w:ind w:right="0"/>
              <w:jc w:val="right"/>
            </w:pPr>
            <w:r>
              <w:t>0.4</w:t>
            </w:r>
          </w:p>
        </w:tc>
        <w:tc>
          <w:tcPr>
            <w:tcW w:w="737" w:type="dxa"/>
            <w:shd w:val="clear" w:color="auto" w:fill="auto"/>
          </w:tcPr>
          <w:p w:rsidR="007234DD" w:rsidRDefault="007234DD">
            <w:pPr>
              <w:pStyle w:val="a5"/>
              <w:ind w:right="0"/>
              <w:jc w:val="right"/>
            </w:pPr>
            <w:r>
              <w:t>0.2</w:t>
            </w:r>
          </w:p>
        </w:tc>
        <w:tc>
          <w:tcPr>
            <w:tcW w:w="737" w:type="dxa"/>
            <w:shd w:val="clear" w:color="auto" w:fill="auto"/>
          </w:tcPr>
          <w:p w:rsidR="007234DD" w:rsidRDefault="007234DD">
            <w:pPr>
              <w:pStyle w:val="a5"/>
              <w:ind w:right="0"/>
              <w:jc w:val="right"/>
            </w:pPr>
            <w:r>
              <w:t>0.4</w:t>
            </w:r>
          </w:p>
        </w:tc>
        <w:tc>
          <w:tcPr>
            <w:tcW w:w="737" w:type="dxa"/>
            <w:shd w:val="clear" w:color="auto" w:fill="auto"/>
          </w:tcPr>
          <w:p w:rsidR="007234DD" w:rsidRDefault="007234DD">
            <w:pPr>
              <w:pStyle w:val="a5"/>
              <w:ind w:right="0"/>
              <w:jc w:val="right"/>
            </w:pPr>
            <w:r>
              <w:t>0.7</w:t>
            </w:r>
          </w:p>
        </w:tc>
        <w:tc>
          <w:tcPr>
            <w:tcW w:w="737" w:type="dxa"/>
            <w:shd w:val="clear" w:color="auto" w:fill="auto"/>
          </w:tcPr>
          <w:p w:rsidR="007234DD" w:rsidRDefault="007234DD">
            <w:pPr>
              <w:pStyle w:val="a5"/>
              <w:ind w:right="0"/>
              <w:jc w:val="right"/>
              <w:rPr>
                <w:b/>
              </w:rPr>
            </w:pPr>
            <w:r>
              <w:rPr>
                <w:b/>
              </w:rPr>
              <w:t>0.4</w:t>
            </w:r>
          </w:p>
        </w:tc>
      </w:tr>
      <w:tr w:rsidR="007234DD">
        <w:trPr>
          <w:cantSplit/>
        </w:trPr>
        <w:tc>
          <w:tcPr>
            <w:tcW w:w="737" w:type="dxa"/>
            <w:shd w:val="clear" w:color="auto" w:fill="auto"/>
          </w:tcPr>
          <w:p w:rsidR="007234DD" w:rsidRDefault="007234DD">
            <w:pPr>
              <w:pStyle w:val="a5"/>
              <w:rPr>
                <w:rFonts w:hint="eastAsia"/>
              </w:rPr>
            </w:pPr>
            <w:r>
              <w:t>2008</w:t>
            </w:r>
          </w:p>
        </w:tc>
        <w:tc>
          <w:tcPr>
            <w:tcW w:w="737" w:type="dxa"/>
            <w:shd w:val="clear" w:color="auto" w:fill="auto"/>
          </w:tcPr>
          <w:p w:rsidR="007234DD" w:rsidRDefault="007234DD">
            <w:pPr>
              <w:pStyle w:val="a5"/>
              <w:ind w:right="0"/>
              <w:jc w:val="right"/>
            </w:pPr>
            <w:r>
              <w:t>1.8</w:t>
            </w:r>
          </w:p>
        </w:tc>
        <w:tc>
          <w:tcPr>
            <w:tcW w:w="737" w:type="dxa"/>
            <w:shd w:val="clear" w:color="auto" w:fill="auto"/>
          </w:tcPr>
          <w:p w:rsidR="007234DD" w:rsidRDefault="007234DD">
            <w:pPr>
              <w:pStyle w:val="a5"/>
              <w:ind w:right="0"/>
              <w:jc w:val="right"/>
            </w:pPr>
            <w:r>
              <w:t>1.2</w:t>
            </w:r>
          </w:p>
        </w:tc>
        <w:tc>
          <w:tcPr>
            <w:tcW w:w="737" w:type="dxa"/>
            <w:shd w:val="clear" w:color="auto" w:fill="auto"/>
          </w:tcPr>
          <w:p w:rsidR="007234DD" w:rsidRDefault="007234DD">
            <w:pPr>
              <w:pStyle w:val="a5"/>
              <w:ind w:right="0"/>
              <w:jc w:val="right"/>
            </w:pPr>
            <w:r>
              <w:t>1.5</w:t>
            </w:r>
          </w:p>
        </w:tc>
        <w:tc>
          <w:tcPr>
            <w:tcW w:w="737" w:type="dxa"/>
            <w:shd w:val="clear" w:color="auto" w:fill="auto"/>
          </w:tcPr>
          <w:p w:rsidR="007234DD" w:rsidRDefault="007234DD">
            <w:pPr>
              <w:pStyle w:val="a5"/>
              <w:ind w:right="0"/>
              <w:jc w:val="right"/>
            </w:pPr>
            <w:r>
              <w:t>0.2</w:t>
            </w:r>
          </w:p>
        </w:tc>
        <w:tc>
          <w:tcPr>
            <w:tcW w:w="737" w:type="dxa"/>
            <w:shd w:val="clear" w:color="auto" w:fill="auto"/>
          </w:tcPr>
          <w:p w:rsidR="007234DD" w:rsidRDefault="007234DD">
            <w:pPr>
              <w:pStyle w:val="a5"/>
              <w:ind w:right="0"/>
              <w:jc w:val="right"/>
            </w:pPr>
            <w:r>
              <w:t>0.4</w:t>
            </w:r>
          </w:p>
        </w:tc>
        <w:tc>
          <w:tcPr>
            <w:tcW w:w="737" w:type="dxa"/>
            <w:shd w:val="clear" w:color="auto" w:fill="auto"/>
          </w:tcPr>
          <w:p w:rsidR="007234DD" w:rsidRDefault="007234DD">
            <w:pPr>
              <w:pStyle w:val="a5"/>
              <w:ind w:right="0"/>
              <w:jc w:val="right"/>
            </w:pPr>
            <w:r>
              <w:t>0.2</w:t>
            </w:r>
          </w:p>
        </w:tc>
        <w:tc>
          <w:tcPr>
            <w:tcW w:w="737" w:type="dxa"/>
            <w:shd w:val="clear" w:color="auto" w:fill="auto"/>
          </w:tcPr>
          <w:p w:rsidR="007234DD" w:rsidRDefault="007234DD">
            <w:pPr>
              <w:pStyle w:val="a5"/>
              <w:ind w:right="0"/>
              <w:jc w:val="right"/>
            </w:pPr>
            <w:r>
              <w:t>0.3</w:t>
            </w:r>
          </w:p>
        </w:tc>
        <w:tc>
          <w:tcPr>
            <w:tcW w:w="737" w:type="dxa"/>
            <w:shd w:val="clear" w:color="auto" w:fill="auto"/>
          </w:tcPr>
          <w:p w:rsidR="007234DD" w:rsidRDefault="007234DD">
            <w:pPr>
              <w:pStyle w:val="a5"/>
              <w:ind w:right="0"/>
              <w:jc w:val="right"/>
            </w:pPr>
            <w:r>
              <w:t>0.7</w:t>
            </w:r>
          </w:p>
        </w:tc>
        <w:tc>
          <w:tcPr>
            <w:tcW w:w="737" w:type="dxa"/>
            <w:shd w:val="clear" w:color="auto" w:fill="auto"/>
          </w:tcPr>
          <w:p w:rsidR="007234DD" w:rsidRDefault="007234DD">
            <w:pPr>
              <w:pStyle w:val="a5"/>
              <w:ind w:right="0"/>
              <w:jc w:val="right"/>
              <w:rPr>
                <w:b/>
              </w:rPr>
            </w:pPr>
            <w:r>
              <w:rPr>
                <w:b/>
              </w:rPr>
              <w:t>0.4</w:t>
            </w:r>
          </w:p>
        </w:tc>
      </w:tr>
      <w:tr w:rsidR="007234DD">
        <w:trPr>
          <w:cantSplit/>
        </w:trPr>
        <w:tc>
          <w:tcPr>
            <w:tcW w:w="737" w:type="dxa"/>
            <w:tcBorders>
              <w:bottom w:val="single" w:sz="12" w:space="0" w:color="auto"/>
            </w:tcBorders>
            <w:shd w:val="clear" w:color="auto" w:fill="auto"/>
          </w:tcPr>
          <w:p w:rsidR="007234DD" w:rsidRDefault="007234DD">
            <w:pPr>
              <w:pStyle w:val="a5"/>
              <w:rPr>
                <w:rFonts w:hint="eastAsia"/>
              </w:rPr>
            </w:pPr>
            <w:r>
              <w:t>2009</w:t>
            </w:r>
          </w:p>
        </w:tc>
        <w:tc>
          <w:tcPr>
            <w:tcW w:w="737" w:type="dxa"/>
            <w:tcBorders>
              <w:bottom w:val="single" w:sz="12" w:space="0" w:color="auto"/>
            </w:tcBorders>
            <w:shd w:val="clear" w:color="auto" w:fill="auto"/>
          </w:tcPr>
          <w:p w:rsidR="007234DD" w:rsidRDefault="007234DD">
            <w:pPr>
              <w:pStyle w:val="a5"/>
              <w:ind w:right="0"/>
              <w:jc w:val="right"/>
            </w:pPr>
            <w:r>
              <w:t>1.7</w:t>
            </w:r>
          </w:p>
        </w:tc>
        <w:tc>
          <w:tcPr>
            <w:tcW w:w="737" w:type="dxa"/>
            <w:tcBorders>
              <w:bottom w:val="single" w:sz="12" w:space="0" w:color="auto"/>
            </w:tcBorders>
            <w:shd w:val="clear" w:color="auto" w:fill="auto"/>
          </w:tcPr>
          <w:p w:rsidR="007234DD" w:rsidRDefault="007234DD">
            <w:pPr>
              <w:pStyle w:val="a5"/>
              <w:ind w:right="0"/>
              <w:jc w:val="right"/>
            </w:pPr>
            <w:r>
              <w:t>1.2</w:t>
            </w:r>
          </w:p>
        </w:tc>
        <w:tc>
          <w:tcPr>
            <w:tcW w:w="737" w:type="dxa"/>
            <w:tcBorders>
              <w:bottom w:val="single" w:sz="12" w:space="0" w:color="auto"/>
            </w:tcBorders>
            <w:shd w:val="clear" w:color="auto" w:fill="auto"/>
          </w:tcPr>
          <w:p w:rsidR="007234DD" w:rsidRDefault="007234DD">
            <w:pPr>
              <w:pStyle w:val="a5"/>
              <w:ind w:right="0"/>
              <w:jc w:val="right"/>
            </w:pPr>
            <w:r>
              <w:t>1.4</w:t>
            </w:r>
          </w:p>
        </w:tc>
        <w:tc>
          <w:tcPr>
            <w:tcW w:w="737" w:type="dxa"/>
            <w:tcBorders>
              <w:bottom w:val="single" w:sz="12" w:space="0" w:color="auto"/>
            </w:tcBorders>
            <w:shd w:val="clear" w:color="auto" w:fill="auto"/>
          </w:tcPr>
          <w:p w:rsidR="007234DD" w:rsidRDefault="007234DD">
            <w:pPr>
              <w:pStyle w:val="a5"/>
              <w:ind w:right="0"/>
              <w:jc w:val="right"/>
            </w:pPr>
            <w:r>
              <w:t>0.1</w:t>
            </w:r>
          </w:p>
        </w:tc>
        <w:tc>
          <w:tcPr>
            <w:tcW w:w="737" w:type="dxa"/>
            <w:tcBorders>
              <w:bottom w:val="single" w:sz="12" w:space="0" w:color="auto"/>
            </w:tcBorders>
            <w:shd w:val="clear" w:color="auto" w:fill="auto"/>
          </w:tcPr>
          <w:p w:rsidR="007234DD" w:rsidRDefault="007234DD">
            <w:pPr>
              <w:pStyle w:val="a5"/>
              <w:ind w:right="0"/>
              <w:jc w:val="right"/>
            </w:pPr>
            <w:r>
              <w:t>0.3</w:t>
            </w:r>
          </w:p>
        </w:tc>
        <w:tc>
          <w:tcPr>
            <w:tcW w:w="737" w:type="dxa"/>
            <w:tcBorders>
              <w:bottom w:val="single" w:sz="12" w:space="0" w:color="auto"/>
            </w:tcBorders>
            <w:shd w:val="clear" w:color="auto" w:fill="auto"/>
          </w:tcPr>
          <w:p w:rsidR="007234DD" w:rsidRDefault="007234DD">
            <w:pPr>
              <w:pStyle w:val="a5"/>
              <w:ind w:right="0"/>
              <w:jc w:val="right"/>
            </w:pPr>
            <w:r>
              <w:t>0.2</w:t>
            </w:r>
          </w:p>
        </w:tc>
        <w:tc>
          <w:tcPr>
            <w:tcW w:w="737" w:type="dxa"/>
            <w:tcBorders>
              <w:bottom w:val="single" w:sz="12" w:space="0" w:color="auto"/>
            </w:tcBorders>
            <w:shd w:val="clear" w:color="auto" w:fill="auto"/>
          </w:tcPr>
          <w:p w:rsidR="007234DD" w:rsidRDefault="007234DD">
            <w:pPr>
              <w:pStyle w:val="a5"/>
              <w:ind w:right="0"/>
              <w:jc w:val="right"/>
            </w:pPr>
            <w:r>
              <w:t>0.3</w:t>
            </w:r>
          </w:p>
        </w:tc>
        <w:tc>
          <w:tcPr>
            <w:tcW w:w="737" w:type="dxa"/>
            <w:tcBorders>
              <w:bottom w:val="single" w:sz="12" w:space="0" w:color="auto"/>
            </w:tcBorders>
            <w:shd w:val="clear" w:color="auto" w:fill="auto"/>
          </w:tcPr>
          <w:p w:rsidR="007234DD" w:rsidRDefault="007234DD">
            <w:pPr>
              <w:pStyle w:val="a5"/>
              <w:ind w:right="0"/>
              <w:jc w:val="right"/>
            </w:pPr>
            <w:r>
              <w:t>0.6</w:t>
            </w:r>
          </w:p>
        </w:tc>
        <w:tc>
          <w:tcPr>
            <w:tcW w:w="737" w:type="dxa"/>
            <w:tcBorders>
              <w:bottom w:val="single" w:sz="12" w:space="0" w:color="auto"/>
            </w:tcBorders>
            <w:shd w:val="clear" w:color="auto" w:fill="auto"/>
          </w:tcPr>
          <w:p w:rsidR="007234DD" w:rsidRDefault="007234DD">
            <w:pPr>
              <w:pStyle w:val="a5"/>
              <w:ind w:right="0"/>
              <w:jc w:val="right"/>
              <w:rPr>
                <w:b/>
              </w:rPr>
            </w:pPr>
            <w:r>
              <w:rPr>
                <w:b/>
              </w:rPr>
              <w:t>0.4</w:t>
            </w:r>
          </w:p>
        </w:tc>
      </w:tr>
    </w:tbl>
    <w:p w:rsidR="007234DD" w:rsidRDefault="007234DD" w:rsidP="00326C16">
      <w:pPr>
        <w:pStyle w:val="SingleTxtG"/>
        <w:spacing w:before="120"/>
        <w:ind w:firstLine="159"/>
        <w:rPr>
          <w:rFonts w:hint="eastAsia"/>
        </w:rPr>
      </w:pPr>
      <w:r>
        <w:rPr>
          <w:rFonts w:eastAsia="KaiTi_GB2312" w:hint="eastAsia"/>
          <w:sz w:val="19"/>
          <w:szCs w:val="19"/>
        </w:rPr>
        <w:t>资料来源：</w:t>
      </w:r>
      <w:r>
        <w:rPr>
          <w:rFonts w:hint="eastAsia"/>
          <w:sz w:val="19"/>
          <w:szCs w:val="19"/>
        </w:rPr>
        <w:t>《年度统计摘要》，</w:t>
      </w:r>
      <w:r>
        <w:rPr>
          <w:rFonts w:hint="eastAsia"/>
          <w:sz w:val="19"/>
          <w:szCs w:val="19"/>
        </w:rPr>
        <w:t>www.qix.gov.qa</w:t>
      </w:r>
      <w:r>
        <w:rPr>
          <w:rFonts w:hint="eastAsia"/>
          <w:sz w:val="19"/>
          <w:szCs w:val="19"/>
        </w:rPr>
        <w:t>，各种版本；“</w:t>
      </w:r>
      <w:r>
        <w:rPr>
          <w:rFonts w:hint="eastAsia"/>
          <w:sz w:val="19"/>
          <w:szCs w:val="19"/>
        </w:rPr>
        <w:t>Qalam</w:t>
      </w:r>
      <w:r>
        <w:rPr>
          <w:rFonts w:hint="eastAsia"/>
          <w:sz w:val="19"/>
          <w:szCs w:val="19"/>
        </w:rPr>
        <w:t>”</w:t>
      </w:r>
      <w:r>
        <w:rPr>
          <w:rFonts w:hint="eastAsia"/>
          <w:sz w:val="19"/>
          <w:szCs w:val="19"/>
        </w:rPr>
        <w:t xml:space="preserve"> </w:t>
      </w:r>
      <w:r>
        <w:rPr>
          <w:rFonts w:hint="eastAsia"/>
          <w:sz w:val="19"/>
          <w:szCs w:val="19"/>
        </w:rPr>
        <w:t>项目，</w:t>
      </w:r>
      <w:hyperlink r:id="rId16" w:history="1">
        <w:r>
          <w:rPr>
            <w:rStyle w:val="Hyperlink"/>
            <w:rFonts w:hint="eastAsia"/>
            <w:color w:val="auto"/>
            <w:sz w:val="19"/>
            <w:szCs w:val="19"/>
            <w:u w:val="none"/>
          </w:rPr>
          <w:t>ww</w:t>
        </w:r>
        <w:r>
          <w:rPr>
            <w:rStyle w:val="Hyperlink"/>
            <w:rFonts w:hint="eastAsia"/>
            <w:color w:val="auto"/>
            <w:sz w:val="19"/>
            <w:szCs w:val="19"/>
            <w:u w:val="none"/>
          </w:rPr>
          <w:t>w</w:t>
        </w:r>
        <w:r>
          <w:rPr>
            <w:rStyle w:val="Hyperlink"/>
            <w:rFonts w:hint="eastAsia"/>
            <w:color w:val="auto"/>
            <w:sz w:val="19"/>
            <w:szCs w:val="19"/>
            <w:u w:val="none"/>
          </w:rPr>
          <w:t>.qix.gov.qa</w:t>
        </w:r>
      </w:hyperlink>
      <w:r>
        <w:rPr>
          <w:rFonts w:hint="eastAsia"/>
          <w:sz w:val="19"/>
          <w:szCs w:val="19"/>
        </w:rPr>
        <w:t>，和卡塔尔统计局，</w:t>
      </w:r>
      <w:r>
        <w:rPr>
          <w:rFonts w:hint="eastAsia"/>
          <w:sz w:val="19"/>
          <w:szCs w:val="19"/>
        </w:rPr>
        <w:t>2010</w:t>
      </w:r>
      <w:r>
        <w:rPr>
          <w:rFonts w:hint="eastAsia"/>
          <w:sz w:val="19"/>
          <w:szCs w:val="19"/>
        </w:rPr>
        <w:t>年。</w:t>
      </w:r>
    </w:p>
    <w:p w:rsidR="007234DD" w:rsidRDefault="007234DD">
      <w:pPr>
        <w:pStyle w:val="SingleTxtGC"/>
      </w:pPr>
      <w:r>
        <w:t xml:space="preserve">353.  </w:t>
      </w:r>
      <w:r>
        <w:rPr>
          <w:rFonts w:hint="eastAsia"/>
        </w:rPr>
        <w:t>1974</w:t>
      </w:r>
      <w:r>
        <w:rPr>
          <w:rFonts w:hint="eastAsia"/>
        </w:rPr>
        <w:t>年，国家成立了卡塔尔有特殊需要人员康复协会，为特需人群提供尽可能高标准的卫生、社会、心理和教育援助。该协会根据需求和残疾类型，为所有会员提供特殊医疗器械、假肢和辅助用具。此外，在与一切相关部委、机构和团体富有成效的合作下，该协会还帮助安置有特殊需要人员就业。它还为有特殊需要人员制订了培训、教育和个人计划与方案，提供心理、社会、教育和职业建议与指导，并开办讲习班和课程以帮助家庭应对有特殊需要儿童。该协会设有四个面向有特殊需要人员的中心。例如，社会与文化中心的设立宗旨是：通过社交活动来帮助有特殊需要人员融入社会；在各中心和俱乐部间发展友好文化和社会关系；以全年职业课程和讲习班的形式为会员及其家人提供培训。教育中心为精神或多重残疾人士提供培训服务，而男童康复中心和女童康复中心则为男童和女童提供职业、心理和社会服务。</w:t>
      </w:r>
    </w:p>
    <w:p w:rsidR="007234DD" w:rsidRDefault="007234DD">
      <w:pPr>
        <w:pStyle w:val="SingleTxtGC"/>
      </w:pPr>
      <w:r>
        <w:t xml:space="preserve">354.  </w:t>
      </w:r>
      <w:r>
        <w:rPr>
          <w:rFonts w:hint="eastAsia"/>
        </w:rPr>
        <w:t>Shafallah</w:t>
      </w:r>
      <w:r>
        <w:rPr>
          <w:rFonts w:hint="eastAsia"/>
        </w:rPr>
        <w:t>特需儿童中心成立于</w:t>
      </w:r>
      <w:r>
        <w:rPr>
          <w:rFonts w:hint="eastAsia"/>
        </w:rPr>
        <w:t>2001</w:t>
      </w:r>
      <w:r>
        <w:rPr>
          <w:rFonts w:hint="eastAsia"/>
        </w:rPr>
        <w:t>年，宗旨是为残疾女童和男童提供治疗；向这些儿童传授技能，帮助他们更有效地融入社会；提高公众的认识；为家庭提供建议和支助。该中心为</w:t>
      </w:r>
      <w:r>
        <w:rPr>
          <w:rFonts w:hint="eastAsia"/>
        </w:rPr>
        <w:t>0</w:t>
      </w:r>
      <w:r>
        <w:rPr>
          <w:rFonts w:hint="eastAsia"/>
        </w:rPr>
        <w:t>至</w:t>
      </w:r>
      <w:r>
        <w:rPr>
          <w:rFonts w:hint="eastAsia"/>
        </w:rPr>
        <w:t>18</w:t>
      </w:r>
      <w:r>
        <w:rPr>
          <w:rFonts w:hint="eastAsia"/>
        </w:rPr>
        <w:t>岁的儿童提供服务。</w:t>
      </w:r>
    </w:p>
    <w:p w:rsidR="007234DD" w:rsidRDefault="007234DD">
      <w:pPr>
        <w:pStyle w:val="H23GC"/>
        <w:spacing w:before="120"/>
      </w:pPr>
      <w:r>
        <w:tab/>
      </w:r>
      <w:r>
        <w:tab/>
      </w:r>
      <w:r>
        <w:rPr>
          <w:rFonts w:hint="eastAsia"/>
        </w:rPr>
        <w:t>女性卫生工作者及其活动领域</w:t>
      </w:r>
    </w:p>
    <w:p w:rsidR="007234DD" w:rsidRDefault="007234DD">
      <w:pPr>
        <w:pStyle w:val="SingleTxtGC"/>
      </w:pPr>
      <w:r>
        <w:t xml:space="preserve">355.  </w:t>
      </w:r>
      <w:r>
        <w:rPr>
          <w:rFonts w:hint="eastAsia"/>
        </w:rPr>
        <w:t>国家为女性卫生工作者和专家提供在其工作领域内的培训、教育和晋升机会。位于多哈的威尔康奈尔医学院培训医生，卡塔尔大学培训医生，卡塔尔大学还培训药剂师，并将学生送往国外学习医学。根据成绩选拔候选人，不因性别、种族和宗教而区别对待。此外，</w:t>
      </w:r>
      <w:r>
        <w:t>Sidra</w:t>
      </w:r>
      <w:r>
        <w:rPr>
          <w:rFonts w:hint="eastAsia"/>
        </w:rPr>
        <w:t>医疗和研究中心不加歧视地为男性和女性提供从事科学研究的机会。医学、牙科和药房工作也向男女毕业生开放。</w:t>
      </w:r>
    </w:p>
    <w:p w:rsidR="007234DD" w:rsidRDefault="007234DD">
      <w:pPr>
        <w:pStyle w:val="SingleTxtGC"/>
        <w:spacing w:after="80"/>
      </w:pPr>
      <w:r>
        <w:t xml:space="preserve">356.  </w:t>
      </w:r>
      <w:r>
        <w:rPr>
          <w:rFonts w:hint="eastAsia"/>
        </w:rPr>
        <w:t>在最高卫生委员会和哈马德医疗公司的卫生专业人员中，卡塔尔人的比例由</w:t>
      </w:r>
      <w:r>
        <w:rPr>
          <w:rFonts w:hint="eastAsia"/>
        </w:rPr>
        <w:t>2005</w:t>
      </w:r>
      <w:r>
        <w:rPr>
          <w:rFonts w:hint="eastAsia"/>
        </w:rPr>
        <w:t>年的</w:t>
      </w:r>
      <w:r>
        <w:rPr>
          <w:rFonts w:hint="eastAsia"/>
        </w:rPr>
        <w:t>16.8%</w:t>
      </w:r>
      <w:r>
        <w:rPr>
          <w:rFonts w:hint="eastAsia"/>
        </w:rPr>
        <w:t>降至</w:t>
      </w:r>
      <w:r>
        <w:rPr>
          <w:rFonts w:hint="eastAsia"/>
        </w:rPr>
        <w:t>2007</w:t>
      </w:r>
      <w:r>
        <w:rPr>
          <w:rFonts w:hint="eastAsia"/>
        </w:rPr>
        <w:t>年的</w:t>
      </w:r>
      <w:r>
        <w:rPr>
          <w:rFonts w:hint="eastAsia"/>
        </w:rPr>
        <w:t>14.1%</w:t>
      </w:r>
      <w:r>
        <w:rPr>
          <w:rFonts w:hint="eastAsia"/>
        </w:rPr>
        <w:t>。然而，从绝对数来看，卫生专业人员数量有所增加，但与非卡塔尔籍专业人员数量相比仍相当低。这是由于卫生服务扩张后，招聘的移徙工作者数量增多造成的。</w:t>
      </w:r>
    </w:p>
    <w:p w:rsidR="007234DD" w:rsidRDefault="007234DD">
      <w:pPr>
        <w:pStyle w:val="SingleTxtGC"/>
        <w:spacing w:after="80"/>
      </w:pPr>
      <w:r>
        <w:t xml:space="preserve">357.  </w:t>
      </w:r>
      <w:r>
        <w:rPr>
          <w:rFonts w:hint="eastAsia"/>
        </w:rPr>
        <w:t>在若干领域内，特别是在护理、实验室技术和技术工作以及牙科，女性的数量多于男性。除了医学外，其他领域内男性和女性的数量相近，在某些卫生和医学专业领域内，仍然只有极少甚至没有卡塔尔人。</w:t>
      </w:r>
    </w:p>
    <w:p w:rsidR="007234DD" w:rsidRDefault="007234DD">
      <w:pPr>
        <w:pStyle w:val="SingleTxtGC"/>
        <w:rPr>
          <w:rFonts w:eastAsia="SimHei"/>
        </w:rPr>
      </w:pPr>
      <w:r>
        <w:rPr>
          <w:rFonts w:hint="eastAsia"/>
        </w:rPr>
        <w:t>表</w:t>
      </w:r>
      <w:r>
        <w:rPr>
          <w:rFonts w:hint="eastAsia"/>
        </w:rPr>
        <w:t>35</w:t>
      </w:r>
      <w:r>
        <w:br/>
      </w:r>
      <w:r>
        <w:rPr>
          <w:rFonts w:eastAsia="SimHei" w:hint="eastAsia"/>
        </w:rPr>
        <w:t>2008</w:t>
      </w:r>
      <w:r>
        <w:rPr>
          <w:rFonts w:eastAsia="SimHei" w:hint="eastAsia"/>
        </w:rPr>
        <w:t>年按职业、性别和国籍分列的国家卫生系统和哈马德医疗公司内的卫生工作者</w:t>
      </w:r>
    </w:p>
    <w:tbl>
      <w:tblPr>
        <w:tblW w:w="9637" w:type="dxa"/>
        <w:tblLayout w:type="fixed"/>
        <w:tblCellMar>
          <w:left w:w="0" w:type="dxa"/>
          <w:right w:w="0" w:type="dxa"/>
        </w:tblCellMar>
        <w:tblLook w:val="01E0" w:firstRow="1" w:lastRow="1" w:firstColumn="1" w:lastColumn="1" w:noHBand="0" w:noVBand="0"/>
      </w:tblPr>
      <w:tblGrid>
        <w:gridCol w:w="390"/>
        <w:gridCol w:w="1170"/>
        <w:gridCol w:w="520"/>
        <w:gridCol w:w="780"/>
        <w:gridCol w:w="650"/>
        <w:gridCol w:w="910"/>
        <w:gridCol w:w="780"/>
        <w:gridCol w:w="650"/>
        <w:gridCol w:w="650"/>
        <w:gridCol w:w="898"/>
        <w:gridCol w:w="12"/>
        <w:gridCol w:w="734"/>
        <w:gridCol w:w="54"/>
        <w:gridCol w:w="692"/>
        <w:gridCol w:w="8"/>
        <w:gridCol w:w="739"/>
      </w:tblGrid>
      <w:tr w:rsidR="007234DD">
        <w:trPr>
          <w:cantSplit/>
        </w:trPr>
        <w:tc>
          <w:tcPr>
            <w:tcW w:w="1560" w:type="dxa"/>
            <w:gridSpan w:val="2"/>
            <w:vMerge w:val="restart"/>
            <w:tcBorders>
              <w:top w:val="single" w:sz="4" w:space="0" w:color="auto"/>
              <w:bottom w:val="single" w:sz="12" w:space="0" w:color="auto"/>
            </w:tcBorders>
            <w:shd w:val="clear" w:color="auto" w:fill="auto"/>
            <w:vAlign w:val="bottom"/>
          </w:tcPr>
          <w:p w:rsidR="007234DD" w:rsidRDefault="007234DD">
            <w:pPr>
              <w:pStyle w:val="a0"/>
              <w:spacing w:line="220" w:lineRule="exact"/>
              <w:ind w:right="0"/>
              <w:rPr>
                <w:rFonts w:hint="eastAsia"/>
              </w:rPr>
            </w:pPr>
            <w:r>
              <w:rPr>
                <w:rFonts w:hint="eastAsia"/>
              </w:rPr>
              <w:t>职业</w:t>
            </w:r>
          </w:p>
        </w:tc>
        <w:tc>
          <w:tcPr>
            <w:tcW w:w="1950" w:type="dxa"/>
            <w:gridSpan w:val="3"/>
            <w:tcBorders>
              <w:top w:val="single" w:sz="4" w:space="0" w:color="auto"/>
              <w:bottom w:val="single" w:sz="6" w:space="0" w:color="auto"/>
            </w:tcBorders>
            <w:shd w:val="clear" w:color="auto" w:fill="auto"/>
            <w:vAlign w:val="bottom"/>
          </w:tcPr>
          <w:p w:rsidR="007234DD" w:rsidRDefault="007234DD">
            <w:pPr>
              <w:pStyle w:val="a0"/>
              <w:spacing w:line="220" w:lineRule="exact"/>
              <w:ind w:right="0"/>
              <w:jc w:val="center"/>
              <w:rPr>
                <w:rFonts w:hint="eastAsia"/>
              </w:rPr>
            </w:pPr>
            <w:r>
              <w:rPr>
                <w:rFonts w:hint="eastAsia"/>
              </w:rPr>
              <w:t>卡塔尔人</w:t>
            </w:r>
          </w:p>
        </w:tc>
        <w:tc>
          <w:tcPr>
            <w:tcW w:w="910" w:type="dxa"/>
            <w:vMerge w:val="restart"/>
            <w:tcBorders>
              <w:top w:val="single" w:sz="4" w:space="0" w:color="auto"/>
              <w:bottom w:val="single" w:sz="12" w:space="0" w:color="auto"/>
            </w:tcBorders>
            <w:shd w:val="clear" w:color="auto" w:fill="auto"/>
            <w:vAlign w:val="bottom"/>
          </w:tcPr>
          <w:p w:rsidR="007234DD" w:rsidRDefault="007234DD">
            <w:pPr>
              <w:pStyle w:val="a0"/>
              <w:spacing w:line="220" w:lineRule="exact"/>
              <w:ind w:right="0"/>
              <w:jc w:val="right"/>
            </w:pPr>
            <w:r>
              <w:rPr>
                <w:rFonts w:hint="eastAsia"/>
              </w:rPr>
              <w:t>卡塔尔</w:t>
            </w:r>
            <w:r>
              <w:br/>
            </w:r>
            <w:r>
              <w:rPr>
                <w:rFonts w:hint="eastAsia"/>
              </w:rPr>
              <w:t>人占比</w:t>
            </w:r>
            <w:r>
              <w:t>%</w:t>
            </w:r>
          </w:p>
        </w:tc>
        <w:tc>
          <w:tcPr>
            <w:tcW w:w="2080" w:type="dxa"/>
            <w:gridSpan w:val="3"/>
            <w:tcBorders>
              <w:top w:val="single" w:sz="4" w:space="0" w:color="auto"/>
              <w:bottom w:val="single" w:sz="6" w:space="0" w:color="auto"/>
            </w:tcBorders>
            <w:shd w:val="clear" w:color="auto" w:fill="auto"/>
            <w:vAlign w:val="bottom"/>
          </w:tcPr>
          <w:p w:rsidR="007234DD" w:rsidRDefault="007234DD">
            <w:pPr>
              <w:pStyle w:val="a0"/>
              <w:spacing w:line="220" w:lineRule="exact"/>
              <w:ind w:right="0"/>
              <w:jc w:val="center"/>
            </w:pPr>
            <w:r>
              <w:rPr>
                <w:rFonts w:hint="eastAsia"/>
              </w:rPr>
              <w:t>非卡塔尔人</w:t>
            </w:r>
          </w:p>
        </w:tc>
        <w:tc>
          <w:tcPr>
            <w:tcW w:w="910" w:type="dxa"/>
            <w:gridSpan w:val="2"/>
            <w:vMerge w:val="restart"/>
            <w:tcBorders>
              <w:top w:val="single" w:sz="4" w:space="0" w:color="auto"/>
              <w:bottom w:val="single" w:sz="12" w:space="0" w:color="auto"/>
            </w:tcBorders>
            <w:shd w:val="clear" w:color="auto" w:fill="auto"/>
            <w:vAlign w:val="bottom"/>
          </w:tcPr>
          <w:p w:rsidR="007234DD" w:rsidRDefault="007234DD">
            <w:pPr>
              <w:pStyle w:val="a0"/>
              <w:spacing w:line="220" w:lineRule="exact"/>
              <w:ind w:right="0"/>
              <w:jc w:val="right"/>
            </w:pPr>
            <w:r>
              <w:rPr>
                <w:rFonts w:hint="eastAsia"/>
              </w:rPr>
              <w:t>非卡塔尔</w:t>
            </w:r>
            <w:r>
              <w:br/>
            </w:r>
            <w:r>
              <w:rPr>
                <w:rFonts w:hint="eastAsia"/>
              </w:rPr>
              <w:t>人占比</w:t>
            </w:r>
            <w:r>
              <w:t>%</w:t>
            </w:r>
          </w:p>
        </w:tc>
        <w:tc>
          <w:tcPr>
            <w:tcW w:w="2227" w:type="dxa"/>
            <w:gridSpan w:val="5"/>
            <w:tcBorders>
              <w:top w:val="single" w:sz="4" w:space="0" w:color="auto"/>
              <w:bottom w:val="single" w:sz="6" w:space="0" w:color="auto"/>
            </w:tcBorders>
            <w:shd w:val="clear" w:color="auto" w:fill="auto"/>
            <w:vAlign w:val="bottom"/>
          </w:tcPr>
          <w:p w:rsidR="007234DD" w:rsidRDefault="007234DD">
            <w:pPr>
              <w:pStyle w:val="a0"/>
              <w:spacing w:line="220" w:lineRule="exact"/>
              <w:ind w:right="0"/>
              <w:jc w:val="center"/>
              <w:rPr>
                <w:b/>
              </w:rPr>
            </w:pPr>
            <w:r>
              <w:rPr>
                <w:rFonts w:hint="eastAsia"/>
                <w:b/>
              </w:rPr>
              <w:t>总计</w:t>
            </w:r>
          </w:p>
        </w:tc>
      </w:tr>
      <w:tr w:rsidR="007234DD">
        <w:trPr>
          <w:cantSplit/>
        </w:trPr>
        <w:tc>
          <w:tcPr>
            <w:tcW w:w="1560" w:type="dxa"/>
            <w:gridSpan w:val="2"/>
            <w:vMerge/>
            <w:tcBorders>
              <w:top w:val="single" w:sz="12" w:space="0" w:color="auto"/>
              <w:bottom w:val="single" w:sz="12" w:space="0" w:color="auto"/>
            </w:tcBorders>
            <w:shd w:val="clear" w:color="auto" w:fill="auto"/>
            <w:vAlign w:val="bottom"/>
          </w:tcPr>
          <w:p w:rsidR="007234DD" w:rsidRDefault="007234DD">
            <w:pPr>
              <w:pStyle w:val="a5"/>
              <w:spacing w:line="220" w:lineRule="exact"/>
            </w:pPr>
          </w:p>
        </w:tc>
        <w:tc>
          <w:tcPr>
            <w:tcW w:w="520" w:type="dxa"/>
            <w:tcBorders>
              <w:top w:val="single" w:sz="6" w:space="0" w:color="auto"/>
              <w:bottom w:val="single" w:sz="12" w:space="0" w:color="auto"/>
            </w:tcBorders>
            <w:shd w:val="clear" w:color="auto" w:fill="auto"/>
            <w:vAlign w:val="bottom"/>
          </w:tcPr>
          <w:p w:rsidR="007234DD" w:rsidRDefault="007234DD">
            <w:pPr>
              <w:pStyle w:val="a0"/>
              <w:spacing w:line="220" w:lineRule="exact"/>
              <w:ind w:right="0"/>
              <w:jc w:val="right"/>
              <w:rPr>
                <w:rFonts w:hint="eastAsia"/>
              </w:rPr>
            </w:pPr>
            <w:r>
              <w:rPr>
                <w:rFonts w:hint="eastAsia"/>
              </w:rPr>
              <w:t>男性</w:t>
            </w:r>
          </w:p>
        </w:tc>
        <w:tc>
          <w:tcPr>
            <w:tcW w:w="780" w:type="dxa"/>
            <w:tcBorders>
              <w:top w:val="single" w:sz="6" w:space="0" w:color="auto"/>
              <w:bottom w:val="single" w:sz="12" w:space="0" w:color="auto"/>
            </w:tcBorders>
            <w:shd w:val="clear" w:color="auto" w:fill="auto"/>
            <w:vAlign w:val="bottom"/>
          </w:tcPr>
          <w:p w:rsidR="007234DD" w:rsidRDefault="007234DD">
            <w:pPr>
              <w:pStyle w:val="a0"/>
              <w:spacing w:line="220" w:lineRule="exact"/>
              <w:ind w:right="0"/>
              <w:jc w:val="right"/>
              <w:rPr>
                <w:rFonts w:hint="eastAsia"/>
              </w:rPr>
            </w:pPr>
            <w:r>
              <w:rPr>
                <w:rFonts w:hint="eastAsia"/>
              </w:rPr>
              <w:t>女性</w:t>
            </w:r>
          </w:p>
        </w:tc>
        <w:tc>
          <w:tcPr>
            <w:tcW w:w="650" w:type="dxa"/>
            <w:tcBorders>
              <w:top w:val="single" w:sz="6" w:space="0" w:color="auto"/>
              <w:bottom w:val="single" w:sz="12" w:space="0" w:color="auto"/>
            </w:tcBorders>
            <w:shd w:val="clear" w:color="auto" w:fill="auto"/>
            <w:vAlign w:val="bottom"/>
          </w:tcPr>
          <w:p w:rsidR="007234DD" w:rsidRDefault="007234DD">
            <w:pPr>
              <w:pStyle w:val="a0"/>
              <w:spacing w:line="220" w:lineRule="exact"/>
              <w:ind w:right="0"/>
              <w:jc w:val="right"/>
              <w:rPr>
                <w:rFonts w:hint="eastAsia"/>
                <w:b/>
              </w:rPr>
            </w:pPr>
            <w:r>
              <w:rPr>
                <w:rFonts w:hint="eastAsia"/>
                <w:b/>
              </w:rPr>
              <w:t>合计</w:t>
            </w:r>
          </w:p>
        </w:tc>
        <w:tc>
          <w:tcPr>
            <w:tcW w:w="910" w:type="dxa"/>
            <w:vMerge/>
            <w:tcBorders>
              <w:top w:val="single" w:sz="12" w:space="0" w:color="auto"/>
              <w:bottom w:val="single" w:sz="12" w:space="0" w:color="auto"/>
            </w:tcBorders>
            <w:shd w:val="clear" w:color="auto" w:fill="auto"/>
            <w:vAlign w:val="bottom"/>
          </w:tcPr>
          <w:p w:rsidR="007234DD" w:rsidRDefault="007234DD">
            <w:pPr>
              <w:pStyle w:val="a5"/>
              <w:spacing w:line="220" w:lineRule="exact"/>
              <w:ind w:right="0"/>
              <w:jc w:val="right"/>
            </w:pPr>
          </w:p>
        </w:tc>
        <w:tc>
          <w:tcPr>
            <w:tcW w:w="780" w:type="dxa"/>
            <w:tcBorders>
              <w:top w:val="single" w:sz="6" w:space="0" w:color="auto"/>
              <w:bottom w:val="single" w:sz="12" w:space="0" w:color="auto"/>
            </w:tcBorders>
            <w:shd w:val="clear" w:color="auto" w:fill="auto"/>
            <w:vAlign w:val="bottom"/>
          </w:tcPr>
          <w:p w:rsidR="007234DD" w:rsidRDefault="007234DD">
            <w:pPr>
              <w:pStyle w:val="a0"/>
              <w:spacing w:line="220" w:lineRule="exact"/>
              <w:ind w:right="0"/>
              <w:jc w:val="right"/>
              <w:rPr>
                <w:rFonts w:hint="eastAsia"/>
              </w:rPr>
            </w:pPr>
            <w:r>
              <w:rPr>
                <w:rFonts w:hint="eastAsia"/>
              </w:rPr>
              <w:t>男性</w:t>
            </w:r>
          </w:p>
        </w:tc>
        <w:tc>
          <w:tcPr>
            <w:tcW w:w="650" w:type="dxa"/>
            <w:tcBorders>
              <w:top w:val="single" w:sz="6" w:space="0" w:color="auto"/>
              <w:bottom w:val="single" w:sz="12" w:space="0" w:color="auto"/>
            </w:tcBorders>
            <w:shd w:val="clear" w:color="auto" w:fill="auto"/>
            <w:vAlign w:val="bottom"/>
          </w:tcPr>
          <w:p w:rsidR="007234DD" w:rsidRDefault="007234DD">
            <w:pPr>
              <w:pStyle w:val="a0"/>
              <w:spacing w:line="220" w:lineRule="exact"/>
              <w:ind w:right="0"/>
              <w:jc w:val="right"/>
              <w:rPr>
                <w:rFonts w:hint="eastAsia"/>
              </w:rPr>
            </w:pPr>
            <w:r>
              <w:rPr>
                <w:rFonts w:hint="eastAsia"/>
              </w:rPr>
              <w:t>女性</w:t>
            </w:r>
          </w:p>
        </w:tc>
        <w:tc>
          <w:tcPr>
            <w:tcW w:w="650" w:type="dxa"/>
            <w:tcBorders>
              <w:top w:val="single" w:sz="6" w:space="0" w:color="auto"/>
              <w:bottom w:val="single" w:sz="12" w:space="0" w:color="auto"/>
            </w:tcBorders>
            <w:shd w:val="clear" w:color="auto" w:fill="auto"/>
            <w:vAlign w:val="bottom"/>
          </w:tcPr>
          <w:p w:rsidR="007234DD" w:rsidRDefault="007234DD">
            <w:pPr>
              <w:pStyle w:val="a0"/>
              <w:spacing w:line="220" w:lineRule="exact"/>
              <w:ind w:right="0"/>
              <w:jc w:val="right"/>
              <w:rPr>
                <w:rFonts w:hint="eastAsia"/>
                <w:b/>
              </w:rPr>
            </w:pPr>
            <w:r>
              <w:rPr>
                <w:rFonts w:hint="eastAsia"/>
                <w:b/>
              </w:rPr>
              <w:t>合计</w:t>
            </w:r>
          </w:p>
        </w:tc>
        <w:tc>
          <w:tcPr>
            <w:tcW w:w="910" w:type="dxa"/>
            <w:gridSpan w:val="2"/>
            <w:vMerge/>
            <w:tcBorders>
              <w:top w:val="single" w:sz="12" w:space="0" w:color="auto"/>
              <w:bottom w:val="single" w:sz="12" w:space="0" w:color="auto"/>
            </w:tcBorders>
            <w:shd w:val="clear" w:color="auto" w:fill="auto"/>
            <w:vAlign w:val="bottom"/>
          </w:tcPr>
          <w:p w:rsidR="007234DD" w:rsidRDefault="007234DD">
            <w:pPr>
              <w:pStyle w:val="a5"/>
              <w:spacing w:line="220" w:lineRule="exact"/>
              <w:ind w:right="0"/>
              <w:jc w:val="right"/>
            </w:pPr>
          </w:p>
        </w:tc>
        <w:tc>
          <w:tcPr>
            <w:tcW w:w="788" w:type="dxa"/>
            <w:gridSpan w:val="2"/>
            <w:tcBorders>
              <w:top w:val="single" w:sz="6" w:space="0" w:color="auto"/>
              <w:bottom w:val="single" w:sz="12" w:space="0" w:color="auto"/>
            </w:tcBorders>
            <w:shd w:val="clear" w:color="auto" w:fill="auto"/>
            <w:vAlign w:val="bottom"/>
          </w:tcPr>
          <w:p w:rsidR="007234DD" w:rsidRDefault="007234DD">
            <w:pPr>
              <w:pStyle w:val="a0"/>
              <w:spacing w:line="220" w:lineRule="exact"/>
              <w:ind w:right="0"/>
              <w:jc w:val="right"/>
              <w:rPr>
                <w:rFonts w:hint="eastAsia"/>
              </w:rPr>
            </w:pPr>
            <w:r>
              <w:rPr>
                <w:rFonts w:hint="eastAsia"/>
              </w:rPr>
              <w:t>男性</w:t>
            </w:r>
          </w:p>
        </w:tc>
        <w:tc>
          <w:tcPr>
            <w:tcW w:w="700" w:type="dxa"/>
            <w:gridSpan w:val="2"/>
            <w:tcBorders>
              <w:top w:val="single" w:sz="6" w:space="0" w:color="auto"/>
              <w:bottom w:val="single" w:sz="12" w:space="0" w:color="auto"/>
            </w:tcBorders>
            <w:shd w:val="clear" w:color="auto" w:fill="auto"/>
            <w:vAlign w:val="bottom"/>
          </w:tcPr>
          <w:p w:rsidR="007234DD" w:rsidRDefault="007234DD">
            <w:pPr>
              <w:pStyle w:val="a0"/>
              <w:spacing w:line="220" w:lineRule="exact"/>
              <w:ind w:right="0"/>
              <w:jc w:val="right"/>
              <w:rPr>
                <w:rFonts w:hint="eastAsia"/>
              </w:rPr>
            </w:pPr>
            <w:r>
              <w:rPr>
                <w:rFonts w:hint="eastAsia"/>
              </w:rPr>
              <w:t>女性</w:t>
            </w:r>
          </w:p>
        </w:tc>
        <w:tc>
          <w:tcPr>
            <w:tcW w:w="739" w:type="dxa"/>
            <w:tcBorders>
              <w:top w:val="single" w:sz="6" w:space="0" w:color="auto"/>
              <w:bottom w:val="single" w:sz="12" w:space="0" w:color="auto"/>
            </w:tcBorders>
            <w:shd w:val="clear" w:color="auto" w:fill="auto"/>
            <w:vAlign w:val="bottom"/>
          </w:tcPr>
          <w:p w:rsidR="007234DD" w:rsidRDefault="007234DD">
            <w:pPr>
              <w:pStyle w:val="a0"/>
              <w:spacing w:line="220" w:lineRule="exact"/>
              <w:ind w:right="0"/>
              <w:jc w:val="right"/>
              <w:rPr>
                <w:rFonts w:hint="eastAsia"/>
                <w:b/>
              </w:rPr>
            </w:pPr>
            <w:r>
              <w:rPr>
                <w:rFonts w:hint="eastAsia"/>
                <w:b/>
              </w:rPr>
              <w:t>合计</w:t>
            </w:r>
          </w:p>
        </w:tc>
      </w:tr>
      <w:tr w:rsidR="007234DD">
        <w:trPr>
          <w:cantSplit/>
        </w:trPr>
        <w:tc>
          <w:tcPr>
            <w:tcW w:w="390" w:type="dxa"/>
            <w:tcBorders>
              <w:top w:val="single" w:sz="12" w:space="0" w:color="auto"/>
            </w:tcBorders>
            <w:shd w:val="clear" w:color="auto" w:fill="auto"/>
          </w:tcPr>
          <w:p w:rsidR="007234DD" w:rsidRDefault="007234DD">
            <w:pPr>
              <w:pStyle w:val="a5"/>
              <w:spacing w:line="210" w:lineRule="exact"/>
            </w:pPr>
            <w:r>
              <w:t>1</w:t>
            </w:r>
          </w:p>
        </w:tc>
        <w:tc>
          <w:tcPr>
            <w:tcW w:w="1170" w:type="dxa"/>
            <w:tcBorders>
              <w:top w:val="single" w:sz="12" w:space="0" w:color="auto"/>
            </w:tcBorders>
            <w:shd w:val="clear" w:color="auto" w:fill="auto"/>
          </w:tcPr>
          <w:p w:rsidR="007234DD" w:rsidRDefault="007234DD">
            <w:pPr>
              <w:pStyle w:val="a5"/>
              <w:spacing w:line="210" w:lineRule="exact"/>
              <w:rPr>
                <w:rFonts w:hint="eastAsia"/>
              </w:rPr>
            </w:pPr>
            <w:r>
              <w:rPr>
                <w:rFonts w:hint="eastAsia"/>
              </w:rPr>
              <w:t>医生</w:t>
            </w:r>
          </w:p>
        </w:tc>
        <w:tc>
          <w:tcPr>
            <w:tcW w:w="520" w:type="dxa"/>
            <w:tcBorders>
              <w:top w:val="single" w:sz="12" w:space="0" w:color="auto"/>
            </w:tcBorders>
            <w:shd w:val="clear" w:color="auto" w:fill="auto"/>
          </w:tcPr>
          <w:p w:rsidR="007234DD" w:rsidRDefault="007234DD">
            <w:pPr>
              <w:pStyle w:val="a5"/>
              <w:spacing w:line="210" w:lineRule="exact"/>
              <w:ind w:right="0"/>
              <w:jc w:val="right"/>
            </w:pPr>
            <w:r>
              <w:t>178</w:t>
            </w:r>
          </w:p>
        </w:tc>
        <w:tc>
          <w:tcPr>
            <w:tcW w:w="780" w:type="dxa"/>
            <w:tcBorders>
              <w:top w:val="single" w:sz="12" w:space="0" w:color="auto"/>
            </w:tcBorders>
            <w:shd w:val="clear" w:color="auto" w:fill="auto"/>
          </w:tcPr>
          <w:p w:rsidR="007234DD" w:rsidRDefault="007234DD">
            <w:pPr>
              <w:pStyle w:val="a5"/>
              <w:spacing w:line="210" w:lineRule="exact"/>
              <w:ind w:right="0"/>
              <w:jc w:val="right"/>
            </w:pPr>
            <w:r>
              <w:t>341</w:t>
            </w:r>
          </w:p>
        </w:tc>
        <w:tc>
          <w:tcPr>
            <w:tcW w:w="650" w:type="dxa"/>
            <w:tcBorders>
              <w:top w:val="single" w:sz="12" w:space="0" w:color="auto"/>
            </w:tcBorders>
            <w:shd w:val="clear" w:color="auto" w:fill="auto"/>
          </w:tcPr>
          <w:p w:rsidR="007234DD" w:rsidRDefault="007234DD">
            <w:pPr>
              <w:pStyle w:val="a5"/>
              <w:spacing w:line="210" w:lineRule="exact"/>
              <w:ind w:right="0"/>
              <w:jc w:val="right"/>
              <w:rPr>
                <w:b/>
              </w:rPr>
            </w:pPr>
            <w:r>
              <w:rPr>
                <w:b/>
              </w:rPr>
              <w:t>519</w:t>
            </w:r>
          </w:p>
        </w:tc>
        <w:tc>
          <w:tcPr>
            <w:tcW w:w="910" w:type="dxa"/>
            <w:tcBorders>
              <w:top w:val="single" w:sz="12" w:space="0" w:color="auto"/>
            </w:tcBorders>
            <w:shd w:val="clear" w:color="auto" w:fill="auto"/>
          </w:tcPr>
          <w:p w:rsidR="007234DD" w:rsidRDefault="007234DD">
            <w:pPr>
              <w:pStyle w:val="a5"/>
              <w:spacing w:line="210" w:lineRule="exact"/>
              <w:ind w:right="0"/>
              <w:jc w:val="right"/>
            </w:pPr>
            <w:r>
              <w:t>23</w:t>
            </w:r>
          </w:p>
        </w:tc>
        <w:tc>
          <w:tcPr>
            <w:tcW w:w="780" w:type="dxa"/>
            <w:tcBorders>
              <w:top w:val="single" w:sz="12" w:space="0" w:color="auto"/>
            </w:tcBorders>
            <w:shd w:val="clear" w:color="auto" w:fill="auto"/>
          </w:tcPr>
          <w:p w:rsidR="007234DD" w:rsidRDefault="007234DD">
            <w:pPr>
              <w:pStyle w:val="a5"/>
              <w:spacing w:line="210" w:lineRule="exact"/>
              <w:ind w:right="0"/>
              <w:jc w:val="right"/>
            </w:pPr>
            <w:r>
              <w:t>1,236</w:t>
            </w:r>
          </w:p>
        </w:tc>
        <w:tc>
          <w:tcPr>
            <w:tcW w:w="650" w:type="dxa"/>
            <w:tcBorders>
              <w:top w:val="single" w:sz="12" w:space="0" w:color="auto"/>
            </w:tcBorders>
            <w:shd w:val="clear" w:color="auto" w:fill="auto"/>
          </w:tcPr>
          <w:p w:rsidR="007234DD" w:rsidRDefault="007234DD">
            <w:pPr>
              <w:pStyle w:val="a5"/>
              <w:spacing w:line="210" w:lineRule="exact"/>
              <w:ind w:right="0"/>
              <w:jc w:val="right"/>
            </w:pPr>
            <w:r>
              <w:t>513</w:t>
            </w:r>
          </w:p>
        </w:tc>
        <w:tc>
          <w:tcPr>
            <w:tcW w:w="650" w:type="dxa"/>
            <w:tcBorders>
              <w:top w:val="single" w:sz="12" w:space="0" w:color="auto"/>
            </w:tcBorders>
            <w:shd w:val="clear" w:color="auto" w:fill="auto"/>
          </w:tcPr>
          <w:p w:rsidR="007234DD" w:rsidRDefault="007234DD">
            <w:pPr>
              <w:pStyle w:val="a5"/>
              <w:spacing w:line="210" w:lineRule="exact"/>
              <w:ind w:right="0"/>
              <w:jc w:val="right"/>
              <w:rPr>
                <w:b/>
              </w:rPr>
            </w:pPr>
            <w:r>
              <w:rPr>
                <w:b/>
              </w:rPr>
              <w:t>1,749</w:t>
            </w:r>
          </w:p>
        </w:tc>
        <w:tc>
          <w:tcPr>
            <w:tcW w:w="898" w:type="dxa"/>
            <w:tcBorders>
              <w:top w:val="single" w:sz="12" w:space="0" w:color="auto"/>
            </w:tcBorders>
            <w:shd w:val="clear" w:color="auto" w:fill="auto"/>
          </w:tcPr>
          <w:p w:rsidR="007234DD" w:rsidRDefault="007234DD">
            <w:pPr>
              <w:pStyle w:val="a5"/>
              <w:spacing w:line="210" w:lineRule="exact"/>
              <w:ind w:right="0"/>
              <w:jc w:val="right"/>
            </w:pPr>
            <w:r>
              <w:t>77</w:t>
            </w:r>
          </w:p>
        </w:tc>
        <w:tc>
          <w:tcPr>
            <w:tcW w:w="746" w:type="dxa"/>
            <w:gridSpan w:val="2"/>
            <w:tcBorders>
              <w:top w:val="single" w:sz="12" w:space="0" w:color="auto"/>
            </w:tcBorders>
            <w:shd w:val="clear" w:color="auto" w:fill="auto"/>
          </w:tcPr>
          <w:p w:rsidR="007234DD" w:rsidRDefault="007234DD">
            <w:pPr>
              <w:pStyle w:val="a5"/>
              <w:spacing w:line="210" w:lineRule="exact"/>
              <w:ind w:right="0"/>
              <w:jc w:val="right"/>
              <w:rPr>
                <w:b/>
              </w:rPr>
            </w:pPr>
            <w:r>
              <w:rPr>
                <w:b/>
              </w:rPr>
              <w:t>1,414</w:t>
            </w:r>
          </w:p>
        </w:tc>
        <w:tc>
          <w:tcPr>
            <w:tcW w:w="746" w:type="dxa"/>
            <w:gridSpan w:val="2"/>
            <w:tcBorders>
              <w:top w:val="single" w:sz="12" w:space="0" w:color="auto"/>
            </w:tcBorders>
            <w:shd w:val="clear" w:color="auto" w:fill="auto"/>
          </w:tcPr>
          <w:p w:rsidR="007234DD" w:rsidRDefault="007234DD">
            <w:pPr>
              <w:pStyle w:val="a5"/>
              <w:spacing w:line="210" w:lineRule="exact"/>
              <w:ind w:right="0"/>
              <w:jc w:val="right"/>
              <w:rPr>
                <w:b/>
              </w:rPr>
            </w:pPr>
            <w:r>
              <w:rPr>
                <w:b/>
              </w:rPr>
              <w:t>854</w:t>
            </w:r>
          </w:p>
        </w:tc>
        <w:tc>
          <w:tcPr>
            <w:tcW w:w="747" w:type="dxa"/>
            <w:gridSpan w:val="2"/>
            <w:tcBorders>
              <w:top w:val="single" w:sz="12" w:space="0" w:color="auto"/>
            </w:tcBorders>
            <w:shd w:val="clear" w:color="auto" w:fill="auto"/>
          </w:tcPr>
          <w:p w:rsidR="007234DD" w:rsidRDefault="007234DD">
            <w:pPr>
              <w:pStyle w:val="a5"/>
              <w:spacing w:line="210" w:lineRule="exact"/>
              <w:ind w:right="0"/>
              <w:jc w:val="right"/>
              <w:rPr>
                <w:b/>
              </w:rPr>
            </w:pPr>
            <w:r>
              <w:rPr>
                <w:b/>
              </w:rPr>
              <w:t>2,268</w:t>
            </w:r>
          </w:p>
        </w:tc>
      </w:tr>
      <w:tr w:rsidR="007234DD">
        <w:trPr>
          <w:cantSplit/>
        </w:trPr>
        <w:tc>
          <w:tcPr>
            <w:tcW w:w="390" w:type="dxa"/>
            <w:shd w:val="clear" w:color="auto" w:fill="auto"/>
          </w:tcPr>
          <w:p w:rsidR="007234DD" w:rsidRDefault="007234DD">
            <w:pPr>
              <w:pStyle w:val="a5"/>
              <w:spacing w:line="210" w:lineRule="exact"/>
            </w:pPr>
            <w:r>
              <w:t>2</w:t>
            </w:r>
          </w:p>
        </w:tc>
        <w:tc>
          <w:tcPr>
            <w:tcW w:w="1170" w:type="dxa"/>
            <w:shd w:val="clear" w:color="auto" w:fill="auto"/>
          </w:tcPr>
          <w:p w:rsidR="007234DD" w:rsidRDefault="007234DD">
            <w:pPr>
              <w:pStyle w:val="a5"/>
              <w:spacing w:line="210" w:lineRule="exact"/>
              <w:rPr>
                <w:rFonts w:hint="eastAsia"/>
              </w:rPr>
            </w:pPr>
            <w:r>
              <w:rPr>
                <w:rFonts w:hint="eastAsia"/>
              </w:rPr>
              <w:t>牙科医生</w:t>
            </w:r>
          </w:p>
        </w:tc>
        <w:tc>
          <w:tcPr>
            <w:tcW w:w="520" w:type="dxa"/>
            <w:shd w:val="clear" w:color="auto" w:fill="auto"/>
          </w:tcPr>
          <w:p w:rsidR="007234DD" w:rsidRDefault="007234DD">
            <w:pPr>
              <w:pStyle w:val="a5"/>
              <w:spacing w:line="210" w:lineRule="exact"/>
              <w:ind w:right="0"/>
              <w:jc w:val="right"/>
            </w:pPr>
            <w:r>
              <w:t>22</w:t>
            </w:r>
          </w:p>
        </w:tc>
        <w:tc>
          <w:tcPr>
            <w:tcW w:w="780" w:type="dxa"/>
            <w:shd w:val="clear" w:color="auto" w:fill="auto"/>
          </w:tcPr>
          <w:p w:rsidR="007234DD" w:rsidRDefault="007234DD">
            <w:pPr>
              <w:pStyle w:val="a5"/>
              <w:spacing w:line="210" w:lineRule="exact"/>
              <w:ind w:right="0"/>
              <w:jc w:val="right"/>
            </w:pPr>
            <w:r>
              <w:t>74</w:t>
            </w:r>
          </w:p>
        </w:tc>
        <w:tc>
          <w:tcPr>
            <w:tcW w:w="650" w:type="dxa"/>
            <w:shd w:val="clear" w:color="auto" w:fill="auto"/>
          </w:tcPr>
          <w:p w:rsidR="007234DD" w:rsidRDefault="007234DD">
            <w:pPr>
              <w:pStyle w:val="a5"/>
              <w:spacing w:line="210" w:lineRule="exact"/>
              <w:ind w:right="0"/>
              <w:jc w:val="right"/>
              <w:rPr>
                <w:b/>
              </w:rPr>
            </w:pPr>
            <w:r>
              <w:rPr>
                <w:b/>
              </w:rPr>
              <w:t>96</w:t>
            </w:r>
          </w:p>
        </w:tc>
        <w:tc>
          <w:tcPr>
            <w:tcW w:w="910" w:type="dxa"/>
            <w:shd w:val="clear" w:color="auto" w:fill="auto"/>
          </w:tcPr>
          <w:p w:rsidR="007234DD" w:rsidRDefault="007234DD">
            <w:pPr>
              <w:pStyle w:val="a5"/>
              <w:spacing w:line="210" w:lineRule="exact"/>
              <w:ind w:right="0"/>
              <w:jc w:val="right"/>
            </w:pPr>
            <w:r>
              <w:t>38</w:t>
            </w:r>
          </w:p>
        </w:tc>
        <w:tc>
          <w:tcPr>
            <w:tcW w:w="780" w:type="dxa"/>
            <w:shd w:val="clear" w:color="auto" w:fill="auto"/>
          </w:tcPr>
          <w:p w:rsidR="007234DD" w:rsidRDefault="007234DD">
            <w:pPr>
              <w:pStyle w:val="a5"/>
              <w:spacing w:line="210" w:lineRule="exact"/>
              <w:ind w:right="0"/>
              <w:jc w:val="right"/>
            </w:pPr>
            <w:r>
              <w:t>92</w:t>
            </w:r>
          </w:p>
        </w:tc>
        <w:tc>
          <w:tcPr>
            <w:tcW w:w="650" w:type="dxa"/>
            <w:shd w:val="clear" w:color="auto" w:fill="auto"/>
          </w:tcPr>
          <w:p w:rsidR="007234DD" w:rsidRDefault="007234DD">
            <w:pPr>
              <w:pStyle w:val="a5"/>
              <w:spacing w:line="210" w:lineRule="exact"/>
              <w:ind w:right="0"/>
              <w:jc w:val="right"/>
            </w:pPr>
            <w:r>
              <w:t>66</w:t>
            </w:r>
          </w:p>
        </w:tc>
        <w:tc>
          <w:tcPr>
            <w:tcW w:w="650" w:type="dxa"/>
            <w:shd w:val="clear" w:color="auto" w:fill="auto"/>
          </w:tcPr>
          <w:p w:rsidR="007234DD" w:rsidRDefault="007234DD">
            <w:pPr>
              <w:pStyle w:val="a5"/>
              <w:spacing w:line="210" w:lineRule="exact"/>
              <w:ind w:right="0"/>
              <w:jc w:val="right"/>
              <w:rPr>
                <w:b/>
              </w:rPr>
            </w:pPr>
            <w:r>
              <w:rPr>
                <w:b/>
              </w:rPr>
              <w:t>158</w:t>
            </w:r>
          </w:p>
        </w:tc>
        <w:tc>
          <w:tcPr>
            <w:tcW w:w="898" w:type="dxa"/>
            <w:shd w:val="clear" w:color="auto" w:fill="auto"/>
          </w:tcPr>
          <w:p w:rsidR="007234DD" w:rsidRDefault="007234DD">
            <w:pPr>
              <w:pStyle w:val="a5"/>
              <w:spacing w:line="210" w:lineRule="exact"/>
              <w:ind w:right="0"/>
              <w:jc w:val="right"/>
            </w:pPr>
            <w:r>
              <w:t>62</w:t>
            </w:r>
          </w:p>
        </w:tc>
        <w:tc>
          <w:tcPr>
            <w:tcW w:w="746" w:type="dxa"/>
            <w:gridSpan w:val="2"/>
            <w:shd w:val="clear" w:color="auto" w:fill="auto"/>
          </w:tcPr>
          <w:p w:rsidR="007234DD" w:rsidRDefault="007234DD">
            <w:pPr>
              <w:pStyle w:val="a5"/>
              <w:spacing w:line="210" w:lineRule="exact"/>
              <w:ind w:right="0"/>
              <w:jc w:val="right"/>
              <w:rPr>
                <w:b/>
              </w:rPr>
            </w:pPr>
            <w:r>
              <w:rPr>
                <w:b/>
              </w:rPr>
              <w:t>114</w:t>
            </w:r>
          </w:p>
        </w:tc>
        <w:tc>
          <w:tcPr>
            <w:tcW w:w="746" w:type="dxa"/>
            <w:gridSpan w:val="2"/>
            <w:shd w:val="clear" w:color="auto" w:fill="auto"/>
          </w:tcPr>
          <w:p w:rsidR="007234DD" w:rsidRDefault="007234DD">
            <w:pPr>
              <w:pStyle w:val="a5"/>
              <w:spacing w:line="210" w:lineRule="exact"/>
              <w:ind w:right="0"/>
              <w:jc w:val="right"/>
              <w:rPr>
                <w:b/>
              </w:rPr>
            </w:pPr>
            <w:r>
              <w:rPr>
                <w:b/>
              </w:rPr>
              <w:t>140</w:t>
            </w:r>
          </w:p>
        </w:tc>
        <w:tc>
          <w:tcPr>
            <w:tcW w:w="747" w:type="dxa"/>
            <w:gridSpan w:val="2"/>
            <w:shd w:val="clear" w:color="auto" w:fill="auto"/>
          </w:tcPr>
          <w:p w:rsidR="007234DD" w:rsidRDefault="007234DD">
            <w:pPr>
              <w:pStyle w:val="a5"/>
              <w:spacing w:line="210" w:lineRule="exact"/>
              <w:ind w:right="0"/>
              <w:jc w:val="right"/>
              <w:rPr>
                <w:b/>
              </w:rPr>
            </w:pPr>
            <w:r>
              <w:rPr>
                <w:b/>
              </w:rPr>
              <w:t>254</w:t>
            </w:r>
          </w:p>
        </w:tc>
      </w:tr>
      <w:tr w:rsidR="007234DD">
        <w:trPr>
          <w:cantSplit/>
        </w:trPr>
        <w:tc>
          <w:tcPr>
            <w:tcW w:w="390" w:type="dxa"/>
            <w:shd w:val="clear" w:color="auto" w:fill="auto"/>
          </w:tcPr>
          <w:p w:rsidR="007234DD" w:rsidRDefault="007234DD">
            <w:pPr>
              <w:pStyle w:val="a5"/>
              <w:spacing w:line="210" w:lineRule="exact"/>
            </w:pPr>
            <w:r>
              <w:t>3</w:t>
            </w:r>
          </w:p>
        </w:tc>
        <w:tc>
          <w:tcPr>
            <w:tcW w:w="1170" w:type="dxa"/>
            <w:shd w:val="clear" w:color="auto" w:fill="auto"/>
          </w:tcPr>
          <w:p w:rsidR="007234DD" w:rsidRDefault="007234DD">
            <w:pPr>
              <w:pStyle w:val="a5"/>
              <w:spacing w:line="210" w:lineRule="exact"/>
              <w:rPr>
                <w:rFonts w:hint="eastAsia"/>
              </w:rPr>
            </w:pPr>
            <w:r>
              <w:rPr>
                <w:rFonts w:hint="eastAsia"/>
              </w:rPr>
              <w:t>护士</w:t>
            </w:r>
          </w:p>
        </w:tc>
        <w:tc>
          <w:tcPr>
            <w:tcW w:w="520" w:type="dxa"/>
            <w:shd w:val="clear" w:color="auto" w:fill="auto"/>
          </w:tcPr>
          <w:p w:rsidR="007234DD" w:rsidRDefault="007234DD">
            <w:pPr>
              <w:pStyle w:val="a5"/>
              <w:spacing w:line="210" w:lineRule="exact"/>
              <w:ind w:right="0"/>
              <w:jc w:val="right"/>
              <w:rPr>
                <w:rFonts w:hint="eastAsia"/>
              </w:rPr>
            </w:pPr>
            <w:r>
              <w:rPr>
                <w:rFonts w:hint="eastAsia"/>
              </w:rPr>
              <w:t>无</w:t>
            </w:r>
          </w:p>
        </w:tc>
        <w:tc>
          <w:tcPr>
            <w:tcW w:w="780" w:type="dxa"/>
            <w:shd w:val="clear" w:color="auto" w:fill="auto"/>
          </w:tcPr>
          <w:p w:rsidR="007234DD" w:rsidRDefault="007234DD">
            <w:pPr>
              <w:pStyle w:val="a5"/>
              <w:spacing w:line="210" w:lineRule="exact"/>
              <w:ind w:right="0"/>
              <w:jc w:val="right"/>
            </w:pPr>
            <w:r>
              <w:t>612</w:t>
            </w:r>
          </w:p>
        </w:tc>
        <w:tc>
          <w:tcPr>
            <w:tcW w:w="650" w:type="dxa"/>
            <w:shd w:val="clear" w:color="auto" w:fill="auto"/>
          </w:tcPr>
          <w:p w:rsidR="007234DD" w:rsidRDefault="007234DD">
            <w:pPr>
              <w:pStyle w:val="a5"/>
              <w:spacing w:line="210" w:lineRule="exact"/>
              <w:ind w:right="0"/>
              <w:jc w:val="right"/>
              <w:rPr>
                <w:b/>
              </w:rPr>
            </w:pPr>
            <w:r>
              <w:rPr>
                <w:b/>
              </w:rPr>
              <w:t>612</w:t>
            </w:r>
          </w:p>
        </w:tc>
        <w:tc>
          <w:tcPr>
            <w:tcW w:w="910" w:type="dxa"/>
            <w:shd w:val="clear" w:color="auto" w:fill="auto"/>
          </w:tcPr>
          <w:p w:rsidR="007234DD" w:rsidRDefault="007234DD">
            <w:pPr>
              <w:pStyle w:val="a5"/>
              <w:spacing w:line="210" w:lineRule="exact"/>
              <w:ind w:right="0"/>
              <w:jc w:val="right"/>
            </w:pPr>
            <w:r>
              <w:t>9</w:t>
            </w:r>
          </w:p>
        </w:tc>
        <w:tc>
          <w:tcPr>
            <w:tcW w:w="780" w:type="dxa"/>
            <w:shd w:val="clear" w:color="auto" w:fill="auto"/>
          </w:tcPr>
          <w:p w:rsidR="007234DD" w:rsidRDefault="007234DD">
            <w:pPr>
              <w:pStyle w:val="a5"/>
              <w:spacing w:line="210" w:lineRule="exact"/>
              <w:ind w:right="0"/>
              <w:jc w:val="right"/>
            </w:pPr>
            <w:r>
              <w:t>866</w:t>
            </w:r>
          </w:p>
        </w:tc>
        <w:tc>
          <w:tcPr>
            <w:tcW w:w="650" w:type="dxa"/>
            <w:shd w:val="clear" w:color="auto" w:fill="auto"/>
          </w:tcPr>
          <w:p w:rsidR="007234DD" w:rsidRDefault="007234DD">
            <w:pPr>
              <w:pStyle w:val="a5"/>
              <w:spacing w:line="210" w:lineRule="exact"/>
              <w:ind w:right="0"/>
              <w:jc w:val="right"/>
            </w:pPr>
            <w:r>
              <w:t>5,413</w:t>
            </w:r>
          </w:p>
        </w:tc>
        <w:tc>
          <w:tcPr>
            <w:tcW w:w="650" w:type="dxa"/>
            <w:shd w:val="clear" w:color="auto" w:fill="auto"/>
          </w:tcPr>
          <w:p w:rsidR="007234DD" w:rsidRDefault="007234DD">
            <w:pPr>
              <w:pStyle w:val="a5"/>
              <w:spacing w:line="210" w:lineRule="exact"/>
              <w:ind w:right="0"/>
              <w:jc w:val="right"/>
              <w:rPr>
                <w:b/>
              </w:rPr>
            </w:pPr>
            <w:r>
              <w:rPr>
                <w:b/>
              </w:rPr>
              <w:t>6,279</w:t>
            </w:r>
          </w:p>
        </w:tc>
        <w:tc>
          <w:tcPr>
            <w:tcW w:w="898" w:type="dxa"/>
            <w:shd w:val="clear" w:color="auto" w:fill="auto"/>
          </w:tcPr>
          <w:p w:rsidR="007234DD" w:rsidRDefault="007234DD">
            <w:pPr>
              <w:pStyle w:val="a5"/>
              <w:spacing w:line="210" w:lineRule="exact"/>
              <w:ind w:right="0"/>
              <w:jc w:val="right"/>
            </w:pPr>
            <w:r>
              <w:t>91</w:t>
            </w:r>
          </w:p>
        </w:tc>
        <w:tc>
          <w:tcPr>
            <w:tcW w:w="746" w:type="dxa"/>
            <w:gridSpan w:val="2"/>
            <w:shd w:val="clear" w:color="auto" w:fill="auto"/>
          </w:tcPr>
          <w:p w:rsidR="007234DD" w:rsidRDefault="007234DD">
            <w:pPr>
              <w:pStyle w:val="a5"/>
              <w:spacing w:line="210" w:lineRule="exact"/>
              <w:ind w:right="0"/>
              <w:jc w:val="right"/>
              <w:rPr>
                <w:b/>
              </w:rPr>
            </w:pPr>
            <w:r>
              <w:rPr>
                <w:b/>
              </w:rPr>
              <w:t>866</w:t>
            </w:r>
          </w:p>
        </w:tc>
        <w:tc>
          <w:tcPr>
            <w:tcW w:w="746" w:type="dxa"/>
            <w:gridSpan w:val="2"/>
            <w:shd w:val="clear" w:color="auto" w:fill="auto"/>
          </w:tcPr>
          <w:p w:rsidR="007234DD" w:rsidRDefault="007234DD">
            <w:pPr>
              <w:pStyle w:val="a5"/>
              <w:spacing w:line="210" w:lineRule="exact"/>
              <w:ind w:right="0"/>
              <w:jc w:val="right"/>
              <w:rPr>
                <w:b/>
              </w:rPr>
            </w:pPr>
            <w:r>
              <w:rPr>
                <w:b/>
              </w:rPr>
              <w:t>6,025</w:t>
            </w:r>
          </w:p>
        </w:tc>
        <w:tc>
          <w:tcPr>
            <w:tcW w:w="747" w:type="dxa"/>
            <w:gridSpan w:val="2"/>
            <w:shd w:val="clear" w:color="auto" w:fill="auto"/>
          </w:tcPr>
          <w:p w:rsidR="007234DD" w:rsidRDefault="007234DD">
            <w:pPr>
              <w:pStyle w:val="a5"/>
              <w:spacing w:line="210" w:lineRule="exact"/>
              <w:ind w:right="0"/>
              <w:jc w:val="right"/>
              <w:rPr>
                <w:b/>
              </w:rPr>
            </w:pPr>
            <w:r>
              <w:rPr>
                <w:b/>
              </w:rPr>
              <w:t>6,891</w:t>
            </w:r>
          </w:p>
        </w:tc>
      </w:tr>
      <w:tr w:rsidR="007234DD">
        <w:trPr>
          <w:cantSplit/>
        </w:trPr>
        <w:tc>
          <w:tcPr>
            <w:tcW w:w="390" w:type="dxa"/>
            <w:shd w:val="clear" w:color="auto" w:fill="auto"/>
          </w:tcPr>
          <w:p w:rsidR="007234DD" w:rsidRDefault="007234DD">
            <w:pPr>
              <w:pStyle w:val="a5"/>
              <w:spacing w:line="210" w:lineRule="exact"/>
            </w:pPr>
            <w:r>
              <w:t>4</w:t>
            </w:r>
          </w:p>
        </w:tc>
        <w:tc>
          <w:tcPr>
            <w:tcW w:w="1170" w:type="dxa"/>
            <w:shd w:val="clear" w:color="auto" w:fill="auto"/>
          </w:tcPr>
          <w:p w:rsidR="007234DD" w:rsidRDefault="007234DD">
            <w:pPr>
              <w:pStyle w:val="a5"/>
              <w:spacing w:line="210" w:lineRule="exact"/>
              <w:rPr>
                <w:rFonts w:hint="eastAsia"/>
              </w:rPr>
            </w:pPr>
            <w:r>
              <w:rPr>
                <w:rFonts w:hint="eastAsia"/>
              </w:rPr>
              <w:t>实验室技术员和技师</w:t>
            </w:r>
          </w:p>
        </w:tc>
        <w:tc>
          <w:tcPr>
            <w:tcW w:w="520" w:type="dxa"/>
            <w:shd w:val="clear" w:color="auto" w:fill="auto"/>
          </w:tcPr>
          <w:p w:rsidR="007234DD" w:rsidRDefault="007234DD">
            <w:pPr>
              <w:pStyle w:val="a5"/>
              <w:spacing w:line="210" w:lineRule="exact"/>
              <w:ind w:right="0"/>
              <w:jc w:val="right"/>
            </w:pPr>
            <w:r>
              <w:t>10</w:t>
            </w:r>
          </w:p>
        </w:tc>
        <w:tc>
          <w:tcPr>
            <w:tcW w:w="780" w:type="dxa"/>
            <w:shd w:val="clear" w:color="auto" w:fill="auto"/>
          </w:tcPr>
          <w:p w:rsidR="007234DD" w:rsidRDefault="007234DD">
            <w:pPr>
              <w:pStyle w:val="a5"/>
              <w:spacing w:line="210" w:lineRule="exact"/>
              <w:ind w:right="0"/>
              <w:jc w:val="right"/>
            </w:pPr>
            <w:r>
              <w:t>140</w:t>
            </w:r>
          </w:p>
        </w:tc>
        <w:tc>
          <w:tcPr>
            <w:tcW w:w="650" w:type="dxa"/>
            <w:shd w:val="clear" w:color="auto" w:fill="auto"/>
          </w:tcPr>
          <w:p w:rsidR="007234DD" w:rsidRDefault="007234DD">
            <w:pPr>
              <w:pStyle w:val="a5"/>
              <w:spacing w:line="210" w:lineRule="exact"/>
              <w:ind w:right="0"/>
              <w:jc w:val="right"/>
              <w:rPr>
                <w:b/>
              </w:rPr>
            </w:pPr>
            <w:r>
              <w:rPr>
                <w:b/>
              </w:rPr>
              <w:t>150</w:t>
            </w:r>
          </w:p>
        </w:tc>
        <w:tc>
          <w:tcPr>
            <w:tcW w:w="910" w:type="dxa"/>
            <w:shd w:val="clear" w:color="auto" w:fill="auto"/>
          </w:tcPr>
          <w:p w:rsidR="007234DD" w:rsidRDefault="007234DD">
            <w:pPr>
              <w:pStyle w:val="a5"/>
              <w:spacing w:line="210" w:lineRule="exact"/>
              <w:ind w:right="0"/>
              <w:jc w:val="right"/>
            </w:pPr>
            <w:r>
              <w:t>23</w:t>
            </w:r>
          </w:p>
        </w:tc>
        <w:tc>
          <w:tcPr>
            <w:tcW w:w="780" w:type="dxa"/>
            <w:shd w:val="clear" w:color="auto" w:fill="auto"/>
          </w:tcPr>
          <w:p w:rsidR="007234DD" w:rsidRDefault="007234DD">
            <w:pPr>
              <w:pStyle w:val="a5"/>
              <w:spacing w:line="210" w:lineRule="exact"/>
              <w:ind w:right="0"/>
              <w:jc w:val="right"/>
            </w:pPr>
            <w:r>
              <w:t>211</w:t>
            </w:r>
          </w:p>
        </w:tc>
        <w:tc>
          <w:tcPr>
            <w:tcW w:w="650" w:type="dxa"/>
            <w:shd w:val="clear" w:color="auto" w:fill="auto"/>
          </w:tcPr>
          <w:p w:rsidR="007234DD" w:rsidRDefault="007234DD">
            <w:pPr>
              <w:pStyle w:val="a5"/>
              <w:spacing w:line="210" w:lineRule="exact"/>
              <w:ind w:right="0"/>
              <w:jc w:val="right"/>
            </w:pPr>
            <w:r>
              <w:t>286</w:t>
            </w:r>
          </w:p>
        </w:tc>
        <w:tc>
          <w:tcPr>
            <w:tcW w:w="650" w:type="dxa"/>
            <w:shd w:val="clear" w:color="auto" w:fill="auto"/>
          </w:tcPr>
          <w:p w:rsidR="007234DD" w:rsidRDefault="007234DD">
            <w:pPr>
              <w:pStyle w:val="a5"/>
              <w:spacing w:line="210" w:lineRule="exact"/>
              <w:ind w:right="0"/>
              <w:jc w:val="right"/>
              <w:rPr>
                <w:b/>
              </w:rPr>
            </w:pPr>
            <w:r>
              <w:rPr>
                <w:b/>
              </w:rPr>
              <w:t>497</w:t>
            </w:r>
          </w:p>
        </w:tc>
        <w:tc>
          <w:tcPr>
            <w:tcW w:w="898" w:type="dxa"/>
            <w:shd w:val="clear" w:color="auto" w:fill="auto"/>
          </w:tcPr>
          <w:p w:rsidR="007234DD" w:rsidRDefault="007234DD">
            <w:pPr>
              <w:pStyle w:val="a5"/>
              <w:spacing w:line="210" w:lineRule="exact"/>
              <w:ind w:right="0"/>
              <w:jc w:val="right"/>
            </w:pPr>
            <w:r>
              <w:t>77</w:t>
            </w:r>
          </w:p>
        </w:tc>
        <w:tc>
          <w:tcPr>
            <w:tcW w:w="746" w:type="dxa"/>
            <w:gridSpan w:val="2"/>
            <w:shd w:val="clear" w:color="auto" w:fill="auto"/>
          </w:tcPr>
          <w:p w:rsidR="007234DD" w:rsidRDefault="007234DD">
            <w:pPr>
              <w:pStyle w:val="a5"/>
              <w:spacing w:line="210" w:lineRule="exact"/>
              <w:ind w:right="0"/>
              <w:jc w:val="right"/>
              <w:rPr>
                <w:b/>
              </w:rPr>
            </w:pPr>
            <w:r>
              <w:rPr>
                <w:b/>
              </w:rPr>
              <w:t>221</w:t>
            </w:r>
          </w:p>
        </w:tc>
        <w:tc>
          <w:tcPr>
            <w:tcW w:w="746" w:type="dxa"/>
            <w:gridSpan w:val="2"/>
            <w:shd w:val="clear" w:color="auto" w:fill="auto"/>
          </w:tcPr>
          <w:p w:rsidR="007234DD" w:rsidRDefault="007234DD">
            <w:pPr>
              <w:pStyle w:val="a5"/>
              <w:spacing w:line="210" w:lineRule="exact"/>
              <w:ind w:right="0"/>
              <w:jc w:val="right"/>
              <w:rPr>
                <w:b/>
              </w:rPr>
            </w:pPr>
            <w:r>
              <w:rPr>
                <w:b/>
              </w:rPr>
              <w:t>426</w:t>
            </w:r>
          </w:p>
        </w:tc>
        <w:tc>
          <w:tcPr>
            <w:tcW w:w="747" w:type="dxa"/>
            <w:gridSpan w:val="2"/>
            <w:shd w:val="clear" w:color="auto" w:fill="auto"/>
          </w:tcPr>
          <w:p w:rsidR="007234DD" w:rsidRDefault="007234DD">
            <w:pPr>
              <w:pStyle w:val="a5"/>
              <w:spacing w:line="210" w:lineRule="exact"/>
              <w:ind w:right="0"/>
              <w:jc w:val="right"/>
              <w:rPr>
                <w:b/>
              </w:rPr>
            </w:pPr>
            <w:r>
              <w:rPr>
                <w:b/>
              </w:rPr>
              <w:t>647</w:t>
            </w:r>
          </w:p>
        </w:tc>
      </w:tr>
      <w:tr w:rsidR="007234DD">
        <w:trPr>
          <w:cantSplit/>
        </w:trPr>
        <w:tc>
          <w:tcPr>
            <w:tcW w:w="390" w:type="dxa"/>
            <w:shd w:val="clear" w:color="auto" w:fill="auto"/>
          </w:tcPr>
          <w:p w:rsidR="007234DD" w:rsidRDefault="007234DD">
            <w:pPr>
              <w:pStyle w:val="a5"/>
              <w:spacing w:line="210" w:lineRule="exact"/>
            </w:pPr>
            <w:r>
              <w:t>5</w:t>
            </w:r>
          </w:p>
        </w:tc>
        <w:tc>
          <w:tcPr>
            <w:tcW w:w="1170" w:type="dxa"/>
            <w:shd w:val="clear" w:color="auto" w:fill="auto"/>
          </w:tcPr>
          <w:p w:rsidR="007234DD" w:rsidRDefault="007234DD">
            <w:pPr>
              <w:pStyle w:val="a5"/>
              <w:spacing w:line="210" w:lineRule="exact"/>
            </w:pPr>
            <w:r>
              <w:rPr>
                <w:rFonts w:hint="eastAsia"/>
              </w:rPr>
              <w:t>药剂师和</w:t>
            </w:r>
            <w:r>
              <w:br/>
            </w:r>
            <w:r>
              <w:rPr>
                <w:rFonts w:hint="eastAsia"/>
              </w:rPr>
              <w:t>助理</w:t>
            </w:r>
          </w:p>
        </w:tc>
        <w:tc>
          <w:tcPr>
            <w:tcW w:w="520" w:type="dxa"/>
            <w:shd w:val="clear" w:color="auto" w:fill="auto"/>
          </w:tcPr>
          <w:p w:rsidR="007234DD" w:rsidRDefault="007234DD">
            <w:pPr>
              <w:pStyle w:val="a5"/>
              <w:spacing w:line="210" w:lineRule="exact"/>
              <w:ind w:right="0"/>
              <w:jc w:val="right"/>
            </w:pPr>
            <w:r>
              <w:t>5</w:t>
            </w:r>
          </w:p>
        </w:tc>
        <w:tc>
          <w:tcPr>
            <w:tcW w:w="780" w:type="dxa"/>
            <w:shd w:val="clear" w:color="auto" w:fill="auto"/>
          </w:tcPr>
          <w:p w:rsidR="007234DD" w:rsidRDefault="007234DD">
            <w:pPr>
              <w:pStyle w:val="a5"/>
              <w:spacing w:line="210" w:lineRule="exact"/>
              <w:ind w:right="0"/>
              <w:jc w:val="right"/>
            </w:pPr>
            <w:r>
              <w:t>38</w:t>
            </w:r>
          </w:p>
        </w:tc>
        <w:tc>
          <w:tcPr>
            <w:tcW w:w="650" w:type="dxa"/>
            <w:shd w:val="clear" w:color="auto" w:fill="auto"/>
          </w:tcPr>
          <w:p w:rsidR="007234DD" w:rsidRDefault="007234DD">
            <w:pPr>
              <w:pStyle w:val="a5"/>
              <w:spacing w:line="210" w:lineRule="exact"/>
              <w:ind w:right="0"/>
              <w:jc w:val="right"/>
              <w:rPr>
                <w:b/>
              </w:rPr>
            </w:pPr>
            <w:r>
              <w:rPr>
                <w:b/>
              </w:rPr>
              <w:t>43</w:t>
            </w:r>
          </w:p>
        </w:tc>
        <w:tc>
          <w:tcPr>
            <w:tcW w:w="910" w:type="dxa"/>
            <w:shd w:val="clear" w:color="auto" w:fill="auto"/>
          </w:tcPr>
          <w:p w:rsidR="007234DD" w:rsidRDefault="007234DD">
            <w:pPr>
              <w:pStyle w:val="a5"/>
              <w:spacing w:line="210" w:lineRule="exact"/>
              <w:ind w:right="0"/>
              <w:jc w:val="right"/>
            </w:pPr>
            <w:r>
              <w:t>8</w:t>
            </w:r>
          </w:p>
        </w:tc>
        <w:tc>
          <w:tcPr>
            <w:tcW w:w="780" w:type="dxa"/>
            <w:shd w:val="clear" w:color="auto" w:fill="auto"/>
          </w:tcPr>
          <w:p w:rsidR="007234DD" w:rsidRDefault="007234DD">
            <w:pPr>
              <w:pStyle w:val="a5"/>
              <w:spacing w:line="210" w:lineRule="exact"/>
              <w:ind w:right="0"/>
              <w:jc w:val="right"/>
            </w:pPr>
            <w:r>
              <w:t>300</w:t>
            </w:r>
          </w:p>
        </w:tc>
        <w:tc>
          <w:tcPr>
            <w:tcW w:w="650" w:type="dxa"/>
            <w:shd w:val="clear" w:color="auto" w:fill="auto"/>
          </w:tcPr>
          <w:p w:rsidR="007234DD" w:rsidRDefault="007234DD">
            <w:pPr>
              <w:pStyle w:val="a5"/>
              <w:spacing w:line="210" w:lineRule="exact"/>
              <w:ind w:right="0"/>
              <w:jc w:val="right"/>
            </w:pPr>
            <w:r>
              <w:t>214</w:t>
            </w:r>
          </w:p>
        </w:tc>
        <w:tc>
          <w:tcPr>
            <w:tcW w:w="650" w:type="dxa"/>
            <w:shd w:val="clear" w:color="auto" w:fill="auto"/>
          </w:tcPr>
          <w:p w:rsidR="007234DD" w:rsidRDefault="007234DD">
            <w:pPr>
              <w:pStyle w:val="a5"/>
              <w:spacing w:line="210" w:lineRule="exact"/>
              <w:ind w:right="0"/>
              <w:jc w:val="right"/>
              <w:rPr>
                <w:b/>
              </w:rPr>
            </w:pPr>
            <w:r>
              <w:rPr>
                <w:b/>
              </w:rPr>
              <w:t>514</w:t>
            </w:r>
          </w:p>
        </w:tc>
        <w:tc>
          <w:tcPr>
            <w:tcW w:w="898" w:type="dxa"/>
            <w:shd w:val="clear" w:color="auto" w:fill="auto"/>
          </w:tcPr>
          <w:p w:rsidR="007234DD" w:rsidRDefault="007234DD">
            <w:pPr>
              <w:pStyle w:val="a5"/>
              <w:spacing w:line="210" w:lineRule="exact"/>
              <w:ind w:right="0"/>
              <w:jc w:val="right"/>
            </w:pPr>
            <w:r>
              <w:t>92</w:t>
            </w:r>
          </w:p>
        </w:tc>
        <w:tc>
          <w:tcPr>
            <w:tcW w:w="746" w:type="dxa"/>
            <w:gridSpan w:val="2"/>
            <w:shd w:val="clear" w:color="auto" w:fill="auto"/>
          </w:tcPr>
          <w:p w:rsidR="007234DD" w:rsidRDefault="007234DD">
            <w:pPr>
              <w:pStyle w:val="a5"/>
              <w:spacing w:line="210" w:lineRule="exact"/>
              <w:ind w:right="0"/>
              <w:jc w:val="right"/>
              <w:rPr>
                <w:b/>
              </w:rPr>
            </w:pPr>
            <w:r>
              <w:rPr>
                <w:b/>
              </w:rPr>
              <w:t>305</w:t>
            </w:r>
          </w:p>
        </w:tc>
        <w:tc>
          <w:tcPr>
            <w:tcW w:w="746" w:type="dxa"/>
            <w:gridSpan w:val="2"/>
            <w:shd w:val="clear" w:color="auto" w:fill="auto"/>
          </w:tcPr>
          <w:p w:rsidR="007234DD" w:rsidRDefault="007234DD">
            <w:pPr>
              <w:pStyle w:val="a5"/>
              <w:spacing w:line="210" w:lineRule="exact"/>
              <w:ind w:right="0"/>
              <w:jc w:val="right"/>
              <w:rPr>
                <w:b/>
              </w:rPr>
            </w:pPr>
            <w:r>
              <w:rPr>
                <w:b/>
              </w:rPr>
              <w:t>252</w:t>
            </w:r>
          </w:p>
        </w:tc>
        <w:tc>
          <w:tcPr>
            <w:tcW w:w="747" w:type="dxa"/>
            <w:gridSpan w:val="2"/>
            <w:shd w:val="clear" w:color="auto" w:fill="auto"/>
          </w:tcPr>
          <w:p w:rsidR="007234DD" w:rsidRDefault="007234DD">
            <w:pPr>
              <w:pStyle w:val="a5"/>
              <w:spacing w:line="210" w:lineRule="exact"/>
              <w:ind w:right="0"/>
              <w:jc w:val="right"/>
              <w:rPr>
                <w:b/>
              </w:rPr>
            </w:pPr>
            <w:r>
              <w:rPr>
                <w:b/>
              </w:rPr>
              <w:t>557</w:t>
            </w:r>
          </w:p>
        </w:tc>
      </w:tr>
      <w:tr w:rsidR="007234DD">
        <w:trPr>
          <w:cantSplit/>
        </w:trPr>
        <w:tc>
          <w:tcPr>
            <w:tcW w:w="390" w:type="dxa"/>
            <w:shd w:val="clear" w:color="auto" w:fill="auto"/>
          </w:tcPr>
          <w:p w:rsidR="007234DD" w:rsidRDefault="007234DD">
            <w:pPr>
              <w:pStyle w:val="a5"/>
              <w:spacing w:line="210" w:lineRule="exact"/>
            </w:pPr>
            <w:r>
              <w:t>6</w:t>
            </w:r>
          </w:p>
        </w:tc>
        <w:tc>
          <w:tcPr>
            <w:tcW w:w="1170" w:type="dxa"/>
            <w:shd w:val="clear" w:color="auto" w:fill="auto"/>
          </w:tcPr>
          <w:p w:rsidR="007234DD" w:rsidRDefault="007234DD">
            <w:pPr>
              <w:pStyle w:val="a5"/>
              <w:spacing w:line="210" w:lineRule="exact"/>
            </w:pPr>
            <w:r>
              <w:rPr>
                <w:rFonts w:hint="eastAsia"/>
              </w:rPr>
              <w:t>放射技术员和技师</w:t>
            </w:r>
          </w:p>
        </w:tc>
        <w:tc>
          <w:tcPr>
            <w:tcW w:w="520" w:type="dxa"/>
            <w:shd w:val="clear" w:color="auto" w:fill="auto"/>
          </w:tcPr>
          <w:p w:rsidR="007234DD" w:rsidRDefault="007234DD">
            <w:pPr>
              <w:pStyle w:val="a5"/>
              <w:spacing w:line="210" w:lineRule="exact"/>
              <w:ind w:right="0"/>
              <w:jc w:val="right"/>
            </w:pPr>
            <w:r>
              <w:t>3</w:t>
            </w:r>
          </w:p>
        </w:tc>
        <w:tc>
          <w:tcPr>
            <w:tcW w:w="780" w:type="dxa"/>
            <w:shd w:val="clear" w:color="auto" w:fill="auto"/>
          </w:tcPr>
          <w:p w:rsidR="007234DD" w:rsidRDefault="007234DD">
            <w:pPr>
              <w:pStyle w:val="a5"/>
              <w:spacing w:line="210" w:lineRule="exact"/>
              <w:ind w:right="0"/>
              <w:jc w:val="right"/>
            </w:pPr>
            <w:r>
              <w:t>19</w:t>
            </w:r>
          </w:p>
        </w:tc>
        <w:tc>
          <w:tcPr>
            <w:tcW w:w="650" w:type="dxa"/>
            <w:shd w:val="clear" w:color="auto" w:fill="auto"/>
          </w:tcPr>
          <w:p w:rsidR="007234DD" w:rsidRDefault="007234DD">
            <w:pPr>
              <w:pStyle w:val="a5"/>
              <w:spacing w:line="210" w:lineRule="exact"/>
              <w:ind w:right="0"/>
              <w:jc w:val="right"/>
              <w:rPr>
                <w:b/>
              </w:rPr>
            </w:pPr>
            <w:r>
              <w:rPr>
                <w:b/>
              </w:rPr>
              <w:t>22</w:t>
            </w:r>
          </w:p>
        </w:tc>
        <w:tc>
          <w:tcPr>
            <w:tcW w:w="910" w:type="dxa"/>
            <w:shd w:val="clear" w:color="auto" w:fill="auto"/>
          </w:tcPr>
          <w:p w:rsidR="007234DD" w:rsidRDefault="007234DD">
            <w:pPr>
              <w:pStyle w:val="a5"/>
              <w:spacing w:line="210" w:lineRule="exact"/>
              <w:ind w:right="0"/>
              <w:jc w:val="right"/>
            </w:pPr>
            <w:r>
              <w:t>7</w:t>
            </w:r>
          </w:p>
        </w:tc>
        <w:tc>
          <w:tcPr>
            <w:tcW w:w="780" w:type="dxa"/>
            <w:shd w:val="clear" w:color="auto" w:fill="auto"/>
          </w:tcPr>
          <w:p w:rsidR="007234DD" w:rsidRDefault="007234DD">
            <w:pPr>
              <w:pStyle w:val="a5"/>
              <w:spacing w:line="210" w:lineRule="exact"/>
              <w:ind w:right="0"/>
              <w:jc w:val="right"/>
            </w:pPr>
            <w:r>
              <w:t>179</w:t>
            </w:r>
          </w:p>
        </w:tc>
        <w:tc>
          <w:tcPr>
            <w:tcW w:w="650" w:type="dxa"/>
            <w:shd w:val="clear" w:color="auto" w:fill="auto"/>
          </w:tcPr>
          <w:p w:rsidR="007234DD" w:rsidRDefault="007234DD">
            <w:pPr>
              <w:pStyle w:val="a5"/>
              <w:spacing w:line="210" w:lineRule="exact"/>
              <w:ind w:right="0"/>
              <w:jc w:val="right"/>
            </w:pPr>
            <w:r>
              <w:t>137</w:t>
            </w:r>
          </w:p>
        </w:tc>
        <w:tc>
          <w:tcPr>
            <w:tcW w:w="650" w:type="dxa"/>
            <w:shd w:val="clear" w:color="auto" w:fill="auto"/>
          </w:tcPr>
          <w:p w:rsidR="007234DD" w:rsidRDefault="007234DD">
            <w:pPr>
              <w:pStyle w:val="a5"/>
              <w:spacing w:line="210" w:lineRule="exact"/>
              <w:ind w:right="0"/>
              <w:jc w:val="right"/>
              <w:rPr>
                <w:b/>
              </w:rPr>
            </w:pPr>
            <w:r>
              <w:rPr>
                <w:b/>
              </w:rPr>
              <w:t>316</w:t>
            </w:r>
          </w:p>
        </w:tc>
        <w:tc>
          <w:tcPr>
            <w:tcW w:w="898" w:type="dxa"/>
            <w:shd w:val="clear" w:color="auto" w:fill="auto"/>
          </w:tcPr>
          <w:p w:rsidR="007234DD" w:rsidRDefault="007234DD">
            <w:pPr>
              <w:pStyle w:val="a5"/>
              <w:spacing w:line="210" w:lineRule="exact"/>
              <w:ind w:right="0"/>
              <w:jc w:val="right"/>
            </w:pPr>
            <w:r>
              <w:t>93</w:t>
            </w:r>
          </w:p>
        </w:tc>
        <w:tc>
          <w:tcPr>
            <w:tcW w:w="746" w:type="dxa"/>
            <w:gridSpan w:val="2"/>
            <w:shd w:val="clear" w:color="auto" w:fill="auto"/>
          </w:tcPr>
          <w:p w:rsidR="007234DD" w:rsidRDefault="007234DD">
            <w:pPr>
              <w:pStyle w:val="a5"/>
              <w:spacing w:line="210" w:lineRule="exact"/>
              <w:ind w:right="0"/>
              <w:jc w:val="right"/>
              <w:rPr>
                <w:b/>
              </w:rPr>
            </w:pPr>
            <w:r>
              <w:rPr>
                <w:b/>
              </w:rPr>
              <w:t>182</w:t>
            </w:r>
          </w:p>
        </w:tc>
        <w:tc>
          <w:tcPr>
            <w:tcW w:w="746" w:type="dxa"/>
            <w:gridSpan w:val="2"/>
            <w:shd w:val="clear" w:color="auto" w:fill="auto"/>
          </w:tcPr>
          <w:p w:rsidR="007234DD" w:rsidRDefault="007234DD">
            <w:pPr>
              <w:pStyle w:val="a5"/>
              <w:spacing w:line="210" w:lineRule="exact"/>
              <w:ind w:right="0"/>
              <w:jc w:val="right"/>
              <w:rPr>
                <w:b/>
              </w:rPr>
            </w:pPr>
            <w:r>
              <w:rPr>
                <w:b/>
              </w:rPr>
              <w:t>156</w:t>
            </w:r>
          </w:p>
        </w:tc>
        <w:tc>
          <w:tcPr>
            <w:tcW w:w="747" w:type="dxa"/>
            <w:gridSpan w:val="2"/>
            <w:shd w:val="clear" w:color="auto" w:fill="auto"/>
          </w:tcPr>
          <w:p w:rsidR="007234DD" w:rsidRDefault="007234DD">
            <w:pPr>
              <w:pStyle w:val="a5"/>
              <w:spacing w:line="210" w:lineRule="exact"/>
              <w:ind w:right="0"/>
              <w:jc w:val="right"/>
              <w:rPr>
                <w:b/>
              </w:rPr>
            </w:pPr>
            <w:r>
              <w:rPr>
                <w:b/>
              </w:rPr>
              <w:t>338</w:t>
            </w:r>
          </w:p>
        </w:tc>
      </w:tr>
      <w:tr w:rsidR="007234DD">
        <w:trPr>
          <w:cantSplit/>
        </w:trPr>
        <w:tc>
          <w:tcPr>
            <w:tcW w:w="390" w:type="dxa"/>
            <w:shd w:val="clear" w:color="auto" w:fill="auto"/>
          </w:tcPr>
          <w:p w:rsidR="007234DD" w:rsidRDefault="007234DD">
            <w:pPr>
              <w:pStyle w:val="a5"/>
              <w:spacing w:line="210" w:lineRule="exact"/>
            </w:pPr>
            <w:r>
              <w:t>7</w:t>
            </w:r>
          </w:p>
        </w:tc>
        <w:tc>
          <w:tcPr>
            <w:tcW w:w="1170" w:type="dxa"/>
            <w:shd w:val="clear" w:color="auto" w:fill="auto"/>
          </w:tcPr>
          <w:p w:rsidR="007234DD" w:rsidRDefault="007234DD">
            <w:pPr>
              <w:pStyle w:val="a5"/>
              <w:spacing w:line="210" w:lineRule="exact"/>
              <w:rPr>
                <w:rFonts w:hint="eastAsia"/>
              </w:rPr>
            </w:pPr>
            <w:r>
              <w:rPr>
                <w:rFonts w:hint="eastAsia"/>
              </w:rPr>
              <w:t>物理治疗师和助手</w:t>
            </w:r>
          </w:p>
        </w:tc>
        <w:tc>
          <w:tcPr>
            <w:tcW w:w="520" w:type="dxa"/>
            <w:shd w:val="clear" w:color="auto" w:fill="auto"/>
          </w:tcPr>
          <w:p w:rsidR="007234DD" w:rsidRDefault="007234DD">
            <w:pPr>
              <w:pStyle w:val="a5"/>
              <w:spacing w:line="210" w:lineRule="exact"/>
              <w:ind w:right="0"/>
              <w:jc w:val="right"/>
            </w:pPr>
            <w:r>
              <w:t>1</w:t>
            </w:r>
          </w:p>
        </w:tc>
        <w:tc>
          <w:tcPr>
            <w:tcW w:w="780" w:type="dxa"/>
            <w:shd w:val="clear" w:color="auto" w:fill="auto"/>
          </w:tcPr>
          <w:p w:rsidR="007234DD" w:rsidRDefault="007234DD">
            <w:pPr>
              <w:pStyle w:val="a5"/>
              <w:spacing w:line="210" w:lineRule="exact"/>
              <w:ind w:right="0"/>
              <w:jc w:val="right"/>
            </w:pPr>
            <w:r>
              <w:t>11</w:t>
            </w:r>
          </w:p>
        </w:tc>
        <w:tc>
          <w:tcPr>
            <w:tcW w:w="650" w:type="dxa"/>
            <w:shd w:val="clear" w:color="auto" w:fill="auto"/>
          </w:tcPr>
          <w:p w:rsidR="007234DD" w:rsidRDefault="007234DD">
            <w:pPr>
              <w:pStyle w:val="a5"/>
              <w:spacing w:line="210" w:lineRule="exact"/>
              <w:ind w:right="0"/>
              <w:jc w:val="right"/>
              <w:rPr>
                <w:b/>
              </w:rPr>
            </w:pPr>
            <w:r>
              <w:rPr>
                <w:b/>
              </w:rPr>
              <w:t>12</w:t>
            </w:r>
          </w:p>
        </w:tc>
        <w:tc>
          <w:tcPr>
            <w:tcW w:w="910" w:type="dxa"/>
            <w:shd w:val="clear" w:color="auto" w:fill="auto"/>
          </w:tcPr>
          <w:p w:rsidR="007234DD" w:rsidRDefault="007234DD">
            <w:pPr>
              <w:pStyle w:val="a5"/>
              <w:spacing w:line="210" w:lineRule="exact"/>
              <w:ind w:right="0"/>
              <w:jc w:val="right"/>
            </w:pPr>
            <w:r>
              <w:t>9</w:t>
            </w:r>
          </w:p>
        </w:tc>
        <w:tc>
          <w:tcPr>
            <w:tcW w:w="780" w:type="dxa"/>
            <w:shd w:val="clear" w:color="auto" w:fill="auto"/>
          </w:tcPr>
          <w:p w:rsidR="007234DD" w:rsidRDefault="007234DD">
            <w:pPr>
              <w:pStyle w:val="a5"/>
              <w:spacing w:line="210" w:lineRule="exact"/>
              <w:ind w:right="0"/>
              <w:jc w:val="right"/>
            </w:pPr>
            <w:r>
              <w:t>73</w:t>
            </w:r>
          </w:p>
        </w:tc>
        <w:tc>
          <w:tcPr>
            <w:tcW w:w="650" w:type="dxa"/>
            <w:shd w:val="clear" w:color="auto" w:fill="auto"/>
          </w:tcPr>
          <w:p w:rsidR="007234DD" w:rsidRDefault="007234DD">
            <w:pPr>
              <w:pStyle w:val="a5"/>
              <w:spacing w:line="210" w:lineRule="exact"/>
              <w:ind w:right="0"/>
              <w:jc w:val="right"/>
            </w:pPr>
            <w:r>
              <w:t>54</w:t>
            </w:r>
          </w:p>
        </w:tc>
        <w:tc>
          <w:tcPr>
            <w:tcW w:w="650" w:type="dxa"/>
            <w:shd w:val="clear" w:color="auto" w:fill="auto"/>
          </w:tcPr>
          <w:p w:rsidR="007234DD" w:rsidRDefault="007234DD">
            <w:pPr>
              <w:pStyle w:val="a5"/>
              <w:spacing w:line="210" w:lineRule="exact"/>
              <w:ind w:right="0"/>
              <w:jc w:val="right"/>
              <w:rPr>
                <w:b/>
              </w:rPr>
            </w:pPr>
            <w:r>
              <w:rPr>
                <w:b/>
              </w:rPr>
              <w:t>127</w:t>
            </w:r>
          </w:p>
        </w:tc>
        <w:tc>
          <w:tcPr>
            <w:tcW w:w="898" w:type="dxa"/>
            <w:shd w:val="clear" w:color="auto" w:fill="auto"/>
          </w:tcPr>
          <w:p w:rsidR="007234DD" w:rsidRDefault="007234DD">
            <w:pPr>
              <w:pStyle w:val="a5"/>
              <w:spacing w:line="210" w:lineRule="exact"/>
              <w:ind w:right="0"/>
              <w:jc w:val="right"/>
            </w:pPr>
            <w:r>
              <w:t>91</w:t>
            </w:r>
          </w:p>
        </w:tc>
        <w:tc>
          <w:tcPr>
            <w:tcW w:w="746" w:type="dxa"/>
            <w:gridSpan w:val="2"/>
            <w:shd w:val="clear" w:color="auto" w:fill="auto"/>
          </w:tcPr>
          <w:p w:rsidR="007234DD" w:rsidRDefault="007234DD">
            <w:pPr>
              <w:pStyle w:val="a5"/>
              <w:spacing w:line="210" w:lineRule="exact"/>
              <w:ind w:right="0"/>
              <w:jc w:val="right"/>
              <w:rPr>
                <w:b/>
              </w:rPr>
            </w:pPr>
            <w:r>
              <w:rPr>
                <w:b/>
              </w:rPr>
              <w:t>74</w:t>
            </w:r>
          </w:p>
        </w:tc>
        <w:tc>
          <w:tcPr>
            <w:tcW w:w="746" w:type="dxa"/>
            <w:gridSpan w:val="2"/>
            <w:shd w:val="clear" w:color="auto" w:fill="auto"/>
          </w:tcPr>
          <w:p w:rsidR="007234DD" w:rsidRDefault="007234DD">
            <w:pPr>
              <w:pStyle w:val="a5"/>
              <w:spacing w:line="210" w:lineRule="exact"/>
              <w:ind w:right="0"/>
              <w:jc w:val="right"/>
              <w:rPr>
                <w:b/>
              </w:rPr>
            </w:pPr>
            <w:r>
              <w:rPr>
                <w:b/>
              </w:rPr>
              <w:t>65</w:t>
            </w:r>
          </w:p>
        </w:tc>
        <w:tc>
          <w:tcPr>
            <w:tcW w:w="747" w:type="dxa"/>
            <w:gridSpan w:val="2"/>
            <w:shd w:val="clear" w:color="auto" w:fill="auto"/>
          </w:tcPr>
          <w:p w:rsidR="007234DD" w:rsidRDefault="007234DD">
            <w:pPr>
              <w:pStyle w:val="a5"/>
              <w:spacing w:line="210" w:lineRule="exact"/>
              <w:ind w:right="0"/>
              <w:jc w:val="right"/>
              <w:rPr>
                <w:b/>
              </w:rPr>
            </w:pPr>
            <w:r>
              <w:rPr>
                <w:b/>
              </w:rPr>
              <w:t>139</w:t>
            </w:r>
          </w:p>
        </w:tc>
      </w:tr>
      <w:tr w:rsidR="007234DD">
        <w:trPr>
          <w:cantSplit/>
        </w:trPr>
        <w:tc>
          <w:tcPr>
            <w:tcW w:w="390" w:type="dxa"/>
            <w:shd w:val="clear" w:color="auto" w:fill="auto"/>
          </w:tcPr>
          <w:p w:rsidR="007234DD" w:rsidRDefault="007234DD">
            <w:pPr>
              <w:pStyle w:val="a5"/>
              <w:spacing w:line="210" w:lineRule="exact"/>
            </w:pPr>
            <w:r>
              <w:t>8</w:t>
            </w:r>
          </w:p>
        </w:tc>
        <w:tc>
          <w:tcPr>
            <w:tcW w:w="1170" w:type="dxa"/>
            <w:shd w:val="clear" w:color="auto" w:fill="auto"/>
          </w:tcPr>
          <w:p w:rsidR="007234DD" w:rsidRDefault="007234DD">
            <w:pPr>
              <w:pStyle w:val="a5"/>
              <w:spacing w:line="210" w:lineRule="exact"/>
              <w:rPr>
                <w:rFonts w:hint="eastAsia"/>
              </w:rPr>
            </w:pPr>
            <w:r>
              <w:rPr>
                <w:rFonts w:hint="eastAsia"/>
              </w:rPr>
              <w:t>牙科技师</w:t>
            </w:r>
          </w:p>
        </w:tc>
        <w:tc>
          <w:tcPr>
            <w:tcW w:w="520" w:type="dxa"/>
            <w:shd w:val="clear" w:color="auto" w:fill="auto"/>
          </w:tcPr>
          <w:p w:rsidR="007234DD" w:rsidRDefault="007234DD">
            <w:pPr>
              <w:pStyle w:val="a5"/>
              <w:spacing w:line="210" w:lineRule="exact"/>
              <w:ind w:right="0"/>
              <w:jc w:val="right"/>
            </w:pPr>
            <w:r>
              <w:t>1</w:t>
            </w:r>
          </w:p>
        </w:tc>
        <w:tc>
          <w:tcPr>
            <w:tcW w:w="780" w:type="dxa"/>
            <w:shd w:val="clear" w:color="auto" w:fill="auto"/>
          </w:tcPr>
          <w:p w:rsidR="007234DD" w:rsidRDefault="007234DD">
            <w:pPr>
              <w:pStyle w:val="a5"/>
              <w:spacing w:line="210" w:lineRule="exact"/>
              <w:ind w:right="0"/>
              <w:jc w:val="right"/>
            </w:pPr>
            <w:r>
              <w:t>4</w:t>
            </w:r>
          </w:p>
        </w:tc>
        <w:tc>
          <w:tcPr>
            <w:tcW w:w="650" w:type="dxa"/>
            <w:shd w:val="clear" w:color="auto" w:fill="auto"/>
          </w:tcPr>
          <w:p w:rsidR="007234DD" w:rsidRDefault="007234DD">
            <w:pPr>
              <w:pStyle w:val="a5"/>
              <w:spacing w:line="210" w:lineRule="exact"/>
              <w:ind w:right="0"/>
              <w:jc w:val="right"/>
              <w:rPr>
                <w:b/>
              </w:rPr>
            </w:pPr>
            <w:r>
              <w:rPr>
                <w:b/>
              </w:rPr>
              <w:t>5</w:t>
            </w:r>
          </w:p>
        </w:tc>
        <w:tc>
          <w:tcPr>
            <w:tcW w:w="910" w:type="dxa"/>
            <w:shd w:val="clear" w:color="auto" w:fill="auto"/>
          </w:tcPr>
          <w:p w:rsidR="007234DD" w:rsidRDefault="007234DD">
            <w:pPr>
              <w:pStyle w:val="a5"/>
              <w:spacing w:line="210" w:lineRule="exact"/>
              <w:ind w:right="0"/>
              <w:jc w:val="right"/>
            </w:pPr>
            <w:r>
              <w:t>3</w:t>
            </w:r>
          </w:p>
        </w:tc>
        <w:tc>
          <w:tcPr>
            <w:tcW w:w="780" w:type="dxa"/>
            <w:shd w:val="clear" w:color="auto" w:fill="auto"/>
          </w:tcPr>
          <w:p w:rsidR="007234DD" w:rsidRDefault="007234DD">
            <w:pPr>
              <w:pStyle w:val="a5"/>
              <w:spacing w:line="210" w:lineRule="exact"/>
              <w:ind w:right="0"/>
              <w:jc w:val="right"/>
            </w:pPr>
            <w:r>
              <w:t>59</w:t>
            </w:r>
          </w:p>
        </w:tc>
        <w:tc>
          <w:tcPr>
            <w:tcW w:w="650" w:type="dxa"/>
            <w:shd w:val="clear" w:color="auto" w:fill="auto"/>
          </w:tcPr>
          <w:p w:rsidR="007234DD" w:rsidRDefault="007234DD">
            <w:pPr>
              <w:pStyle w:val="a5"/>
              <w:spacing w:line="210" w:lineRule="exact"/>
              <w:ind w:right="0"/>
              <w:jc w:val="right"/>
            </w:pPr>
            <w:r>
              <w:t>110</w:t>
            </w:r>
          </w:p>
        </w:tc>
        <w:tc>
          <w:tcPr>
            <w:tcW w:w="650" w:type="dxa"/>
            <w:shd w:val="clear" w:color="auto" w:fill="auto"/>
          </w:tcPr>
          <w:p w:rsidR="007234DD" w:rsidRDefault="007234DD">
            <w:pPr>
              <w:pStyle w:val="a5"/>
              <w:spacing w:line="210" w:lineRule="exact"/>
              <w:ind w:right="0"/>
              <w:jc w:val="right"/>
              <w:rPr>
                <w:b/>
              </w:rPr>
            </w:pPr>
            <w:r>
              <w:rPr>
                <w:b/>
              </w:rPr>
              <w:t>169</w:t>
            </w:r>
          </w:p>
        </w:tc>
        <w:tc>
          <w:tcPr>
            <w:tcW w:w="898" w:type="dxa"/>
            <w:shd w:val="clear" w:color="auto" w:fill="auto"/>
          </w:tcPr>
          <w:p w:rsidR="007234DD" w:rsidRDefault="007234DD">
            <w:pPr>
              <w:pStyle w:val="a5"/>
              <w:spacing w:line="210" w:lineRule="exact"/>
              <w:ind w:right="0"/>
              <w:jc w:val="right"/>
            </w:pPr>
            <w:r>
              <w:t>97</w:t>
            </w:r>
          </w:p>
        </w:tc>
        <w:tc>
          <w:tcPr>
            <w:tcW w:w="746" w:type="dxa"/>
            <w:gridSpan w:val="2"/>
            <w:shd w:val="clear" w:color="auto" w:fill="auto"/>
          </w:tcPr>
          <w:p w:rsidR="007234DD" w:rsidRDefault="007234DD">
            <w:pPr>
              <w:pStyle w:val="a5"/>
              <w:spacing w:line="210" w:lineRule="exact"/>
              <w:ind w:right="0"/>
              <w:jc w:val="right"/>
              <w:rPr>
                <w:b/>
              </w:rPr>
            </w:pPr>
            <w:r>
              <w:rPr>
                <w:b/>
              </w:rPr>
              <w:t>60</w:t>
            </w:r>
          </w:p>
        </w:tc>
        <w:tc>
          <w:tcPr>
            <w:tcW w:w="746" w:type="dxa"/>
            <w:gridSpan w:val="2"/>
            <w:shd w:val="clear" w:color="auto" w:fill="auto"/>
          </w:tcPr>
          <w:p w:rsidR="007234DD" w:rsidRDefault="007234DD">
            <w:pPr>
              <w:pStyle w:val="a5"/>
              <w:spacing w:line="210" w:lineRule="exact"/>
              <w:ind w:right="0"/>
              <w:jc w:val="right"/>
              <w:rPr>
                <w:b/>
              </w:rPr>
            </w:pPr>
            <w:r>
              <w:rPr>
                <w:b/>
              </w:rPr>
              <w:t>114</w:t>
            </w:r>
          </w:p>
        </w:tc>
        <w:tc>
          <w:tcPr>
            <w:tcW w:w="747" w:type="dxa"/>
            <w:gridSpan w:val="2"/>
            <w:shd w:val="clear" w:color="auto" w:fill="auto"/>
          </w:tcPr>
          <w:p w:rsidR="007234DD" w:rsidRDefault="007234DD">
            <w:pPr>
              <w:pStyle w:val="a5"/>
              <w:spacing w:line="210" w:lineRule="exact"/>
              <w:ind w:right="0"/>
              <w:jc w:val="right"/>
              <w:rPr>
                <w:b/>
              </w:rPr>
            </w:pPr>
            <w:r>
              <w:rPr>
                <w:b/>
              </w:rPr>
              <w:t>174</w:t>
            </w:r>
          </w:p>
        </w:tc>
      </w:tr>
      <w:tr w:rsidR="007234DD">
        <w:trPr>
          <w:cantSplit/>
        </w:trPr>
        <w:tc>
          <w:tcPr>
            <w:tcW w:w="390" w:type="dxa"/>
            <w:shd w:val="clear" w:color="auto" w:fill="auto"/>
          </w:tcPr>
          <w:p w:rsidR="007234DD" w:rsidRDefault="007234DD">
            <w:pPr>
              <w:pStyle w:val="a5"/>
              <w:spacing w:line="210" w:lineRule="exact"/>
            </w:pPr>
            <w:r>
              <w:t>9</w:t>
            </w:r>
          </w:p>
        </w:tc>
        <w:tc>
          <w:tcPr>
            <w:tcW w:w="1170" w:type="dxa"/>
            <w:shd w:val="clear" w:color="auto" w:fill="auto"/>
          </w:tcPr>
          <w:p w:rsidR="007234DD" w:rsidRDefault="007234DD">
            <w:pPr>
              <w:pStyle w:val="a5"/>
              <w:spacing w:line="210" w:lineRule="exact"/>
            </w:pPr>
            <w:r>
              <w:rPr>
                <w:rFonts w:hint="eastAsia"/>
              </w:rPr>
              <w:t>呼吸治疗师和助手</w:t>
            </w:r>
          </w:p>
        </w:tc>
        <w:tc>
          <w:tcPr>
            <w:tcW w:w="520" w:type="dxa"/>
            <w:shd w:val="clear" w:color="auto" w:fill="auto"/>
          </w:tcPr>
          <w:p w:rsidR="007234DD" w:rsidRDefault="007234DD">
            <w:pPr>
              <w:pStyle w:val="a5"/>
              <w:spacing w:line="210" w:lineRule="exact"/>
              <w:ind w:right="0"/>
              <w:jc w:val="right"/>
            </w:pPr>
            <w:r>
              <w:t>3</w:t>
            </w:r>
          </w:p>
        </w:tc>
        <w:tc>
          <w:tcPr>
            <w:tcW w:w="780" w:type="dxa"/>
            <w:shd w:val="clear" w:color="auto" w:fill="auto"/>
          </w:tcPr>
          <w:p w:rsidR="007234DD" w:rsidRDefault="007234DD">
            <w:pPr>
              <w:pStyle w:val="a5"/>
              <w:spacing w:line="210" w:lineRule="exact"/>
              <w:ind w:right="0"/>
              <w:jc w:val="right"/>
            </w:pPr>
            <w:r>
              <w:t>9</w:t>
            </w:r>
          </w:p>
        </w:tc>
        <w:tc>
          <w:tcPr>
            <w:tcW w:w="650" w:type="dxa"/>
            <w:shd w:val="clear" w:color="auto" w:fill="auto"/>
          </w:tcPr>
          <w:p w:rsidR="007234DD" w:rsidRDefault="007234DD">
            <w:pPr>
              <w:pStyle w:val="a5"/>
              <w:spacing w:line="210" w:lineRule="exact"/>
              <w:ind w:right="0"/>
              <w:jc w:val="right"/>
              <w:rPr>
                <w:b/>
              </w:rPr>
            </w:pPr>
            <w:r>
              <w:rPr>
                <w:b/>
              </w:rPr>
              <w:t>12</w:t>
            </w:r>
          </w:p>
        </w:tc>
        <w:tc>
          <w:tcPr>
            <w:tcW w:w="910" w:type="dxa"/>
            <w:shd w:val="clear" w:color="auto" w:fill="auto"/>
          </w:tcPr>
          <w:p w:rsidR="007234DD" w:rsidRDefault="007234DD">
            <w:pPr>
              <w:pStyle w:val="a5"/>
              <w:spacing w:line="210" w:lineRule="exact"/>
              <w:ind w:right="0"/>
              <w:jc w:val="right"/>
            </w:pPr>
            <w:r>
              <w:t>15</w:t>
            </w:r>
          </w:p>
        </w:tc>
        <w:tc>
          <w:tcPr>
            <w:tcW w:w="780" w:type="dxa"/>
            <w:shd w:val="clear" w:color="auto" w:fill="auto"/>
          </w:tcPr>
          <w:p w:rsidR="007234DD" w:rsidRDefault="007234DD">
            <w:pPr>
              <w:pStyle w:val="a5"/>
              <w:spacing w:line="210" w:lineRule="exact"/>
              <w:ind w:right="0"/>
              <w:jc w:val="right"/>
            </w:pPr>
            <w:r>
              <w:t>43</w:t>
            </w:r>
          </w:p>
        </w:tc>
        <w:tc>
          <w:tcPr>
            <w:tcW w:w="650" w:type="dxa"/>
            <w:shd w:val="clear" w:color="auto" w:fill="auto"/>
          </w:tcPr>
          <w:p w:rsidR="007234DD" w:rsidRDefault="007234DD">
            <w:pPr>
              <w:pStyle w:val="a5"/>
              <w:spacing w:line="210" w:lineRule="exact"/>
              <w:ind w:right="0"/>
              <w:jc w:val="right"/>
            </w:pPr>
            <w:r>
              <w:t>27</w:t>
            </w:r>
          </w:p>
        </w:tc>
        <w:tc>
          <w:tcPr>
            <w:tcW w:w="650" w:type="dxa"/>
            <w:shd w:val="clear" w:color="auto" w:fill="auto"/>
          </w:tcPr>
          <w:p w:rsidR="007234DD" w:rsidRDefault="007234DD">
            <w:pPr>
              <w:pStyle w:val="a5"/>
              <w:spacing w:line="210" w:lineRule="exact"/>
              <w:ind w:right="0"/>
              <w:jc w:val="right"/>
              <w:rPr>
                <w:b/>
              </w:rPr>
            </w:pPr>
            <w:r>
              <w:rPr>
                <w:b/>
              </w:rPr>
              <w:t>70</w:t>
            </w:r>
          </w:p>
        </w:tc>
        <w:tc>
          <w:tcPr>
            <w:tcW w:w="898" w:type="dxa"/>
            <w:shd w:val="clear" w:color="auto" w:fill="auto"/>
          </w:tcPr>
          <w:p w:rsidR="007234DD" w:rsidRDefault="007234DD">
            <w:pPr>
              <w:pStyle w:val="a5"/>
              <w:spacing w:line="210" w:lineRule="exact"/>
              <w:ind w:right="0"/>
              <w:jc w:val="right"/>
            </w:pPr>
            <w:r>
              <w:t>85</w:t>
            </w:r>
          </w:p>
        </w:tc>
        <w:tc>
          <w:tcPr>
            <w:tcW w:w="746" w:type="dxa"/>
            <w:gridSpan w:val="2"/>
            <w:shd w:val="clear" w:color="auto" w:fill="auto"/>
          </w:tcPr>
          <w:p w:rsidR="007234DD" w:rsidRDefault="007234DD">
            <w:pPr>
              <w:pStyle w:val="a5"/>
              <w:spacing w:line="210" w:lineRule="exact"/>
              <w:ind w:right="0"/>
              <w:jc w:val="right"/>
              <w:rPr>
                <w:b/>
              </w:rPr>
            </w:pPr>
            <w:r>
              <w:rPr>
                <w:b/>
              </w:rPr>
              <w:t>46</w:t>
            </w:r>
          </w:p>
        </w:tc>
        <w:tc>
          <w:tcPr>
            <w:tcW w:w="746" w:type="dxa"/>
            <w:gridSpan w:val="2"/>
            <w:shd w:val="clear" w:color="auto" w:fill="auto"/>
          </w:tcPr>
          <w:p w:rsidR="007234DD" w:rsidRDefault="007234DD">
            <w:pPr>
              <w:pStyle w:val="a5"/>
              <w:spacing w:line="210" w:lineRule="exact"/>
              <w:ind w:right="0"/>
              <w:jc w:val="right"/>
              <w:rPr>
                <w:b/>
              </w:rPr>
            </w:pPr>
            <w:r>
              <w:rPr>
                <w:b/>
              </w:rPr>
              <w:t>36</w:t>
            </w:r>
          </w:p>
        </w:tc>
        <w:tc>
          <w:tcPr>
            <w:tcW w:w="747" w:type="dxa"/>
            <w:gridSpan w:val="2"/>
            <w:shd w:val="clear" w:color="auto" w:fill="auto"/>
          </w:tcPr>
          <w:p w:rsidR="007234DD" w:rsidRDefault="007234DD">
            <w:pPr>
              <w:pStyle w:val="a5"/>
              <w:spacing w:line="210" w:lineRule="exact"/>
              <w:ind w:right="0"/>
              <w:jc w:val="right"/>
              <w:rPr>
                <w:b/>
              </w:rPr>
            </w:pPr>
            <w:r>
              <w:rPr>
                <w:b/>
              </w:rPr>
              <w:t>82</w:t>
            </w:r>
          </w:p>
        </w:tc>
      </w:tr>
      <w:tr w:rsidR="007234DD">
        <w:trPr>
          <w:cantSplit/>
        </w:trPr>
        <w:tc>
          <w:tcPr>
            <w:tcW w:w="390" w:type="dxa"/>
            <w:shd w:val="clear" w:color="auto" w:fill="auto"/>
          </w:tcPr>
          <w:p w:rsidR="007234DD" w:rsidRDefault="007234DD">
            <w:pPr>
              <w:pStyle w:val="a5"/>
              <w:spacing w:line="210" w:lineRule="exact"/>
            </w:pPr>
            <w:r>
              <w:t>10</w:t>
            </w:r>
          </w:p>
        </w:tc>
        <w:tc>
          <w:tcPr>
            <w:tcW w:w="1170" w:type="dxa"/>
            <w:shd w:val="clear" w:color="auto" w:fill="auto"/>
          </w:tcPr>
          <w:p w:rsidR="007234DD" w:rsidRDefault="007234DD">
            <w:pPr>
              <w:pStyle w:val="a5"/>
              <w:spacing w:line="210" w:lineRule="exact"/>
            </w:pPr>
            <w:r>
              <w:rPr>
                <w:rFonts w:hint="eastAsia"/>
              </w:rPr>
              <w:t>职业治疗师和助手</w:t>
            </w:r>
          </w:p>
        </w:tc>
        <w:tc>
          <w:tcPr>
            <w:tcW w:w="520" w:type="dxa"/>
            <w:shd w:val="clear" w:color="auto" w:fill="auto"/>
          </w:tcPr>
          <w:p w:rsidR="007234DD" w:rsidRDefault="007234DD">
            <w:pPr>
              <w:pStyle w:val="a5"/>
              <w:spacing w:line="210" w:lineRule="exact"/>
              <w:ind w:right="0"/>
              <w:jc w:val="right"/>
            </w:pPr>
            <w:r>
              <w:t>3</w:t>
            </w:r>
          </w:p>
        </w:tc>
        <w:tc>
          <w:tcPr>
            <w:tcW w:w="780" w:type="dxa"/>
            <w:shd w:val="clear" w:color="auto" w:fill="auto"/>
          </w:tcPr>
          <w:p w:rsidR="007234DD" w:rsidRDefault="007234DD">
            <w:pPr>
              <w:pStyle w:val="a5"/>
              <w:spacing w:line="210" w:lineRule="exact"/>
              <w:ind w:right="0"/>
              <w:jc w:val="right"/>
            </w:pPr>
            <w:r>
              <w:t>5</w:t>
            </w:r>
          </w:p>
        </w:tc>
        <w:tc>
          <w:tcPr>
            <w:tcW w:w="650" w:type="dxa"/>
            <w:shd w:val="clear" w:color="auto" w:fill="auto"/>
          </w:tcPr>
          <w:p w:rsidR="007234DD" w:rsidRDefault="007234DD">
            <w:pPr>
              <w:pStyle w:val="a5"/>
              <w:spacing w:line="210" w:lineRule="exact"/>
              <w:ind w:right="0"/>
              <w:jc w:val="right"/>
              <w:rPr>
                <w:b/>
              </w:rPr>
            </w:pPr>
            <w:r>
              <w:rPr>
                <w:b/>
              </w:rPr>
              <w:t>8</w:t>
            </w:r>
          </w:p>
        </w:tc>
        <w:tc>
          <w:tcPr>
            <w:tcW w:w="910" w:type="dxa"/>
            <w:shd w:val="clear" w:color="auto" w:fill="auto"/>
          </w:tcPr>
          <w:p w:rsidR="007234DD" w:rsidRDefault="007234DD">
            <w:pPr>
              <w:pStyle w:val="a5"/>
              <w:spacing w:line="210" w:lineRule="exact"/>
              <w:ind w:right="0"/>
              <w:jc w:val="right"/>
            </w:pPr>
            <w:r>
              <w:t>11</w:t>
            </w:r>
          </w:p>
        </w:tc>
        <w:tc>
          <w:tcPr>
            <w:tcW w:w="780" w:type="dxa"/>
            <w:shd w:val="clear" w:color="auto" w:fill="auto"/>
          </w:tcPr>
          <w:p w:rsidR="007234DD" w:rsidRDefault="007234DD">
            <w:pPr>
              <w:pStyle w:val="a5"/>
              <w:spacing w:line="210" w:lineRule="exact"/>
              <w:ind w:right="0"/>
              <w:jc w:val="right"/>
            </w:pPr>
            <w:r>
              <w:t>32</w:t>
            </w:r>
          </w:p>
        </w:tc>
        <w:tc>
          <w:tcPr>
            <w:tcW w:w="650" w:type="dxa"/>
            <w:shd w:val="clear" w:color="auto" w:fill="auto"/>
          </w:tcPr>
          <w:p w:rsidR="007234DD" w:rsidRDefault="007234DD">
            <w:pPr>
              <w:pStyle w:val="a5"/>
              <w:spacing w:line="210" w:lineRule="exact"/>
              <w:ind w:right="0"/>
              <w:jc w:val="right"/>
            </w:pPr>
            <w:r>
              <w:t>31</w:t>
            </w:r>
          </w:p>
        </w:tc>
        <w:tc>
          <w:tcPr>
            <w:tcW w:w="650" w:type="dxa"/>
            <w:shd w:val="clear" w:color="auto" w:fill="auto"/>
          </w:tcPr>
          <w:p w:rsidR="007234DD" w:rsidRDefault="007234DD">
            <w:pPr>
              <w:pStyle w:val="a5"/>
              <w:spacing w:line="210" w:lineRule="exact"/>
              <w:ind w:right="0"/>
              <w:jc w:val="right"/>
              <w:rPr>
                <w:b/>
              </w:rPr>
            </w:pPr>
            <w:r>
              <w:rPr>
                <w:b/>
              </w:rPr>
              <w:t>63</w:t>
            </w:r>
          </w:p>
        </w:tc>
        <w:tc>
          <w:tcPr>
            <w:tcW w:w="898" w:type="dxa"/>
            <w:shd w:val="clear" w:color="auto" w:fill="auto"/>
          </w:tcPr>
          <w:p w:rsidR="007234DD" w:rsidRDefault="007234DD">
            <w:pPr>
              <w:pStyle w:val="a5"/>
              <w:spacing w:line="210" w:lineRule="exact"/>
              <w:ind w:right="0"/>
              <w:jc w:val="right"/>
            </w:pPr>
            <w:r>
              <w:t>89</w:t>
            </w:r>
          </w:p>
        </w:tc>
        <w:tc>
          <w:tcPr>
            <w:tcW w:w="746" w:type="dxa"/>
            <w:gridSpan w:val="2"/>
            <w:shd w:val="clear" w:color="auto" w:fill="auto"/>
          </w:tcPr>
          <w:p w:rsidR="007234DD" w:rsidRDefault="007234DD">
            <w:pPr>
              <w:pStyle w:val="a5"/>
              <w:spacing w:line="210" w:lineRule="exact"/>
              <w:ind w:right="0"/>
              <w:jc w:val="right"/>
              <w:rPr>
                <w:b/>
              </w:rPr>
            </w:pPr>
            <w:r>
              <w:rPr>
                <w:b/>
              </w:rPr>
              <w:t>35</w:t>
            </w:r>
          </w:p>
        </w:tc>
        <w:tc>
          <w:tcPr>
            <w:tcW w:w="746" w:type="dxa"/>
            <w:gridSpan w:val="2"/>
            <w:shd w:val="clear" w:color="auto" w:fill="auto"/>
          </w:tcPr>
          <w:p w:rsidR="007234DD" w:rsidRDefault="007234DD">
            <w:pPr>
              <w:pStyle w:val="a5"/>
              <w:spacing w:line="210" w:lineRule="exact"/>
              <w:ind w:right="0"/>
              <w:jc w:val="right"/>
              <w:rPr>
                <w:b/>
              </w:rPr>
            </w:pPr>
            <w:r>
              <w:rPr>
                <w:b/>
              </w:rPr>
              <w:t>36</w:t>
            </w:r>
          </w:p>
        </w:tc>
        <w:tc>
          <w:tcPr>
            <w:tcW w:w="747" w:type="dxa"/>
            <w:gridSpan w:val="2"/>
            <w:shd w:val="clear" w:color="auto" w:fill="auto"/>
          </w:tcPr>
          <w:p w:rsidR="007234DD" w:rsidRDefault="007234DD">
            <w:pPr>
              <w:pStyle w:val="a5"/>
              <w:spacing w:line="210" w:lineRule="exact"/>
              <w:ind w:right="0"/>
              <w:jc w:val="right"/>
              <w:rPr>
                <w:b/>
              </w:rPr>
            </w:pPr>
            <w:r>
              <w:rPr>
                <w:b/>
              </w:rPr>
              <w:t>71</w:t>
            </w:r>
          </w:p>
        </w:tc>
      </w:tr>
      <w:tr w:rsidR="007234DD">
        <w:trPr>
          <w:cantSplit/>
        </w:trPr>
        <w:tc>
          <w:tcPr>
            <w:tcW w:w="390" w:type="dxa"/>
            <w:shd w:val="clear" w:color="auto" w:fill="auto"/>
          </w:tcPr>
          <w:p w:rsidR="007234DD" w:rsidRDefault="007234DD">
            <w:pPr>
              <w:pStyle w:val="a5"/>
              <w:spacing w:line="210" w:lineRule="exact"/>
            </w:pPr>
            <w:r>
              <w:t>11</w:t>
            </w:r>
          </w:p>
        </w:tc>
        <w:tc>
          <w:tcPr>
            <w:tcW w:w="1170" w:type="dxa"/>
            <w:shd w:val="clear" w:color="auto" w:fill="auto"/>
          </w:tcPr>
          <w:p w:rsidR="007234DD" w:rsidRDefault="007234DD">
            <w:pPr>
              <w:pStyle w:val="a5"/>
              <w:spacing w:line="210" w:lineRule="exact"/>
            </w:pPr>
            <w:r>
              <w:rPr>
                <w:rFonts w:hint="eastAsia"/>
              </w:rPr>
              <w:t>麻醉技师</w:t>
            </w:r>
          </w:p>
        </w:tc>
        <w:tc>
          <w:tcPr>
            <w:tcW w:w="520" w:type="dxa"/>
            <w:shd w:val="clear" w:color="auto" w:fill="auto"/>
          </w:tcPr>
          <w:p w:rsidR="007234DD" w:rsidRDefault="007234DD">
            <w:pPr>
              <w:pStyle w:val="a5"/>
              <w:spacing w:line="210" w:lineRule="exact"/>
              <w:ind w:right="0"/>
              <w:jc w:val="right"/>
              <w:rPr>
                <w:rFonts w:hint="eastAsia"/>
              </w:rPr>
            </w:pPr>
            <w:r>
              <w:rPr>
                <w:rFonts w:hint="eastAsia"/>
              </w:rPr>
              <w:t>无</w:t>
            </w:r>
          </w:p>
        </w:tc>
        <w:tc>
          <w:tcPr>
            <w:tcW w:w="780" w:type="dxa"/>
            <w:shd w:val="clear" w:color="auto" w:fill="auto"/>
          </w:tcPr>
          <w:p w:rsidR="007234DD" w:rsidRDefault="007234DD">
            <w:pPr>
              <w:pStyle w:val="a5"/>
              <w:spacing w:line="210" w:lineRule="exact"/>
              <w:ind w:right="0"/>
              <w:jc w:val="right"/>
              <w:rPr>
                <w:rFonts w:hint="eastAsia"/>
              </w:rPr>
            </w:pPr>
            <w:r>
              <w:rPr>
                <w:rFonts w:hint="eastAsia"/>
              </w:rPr>
              <w:t>无</w:t>
            </w:r>
          </w:p>
        </w:tc>
        <w:tc>
          <w:tcPr>
            <w:tcW w:w="650" w:type="dxa"/>
            <w:shd w:val="clear" w:color="auto" w:fill="auto"/>
          </w:tcPr>
          <w:p w:rsidR="007234DD" w:rsidRDefault="007234DD">
            <w:pPr>
              <w:pStyle w:val="a5"/>
              <w:spacing w:line="210" w:lineRule="exact"/>
              <w:ind w:right="0"/>
              <w:jc w:val="right"/>
              <w:rPr>
                <w:rFonts w:hint="eastAsia"/>
                <w:b/>
              </w:rPr>
            </w:pPr>
            <w:r>
              <w:rPr>
                <w:rFonts w:hint="eastAsia"/>
                <w:b/>
              </w:rPr>
              <w:t>无</w:t>
            </w:r>
          </w:p>
        </w:tc>
        <w:tc>
          <w:tcPr>
            <w:tcW w:w="910" w:type="dxa"/>
            <w:shd w:val="clear" w:color="auto" w:fill="auto"/>
          </w:tcPr>
          <w:p w:rsidR="007234DD" w:rsidRDefault="007234DD">
            <w:pPr>
              <w:pStyle w:val="a5"/>
              <w:spacing w:line="210" w:lineRule="exact"/>
              <w:ind w:right="0"/>
              <w:jc w:val="right"/>
              <w:rPr>
                <w:rFonts w:hint="eastAsia"/>
              </w:rPr>
            </w:pPr>
            <w:r>
              <w:rPr>
                <w:rFonts w:hint="eastAsia"/>
              </w:rPr>
              <w:t>无</w:t>
            </w:r>
          </w:p>
        </w:tc>
        <w:tc>
          <w:tcPr>
            <w:tcW w:w="780" w:type="dxa"/>
            <w:shd w:val="clear" w:color="auto" w:fill="auto"/>
          </w:tcPr>
          <w:p w:rsidR="007234DD" w:rsidRDefault="007234DD">
            <w:pPr>
              <w:pStyle w:val="a5"/>
              <w:spacing w:line="210" w:lineRule="exact"/>
              <w:ind w:right="0"/>
              <w:jc w:val="right"/>
            </w:pPr>
            <w:r>
              <w:t>35</w:t>
            </w:r>
          </w:p>
        </w:tc>
        <w:tc>
          <w:tcPr>
            <w:tcW w:w="650" w:type="dxa"/>
            <w:shd w:val="clear" w:color="auto" w:fill="auto"/>
          </w:tcPr>
          <w:p w:rsidR="007234DD" w:rsidRDefault="007234DD">
            <w:pPr>
              <w:pStyle w:val="a5"/>
              <w:spacing w:line="210" w:lineRule="exact"/>
              <w:ind w:right="0"/>
              <w:jc w:val="right"/>
            </w:pPr>
            <w:r>
              <w:t>27</w:t>
            </w:r>
          </w:p>
        </w:tc>
        <w:tc>
          <w:tcPr>
            <w:tcW w:w="650" w:type="dxa"/>
            <w:shd w:val="clear" w:color="auto" w:fill="auto"/>
          </w:tcPr>
          <w:p w:rsidR="007234DD" w:rsidRDefault="007234DD">
            <w:pPr>
              <w:pStyle w:val="a5"/>
              <w:spacing w:line="210" w:lineRule="exact"/>
              <w:ind w:right="0"/>
              <w:jc w:val="right"/>
              <w:rPr>
                <w:b/>
              </w:rPr>
            </w:pPr>
            <w:r>
              <w:rPr>
                <w:b/>
              </w:rPr>
              <w:t>62</w:t>
            </w:r>
          </w:p>
        </w:tc>
        <w:tc>
          <w:tcPr>
            <w:tcW w:w="898" w:type="dxa"/>
            <w:shd w:val="clear" w:color="auto" w:fill="auto"/>
          </w:tcPr>
          <w:p w:rsidR="007234DD" w:rsidRDefault="007234DD">
            <w:pPr>
              <w:pStyle w:val="a5"/>
              <w:spacing w:line="210" w:lineRule="exact"/>
              <w:ind w:right="0"/>
              <w:jc w:val="right"/>
            </w:pPr>
            <w:r>
              <w:t>100</w:t>
            </w:r>
          </w:p>
        </w:tc>
        <w:tc>
          <w:tcPr>
            <w:tcW w:w="746" w:type="dxa"/>
            <w:gridSpan w:val="2"/>
            <w:shd w:val="clear" w:color="auto" w:fill="auto"/>
          </w:tcPr>
          <w:p w:rsidR="007234DD" w:rsidRDefault="007234DD">
            <w:pPr>
              <w:pStyle w:val="a5"/>
              <w:spacing w:line="210" w:lineRule="exact"/>
              <w:ind w:right="0"/>
              <w:jc w:val="right"/>
              <w:rPr>
                <w:b/>
              </w:rPr>
            </w:pPr>
            <w:r>
              <w:rPr>
                <w:b/>
              </w:rPr>
              <w:t>35</w:t>
            </w:r>
          </w:p>
        </w:tc>
        <w:tc>
          <w:tcPr>
            <w:tcW w:w="746" w:type="dxa"/>
            <w:gridSpan w:val="2"/>
            <w:shd w:val="clear" w:color="auto" w:fill="auto"/>
          </w:tcPr>
          <w:p w:rsidR="007234DD" w:rsidRDefault="007234DD">
            <w:pPr>
              <w:pStyle w:val="a5"/>
              <w:spacing w:line="210" w:lineRule="exact"/>
              <w:ind w:right="0"/>
              <w:jc w:val="right"/>
              <w:rPr>
                <w:b/>
              </w:rPr>
            </w:pPr>
            <w:r>
              <w:rPr>
                <w:b/>
              </w:rPr>
              <w:t>27</w:t>
            </w:r>
          </w:p>
        </w:tc>
        <w:tc>
          <w:tcPr>
            <w:tcW w:w="747" w:type="dxa"/>
            <w:gridSpan w:val="2"/>
            <w:shd w:val="clear" w:color="auto" w:fill="auto"/>
          </w:tcPr>
          <w:p w:rsidR="007234DD" w:rsidRDefault="007234DD">
            <w:pPr>
              <w:pStyle w:val="a5"/>
              <w:spacing w:line="210" w:lineRule="exact"/>
              <w:ind w:right="0"/>
              <w:jc w:val="right"/>
              <w:rPr>
                <w:b/>
              </w:rPr>
            </w:pPr>
            <w:r>
              <w:rPr>
                <w:b/>
              </w:rPr>
              <w:t>62</w:t>
            </w:r>
          </w:p>
        </w:tc>
      </w:tr>
      <w:tr w:rsidR="007234DD">
        <w:trPr>
          <w:cantSplit/>
        </w:trPr>
        <w:tc>
          <w:tcPr>
            <w:tcW w:w="390" w:type="dxa"/>
            <w:shd w:val="clear" w:color="auto" w:fill="auto"/>
          </w:tcPr>
          <w:p w:rsidR="007234DD" w:rsidRDefault="007234DD">
            <w:pPr>
              <w:pStyle w:val="a5"/>
              <w:spacing w:line="210" w:lineRule="exact"/>
            </w:pPr>
            <w:r>
              <w:t>12</w:t>
            </w:r>
          </w:p>
        </w:tc>
        <w:tc>
          <w:tcPr>
            <w:tcW w:w="1170" w:type="dxa"/>
            <w:shd w:val="clear" w:color="auto" w:fill="auto"/>
          </w:tcPr>
          <w:p w:rsidR="007234DD" w:rsidRDefault="007234DD">
            <w:pPr>
              <w:pStyle w:val="a5"/>
              <w:spacing w:line="210" w:lineRule="exact"/>
            </w:pPr>
            <w:r>
              <w:rPr>
                <w:rFonts w:hint="eastAsia"/>
              </w:rPr>
              <w:t>营养师和</w:t>
            </w:r>
            <w:r>
              <w:br/>
            </w:r>
            <w:r>
              <w:rPr>
                <w:rFonts w:hint="eastAsia"/>
              </w:rPr>
              <w:t>营养技师</w:t>
            </w:r>
          </w:p>
        </w:tc>
        <w:tc>
          <w:tcPr>
            <w:tcW w:w="520" w:type="dxa"/>
            <w:shd w:val="clear" w:color="auto" w:fill="auto"/>
          </w:tcPr>
          <w:p w:rsidR="007234DD" w:rsidRDefault="007234DD">
            <w:pPr>
              <w:pStyle w:val="a5"/>
              <w:spacing w:line="210" w:lineRule="exact"/>
              <w:ind w:right="0"/>
              <w:jc w:val="right"/>
            </w:pPr>
            <w:r>
              <w:t>1</w:t>
            </w:r>
          </w:p>
        </w:tc>
        <w:tc>
          <w:tcPr>
            <w:tcW w:w="780" w:type="dxa"/>
            <w:shd w:val="clear" w:color="auto" w:fill="auto"/>
          </w:tcPr>
          <w:p w:rsidR="007234DD" w:rsidRDefault="007234DD">
            <w:pPr>
              <w:pStyle w:val="a5"/>
              <w:spacing w:line="210" w:lineRule="exact"/>
              <w:ind w:right="0"/>
              <w:jc w:val="right"/>
            </w:pPr>
            <w:r>
              <w:t>13</w:t>
            </w:r>
          </w:p>
        </w:tc>
        <w:tc>
          <w:tcPr>
            <w:tcW w:w="650" w:type="dxa"/>
            <w:shd w:val="clear" w:color="auto" w:fill="auto"/>
          </w:tcPr>
          <w:p w:rsidR="007234DD" w:rsidRDefault="007234DD">
            <w:pPr>
              <w:pStyle w:val="a5"/>
              <w:spacing w:line="210" w:lineRule="exact"/>
              <w:ind w:right="0"/>
              <w:jc w:val="right"/>
              <w:rPr>
                <w:b/>
              </w:rPr>
            </w:pPr>
            <w:r>
              <w:rPr>
                <w:b/>
              </w:rPr>
              <w:t>14</w:t>
            </w:r>
          </w:p>
        </w:tc>
        <w:tc>
          <w:tcPr>
            <w:tcW w:w="910" w:type="dxa"/>
            <w:shd w:val="clear" w:color="auto" w:fill="auto"/>
          </w:tcPr>
          <w:p w:rsidR="007234DD" w:rsidRDefault="007234DD">
            <w:pPr>
              <w:pStyle w:val="a5"/>
              <w:spacing w:line="210" w:lineRule="exact"/>
              <w:ind w:right="0"/>
              <w:jc w:val="right"/>
            </w:pPr>
            <w:r>
              <w:t>44</w:t>
            </w:r>
          </w:p>
        </w:tc>
        <w:tc>
          <w:tcPr>
            <w:tcW w:w="780" w:type="dxa"/>
            <w:shd w:val="clear" w:color="auto" w:fill="auto"/>
          </w:tcPr>
          <w:p w:rsidR="007234DD" w:rsidRDefault="007234DD">
            <w:pPr>
              <w:pStyle w:val="a5"/>
              <w:spacing w:line="210" w:lineRule="exact"/>
              <w:ind w:right="0"/>
              <w:jc w:val="right"/>
            </w:pPr>
            <w:r>
              <w:t>7</w:t>
            </w:r>
          </w:p>
        </w:tc>
        <w:tc>
          <w:tcPr>
            <w:tcW w:w="650" w:type="dxa"/>
            <w:shd w:val="clear" w:color="auto" w:fill="auto"/>
          </w:tcPr>
          <w:p w:rsidR="007234DD" w:rsidRDefault="007234DD">
            <w:pPr>
              <w:pStyle w:val="a5"/>
              <w:spacing w:line="210" w:lineRule="exact"/>
              <w:ind w:right="0"/>
              <w:jc w:val="right"/>
            </w:pPr>
            <w:r>
              <w:t>11</w:t>
            </w:r>
          </w:p>
        </w:tc>
        <w:tc>
          <w:tcPr>
            <w:tcW w:w="650" w:type="dxa"/>
            <w:shd w:val="clear" w:color="auto" w:fill="auto"/>
          </w:tcPr>
          <w:p w:rsidR="007234DD" w:rsidRDefault="007234DD">
            <w:pPr>
              <w:pStyle w:val="a5"/>
              <w:spacing w:line="210" w:lineRule="exact"/>
              <w:ind w:right="0"/>
              <w:jc w:val="right"/>
              <w:rPr>
                <w:b/>
              </w:rPr>
            </w:pPr>
            <w:r>
              <w:rPr>
                <w:b/>
              </w:rPr>
              <w:t>18</w:t>
            </w:r>
          </w:p>
        </w:tc>
        <w:tc>
          <w:tcPr>
            <w:tcW w:w="898" w:type="dxa"/>
            <w:shd w:val="clear" w:color="auto" w:fill="auto"/>
          </w:tcPr>
          <w:p w:rsidR="007234DD" w:rsidRDefault="007234DD">
            <w:pPr>
              <w:pStyle w:val="a5"/>
              <w:spacing w:line="210" w:lineRule="exact"/>
              <w:ind w:right="0"/>
              <w:jc w:val="right"/>
            </w:pPr>
            <w:r>
              <w:t>56</w:t>
            </w:r>
          </w:p>
        </w:tc>
        <w:tc>
          <w:tcPr>
            <w:tcW w:w="746" w:type="dxa"/>
            <w:gridSpan w:val="2"/>
            <w:shd w:val="clear" w:color="auto" w:fill="auto"/>
          </w:tcPr>
          <w:p w:rsidR="007234DD" w:rsidRDefault="007234DD">
            <w:pPr>
              <w:pStyle w:val="a5"/>
              <w:spacing w:line="210" w:lineRule="exact"/>
              <w:ind w:right="0"/>
              <w:jc w:val="right"/>
              <w:rPr>
                <w:b/>
              </w:rPr>
            </w:pPr>
            <w:r>
              <w:rPr>
                <w:b/>
              </w:rPr>
              <w:t>8</w:t>
            </w:r>
          </w:p>
        </w:tc>
        <w:tc>
          <w:tcPr>
            <w:tcW w:w="746" w:type="dxa"/>
            <w:gridSpan w:val="2"/>
            <w:shd w:val="clear" w:color="auto" w:fill="auto"/>
          </w:tcPr>
          <w:p w:rsidR="007234DD" w:rsidRDefault="007234DD">
            <w:pPr>
              <w:pStyle w:val="a5"/>
              <w:spacing w:line="210" w:lineRule="exact"/>
              <w:ind w:right="0"/>
              <w:jc w:val="right"/>
              <w:rPr>
                <w:b/>
              </w:rPr>
            </w:pPr>
            <w:r>
              <w:rPr>
                <w:b/>
              </w:rPr>
              <w:t>24</w:t>
            </w:r>
          </w:p>
        </w:tc>
        <w:tc>
          <w:tcPr>
            <w:tcW w:w="747" w:type="dxa"/>
            <w:gridSpan w:val="2"/>
            <w:shd w:val="clear" w:color="auto" w:fill="auto"/>
          </w:tcPr>
          <w:p w:rsidR="007234DD" w:rsidRDefault="007234DD">
            <w:pPr>
              <w:pStyle w:val="a5"/>
              <w:spacing w:line="210" w:lineRule="exact"/>
              <w:ind w:right="0"/>
              <w:jc w:val="right"/>
              <w:rPr>
                <w:b/>
              </w:rPr>
            </w:pPr>
            <w:r>
              <w:rPr>
                <w:b/>
              </w:rPr>
              <w:t>32</w:t>
            </w:r>
          </w:p>
        </w:tc>
      </w:tr>
      <w:tr w:rsidR="007234DD">
        <w:trPr>
          <w:cantSplit/>
        </w:trPr>
        <w:tc>
          <w:tcPr>
            <w:tcW w:w="390" w:type="dxa"/>
            <w:shd w:val="clear" w:color="auto" w:fill="auto"/>
          </w:tcPr>
          <w:p w:rsidR="007234DD" w:rsidRDefault="007234DD">
            <w:pPr>
              <w:pStyle w:val="a5"/>
              <w:spacing w:line="210" w:lineRule="exact"/>
            </w:pPr>
            <w:r>
              <w:t>13</w:t>
            </w:r>
          </w:p>
        </w:tc>
        <w:tc>
          <w:tcPr>
            <w:tcW w:w="1170" w:type="dxa"/>
            <w:shd w:val="clear" w:color="auto" w:fill="auto"/>
          </w:tcPr>
          <w:p w:rsidR="007234DD" w:rsidRDefault="007234DD">
            <w:pPr>
              <w:pStyle w:val="a5"/>
              <w:spacing w:line="210" w:lineRule="exact"/>
            </w:pPr>
            <w:r>
              <w:rPr>
                <w:rFonts w:hint="eastAsia"/>
              </w:rPr>
              <w:t>护理辅导师</w:t>
            </w:r>
          </w:p>
        </w:tc>
        <w:tc>
          <w:tcPr>
            <w:tcW w:w="520" w:type="dxa"/>
            <w:shd w:val="clear" w:color="auto" w:fill="auto"/>
          </w:tcPr>
          <w:p w:rsidR="007234DD" w:rsidRDefault="007234DD">
            <w:pPr>
              <w:pStyle w:val="a5"/>
              <w:spacing w:line="210" w:lineRule="exact"/>
              <w:ind w:right="0"/>
              <w:jc w:val="right"/>
              <w:rPr>
                <w:rFonts w:hint="eastAsia"/>
              </w:rPr>
            </w:pPr>
            <w:r>
              <w:rPr>
                <w:rFonts w:hint="eastAsia"/>
              </w:rPr>
              <w:t>无</w:t>
            </w:r>
          </w:p>
        </w:tc>
        <w:tc>
          <w:tcPr>
            <w:tcW w:w="780" w:type="dxa"/>
            <w:shd w:val="clear" w:color="auto" w:fill="auto"/>
          </w:tcPr>
          <w:p w:rsidR="007234DD" w:rsidRDefault="007234DD">
            <w:pPr>
              <w:pStyle w:val="a5"/>
              <w:spacing w:line="210" w:lineRule="exact"/>
              <w:ind w:right="0"/>
              <w:jc w:val="right"/>
              <w:rPr>
                <w:rFonts w:hint="eastAsia"/>
              </w:rPr>
            </w:pPr>
            <w:r>
              <w:rPr>
                <w:rFonts w:hint="eastAsia"/>
              </w:rPr>
              <w:t>无</w:t>
            </w:r>
          </w:p>
        </w:tc>
        <w:tc>
          <w:tcPr>
            <w:tcW w:w="650" w:type="dxa"/>
            <w:shd w:val="clear" w:color="auto" w:fill="auto"/>
          </w:tcPr>
          <w:p w:rsidR="007234DD" w:rsidRDefault="007234DD">
            <w:pPr>
              <w:pStyle w:val="a5"/>
              <w:spacing w:line="210" w:lineRule="exact"/>
              <w:ind w:right="0"/>
              <w:jc w:val="right"/>
              <w:rPr>
                <w:rFonts w:hint="eastAsia"/>
                <w:b/>
              </w:rPr>
            </w:pPr>
            <w:r>
              <w:rPr>
                <w:rFonts w:hint="eastAsia"/>
                <w:b/>
              </w:rPr>
              <w:t>无</w:t>
            </w:r>
          </w:p>
        </w:tc>
        <w:tc>
          <w:tcPr>
            <w:tcW w:w="910" w:type="dxa"/>
            <w:shd w:val="clear" w:color="auto" w:fill="auto"/>
          </w:tcPr>
          <w:p w:rsidR="007234DD" w:rsidRDefault="007234DD">
            <w:pPr>
              <w:pStyle w:val="a5"/>
              <w:spacing w:line="210" w:lineRule="exact"/>
              <w:ind w:right="0"/>
              <w:jc w:val="right"/>
              <w:rPr>
                <w:rFonts w:hint="eastAsia"/>
              </w:rPr>
            </w:pPr>
            <w:r>
              <w:rPr>
                <w:rFonts w:hint="eastAsia"/>
              </w:rPr>
              <w:t>无</w:t>
            </w:r>
          </w:p>
        </w:tc>
        <w:tc>
          <w:tcPr>
            <w:tcW w:w="780" w:type="dxa"/>
            <w:shd w:val="clear" w:color="auto" w:fill="auto"/>
          </w:tcPr>
          <w:p w:rsidR="007234DD" w:rsidRDefault="007234DD">
            <w:pPr>
              <w:pStyle w:val="a5"/>
              <w:spacing w:line="210" w:lineRule="exact"/>
              <w:ind w:right="0"/>
              <w:jc w:val="right"/>
            </w:pPr>
            <w:r>
              <w:t>7</w:t>
            </w:r>
          </w:p>
        </w:tc>
        <w:tc>
          <w:tcPr>
            <w:tcW w:w="650" w:type="dxa"/>
            <w:shd w:val="clear" w:color="auto" w:fill="auto"/>
          </w:tcPr>
          <w:p w:rsidR="007234DD" w:rsidRDefault="007234DD">
            <w:pPr>
              <w:pStyle w:val="a5"/>
              <w:spacing w:line="210" w:lineRule="exact"/>
              <w:ind w:right="0"/>
              <w:jc w:val="right"/>
            </w:pPr>
            <w:r>
              <w:t>24</w:t>
            </w:r>
          </w:p>
        </w:tc>
        <w:tc>
          <w:tcPr>
            <w:tcW w:w="650" w:type="dxa"/>
            <w:shd w:val="clear" w:color="auto" w:fill="auto"/>
          </w:tcPr>
          <w:p w:rsidR="007234DD" w:rsidRDefault="007234DD">
            <w:pPr>
              <w:pStyle w:val="a5"/>
              <w:spacing w:line="210" w:lineRule="exact"/>
              <w:ind w:right="0"/>
              <w:jc w:val="right"/>
              <w:rPr>
                <w:b/>
              </w:rPr>
            </w:pPr>
            <w:r>
              <w:rPr>
                <w:b/>
              </w:rPr>
              <w:t>31</w:t>
            </w:r>
          </w:p>
        </w:tc>
        <w:tc>
          <w:tcPr>
            <w:tcW w:w="898" w:type="dxa"/>
            <w:shd w:val="clear" w:color="auto" w:fill="auto"/>
          </w:tcPr>
          <w:p w:rsidR="007234DD" w:rsidRDefault="007234DD">
            <w:pPr>
              <w:pStyle w:val="a5"/>
              <w:spacing w:line="210" w:lineRule="exact"/>
              <w:ind w:right="0"/>
              <w:jc w:val="right"/>
            </w:pPr>
            <w:r>
              <w:t>100</w:t>
            </w:r>
          </w:p>
        </w:tc>
        <w:tc>
          <w:tcPr>
            <w:tcW w:w="746" w:type="dxa"/>
            <w:gridSpan w:val="2"/>
            <w:shd w:val="clear" w:color="auto" w:fill="auto"/>
          </w:tcPr>
          <w:p w:rsidR="007234DD" w:rsidRDefault="007234DD">
            <w:pPr>
              <w:pStyle w:val="a5"/>
              <w:spacing w:line="210" w:lineRule="exact"/>
              <w:ind w:right="0"/>
              <w:jc w:val="right"/>
              <w:rPr>
                <w:b/>
              </w:rPr>
            </w:pPr>
            <w:r>
              <w:rPr>
                <w:b/>
              </w:rPr>
              <w:t>7</w:t>
            </w:r>
          </w:p>
        </w:tc>
        <w:tc>
          <w:tcPr>
            <w:tcW w:w="746" w:type="dxa"/>
            <w:gridSpan w:val="2"/>
            <w:shd w:val="clear" w:color="auto" w:fill="auto"/>
          </w:tcPr>
          <w:p w:rsidR="007234DD" w:rsidRDefault="007234DD">
            <w:pPr>
              <w:pStyle w:val="a5"/>
              <w:spacing w:line="210" w:lineRule="exact"/>
              <w:ind w:right="0"/>
              <w:jc w:val="right"/>
              <w:rPr>
                <w:b/>
              </w:rPr>
            </w:pPr>
            <w:r>
              <w:rPr>
                <w:b/>
              </w:rPr>
              <w:t>24</w:t>
            </w:r>
          </w:p>
        </w:tc>
        <w:tc>
          <w:tcPr>
            <w:tcW w:w="747" w:type="dxa"/>
            <w:gridSpan w:val="2"/>
            <w:shd w:val="clear" w:color="auto" w:fill="auto"/>
          </w:tcPr>
          <w:p w:rsidR="007234DD" w:rsidRDefault="007234DD">
            <w:pPr>
              <w:pStyle w:val="a5"/>
              <w:spacing w:line="210" w:lineRule="exact"/>
              <w:ind w:right="0"/>
              <w:jc w:val="right"/>
              <w:rPr>
                <w:b/>
              </w:rPr>
            </w:pPr>
            <w:r>
              <w:rPr>
                <w:b/>
              </w:rPr>
              <w:t>31</w:t>
            </w:r>
          </w:p>
        </w:tc>
      </w:tr>
      <w:tr w:rsidR="007234DD">
        <w:trPr>
          <w:cantSplit/>
        </w:trPr>
        <w:tc>
          <w:tcPr>
            <w:tcW w:w="390" w:type="dxa"/>
            <w:shd w:val="clear" w:color="auto" w:fill="auto"/>
          </w:tcPr>
          <w:p w:rsidR="007234DD" w:rsidRDefault="007234DD">
            <w:pPr>
              <w:pStyle w:val="a5"/>
              <w:spacing w:line="210" w:lineRule="exact"/>
            </w:pPr>
            <w:r>
              <w:t>14</w:t>
            </w:r>
          </w:p>
        </w:tc>
        <w:tc>
          <w:tcPr>
            <w:tcW w:w="1170" w:type="dxa"/>
            <w:shd w:val="clear" w:color="auto" w:fill="auto"/>
          </w:tcPr>
          <w:p w:rsidR="007234DD" w:rsidRDefault="007234DD">
            <w:pPr>
              <w:pStyle w:val="a5"/>
              <w:spacing w:line="210" w:lineRule="exact"/>
            </w:pPr>
            <w:r>
              <w:rPr>
                <w:rFonts w:hint="eastAsia"/>
              </w:rPr>
              <w:t>听力技师</w:t>
            </w:r>
          </w:p>
        </w:tc>
        <w:tc>
          <w:tcPr>
            <w:tcW w:w="520" w:type="dxa"/>
            <w:shd w:val="clear" w:color="auto" w:fill="auto"/>
          </w:tcPr>
          <w:p w:rsidR="007234DD" w:rsidRDefault="007234DD">
            <w:pPr>
              <w:pStyle w:val="a5"/>
              <w:spacing w:line="210" w:lineRule="exact"/>
              <w:ind w:right="0"/>
              <w:jc w:val="right"/>
              <w:rPr>
                <w:rFonts w:hint="eastAsia"/>
              </w:rPr>
            </w:pPr>
            <w:r>
              <w:rPr>
                <w:rFonts w:hint="eastAsia"/>
              </w:rPr>
              <w:t>无</w:t>
            </w:r>
          </w:p>
        </w:tc>
        <w:tc>
          <w:tcPr>
            <w:tcW w:w="780" w:type="dxa"/>
            <w:shd w:val="clear" w:color="auto" w:fill="auto"/>
          </w:tcPr>
          <w:p w:rsidR="007234DD" w:rsidRDefault="007234DD">
            <w:pPr>
              <w:pStyle w:val="a5"/>
              <w:spacing w:line="210" w:lineRule="exact"/>
              <w:ind w:right="0"/>
              <w:jc w:val="right"/>
            </w:pPr>
            <w:r>
              <w:t>9</w:t>
            </w:r>
          </w:p>
        </w:tc>
        <w:tc>
          <w:tcPr>
            <w:tcW w:w="650" w:type="dxa"/>
            <w:shd w:val="clear" w:color="auto" w:fill="auto"/>
          </w:tcPr>
          <w:p w:rsidR="007234DD" w:rsidRDefault="007234DD">
            <w:pPr>
              <w:pStyle w:val="a5"/>
              <w:spacing w:line="210" w:lineRule="exact"/>
              <w:ind w:right="0"/>
              <w:jc w:val="right"/>
              <w:rPr>
                <w:b/>
              </w:rPr>
            </w:pPr>
            <w:r>
              <w:rPr>
                <w:b/>
              </w:rPr>
              <w:t>9</w:t>
            </w:r>
          </w:p>
        </w:tc>
        <w:tc>
          <w:tcPr>
            <w:tcW w:w="910" w:type="dxa"/>
            <w:shd w:val="clear" w:color="auto" w:fill="auto"/>
          </w:tcPr>
          <w:p w:rsidR="007234DD" w:rsidRDefault="007234DD">
            <w:pPr>
              <w:pStyle w:val="a5"/>
              <w:spacing w:line="210" w:lineRule="exact"/>
              <w:ind w:right="0"/>
              <w:jc w:val="right"/>
            </w:pPr>
            <w:r>
              <w:t>38</w:t>
            </w:r>
          </w:p>
        </w:tc>
        <w:tc>
          <w:tcPr>
            <w:tcW w:w="780" w:type="dxa"/>
            <w:shd w:val="clear" w:color="auto" w:fill="auto"/>
          </w:tcPr>
          <w:p w:rsidR="007234DD" w:rsidRDefault="007234DD">
            <w:pPr>
              <w:pStyle w:val="a5"/>
              <w:spacing w:line="210" w:lineRule="exact"/>
              <w:ind w:right="0"/>
              <w:jc w:val="right"/>
            </w:pPr>
            <w:r>
              <w:t>3</w:t>
            </w:r>
          </w:p>
        </w:tc>
        <w:tc>
          <w:tcPr>
            <w:tcW w:w="650" w:type="dxa"/>
            <w:shd w:val="clear" w:color="auto" w:fill="auto"/>
          </w:tcPr>
          <w:p w:rsidR="007234DD" w:rsidRDefault="007234DD">
            <w:pPr>
              <w:pStyle w:val="a5"/>
              <w:spacing w:line="210" w:lineRule="exact"/>
              <w:ind w:right="0"/>
              <w:jc w:val="right"/>
            </w:pPr>
            <w:r>
              <w:t>12</w:t>
            </w:r>
          </w:p>
        </w:tc>
        <w:tc>
          <w:tcPr>
            <w:tcW w:w="650" w:type="dxa"/>
            <w:shd w:val="clear" w:color="auto" w:fill="auto"/>
          </w:tcPr>
          <w:p w:rsidR="007234DD" w:rsidRDefault="007234DD">
            <w:pPr>
              <w:pStyle w:val="a5"/>
              <w:spacing w:line="210" w:lineRule="exact"/>
              <w:ind w:right="0"/>
              <w:jc w:val="right"/>
              <w:rPr>
                <w:b/>
              </w:rPr>
            </w:pPr>
            <w:r>
              <w:rPr>
                <w:b/>
              </w:rPr>
              <w:t>15</w:t>
            </w:r>
          </w:p>
        </w:tc>
        <w:tc>
          <w:tcPr>
            <w:tcW w:w="898" w:type="dxa"/>
            <w:shd w:val="clear" w:color="auto" w:fill="auto"/>
          </w:tcPr>
          <w:p w:rsidR="007234DD" w:rsidRDefault="007234DD">
            <w:pPr>
              <w:pStyle w:val="a5"/>
              <w:spacing w:line="210" w:lineRule="exact"/>
              <w:ind w:right="0"/>
              <w:jc w:val="right"/>
            </w:pPr>
            <w:r>
              <w:t>63</w:t>
            </w:r>
          </w:p>
        </w:tc>
        <w:tc>
          <w:tcPr>
            <w:tcW w:w="746" w:type="dxa"/>
            <w:gridSpan w:val="2"/>
            <w:shd w:val="clear" w:color="auto" w:fill="auto"/>
          </w:tcPr>
          <w:p w:rsidR="007234DD" w:rsidRDefault="007234DD">
            <w:pPr>
              <w:pStyle w:val="a5"/>
              <w:spacing w:line="210" w:lineRule="exact"/>
              <w:ind w:right="0"/>
              <w:jc w:val="right"/>
              <w:rPr>
                <w:b/>
              </w:rPr>
            </w:pPr>
            <w:r>
              <w:rPr>
                <w:b/>
              </w:rPr>
              <w:t>3</w:t>
            </w:r>
          </w:p>
        </w:tc>
        <w:tc>
          <w:tcPr>
            <w:tcW w:w="746" w:type="dxa"/>
            <w:gridSpan w:val="2"/>
            <w:shd w:val="clear" w:color="auto" w:fill="auto"/>
          </w:tcPr>
          <w:p w:rsidR="007234DD" w:rsidRDefault="007234DD">
            <w:pPr>
              <w:pStyle w:val="a5"/>
              <w:spacing w:line="210" w:lineRule="exact"/>
              <w:ind w:right="0"/>
              <w:jc w:val="right"/>
              <w:rPr>
                <w:b/>
              </w:rPr>
            </w:pPr>
            <w:r>
              <w:rPr>
                <w:b/>
              </w:rPr>
              <w:t>21</w:t>
            </w:r>
          </w:p>
        </w:tc>
        <w:tc>
          <w:tcPr>
            <w:tcW w:w="747" w:type="dxa"/>
            <w:gridSpan w:val="2"/>
            <w:shd w:val="clear" w:color="auto" w:fill="auto"/>
          </w:tcPr>
          <w:p w:rsidR="007234DD" w:rsidRDefault="007234DD">
            <w:pPr>
              <w:pStyle w:val="a5"/>
              <w:spacing w:line="210" w:lineRule="exact"/>
              <w:ind w:right="0"/>
              <w:jc w:val="right"/>
              <w:rPr>
                <w:b/>
              </w:rPr>
            </w:pPr>
            <w:r>
              <w:rPr>
                <w:b/>
              </w:rPr>
              <w:t>24</w:t>
            </w:r>
          </w:p>
        </w:tc>
      </w:tr>
      <w:tr w:rsidR="007234DD">
        <w:trPr>
          <w:cantSplit/>
        </w:trPr>
        <w:tc>
          <w:tcPr>
            <w:tcW w:w="390" w:type="dxa"/>
            <w:tcBorders>
              <w:bottom w:val="single" w:sz="12" w:space="0" w:color="auto"/>
            </w:tcBorders>
            <w:shd w:val="clear" w:color="auto" w:fill="auto"/>
          </w:tcPr>
          <w:p w:rsidR="007234DD" w:rsidRDefault="007234DD">
            <w:pPr>
              <w:pStyle w:val="a5"/>
              <w:spacing w:line="210" w:lineRule="exact"/>
            </w:pPr>
            <w:r>
              <w:t>15</w:t>
            </w:r>
          </w:p>
        </w:tc>
        <w:tc>
          <w:tcPr>
            <w:tcW w:w="1170" w:type="dxa"/>
            <w:tcBorders>
              <w:bottom w:val="single" w:sz="12" w:space="0" w:color="auto"/>
            </w:tcBorders>
            <w:shd w:val="clear" w:color="auto" w:fill="auto"/>
          </w:tcPr>
          <w:p w:rsidR="007234DD" w:rsidRDefault="007234DD">
            <w:pPr>
              <w:pStyle w:val="a5"/>
              <w:spacing w:line="210" w:lineRule="exact"/>
              <w:rPr>
                <w:spacing w:val="-8"/>
              </w:rPr>
            </w:pPr>
            <w:r>
              <w:rPr>
                <w:rFonts w:hint="eastAsia"/>
                <w:spacing w:val="-8"/>
              </w:rPr>
              <w:t>血液透析技师</w:t>
            </w:r>
          </w:p>
        </w:tc>
        <w:tc>
          <w:tcPr>
            <w:tcW w:w="520" w:type="dxa"/>
            <w:tcBorders>
              <w:bottom w:val="single" w:sz="12" w:space="0" w:color="auto"/>
            </w:tcBorders>
            <w:shd w:val="clear" w:color="auto" w:fill="auto"/>
          </w:tcPr>
          <w:p w:rsidR="007234DD" w:rsidRDefault="007234DD">
            <w:pPr>
              <w:pStyle w:val="a5"/>
              <w:spacing w:line="210" w:lineRule="exact"/>
              <w:ind w:right="0"/>
              <w:jc w:val="right"/>
            </w:pPr>
            <w:r>
              <w:t>-</w:t>
            </w:r>
          </w:p>
        </w:tc>
        <w:tc>
          <w:tcPr>
            <w:tcW w:w="780" w:type="dxa"/>
            <w:tcBorders>
              <w:bottom w:val="single" w:sz="12" w:space="0" w:color="auto"/>
            </w:tcBorders>
            <w:shd w:val="clear" w:color="auto" w:fill="auto"/>
          </w:tcPr>
          <w:p w:rsidR="007234DD" w:rsidRDefault="007234DD">
            <w:pPr>
              <w:pStyle w:val="a5"/>
              <w:spacing w:line="210" w:lineRule="exact"/>
              <w:ind w:right="0"/>
              <w:jc w:val="right"/>
            </w:pPr>
            <w:r>
              <w:t>-</w:t>
            </w:r>
          </w:p>
        </w:tc>
        <w:tc>
          <w:tcPr>
            <w:tcW w:w="650" w:type="dxa"/>
            <w:tcBorders>
              <w:bottom w:val="single" w:sz="12" w:space="0" w:color="auto"/>
            </w:tcBorders>
            <w:shd w:val="clear" w:color="auto" w:fill="auto"/>
          </w:tcPr>
          <w:p w:rsidR="007234DD" w:rsidRDefault="007234DD">
            <w:pPr>
              <w:pStyle w:val="a5"/>
              <w:spacing w:line="210" w:lineRule="exact"/>
              <w:ind w:right="0"/>
              <w:jc w:val="right"/>
              <w:rPr>
                <w:b/>
              </w:rPr>
            </w:pPr>
            <w:r>
              <w:rPr>
                <w:b/>
              </w:rPr>
              <w:t>-</w:t>
            </w:r>
          </w:p>
        </w:tc>
        <w:tc>
          <w:tcPr>
            <w:tcW w:w="910" w:type="dxa"/>
            <w:tcBorders>
              <w:bottom w:val="single" w:sz="12" w:space="0" w:color="auto"/>
            </w:tcBorders>
            <w:shd w:val="clear" w:color="auto" w:fill="auto"/>
          </w:tcPr>
          <w:p w:rsidR="007234DD" w:rsidRDefault="007234DD">
            <w:pPr>
              <w:pStyle w:val="a5"/>
              <w:spacing w:line="210" w:lineRule="exact"/>
              <w:ind w:right="0"/>
              <w:jc w:val="right"/>
            </w:pPr>
            <w:r>
              <w:t>-</w:t>
            </w:r>
          </w:p>
        </w:tc>
        <w:tc>
          <w:tcPr>
            <w:tcW w:w="780" w:type="dxa"/>
            <w:tcBorders>
              <w:bottom w:val="single" w:sz="12" w:space="0" w:color="auto"/>
            </w:tcBorders>
            <w:shd w:val="clear" w:color="auto" w:fill="auto"/>
          </w:tcPr>
          <w:p w:rsidR="007234DD" w:rsidRDefault="007234DD">
            <w:pPr>
              <w:pStyle w:val="a5"/>
              <w:spacing w:line="210" w:lineRule="exact"/>
              <w:ind w:right="0"/>
              <w:jc w:val="right"/>
            </w:pPr>
            <w:r>
              <w:t>22</w:t>
            </w:r>
          </w:p>
        </w:tc>
        <w:tc>
          <w:tcPr>
            <w:tcW w:w="650" w:type="dxa"/>
            <w:tcBorders>
              <w:bottom w:val="single" w:sz="12" w:space="0" w:color="auto"/>
            </w:tcBorders>
            <w:shd w:val="clear" w:color="auto" w:fill="auto"/>
          </w:tcPr>
          <w:p w:rsidR="007234DD" w:rsidRDefault="007234DD">
            <w:pPr>
              <w:pStyle w:val="a5"/>
              <w:spacing w:line="210" w:lineRule="exact"/>
              <w:ind w:right="0"/>
              <w:jc w:val="right"/>
            </w:pPr>
            <w:r>
              <w:t>12</w:t>
            </w:r>
          </w:p>
        </w:tc>
        <w:tc>
          <w:tcPr>
            <w:tcW w:w="650" w:type="dxa"/>
            <w:tcBorders>
              <w:bottom w:val="single" w:sz="12" w:space="0" w:color="auto"/>
            </w:tcBorders>
            <w:shd w:val="clear" w:color="auto" w:fill="auto"/>
          </w:tcPr>
          <w:p w:rsidR="007234DD" w:rsidRDefault="007234DD">
            <w:pPr>
              <w:pStyle w:val="a5"/>
              <w:spacing w:line="210" w:lineRule="exact"/>
              <w:ind w:right="0"/>
              <w:jc w:val="right"/>
              <w:rPr>
                <w:b/>
              </w:rPr>
            </w:pPr>
            <w:r>
              <w:rPr>
                <w:b/>
              </w:rPr>
              <w:t>34</w:t>
            </w:r>
          </w:p>
        </w:tc>
        <w:tc>
          <w:tcPr>
            <w:tcW w:w="898" w:type="dxa"/>
            <w:tcBorders>
              <w:bottom w:val="single" w:sz="12" w:space="0" w:color="auto"/>
            </w:tcBorders>
            <w:shd w:val="clear" w:color="auto" w:fill="auto"/>
          </w:tcPr>
          <w:p w:rsidR="007234DD" w:rsidRDefault="007234DD">
            <w:pPr>
              <w:pStyle w:val="a5"/>
              <w:spacing w:line="210" w:lineRule="exact"/>
              <w:ind w:right="0"/>
              <w:jc w:val="right"/>
            </w:pPr>
            <w:r>
              <w:t>100</w:t>
            </w:r>
          </w:p>
        </w:tc>
        <w:tc>
          <w:tcPr>
            <w:tcW w:w="746" w:type="dxa"/>
            <w:gridSpan w:val="2"/>
            <w:tcBorders>
              <w:bottom w:val="single" w:sz="12" w:space="0" w:color="auto"/>
            </w:tcBorders>
            <w:shd w:val="clear" w:color="auto" w:fill="auto"/>
          </w:tcPr>
          <w:p w:rsidR="007234DD" w:rsidRDefault="007234DD">
            <w:pPr>
              <w:pStyle w:val="a5"/>
              <w:spacing w:line="210" w:lineRule="exact"/>
              <w:ind w:right="0"/>
              <w:jc w:val="right"/>
              <w:rPr>
                <w:b/>
              </w:rPr>
            </w:pPr>
            <w:r>
              <w:rPr>
                <w:b/>
              </w:rPr>
              <w:t>22</w:t>
            </w:r>
          </w:p>
        </w:tc>
        <w:tc>
          <w:tcPr>
            <w:tcW w:w="746" w:type="dxa"/>
            <w:gridSpan w:val="2"/>
            <w:tcBorders>
              <w:bottom w:val="single" w:sz="12" w:space="0" w:color="auto"/>
            </w:tcBorders>
            <w:shd w:val="clear" w:color="auto" w:fill="auto"/>
          </w:tcPr>
          <w:p w:rsidR="007234DD" w:rsidRDefault="007234DD">
            <w:pPr>
              <w:pStyle w:val="a5"/>
              <w:spacing w:line="210" w:lineRule="exact"/>
              <w:ind w:right="0"/>
              <w:jc w:val="right"/>
              <w:rPr>
                <w:b/>
              </w:rPr>
            </w:pPr>
            <w:r>
              <w:rPr>
                <w:b/>
              </w:rPr>
              <w:t>12</w:t>
            </w:r>
          </w:p>
        </w:tc>
        <w:tc>
          <w:tcPr>
            <w:tcW w:w="747" w:type="dxa"/>
            <w:gridSpan w:val="2"/>
            <w:tcBorders>
              <w:bottom w:val="single" w:sz="12" w:space="0" w:color="auto"/>
            </w:tcBorders>
            <w:shd w:val="clear" w:color="auto" w:fill="auto"/>
          </w:tcPr>
          <w:p w:rsidR="007234DD" w:rsidRDefault="007234DD">
            <w:pPr>
              <w:pStyle w:val="a5"/>
              <w:spacing w:line="210" w:lineRule="exact"/>
              <w:ind w:right="0"/>
              <w:jc w:val="right"/>
              <w:rPr>
                <w:b/>
              </w:rPr>
            </w:pPr>
            <w:r>
              <w:rPr>
                <w:b/>
              </w:rPr>
              <w:t>34</w:t>
            </w:r>
          </w:p>
        </w:tc>
      </w:tr>
    </w:tbl>
    <w:p w:rsidR="007234DD" w:rsidRDefault="00326C16" w:rsidP="00326C16">
      <w:pPr>
        <w:pStyle w:val="SingleTxtG"/>
        <w:tabs>
          <w:tab w:val="left" w:pos="182"/>
        </w:tabs>
        <w:spacing w:before="120"/>
        <w:ind w:left="0"/>
        <w:rPr>
          <w:rFonts w:hint="eastAsia"/>
          <w:lang w:eastAsia="zh-CN"/>
        </w:rPr>
      </w:pPr>
      <w:r>
        <w:rPr>
          <w:rFonts w:eastAsia="KaiTi_GB2312"/>
          <w:sz w:val="19"/>
          <w:szCs w:val="19"/>
          <w:lang w:val="fr-CH" w:eastAsia="zh-CN"/>
        </w:rPr>
        <w:tab/>
      </w:r>
      <w:r w:rsidR="007234DD">
        <w:rPr>
          <w:rFonts w:eastAsia="KaiTi_GB2312" w:hint="eastAsia"/>
          <w:sz w:val="19"/>
          <w:szCs w:val="19"/>
          <w:lang w:eastAsia="zh-CN"/>
        </w:rPr>
        <w:t>资料来源：</w:t>
      </w:r>
      <w:r w:rsidR="007234DD">
        <w:rPr>
          <w:rFonts w:hint="eastAsia"/>
          <w:sz w:val="19"/>
          <w:szCs w:val="19"/>
          <w:lang w:eastAsia="zh-CN"/>
        </w:rPr>
        <w:t>《年度报告》，哈马德医疗公司，卡塔尔，</w:t>
      </w:r>
      <w:r w:rsidR="007234DD">
        <w:rPr>
          <w:rFonts w:hint="eastAsia"/>
          <w:sz w:val="19"/>
          <w:szCs w:val="19"/>
          <w:lang w:eastAsia="zh-CN"/>
        </w:rPr>
        <w:t>2008</w:t>
      </w:r>
      <w:r w:rsidR="007234DD">
        <w:rPr>
          <w:rFonts w:hint="eastAsia"/>
          <w:sz w:val="19"/>
          <w:szCs w:val="19"/>
          <w:lang w:eastAsia="zh-CN"/>
        </w:rPr>
        <w:t>年。</w:t>
      </w:r>
    </w:p>
    <w:p w:rsidR="007234DD" w:rsidRDefault="007234DD">
      <w:pPr>
        <w:pStyle w:val="H23GC"/>
      </w:pPr>
      <w:r>
        <w:tab/>
      </w:r>
      <w:r>
        <w:tab/>
      </w:r>
      <w:r>
        <w:rPr>
          <w:rFonts w:hint="eastAsia"/>
        </w:rPr>
        <w:t>堕胎和妇女的生育权利</w:t>
      </w:r>
    </w:p>
    <w:p w:rsidR="007234DD" w:rsidRDefault="007234DD">
      <w:pPr>
        <w:pStyle w:val="SingleTxtGC"/>
      </w:pPr>
      <w:r>
        <w:t xml:space="preserve">358.  </w:t>
      </w:r>
      <w:r>
        <w:rPr>
          <w:rFonts w:hint="eastAsia"/>
        </w:rPr>
        <w:t>卡塔尔《刑法》禁止故意堕胎，列出了应受法律制裁的堕胎情形</w:t>
      </w:r>
      <w:r>
        <w:rPr>
          <w:rFonts w:hint="eastAsia"/>
        </w:rPr>
        <w:t>(</w:t>
      </w:r>
      <w:r>
        <w:rPr>
          <w:rFonts w:hint="eastAsia"/>
        </w:rPr>
        <w:t>第</w:t>
      </w:r>
      <w:r>
        <w:rPr>
          <w:rFonts w:hint="eastAsia"/>
        </w:rPr>
        <w:t>315</w:t>
      </w:r>
      <w:r>
        <w:rPr>
          <w:rFonts w:hint="eastAsia"/>
        </w:rPr>
        <w:t>、</w:t>
      </w:r>
      <w:r>
        <w:rPr>
          <w:rFonts w:hint="eastAsia"/>
        </w:rPr>
        <w:t>316</w:t>
      </w:r>
      <w:r>
        <w:rPr>
          <w:rFonts w:hint="eastAsia"/>
        </w:rPr>
        <w:t>和</w:t>
      </w:r>
      <w:r>
        <w:rPr>
          <w:rFonts w:hint="eastAsia"/>
        </w:rPr>
        <w:t>317</w:t>
      </w:r>
      <w:r>
        <w:rPr>
          <w:rFonts w:hint="eastAsia"/>
        </w:rPr>
        <w:t>条</w:t>
      </w:r>
      <w:r>
        <w:rPr>
          <w:rFonts w:hint="eastAsia"/>
        </w:rPr>
        <w:t>)</w:t>
      </w:r>
      <w:r>
        <w:rPr>
          <w:rFonts w:hint="eastAsia"/>
        </w:rPr>
        <w:t>。除了出于挽救受害人生命的目的外，若某人经受害人同意而有意实施堕胎，可处以</w:t>
      </w:r>
      <w:r>
        <w:rPr>
          <w:rFonts w:hint="eastAsia"/>
        </w:rPr>
        <w:t>5</w:t>
      </w:r>
      <w:r>
        <w:rPr>
          <w:rFonts w:hint="eastAsia"/>
        </w:rPr>
        <w:t>年以下监禁。这些规定也适用于自行堕胎或让他人为其堕胎的妇女。若未经当事妇女同意而实施堕胎，刑罚可加倍至</w:t>
      </w:r>
      <w:r>
        <w:rPr>
          <w:rFonts w:hint="eastAsia"/>
        </w:rPr>
        <w:t>10</w:t>
      </w:r>
      <w:r>
        <w:rPr>
          <w:rFonts w:hint="eastAsia"/>
        </w:rPr>
        <w:t>年以下监禁。若某人为挽救妇女的生命</w:t>
      </w:r>
      <w:r>
        <w:rPr>
          <w:rFonts w:hint="eastAsia"/>
        </w:rPr>
        <w:t>(</w:t>
      </w:r>
      <w:r>
        <w:rPr>
          <w:rFonts w:hint="eastAsia"/>
        </w:rPr>
        <w:t>受害人的生命</w:t>
      </w:r>
      <w:r>
        <w:rPr>
          <w:rFonts w:hint="eastAsia"/>
        </w:rPr>
        <w:t>)</w:t>
      </w:r>
      <w:r>
        <w:rPr>
          <w:rFonts w:hint="eastAsia"/>
        </w:rPr>
        <w:t>，经该妇女同意实施了将会造成该名妇女流产的行为，并且此行为导致该名妇女</w:t>
      </w:r>
      <w:r>
        <w:rPr>
          <w:rFonts w:hint="eastAsia"/>
        </w:rPr>
        <w:t>(</w:t>
      </w:r>
      <w:r>
        <w:rPr>
          <w:rFonts w:hint="eastAsia"/>
        </w:rPr>
        <w:t>受害人</w:t>
      </w:r>
      <w:r>
        <w:rPr>
          <w:rFonts w:hint="eastAsia"/>
        </w:rPr>
        <w:t>)</w:t>
      </w:r>
      <w:r>
        <w:rPr>
          <w:rFonts w:hint="eastAsia"/>
        </w:rPr>
        <w:t>死亡，则该人将面临</w:t>
      </w:r>
      <w:r>
        <w:rPr>
          <w:rFonts w:hint="eastAsia"/>
        </w:rPr>
        <w:t>10</w:t>
      </w:r>
      <w:r>
        <w:rPr>
          <w:rFonts w:hint="eastAsia"/>
        </w:rPr>
        <w:t>年以下监禁。</w:t>
      </w:r>
    </w:p>
    <w:p w:rsidR="007234DD" w:rsidRDefault="007234DD">
      <w:pPr>
        <w:pStyle w:val="SingleTxtGC"/>
      </w:pPr>
      <w:r>
        <w:t xml:space="preserve">359.  </w:t>
      </w:r>
      <w:r>
        <w:rPr>
          <w:rFonts w:hint="eastAsia"/>
        </w:rPr>
        <w:t>卡塔尔的生殖健康组织不遗余力地在其活动领域内提供服务：按照国家人口政策的总体目标组织了许多研讨会、讲习班、方案和媒体宣传。国家人口政策是鼓励卡塔尔公民</w:t>
      </w:r>
      <w:r>
        <w:rPr>
          <w:rFonts w:hint="eastAsia"/>
        </w:rPr>
        <w:t>(</w:t>
      </w:r>
      <w:r>
        <w:rPr>
          <w:rFonts w:hint="eastAsia"/>
        </w:rPr>
        <w:t>本国的少数人群</w:t>
      </w:r>
      <w:r>
        <w:rPr>
          <w:rFonts w:hint="eastAsia"/>
        </w:rPr>
        <w:t>)</w:t>
      </w:r>
      <w:r>
        <w:rPr>
          <w:rFonts w:hint="eastAsia"/>
        </w:rPr>
        <w:t>生育更多的子女，但要利用怀孕间隔期来保护母亲和子女的健康。</w:t>
      </w:r>
    </w:p>
    <w:p w:rsidR="007234DD" w:rsidRDefault="007234DD">
      <w:pPr>
        <w:pStyle w:val="H23GC"/>
      </w:pPr>
      <w:r>
        <w:tab/>
      </w:r>
      <w:r>
        <w:tab/>
      </w:r>
      <w:r>
        <w:rPr>
          <w:rFonts w:hint="eastAsia"/>
        </w:rPr>
        <w:t>针对外籍女居民的卫生服务</w:t>
      </w:r>
    </w:p>
    <w:p w:rsidR="007234DD" w:rsidRDefault="007234DD">
      <w:pPr>
        <w:pStyle w:val="SingleTxtGC"/>
      </w:pPr>
      <w:r>
        <w:t xml:space="preserve">360.  </w:t>
      </w:r>
      <w:r>
        <w:rPr>
          <w:rFonts w:hint="eastAsia"/>
        </w:rPr>
        <w:t>在提供治疗方面，卡塔尔的女公民和外籍女居民之间是没有区别的。哈马德总医院、妇产医院、阿尔霍尔医院和各个卫生中心接待所有人。正在进行的一个项目涉及在男女工人聚集区建立三家医院和五家新的卫生中心。</w:t>
      </w:r>
    </w:p>
    <w:p w:rsidR="007234DD" w:rsidRDefault="007234DD">
      <w:pPr>
        <w:pStyle w:val="SingleTxtGC"/>
      </w:pPr>
      <w:r>
        <w:t xml:space="preserve">361.  </w:t>
      </w:r>
      <w:r>
        <w:rPr>
          <w:rFonts w:hint="eastAsia"/>
        </w:rPr>
        <w:t>根据国家的卫生政策，包括妇女在内的所有求职者须接受医学检查，而且根据现行规章，必须向移徙工人提供卫生服务。</w:t>
      </w:r>
    </w:p>
    <w:p w:rsidR="007234DD" w:rsidRDefault="007234DD">
      <w:pPr>
        <w:pStyle w:val="SingleTxtGC"/>
      </w:pPr>
      <w:r>
        <w:t xml:space="preserve">362.  </w:t>
      </w:r>
      <w:r>
        <w:rPr>
          <w:rFonts w:hint="eastAsia"/>
        </w:rPr>
        <w:t>除了到位的公共卫生服务外，大部分私营企业还为其职工提供医疗保险。男女雇员从而可以获得最佳的卫生服务。</w:t>
      </w:r>
    </w:p>
    <w:p w:rsidR="007234DD" w:rsidRDefault="007234DD">
      <w:pPr>
        <w:pStyle w:val="H23GC"/>
      </w:pPr>
      <w:r>
        <w:tab/>
      </w:r>
      <w:r>
        <w:tab/>
      </w:r>
      <w:r>
        <w:rPr>
          <w:rFonts w:hint="eastAsia"/>
        </w:rPr>
        <w:t>卡塔尔的非政府部门在支持妇女保健供应方面的作用</w:t>
      </w:r>
    </w:p>
    <w:p w:rsidR="007234DD" w:rsidRDefault="007234DD">
      <w:pPr>
        <w:pStyle w:val="SingleTxtGC"/>
      </w:pPr>
      <w:r>
        <w:t xml:space="preserve">363.  </w:t>
      </w:r>
      <w:r>
        <w:rPr>
          <w:rFonts w:hint="eastAsia"/>
        </w:rPr>
        <w:t>过去几年，非政府部门在支持妇女保健供应方面发挥了重要作用，例如，有四家医院提供各类妇女保健服务，成为了政府在此领域内工作的有力补充。</w:t>
      </w:r>
    </w:p>
    <w:p w:rsidR="007234DD" w:rsidRDefault="007234DD">
      <w:pPr>
        <w:pStyle w:val="SingleTxtGC"/>
      </w:pPr>
      <w:r>
        <w:t xml:space="preserve">364.  </w:t>
      </w:r>
      <w:r>
        <w:rPr>
          <w:rFonts w:hint="eastAsia"/>
        </w:rPr>
        <w:t>一些协会，例如卡塔尔红新月会，为社会弱势群体提供医疗服务，并开展特别针对妇女的健康教育和宣传活动，旨在预防疾病并建设治疗疾病的能力。</w:t>
      </w:r>
    </w:p>
    <w:p w:rsidR="007234DD" w:rsidRDefault="007234DD">
      <w:pPr>
        <w:pStyle w:val="SingleTxtGC"/>
      </w:pPr>
      <w:r>
        <w:t xml:space="preserve">365.  </w:t>
      </w:r>
      <w:r>
        <w:rPr>
          <w:rFonts w:hint="eastAsia"/>
        </w:rPr>
        <w:t>卡塔尔打击人口贩运基金会为人口贩运受害者提供综合保健服务。保健是该基金会提供的重要服务之一，它将受虐待者送至医疗机构接受检查和后续护理，直到他们康复。因为医学委员会行政部门为所有工人提供的医疗检查中不包括妊娠检测，该基金会请求劳动部利用《劳动法》赋予其的权力迫使职介机构要求输出家庭帮佣国家的妇女接受妊娠检测，否则处以罚款。这是为了确保不因为忽视怀孕而对妇女的健康造成损害，并保护妇女免受职业病危害，保护儿童免受</w:t>
      </w:r>
      <w:r>
        <w:rPr>
          <w:rFonts w:hint="eastAsia"/>
        </w:rPr>
        <w:t>X</w:t>
      </w:r>
      <w:r>
        <w:rPr>
          <w:rFonts w:hint="eastAsia"/>
        </w:rPr>
        <w:t>射线或在标准医学检查中进行的其他程序的危害。劳动部对此表示赞同并向劳工组织和职介所散发了一份有关决定。</w:t>
      </w:r>
    </w:p>
    <w:p w:rsidR="007234DD" w:rsidRDefault="007234DD">
      <w:pPr>
        <w:pStyle w:val="SingleTxtGC"/>
      </w:pPr>
      <w:r>
        <w:t xml:space="preserve">366.  </w:t>
      </w:r>
      <w:r>
        <w:rPr>
          <w:rFonts w:hint="eastAsia"/>
        </w:rPr>
        <w:t>成立了若干提供卫生服务的协会。著名的有成立于</w:t>
      </w:r>
      <w:r>
        <w:rPr>
          <w:rFonts w:hint="eastAsia"/>
        </w:rPr>
        <w:t>1997</w:t>
      </w:r>
      <w:r>
        <w:rPr>
          <w:rFonts w:hint="eastAsia"/>
        </w:rPr>
        <w:t>年的卡塔尔癌症协会，该协会旨在建立国家防治癌症综合方案；为此目的提出建议和计划；协调参与癌症治疗的不同实体；举办癌症问题教育会议；全面传播信息和提高认识；向贫困的癌症患者提供援助；开展各种调查研究；探索治疗这种疾病的最新方法。卡塔尔糖尿病协会成立于</w:t>
      </w:r>
      <w:r>
        <w:rPr>
          <w:rFonts w:hint="eastAsia"/>
        </w:rPr>
        <w:t>1995</w:t>
      </w:r>
      <w:r>
        <w:rPr>
          <w:rFonts w:hint="eastAsia"/>
        </w:rPr>
        <w:t>年，旨在为糖尿病患者及其家人提供支助，使其能够享有正常有效的生活。该协会提高了人们对糖尿病成因的认识，向患者传授如何使用各种方法控制血糖水平来应对这一疾病。该协会与卫生和体育部门紧密合作，鼓励公众定期锻炼，保持健康饮食。对妇女给予特别关注，因为她们充当了家庭健康顾问。</w:t>
      </w:r>
    </w:p>
    <w:p w:rsidR="007234DD" w:rsidRDefault="007234DD">
      <w:pPr>
        <w:pStyle w:val="H23GC"/>
      </w:pPr>
      <w:r>
        <w:tab/>
      </w:r>
      <w:r>
        <w:tab/>
      </w:r>
      <w:r>
        <w:rPr>
          <w:rFonts w:hint="eastAsia"/>
        </w:rPr>
        <w:t>挑战和展望</w:t>
      </w:r>
    </w:p>
    <w:p w:rsidR="007234DD" w:rsidRDefault="007234DD">
      <w:pPr>
        <w:pStyle w:val="SingleTxtGC"/>
      </w:pPr>
      <w:r>
        <w:t xml:space="preserve">367.  </w:t>
      </w:r>
      <w:r>
        <w:rPr>
          <w:rFonts w:hint="eastAsia"/>
        </w:rPr>
        <w:t>卡塔尔的卫生系统取得了长足进步，为所有男性和女性，不论是公民还是外籍定居者，提供了平等获取高质量服务的机会。尽管如此，持续不断的挑战困扰着妇女的健康状况，男性也面临着同样的挑战，尤其是缺少能够提高对某些健康风险的认识的方案以及盛行以不运动和缺乏锻炼为代表的生活方式，此类生活方式导致了诸如糖尿病和高血压等疾病。</w:t>
      </w:r>
    </w:p>
    <w:p w:rsidR="007234DD" w:rsidRDefault="007234DD">
      <w:pPr>
        <w:pStyle w:val="SingleTxtGC"/>
      </w:pPr>
      <w:r>
        <w:t xml:space="preserve">368.  </w:t>
      </w:r>
      <w:r>
        <w:rPr>
          <w:rFonts w:hint="eastAsia"/>
        </w:rPr>
        <w:t>此外，卫生部门受到本国人员短缺的制约：医生中，卡塔尔人不超过</w:t>
      </w:r>
      <w:r>
        <w:rPr>
          <w:rFonts w:hint="eastAsia"/>
        </w:rPr>
        <w:t>23%</w:t>
      </w:r>
      <w:r>
        <w:rPr>
          <w:rFonts w:hint="eastAsia"/>
        </w:rPr>
        <w:t>；护士中，卡塔尔人不超过</w:t>
      </w:r>
      <w:r>
        <w:rPr>
          <w:rFonts w:hint="eastAsia"/>
        </w:rPr>
        <w:t>9%</w:t>
      </w:r>
      <w:r>
        <w:rPr>
          <w:rFonts w:hint="eastAsia"/>
        </w:rPr>
        <w:t>。然而，此方面的一个积极指标是，卡塔尔籍的女医生约为男医生的两倍</w:t>
      </w:r>
      <w:r>
        <w:rPr>
          <w:rFonts w:hint="eastAsia"/>
        </w:rPr>
        <w:t>(</w:t>
      </w:r>
      <w:r>
        <w:rPr>
          <w:rFonts w:hint="eastAsia"/>
        </w:rPr>
        <w:t>女医生有</w:t>
      </w:r>
      <w:r>
        <w:rPr>
          <w:rFonts w:hint="eastAsia"/>
        </w:rPr>
        <w:t>341</w:t>
      </w:r>
      <w:r>
        <w:rPr>
          <w:rFonts w:hint="eastAsia"/>
        </w:rPr>
        <w:t>名，而男医生只有</w:t>
      </w:r>
      <w:r>
        <w:rPr>
          <w:rFonts w:hint="eastAsia"/>
        </w:rPr>
        <w:t>178</w:t>
      </w:r>
      <w:r>
        <w:rPr>
          <w:rFonts w:hint="eastAsia"/>
        </w:rPr>
        <w:t>名</w:t>
      </w:r>
      <w:r>
        <w:rPr>
          <w:rFonts w:hint="eastAsia"/>
        </w:rPr>
        <w:t>)</w:t>
      </w:r>
      <w:r>
        <w:rPr>
          <w:rFonts w:hint="eastAsia"/>
        </w:rPr>
        <w:t>。</w:t>
      </w:r>
    </w:p>
    <w:p w:rsidR="007234DD" w:rsidRDefault="007234DD">
      <w:pPr>
        <w:pStyle w:val="SingleTxtGC"/>
        <w:rPr>
          <w:rFonts w:hint="eastAsia"/>
        </w:rPr>
      </w:pPr>
      <w:r>
        <w:t xml:space="preserve">369.  </w:t>
      </w:r>
      <w:r>
        <w:rPr>
          <w:rFonts w:hint="eastAsia"/>
        </w:rPr>
        <w:t>卡塔尔期待通过持续努力改善其卫生系统，制订有关妇女健康的战略，加强针对妇女的预防性保健方案以及开发针对妇女的初级保健服务和精神卫生设施，成为有关妇女卫生赋权的最佳范例之一。</w:t>
      </w:r>
    </w:p>
    <w:p w:rsidR="007234DD" w:rsidRDefault="007234DD">
      <w:pPr>
        <w:pStyle w:val="SingleTxtGC"/>
      </w:pPr>
      <w:r>
        <w:t xml:space="preserve">370.  </w:t>
      </w:r>
      <w:r>
        <w:rPr>
          <w:rFonts w:hint="eastAsia"/>
        </w:rPr>
        <w:t>在这方面，国家寻求与民间团体合作，通过活动提升健康认识，减少有害健康的行为在全社会</w:t>
      </w:r>
      <w:r>
        <w:rPr>
          <w:rFonts w:hint="eastAsia"/>
        </w:rPr>
        <w:t>(</w:t>
      </w:r>
      <w:r>
        <w:rPr>
          <w:rFonts w:hint="eastAsia"/>
        </w:rPr>
        <w:t>特别是妇女中</w:t>
      </w:r>
      <w:r>
        <w:rPr>
          <w:rFonts w:hint="eastAsia"/>
        </w:rPr>
        <w:t>)</w:t>
      </w:r>
      <w:r>
        <w:rPr>
          <w:rFonts w:hint="eastAsia"/>
        </w:rPr>
        <w:t>的传播。</w:t>
      </w:r>
    </w:p>
    <w:p w:rsidR="007234DD" w:rsidRDefault="007234DD">
      <w:pPr>
        <w:pStyle w:val="H1GC"/>
      </w:pPr>
      <w:r>
        <w:tab/>
      </w:r>
      <w:r>
        <w:tab/>
      </w:r>
      <w:r>
        <w:rPr>
          <w:rFonts w:hint="eastAsia"/>
        </w:rPr>
        <w:t>第十三条</w:t>
      </w:r>
      <w:r>
        <w:br/>
      </w:r>
      <w:r>
        <w:rPr>
          <w:rFonts w:hint="eastAsia"/>
        </w:rPr>
        <w:t>经济和社会福利</w:t>
      </w:r>
    </w:p>
    <w:p w:rsidR="007234DD" w:rsidRDefault="007234DD">
      <w:pPr>
        <w:pStyle w:val="H23GC"/>
      </w:pPr>
      <w:r>
        <w:tab/>
      </w:r>
      <w:r>
        <w:tab/>
      </w:r>
      <w:r>
        <w:rPr>
          <w:rFonts w:hint="eastAsia"/>
        </w:rPr>
        <w:t>享有家庭福利的权利</w:t>
      </w:r>
    </w:p>
    <w:p w:rsidR="007234DD" w:rsidRDefault="007234DD">
      <w:pPr>
        <w:pStyle w:val="SingleTxtGC"/>
      </w:pPr>
      <w:r>
        <w:t xml:space="preserve">371.  </w:t>
      </w:r>
      <w:r>
        <w:rPr>
          <w:rFonts w:hint="eastAsia"/>
        </w:rPr>
        <w:t>与经济和社会福利有关的所有法律均强调男女平等。例如，经修正的《退休和养老金法》</w:t>
      </w:r>
      <w:r>
        <w:rPr>
          <w:rFonts w:hint="eastAsia"/>
        </w:rPr>
        <w:t>(2002</w:t>
      </w:r>
      <w:r>
        <w:rPr>
          <w:rFonts w:hint="eastAsia"/>
        </w:rPr>
        <w:t>年第</w:t>
      </w:r>
      <w:r>
        <w:rPr>
          <w:rFonts w:hint="eastAsia"/>
        </w:rPr>
        <w:t>24</w:t>
      </w:r>
      <w:r>
        <w:rPr>
          <w:rFonts w:hint="eastAsia"/>
        </w:rPr>
        <w:t>号法</w:t>
      </w:r>
      <w:r>
        <w:rPr>
          <w:rFonts w:hint="eastAsia"/>
        </w:rPr>
        <w:t>)</w:t>
      </w:r>
      <w:r>
        <w:rPr>
          <w:rFonts w:hint="eastAsia"/>
        </w:rPr>
        <w:t>不以性别为由区别对待工人和公务员。此外，该法律还向参与退休金计划的妇女或领取退休金的妇女提供男性没有的优惠。例如，丧夫的养老金领取者可以将她的薪水或养老金与她在亡夫养老金中应得的权益合并，金额无上限。女儿也有权将其养老金与她在父亲或母亲</w:t>
      </w:r>
      <w:r>
        <w:rPr>
          <w:rFonts w:hint="eastAsia"/>
        </w:rPr>
        <w:t>(</w:t>
      </w:r>
      <w:r>
        <w:rPr>
          <w:rFonts w:hint="eastAsia"/>
        </w:rPr>
        <w:t>或父母双方</w:t>
      </w:r>
      <w:r>
        <w:rPr>
          <w:rFonts w:hint="eastAsia"/>
        </w:rPr>
        <w:t>)</w:t>
      </w:r>
      <w:r>
        <w:rPr>
          <w:rFonts w:hint="eastAsia"/>
        </w:rPr>
        <w:t>的养老金中应得的权益合并。</w:t>
      </w:r>
    </w:p>
    <w:p w:rsidR="007234DD" w:rsidRDefault="007234DD">
      <w:pPr>
        <w:pStyle w:val="SingleTxtGC"/>
      </w:pPr>
      <w:r>
        <w:t xml:space="preserve">372.  </w:t>
      </w:r>
      <w:r>
        <w:rPr>
          <w:rFonts w:hint="eastAsia"/>
        </w:rPr>
        <w:t>卡塔尔女性公务员过去在社会福利津贴方面曾遭歧视，该津贴对她们的男性同行有利：根据法则，有子女的男公务员担负养家责任，女公务员得到单身人士津贴</w:t>
      </w:r>
      <w:r>
        <w:rPr>
          <w:rFonts w:hint="eastAsia"/>
        </w:rPr>
        <w:t>(</w:t>
      </w:r>
      <w:r>
        <w:rPr>
          <w:rFonts w:hint="eastAsia"/>
        </w:rPr>
        <w:t>相较于已婚人士津贴，金额偏少</w:t>
      </w:r>
      <w:r>
        <w:rPr>
          <w:rFonts w:hint="eastAsia"/>
        </w:rPr>
        <w:t>)</w:t>
      </w:r>
      <w:r>
        <w:rPr>
          <w:rFonts w:hint="eastAsia"/>
        </w:rPr>
        <w:t>。若女公务员要得到已婚人士津贴或子女支助津贴，她必须能够证明自己负责养家。然而，根据</w:t>
      </w:r>
      <w:r>
        <w:rPr>
          <w:rFonts w:hint="eastAsia"/>
        </w:rPr>
        <w:t>2009</w:t>
      </w:r>
      <w:r>
        <w:rPr>
          <w:rFonts w:hint="eastAsia"/>
        </w:rPr>
        <w:t>年的《人力资源管理法》，妇女得到了公平对待，支付给公务员的已婚人士津贴或儿童支助津贴不加歧视地被授予有权得到最高津贴的一方配偶。另一方配偶则得到单身人士津贴。该法还规定，若已婚女公务员的丈夫已退休或提前退休，或因入狱而停止发放薪金，则女方有资格获得已婚人士津贴。</w:t>
      </w:r>
    </w:p>
    <w:p w:rsidR="007234DD" w:rsidRDefault="007234DD">
      <w:pPr>
        <w:pStyle w:val="SingleTxtGC"/>
      </w:pPr>
      <w:r>
        <w:t xml:space="preserve">373.  </w:t>
      </w:r>
      <w:r>
        <w:rPr>
          <w:rFonts w:hint="eastAsia"/>
        </w:rPr>
        <w:t>根据《住房法》</w:t>
      </w:r>
      <w:r>
        <w:rPr>
          <w:rFonts w:hint="eastAsia"/>
        </w:rPr>
        <w:t>(2007</w:t>
      </w:r>
      <w:r>
        <w:rPr>
          <w:rFonts w:hint="eastAsia"/>
        </w:rPr>
        <w:t>年第</w:t>
      </w:r>
      <w:r>
        <w:rPr>
          <w:rFonts w:hint="eastAsia"/>
        </w:rPr>
        <w:t>2</w:t>
      </w:r>
      <w:r>
        <w:rPr>
          <w:rFonts w:hint="eastAsia"/>
        </w:rPr>
        <w:t>号法</w:t>
      </w:r>
      <w:r>
        <w:rPr>
          <w:rFonts w:hint="eastAsia"/>
        </w:rPr>
        <w:t>)</w:t>
      </w:r>
      <w:r>
        <w:rPr>
          <w:rFonts w:hint="eastAsia"/>
        </w:rPr>
        <w:t>，卡塔尔妇女可根据国家住房计划分配住房。在该计划中，下列群体享有优先权：家庭供养者、已婚夫妇和弱势群体。国家为满足</w:t>
      </w:r>
      <w:r>
        <w:rPr>
          <w:rFonts w:hint="eastAsia"/>
        </w:rPr>
        <w:t>2007</w:t>
      </w:r>
      <w:r>
        <w:rPr>
          <w:rFonts w:hint="eastAsia"/>
        </w:rPr>
        <w:t>年第</w:t>
      </w:r>
      <w:r>
        <w:rPr>
          <w:rFonts w:hint="eastAsia"/>
        </w:rPr>
        <w:t>18</w:t>
      </w:r>
      <w:r>
        <w:rPr>
          <w:rFonts w:hint="eastAsia"/>
        </w:rPr>
        <w:t>号内阁决定规定之条件的弱势群体公民提供免费住房。根据该决定，之前住房计划的申请资格被放宽。该法适用于所有贫困的女性公民群体，包括寡妇、离婚妇女、老年妇女和与非卡塔尔人结婚的妇女。申请人有资格获得根据该计划提供的一套住房或租金补贴。</w:t>
      </w:r>
      <w:r>
        <w:rPr>
          <w:rFonts w:hint="eastAsia"/>
        </w:rPr>
        <w:t>2007</w:t>
      </w:r>
      <w:r>
        <w:rPr>
          <w:rFonts w:hint="eastAsia"/>
        </w:rPr>
        <w:t>年第</w:t>
      </w:r>
      <w:r>
        <w:rPr>
          <w:rFonts w:hint="eastAsia"/>
        </w:rPr>
        <w:t>17</w:t>
      </w:r>
      <w:r>
        <w:rPr>
          <w:rFonts w:hint="eastAsia"/>
        </w:rPr>
        <w:t>号内阁决定还载有关于资格的规定，首次允许卡塔尔籍妇女从住房计划中受益</w:t>
      </w:r>
      <w:r>
        <w:rPr>
          <w:rFonts w:hint="eastAsia"/>
        </w:rPr>
        <w:t>(</w:t>
      </w:r>
      <w:r>
        <w:rPr>
          <w:rFonts w:hint="eastAsia"/>
        </w:rPr>
        <w:t>给予土地、国家补贴建设贷款</w:t>
      </w:r>
      <w:r>
        <w:rPr>
          <w:rFonts w:hint="eastAsia"/>
        </w:rPr>
        <w:t>)</w:t>
      </w:r>
      <w:r>
        <w:rPr>
          <w:rFonts w:hint="eastAsia"/>
        </w:rPr>
        <w:t>，并将丧偶或离婚的妇女以及年满</w:t>
      </w:r>
      <w:r>
        <w:rPr>
          <w:rFonts w:hint="eastAsia"/>
        </w:rPr>
        <w:t>35</w:t>
      </w:r>
      <w:r>
        <w:rPr>
          <w:rFonts w:hint="eastAsia"/>
        </w:rPr>
        <w:t>岁的未婚或是家庭经济支柱的妇女列为受益人。</w:t>
      </w:r>
    </w:p>
    <w:p w:rsidR="007234DD" w:rsidRDefault="007234DD">
      <w:pPr>
        <w:pStyle w:val="H23GC"/>
      </w:pPr>
      <w:r>
        <w:tab/>
      </w:r>
      <w:r>
        <w:tab/>
      </w:r>
      <w:r>
        <w:rPr>
          <w:rFonts w:hint="eastAsia"/>
        </w:rPr>
        <w:t>获得银行贷款、抵押及其他形式金融信贷的权利</w:t>
      </w:r>
    </w:p>
    <w:p w:rsidR="007234DD" w:rsidRDefault="007234DD">
      <w:pPr>
        <w:pStyle w:val="SingleTxtGC"/>
      </w:pPr>
      <w:r>
        <w:t xml:space="preserve">374.  </w:t>
      </w:r>
      <w:r>
        <w:rPr>
          <w:rFonts w:hint="eastAsia"/>
        </w:rPr>
        <w:t>卡塔尔的银行在向客户发放贷款时，不因性别而区别对待。根据卡塔尔中央银行发布的指示，传统银行和伊斯兰银行向所有客户</w:t>
      </w:r>
      <w:r>
        <w:rPr>
          <w:rFonts w:hint="eastAsia"/>
        </w:rPr>
        <w:t>(</w:t>
      </w:r>
      <w:r>
        <w:rPr>
          <w:rFonts w:hint="eastAsia"/>
        </w:rPr>
        <w:t>不论性别</w:t>
      </w:r>
      <w:r>
        <w:rPr>
          <w:rFonts w:hint="eastAsia"/>
        </w:rPr>
        <w:t>)</w:t>
      </w:r>
      <w:r>
        <w:rPr>
          <w:rFonts w:hint="eastAsia"/>
        </w:rPr>
        <w:t>发放金融信贷。</w:t>
      </w:r>
    </w:p>
    <w:p w:rsidR="007234DD" w:rsidRDefault="007234DD">
      <w:pPr>
        <w:pStyle w:val="SingleTxtGC"/>
      </w:pPr>
      <w:r>
        <w:t xml:space="preserve">375.  </w:t>
      </w:r>
      <w:r>
        <w:rPr>
          <w:rFonts w:hint="eastAsia"/>
        </w:rPr>
        <w:t>三家机构帮助提高妇女对获得贷款机制的认识，它们是：社会发展中心、发展银行和海湾工业协商组织。</w:t>
      </w:r>
    </w:p>
    <w:p w:rsidR="007234DD" w:rsidRDefault="007234DD">
      <w:pPr>
        <w:pStyle w:val="SingleTxtGC"/>
      </w:pPr>
      <w:r>
        <w:t xml:space="preserve">376.  </w:t>
      </w:r>
      <w:r>
        <w:rPr>
          <w:rFonts w:hint="eastAsia"/>
        </w:rPr>
        <w:t>卡塔尔妇女可以和男性一样为小企业融资获得贷款。但女性的利用率偏低。这不是立法问题，而是由个人、社会或文化因素造成的。</w:t>
      </w:r>
    </w:p>
    <w:p w:rsidR="007234DD" w:rsidRDefault="007234DD">
      <w:pPr>
        <w:pStyle w:val="SingleTxtGC"/>
      </w:pPr>
      <w:r>
        <w:t xml:space="preserve">377.  </w:t>
      </w:r>
      <w:r>
        <w:rPr>
          <w:rFonts w:hint="eastAsia"/>
        </w:rPr>
        <w:t>国家银行设有专门的支行，为妇女提供各种银行服务。这有助于妇女管理自身财务，无需中介。因为一般支行仍面向两性提供服务，所以妇女可选择最适合她们的选项。</w:t>
      </w:r>
    </w:p>
    <w:p w:rsidR="007234DD" w:rsidRDefault="007234DD">
      <w:pPr>
        <w:pStyle w:val="H23GC"/>
      </w:pPr>
      <w:r>
        <w:tab/>
      </w:r>
      <w:r>
        <w:tab/>
      </w:r>
      <w:r>
        <w:rPr>
          <w:rFonts w:hint="eastAsia"/>
        </w:rPr>
        <w:t>参加康乐活动、体育和各类文化生活的权利</w:t>
      </w:r>
    </w:p>
    <w:p w:rsidR="007234DD" w:rsidRDefault="007234DD">
      <w:pPr>
        <w:pStyle w:val="SingleTxtGC"/>
      </w:pPr>
      <w:r>
        <w:t xml:space="preserve">378.  </w:t>
      </w:r>
      <w:r>
        <w:rPr>
          <w:rFonts w:hint="eastAsia"/>
        </w:rPr>
        <w:t>根据最高家庭事务委员会主席</w:t>
      </w:r>
      <w:r>
        <w:rPr>
          <w:rFonts w:hint="eastAsia"/>
        </w:rPr>
        <w:t>2000</w:t>
      </w:r>
      <w:r>
        <w:rPr>
          <w:rFonts w:hint="eastAsia"/>
        </w:rPr>
        <w:t>年第</w:t>
      </w:r>
      <w:r>
        <w:rPr>
          <w:rFonts w:hint="eastAsia"/>
        </w:rPr>
        <w:t>3</w:t>
      </w:r>
      <w:r>
        <w:rPr>
          <w:rFonts w:hint="eastAsia"/>
        </w:rPr>
        <w:t>号决定，在卡塔尔成立了妇女体育委员会，作为最高家庭事务委员会的一个志愿委员会。为使其能够在一个法律框架下运作，按照卡塔尔奥林匹克委员会主席谢赫·塔米姆·本·哈马德·本·哈利法·阿勒萨尼王储殿下的第</w:t>
      </w:r>
      <w:r>
        <w:rPr>
          <w:rFonts w:hint="eastAsia"/>
        </w:rPr>
        <w:t>112</w:t>
      </w:r>
      <w:r>
        <w:rPr>
          <w:rFonts w:hint="eastAsia"/>
        </w:rPr>
        <w:t>号决定，该委员会于</w:t>
      </w:r>
      <w:smartTag w:uri="urn:schemas-microsoft-com:office:smarttags" w:element="chsdate">
        <w:smartTagPr>
          <w:attr w:name="Year" w:val="2001"/>
          <w:attr w:name="Month" w:val="3"/>
          <w:attr w:name="Day" w:val="18"/>
          <w:attr w:name="IsLunarDate" w:val="False"/>
          <w:attr w:name="IsROCDate" w:val="False"/>
        </w:smartTagPr>
        <w:r>
          <w:rPr>
            <w:rFonts w:hint="eastAsia"/>
          </w:rPr>
          <w:t>2001</w:t>
        </w:r>
        <w:r>
          <w:rPr>
            <w:rFonts w:hint="eastAsia"/>
          </w:rPr>
          <w:t>年</w:t>
        </w:r>
        <w:r>
          <w:rPr>
            <w:rFonts w:hint="eastAsia"/>
          </w:rPr>
          <w:t>3</w:t>
        </w:r>
        <w:r>
          <w:rPr>
            <w:rFonts w:hint="eastAsia"/>
          </w:rPr>
          <w:t>月</w:t>
        </w:r>
        <w:r>
          <w:rPr>
            <w:rFonts w:hint="eastAsia"/>
          </w:rPr>
          <w:t>18</w:t>
        </w:r>
        <w:r>
          <w:rPr>
            <w:rFonts w:hint="eastAsia"/>
          </w:rPr>
          <w:t>日</w:t>
        </w:r>
      </w:smartTag>
      <w:r>
        <w:rPr>
          <w:rFonts w:hint="eastAsia"/>
        </w:rPr>
        <w:t>并入卡塔尔奥委会，被命名为卡塔尔妇女体育委员会，主要目的是促进妇女体育事业，改善妇女体育活动的技术和行政标准，加强卡塔尔妇女在这些活动中的参与度。卡塔尔目前有六所针对女童和妇女的体育机构，两所位于多哈市，三所在赖扬市，还有一所位于乌姆市。</w:t>
      </w:r>
    </w:p>
    <w:p w:rsidR="007234DD" w:rsidRDefault="007234DD">
      <w:pPr>
        <w:pStyle w:val="SingleTxtGC"/>
      </w:pPr>
      <w:r>
        <w:t xml:space="preserve">379.  </w:t>
      </w:r>
      <w:r>
        <w:rPr>
          <w:rFonts w:hint="eastAsia"/>
        </w:rPr>
        <w:t>妇女积极参与卡塔尔的各类文化生活，参与由文化、艺术与遗产部和各类政府和非政府机构或组织举办的活动，以及参与各领域的文化、艺术和创意表达。自</w:t>
      </w:r>
      <w:r>
        <w:rPr>
          <w:rFonts w:hint="eastAsia"/>
        </w:rPr>
        <w:t>2003</w:t>
      </w:r>
      <w:r>
        <w:rPr>
          <w:rFonts w:hint="eastAsia"/>
        </w:rPr>
        <w:t>年首次设立国家奖项以来，有若干妇女在多个种类中获奖。</w:t>
      </w:r>
    </w:p>
    <w:p w:rsidR="007234DD" w:rsidRDefault="007234DD">
      <w:pPr>
        <w:pStyle w:val="H23GC"/>
      </w:pPr>
      <w:r>
        <w:tab/>
      </w:r>
      <w:r>
        <w:tab/>
      </w:r>
      <w:bookmarkStart w:id="16" w:name="OLE_LINK1"/>
      <w:r>
        <w:rPr>
          <w:rFonts w:hint="eastAsia"/>
        </w:rPr>
        <w:t>挑战和未来展望</w:t>
      </w:r>
    </w:p>
    <w:p w:rsidR="007234DD" w:rsidRDefault="007234DD">
      <w:pPr>
        <w:pStyle w:val="SingleTxtGC"/>
      </w:pPr>
      <w:r>
        <w:t xml:space="preserve">380.  </w:t>
      </w:r>
      <w:r>
        <w:rPr>
          <w:rFonts w:hint="eastAsia"/>
        </w:rPr>
        <w:t>实际上，妇女缺乏对财务和投资事务的认识，缺乏获得银行贷款的便利途径。卡塔尔的经济繁荣带来了更多的投资机会，产生了一些被误导的项目，一些妇女涉足于此，陷入债务陷阱。针对这一情况，需要做出进一步努力以向妇女传授有关债务风险的知识和创立项目的前提条件。为此已制订了许多方案。例如，在社会发展中心内成立了一个针对中小型企业的发展中心。</w:t>
      </w:r>
    </w:p>
    <w:p w:rsidR="007234DD" w:rsidRDefault="007234DD">
      <w:pPr>
        <w:pStyle w:val="SingleTxtGC"/>
        <w:rPr>
          <w:rFonts w:hint="eastAsia"/>
        </w:rPr>
      </w:pPr>
      <w:r>
        <w:t xml:space="preserve">381.  </w:t>
      </w:r>
      <w:r>
        <w:rPr>
          <w:rFonts w:hint="eastAsia"/>
        </w:rPr>
        <w:t>难以确定妇女拥有多少企业，因为出于社会和文化的原因，妇女利用自己丈夫或儿子的名字注册企业，一项经最高家庭事务委员会委托，由海湾工业协商组织开展的探索研究已证实了这一点。</w:t>
      </w:r>
    </w:p>
    <w:p w:rsidR="007234DD" w:rsidRDefault="007234DD">
      <w:pPr>
        <w:pStyle w:val="SingleTxtGC"/>
      </w:pPr>
      <w:r>
        <w:t xml:space="preserve">382.  </w:t>
      </w:r>
      <w:r>
        <w:rPr>
          <w:rFonts w:hint="eastAsia"/>
        </w:rPr>
        <w:t>实际上，妇女对于由政府提供的家庭住房和社会保障福利也不太了解。</w:t>
      </w:r>
    </w:p>
    <w:p w:rsidR="007234DD" w:rsidRDefault="007234DD">
      <w:pPr>
        <w:pStyle w:val="SingleTxtGC"/>
      </w:pPr>
      <w:r>
        <w:t xml:space="preserve">383.  </w:t>
      </w:r>
      <w:r>
        <w:rPr>
          <w:rFonts w:hint="eastAsia"/>
        </w:rPr>
        <w:t>为解决这些难题，各部委和相关非政府组织采取多种措施提高妇女在管理贷款和投资、创立小企业和利用各种方案为这些企业供资方面的能力。社会事务部已加大力度提高妇女对其住房和社会保障权利的认识，并使其更为容易地得到这些权利。该部还按照生产性家庭方案，加大力度支持低收入妇女实现经济独立。为此，社会事务部成立了名为生产性家庭司的专门部门。</w:t>
      </w:r>
    </w:p>
    <w:p w:rsidR="007234DD" w:rsidRDefault="007234DD">
      <w:pPr>
        <w:pStyle w:val="H1GC"/>
      </w:pPr>
      <w:r>
        <w:tab/>
      </w:r>
      <w:r>
        <w:tab/>
      </w:r>
      <w:r>
        <w:rPr>
          <w:rFonts w:hint="eastAsia"/>
        </w:rPr>
        <w:t>第十四条</w:t>
      </w:r>
      <w:r>
        <w:br/>
      </w:r>
      <w:r>
        <w:rPr>
          <w:rFonts w:hint="eastAsia"/>
        </w:rPr>
        <w:t>农村妇女</w:t>
      </w:r>
    </w:p>
    <w:p w:rsidR="007234DD" w:rsidRDefault="007234DD">
      <w:pPr>
        <w:pStyle w:val="SingleTxtGC"/>
      </w:pPr>
      <w:r>
        <w:t xml:space="preserve">384.  </w:t>
      </w:r>
      <w:r>
        <w:rPr>
          <w:rFonts w:hint="eastAsia"/>
        </w:rPr>
        <w:t>“</w:t>
      </w:r>
      <w:r>
        <w:t>缔约各国应考虑到农村妇女面</w:t>
      </w:r>
      <w:r>
        <w:rPr>
          <w:rFonts w:hint="eastAsia"/>
        </w:rPr>
        <w:t>临</w:t>
      </w:r>
      <w:r>
        <w:t>的特殊问题和她们对家庭生计包括她们在经济</w:t>
      </w:r>
      <w:r>
        <w:rPr>
          <w:rFonts w:hint="eastAsia"/>
        </w:rPr>
        <w:t>体系中非商品化</w:t>
      </w:r>
      <w:r>
        <w:t>部门的工作方面所发挥的重要作用；并应采取一切适当措施，保证对农村地区妇女适用本公约的各项规定。</w:t>
      </w:r>
      <w:r>
        <w:rPr>
          <w:rFonts w:hint="eastAsia"/>
        </w:rPr>
        <w:t>”</w:t>
      </w:r>
    </w:p>
    <w:p w:rsidR="007234DD" w:rsidRDefault="007234DD">
      <w:pPr>
        <w:pStyle w:val="SingleTxtGC"/>
      </w:pPr>
      <w:r>
        <w:t xml:space="preserve">385.  </w:t>
      </w:r>
      <w:r>
        <w:rPr>
          <w:rFonts w:hint="eastAsia"/>
        </w:rPr>
        <w:t>“</w:t>
      </w:r>
      <w:r>
        <w:t>缔约各国应采取一切适当措施</w:t>
      </w:r>
      <w:r>
        <w:rPr>
          <w:rFonts w:hint="eastAsia"/>
        </w:rPr>
        <w:t>以</w:t>
      </w:r>
      <w:r>
        <w:t>消除对农村妇女的歧视，保证她们在男女平等的基础上参与农村发展</w:t>
      </w:r>
      <w:r>
        <w:rPr>
          <w:rFonts w:hint="eastAsia"/>
        </w:rPr>
        <w:t>并受其益惠</w:t>
      </w:r>
      <w:r>
        <w:t>，尤其是保证她们有权：</w:t>
      </w:r>
    </w:p>
    <w:p w:rsidR="007234DD" w:rsidRDefault="007234DD">
      <w:pPr>
        <w:pStyle w:val="SingleTxtGC"/>
        <w:numPr>
          <w:ilvl w:val="0"/>
          <w:numId w:val="21"/>
        </w:numPr>
      </w:pPr>
      <w:r>
        <w:rPr>
          <w:rFonts w:hint="eastAsia"/>
        </w:rPr>
        <w:t>参与各级发展规划的拟订和执行工作；</w:t>
      </w:r>
    </w:p>
    <w:p w:rsidR="007234DD" w:rsidRDefault="007234DD">
      <w:pPr>
        <w:pStyle w:val="SingleTxtGC"/>
        <w:numPr>
          <w:ilvl w:val="0"/>
          <w:numId w:val="21"/>
        </w:numPr>
      </w:pPr>
      <w:r>
        <w:rPr>
          <w:rFonts w:hint="eastAsia"/>
        </w:rPr>
        <w:t>利用充分的保健设施，包括计划生育方面的知识、辅导和服务；</w:t>
      </w:r>
    </w:p>
    <w:p w:rsidR="007234DD" w:rsidRDefault="007234DD">
      <w:pPr>
        <w:pStyle w:val="SingleTxtGC"/>
        <w:numPr>
          <w:ilvl w:val="0"/>
          <w:numId w:val="21"/>
        </w:numPr>
      </w:pPr>
      <w:r>
        <w:rPr>
          <w:rFonts w:hint="eastAsia"/>
        </w:rPr>
        <w:t>从社会保障方案直接受益；</w:t>
      </w:r>
    </w:p>
    <w:p w:rsidR="007234DD" w:rsidRDefault="007234DD">
      <w:pPr>
        <w:pStyle w:val="SingleTxtGC"/>
        <w:numPr>
          <w:ilvl w:val="0"/>
          <w:numId w:val="21"/>
        </w:numPr>
      </w:pPr>
      <w:r>
        <w:rPr>
          <w:rFonts w:hint="eastAsia"/>
        </w:rPr>
        <w:t>接受各种正式和非正式的培训和教育，包括有关实用读写能力的培训和教育在内，以及除了别的以外，享受一切社区服务和推广服务的益惠，以提高她们的技术熟练程度；</w:t>
      </w:r>
    </w:p>
    <w:p w:rsidR="007234DD" w:rsidRDefault="007234DD">
      <w:pPr>
        <w:pStyle w:val="SingleTxtGC"/>
        <w:numPr>
          <w:ilvl w:val="0"/>
          <w:numId w:val="21"/>
        </w:numPr>
      </w:pPr>
      <w:r>
        <w:rPr>
          <w:rFonts w:hint="eastAsia"/>
        </w:rPr>
        <w:t>组织自助团体和合作社，以通过受雇和自营职业的途径取得平等的经济机会；</w:t>
      </w:r>
    </w:p>
    <w:p w:rsidR="007234DD" w:rsidRDefault="007234DD">
      <w:pPr>
        <w:pStyle w:val="SingleTxtGC"/>
        <w:numPr>
          <w:ilvl w:val="0"/>
          <w:numId w:val="21"/>
        </w:numPr>
      </w:pPr>
      <w:r>
        <w:rPr>
          <w:rFonts w:hint="eastAsia"/>
        </w:rPr>
        <w:t>参加一切社区活动；</w:t>
      </w:r>
    </w:p>
    <w:p w:rsidR="007234DD" w:rsidRDefault="007234DD">
      <w:pPr>
        <w:pStyle w:val="SingleTxtGC"/>
        <w:numPr>
          <w:ilvl w:val="0"/>
          <w:numId w:val="21"/>
        </w:numPr>
      </w:pPr>
      <w:r>
        <w:rPr>
          <w:rFonts w:hint="eastAsia"/>
        </w:rPr>
        <w:t>有机会取得农业信贷，利用销售设施，获得适当技术，并在土地改革和土地垦殖计划方面享有平等待遇；</w:t>
      </w:r>
    </w:p>
    <w:p w:rsidR="007234DD" w:rsidRDefault="007234DD">
      <w:pPr>
        <w:pStyle w:val="SingleTxtGC"/>
        <w:numPr>
          <w:ilvl w:val="0"/>
          <w:numId w:val="21"/>
        </w:numPr>
      </w:pPr>
      <w:r>
        <w:rPr>
          <w:rFonts w:hint="eastAsia"/>
        </w:rPr>
        <w:t>享受适当的生活条件，特别是在住房、卫生、水电供应、交通和通讯等方面。”</w:t>
      </w:r>
    </w:p>
    <w:p w:rsidR="007234DD" w:rsidRDefault="007234DD">
      <w:pPr>
        <w:pStyle w:val="SingleTxtGC"/>
      </w:pPr>
      <w:r>
        <w:t xml:space="preserve">386.  </w:t>
      </w:r>
      <w:r>
        <w:rPr>
          <w:rFonts w:hint="eastAsia"/>
        </w:rPr>
        <w:t>没有关于卡塔尔农村妇女的评论，这是因为卡塔尔基本上没有农村地区。卡塔尔面积为</w:t>
      </w:r>
      <w:r>
        <w:rPr>
          <w:rFonts w:hint="eastAsia"/>
        </w:rPr>
        <w:t>11,437</w:t>
      </w:r>
      <w:r>
        <w:rPr>
          <w:rFonts w:hint="eastAsia"/>
        </w:rPr>
        <w:t>平方公里，常住人口约</w:t>
      </w:r>
      <w:r>
        <w:rPr>
          <w:rFonts w:hint="eastAsia"/>
        </w:rPr>
        <w:t>167</w:t>
      </w:r>
      <w:r>
        <w:rPr>
          <w:rFonts w:hint="eastAsia"/>
        </w:rPr>
        <w:t>万，其中绝大多数人口集中在多哈市</w:t>
      </w:r>
      <w:r>
        <w:rPr>
          <w:rFonts w:hint="eastAsia"/>
        </w:rPr>
        <w:t>(</w:t>
      </w:r>
      <w:r>
        <w:rPr>
          <w:rFonts w:hint="eastAsia"/>
        </w:rPr>
        <w:t>图</w:t>
      </w:r>
      <w:r>
        <w:rPr>
          <w:rFonts w:hint="eastAsia"/>
        </w:rPr>
        <w:t>2)</w:t>
      </w:r>
      <w:r>
        <w:rPr>
          <w:rFonts w:hint="eastAsia"/>
        </w:rPr>
        <w:t>。气候特点是降雨稀少</w:t>
      </w:r>
      <w:r>
        <w:rPr>
          <w:rFonts w:hint="eastAsia"/>
        </w:rPr>
        <w:t>(</w:t>
      </w:r>
      <w:r>
        <w:rPr>
          <w:rFonts w:hint="eastAsia"/>
        </w:rPr>
        <w:t>年均降水量不超过</w:t>
      </w:r>
      <w:r>
        <w:rPr>
          <w:rFonts w:hint="eastAsia"/>
        </w:rPr>
        <w:t>81</w:t>
      </w:r>
      <w:r>
        <w:rPr>
          <w:rFonts w:hint="eastAsia"/>
        </w:rPr>
        <w:t>毫米</w:t>
      </w:r>
      <w:r>
        <w:rPr>
          <w:rFonts w:hint="eastAsia"/>
        </w:rPr>
        <w:t>)</w:t>
      </w:r>
      <w:r>
        <w:rPr>
          <w:rFonts w:hint="eastAsia"/>
        </w:rPr>
        <w:t>、气温高、蒸发率高</w:t>
      </w:r>
      <w:r>
        <w:rPr>
          <w:rFonts w:hint="eastAsia"/>
        </w:rPr>
        <w:t>(</w:t>
      </w:r>
      <w:r>
        <w:rPr>
          <w:rFonts w:hint="eastAsia"/>
        </w:rPr>
        <w:t>年均超过</w:t>
      </w:r>
      <w:r>
        <w:rPr>
          <w:rFonts w:hint="eastAsia"/>
        </w:rPr>
        <w:t>2,300</w:t>
      </w:r>
      <w:r>
        <w:rPr>
          <w:rFonts w:hint="eastAsia"/>
        </w:rPr>
        <w:t>毫米</w:t>
      </w:r>
      <w:r>
        <w:rPr>
          <w:rFonts w:hint="eastAsia"/>
        </w:rPr>
        <w:t>)</w:t>
      </w:r>
      <w:r>
        <w:rPr>
          <w:rFonts w:hint="eastAsia"/>
        </w:rPr>
        <w:t>。地表水匮乏，土壤通常浅薄，需要有机物料，卡塔尔仅有</w:t>
      </w:r>
      <w:r>
        <w:rPr>
          <w:rFonts w:hint="eastAsia"/>
        </w:rPr>
        <w:t>3%</w:t>
      </w:r>
      <w:r>
        <w:rPr>
          <w:rFonts w:hint="eastAsia"/>
        </w:rPr>
        <w:t>的国土可以直接耕作或通过农事活动调节后可以耕作。</w:t>
      </w:r>
      <w:bookmarkEnd w:id="16"/>
    </w:p>
    <w:p w:rsidR="007234DD" w:rsidRDefault="007234DD">
      <w:pPr>
        <w:pStyle w:val="SingleTxtGC"/>
      </w:pPr>
      <w:r>
        <w:t xml:space="preserve">387.  </w:t>
      </w:r>
      <w:bookmarkStart w:id="17" w:name="OLE_LINK2"/>
      <w:r>
        <w:rPr>
          <w:rFonts w:hint="eastAsia"/>
        </w:rPr>
        <w:t>国家部委和机构确保男女居民可在国家所有地区获得教育、卫生、文化和体育服务，许多慈善协会和民间团体组织已在各地区设有分支机构。</w:t>
      </w:r>
    </w:p>
    <w:p w:rsidR="007234DD" w:rsidRDefault="007234DD">
      <w:pPr>
        <w:pStyle w:val="SingleTxtGC"/>
      </w:pPr>
      <w:r>
        <w:rPr>
          <w:noProof/>
        </w:rPr>
        <w:pict>
          <v:shape id="_x0000_s1152" type="#_x0000_t75" style="position:absolute;left:0;text-align:left;margin-left:52pt;margin-top:296.95pt;width:387pt;height:259.5pt;z-index:5;mso-position-vertical-relative:page" o:allowoverlap="f">
            <v:imagedata r:id="rId17" o:title=""/>
            <w10:wrap type="topAndBottom" anchory="page"/>
          </v:shape>
        </w:pict>
      </w:r>
      <w:r>
        <w:rPr>
          <w:rFonts w:eastAsia="SimHei" w:hint="eastAsia"/>
          <w:noProof/>
        </w:rPr>
        <w:pict>
          <v:rect id="_x0000_s1138" style="position:absolute;left:0;text-align:left;margin-left:221pt;margin-top:60.15pt;width:110.5pt;height:11.45pt;z-index:6" stroked="f">
            <v:textbox style="mso-next-textbox:#_x0000_s1138" inset="0,0,0,0">
              <w:txbxContent>
                <w:p w:rsidR="007234DD" w:rsidRDefault="007234DD">
                  <w:pPr>
                    <w:spacing w:line="240" w:lineRule="exact"/>
                  </w:pPr>
                  <w:r>
                    <w:rPr>
                      <w:rFonts w:hint="eastAsia"/>
                      <w:color w:val="000000"/>
                      <w:sz w:val="16"/>
                      <w:szCs w:val="16"/>
                    </w:rPr>
                    <w:t xml:space="preserve">  </w:t>
                  </w:r>
                  <w:r>
                    <w:rPr>
                      <w:rFonts w:hint="eastAsia"/>
                      <w:color w:val="000000"/>
                      <w:sz w:val="16"/>
                      <w:szCs w:val="16"/>
                    </w:rPr>
                    <w:t>图上每一点代表</w:t>
                  </w:r>
                  <w:r>
                    <w:rPr>
                      <w:rFonts w:hint="eastAsia"/>
                      <w:color w:val="000000"/>
                      <w:sz w:val="16"/>
                      <w:szCs w:val="16"/>
                    </w:rPr>
                    <w:t>50</w:t>
                  </w:r>
                  <w:r>
                    <w:rPr>
                      <w:rFonts w:hint="eastAsia"/>
                      <w:color w:val="000000"/>
                      <w:sz w:val="16"/>
                      <w:szCs w:val="16"/>
                    </w:rPr>
                    <w:t>人</w:t>
                  </w:r>
                </w:p>
              </w:txbxContent>
            </v:textbox>
          </v:rect>
        </w:pict>
      </w:r>
      <w:r>
        <w:rPr>
          <w:rFonts w:hint="eastAsia"/>
        </w:rPr>
        <w:t>图</w:t>
      </w:r>
      <w:r>
        <w:rPr>
          <w:rFonts w:hint="eastAsia"/>
        </w:rPr>
        <w:t>2</w:t>
      </w:r>
      <w:r>
        <w:br/>
      </w:r>
      <w:r>
        <w:rPr>
          <w:rFonts w:eastAsia="SimHei" w:hint="eastAsia"/>
        </w:rPr>
        <w:t>卡塔尔的人口分布</w:t>
      </w:r>
    </w:p>
    <w:p w:rsidR="007234DD" w:rsidRDefault="007234DD">
      <w:pPr>
        <w:pStyle w:val="SingleTxtGC"/>
        <w:spacing w:after="0" w:line="200" w:lineRule="exact"/>
        <w:rPr>
          <w:rFonts w:hint="eastAsia"/>
        </w:rPr>
      </w:pPr>
      <w:bookmarkStart w:id="18" w:name="OLE_LINK3"/>
      <w:bookmarkEnd w:id="17"/>
    </w:p>
    <w:p w:rsidR="007234DD" w:rsidRDefault="007234DD">
      <w:pPr>
        <w:pStyle w:val="SingleTxtGC"/>
        <w:rPr>
          <w:rFonts w:hint="eastAsia"/>
        </w:rPr>
      </w:pPr>
      <w:r>
        <w:rPr>
          <w:rFonts w:eastAsia="KaiTi_GB2312" w:hint="eastAsia"/>
          <w:sz w:val="19"/>
          <w:szCs w:val="19"/>
        </w:rPr>
        <w:t>资料来源：</w:t>
      </w:r>
      <w:r>
        <w:rPr>
          <w:rFonts w:hint="eastAsia"/>
          <w:sz w:val="19"/>
          <w:szCs w:val="19"/>
        </w:rPr>
        <w:t>卡塔尔统计局，</w:t>
      </w:r>
      <w:r>
        <w:rPr>
          <w:rFonts w:hint="eastAsia"/>
          <w:sz w:val="19"/>
          <w:szCs w:val="19"/>
        </w:rPr>
        <w:t>2008</w:t>
      </w:r>
      <w:r>
        <w:rPr>
          <w:rFonts w:hint="eastAsia"/>
          <w:sz w:val="19"/>
          <w:szCs w:val="19"/>
        </w:rPr>
        <w:t>年，《地理信息系统》。</w:t>
      </w:r>
    </w:p>
    <w:p w:rsidR="007234DD" w:rsidRDefault="007234DD">
      <w:pPr>
        <w:pStyle w:val="SingleTxtGC"/>
      </w:pPr>
      <w:r>
        <w:t xml:space="preserve">388.  </w:t>
      </w:r>
      <w:r>
        <w:rPr>
          <w:rFonts w:hint="eastAsia"/>
        </w:rPr>
        <w:t>这一切和其他环境因素大体上解释了为何卡塔尔没有集约农业，以及为何农村地区有限。最近一段时间，因为伴随着开发热潮，卡塔尔进入了快速广泛城市化的阶段，农村地区事实上已经消失了。各种类型和设计的建筑物如雨后春笋般拔地而起，城市里，尤其是多哈，挤满了人，包括卡塔尔人和非卡塔尔人。</w:t>
      </w:r>
    </w:p>
    <w:p w:rsidR="007234DD" w:rsidRDefault="007234DD">
      <w:pPr>
        <w:pStyle w:val="SingleTxtGC"/>
      </w:pPr>
      <w:r>
        <w:t xml:space="preserve">389.  </w:t>
      </w:r>
      <w:r>
        <w:rPr>
          <w:rFonts w:hint="eastAsia"/>
        </w:rPr>
        <w:t>1986</w:t>
      </w:r>
      <w:r>
        <w:rPr>
          <w:rFonts w:hint="eastAsia"/>
        </w:rPr>
        <w:t>年，城市人口占到总人口的</w:t>
      </w:r>
      <w:r>
        <w:rPr>
          <w:rFonts w:hint="eastAsia"/>
        </w:rPr>
        <w:t>88%</w:t>
      </w:r>
      <w:r>
        <w:rPr>
          <w:rFonts w:hint="eastAsia"/>
        </w:rPr>
        <w:t>。</w:t>
      </w:r>
      <w:r>
        <w:rPr>
          <w:rFonts w:hint="eastAsia"/>
        </w:rPr>
        <w:t>2004</w:t>
      </w:r>
      <w:r>
        <w:rPr>
          <w:rFonts w:hint="eastAsia"/>
        </w:rPr>
        <w:t>年，该数字升至</w:t>
      </w:r>
      <w:r>
        <w:rPr>
          <w:rFonts w:hint="eastAsia"/>
        </w:rPr>
        <w:t>93%</w:t>
      </w:r>
      <w:r>
        <w:rPr>
          <w:rFonts w:hint="eastAsia"/>
        </w:rPr>
        <w:t>，自</w:t>
      </w:r>
      <w:r>
        <w:rPr>
          <w:rFonts w:hint="eastAsia"/>
        </w:rPr>
        <w:t>2008</w:t>
      </w:r>
      <w:r>
        <w:rPr>
          <w:rFonts w:hint="eastAsia"/>
        </w:rPr>
        <w:t>年起，该数字保持在</w:t>
      </w:r>
      <w:r>
        <w:rPr>
          <w:rFonts w:hint="eastAsia"/>
        </w:rPr>
        <w:t>100%</w:t>
      </w:r>
      <w:r>
        <w:rPr>
          <w:rFonts w:hint="eastAsia"/>
        </w:rPr>
        <w:t>。</w:t>
      </w:r>
    </w:p>
    <w:p w:rsidR="007234DD" w:rsidRDefault="007234DD">
      <w:pPr>
        <w:pStyle w:val="SingleTxtGC"/>
        <w:pageBreakBefore/>
      </w:pPr>
      <w:r>
        <w:rPr>
          <w:rFonts w:hint="eastAsia"/>
          <w:noProof/>
          <w:snapToGrid/>
        </w:rPr>
        <w:pict>
          <v:shape id="Chart_x0020_6" o:spid="_x0000_s1153" type="#_x0000_t75" alt="image002" style="position:absolute;left:0;text-align:left;margin-left:58.5pt;margin-top:40.75pt;width:316pt;height:190.5pt;z-index:7;visibility:visible">
            <v:imagedata r:id="rId18" o:title="image002"/>
            <w10:wrap type="topAndBottom"/>
          </v:shape>
        </w:pict>
      </w:r>
      <w:r>
        <w:rPr>
          <w:rFonts w:hint="eastAsia"/>
        </w:rPr>
        <w:t>图</w:t>
      </w:r>
      <w:r>
        <w:rPr>
          <w:rFonts w:hint="eastAsia"/>
        </w:rPr>
        <w:t>3</w:t>
      </w:r>
      <w:r>
        <w:br/>
      </w:r>
      <w:r>
        <w:rPr>
          <w:rFonts w:eastAsia="SimHei" w:hint="eastAsia"/>
        </w:rPr>
        <w:t>1986</w:t>
      </w:r>
      <w:r>
        <w:rPr>
          <w:rFonts w:eastAsia="SimHei" w:hint="eastAsia"/>
        </w:rPr>
        <w:t>年至</w:t>
      </w:r>
      <w:r>
        <w:rPr>
          <w:rFonts w:eastAsia="SimHei" w:hint="eastAsia"/>
        </w:rPr>
        <w:t>2010</w:t>
      </w:r>
      <w:r>
        <w:rPr>
          <w:rFonts w:eastAsia="SimHei" w:hint="eastAsia"/>
        </w:rPr>
        <w:t>年卡塔尔城市居民占总人口的百分比</w:t>
      </w:r>
    </w:p>
    <w:bookmarkEnd w:id="18"/>
    <w:p w:rsidR="007234DD" w:rsidRDefault="00380D50" w:rsidP="00380D50">
      <w:pPr>
        <w:pStyle w:val="SingleTxtGC"/>
        <w:tabs>
          <w:tab w:val="left" w:pos="1300"/>
        </w:tabs>
        <w:spacing w:before="120"/>
        <w:rPr>
          <w:rFonts w:hint="eastAsia"/>
        </w:rPr>
      </w:pPr>
      <w:r>
        <w:rPr>
          <w:rFonts w:eastAsia="KaiTi_GB2312"/>
          <w:sz w:val="19"/>
          <w:szCs w:val="19"/>
          <w:lang w:val="fr-CH"/>
        </w:rPr>
        <w:tab/>
      </w:r>
      <w:r w:rsidR="007234DD">
        <w:rPr>
          <w:rFonts w:eastAsia="KaiTi_GB2312" w:hint="eastAsia"/>
          <w:sz w:val="19"/>
          <w:szCs w:val="19"/>
        </w:rPr>
        <w:t>资料来源：</w:t>
      </w:r>
      <w:r w:rsidR="007234DD">
        <w:rPr>
          <w:rFonts w:hint="eastAsia"/>
          <w:sz w:val="19"/>
          <w:szCs w:val="19"/>
        </w:rPr>
        <w:t>卡塔尔统计局，</w:t>
      </w:r>
      <w:r w:rsidR="007234DD">
        <w:rPr>
          <w:rFonts w:hint="eastAsia"/>
          <w:sz w:val="19"/>
          <w:szCs w:val="19"/>
        </w:rPr>
        <w:t>2010</w:t>
      </w:r>
      <w:r w:rsidR="007234DD">
        <w:rPr>
          <w:rFonts w:hint="eastAsia"/>
          <w:sz w:val="19"/>
          <w:szCs w:val="19"/>
        </w:rPr>
        <w:t>年，《人口和住房一般普查》，各种版本。</w:t>
      </w:r>
    </w:p>
    <w:p w:rsidR="007234DD" w:rsidRDefault="007234DD">
      <w:pPr>
        <w:pStyle w:val="H1GC"/>
      </w:pPr>
      <w:r>
        <w:tab/>
      </w:r>
      <w:r>
        <w:tab/>
      </w:r>
      <w:r>
        <w:rPr>
          <w:rFonts w:hint="eastAsia"/>
        </w:rPr>
        <w:t>第十五条</w:t>
      </w:r>
      <w:r>
        <w:br/>
      </w:r>
      <w:r>
        <w:rPr>
          <w:rFonts w:hint="eastAsia"/>
        </w:rPr>
        <w:t>公民权利</w:t>
      </w:r>
    </w:p>
    <w:p w:rsidR="007234DD" w:rsidRDefault="007234DD">
      <w:pPr>
        <w:pStyle w:val="H23GC"/>
      </w:pPr>
      <w:r>
        <w:tab/>
      </w:r>
      <w:r>
        <w:tab/>
      </w:r>
      <w:r>
        <w:rPr>
          <w:rFonts w:hint="eastAsia"/>
        </w:rPr>
        <w:t>男女在法律面前平等</w:t>
      </w:r>
    </w:p>
    <w:p w:rsidR="007234DD" w:rsidRDefault="007234DD">
      <w:pPr>
        <w:pStyle w:val="SingleTxtGC"/>
      </w:pPr>
      <w:r>
        <w:t xml:space="preserve">390.  </w:t>
      </w:r>
      <w:r>
        <w:rPr>
          <w:rFonts w:hint="eastAsia"/>
        </w:rPr>
        <w:t>《卡塔尔宪法》第</w:t>
      </w:r>
      <w:r>
        <w:rPr>
          <w:rFonts w:hint="eastAsia"/>
        </w:rPr>
        <w:t>35</w:t>
      </w:r>
      <w:r>
        <w:rPr>
          <w:rFonts w:hint="eastAsia"/>
        </w:rPr>
        <w:t>条确认了男女在法律面前平等这一原则，该条款规定：“法律面前人人平等，不得存在以性别、出身、语言或宗教为理由的歧视”。</w:t>
      </w:r>
    </w:p>
    <w:p w:rsidR="007234DD" w:rsidRDefault="007234DD">
      <w:pPr>
        <w:pStyle w:val="SingleTxtGC"/>
      </w:pPr>
      <w:r>
        <w:t xml:space="preserve">391.  </w:t>
      </w:r>
      <w:r>
        <w:rPr>
          <w:rFonts w:hint="eastAsia"/>
        </w:rPr>
        <w:t>妇女享有订立合同和管理其资产和财产的法律行为能力；根据《民法》</w:t>
      </w:r>
      <w:r>
        <w:rPr>
          <w:rFonts w:hint="eastAsia"/>
        </w:rPr>
        <w:t>(2004</w:t>
      </w:r>
      <w:r>
        <w:rPr>
          <w:rFonts w:hint="eastAsia"/>
        </w:rPr>
        <w:t>年第</w:t>
      </w:r>
      <w:r>
        <w:rPr>
          <w:rFonts w:hint="eastAsia"/>
        </w:rPr>
        <w:t>22</w:t>
      </w:r>
      <w:r>
        <w:rPr>
          <w:rFonts w:hint="eastAsia"/>
        </w:rPr>
        <w:t>号法</w:t>
      </w:r>
      <w:r>
        <w:rPr>
          <w:rFonts w:hint="eastAsia"/>
        </w:rPr>
        <w:t>)</w:t>
      </w:r>
      <w:r>
        <w:rPr>
          <w:rFonts w:hint="eastAsia"/>
        </w:rPr>
        <w:t>第</w:t>
      </w:r>
      <w:r>
        <w:rPr>
          <w:rFonts w:hint="eastAsia"/>
        </w:rPr>
        <w:t>49</w:t>
      </w:r>
      <w:r>
        <w:rPr>
          <w:rFonts w:hint="eastAsia"/>
        </w:rPr>
        <w:t>条，任何成年人都具有执行法律事务的充分法律能力，除非此人仍处于监护人或保护人的照料之下，或被宣布不具备法律行为能力。因此，在寻求法律救济的能力方面，这项法律并未对男女有所区别。该法第</w:t>
      </w:r>
      <w:r>
        <w:rPr>
          <w:rFonts w:hint="eastAsia"/>
        </w:rPr>
        <w:t>50</w:t>
      </w:r>
      <w:r>
        <w:rPr>
          <w:rFonts w:hint="eastAsia"/>
        </w:rPr>
        <w:t>条还规定，若因年幼、精神疾病或精神错乱而缺乏认知能力，则其没有能力执行法定事务。</w:t>
      </w:r>
      <w:r>
        <w:rPr>
          <w:rFonts w:hint="eastAsia"/>
        </w:rPr>
        <w:t>7</w:t>
      </w:r>
      <w:r>
        <w:rPr>
          <w:rFonts w:hint="eastAsia"/>
        </w:rPr>
        <w:t>岁以下人士被视为无认知能力。</w:t>
      </w:r>
    </w:p>
    <w:p w:rsidR="007234DD" w:rsidRDefault="007234DD">
      <w:pPr>
        <w:pStyle w:val="SingleTxtGC"/>
      </w:pPr>
      <w:r>
        <w:t xml:space="preserve">392.  </w:t>
      </w:r>
      <w:r>
        <w:rPr>
          <w:rFonts w:hint="eastAsia"/>
        </w:rPr>
        <w:t>《家庭法》</w:t>
      </w:r>
      <w:r>
        <w:rPr>
          <w:rFonts w:hint="eastAsia"/>
        </w:rPr>
        <w:t>(2006</w:t>
      </w:r>
      <w:r>
        <w:rPr>
          <w:rFonts w:hint="eastAsia"/>
        </w:rPr>
        <w:t>年第</w:t>
      </w:r>
      <w:r>
        <w:rPr>
          <w:rFonts w:hint="eastAsia"/>
        </w:rPr>
        <w:t>22</w:t>
      </w:r>
      <w:r>
        <w:rPr>
          <w:rFonts w:hint="eastAsia"/>
        </w:rPr>
        <w:t>号法</w:t>
      </w:r>
      <w:r>
        <w:rPr>
          <w:rFonts w:hint="eastAsia"/>
        </w:rPr>
        <w:t>)</w:t>
      </w:r>
      <w:r>
        <w:rPr>
          <w:rFonts w:hint="eastAsia"/>
        </w:rPr>
        <w:t>涉及妇女相对于丈夫的权利，该法第</w:t>
      </w:r>
      <w:r>
        <w:rPr>
          <w:rFonts w:hint="eastAsia"/>
        </w:rPr>
        <w:t>57</w:t>
      </w:r>
      <w:r>
        <w:rPr>
          <w:rFonts w:hint="eastAsia"/>
        </w:rPr>
        <w:t>条也确认了妇女管理自身资产和财产的权利。这些权利包括在私有财产方面不受干涉的保护。</w:t>
      </w:r>
    </w:p>
    <w:p w:rsidR="007234DD" w:rsidRDefault="007234DD">
      <w:pPr>
        <w:pStyle w:val="SingleTxtGC"/>
      </w:pPr>
      <w:r>
        <w:t xml:space="preserve">393.  </w:t>
      </w:r>
      <w:r>
        <w:rPr>
          <w:rFonts w:hint="eastAsia"/>
        </w:rPr>
        <w:t>有关商业和经济活动的法律均确认了性别平等的原则。例如，《商法》</w:t>
      </w:r>
      <w:r>
        <w:rPr>
          <w:rFonts w:hint="eastAsia"/>
        </w:rPr>
        <w:t>(2006</w:t>
      </w:r>
      <w:r>
        <w:rPr>
          <w:rFonts w:hint="eastAsia"/>
        </w:rPr>
        <w:t>年第</w:t>
      </w:r>
      <w:r>
        <w:rPr>
          <w:rFonts w:hint="eastAsia"/>
        </w:rPr>
        <w:t>27</w:t>
      </w:r>
      <w:r>
        <w:rPr>
          <w:rFonts w:hint="eastAsia"/>
        </w:rPr>
        <w:t>号法</w:t>
      </w:r>
      <w:r>
        <w:rPr>
          <w:rFonts w:hint="eastAsia"/>
        </w:rPr>
        <w:t>)</w:t>
      </w:r>
      <w:r>
        <w:rPr>
          <w:rFonts w:hint="eastAsia"/>
        </w:rPr>
        <w:t>第</w:t>
      </w:r>
      <w:r>
        <w:rPr>
          <w:rFonts w:hint="eastAsia"/>
        </w:rPr>
        <w:t>17</w:t>
      </w:r>
      <w:r>
        <w:rPr>
          <w:rFonts w:hint="eastAsia"/>
        </w:rPr>
        <w:t>条规定：“所有达到法定年龄的卡塔尔人均有权从事商业，只要他们不因自身原因或商业活动的性质而被法律禁止从事这些事项”。同样地，根据《商业公司法》</w:t>
      </w:r>
      <w:r>
        <w:rPr>
          <w:rFonts w:hint="eastAsia"/>
        </w:rPr>
        <w:t>(2002</w:t>
      </w:r>
      <w:r>
        <w:rPr>
          <w:rFonts w:hint="eastAsia"/>
        </w:rPr>
        <w:t>年第</w:t>
      </w:r>
      <w:r>
        <w:rPr>
          <w:rFonts w:hint="eastAsia"/>
        </w:rPr>
        <w:t>5</w:t>
      </w:r>
      <w:r>
        <w:rPr>
          <w:rFonts w:hint="eastAsia"/>
        </w:rPr>
        <w:t>号法</w:t>
      </w:r>
      <w:r>
        <w:rPr>
          <w:rFonts w:hint="eastAsia"/>
        </w:rPr>
        <w:t>)</w:t>
      </w:r>
      <w:r>
        <w:rPr>
          <w:rFonts w:hint="eastAsia"/>
        </w:rPr>
        <w:t>，男性和女性拥有建立并运营各类商业企业的平等权利，不受任何区别对待。在交易、订立合同和物业管理方面，情况也同样如此。女性在男女平等的基础上享有法律能力，在卡塔尔，她们无需通过男性中介或代理人来管理自身财务。</w:t>
      </w:r>
    </w:p>
    <w:p w:rsidR="007234DD" w:rsidRDefault="007234DD">
      <w:pPr>
        <w:pStyle w:val="SingleTxtGC"/>
      </w:pPr>
      <w:r>
        <w:t xml:space="preserve">394.  </w:t>
      </w:r>
      <w:r>
        <w:rPr>
          <w:rFonts w:hint="eastAsia"/>
        </w:rPr>
        <w:t>根据卡塔尔中央银行发给传统银行和伊斯兰银行的有关向个人、公司和机构客户发放信贷</w:t>
      </w:r>
      <w:r>
        <w:rPr>
          <w:rFonts w:hint="eastAsia"/>
        </w:rPr>
        <w:t>/</w:t>
      </w:r>
      <w:r>
        <w:rPr>
          <w:rFonts w:hint="eastAsia"/>
        </w:rPr>
        <w:t>融资的指示，银行在发放贷款时对男女客户一视同仁。这些指示做出了具体规定。</w:t>
      </w:r>
    </w:p>
    <w:p w:rsidR="007234DD" w:rsidRDefault="007234DD">
      <w:pPr>
        <w:pStyle w:val="SingleTxtGC"/>
      </w:pPr>
      <w:r>
        <w:t xml:space="preserve">395.  </w:t>
      </w:r>
      <w:r>
        <w:rPr>
          <w:rFonts w:hint="eastAsia"/>
        </w:rPr>
        <w:t>1990</w:t>
      </w:r>
      <w:r>
        <w:rPr>
          <w:rFonts w:hint="eastAsia"/>
        </w:rPr>
        <w:t>年第</w:t>
      </w:r>
      <w:r>
        <w:rPr>
          <w:rFonts w:hint="eastAsia"/>
        </w:rPr>
        <w:t>11</w:t>
      </w:r>
      <w:r>
        <w:rPr>
          <w:rFonts w:hint="eastAsia"/>
        </w:rPr>
        <w:t>号法涉及卡塔尔工商会，该法令第</w:t>
      </w:r>
      <w:r>
        <w:rPr>
          <w:rFonts w:hint="eastAsia"/>
        </w:rPr>
        <w:t>9</w:t>
      </w:r>
      <w:r>
        <w:rPr>
          <w:rFonts w:hint="eastAsia"/>
        </w:rPr>
        <w:t>条列出了加入工商会的条件。该条款规定，申请者必须为卡塔尔人，或是拥有从事该法第</w:t>
      </w:r>
      <w:r>
        <w:rPr>
          <w:rFonts w:hint="eastAsia"/>
        </w:rPr>
        <w:t>7</w:t>
      </w:r>
      <w:r>
        <w:rPr>
          <w:rFonts w:hint="eastAsia"/>
        </w:rPr>
        <w:t>条所列举活动的执照的外国人。该法不包括基于性别的歧视条款，也不包括在涉及到成为该工商会组成机构</w:t>
      </w:r>
      <w:r>
        <w:rPr>
          <w:rFonts w:hint="eastAsia"/>
        </w:rPr>
        <w:t>(</w:t>
      </w:r>
      <w:r>
        <w:rPr>
          <w:rFonts w:hint="eastAsia"/>
        </w:rPr>
        <w:t>即大会、理事会和执行局</w:t>
      </w:r>
      <w:r>
        <w:rPr>
          <w:rFonts w:hint="eastAsia"/>
        </w:rPr>
        <w:t>)</w:t>
      </w:r>
      <w:r>
        <w:rPr>
          <w:rFonts w:hint="eastAsia"/>
        </w:rPr>
        <w:t>成员时对男女区别对待的条款。目前，理事会中有</w:t>
      </w:r>
      <w:r>
        <w:rPr>
          <w:rFonts w:hint="eastAsia"/>
        </w:rPr>
        <w:t>1</w:t>
      </w:r>
      <w:r>
        <w:rPr>
          <w:rFonts w:hint="eastAsia"/>
        </w:rPr>
        <w:t>名女性会员。</w:t>
      </w:r>
    </w:p>
    <w:p w:rsidR="007234DD" w:rsidRDefault="007234DD">
      <w:pPr>
        <w:pStyle w:val="H23GC"/>
      </w:pPr>
      <w:r>
        <w:tab/>
      </w:r>
      <w:r>
        <w:tab/>
      </w:r>
      <w:r>
        <w:rPr>
          <w:rFonts w:hint="eastAsia"/>
        </w:rPr>
        <w:t>男女在法院和法庭前平等</w:t>
      </w:r>
    </w:p>
    <w:p w:rsidR="007234DD" w:rsidRDefault="007234DD">
      <w:pPr>
        <w:pStyle w:val="SingleTxtGC"/>
      </w:pPr>
      <w:r>
        <w:t xml:space="preserve">396.  </w:t>
      </w:r>
      <w:r>
        <w:rPr>
          <w:rFonts w:hint="eastAsia"/>
        </w:rPr>
        <w:t>《宪法》第</w:t>
      </w:r>
      <w:r>
        <w:rPr>
          <w:rFonts w:hint="eastAsia"/>
        </w:rPr>
        <w:t>135</w:t>
      </w:r>
      <w:r>
        <w:rPr>
          <w:rFonts w:hint="eastAsia"/>
        </w:rPr>
        <w:t>条规定：“人人都被赋予诉诸法律的权利。法律应规定行使这项权利的程序和条件”。男女有权寻求在卡塔尔的所有法院诉诸法律。妇女有权以自己的名义提起诉讼，在法院和法律诉讼的各个阶段得到平等待遇。</w:t>
      </w:r>
    </w:p>
    <w:p w:rsidR="007234DD" w:rsidRDefault="007234DD">
      <w:pPr>
        <w:pStyle w:val="SingleTxtGC"/>
      </w:pPr>
      <w:r>
        <w:t xml:space="preserve">397.  </w:t>
      </w:r>
      <w:r>
        <w:rPr>
          <w:rFonts w:hint="eastAsia"/>
        </w:rPr>
        <w:t>几十年前，卡塔尔妇女开始从事律师一职，妇女在卡塔尔法院辩论案件。</w:t>
      </w:r>
      <w:r>
        <w:rPr>
          <w:rFonts w:hint="eastAsia"/>
        </w:rPr>
        <w:t>2010</w:t>
      </w:r>
      <w:r>
        <w:rPr>
          <w:rFonts w:hint="eastAsia"/>
        </w:rPr>
        <w:t>年，埃米尔发布了一项法令，首次任命一名卡塔尔妇女担任法官职务。一名妇女在早前被任命为助理法官。有卡塔尔妇女在检察署工作，一些已升任首席检察官。</w:t>
      </w:r>
    </w:p>
    <w:p w:rsidR="007234DD" w:rsidRDefault="007234DD">
      <w:pPr>
        <w:pStyle w:val="SingleTxtGC"/>
      </w:pPr>
      <w:r>
        <w:t xml:space="preserve">398.  </w:t>
      </w:r>
      <w:r>
        <w:rPr>
          <w:rFonts w:hint="eastAsia"/>
        </w:rPr>
        <w:t>《刑法》</w:t>
      </w:r>
      <w:r>
        <w:rPr>
          <w:rFonts w:hint="eastAsia"/>
        </w:rPr>
        <w:t>(2004</w:t>
      </w:r>
      <w:r>
        <w:rPr>
          <w:rFonts w:hint="eastAsia"/>
        </w:rPr>
        <w:t>年第</w:t>
      </w:r>
      <w:r>
        <w:rPr>
          <w:rFonts w:hint="eastAsia"/>
        </w:rPr>
        <w:t>11</w:t>
      </w:r>
      <w:r>
        <w:rPr>
          <w:rFonts w:hint="eastAsia"/>
        </w:rPr>
        <w:t>号法</w:t>
      </w:r>
      <w:r>
        <w:rPr>
          <w:rFonts w:hint="eastAsia"/>
        </w:rPr>
        <w:t>)</w:t>
      </w:r>
      <w:r>
        <w:rPr>
          <w:rFonts w:hint="eastAsia"/>
        </w:rPr>
        <w:t>规定的一般处罚平等适用于男性和女性，无任何区别。同时，制订了特别保护措施来保护妇女免受可能有的一切形式暴力和歧视。下面列举几例：</w:t>
      </w:r>
    </w:p>
    <w:p w:rsidR="007234DD" w:rsidRDefault="007234DD">
      <w:pPr>
        <w:pStyle w:val="Bullet1GC"/>
      </w:pPr>
      <w:r>
        <w:rPr>
          <w:rFonts w:hint="eastAsia"/>
        </w:rPr>
        <w:t>第</w:t>
      </w:r>
      <w:r>
        <w:rPr>
          <w:rFonts w:hint="eastAsia"/>
        </w:rPr>
        <w:t>279</w:t>
      </w:r>
      <w:r>
        <w:rPr>
          <w:rFonts w:hint="eastAsia"/>
        </w:rPr>
        <w:t>条：“凡通过使用胁迫、威胁或欺骗手段，违背妇女意愿与其发生性关系者，应处以死刑或终身监禁。若施暴者是受害人的长辈、保护人或照顾人、权力上位者，或受雇于受害人家庭或上述任何人员家庭的帮佣，则应处以死刑。”</w:t>
      </w:r>
    </w:p>
    <w:p w:rsidR="007234DD" w:rsidRDefault="007234DD">
      <w:pPr>
        <w:pStyle w:val="Bullet1GC"/>
      </w:pPr>
      <w:r>
        <w:rPr>
          <w:rFonts w:hint="eastAsia"/>
        </w:rPr>
        <w:t>第</w:t>
      </w:r>
      <w:r>
        <w:rPr>
          <w:rFonts w:hint="eastAsia"/>
        </w:rPr>
        <w:t>315</w:t>
      </w:r>
      <w:r>
        <w:rPr>
          <w:rFonts w:hint="eastAsia"/>
        </w:rPr>
        <w:t>条：“凡通过殴打或类似行为，在知道妇女有身孕的情况下蓄意攻击该名孕妇，造成她流产者，应处以</w:t>
      </w:r>
      <w:r>
        <w:rPr>
          <w:rFonts w:hint="eastAsia"/>
        </w:rPr>
        <w:t>10</w:t>
      </w:r>
      <w:r>
        <w:rPr>
          <w:rFonts w:hint="eastAsia"/>
        </w:rPr>
        <w:t>年以下监禁。”</w:t>
      </w:r>
      <w:r>
        <w:t xml:space="preserve"> </w:t>
      </w:r>
    </w:p>
    <w:p w:rsidR="007234DD" w:rsidRDefault="007234DD">
      <w:pPr>
        <w:pStyle w:val="Bullet1GC"/>
      </w:pPr>
      <w:r>
        <w:rPr>
          <w:rFonts w:hint="eastAsia"/>
        </w:rPr>
        <w:t>第</w:t>
      </w:r>
      <w:r>
        <w:rPr>
          <w:rFonts w:hint="eastAsia"/>
        </w:rPr>
        <w:t>316</w:t>
      </w:r>
      <w:r>
        <w:rPr>
          <w:rFonts w:hint="eastAsia"/>
        </w:rPr>
        <w:t>条：“凡借助管制药物或其他手段蓄意对妇女实施堕胎者，应处以</w:t>
      </w:r>
      <w:r>
        <w:rPr>
          <w:rFonts w:hint="eastAsia"/>
        </w:rPr>
        <w:t>7</w:t>
      </w:r>
      <w:r>
        <w:rPr>
          <w:rFonts w:hint="eastAsia"/>
        </w:rPr>
        <w:t>年以下监禁。若堕胎行为未得到妇女的同意，或者实施堕胎的是医生、外科医生、药剂师、助产士或卫生辅助或药剂辅助人员，则应处以</w:t>
      </w:r>
      <w:r>
        <w:rPr>
          <w:rFonts w:hint="eastAsia"/>
        </w:rPr>
        <w:t>10</w:t>
      </w:r>
      <w:r>
        <w:rPr>
          <w:rFonts w:hint="eastAsia"/>
        </w:rPr>
        <w:t>年以下监禁。”</w:t>
      </w:r>
    </w:p>
    <w:p w:rsidR="007234DD" w:rsidRDefault="007234DD">
      <w:pPr>
        <w:pStyle w:val="Bullet1GC"/>
      </w:pPr>
      <w:r>
        <w:rPr>
          <w:rFonts w:hint="eastAsia"/>
        </w:rPr>
        <w:t>《刑法》第</w:t>
      </w:r>
      <w:r>
        <w:rPr>
          <w:rFonts w:hint="eastAsia"/>
        </w:rPr>
        <w:t>280</w:t>
      </w:r>
      <w:r>
        <w:rPr>
          <w:rFonts w:hint="eastAsia"/>
        </w:rPr>
        <w:t>、</w:t>
      </w:r>
      <w:r>
        <w:rPr>
          <w:rFonts w:hint="eastAsia"/>
        </w:rPr>
        <w:t>286</w:t>
      </w:r>
      <w:r>
        <w:rPr>
          <w:rFonts w:hint="eastAsia"/>
        </w:rPr>
        <w:t>、</w:t>
      </w:r>
      <w:r>
        <w:rPr>
          <w:rFonts w:hint="eastAsia"/>
        </w:rPr>
        <w:t>291</w:t>
      </w:r>
      <w:r>
        <w:rPr>
          <w:rFonts w:hint="eastAsia"/>
        </w:rPr>
        <w:t>、</w:t>
      </w:r>
      <w:r>
        <w:rPr>
          <w:rFonts w:hint="eastAsia"/>
        </w:rPr>
        <w:t>296</w:t>
      </w:r>
      <w:r>
        <w:rPr>
          <w:rFonts w:hint="eastAsia"/>
        </w:rPr>
        <w:t>和</w:t>
      </w:r>
      <w:r>
        <w:rPr>
          <w:rFonts w:hint="eastAsia"/>
        </w:rPr>
        <w:t>297</w:t>
      </w:r>
      <w:r>
        <w:rPr>
          <w:rFonts w:hint="eastAsia"/>
        </w:rPr>
        <w:t>条也体现了类似原则。</w:t>
      </w:r>
    </w:p>
    <w:p w:rsidR="007234DD" w:rsidRDefault="007234DD">
      <w:pPr>
        <w:pStyle w:val="SingleTxtGC"/>
      </w:pPr>
      <w:r>
        <w:t xml:space="preserve">399.  </w:t>
      </w:r>
      <w:r>
        <w:rPr>
          <w:rFonts w:hint="eastAsia"/>
        </w:rPr>
        <w:t>根据卡塔尔法律，在类似情况下受到损害时，男性和女性享有获得赔偿的平等权利。例如，根据</w:t>
      </w:r>
      <w:r>
        <w:rPr>
          <w:rFonts w:hint="eastAsia"/>
        </w:rPr>
        <w:t>2008</w:t>
      </w:r>
      <w:r>
        <w:rPr>
          <w:rFonts w:hint="eastAsia"/>
        </w:rPr>
        <w:t>年第</w:t>
      </w:r>
      <w:r>
        <w:rPr>
          <w:rFonts w:hint="eastAsia"/>
        </w:rPr>
        <w:t>19</w:t>
      </w:r>
      <w:r>
        <w:rPr>
          <w:rFonts w:hint="eastAsia"/>
        </w:rPr>
        <w:t>号法，在过失致人死亡的情形下，男性和女性享有获得受害者家属抚恤金的平等权利。该法规定，受害者家属抚恤金为</w:t>
      </w:r>
      <w:r>
        <w:rPr>
          <w:rFonts w:hint="eastAsia"/>
        </w:rPr>
        <w:t>20</w:t>
      </w:r>
      <w:r>
        <w:rPr>
          <w:rFonts w:hint="eastAsia"/>
        </w:rPr>
        <w:t>万卡塔尔里亚尔，可通过大臣会议决定进行调整。因此，在有关获得受害者家属抚恤金的权利方面，男女之间不存在区别；根据该法，男性和女性享有平等的待遇</w:t>
      </w:r>
      <w:r>
        <w:rPr>
          <w:rFonts w:hint="eastAsia"/>
        </w:rPr>
        <w:t>(</w:t>
      </w:r>
      <w:r>
        <w:rPr>
          <w:rFonts w:hint="eastAsia"/>
        </w:rPr>
        <w:t>值得注意的是，过去妇女得到的金额是男性的一半</w:t>
      </w:r>
      <w:r>
        <w:rPr>
          <w:rFonts w:hint="eastAsia"/>
        </w:rPr>
        <w:t>)</w:t>
      </w:r>
      <w:r>
        <w:rPr>
          <w:rFonts w:hint="eastAsia"/>
        </w:rPr>
        <w:t>。这同样适用于其他卡塔尔现行法律。</w:t>
      </w:r>
    </w:p>
    <w:p w:rsidR="007234DD" w:rsidRDefault="007234DD">
      <w:pPr>
        <w:pStyle w:val="SingleTxtGC"/>
      </w:pPr>
      <w:r>
        <w:t xml:space="preserve">400.  </w:t>
      </w:r>
      <w:r>
        <w:rPr>
          <w:rFonts w:hint="eastAsia"/>
        </w:rPr>
        <w:t>卡塔尔立法机关保障男女雇员的权利，并确立了就行政决定进行申诉的程序。</w:t>
      </w:r>
      <w:r>
        <w:rPr>
          <w:rFonts w:hint="eastAsia"/>
        </w:rPr>
        <w:t>2008</w:t>
      </w:r>
      <w:r>
        <w:rPr>
          <w:rFonts w:hint="eastAsia"/>
        </w:rPr>
        <w:t>年第</w:t>
      </w:r>
      <w:r>
        <w:rPr>
          <w:rFonts w:hint="eastAsia"/>
        </w:rPr>
        <w:t>5</w:t>
      </w:r>
      <w:r>
        <w:rPr>
          <w:rFonts w:hint="eastAsia"/>
        </w:rPr>
        <w:t>号首相决定阐明了对于最终行政和纪律处分决定的申诉程序。雇员可视情况向作出该决定的行政部门或上级部门提出申诉。他或她可以亲自递书面交申诉，或通过附带回执的挂号信及任何现代通信方式提交书面申诉。主管部门须在申诉提交</w:t>
      </w:r>
      <w:r>
        <w:rPr>
          <w:rFonts w:hint="eastAsia"/>
        </w:rPr>
        <w:t>60</w:t>
      </w:r>
      <w:r>
        <w:rPr>
          <w:rFonts w:hint="eastAsia"/>
        </w:rPr>
        <w:t>日内决定是受理还是驳回该申诉。若申诉被驳回，须对驳回决定作出解释。须在作出决定</w:t>
      </w:r>
      <w:r>
        <w:rPr>
          <w:rFonts w:hint="eastAsia"/>
        </w:rPr>
        <w:t>3</w:t>
      </w:r>
      <w:r>
        <w:rPr>
          <w:rFonts w:hint="eastAsia"/>
        </w:rPr>
        <w:t>日之内将决定内容告知申诉人。然后，申诉人有权向一审法院行政司提出申诉。</w:t>
      </w:r>
    </w:p>
    <w:p w:rsidR="007234DD" w:rsidRDefault="007234DD">
      <w:pPr>
        <w:pStyle w:val="SingleTxtGC"/>
      </w:pPr>
      <w:r>
        <w:t xml:space="preserve">401.  </w:t>
      </w:r>
      <w:r>
        <w:rPr>
          <w:rFonts w:hint="eastAsia"/>
        </w:rPr>
        <w:t>卡塔尔立法机关制订了在执行检查署发出的审前拘留令时针对妇女的特别程序。《监狱管理法》</w:t>
      </w:r>
      <w:r>
        <w:rPr>
          <w:rFonts w:hint="eastAsia"/>
        </w:rPr>
        <w:t>(2009</w:t>
      </w:r>
      <w:r>
        <w:rPr>
          <w:rFonts w:hint="eastAsia"/>
        </w:rPr>
        <w:t>年第</w:t>
      </w:r>
      <w:r>
        <w:rPr>
          <w:rFonts w:hint="eastAsia"/>
        </w:rPr>
        <w:t>3</w:t>
      </w:r>
      <w:r>
        <w:rPr>
          <w:rFonts w:hint="eastAsia"/>
        </w:rPr>
        <w:t>号法</w:t>
      </w:r>
      <w:r>
        <w:rPr>
          <w:rFonts w:hint="eastAsia"/>
        </w:rPr>
        <w:t>)</w:t>
      </w:r>
      <w:r>
        <w:rPr>
          <w:rFonts w:hint="eastAsia"/>
        </w:rPr>
        <w:t>第</w:t>
      </w:r>
      <w:r>
        <w:rPr>
          <w:rFonts w:hint="eastAsia"/>
        </w:rPr>
        <w:t>2</w:t>
      </w:r>
      <w:r>
        <w:rPr>
          <w:rFonts w:hint="eastAsia"/>
        </w:rPr>
        <w:t>条确定了两类监狱：男子监狱和女子监狱。第</w:t>
      </w:r>
      <w:r>
        <w:rPr>
          <w:rFonts w:hint="eastAsia"/>
        </w:rPr>
        <w:t>2</w:t>
      </w:r>
      <w:r>
        <w:t>(</w:t>
      </w:r>
      <w:r>
        <w:rPr>
          <w:rFonts w:hint="eastAsia"/>
        </w:rPr>
        <w:t>c</w:t>
      </w:r>
      <w:r>
        <w:t>)</w:t>
      </w:r>
      <w:r>
        <w:rPr>
          <w:rFonts w:hint="eastAsia"/>
        </w:rPr>
        <w:t>条规定，女子监狱须由女性官员管理，根据法律，她拥有与男性官员相同的任务和责任。若缺少女性官员，可由男性官员管理女子监狱，但须由一名向其汇报的女性监管员协助他工作。女子监狱应尽可能配备女性工作人员。无论如何，看守人员和为囚犯提供服务的人员必须是女性。第</w:t>
      </w:r>
      <w:r>
        <w:rPr>
          <w:rFonts w:hint="eastAsia"/>
        </w:rPr>
        <w:t>2</w:t>
      </w:r>
      <w:r>
        <w:t>(</w:t>
      </w:r>
      <w:r>
        <w:rPr>
          <w:rFonts w:hint="eastAsia"/>
        </w:rPr>
        <w:t>d</w:t>
      </w:r>
      <w:r>
        <w:t>)</w:t>
      </w:r>
      <w:r>
        <w:rPr>
          <w:rFonts w:hint="eastAsia"/>
        </w:rPr>
        <w:t>条规定，监狱主管、管理囚犯的女官员和监管员均拥有与其职位相称的执法权力。</w:t>
      </w:r>
    </w:p>
    <w:p w:rsidR="007234DD" w:rsidRDefault="007234DD">
      <w:pPr>
        <w:pStyle w:val="SingleTxtGC"/>
      </w:pPr>
      <w:r>
        <w:t xml:space="preserve">402.  </w:t>
      </w:r>
      <w:r>
        <w:rPr>
          <w:rFonts w:hint="eastAsia"/>
        </w:rPr>
        <w:t>监狱中的孕妇享有额外的权利。《监狱管理法》第</w:t>
      </w:r>
      <w:r>
        <w:rPr>
          <w:rFonts w:hint="eastAsia"/>
        </w:rPr>
        <w:t>39</w:t>
      </w:r>
      <w:r>
        <w:rPr>
          <w:rFonts w:hint="eastAsia"/>
        </w:rPr>
        <w:t>条规定：“若怀孕囚犯不属于甲类囚犯，应得到和甲类囚犯相同的待遇，并应免于从事监狱工作。自怀孕</w:t>
      </w:r>
      <w:r>
        <w:rPr>
          <w:rFonts w:hint="eastAsia"/>
        </w:rPr>
        <w:t>6</w:t>
      </w:r>
      <w:r>
        <w:rPr>
          <w:rFonts w:hint="eastAsia"/>
        </w:rPr>
        <w:t>个月起，她们应在饮食和休息方面得到特殊待遇，并应得到适当的医疗保健。预产期临近时，应将她们送至医院，并一直住到医生准许其出院为止”。该法第</w:t>
      </w:r>
      <w:r>
        <w:rPr>
          <w:rFonts w:hint="eastAsia"/>
        </w:rPr>
        <w:t>40</w:t>
      </w:r>
      <w:r>
        <w:rPr>
          <w:rFonts w:hint="eastAsia"/>
        </w:rPr>
        <w:t>条规定：“针对怀孕囚犯的纪律处分应在其生育后或不再与子女一起生活后</w:t>
      </w:r>
      <w:r>
        <w:rPr>
          <w:rFonts w:hint="eastAsia"/>
        </w:rPr>
        <w:t>(</w:t>
      </w:r>
      <w:r>
        <w:rPr>
          <w:rFonts w:hint="eastAsia"/>
        </w:rPr>
        <w:t>酌情而定</w:t>
      </w:r>
      <w:r>
        <w:rPr>
          <w:rFonts w:hint="eastAsia"/>
        </w:rPr>
        <w:t>)</w:t>
      </w:r>
      <w:r>
        <w:rPr>
          <w:rFonts w:hint="eastAsia"/>
        </w:rPr>
        <w:t>实施”。</w:t>
      </w:r>
    </w:p>
    <w:p w:rsidR="007234DD" w:rsidRDefault="007234DD">
      <w:pPr>
        <w:pStyle w:val="SingleTxtGC"/>
      </w:pPr>
      <w:r>
        <w:t xml:space="preserve">403.  </w:t>
      </w:r>
      <w:r>
        <w:rPr>
          <w:rFonts w:hint="eastAsia"/>
        </w:rPr>
        <w:t>根据涉及检察署的</w:t>
      </w:r>
      <w:r>
        <w:rPr>
          <w:rFonts w:hint="eastAsia"/>
        </w:rPr>
        <w:t>2002</w:t>
      </w:r>
      <w:r>
        <w:rPr>
          <w:rFonts w:hint="eastAsia"/>
        </w:rPr>
        <w:t>年第</w:t>
      </w:r>
      <w:r>
        <w:rPr>
          <w:rFonts w:hint="eastAsia"/>
        </w:rPr>
        <w:t>10</w:t>
      </w:r>
      <w:r>
        <w:rPr>
          <w:rFonts w:hint="eastAsia"/>
        </w:rPr>
        <w:t>号法，检察署有权视察监狱并接受囚犯的申诉。根据管理刑罚和惩教机构的</w:t>
      </w:r>
      <w:r>
        <w:rPr>
          <w:rFonts w:hint="eastAsia"/>
        </w:rPr>
        <w:t>2009</w:t>
      </w:r>
      <w:r>
        <w:rPr>
          <w:rFonts w:hint="eastAsia"/>
        </w:rPr>
        <w:t>年第</w:t>
      </w:r>
      <w:r>
        <w:rPr>
          <w:rFonts w:hint="eastAsia"/>
        </w:rPr>
        <w:t>3</w:t>
      </w:r>
      <w:r>
        <w:rPr>
          <w:rFonts w:hint="eastAsia"/>
        </w:rPr>
        <w:t>号法，检察署人员有权进行视察。检察署已按照这些规定对刑罚机构进行若干次突访。</w:t>
      </w:r>
    </w:p>
    <w:p w:rsidR="007234DD" w:rsidRDefault="007234DD">
      <w:pPr>
        <w:pStyle w:val="H23GC"/>
      </w:pPr>
      <w:r>
        <w:tab/>
      </w:r>
      <w:r>
        <w:tab/>
      </w:r>
      <w:r>
        <w:rPr>
          <w:rFonts w:hint="eastAsia"/>
        </w:rPr>
        <w:t>卡塔尔对《公约》第十五条提出的保留</w:t>
      </w:r>
    </w:p>
    <w:p w:rsidR="007234DD" w:rsidRDefault="007234DD">
      <w:pPr>
        <w:pStyle w:val="H23GC"/>
      </w:pPr>
      <w:r>
        <w:tab/>
      </w:r>
      <w:r>
        <w:tab/>
      </w:r>
      <w:r>
        <w:rPr>
          <w:rFonts w:hint="eastAsia"/>
        </w:rPr>
        <w:t>对第十五条第</w:t>
      </w:r>
      <w:r>
        <w:rPr>
          <w:rFonts w:hint="eastAsia"/>
        </w:rPr>
        <w:t>1</w:t>
      </w:r>
      <w:r>
        <w:rPr>
          <w:rFonts w:hint="eastAsia"/>
        </w:rPr>
        <w:t>款提出的保留</w:t>
      </w:r>
    </w:p>
    <w:p w:rsidR="007234DD" w:rsidRDefault="007234DD">
      <w:pPr>
        <w:pStyle w:val="SingleTxtGC"/>
      </w:pPr>
      <w:r>
        <w:t xml:space="preserve">404.  </w:t>
      </w:r>
      <w:r>
        <w:rPr>
          <w:rFonts w:hint="eastAsia"/>
        </w:rPr>
        <w:t>卡塔尔就继承和证词问题，对《公约》第十五条第</w:t>
      </w:r>
      <w:r>
        <w:rPr>
          <w:rFonts w:hint="eastAsia"/>
        </w:rPr>
        <w:t>1</w:t>
      </w:r>
      <w:r>
        <w:rPr>
          <w:rFonts w:hint="eastAsia"/>
        </w:rPr>
        <w:t>款提出保留，因为它与伊斯兰教法的规定相抵触</w:t>
      </w:r>
    </w:p>
    <w:p w:rsidR="007234DD" w:rsidRDefault="007234DD">
      <w:pPr>
        <w:pStyle w:val="SingleTxtGC"/>
      </w:pPr>
      <w:r>
        <w:t xml:space="preserve">405.  </w:t>
      </w:r>
      <w:r>
        <w:rPr>
          <w:rFonts w:hint="eastAsia"/>
        </w:rPr>
        <w:t>妇女的证词并没有被贬低或立即遭到驳回。实际上，根据伊斯兰教法，在某些事项上，妇女的证词优先于男性，在另一些事项上则反之。这证明歧视妇女的说法是不实之词，就如同在某些情况下要求一名以上男性提供证词并不等于歧视男性一样。若一名男性和一名女性在同一案件上提供互相矛盾的证词，他们的证词被认为价值相同。</w:t>
      </w:r>
    </w:p>
    <w:p w:rsidR="007234DD" w:rsidRDefault="007234DD">
      <w:pPr>
        <w:pStyle w:val="SingleTxtGC"/>
      </w:pPr>
      <w:r>
        <w:t xml:space="preserve">406.  </w:t>
      </w:r>
      <w:r>
        <w:rPr>
          <w:rFonts w:hint="eastAsia"/>
        </w:rPr>
        <w:t>在伊斯兰教法中，有关继承的内容是被误解最多的领域之一，因为对伊斯兰教法的肤浅解释称，伊斯兰教法歧视妇女，妇女得到的遗产仅是男性得到的遗产的一半。事实上，只有在伊斯兰教法明确说明的特定情况下才如此。在其他情况下，妇女得到同等份额的遗产。例如，子女去世后，双亲各可得到其遗产的六分之一，父母之间没有区别。在其他情况下，妇女得到的遗产多于男性。例如，若一人死亡，留下一个女儿和父母亲，女儿可获得遗产的一半，多于其祖父可得到的份额</w:t>
      </w:r>
      <w:r>
        <w:rPr>
          <w:rFonts w:hint="eastAsia"/>
        </w:rPr>
        <w:t>(</w:t>
      </w:r>
      <w:r>
        <w:rPr>
          <w:rFonts w:hint="eastAsia"/>
        </w:rPr>
        <w:t>六分之一</w:t>
      </w:r>
      <w:r>
        <w:rPr>
          <w:rFonts w:hint="eastAsia"/>
        </w:rPr>
        <w:t>)</w:t>
      </w:r>
      <w:r>
        <w:rPr>
          <w:rFonts w:hint="eastAsia"/>
        </w:rPr>
        <w:t>。多个女儿</w:t>
      </w:r>
      <w:r>
        <w:rPr>
          <w:rFonts w:hint="eastAsia"/>
        </w:rPr>
        <w:t>(</w:t>
      </w:r>
      <w:r>
        <w:rPr>
          <w:rFonts w:hint="eastAsia"/>
        </w:rPr>
        <w:t>两个或以上</w:t>
      </w:r>
      <w:r>
        <w:rPr>
          <w:rFonts w:hint="eastAsia"/>
        </w:rPr>
        <w:t>)</w:t>
      </w:r>
      <w:r>
        <w:rPr>
          <w:rFonts w:hint="eastAsia"/>
        </w:rPr>
        <w:t>将得到遗产的三分之二，而她们的兄弟仅得到剩余的三分之一。因此，在某些情况下妇女得到的遗产少于男性与歧视妇女无关，而是为确保根据社会公平准则、亲等和继承人数来分配遗产。伊斯兰教保证妇女的继承权，即使她们自身富有。这项权利被写入《卡塔尔宪法》第</w:t>
      </w:r>
      <w:r>
        <w:rPr>
          <w:rFonts w:hint="eastAsia"/>
        </w:rPr>
        <w:t>51</w:t>
      </w:r>
      <w:r>
        <w:rPr>
          <w:rFonts w:hint="eastAsia"/>
        </w:rPr>
        <w:t>条，该条款规定：“继承权受到保护并由伊斯兰教法管理”。</w:t>
      </w:r>
    </w:p>
    <w:p w:rsidR="007234DD" w:rsidRDefault="007234DD">
      <w:pPr>
        <w:pStyle w:val="SingleTxtGC"/>
      </w:pPr>
      <w:r>
        <w:t xml:space="preserve">407.  </w:t>
      </w:r>
      <w:r>
        <w:rPr>
          <w:rFonts w:hint="eastAsia"/>
        </w:rPr>
        <w:t>《家庭法》第</w:t>
      </w:r>
      <w:r>
        <w:rPr>
          <w:rFonts w:hint="eastAsia"/>
        </w:rPr>
        <w:t>241-301</w:t>
      </w:r>
      <w:r>
        <w:rPr>
          <w:rFonts w:hint="eastAsia"/>
        </w:rPr>
        <w:t>条涉及妇女的继承权问题，规定男童和女童的继承权均须得到保护，儿童须得到其根据伊斯兰教教法应得的份额。实际上，根据该法第</w:t>
      </w:r>
      <w:r>
        <w:rPr>
          <w:rFonts w:hint="eastAsia"/>
        </w:rPr>
        <w:t>294</w:t>
      </w:r>
      <w:r>
        <w:rPr>
          <w:rFonts w:hint="eastAsia"/>
        </w:rPr>
        <w:t>条，在得知胎儿性别之前，须为其留出较大份额的遗产。此外，作为妻子、姐妹、女儿、孙女和祖母，妇女有权得到根据伊斯兰教法分配给她们的部分遗产。</w:t>
      </w:r>
    </w:p>
    <w:p w:rsidR="007234DD" w:rsidRDefault="007234DD">
      <w:pPr>
        <w:pStyle w:val="H23GC"/>
      </w:pPr>
      <w:r>
        <w:tab/>
      </w:r>
      <w:r>
        <w:tab/>
      </w:r>
      <w:r>
        <w:rPr>
          <w:rFonts w:hint="eastAsia"/>
        </w:rPr>
        <w:t>卡塔尔对《公约》第十五条第</w:t>
      </w:r>
      <w:r>
        <w:rPr>
          <w:rFonts w:hint="eastAsia"/>
        </w:rPr>
        <w:t>4</w:t>
      </w:r>
      <w:r>
        <w:rPr>
          <w:rFonts w:hint="eastAsia"/>
        </w:rPr>
        <w:t>款提出保留</w:t>
      </w:r>
    </w:p>
    <w:p w:rsidR="007234DD" w:rsidRDefault="007234DD">
      <w:pPr>
        <w:pStyle w:val="SingleTxtGC"/>
      </w:pPr>
      <w:r>
        <w:t xml:space="preserve">408.  </w:t>
      </w:r>
      <w:r>
        <w:rPr>
          <w:rFonts w:hint="eastAsia"/>
        </w:rPr>
        <w:t>《宪法》第</w:t>
      </w:r>
      <w:r>
        <w:rPr>
          <w:rFonts w:hint="eastAsia"/>
        </w:rPr>
        <w:t>1</w:t>
      </w:r>
      <w:r>
        <w:rPr>
          <w:rFonts w:hint="eastAsia"/>
        </w:rPr>
        <w:t>条规定，伊斯兰教法是卡塔尔法律的主要来源。伊斯兰教法为《家庭法》有关个人地位问题的条款提供了依据。《家庭法》第</w:t>
      </w:r>
      <w:r>
        <w:rPr>
          <w:rFonts w:hint="eastAsia"/>
        </w:rPr>
        <w:t>3</w:t>
      </w:r>
      <w:r>
        <w:rPr>
          <w:rFonts w:hint="eastAsia"/>
        </w:rPr>
        <w:t>条规定：“本法未涉及的问题应基于罕百里法学派的普遍观点加以解决，除非法院另有决定并在决定中解释了作出此决定的原因。若罕百里学派在本法未涉及的问题上不存在普遍观点，法院应遵循它认为有关的四个学派的观点，否则，应适用伊斯兰法理学的通则”。</w:t>
      </w:r>
    </w:p>
    <w:p w:rsidR="007234DD" w:rsidRDefault="007234DD">
      <w:pPr>
        <w:pStyle w:val="SingleTxtGC"/>
      </w:pPr>
      <w:r>
        <w:t xml:space="preserve">409.  </w:t>
      </w:r>
      <w:r>
        <w:rPr>
          <w:rFonts w:hint="eastAsia"/>
        </w:rPr>
        <w:t>所讨论的《公约》这一款表明，成年妇女，无论已婚或未婚，须享有自由移动和自由选择居住地和住所的权利。这不符合颁布《家庭法》的</w:t>
      </w:r>
      <w:r>
        <w:rPr>
          <w:rFonts w:hint="eastAsia"/>
        </w:rPr>
        <w:t>2006</w:t>
      </w:r>
      <w:r>
        <w:rPr>
          <w:rFonts w:hint="eastAsia"/>
        </w:rPr>
        <w:t>年第</w:t>
      </w:r>
      <w:r>
        <w:rPr>
          <w:rFonts w:hint="eastAsia"/>
        </w:rPr>
        <w:t>22</w:t>
      </w:r>
      <w:r>
        <w:rPr>
          <w:rFonts w:hint="eastAsia"/>
        </w:rPr>
        <w:t>号法，也不符合普遍社会规范。该法第</w:t>
      </w:r>
      <w:r>
        <w:rPr>
          <w:rFonts w:hint="eastAsia"/>
        </w:rPr>
        <w:t>64</w:t>
      </w:r>
      <w:r>
        <w:rPr>
          <w:rFonts w:hint="eastAsia"/>
        </w:rPr>
        <w:t>条规定，丈夫必须“为妻子准备一个适合配偶双方居住的住宅”。第</w:t>
      </w:r>
      <w:r>
        <w:rPr>
          <w:rFonts w:hint="eastAsia"/>
        </w:rPr>
        <w:t>65</w:t>
      </w:r>
      <w:r>
        <w:rPr>
          <w:rFonts w:hint="eastAsia"/>
        </w:rPr>
        <w:t>条规定：“妻子应与丈夫一起生活在丈夫为其准备的住宅中，当丈夫搬离该住宅时应与丈夫一同搬离，除非婚约另有规定或搬迁的目的对其有害”。第</w:t>
      </w:r>
      <w:r>
        <w:rPr>
          <w:rFonts w:hint="eastAsia"/>
        </w:rPr>
        <w:t>69</w:t>
      </w:r>
      <w:r>
        <w:rPr>
          <w:rFonts w:hint="eastAsia"/>
        </w:rPr>
        <w:t>条规定，在特定情况下，拒不服从的妻子无权获得扶养费，此类情况包括她拒绝搬入婚姻住房或在没有合理理由的情况下离开婚姻住房，或无合理理由而拒绝与丈夫出行，或未经丈夫允许即出行，或未经丈夫同意而离家工作，除非丈夫拒绝同意她外出工作的做法被认为是武断的。但是，该法律未强制妇女违背自身意愿与丈夫生活在一起；她有寻求分居的选择权。伊斯兰教法和社会习俗规定，未婚女性须与其家人和父母居住在一起。只有在离婚或丧夫时，或未婚但达到一定年龄时，或没有家庭和父母提供住房时，她们才能够单独居住。</w:t>
      </w:r>
    </w:p>
    <w:p w:rsidR="007234DD" w:rsidRDefault="007234DD">
      <w:pPr>
        <w:pStyle w:val="H23GC"/>
      </w:pPr>
      <w:r>
        <w:tab/>
      </w:r>
      <w:r>
        <w:tab/>
      </w:r>
      <w:r>
        <w:rPr>
          <w:rFonts w:hint="eastAsia"/>
        </w:rPr>
        <w:t>挑战和未来展望</w:t>
      </w:r>
    </w:p>
    <w:p w:rsidR="007234DD" w:rsidRDefault="007234DD">
      <w:pPr>
        <w:pStyle w:val="SingleTxtGC"/>
      </w:pPr>
      <w:r>
        <w:t xml:space="preserve">410.  </w:t>
      </w:r>
      <w:r>
        <w:rPr>
          <w:rFonts w:hint="eastAsia"/>
        </w:rPr>
        <w:t>一些妇女对自己的法定权利或获得和行使自身权利的途径缺乏认识，这一事实给改善其处境的努力构成了真正的挑战。妇女不愿意参加使其了解自身权利的谈话和讨论，这一事实使问题更加严重。各组织分发介绍了与妇女相关的主要法律规定的小册子。举例来说，这些材料包括一套名为“了解你的权利”的丛书，由最高家庭事务委员会编制。必须找到新的方法，以触及到这些妇女。妇女在法院争取自身权利时面临的主要挑战之一，是对法律程序的无知。</w:t>
      </w:r>
    </w:p>
    <w:p w:rsidR="007234DD" w:rsidRDefault="007234DD">
      <w:pPr>
        <w:pStyle w:val="H1GC"/>
      </w:pPr>
      <w:r>
        <w:tab/>
      </w:r>
      <w:r>
        <w:tab/>
      </w:r>
      <w:r>
        <w:rPr>
          <w:rFonts w:hint="eastAsia"/>
        </w:rPr>
        <w:t>第十六条</w:t>
      </w:r>
      <w:r>
        <w:br/>
      </w:r>
      <w:r>
        <w:rPr>
          <w:rFonts w:hint="eastAsia"/>
        </w:rPr>
        <w:t>婚姻和家庭生活</w:t>
      </w:r>
    </w:p>
    <w:p w:rsidR="007234DD" w:rsidRDefault="007234DD">
      <w:pPr>
        <w:pStyle w:val="SingleTxtGC"/>
      </w:pPr>
      <w:r>
        <w:t xml:space="preserve">411.  </w:t>
      </w:r>
      <w:r>
        <w:rPr>
          <w:rFonts w:hint="eastAsia"/>
        </w:rPr>
        <w:t>“</w:t>
      </w:r>
      <w:r>
        <w:t>缔约各国应采取一切适当措施，消除在有关婚姻和家庭关系的一切事务上对妇女的歧视，并特别应保证</w:t>
      </w:r>
      <w:r>
        <w:rPr>
          <w:rFonts w:hint="eastAsia"/>
        </w:rPr>
        <w:t>妇女</w:t>
      </w:r>
      <w:r>
        <w:t>在男女平等的基础上：</w:t>
      </w:r>
    </w:p>
    <w:p w:rsidR="007234DD" w:rsidRDefault="007234DD">
      <w:pPr>
        <w:pStyle w:val="SingleTxtGC"/>
        <w:numPr>
          <w:ilvl w:val="0"/>
          <w:numId w:val="22"/>
        </w:numPr>
      </w:pPr>
      <w:r>
        <w:rPr>
          <w:rFonts w:hint="eastAsia"/>
        </w:rPr>
        <w:t>有相同的缔结婚约的权利；</w:t>
      </w:r>
    </w:p>
    <w:p w:rsidR="007234DD" w:rsidRDefault="007234DD">
      <w:pPr>
        <w:pStyle w:val="SingleTxtGC"/>
        <w:numPr>
          <w:ilvl w:val="0"/>
          <w:numId w:val="22"/>
        </w:numPr>
      </w:pPr>
      <w:r>
        <w:rPr>
          <w:rFonts w:hint="eastAsia"/>
        </w:rPr>
        <w:t>有相同的自由选择配偶和非经本人自由表示完全同意不缔结婚约的权利；</w:t>
      </w:r>
    </w:p>
    <w:p w:rsidR="007234DD" w:rsidRDefault="007234DD">
      <w:pPr>
        <w:pStyle w:val="SingleTxtGC"/>
        <w:numPr>
          <w:ilvl w:val="0"/>
          <w:numId w:val="22"/>
        </w:numPr>
      </w:pPr>
      <w:r>
        <w:rPr>
          <w:rFonts w:hint="eastAsia"/>
        </w:rPr>
        <w:t>在婚姻存续期间以及解除婚姻关系时，有相同的权利和义务；</w:t>
      </w:r>
    </w:p>
    <w:p w:rsidR="007234DD" w:rsidRDefault="007234DD">
      <w:pPr>
        <w:pStyle w:val="SingleTxtGC"/>
        <w:numPr>
          <w:ilvl w:val="0"/>
          <w:numId w:val="22"/>
        </w:numPr>
        <w:tabs>
          <w:tab w:val="left" w:pos="3250"/>
        </w:tabs>
      </w:pPr>
      <w:r>
        <w:rPr>
          <w:rFonts w:hint="eastAsia"/>
        </w:rPr>
        <w:t>不论婚姻状况如何，在有关子女的事务上，作为父母亲有相同的权利和义务。但在任何情形下，均应以子女的利益为重；</w:t>
      </w:r>
    </w:p>
    <w:p w:rsidR="007234DD" w:rsidRDefault="007234DD">
      <w:pPr>
        <w:pStyle w:val="SingleTxtGC"/>
        <w:numPr>
          <w:ilvl w:val="0"/>
          <w:numId w:val="22"/>
        </w:numPr>
      </w:pPr>
      <w:r>
        <w:rPr>
          <w:rFonts w:hint="eastAsia"/>
        </w:rPr>
        <w:t>有相同的权利自由负责地决定子女人数和生育间隔，并有机会获得使她们能够行使这种权利的知识、教育和方法；</w:t>
      </w:r>
    </w:p>
    <w:p w:rsidR="007234DD" w:rsidRDefault="007234DD">
      <w:pPr>
        <w:pStyle w:val="SingleTxtGC"/>
        <w:numPr>
          <w:ilvl w:val="0"/>
          <w:numId w:val="22"/>
        </w:numPr>
      </w:pPr>
      <w:r>
        <w:rPr>
          <w:rFonts w:hint="eastAsia"/>
        </w:rPr>
        <w:t>在监护、看管、受托和收养子女或类似的制度方面，如果国家法规有这些观念的话，有相同的权利和义务。但在任何情形下，均应以子女的利益为重；</w:t>
      </w:r>
    </w:p>
    <w:p w:rsidR="007234DD" w:rsidRDefault="007234DD">
      <w:pPr>
        <w:pStyle w:val="SingleTxtGC"/>
        <w:numPr>
          <w:ilvl w:val="0"/>
          <w:numId w:val="22"/>
        </w:numPr>
      </w:pPr>
      <w:r>
        <w:rPr>
          <w:rFonts w:hint="eastAsia"/>
        </w:rPr>
        <w:t>夫妻有相同的个人权利，包括选择姓氏、专业和职业的权利；</w:t>
      </w:r>
    </w:p>
    <w:p w:rsidR="007234DD" w:rsidRDefault="007234DD">
      <w:pPr>
        <w:pStyle w:val="SingleTxtGC"/>
        <w:numPr>
          <w:ilvl w:val="0"/>
          <w:numId w:val="22"/>
        </w:numPr>
      </w:pPr>
      <w:r>
        <w:rPr>
          <w:rFonts w:hint="eastAsia"/>
        </w:rPr>
        <w:t>配偶双方在财产的所有、取得、经营、管理、享有、处置方面，不论是无偿的或是收取价值酬报的，都具有相同的权利。</w:t>
      </w:r>
    </w:p>
    <w:p w:rsidR="007234DD" w:rsidRDefault="007234DD">
      <w:pPr>
        <w:pStyle w:val="SingleTxtGC"/>
      </w:pPr>
      <w:r>
        <w:t xml:space="preserve">412.  </w:t>
      </w:r>
      <w:r>
        <w:t>童年订婚和</w:t>
      </w:r>
      <w:r>
        <w:rPr>
          <w:rFonts w:hint="eastAsia"/>
        </w:rPr>
        <w:t>结</w:t>
      </w:r>
      <w:r>
        <w:t>婚应不具法律效力，并应采取一切必要行动，包括制订法律，规定结婚最低年龄，并规定婚姻必须向正式机构登记。</w:t>
      </w:r>
      <w:r>
        <w:rPr>
          <w:rFonts w:hint="eastAsia"/>
        </w:rPr>
        <w:t>”</w:t>
      </w:r>
    </w:p>
    <w:p w:rsidR="007234DD" w:rsidRDefault="007234DD">
      <w:pPr>
        <w:pStyle w:val="H23GC"/>
      </w:pPr>
      <w:r>
        <w:tab/>
      </w:r>
      <w:r>
        <w:tab/>
      </w:r>
      <w:r>
        <w:rPr>
          <w:rFonts w:hint="eastAsia"/>
        </w:rPr>
        <w:t>宪法和法律框架</w:t>
      </w:r>
    </w:p>
    <w:p w:rsidR="007234DD" w:rsidRDefault="007234DD">
      <w:pPr>
        <w:pStyle w:val="SingleTxtGC"/>
      </w:pPr>
      <w:r>
        <w:t xml:space="preserve">413.  </w:t>
      </w:r>
      <w:r>
        <w:rPr>
          <w:rFonts w:hint="eastAsia"/>
        </w:rPr>
        <w:t>家庭是卡塔尔社会的根基之一。《宪法》第</w:t>
      </w:r>
      <w:r>
        <w:rPr>
          <w:rFonts w:hint="eastAsia"/>
        </w:rPr>
        <w:t>21</w:t>
      </w:r>
      <w:r>
        <w:rPr>
          <w:rFonts w:hint="eastAsia"/>
        </w:rPr>
        <w:t>条规定：“家庭由宗教、道德和爱国主义支撑，是社会的基础。法律应对保护家庭、支持家庭团结、加强家庭关系以及保护母亲、儿童和老人的方法作出规定”。与家庭事务</w:t>
      </w:r>
      <w:r>
        <w:rPr>
          <w:rFonts w:hint="eastAsia"/>
        </w:rPr>
        <w:t>(</w:t>
      </w:r>
      <w:r>
        <w:rPr>
          <w:rFonts w:hint="eastAsia"/>
        </w:rPr>
        <w:t>诸如婚姻、离婚、照料幼儿</w:t>
      </w:r>
      <w:r>
        <w:rPr>
          <w:rFonts w:hint="eastAsia"/>
        </w:rPr>
        <w:t>(hadanah)</w:t>
      </w:r>
      <w:r>
        <w:rPr>
          <w:rFonts w:hint="eastAsia"/>
        </w:rPr>
        <w:t>、抚养等</w:t>
      </w:r>
      <w:r>
        <w:rPr>
          <w:rFonts w:hint="eastAsia"/>
        </w:rPr>
        <w:t>)</w:t>
      </w:r>
      <w:r>
        <w:rPr>
          <w:rFonts w:hint="eastAsia"/>
        </w:rPr>
        <w:t>有关的所有伊斯兰教法则均被纳入《家庭法》</w:t>
      </w:r>
      <w:r>
        <w:rPr>
          <w:rFonts w:hint="eastAsia"/>
        </w:rPr>
        <w:t>(2006</w:t>
      </w:r>
      <w:r>
        <w:rPr>
          <w:rFonts w:hint="eastAsia"/>
        </w:rPr>
        <w:t>年第</w:t>
      </w:r>
      <w:r>
        <w:rPr>
          <w:rFonts w:hint="eastAsia"/>
        </w:rPr>
        <w:t>22</w:t>
      </w:r>
      <w:r>
        <w:rPr>
          <w:rFonts w:hint="eastAsia"/>
        </w:rPr>
        <w:t>号法</w:t>
      </w:r>
      <w:r>
        <w:rPr>
          <w:rFonts w:hint="eastAsia"/>
        </w:rPr>
        <w:t>)</w:t>
      </w:r>
      <w:r>
        <w:rPr>
          <w:rFonts w:hint="eastAsia"/>
        </w:rPr>
        <w:t>。该法是卡塔尔通过的首部关于家庭的成文法律。有关法案是由伊斯兰教法法院主持的一个委员会于</w:t>
      </w:r>
      <w:r>
        <w:rPr>
          <w:rFonts w:hint="eastAsia"/>
        </w:rPr>
        <w:t>2000</w:t>
      </w:r>
      <w:r>
        <w:rPr>
          <w:rFonts w:hint="eastAsia"/>
        </w:rPr>
        <w:t>年起草的。最高家庭事务委员会以提供意见的方式对该法的制订做出了贡献，许多意见被加以考虑。它特别建议：“应规定最低结婚年龄；应采用强制性的婚前检测；应将资产审查作为允许男性娶一名以上妻子的条件；不应适用强制服从条款。</w:t>
      </w:r>
    </w:p>
    <w:p w:rsidR="007234DD" w:rsidRDefault="007234DD">
      <w:pPr>
        <w:pStyle w:val="SingleTxtGC"/>
      </w:pPr>
      <w:r>
        <w:t xml:space="preserve">414.  </w:t>
      </w:r>
      <w:r>
        <w:rPr>
          <w:rFonts w:hint="eastAsia"/>
        </w:rPr>
        <w:t>迄今，没有任何法律像《家庭法》这样被广泛讨论。多年以来，最高家庭事务委员会组织的一般性辩论、媒体报导、以及有伊斯兰学者、法律专家和在卡塔尔和阿拉伯世界从事家庭和妇女问题的人士参加的广播和电视节目均在讨论这一法令。《家庭法》的内容得到了充分的讨论，这些讨论有助于该法的最终成形。</w:t>
      </w:r>
    </w:p>
    <w:p w:rsidR="007234DD" w:rsidRDefault="007234DD">
      <w:pPr>
        <w:pStyle w:val="SingleTxtGC"/>
      </w:pPr>
      <w:r>
        <w:t xml:space="preserve">415.  </w:t>
      </w:r>
      <w:r>
        <w:rPr>
          <w:rFonts w:hint="eastAsia"/>
        </w:rPr>
        <w:t>《家庭法》提供了些许灵活性，该法第</w:t>
      </w:r>
      <w:r>
        <w:rPr>
          <w:rFonts w:hint="eastAsia"/>
        </w:rPr>
        <w:t>3</w:t>
      </w:r>
      <w:r>
        <w:rPr>
          <w:rFonts w:hint="eastAsia"/>
        </w:rPr>
        <w:t>条规定，在解决该法未涉及的事项时应援引罕百里学派的普遍观点，除非法院另有决定并在决定中解释了作出此决定的原因。若罕百里学派在本法未涉及的问题上不存在普遍观点，法院应遵循它认为有关的四个学派的任何观点，否则，应适用伊斯兰法理学的通则。</w:t>
      </w:r>
    </w:p>
    <w:p w:rsidR="007234DD" w:rsidRDefault="007234DD">
      <w:pPr>
        <w:pStyle w:val="SingleTxtGC"/>
      </w:pPr>
      <w:r>
        <w:t xml:space="preserve">416.  </w:t>
      </w:r>
      <w:r>
        <w:rPr>
          <w:rFonts w:hint="eastAsia"/>
        </w:rPr>
        <w:t>第</w:t>
      </w:r>
      <w:r>
        <w:rPr>
          <w:rFonts w:hint="eastAsia"/>
        </w:rPr>
        <w:t>4</w:t>
      </w:r>
      <w:r>
        <w:rPr>
          <w:rFonts w:hint="eastAsia"/>
        </w:rPr>
        <w:t>条规定，该法适用于服从罕百里法则的情况。其他人的情况则由其他法律管理。针对非穆斯林人口，则适用有关家庭事务的特殊条款。无论如何，若当事人提出要求，或当事人的宗教信仰或教派不同，则适用该法律。</w:t>
      </w:r>
    </w:p>
    <w:p w:rsidR="007234DD" w:rsidRDefault="007234DD">
      <w:pPr>
        <w:pStyle w:val="SingleTxtGC"/>
      </w:pPr>
      <w:r>
        <w:t xml:space="preserve">417.  </w:t>
      </w:r>
      <w:r>
        <w:rPr>
          <w:rFonts w:hint="eastAsia"/>
        </w:rPr>
        <w:t>卡塔尔确定的家庭模式是以男女间的合法婚姻为基础的。其他任何模式均被视为不合法，并不受《家庭法》管辖。</w:t>
      </w:r>
    </w:p>
    <w:p w:rsidR="007234DD" w:rsidRDefault="007234DD">
      <w:pPr>
        <w:pStyle w:val="H23GC"/>
      </w:pPr>
      <w:r>
        <w:tab/>
      </w:r>
      <w:r>
        <w:tab/>
      </w:r>
      <w:r>
        <w:rPr>
          <w:rFonts w:hint="eastAsia"/>
        </w:rPr>
        <w:t>婚姻</w:t>
      </w:r>
    </w:p>
    <w:p w:rsidR="007234DD" w:rsidRDefault="007234DD">
      <w:pPr>
        <w:pStyle w:val="SingleTxtGC"/>
      </w:pPr>
      <w:r>
        <w:t xml:space="preserve">418.  </w:t>
      </w:r>
      <w:r>
        <w:rPr>
          <w:rFonts w:hint="eastAsia"/>
        </w:rPr>
        <w:t>婚约若要有效，至关重要的是要获得女方对婚姻的同意。根据该法第</w:t>
      </w:r>
      <w:r>
        <w:rPr>
          <w:rFonts w:hint="eastAsia"/>
        </w:rPr>
        <w:t>12</w:t>
      </w:r>
      <w:r>
        <w:rPr>
          <w:rFonts w:hint="eastAsia"/>
        </w:rPr>
        <w:t>条，若双方均具有法律行为能力，法律不禁止其结婚，并且双方均同意结婚，则婚约即为有效。《家庭法》第</w:t>
      </w:r>
      <w:r>
        <w:rPr>
          <w:rFonts w:hint="eastAsia"/>
        </w:rPr>
        <w:t>13</w:t>
      </w:r>
      <w:r>
        <w:rPr>
          <w:rFonts w:hint="eastAsia"/>
        </w:rPr>
        <w:t>条列出了有效同意的标准，规定须用言语表达同意，以表明婚姻在语言或习惯性规范方面得到理解。若配偶不能说话，可以用书写或易于理解的手势来表示同意。</w:t>
      </w:r>
    </w:p>
    <w:p w:rsidR="007234DD" w:rsidRDefault="007234DD">
      <w:pPr>
        <w:pStyle w:val="SingleTxtGC"/>
      </w:pPr>
      <w:r>
        <w:t xml:space="preserve">419.  </w:t>
      </w:r>
      <w:r>
        <w:rPr>
          <w:rFonts w:hint="eastAsia"/>
        </w:rPr>
        <w:t>《家庭法》禁止妇女自行订婚。第</w:t>
      </w:r>
      <w:r>
        <w:rPr>
          <w:rFonts w:hint="eastAsia"/>
        </w:rPr>
        <w:t>26</w:t>
      </w:r>
      <w:r>
        <w:rPr>
          <w:rFonts w:hint="eastAsia"/>
        </w:rPr>
        <w:t>条规定：“在女性的同意之下，应由她的监护人订立婚约”。该法还规定了有关婚姻的监护人依序是父亲、或祖父、或儿子、或亲兄弟、或同父异母兄弟、或亲叔伯、或堂叔伯。监护人必须是心智健全的成年男性，并且不处于“朝觐”或“副朝”</w:t>
      </w:r>
      <w:r>
        <w:rPr>
          <w:rFonts w:hint="eastAsia"/>
        </w:rPr>
        <w:t>(</w:t>
      </w:r>
      <w:r>
        <w:rPr>
          <w:rFonts w:hint="eastAsia"/>
        </w:rPr>
        <w:t>小朝觐</w:t>
      </w:r>
      <w:r>
        <w:rPr>
          <w:rFonts w:hint="eastAsia"/>
        </w:rPr>
        <w:t>)</w:t>
      </w:r>
      <w:r>
        <w:rPr>
          <w:rFonts w:hint="eastAsia"/>
        </w:rPr>
        <w:t>的朝拜状态。若被监护人是穆斯林，他也必须是穆斯林。该法第</w:t>
      </w:r>
      <w:r>
        <w:rPr>
          <w:rFonts w:hint="eastAsia"/>
        </w:rPr>
        <w:t>30</w:t>
      </w:r>
      <w:r>
        <w:rPr>
          <w:rFonts w:hint="eastAsia"/>
        </w:rPr>
        <w:t>条规定：“对于没有监护人的人，法官应作为她的监护人。他不得与自己的被监护人缔结婚约”。</w:t>
      </w:r>
    </w:p>
    <w:p w:rsidR="007234DD" w:rsidRDefault="007234DD">
      <w:pPr>
        <w:pStyle w:val="SingleTxtGC"/>
      </w:pPr>
      <w:r>
        <w:t xml:space="preserve">420.  </w:t>
      </w:r>
      <w:r>
        <w:rPr>
          <w:rFonts w:hint="eastAsia"/>
        </w:rPr>
        <w:t>妇女的结婚权利受到保护，监护人不得任意否认这一权利。《家庭法》第</w:t>
      </w:r>
      <w:r>
        <w:rPr>
          <w:rFonts w:hint="eastAsia"/>
        </w:rPr>
        <w:t>29</w:t>
      </w:r>
      <w:r>
        <w:rPr>
          <w:rFonts w:hint="eastAsia"/>
        </w:rPr>
        <w:t>条规定，在下列情况下，经伊斯兰教法官授权，可以缔结婚姻：</w:t>
      </w:r>
    </w:p>
    <w:p w:rsidR="007234DD" w:rsidRDefault="007234DD">
      <w:pPr>
        <w:pStyle w:val="Bullet1GC"/>
      </w:pPr>
      <w:r>
        <w:rPr>
          <w:rFonts w:hint="eastAsia"/>
        </w:rPr>
        <w:t>当妇女的第一监护人阻止她结婚和</w:t>
      </w:r>
      <w:r>
        <w:rPr>
          <w:rFonts w:hint="eastAsia"/>
        </w:rPr>
        <w:t>/</w:t>
      </w:r>
      <w:r>
        <w:rPr>
          <w:rFonts w:hint="eastAsia"/>
        </w:rPr>
        <w:t>或与具有同等亲属关系的监护人们阻止她结婚或者彼此意见不一时；</w:t>
      </w:r>
    </w:p>
    <w:p w:rsidR="007234DD" w:rsidRDefault="007234DD">
      <w:pPr>
        <w:pStyle w:val="Bullet1GC"/>
      </w:pPr>
      <w:r>
        <w:rPr>
          <w:rFonts w:hint="eastAsia"/>
        </w:rPr>
        <w:t>当第一监护人缺席且法官裁定等待听取监护人的意见不符合妇女的利益时。根据本条款的规定，家庭法院已缔结了数个婚姻。</w:t>
      </w:r>
    </w:p>
    <w:p w:rsidR="007234DD" w:rsidRDefault="007234DD">
      <w:pPr>
        <w:pStyle w:val="SingleTxtGC"/>
      </w:pPr>
      <w:r>
        <w:t xml:space="preserve">421.  </w:t>
      </w:r>
      <w:r>
        <w:rPr>
          <w:rFonts w:hint="eastAsia"/>
        </w:rPr>
        <w:t>该法第</w:t>
      </w:r>
      <w:r>
        <w:rPr>
          <w:rFonts w:hint="eastAsia"/>
        </w:rPr>
        <w:t>35</w:t>
      </w:r>
      <w:r>
        <w:rPr>
          <w:rFonts w:hint="eastAsia"/>
        </w:rPr>
        <w:t>条规定，婚姻双方可在婚约中加入特殊条件。该条款明确说明了这些条件如何影响婚约的有效性。它提供了可引以为据的条件。妇女可在婚约中约定她必须被准许继续学习或工作，她的丈夫不可娶另外的妻子，或者她不必在丈夫旅行时陪伴左右。</w:t>
      </w:r>
    </w:p>
    <w:p w:rsidR="007234DD" w:rsidRDefault="007234DD">
      <w:pPr>
        <w:pStyle w:val="H23GC"/>
      </w:pPr>
      <w:r>
        <w:tab/>
      </w:r>
      <w:r>
        <w:tab/>
      </w:r>
      <w:r>
        <w:rPr>
          <w:rFonts w:hint="eastAsia"/>
        </w:rPr>
        <w:t>结婚年龄</w:t>
      </w:r>
    </w:p>
    <w:p w:rsidR="007234DD" w:rsidRDefault="007234DD">
      <w:pPr>
        <w:pStyle w:val="SingleTxtGC"/>
      </w:pPr>
      <w:r>
        <w:t xml:space="preserve">422.  </w:t>
      </w:r>
      <w:r>
        <w:rPr>
          <w:rFonts w:hint="eastAsia"/>
        </w:rPr>
        <w:t>根据《家庭法》</w:t>
      </w:r>
      <w:r>
        <w:rPr>
          <w:rFonts w:hint="eastAsia"/>
        </w:rPr>
        <w:t>(2006</w:t>
      </w:r>
      <w:r>
        <w:rPr>
          <w:rFonts w:hint="eastAsia"/>
        </w:rPr>
        <w:t>年第</w:t>
      </w:r>
      <w:r>
        <w:rPr>
          <w:rFonts w:hint="eastAsia"/>
        </w:rPr>
        <w:t>22</w:t>
      </w:r>
      <w:r>
        <w:rPr>
          <w:rFonts w:hint="eastAsia"/>
        </w:rPr>
        <w:t>号法</w:t>
      </w:r>
      <w:r>
        <w:rPr>
          <w:rFonts w:hint="eastAsia"/>
        </w:rPr>
        <w:t>)</w:t>
      </w:r>
      <w:r>
        <w:rPr>
          <w:rFonts w:hint="eastAsia"/>
        </w:rPr>
        <w:t>，女性的最低结婚年龄为</w:t>
      </w:r>
      <w:r>
        <w:rPr>
          <w:rFonts w:hint="eastAsia"/>
        </w:rPr>
        <w:t>16</w:t>
      </w:r>
      <w:r>
        <w:rPr>
          <w:rFonts w:hint="eastAsia"/>
        </w:rPr>
        <w:t>岁，男性为</w:t>
      </w:r>
      <w:r>
        <w:rPr>
          <w:rFonts w:hint="eastAsia"/>
        </w:rPr>
        <w:t>18</w:t>
      </w:r>
      <w:r>
        <w:rPr>
          <w:rFonts w:hint="eastAsia"/>
        </w:rPr>
        <w:t>岁。该法第</w:t>
      </w:r>
      <w:r>
        <w:rPr>
          <w:rFonts w:hint="eastAsia"/>
        </w:rPr>
        <w:t>17</w:t>
      </w:r>
      <w:r>
        <w:rPr>
          <w:rFonts w:hint="eastAsia"/>
        </w:rPr>
        <w:t>条规定，低于这一年龄的女性只有在得到监护人同意、双方当事人的同意和主管法官的许可后，方可结婚。这是《家庭法》的关键条款，在该颁布前不存在最低结婚年龄。</w:t>
      </w:r>
    </w:p>
    <w:p w:rsidR="007234DD" w:rsidRDefault="007234DD">
      <w:pPr>
        <w:pStyle w:val="SingleTxtGC"/>
      </w:pPr>
      <w:r>
        <w:t xml:space="preserve">423.  </w:t>
      </w:r>
      <w:r>
        <w:rPr>
          <w:rFonts w:hint="eastAsia"/>
        </w:rPr>
        <w:t>为何卡塔尔如今很少出现早婚现象，教育是主要因素之一。因为结婚尤其使女童不能继续接受普通教育，家长宁愿将对结婚推迟到他们的女儿至少取得中学文凭后。根据《家庭法》，低于适婚年龄的女性只有在得到监护人同意、双方当事人的同意和主管法官的许可后方可结婚，考虑到这一点，当局建议那些希望自己的女儿尽早结婚的家长要等待。</w:t>
      </w:r>
    </w:p>
    <w:p w:rsidR="007234DD" w:rsidRDefault="007234DD">
      <w:pPr>
        <w:pStyle w:val="H23GC"/>
      </w:pPr>
      <w:r>
        <w:tab/>
      </w:r>
      <w:r>
        <w:tab/>
      </w:r>
      <w:r>
        <w:rPr>
          <w:rFonts w:hint="eastAsia"/>
        </w:rPr>
        <w:t>妻子的财务独立</w:t>
      </w:r>
    </w:p>
    <w:p w:rsidR="007234DD" w:rsidRDefault="007234DD">
      <w:pPr>
        <w:pStyle w:val="SingleTxtGC"/>
      </w:pPr>
      <w:r>
        <w:t xml:space="preserve">424.  </w:t>
      </w:r>
      <w:r>
        <w:rPr>
          <w:rFonts w:hint="eastAsia"/>
        </w:rPr>
        <w:t>伊斯兰教法确认妇女财务独立。有关经济生活之安排的立法不包括任何对男性和女性的区别对待。有关经济过程之安排</w:t>
      </w:r>
      <w:r>
        <w:rPr>
          <w:rFonts w:hint="eastAsia"/>
        </w:rPr>
        <w:t>(</w:t>
      </w:r>
      <w:r>
        <w:rPr>
          <w:rFonts w:hint="eastAsia"/>
        </w:rPr>
        <w:t>诸如贸易、工业、投资、股票交易、获得银行贷款、开设银行账户</w:t>
      </w:r>
      <w:r>
        <w:rPr>
          <w:rFonts w:hint="eastAsia"/>
        </w:rPr>
        <w:t>)</w:t>
      </w:r>
      <w:r>
        <w:rPr>
          <w:rFonts w:hint="eastAsia"/>
        </w:rPr>
        <w:t>的立法，均以通用术语表述，适用于所有公民。</w:t>
      </w:r>
    </w:p>
    <w:p w:rsidR="007234DD" w:rsidRDefault="007234DD">
      <w:pPr>
        <w:pStyle w:val="SingleTxtGC"/>
      </w:pPr>
      <w:r>
        <w:t xml:space="preserve">425.  </w:t>
      </w:r>
      <w:r>
        <w:rPr>
          <w:rFonts w:hint="eastAsia"/>
        </w:rPr>
        <w:t>伊斯兰教法并未禁止一对已婚夫妇根据其婚约条款</w:t>
      </w:r>
      <w:r>
        <w:rPr>
          <w:rFonts w:hint="eastAsia"/>
        </w:rPr>
        <w:t>(</w:t>
      </w:r>
      <w:r>
        <w:rPr>
          <w:rFonts w:hint="eastAsia"/>
        </w:rPr>
        <w:t>例如，一方在婚姻期间挣得的任何收入均被视为共同财产</w:t>
      </w:r>
      <w:r>
        <w:rPr>
          <w:rFonts w:hint="eastAsia"/>
        </w:rPr>
        <w:t>)</w:t>
      </w:r>
      <w:r>
        <w:rPr>
          <w:rFonts w:hint="eastAsia"/>
        </w:rPr>
        <w:t>就分担金融负债问题达成一致。可能会发生这样的情况，已婚女商人或女性财产所有人有时在分居时会蒙受经济损失，特别是若她出钱购买或修建了家庭住房</w:t>
      </w:r>
      <w:r>
        <w:rPr>
          <w:rFonts w:hint="eastAsia"/>
        </w:rPr>
        <w:t>(</w:t>
      </w:r>
      <w:r>
        <w:rPr>
          <w:rFonts w:hint="eastAsia"/>
        </w:rPr>
        <w:t>住房一般登记在丈夫名下</w:t>
      </w:r>
      <w:r>
        <w:rPr>
          <w:rFonts w:hint="eastAsia"/>
        </w:rPr>
        <w:t>)</w:t>
      </w:r>
      <w:r>
        <w:rPr>
          <w:rFonts w:hint="eastAsia"/>
        </w:rPr>
        <w:t>。需发起一次宣传活动，以在此类情形下保护妻子的权利。《家庭法》</w:t>
      </w:r>
      <w:r>
        <w:rPr>
          <w:rFonts w:hint="eastAsia"/>
        </w:rPr>
        <w:t>(2006</w:t>
      </w:r>
      <w:r>
        <w:rPr>
          <w:rFonts w:hint="eastAsia"/>
        </w:rPr>
        <w:t>年第</w:t>
      </w:r>
      <w:r>
        <w:rPr>
          <w:rFonts w:hint="eastAsia"/>
        </w:rPr>
        <w:t>22</w:t>
      </w:r>
      <w:r>
        <w:rPr>
          <w:rFonts w:hint="eastAsia"/>
        </w:rPr>
        <w:t>号法</w:t>
      </w:r>
      <w:r>
        <w:rPr>
          <w:rFonts w:hint="eastAsia"/>
        </w:rPr>
        <w:t>)</w:t>
      </w:r>
      <w:r>
        <w:rPr>
          <w:rFonts w:hint="eastAsia"/>
        </w:rPr>
        <w:t>确认，妇女有权要求返还其用在婚姻住房上的钱。第</w:t>
      </w:r>
      <w:r>
        <w:rPr>
          <w:rFonts w:hint="eastAsia"/>
        </w:rPr>
        <w:t>46</w:t>
      </w:r>
      <w:r>
        <w:rPr>
          <w:rFonts w:hint="eastAsia"/>
        </w:rPr>
        <w:t>条规定，妻子可向丈夫要回她为建造婚姻住房所花费的钱。除非有明确说明，否则这些钱不被视为礼物。《家庭法》第</w:t>
      </w:r>
      <w:r>
        <w:rPr>
          <w:rFonts w:hint="eastAsia"/>
        </w:rPr>
        <w:t>47</w:t>
      </w:r>
      <w:r>
        <w:rPr>
          <w:rFonts w:hint="eastAsia"/>
        </w:rPr>
        <w:t>条规定，将根据证据或誓言来解决夫妻间关于住房家具的任何争议。第</w:t>
      </w:r>
      <w:r>
        <w:rPr>
          <w:rFonts w:hint="eastAsia"/>
        </w:rPr>
        <w:t>48</w:t>
      </w:r>
      <w:r>
        <w:rPr>
          <w:rFonts w:hint="eastAsia"/>
        </w:rPr>
        <w:t>条补充规定，若证据中立或无法出据，夫妻须平等分享这些家具。</w:t>
      </w:r>
    </w:p>
    <w:p w:rsidR="007234DD" w:rsidRDefault="007234DD">
      <w:pPr>
        <w:pStyle w:val="H23GC"/>
      </w:pPr>
      <w:r>
        <w:tab/>
      </w:r>
      <w:r>
        <w:tab/>
      </w:r>
      <w:r>
        <w:rPr>
          <w:rFonts w:hint="eastAsia"/>
        </w:rPr>
        <w:t>配偶的责任</w:t>
      </w:r>
    </w:p>
    <w:p w:rsidR="007234DD" w:rsidRDefault="007234DD">
      <w:pPr>
        <w:pStyle w:val="SingleTxtGC"/>
      </w:pPr>
      <w:r>
        <w:t xml:space="preserve">426.  </w:t>
      </w:r>
      <w:r>
        <w:rPr>
          <w:rFonts w:hint="eastAsia"/>
        </w:rPr>
        <w:t>根据该法第</w:t>
      </w:r>
      <w:r>
        <w:rPr>
          <w:rFonts w:hint="eastAsia"/>
        </w:rPr>
        <w:t>55</w:t>
      </w:r>
      <w:r>
        <w:rPr>
          <w:rFonts w:hint="eastAsia"/>
        </w:rPr>
        <w:t>条，两人结婚便获得共同权利和相对其配偶的个人法律权利。该法第</w:t>
      </w:r>
      <w:r>
        <w:rPr>
          <w:rFonts w:hint="eastAsia"/>
        </w:rPr>
        <w:t>56</w:t>
      </w:r>
      <w:r>
        <w:rPr>
          <w:rFonts w:hint="eastAsia"/>
        </w:rPr>
        <w:t>条规定了配偶的共同权利，第</w:t>
      </w:r>
      <w:r>
        <w:rPr>
          <w:rFonts w:hint="eastAsia"/>
        </w:rPr>
        <w:t>57</w:t>
      </w:r>
      <w:r>
        <w:rPr>
          <w:rFonts w:hint="eastAsia"/>
        </w:rPr>
        <w:t>条规定了妻子相对于丈夫的权利，第</w:t>
      </w:r>
      <w:r>
        <w:rPr>
          <w:rFonts w:hint="eastAsia"/>
        </w:rPr>
        <w:t>58</w:t>
      </w:r>
      <w:r>
        <w:rPr>
          <w:rFonts w:hint="eastAsia"/>
        </w:rPr>
        <w:t>条规定了丈夫相对于妻子的权利。夫妻双方须真诚地尊重和遵守这些权利，这对巩固婚姻关系并确保家庭生活稳定而言至关重要。</w:t>
      </w:r>
    </w:p>
    <w:p w:rsidR="007234DD" w:rsidRDefault="007234DD">
      <w:pPr>
        <w:pStyle w:val="SingleTxtGC"/>
      </w:pPr>
      <w:r>
        <w:t xml:space="preserve">427.  </w:t>
      </w:r>
      <w:r>
        <w:rPr>
          <w:rFonts w:hint="eastAsia"/>
        </w:rPr>
        <w:t>根据伊斯兰教法，丈夫有权关心妻子的事务。丈夫在家庭中的地位不是监督者而是必须承担责任的一方配偶。根据伊斯兰教法，将这一职责分配给丈夫符合《古兰经》的诗句，《古兰经》明确提到：“她们应享合理的权利，也应尽合理的义务；男人的权利，比她们高一级。真主是万能的，是至睿的”。</w:t>
      </w:r>
      <w:r>
        <w:rPr>
          <w:rFonts w:hint="eastAsia"/>
        </w:rPr>
        <w:t>(</w:t>
      </w:r>
      <w:r>
        <w:rPr>
          <w:rFonts w:hint="eastAsia"/>
        </w:rPr>
        <w:t>《古兰经》，百格勒</w:t>
      </w:r>
      <w:r>
        <w:rPr>
          <w:rFonts w:hint="eastAsia"/>
        </w:rPr>
        <w:t>(</w:t>
      </w:r>
      <w:r>
        <w:rPr>
          <w:rFonts w:hint="eastAsia"/>
        </w:rPr>
        <w:t>黄牛</w:t>
      </w:r>
      <w:r>
        <w:rPr>
          <w:rFonts w:hint="eastAsia"/>
        </w:rPr>
        <w:t>)</w:t>
      </w:r>
      <w:r>
        <w:rPr>
          <w:rFonts w:hint="eastAsia"/>
        </w:rPr>
        <w:t>章，第</w:t>
      </w:r>
      <w:r>
        <w:rPr>
          <w:rFonts w:hint="eastAsia"/>
        </w:rPr>
        <w:t>208</w:t>
      </w:r>
      <w:r>
        <w:rPr>
          <w:rFonts w:hint="eastAsia"/>
        </w:rPr>
        <w:t>节</w:t>
      </w:r>
      <w:r>
        <w:rPr>
          <w:rFonts w:hint="eastAsia"/>
        </w:rPr>
        <w:t>)</w:t>
      </w:r>
      <w:r>
        <w:rPr>
          <w:rFonts w:hint="eastAsia"/>
        </w:rPr>
        <w:t>，以及“男人是维护妇女的，因为真主使他们比她们更优越，又因为他们所费的财产”。</w:t>
      </w:r>
      <w:r>
        <w:rPr>
          <w:rFonts w:hint="eastAsia"/>
        </w:rPr>
        <w:t>(</w:t>
      </w:r>
      <w:r>
        <w:rPr>
          <w:rFonts w:hint="eastAsia"/>
        </w:rPr>
        <w:t>《古兰经》，尼萨仪</w:t>
      </w:r>
      <w:r>
        <w:rPr>
          <w:rFonts w:hint="eastAsia"/>
        </w:rPr>
        <w:t>(</w:t>
      </w:r>
      <w:r>
        <w:rPr>
          <w:rFonts w:hint="eastAsia"/>
        </w:rPr>
        <w:t>妇女</w:t>
      </w:r>
      <w:r>
        <w:rPr>
          <w:rFonts w:hint="eastAsia"/>
        </w:rPr>
        <w:t>)</w:t>
      </w:r>
      <w:r>
        <w:rPr>
          <w:rFonts w:hint="eastAsia"/>
        </w:rPr>
        <w:t>章，第</w:t>
      </w:r>
      <w:r>
        <w:rPr>
          <w:rFonts w:hint="eastAsia"/>
        </w:rPr>
        <w:t>34</w:t>
      </w:r>
      <w:r>
        <w:rPr>
          <w:rFonts w:hint="eastAsia"/>
        </w:rPr>
        <w:t>节</w:t>
      </w:r>
      <w:r>
        <w:rPr>
          <w:rFonts w:hint="eastAsia"/>
        </w:rPr>
        <w:t>)</w:t>
      </w:r>
      <w:r>
        <w:rPr>
          <w:rFonts w:hint="eastAsia"/>
        </w:rPr>
        <w:t>。因此，男性有责任保护和供养家庭。这一监管安排并不意味着男性可以统治女性或命令女性，也不意味着可以否认妻子或妇女的家庭职责。伊斯兰教法旨在促进基于尊重的夫妻关系，这种夫妻关系须以均衡、平等的权利和义务以及婚姻生活中的协商为基础。一些男性误以为监管权意味着他们有权统治妻子并决定他们的妻子可以做什么工作或不能做什么工作，或妻子应从事何种职业。这是对监管权的误解，也是负责处理伊斯兰教和家庭事务的当局试图要纠正的误解。</w:t>
      </w:r>
    </w:p>
    <w:p w:rsidR="007234DD" w:rsidRDefault="007234DD">
      <w:pPr>
        <w:pStyle w:val="SingleTxtGC"/>
      </w:pPr>
      <w:r>
        <w:t xml:space="preserve">428.  </w:t>
      </w:r>
      <w:r>
        <w:rPr>
          <w:rFonts w:hint="eastAsia"/>
        </w:rPr>
        <w:t>根据伊斯兰教法，男性和女性均享有财务独立。《家庭法》第</w:t>
      </w:r>
      <w:r>
        <w:rPr>
          <w:rFonts w:hint="eastAsia"/>
        </w:rPr>
        <w:t>57</w:t>
      </w:r>
      <w:r>
        <w:rPr>
          <w:rFonts w:hint="eastAsia"/>
        </w:rPr>
        <w:t>条规定，妻子有权保护自己的财产。伊斯兰教法未禁止已婚夫妇商定将大意是他们将共同持有财产的条款纳入婚约。这意味着一方配偶在婚姻期间获得的任何财物将被视作双方的共同财产。可能会发生这样的情况，一位已婚女商人或一位女性财产所有人有时在分居时会蒙受经济损失，特别是若她出钱购买或修建了家庭住房</w:t>
      </w:r>
      <w:r>
        <w:rPr>
          <w:rFonts w:hint="eastAsia"/>
        </w:rPr>
        <w:t>(</w:t>
      </w:r>
      <w:r>
        <w:rPr>
          <w:rFonts w:hint="eastAsia"/>
        </w:rPr>
        <w:t>住房一般登记在丈夫名下</w:t>
      </w:r>
      <w:r>
        <w:rPr>
          <w:rFonts w:hint="eastAsia"/>
        </w:rPr>
        <w:t>)</w:t>
      </w:r>
      <w:r>
        <w:rPr>
          <w:rFonts w:hint="eastAsia"/>
        </w:rPr>
        <w:t>。这些情况可归因于妇女缺乏对自身权利的认识，以及社会对于要求将妻子的出资情况记录在案的轻蔑。这样做会被视为冒犯了社会习俗，妻子或会担心这被理解为对丈夫缺乏信任，从而对婚姻造成不利影响。因此，需要做更多的工作以提升男性和女性的认识。《家庭法》有关夫妻纠纷问题的第</w:t>
      </w:r>
      <w:r>
        <w:rPr>
          <w:rFonts w:hint="eastAsia"/>
        </w:rPr>
        <w:t>46-48</w:t>
      </w:r>
      <w:r>
        <w:rPr>
          <w:rFonts w:hint="eastAsia"/>
        </w:rPr>
        <w:t>条提及了这一问题。</w:t>
      </w:r>
    </w:p>
    <w:p w:rsidR="007234DD" w:rsidRDefault="007234DD">
      <w:pPr>
        <w:pStyle w:val="H23GC"/>
      </w:pPr>
      <w:r>
        <w:tab/>
      </w:r>
      <w:r>
        <w:tab/>
      </w:r>
      <w:r>
        <w:rPr>
          <w:rFonts w:hint="eastAsia"/>
        </w:rPr>
        <w:t>照料幼儿</w:t>
      </w:r>
      <w:r>
        <w:t>(</w:t>
      </w:r>
      <w:r>
        <w:rPr>
          <w:rFonts w:eastAsia="KaiTi_GB2312"/>
        </w:rPr>
        <w:t>hadanah</w:t>
      </w:r>
      <w:r>
        <w:t>)</w:t>
      </w:r>
    </w:p>
    <w:p w:rsidR="007234DD" w:rsidRDefault="007234DD">
      <w:pPr>
        <w:pStyle w:val="SingleTxtGC"/>
      </w:pPr>
      <w:r>
        <w:t xml:space="preserve">429.  </w:t>
      </w:r>
      <w:r>
        <w:rPr>
          <w:rFonts w:hint="eastAsia"/>
        </w:rPr>
        <w:t>在婚姻期间，夫妻双方均有照料幼儿的责任。当婚姻终结时，照料幼儿的权利被优先分配给母亲。《家庭法》第</w:t>
      </w:r>
      <w:r>
        <w:rPr>
          <w:rFonts w:hint="eastAsia"/>
        </w:rPr>
        <w:t>166</w:t>
      </w:r>
      <w:r>
        <w:rPr>
          <w:rFonts w:hint="eastAsia"/>
        </w:rPr>
        <w:t>条规定：“在婚姻存续期间，父母双方均有照料幼儿的责任。一旦分居，虽然没有离婚，母亲应获得照料未成年子女的权利，除非法庭根据孩子的利益另有决定。只要调解不伤害孩子的利益，法庭应努力对夫妻双方进行调解。照料幼儿的权利是一项可更新的权利。按照法院判决，若一种障碍不再存在或被移除，可以恢复照料幼儿的权利。照料幼儿的权利由照料方和儿童分享。儿童的权利优先”。</w:t>
      </w:r>
    </w:p>
    <w:p w:rsidR="007234DD" w:rsidRDefault="007234DD">
      <w:pPr>
        <w:pStyle w:val="SingleTxtGC"/>
      </w:pPr>
      <w:r>
        <w:t xml:space="preserve">430.  </w:t>
      </w:r>
      <w:r>
        <w:rPr>
          <w:rFonts w:hint="eastAsia"/>
        </w:rPr>
        <w:t>立法机关确定，幼儿照料期于男童</w:t>
      </w:r>
      <w:r>
        <w:rPr>
          <w:rFonts w:hint="eastAsia"/>
        </w:rPr>
        <w:t>13</w:t>
      </w:r>
      <w:r>
        <w:rPr>
          <w:rFonts w:hint="eastAsia"/>
        </w:rPr>
        <w:t>周岁、女童</w:t>
      </w:r>
      <w:r>
        <w:rPr>
          <w:rFonts w:hint="eastAsia"/>
        </w:rPr>
        <w:t>15</w:t>
      </w:r>
      <w:r>
        <w:rPr>
          <w:rFonts w:hint="eastAsia"/>
        </w:rPr>
        <w:t>周岁时结束。然而，法院拥有酌处权，可为了儿童的利益延长照料期，或在发生争议的夫妻双方均显示出适合照料孩子时，允许让孩子选择由谁照料。此外，若孩子有特殊需要，允许母亲继续照料孩子。</w:t>
      </w:r>
    </w:p>
    <w:p w:rsidR="007234DD" w:rsidRDefault="007234DD">
      <w:pPr>
        <w:pStyle w:val="SingleTxtGC"/>
      </w:pPr>
      <w:r>
        <w:t xml:space="preserve">431.  </w:t>
      </w:r>
      <w:r>
        <w:rPr>
          <w:rFonts w:hint="eastAsia"/>
        </w:rPr>
        <w:t>2004</w:t>
      </w:r>
      <w:r>
        <w:rPr>
          <w:rFonts w:hint="eastAsia"/>
        </w:rPr>
        <w:t>年第</w:t>
      </w:r>
      <w:r>
        <w:rPr>
          <w:rFonts w:hint="eastAsia"/>
        </w:rPr>
        <w:t>40</w:t>
      </w:r>
      <w:r>
        <w:rPr>
          <w:rFonts w:hint="eastAsia"/>
        </w:rPr>
        <w:t>号法规定了与未成年人财产有关的监护事项。根据该法第</w:t>
      </w:r>
      <w:r>
        <w:rPr>
          <w:rFonts w:hint="eastAsia"/>
        </w:rPr>
        <w:t>18</w:t>
      </w:r>
      <w:r>
        <w:rPr>
          <w:rFonts w:hint="eastAsia"/>
        </w:rPr>
        <w:t>、</w:t>
      </w:r>
      <w:r>
        <w:rPr>
          <w:rFonts w:hint="eastAsia"/>
        </w:rPr>
        <w:t>19</w:t>
      </w:r>
      <w:r>
        <w:rPr>
          <w:rFonts w:hint="eastAsia"/>
        </w:rPr>
        <w:t>、</w:t>
      </w:r>
      <w:r>
        <w:rPr>
          <w:rFonts w:hint="eastAsia"/>
        </w:rPr>
        <w:t>21-23</w:t>
      </w:r>
      <w:r>
        <w:rPr>
          <w:rFonts w:hint="eastAsia"/>
        </w:rPr>
        <w:t>条，妇女有权在没有男女歧视的情况下充当未成年人财产的监护人。这些条款规定，只要其公正、符合资格、具有法律行为能力、值得信赖、与未成年人的宗教信仰相同，可由一名或多名男性和女性担任监护人。</w:t>
      </w:r>
    </w:p>
    <w:p w:rsidR="007234DD" w:rsidRDefault="007234DD">
      <w:pPr>
        <w:pStyle w:val="H23GC"/>
      </w:pPr>
      <w:r>
        <w:tab/>
      </w:r>
      <w:r>
        <w:tab/>
      </w:r>
      <w:r>
        <w:rPr>
          <w:rFonts w:hint="eastAsia"/>
        </w:rPr>
        <w:t>扶养</w:t>
      </w:r>
    </w:p>
    <w:p w:rsidR="007234DD" w:rsidRDefault="007234DD">
      <w:pPr>
        <w:pStyle w:val="SingleTxtGC"/>
      </w:pPr>
      <w:r>
        <w:t xml:space="preserve">432.  </w:t>
      </w:r>
      <w:r>
        <w:rPr>
          <w:rFonts w:hint="eastAsia"/>
        </w:rPr>
        <w:t>该法第</w:t>
      </w:r>
      <w:r>
        <w:rPr>
          <w:rFonts w:hint="eastAsia"/>
        </w:rPr>
        <w:t>57</w:t>
      </w:r>
      <w:r>
        <w:rPr>
          <w:rFonts w:hint="eastAsia"/>
        </w:rPr>
        <w:t>条处理妻子相对于丈夫的权利。该条款指出，妻子有权获得扶养费，即使她富有。该法规定：“扶养包括食物、服装、住房、医疗以及人在生活中通常需要的一切”。第</w:t>
      </w:r>
      <w:r>
        <w:rPr>
          <w:rFonts w:hint="eastAsia"/>
        </w:rPr>
        <w:t>61-73</w:t>
      </w:r>
      <w:r>
        <w:rPr>
          <w:rFonts w:hint="eastAsia"/>
        </w:rPr>
        <w:t>条载有关于婚姻期间的扶养规则。若妻子表现出该法第</w:t>
      </w:r>
      <w:r>
        <w:rPr>
          <w:rFonts w:hint="eastAsia"/>
        </w:rPr>
        <w:t>69</w:t>
      </w:r>
      <w:r>
        <w:rPr>
          <w:rFonts w:hint="eastAsia"/>
        </w:rPr>
        <w:t>条规定的拒不服从行为，法院可以撤销妻子获得扶养的权利。</w:t>
      </w:r>
    </w:p>
    <w:p w:rsidR="007234DD" w:rsidRDefault="007234DD">
      <w:pPr>
        <w:pStyle w:val="SingleTxtGC"/>
      </w:pPr>
      <w:r>
        <w:t xml:space="preserve">433.  </w:t>
      </w:r>
      <w:r>
        <w:rPr>
          <w:rFonts w:hint="eastAsia"/>
        </w:rPr>
        <w:t>《家庭法》第</w:t>
      </w:r>
      <w:r>
        <w:rPr>
          <w:rFonts w:hint="eastAsia"/>
        </w:rPr>
        <w:t>74-84</w:t>
      </w:r>
      <w:r>
        <w:rPr>
          <w:rFonts w:hint="eastAsia"/>
        </w:rPr>
        <w:t>条列出了关于供养亲属的规则，主要规则如下：</w:t>
      </w:r>
    </w:p>
    <w:p w:rsidR="007234DD" w:rsidRDefault="007234DD">
      <w:pPr>
        <w:pStyle w:val="SingleTxtGC"/>
        <w:numPr>
          <w:ilvl w:val="0"/>
          <w:numId w:val="24"/>
        </w:numPr>
      </w:pPr>
      <w:r>
        <w:rPr>
          <w:rFonts w:hint="eastAsia"/>
        </w:rPr>
        <w:t>父亲须抚养自己的女儿直至其结婚；</w:t>
      </w:r>
    </w:p>
    <w:p w:rsidR="007234DD" w:rsidRDefault="007234DD">
      <w:pPr>
        <w:pStyle w:val="SingleTxtGC"/>
        <w:numPr>
          <w:ilvl w:val="0"/>
          <w:numId w:val="24"/>
        </w:numPr>
        <w:rPr>
          <w:rFonts w:hint="eastAsia"/>
        </w:rPr>
      </w:pPr>
      <w:r>
        <w:rPr>
          <w:rFonts w:hint="eastAsia"/>
        </w:rPr>
        <w:t>父亲须抚养自己已离婚或丧偶的女儿，除非女儿有自己的财产；</w:t>
      </w:r>
    </w:p>
    <w:p w:rsidR="007234DD" w:rsidRDefault="007234DD">
      <w:pPr>
        <w:pStyle w:val="SingleTxtGC"/>
        <w:numPr>
          <w:ilvl w:val="0"/>
          <w:numId w:val="24"/>
        </w:numPr>
      </w:pPr>
      <w:r>
        <w:rPr>
          <w:rFonts w:hint="eastAsia"/>
        </w:rPr>
        <w:t>有财产照顾父母的富裕子女</w:t>
      </w:r>
      <w:r>
        <w:rPr>
          <w:rFonts w:hint="eastAsia"/>
        </w:rPr>
        <w:t>(</w:t>
      </w:r>
      <w:r>
        <w:rPr>
          <w:rFonts w:hint="eastAsia"/>
        </w:rPr>
        <w:t>无论男女</w:t>
      </w:r>
      <w:r>
        <w:rPr>
          <w:rFonts w:hint="eastAsia"/>
        </w:rPr>
        <w:t>)</w:t>
      </w:r>
      <w:r>
        <w:rPr>
          <w:rFonts w:hint="eastAsia"/>
        </w:rPr>
        <w:t>须赡养父母；</w:t>
      </w:r>
    </w:p>
    <w:p w:rsidR="007234DD" w:rsidRDefault="007234DD">
      <w:pPr>
        <w:pStyle w:val="SingleTxtGC"/>
        <w:numPr>
          <w:ilvl w:val="0"/>
          <w:numId w:val="24"/>
        </w:numPr>
      </w:pPr>
      <w:r>
        <w:rPr>
          <w:rFonts w:hint="eastAsia"/>
        </w:rPr>
        <w:t>父亲须根据照料幼儿安排出资使子女受到照料，除非他们没有财产。</w:t>
      </w:r>
    </w:p>
    <w:p w:rsidR="007234DD" w:rsidRDefault="007234DD">
      <w:pPr>
        <w:pStyle w:val="SingleTxtGC"/>
      </w:pPr>
      <w:r>
        <w:t xml:space="preserve">434.  </w:t>
      </w:r>
      <w:r>
        <w:rPr>
          <w:rFonts w:hint="eastAsia"/>
        </w:rPr>
        <w:t>《家庭法》第</w:t>
      </w:r>
      <w:r>
        <w:rPr>
          <w:rFonts w:hint="eastAsia"/>
        </w:rPr>
        <w:t>83</w:t>
      </w:r>
      <w:r>
        <w:rPr>
          <w:rFonts w:hint="eastAsia"/>
        </w:rPr>
        <w:t>条规定，扶养费是应优先偿还的债务。然而，实际上，离婚妇女在强制执行扶养判令时面临诸多困难，或是因为程序的时间跨度，或是因为前夫不遵守支付扶养费的义务。因为该问题对妇女和儿童造成不利影响，有关部门正在研究一项设立扶养基金的提案，若前夫不遵守扶养判令，妇女可以从该基金支取款项。</w:t>
      </w:r>
    </w:p>
    <w:p w:rsidR="007234DD" w:rsidRDefault="007234DD">
      <w:pPr>
        <w:pStyle w:val="SingleTxtGC"/>
      </w:pPr>
      <w:r>
        <w:t xml:space="preserve">435.  </w:t>
      </w:r>
      <w:r>
        <w:rPr>
          <w:rFonts w:hint="eastAsia"/>
        </w:rPr>
        <w:t>根据《家庭法》第</w:t>
      </w:r>
      <w:r>
        <w:rPr>
          <w:rFonts w:hint="eastAsia"/>
        </w:rPr>
        <w:t>115</w:t>
      </w:r>
      <w:r>
        <w:rPr>
          <w:rFonts w:hint="eastAsia"/>
        </w:rPr>
        <w:t>条，若丈夫是导致离婚的责任方，离婚妇女有权获得赔偿金。若是由于丈夫贫困导致婚姻难以维继而离婚，则不适用该条款。赔偿金的总量根据男方的财务状况和女方的情况确定。无论如何，赔偿金不得超过三年扶养费的金额。</w:t>
      </w:r>
    </w:p>
    <w:p w:rsidR="007234DD" w:rsidRDefault="007234DD">
      <w:pPr>
        <w:pStyle w:val="SingleTxtGC"/>
      </w:pPr>
      <w:r>
        <w:t xml:space="preserve">436.  </w:t>
      </w:r>
      <w:r>
        <w:rPr>
          <w:rFonts w:hint="eastAsia"/>
        </w:rPr>
        <w:t>《家庭法》第</w:t>
      </w:r>
      <w:r>
        <w:rPr>
          <w:rFonts w:hint="eastAsia"/>
        </w:rPr>
        <w:t>181</w:t>
      </w:r>
      <w:r>
        <w:rPr>
          <w:rFonts w:hint="eastAsia"/>
        </w:rPr>
        <w:t>条规定，若离婚妇女要照料孩子或其前夫在再婚后获得政府分配的住房，则她有权继续住在婚姻住房内。</w:t>
      </w:r>
    </w:p>
    <w:p w:rsidR="007234DD" w:rsidRDefault="007234DD">
      <w:pPr>
        <w:pStyle w:val="SingleTxtGC"/>
      </w:pPr>
      <w:r>
        <w:t xml:space="preserve">437.  </w:t>
      </w:r>
      <w:r>
        <w:rPr>
          <w:rFonts w:hint="eastAsia"/>
        </w:rPr>
        <w:t>卡塔尔立法机关在有关住房计划的</w:t>
      </w:r>
      <w:r>
        <w:rPr>
          <w:rFonts w:hint="eastAsia"/>
        </w:rPr>
        <w:t>2007</w:t>
      </w:r>
      <w:r>
        <w:rPr>
          <w:rFonts w:hint="eastAsia"/>
        </w:rPr>
        <w:t>年第</w:t>
      </w:r>
      <w:r>
        <w:rPr>
          <w:rFonts w:hint="eastAsia"/>
        </w:rPr>
        <w:t>2</w:t>
      </w:r>
      <w:r>
        <w:rPr>
          <w:rFonts w:hint="eastAsia"/>
        </w:rPr>
        <w:t>号法中涉及了妇女</w:t>
      </w:r>
      <w:r>
        <w:rPr>
          <w:rFonts w:hint="eastAsia"/>
        </w:rPr>
        <w:t>(</w:t>
      </w:r>
      <w:r>
        <w:rPr>
          <w:rFonts w:hint="eastAsia"/>
        </w:rPr>
        <w:t>包括离婚妇女</w:t>
      </w:r>
      <w:r>
        <w:rPr>
          <w:rFonts w:hint="eastAsia"/>
        </w:rPr>
        <w:t>)</w:t>
      </w:r>
      <w:r>
        <w:rPr>
          <w:rFonts w:hint="eastAsia"/>
        </w:rPr>
        <w:t>的住房问题。根据有关优先获得住房补贴的</w:t>
      </w:r>
      <w:r>
        <w:rPr>
          <w:rFonts w:hint="eastAsia"/>
        </w:rPr>
        <w:t>2007</w:t>
      </w:r>
      <w:r>
        <w:rPr>
          <w:rFonts w:hint="eastAsia"/>
        </w:rPr>
        <w:t>年第</w:t>
      </w:r>
      <w:r>
        <w:rPr>
          <w:rFonts w:hint="eastAsia"/>
        </w:rPr>
        <w:t>17</w:t>
      </w:r>
      <w:r>
        <w:rPr>
          <w:rFonts w:hint="eastAsia"/>
        </w:rPr>
        <w:t>号内阁决定，自离婚之日起</w:t>
      </w:r>
      <w:r>
        <w:rPr>
          <w:rFonts w:hint="eastAsia"/>
        </w:rPr>
        <w:t>5</w:t>
      </w:r>
      <w:r>
        <w:rPr>
          <w:rFonts w:hint="eastAsia"/>
        </w:rPr>
        <w:t>年后，离婚妇女有权获得国家给予的土地和用于建房的贴息贷款。</w:t>
      </w:r>
      <w:r>
        <w:rPr>
          <w:rFonts w:hint="eastAsia"/>
        </w:rPr>
        <w:t>2007</w:t>
      </w:r>
      <w:r>
        <w:rPr>
          <w:rFonts w:hint="eastAsia"/>
        </w:rPr>
        <w:t>年第</w:t>
      </w:r>
      <w:r>
        <w:rPr>
          <w:rFonts w:hint="eastAsia"/>
        </w:rPr>
        <w:t>18</w:t>
      </w:r>
      <w:r>
        <w:rPr>
          <w:rFonts w:hint="eastAsia"/>
        </w:rPr>
        <w:t>号内阁决定涉及有需求人士获得住房补贴的优先顺序及规章，根据此项决定，生活艰难的离婚妇女有权获得免费住房单元或租房补贴。立法机关以这种方式设立了若干替代方法，以确保向卡塔尔妇女提供足够的住房。</w:t>
      </w:r>
    </w:p>
    <w:p w:rsidR="007234DD" w:rsidRDefault="007234DD">
      <w:pPr>
        <w:pStyle w:val="H23GC"/>
      </w:pPr>
      <w:r>
        <w:tab/>
      </w:r>
      <w:r>
        <w:tab/>
      </w:r>
      <w:r>
        <w:rPr>
          <w:rFonts w:hint="eastAsia"/>
        </w:rPr>
        <w:t>终止婚姻</w:t>
      </w:r>
    </w:p>
    <w:p w:rsidR="007234DD" w:rsidRDefault="007234DD">
      <w:pPr>
        <w:pStyle w:val="H4GC"/>
      </w:pPr>
      <w:r>
        <w:tab/>
      </w:r>
      <w:r>
        <w:tab/>
      </w:r>
      <w:r>
        <w:rPr>
          <w:rFonts w:hint="eastAsia"/>
        </w:rPr>
        <w:t>离婚</w:t>
      </w:r>
    </w:p>
    <w:p w:rsidR="007234DD" w:rsidRDefault="007234DD">
      <w:pPr>
        <w:pStyle w:val="SingleTxtGC"/>
        <w:rPr>
          <w:rFonts w:hint="eastAsia"/>
        </w:rPr>
      </w:pPr>
      <w:r>
        <w:t xml:space="preserve">438.  </w:t>
      </w:r>
      <w:r>
        <w:rPr>
          <w:rFonts w:hint="eastAsia"/>
        </w:rPr>
        <w:t>离婚基本上由男性出于独自意愿而提出。不过，丈夫可授权妻子在婚约中注明妻子也有提出离婚的权利。因此，在某些情况下，若婚约有所约定，妻子也有权要求与丈夫离婚。《家庭法》第</w:t>
      </w:r>
      <w:r>
        <w:rPr>
          <w:rFonts w:hint="eastAsia"/>
        </w:rPr>
        <w:t>109</w:t>
      </w:r>
      <w:r>
        <w:rPr>
          <w:rFonts w:hint="eastAsia"/>
        </w:rPr>
        <w:t>条规定：“离婚由丈夫和得到丈夫授权委托书的代理人提出，若丈夫曾给予妻子提出离婚的许可，也可由妻子提出离婚”。</w:t>
      </w:r>
    </w:p>
    <w:p w:rsidR="007234DD" w:rsidRDefault="007234DD">
      <w:pPr>
        <w:pStyle w:val="H4GC"/>
        <w:rPr>
          <w:rFonts w:hint="eastAsia"/>
        </w:rPr>
      </w:pPr>
      <w:r>
        <w:rPr>
          <w:rFonts w:hint="eastAsia"/>
        </w:rPr>
        <w:tab/>
      </w:r>
      <w:r>
        <w:rPr>
          <w:rFonts w:hint="eastAsia"/>
        </w:rPr>
        <w:tab/>
        <w:t>Khula(</w:t>
      </w:r>
      <w:r>
        <w:rPr>
          <w:rFonts w:hint="eastAsia"/>
        </w:rPr>
        <w:t>由妻子提出，双方同意解除婚姻关系</w:t>
      </w:r>
      <w:r>
        <w:rPr>
          <w:rFonts w:hint="eastAsia"/>
        </w:rPr>
        <w:t>)</w:t>
      </w:r>
    </w:p>
    <w:p w:rsidR="007234DD" w:rsidRDefault="007234DD">
      <w:pPr>
        <w:pStyle w:val="SingleTxtGC"/>
      </w:pPr>
      <w:r>
        <w:t xml:space="preserve">439.  </w:t>
      </w:r>
      <w:r>
        <w:rPr>
          <w:rFonts w:hint="eastAsia"/>
        </w:rPr>
        <w:t>《家庭法》第</w:t>
      </w:r>
      <w:r>
        <w:rPr>
          <w:rFonts w:hint="eastAsia"/>
        </w:rPr>
        <w:t>118</w:t>
      </w:r>
      <w:r>
        <w:rPr>
          <w:rFonts w:hint="eastAsia"/>
        </w:rPr>
        <w:t>条对</w:t>
      </w:r>
      <w:r>
        <w:rPr>
          <w:rFonts w:eastAsia="KaiTi_GB2312" w:hint="eastAsia"/>
        </w:rPr>
        <w:t>Khula</w:t>
      </w:r>
      <w:r>
        <w:rPr>
          <w:rFonts w:hint="eastAsia"/>
        </w:rPr>
        <w:t>做了解释，意为经双方同意解除婚姻关系。它可口头生效，在妻子支付赔偿金后也可生效。该法规定，妻子在这种情况下支付赔偿金这一事实并不意味着她丧失了照料孩子的权利和其他任何权利。该法第</w:t>
      </w:r>
      <w:r>
        <w:rPr>
          <w:rFonts w:hint="eastAsia"/>
        </w:rPr>
        <w:t>122</w:t>
      </w:r>
      <w:r>
        <w:rPr>
          <w:rFonts w:hint="eastAsia"/>
        </w:rPr>
        <w:t>条规定，若配偶间未就双方解除婚姻关系一事达成一致，法院须尽力调解并为此任命两位调解人在至多</w:t>
      </w:r>
      <w:r>
        <w:rPr>
          <w:rFonts w:hint="eastAsia"/>
        </w:rPr>
        <w:t>6</w:t>
      </w:r>
      <w:r>
        <w:rPr>
          <w:rFonts w:hint="eastAsia"/>
        </w:rPr>
        <w:t>个月期限内进行调解。若调解人的努力失败，并且妻子以放弃依法持有的全部财产权利并返还丈夫给她的聘礼</w:t>
      </w:r>
      <w:r>
        <w:rPr>
          <w:rFonts w:hint="eastAsia"/>
        </w:rPr>
        <w:t>(mahar)</w:t>
      </w:r>
      <w:r>
        <w:rPr>
          <w:rFonts w:hint="eastAsia"/>
        </w:rPr>
        <w:t>为条件要求解除婚姻关系，法院可以发出司法分居令。</w:t>
      </w:r>
    </w:p>
    <w:p w:rsidR="007234DD" w:rsidRDefault="007234DD">
      <w:pPr>
        <w:pStyle w:val="H4GC"/>
      </w:pPr>
      <w:r>
        <w:rPr>
          <w:rFonts w:hint="eastAsia"/>
        </w:rPr>
        <w:tab/>
      </w:r>
      <w:r>
        <w:rPr>
          <w:rFonts w:hint="eastAsia"/>
        </w:rPr>
        <w:tab/>
      </w:r>
      <w:r>
        <w:rPr>
          <w:rFonts w:hint="eastAsia"/>
        </w:rPr>
        <w:t>司法分居令</w:t>
      </w:r>
    </w:p>
    <w:p w:rsidR="007234DD" w:rsidRDefault="007234DD">
      <w:pPr>
        <w:pStyle w:val="SingleTxtGC"/>
      </w:pPr>
      <w:r>
        <w:t xml:space="preserve">440.  </w:t>
      </w:r>
      <w:r>
        <w:rPr>
          <w:rFonts w:hint="eastAsia"/>
        </w:rPr>
        <w:t>根据《家庭法》，若可以证明另一方配偶患有不可逆转的缺陷，或患有无法治愈的疾病或长期疾病，与其一起生活会遭受严重伤害，一方配偶可寻求分居。该法提及了各种可被准予分居的缺陷和疾病。该清单是非穷尽性的；在这方面，需获得相关专家的协助</w:t>
      </w:r>
      <w:r>
        <w:rPr>
          <w:rFonts w:hint="eastAsia"/>
        </w:rPr>
        <w:t>(</w:t>
      </w:r>
      <w:r>
        <w:rPr>
          <w:rFonts w:hint="eastAsia"/>
        </w:rPr>
        <w:t>第</w:t>
      </w:r>
      <w:r>
        <w:rPr>
          <w:rFonts w:hint="eastAsia"/>
        </w:rPr>
        <w:t>123-127</w:t>
      </w:r>
      <w:r>
        <w:rPr>
          <w:rFonts w:hint="eastAsia"/>
        </w:rPr>
        <w:t>条</w:t>
      </w:r>
      <w:r>
        <w:rPr>
          <w:rFonts w:hint="eastAsia"/>
        </w:rPr>
        <w:t>)</w:t>
      </w:r>
      <w:r>
        <w:rPr>
          <w:rFonts w:hint="eastAsia"/>
        </w:rPr>
        <w:t>。</w:t>
      </w:r>
    </w:p>
    <w:p w:rsidR="007234DD" w:rsidRDefault="007234DD">
      <w:pPr>
        <w:pStyle w:val="SingleTxtGC"/>
      </w:pPr>
      <w:r>
        <w:t xml:space="preserve">441.  </w:t>
      </w:r>
      <w:r>
        <w:rPr>
          <w:rFonts w:hint="eastAsia"/>
        </w:rPr>
        <w:t>该法规定，若妻子未得到丈夫支付的聘金，且夫妻尚未圆房，妻子可以寻求分居</w:t>
      </w:r>
      <w:r>
        <w:rPr>
          <w:rFonts w:hint="eastAsia"/>
        </w:rPr>
        <w:t>(</w:t>
      </w:r>
      <w:r>
        <w:rPr>
          <w:rFonts w:hint="eastAsia"/>
        </w:rPr>
        <w:t>第</w:t>
      </w:r>
      <w:r>
        <w:rPr>
          <w:rFonts w:hint="eastAsia"/>
        </w:rPr>
        <w:t>128</w:t>
      </w:r>
      <w:r>
        <w:rPr>
          <w:rFonts w:hint="eastAsia"/>
        </w:rPr>
        <w:t>条</w:t>
      </w:r>
      <w:r>
        <w:rPr>
          <w:rFonts w:hint="eastAsia"/>
        </w:rPr>
        <w:t>)</w:t>
      </w:r>
      <w:r>
        <w:rPr>
          <w:rFonts w:hint="eastAsia"/>
        </w:rPr>
        <w:t>。</w:t>
      </w:r>
    </w:p>
    <w:p w:rsidR="007234DD" w:rsidRDefault="007234DD">
      <w:pPr>
        <w:pStyle w:val="SingleTxtGC"/>
      </w:pPr>
      <w:r>
        <w:t xml:space="preserve">442.  </w:t>
      </w:r>
      <w:r>
        <w:rPr>
          <w:rFonts w:hint="eastAsia"/>
        </w:rPr>
        <w:t>此外，妻子可以不能继续与丈夫生活为理由，在圆房之前和以后寻求分居。该法规定，法官须尽力促成和解。若法官的调解努力失败，且存在妻子受到伤害的证据，法官须发出司法分居令。可采用传来证据，作为伤害证明</w:t>
      </w:r>
      <w:r>
        <w:rPr>
          <w:rFonts w:hint="eastAsia"/>
        </w:rPr>
        <w:t>(</w:t>
      </w:r>
      <w:r>
        <w:rPr>
          <w:rFonts w:hint="eastAsia"/>
        </w:rPr>
        <w:t>第</w:t>
      </w:r>
      <w:r>
        <w:rPr>
          <w:rFonts w:hint="eastAsia"/>
        </w:rPr>
        <w:t>129-136</w:t>
      </w:r>
      <w:r>
        <w:rPr>
          <w:rFonts w:hint="eastAsia"/>
        </w:rPr>
        <w:t>条</w:t>
      </w:r>
      <w:r>
        <w:rPr>
          <w:rFonts w:hint="eastAsia"/>
        </w:rPr>
        <w:t>)</w:t>
      </w:r>
      <w:r>
        <w:rPr>
          <w:rFonts w:hint="eastAsia"/>
        </w:rPr>
        <w:t>。</w:t>
      </w:r>
    </w:p>
    <w:p w:rsidR="007234DD" w:rsidRDefault="007234DD">
      <w:pPr>
        <w:pStyle w:val="SingleTxtGC"/>
      </w:pPr>
      <w:r>
        <w:t xml:space="preserve">443.  </w:t>
      </w:r>
      <w:r>
        <w:rPr>
          <w:rFonts w:hint="eastAsia"/>
        </w:rPr>
        <w:t>若丈夫不再扶养妻子或身陷贫困</w:t>
      </w:r>
      <w:r>
        <w:rPr>
          <w:rFonts w:hint="eastAsia"/>
        </w:rPr>
        <w:t>(</w:t>
      </w:r>
      <w:r>
        <w:rPr>
          <w:rFonts w:hint="eastAsia"/>
        </w:rPr>
        <w:t>《家庭法》第</w:t>
      </w:r>
      <w:r>
        <w:rPr>
          <w:rFonts w:hint="eastAsia"/>
        </w:rPr>
        <w:t>137-143</w:t>
      </w:r>
      <w:r>
        <w:rPr>
          <w:rFonts w:hint="eastAsia"/>
        </w:rPr>
        <w:t>条</w:t>
      </w:r>
      <w:r>
        <w:rPr>
          <w:rFonts w:hint="eastAsia"/>
        </w:rPr>
        <w:t>)</w:t>
      </w:r>
      <w:r>
        <w:rPr>
          <w:rFonts w:hint="eastAsia"/>
        </w:rPr>
        <w:t>或丈夫不在、失踪或入狱</w:t>
      </w:r>
      <w:r>
        <w:rPr>
          <w:rFonts w:hint="eastAsia"/>
        </w:rPr>
        <w:t>(</w:t>
      </w:r>
      <w:r>
        <w:rPr>
          <w:rFonts w:hint="eastAsia"/>
        </w:rPr>
        <w:t>《家庭法》第</w:t>
      </w:r>
      <w:r>
        <w:rPr>
          <w:rFonts w:hint="eastAsia"/>
        </w:rPr>
        <w:t>143-145</w:t>
      </w:r>
      <w:r>
        <w:rPr>
          <w:rFonts w:hint="eastAsia"/>
        </w:rPr>
        <w:t>条</w:t>
      </w:r>
      <w:r>
        <w:rPr>
          <w:rFonts w:hint="eastAsia"/>
        </w:rPr>
        <w:t>)</w:t>
      </w:r>
      <w:r>
        <w:rPr>
          <w:rFonts w:hint="eastAsia"/>
        </w:rPr>
        <w:t>，妻子有权申请离婚。</w:t>
      </w:r>
    </w:p>
    <w:p w:rsidR="007234DD" w:rsidRDefault="007234DD">
      <w:pPr>
        <w:pStyle w:val="H23GC"/>
      </w:pPr>
      <w:r>
        <w:rPr>
          <w:rFonts w:hint="eastAsia"/>
        </w:rPr>
        <w:tab/>
      </w:r>
      <w:r>
        <w:rPr>
          <w:rFonts w:hint="eastAsia"/>
        </w:rPr>
        <w:tab/>
      </w:r>
      <w:r>
        <w:rPr>
          <w:rFonts w:hint="eastAsia"/>
        </w:rPr>
        <w:t>计划生育</w:t>
      </w:r>
    </w:p>
    <w:p w:rsidR="007234DD" w:rsidRDefault="007234DD">
      <w:pPr>
        <w:pStyle w:val="SingleTxtGC"/>
      </w:pPr>
      <w:r>
        <w:t xml:space="preserve">444.  </w:t>
      </w:r>
      <w:r>
        <w:rPr>
          <w:rFonts w:hint="eastAsia"/>
        </w:rPr>
        <w:t>《家庭法》或其他任何家庭法律均涉及计划生育的内容，因为这是已婚夫妇的私人事宜，不允许外界干涉。伊斯兰教法未禁止使用计划生育工具，特别是出于正当原因</w:t>
      </w:r>
      <w:r>
        <w:rPr>
          <w:rFonts w:hint="eastAsia"/>
        </w:rPr>
        <w:t>(</w:t>
      </w:r>
      <w:r>
        <w:rPr>
          <w:rFonts w:hint="eastAsia"/>
        </w:rPr>
        <w:t>例如疾病</w:t>
      </w:r>
      <w:r>
        <w:rPr>
          <w:rFonts w:hint="eastAsia"/>
        </w:rPr>
        <w:t>)</w:t>
      </w:r>
      <w:r>
        <w:rPr>
          <w:rFonts w:hint="eastAsia"/>
        </w:rPr>
        <w:t>。伊斯兰教法的一般条款和伊斯兰法学家发表的意见中载有关于此做法的规则。为符合《消除对妇女一切形式歧视公约》第十二条的要求，卫生机构为母亲和儿童免费提供所有各类医疗保健。</w:t>
      </w:r>
    </w:p>
    <w:p w:rsidR="007234DD" w:rsidRDefault="007234DD">
      <w:pPr>
        <w:pStyle w:val="H23GC"/>
      </w:pPr>
      <w:r>
        <w:rPr>
          <w:rFonts w:hint="eastAsia"/>
        </w:rPr>
        <w:tab/>
      </w:r>
      <w:r>
        <w:rPr>
          <w:rFonts w:hint="eastAsia"/>
        </w:rPr>
        <w:tab/>
      </w:r>
      <w:r>
        <w:rPr>
          <w:rFonts w:hint="eastAsia"/>
        </w:rPr>
        <w:t>收养</w:t>
      </w:r>
    </w:p>
    <w:p w:rsidR="007234DD" w:rsidRDefault="007234DD">
      <w:pPr>
        <w:pStyle w:val="SingleTxtGC"/>
      </w:pPr>
      <w:r>
        <w:t xml:space="preserve">445.  </w:t>
      </w:r>
      <w:r>
        <w:rPr>
          <w:rFonts w:hint="eastAsia"/>
        </w:rPr>
        <w:t>收养与伊斯兰教法规定的保持子女血统纯正的义务相违背，因此被伊斯兰教法所禁止。伊斯兰法律规定，除了亲生父母外，儿童或出身不明的人不允许被视为其他任何人的子女。然而，伊斯兰教法规定了一种收养的替代做法</w:t>
      </w:r>
      <w:r>
        <w:rPr>
          <w:rFonts w:hint="eastAsia"/>
          <w:spacing w:val="-50"/>
        </w:rPr>
        <w:t>―</w:t>
      </w:r>
      <w:r>
        <w:rPr>
          <w:rFonts w:hint="eastAsia"/>
          <w:spacing w:val="10"/>
        </w:rPr>
        <w:t>―</w:t>
      </w:r>
      <w:r>
        <w:rPr>
          <w:rFonts w:hint="eastAsia"/>
        </w:rPr>
        <w:t>担保</w:t>
      </w:r>
      <w:r>
        <w:rPr>
          <w:rFonts w:hint="eastAsia"/>
        </w:rPr>
        <w:t>(kafalah)</w:t>
      </w:r>
      <w:r>
        <w:rPr>
          <w:rFonts w:hint="eastAsia"/>
          <w:spacing w:val="-50"/>
        </w:rPr>
        <w:t>―</w:t>
      </w:r>
      <w:r>
        <w:rPr>
          <w:rFonts w:hint="eastAsia"/>
          <w:spacing w:val="10"/>
        </w:rPr>
        <w:t>―</w:t>
      </w:r>
      <w:r>
        <w:rPr>
          <w:rFonts w:hint="eastAsia"/>
        </w:rPr>
        <w:t>符合特定条件和标准的家庭或家庭成员可在卡塔尔孤儿福利基金会的监管下，照料出身不明的儿童。这类儿童保留他们自己的名字，若是弃儿，则由法院为他们取名。他们无权继承照料者的遗产，但是照料者最多可以将其三分之一的财产作为礼物赠与被照料者。出身明确的孤儿在大家庭环境内得到照料。</w:t>
      </w:r>
    </w:p>
    <w:p w:rsidR="007234DD" w:rsidRDefault="007234DD">
      <w:pPr>
        <w:pStyle w:val="H23GC"/>
      </w:pPr>
      <w:r>
        <w:rPr>
          <w:rFonts w:hint="eastAsia"/>
        </w:rPr>
        <w:tab/>
      </w:r>
      <w:r>
        <w:rPr>
          <w:rFonts w:hint="eastAsia"/>
        </w:rPr>
        <w:tab/>
      </w:r>
      <w:r>
        <w:rPr>
          <w:rFonts w:hint="eastAsia"/>
        </w:rPr>
        <w:t>继承</w:t>
      </w:r>
    </w:p>
    <w:p w:rsidR="007234DD" w:rsidRDefault="007234DD">
      <w:pPr>
        <w:pStyle w:val="SingleTxtGC"/>
      </w:pPr>
      <w:r>
        <w:t xml:space="preserve">446.  </w:t>
      </w:r>
      <w:r>
        <w:rPr>
          <w:rFonts w:hint="eastAsia"/>
        </w:rPr>
        <w:t>男女都享有继承权，继承权受伊斯兰教法的管理。《古兰经》载有关于财产的分配规则。《家庭法》从中借鉴。在关于《公约》第十五条的章节中，对继承问题进行了详细解释。</w:t>
      </w:r>
    </w:p>
    <w:p w:rsidR="007234DD" w:rsidRDefault="007234DD">
      <w:pPr>
        <w:pStyle w:val="H23GC"/>
        <w:rPr>
          <w:rFonts w:hint="eastAsia"/>
        </w:rPr>
      </w:pPr>
      <w:r>
        <w:rPr>
          <w:rFonts w:hint="eastAsia"/>
        </w:rPr>
        <w:tab/>
      </w:r>
      <w:r>
        <w:rPr>
          <w:rFonts w:hint="eastAsia"/>
        </w:rPr>
        <w:tab/>
      </w:r>
      <w:r>
        <w:rPr>
          <w:rFonts w:hint="eastAsia"/>
        </w:rPr>
        <w:t>家庭法院</w:t>
      </w:r>
    </w:p>
    <w:p w:rsidR="007234DD" w:rsidRDefault="007234DD">
      <w:pPr>
        <w:pStyle w:val="SingleTxtGC"/>
      </w:pPr>
      <w:r>
        <w:t xml:space="preserve">447.  </w:t>
      </w:r>
      <w:r>
        <w:rPr>
          <w:rFonts w:hint="eastAsia"/>
        </w:rPr>
        <w:t>根据</w:t>
      </w:r>
      <w:r>
        <w:rPr>
          <w:rFonts w:hint="eastAsia"/>
        </w:rPr>
        <w:t>2003</w:t>
      </w:r>
      <w:r>
        <w:rPr>
          <w:rFonts w:hint="eastAsia"/>
        </w:rPr>
        <w:t>年第</w:t>
      </w:r>
      <w:r>
        <w:rPr>
          <w:rFonts w:hint="eastAsia"/>
        </w:rPr>
        <w:t>10</w:t>
      </w:r>
      <w:r>
        <w:rPr>
          <w:rFonts w:hint="eastAsia"/>
        </w:rPr>
        <w:t>号法，合并了卡塔尔的伊斯兰教法院和民事法院。此前，伊斯兰教法院根据伊斯兰教法就有关个人身份的案件做出裁决。</w:t>
      </w:r>
    </w:p>
    <w:p w:rsidR="007234DD" w:rsidRDefault="007234DD">
      <w:pPr>
        <w:pStyle w:val="SingleTxtGC"/>
      </w:pPr>
      <w:r>
        <w:t xml:space="preserve">448.  </w:t>
      </w:r>
      <w:r>
        <w:rPr>
          <w:rFonts w:hint="eastAsia"/>
        </w:rPr>
        <w:t>根据</w:t>
      </w:r>
      <w:r>
        <w:rPr>
          <w:rFonts w:hint="eastAsia"/>
        </w:rPr>
        <w:t>2006</w:t>
      </w:r>
      <w:r>
        <w:rPr>
          <w:rFonts w:hint="eastAsia"/>
        </w:rPr>
        <w:t>年第</w:t>
      </w:r>
      <w:r>
        <w:rPr>
          <w:rFonts w:hint="eastAsia"/>
        </w:rPr>
        <w:t>22</w:t>
      </w:r>
      <w:r>
        <w:rPr>
          <w:rFonts w:hint="eastAsia"/>
        </w:rPr>
        <w:t>号法，一审法院和上诉法院</w:t>
      </w:r>
      <w:r>
        <w:rPr>
          <w:rFonts w:hint="eastAsia"/>
        </w:rPr>
        <w:t>(</w:t>
      </w:r>
      <w:r>
        <w:rPr>
          <w:rFonts w:hint="eastAsia"/>
        </w:rPr>
        <w:t>“家庭法院”</w:t>
      </w:r>
      <w:r>
        <w:rPr>
          <w:rFonts w:hint="eastAsia"/>
        </w:rPr>
        <w:t>)</w:t>
      </w:r>
      <w:r>
        <w:rPr>
          <w:rFonts w:hint="eastAsia"/>
        </w:rPr>
        <w:t>的一个或多个部门有权审理家庭和遗产案件与纠纷。</w:t>
      </w:r>
    </w:p>
    <w:p w:rsidR="007234DD" w:rsidRDefault="007234DD">
      <w:pPr>
        <w:pStyle w:val="SingleTxtGC"/>
      </w:pPr>
      <w:r>
        <w:t xml:space="preserve">449.  </w:t>
      </w:r>
      <w:r>
        <w:rPr>
          <w:rFonts w:hint="eastAsia"/>
        </w:rPr>
        <w:t>《家庭法》包括有关某些程序事项的条款。其他事项由载于经修正的《民事和商业诉讼法》中的规则管辖。鉴于家庭案件是私人事务，并且重要的是要确保及时做出决定，已起草了一项关于家庭和遗产案件的司法程序的法案。</w:t>
      </w:r>
    </w:p>
    <w:p w:rsidR="007234DD" w:rsidRDefault="007234DD">
      <w:pPr>
        <w:pStyle w:val="SingleTxtGC"/>
        <w:rPr>
          <w:rFonts w:hint="eastAsia"/>
        </w:rPr>
      </w:pPr>
      <w:r>
        <w:t xml:space="preserve">450.  </w:t>
      </w:r>
      <w:r>
        <w:rPr>
          <w:rFonts w:hint="eastAsia"/>
        </w:rPr>
        <w:t>2004</w:t>
      </w:r>
      <w:r>
        <w:rPr>
          <w:rFonts w:hint="eastAsia"/>
        </w:rPr>
        <w:t>年，在家庭咨询中心与最高司法委员会达成合作协议之后，在法院大楼内设立了家庭咨询中心的一个分支机构。该中心在与法院的持续协调下发布法律意见，进行法律咨询，为解决争议及调解争议当事方做出了特别努力。家庭法院将案件移交给该中心，由它研究背景问题并设法调解对立的当事方。这项工作由一组受过社会工作、心理学、伊斯兰教法和法律事务培训的顾问和咨询师团队完成。在下列情况下，寻求以家庭为基础的解决方案：</w:t>
      </w:r>
    </w:p>
    <w:p w:rsidR="007234DD" w:rsidRDefault="007234DD">
      <w:pPr>
        <w:pStyle w:val="Bullet1GC"/>
        <w:rPr>
          <w:rFonts w:hint="eastAsia"/>
        </w:rPr>
      </w:pPr>
      <w:r>
        <w:rPr>
          <w:rFonts w:hint="eastAsia"/>
        </w:rPr>
        <w:t>诉至法庭的案件：移交调解的案件，诸如离婚申请、</w:t>
      </w:r>
      <w:r>
        <w:rPr>
          <w:rFonts w:hint="eastAsia"/>
        </w:rPr>
        <w:t>khula</w:t>
      </w:r>
      <w:r>
        <w:rPr>
          <w:rFonts w:hint="eastAsia"/>
        </w:rPr>
        <w:t>、扶养费、根据照料幼儿安排探视被照料子女的权利、家庭纠纷等等</w:t>
      </w:r>
    </w:p>
    <w:p w:rsidR="007234DD" w:rsidRDefault="007234DD">
      <w:pPr>
        <w:pStyle w:val="Bullet1GC"/>
      </w:pPr>
      <w:r>
        <w:rPr>
          <w:rFonts w:hint="eastAsia"/>
        </w:rPr>
        <w:t>判决执行：需要就照料子女权利的转交或根据照料幼儿安排探视被照料子女的权利做出判决或裁决的案件</w:t>
      </w:r>
    </w:p>
    <w:p w:rsidR="007234DD" w:rsidRDefault="007234DD">
      <w:pPr>
        <w:pStyle w:val="Bullet1GC"/>
      </w:pPr>
      <w:r>
        <w:rPr>
          <w:rFonts w:hint="eastAsia"/>
        </w:rPr>
        <w:t>核实：配偶同意离婚或经双方同意解除婚姻关系</w:t>
      </w:r>
      <w:r>
        <w:rPr>
          <w:rFonts w:hint="eastAsia"/>
        </w:rPr>
        <w:t>(khula`)</w:t>
      </w:r>
      <w:r>
        <w:rPr>
          <w:rFonts w:hint="eastAsia"/>
        </w:rPr>
        <w:t>的案件；其中一些案件移交至家庭咨询中心，以寻求达成和解。</w:t>
      </w:r>
    </w:p>
    <w:p w:rsidR="007234DD" w:rsidRDefault="007234DD">
      <w:pPr>
        <w:pStyle w:val="H23GC"/>
      </w:pPr>
      <w:r>
        <w:rPr>
          <w:rFonts w:hint="eastAsia"/>
        </w:rPr>
        <w:tab/>
      </w:r>
      <w:r>
        <w:rPr>
          <w:rFonts w:hint="eastAsia"/>
        </w:rPr>
        <w:tab/>
      </w:r>
      <w:r>
        <w:rPr>
          <w:rFonts w:hint="eastAsia"/>
        </w:rPr>
        <w:t>卡塔尔对《公约》第十六条第</w:t>
      </w:r>
      <w:r>
        <w:rPr>
          <w:rFonts w:hint="eastAsia"/>
        </w:rPr>
        <w:t>1</w:t>
      </w:r>
      <w:r>
        <w:rPr>
          <w:rFonts w:hint="eastAsia"/>
        </w:rPr>
        <w:t>款</w:t>
      </w:r>
      <w:r>
        <w:t>(</w:t>
      </w:r>
      <w:r>
        <w:rPr>
          <w:rFonts w:hint="eastAsia"/>
        </w:rPr>
        <w:t>a</w:t>
      </w:r>
      <w:r>
        <w:t>)</w:t>
      </w:r>
      <w:r>
        <w:rPr>
          <w:rFonts w:hint="eastAsia"/>
        </w:rPr>
        <w:t>、</w:t>
      </w:r>
      <w:r>
        <w:t>(</w:t>
      </w:r>
      <w:r>
        <w:rPr>
          <w:rFonts w:hint="eastAsia"/>
        </w:rPr>
        <w:t>c</w:t>
      </w:r>
      <w:r>
        <w:t>)</w:t>
      </w:r>
      <w:r>
        <w:rPr>
          <w:rFonts w:hint="eastAsia"/>
        </w:rPr>
        <w:t>和</w:t>
      </w:r>
      <w:r>
        <w:t>(</w:t>
      </w:r>
      <w:r>
        <w:rPr>
          <w:rFonts w:hint="eastAsia"/>
        </w:rPr>
        <w:t>f</w:t>
      </w:r>
      <w:r>
        <w:t>)</w:t>
      </w:r>
      <w:r>
        <w:rPr>
          <w:rFonts w:hint="eastAsia"/>
        </w:rPr>
        <w:t>项提出保留</w:t>
      </w:r>
    </w:p>
    <w:p w:rsidR="007234DD" w:rsidRDefault="007234DD">
      <w:pPr>
        <w:pStyle w:val="SingleTxtGC"/>
      </w:pPr>
      <w:r>
        <w:t xml:space="preserve">451.  </w:t>
      </w:r>
      <w:r>
        <w:rPr>
          <w:rFonts w:hint="eastAsia"/>
        </w:rPr>
        <w:t>《公约》第十六条第</w:t>
      </w:r>
      <w:r>
        <w:rPr>
          <w:rFonts w:hint="eastAsia"/>
        </w:rPr>
        <w:t>1</w:t>
      </w:r>
      <w:r>
        <w:rPr>
          <w:rFonts w:hint="eastAsia"/>
        </w:rPr>
        <w:t>款</w:t>
      </w:r>
      <w:r>
        <w:t>(</w:t>
      </w:r>
      <w:r>
        <w:rPr>
          <w:rFonts w:hint="eastAsia"/>
        </w:rPr>
        <w:t>a</w:t>
      </w:r>
      <w:r>
        <w:t>)</w:t>
      </w:r>
      <w:r>
        <w:rPr>
          <w:rFonts w:hint="eastAsia"/>
        </w:rPr>
        <w:t>项涉及男女缔结婚约的平等权利，卡塔尔对此提出保留，因为这与伊斯兰教法在婚姻问题上赋予男性某些权利的规定相抵触，诸如无需监护人在场即可缔结婚约的权利，娶一名属于“圣经教徒”</w:t>
      </w:r>
      <w:r>
        <w:rPr>
          <w:rFonts w:hint="eastAsia"/>
        </w:rPr>
        <w:t>(</w:t>
      </w:r>
      <w:r>
        <w:rPr>
          <w:rFonts w:hint="eastAsia"/>
        </w:rPr>
        <w:t>即基督教徒或犹太教徒</w:t>
      </w:r>
      <w:r>
        <w:rPr>
          <w:rFonts w:hint="eastAsia"/>
        </w:rPr>
        <w:t>)</w:t>
      </w:r>
      <w:r>
        <w:rPr>
          <w:rFonts w:hint="eastAsia"/>
        </w:rPr>
        <w:t>的妇女的权利，以及娶多名妻子的权利。</w:t>
      </w:r>
    </w:p>
    <w:p w:rsidR="007234DD" w:rsidRDefault="007234DD">
      <w:pPr>
        <w:pStyle w:val="SingleTxtGC"/>
        <w:rPr>
          <w:rFonts w:hint="eastAsia"/>
        </w:rPr>
      </w:pPr>
      <w:r>
        <w:t xml:space="preserve">452.  </w:t>
      </w:r>
      <w:r>
        <w:rPr>
          <w:rFonts w:hint="eastAsia"/>
        </w:rPr>
        <w:t>《公约》第十六条第</w:t>
      </w:r>
      <w:r>
        <w:rPr>
          <w:rFonts w:hint="eastAsia"/>
        </w:rPr>
        <w:t>1</w:t>
      </w:r>
      <w:r>
        <w:rPr>
          <w:rFonts w:hint="eastAsia"/>
        </w:rPr>
        <w:t>款</w:t>
      </w:r>
      <w:r>
        <w:t>(</w:t>
      </w:r>
      <w:r>
        <w:rPr>
          <w:rFonts w:hint="eastAsia"/>
        </w:rPr>
        <w:t>c</w:t>
      </w:r>
      <w:r>
        <w:t>)</w:t>
      </w:r>
      <w:r>
        <w:rPr>
          <w:rFonts w:hint="eastAsia"/>
        </w:rPr>
        <w:t>项规定，在婚姻存续期间以及解除婚姻关系时，男女拥有相同的权利和义务，卡塔尔对此也提出保留。这与伊斯兰教法的规定相抵触，根据伊斯兰教法，夫妻双方拥有不同的权利，也有共享的权利。</w:t>
      </w:r>
    </w:p>
    <w:p w:rsidR="007234DD" w:rsidRDefault="007234DD">
      <w:pPr>
        <w:pStyle w:val="SingleTxtGC"/>
        <w:rPr>
          <w:rFonts w:hint="eastAsia"/>
        </w:rPr>
      </w:pPr>
      <w:r>
        <w:t xml:space="preserve">453.  </w:t>
      </w:r>
      <w:r>
        <w:rPr>
          <w:rFonts w:hint="eastAsia"/>
        </w:rPr>
        <w:t>《公约》第十六条第</w:t>
      </w:r>
      <w:r>
        <w:rPr>
          <w:rFonts w:hint="eastAsia"/>
        </w:rPr>
        <w:t>1</w:t>
      </w:r>
      <w:r>
        <w:rPr>
          <w:rFonts w:hint="eastAsia"/>
        </w:rPr>
        <w:t>款</w:t>
      </w:r>
      <w:r>
        <w:t>(</w:t>
      </w:r>
      <w:r>
        <w:rPr>
          <w:rFonts w:hint="eastAsia"/>
        </w:rPr>
        <w:t>f</w:t>
      </w:r>
      <w:r>
        <w:t>)</w:t>
      </w:r>
      <w:r>
        <w:rPr>
          <w:rFonts w:hint="eastAsia"/>
        </w:rPr>
        <w:t>项规定，在监护、看管、受托和收养子女或类似的制度方面，如果国家法规有这些观念的话，男女拥有相同的权利和义务；但在任何情形下，均应以子女的利益为重。卡塔尔对此提出保留，因为伊斯兰教法和卡塔尔法律不承认收养。此外，妇女对子女的监护权限于养育子女，并不是全方位的，不包括在婚内代表未成年子女的权利</w:t>
      </w:r>
      <w:r>
        <w:rPr>
          <w:rFonts w:hint="eastAsia"/>
        </w:rPr>
        <w:t>(</w:t>
      </w:r>
      <w:r>
        <w:rPr>
          <w:rFonts w:hint="eastAsia"/>
        </w:rPr>
        <w:t>《家庭法》规定，最低结婚年龄为男子</w:t>
      </w:r>
      <w:r>
        <w:rPr>
          <w:rFonts w:hint="eastAsia"/>
        </w:rPr>
        <w:t>18</w:t>
      </w:r>
      <w:r>
        <w:rPr>
          <w:rFonts w:hint="eastAsia"/>
        </w:rPr>
        <w:t>周岁和女子</w:t>
      </w:r>
      <w:r>
        <w:rPr>
          <w:rFonts w:hint="eastAsia"/>
        </w:rPr>
        <w:t>16</w:t>
      </w:r>
      <w:r>
        <w:rPr>
          <w:rFonts w:hint="eastAsia"/>
        </w:rPr>
        <w:t>周岁</w:t>
      </w:r>
      <w:r>
        <w:rPr>
          <w:rFonts w:hint="eastAsia"/>
        </w:rPr>
        <w:t>)</w:t>
      </w:r>
      <w:r>
        <w:rPr>
          <w:rFonts w:hint="eastAsia"/>
        </w:rPr>
        <w:t>。</w:t>
      </w:r>
    </w:p>
    <w:p w:rsidR="007234DD" w:rsidRDefault="007234DD">
      <w:pPr>
        <w:pStyle w:val="H23GC"/>
      </w:pPr>
      <w:r>
        <w:rPr>
          <w:rFonts w:hint="eastAsia"/>
        </w:rPr>
        <w:tab/>
      </w:r>
      <w:r>
        <w:rPr>
          <w:rFonts w:hint="eastAsia"/>
        </w:rPr>
        <w:tab/>
      </w:r>
      <w:r>
        <w:rPr>
          <w:rFonts w:hint="eastAsia"/>
        </w:rPr>
        <w:t>挑战和未来展望</w:t>
      </w:r>
    </w:p>
    <w:p w:rsidR="007234DD" w:rsidRDefault="007234DD">
      <w:pPr>
        <w:pStyle w:val="SingleTxtGC"/>
      </w:pPr>
      <w:r>
        <w:t xml:space="preserve">454.  </w:t>
      </w:r>
      <w:r>
        <w:rPr>
          <w:rFonts w:hint="eastAsia"/>
        </w:rPr>
        <w:t>伊斯兰教法和卡塔尔现行法律赋予妇女在婚姻和家庭关系中公平的待遇。然而，妇女其法定权利知识甚少，特别是在个人地位事务方面，这使其容易遭受歧视，对政府和非政府一级为实现性别平等而付出的努力构成了挑战。</w:t>
      </w:r>
    </w:p>
    <w:p w:rsidR="007234DD" w:rsidRDefault="007234DD">
      <w:pPr>
        <w:pStyle w:val="SingleTxtGC"/>
      </w:pPr>
      <w:r>
        <w:t xml:space="preserve">455.  </w:t>
      </w:r>
      <w:r>
        <w:rPr>
          <w:rFonts w:hint="eastAsia"/>
        </w:rPr>
        <w:t>此外，还存在其他的挑战，诸如司法程序，尤其是家庭案件中的司法程序十分漫长，以及负责保护妇女免受家庭暴力行为的政府和非政府组织之间协调不力。</w:t>
      </w:r>
    </w:p>
    <w:p w:rsidR="007234DD" w:rsidRDefault="007234DD">
      <w:pPr>
        <w:pStyle w:val="SingleTxtGC"/>
      </w:pPr>
      <w:r>
        <w:t xml:space="preserve">456.  </w:t>
      </w:r>
      <w:r>
        <w:rPr>
          <w:rFonts w:hint="eastAsia"/>
        </w:rPr>
        <w:t>国家监测在实现与家庭和家庭成员有关的战略发展目标方面取得的进展；为执行《消除对妇女一切形式歧视公约》有关婚姻和家庭关系的各项条款而开展的活动；提高人们对《公约》内容的认识的努力；以及对执法人员、律师和记者进行的培训，尤其是与《公约》有关的培训，从而为在该领域内实现性别平等创造更多的机会。此外，有关部门正在审议一项有关家庭和继承案件审判程序的法案，若该法案通过，会结束妇女在家庭案件中遭遇的困境。</w:t>
      </w:r>
    </w:p>
    <w:p w:rsidR="007234DD" w:rsidRDefault="007234DD">
      <w:pPr>
        <w:pStyle w:val="H1GC"/>
      </w:pPr>
      <w:r>
        <w:rPr>
          <w:rFonts w:hint="eastAsia"/>
        </w:rPr>
        <w:tab/>
      </w:r>
      <w:r>
        <w:rPr>
          <w:rFonts w:hint="eastAsia"/>
        </w:rPr>
        <w:tab/>
      </w:r>
      <w:r>
        <w:rPr>
          <w:rFonts w:hint="eastAsia"/>
        </w:rPr>
        <w:t>第二十九条</w:t>
      </w:r>
      <w:r>
        <w:br/>
      </w:r>
      <w:r>
        <w:rPr>
          <w:rFonts w:hint="eastAsia"/>
        </w:rPr>
        <w:t>关于《公约》第二十九条的解释性声明</w:t>
      </w:r>
    </w:p>
    <w:p w:rsidR="007234DD" w:rsidRDefault="007234DD">
      <w:pPr>
        <w:pStyle w:val="H23GC"/>
      </w:pPr>
      <w:r>
        <w:rPr>
          <w:rFonts w:hint="eastAsia"/>
        </w:rPr>
        <w:tab/>
      </w:r>
      <w:r>
        <w:rPr>
          <w:rFonts w:hint="eastAsia"/>
        </w:rPr>
        <w:tab/>
      </w:r>
      <w:r>
        <w:rPr>
          <w:rFonts w:hint="eastAsia"/>
        </w:rPr>
        <w:t>关于《公约》第二十九条的解释性声明</w:t>
      </w:r>
    </w:p>
    <w:p w:rsidR="007234DD" w:rsidRDefault="007234DD">
      <w:pPr>
        <w:pStyle w:val="SingleTxtGC"/>
      </w:pPr>
      <w:r>
        <w:t xml:space="preserve">457.  </w:t>
      </w:r>
      <w:r>
        <w:rPr>
          <w:rFonts w:hint="eastAsia"/>
        </w:rPr>
        <w:t>卡塔尔国就《公约》第二十九条第</w:t>
      </w:r>
      <w:r>
        <w:rPr>
          <w:rFonts w:hint="eastAsia"/>
        </w:rPr>
        <w:t>2</w:t>
      </w:r>
      <w:r>
        <w:rPr>
          <w:rFonts w:hint="eastAsia"/>
        </w:rPr>
        <w:t>款作出解释性声明，该款规定：“每一个缔约国在签署或批准本公约或加入本公约时，可声明本国不受本条第</w:t>
      </w:r>
      <w:r>
        <w:rPr>
          <w:rFonts w:hint="eastAsia"/>
        </w:rPr>
        <w:t>1</w:t>
      </w:r>
      <w:r>
        <w:rPr>
          <w:rFonts w:hint="eastAsia"/>
        </w:rPr>
        <w:t>款的约束，其他缔约国对于作出这项保留的任何缔约国，也不受该款的约束”。下面对卡塔尔的解释性声明作出解释。</w:t>
      </w:r>
    </w:p>
    <w:p w:rsidR="007234DD" w:rsidRDefault="007234DD">
      <w:pPr>
        <w:pStyle w:val="SingleTxtGC"/>
      </w:pPr>
      <w:r>
        <w:t xml:space="preserve">458.  </w:t>
      </w:r>
      <w:r>
        <w:rPr>
          <w:rFonts w:hint="eastAsia"/>
        </w:rPr>
        <w:t>《公约》第二十九条规定，两个或两个以上的缔约国之间关于本公约的解释或适用方面的任何争端，须通过仲裁或国际刑事法院解决。该条款允许缔约国对此作出保留。卡塔尔行使该条款赋予其的权利，决定提出保留，以便在发生争议时不会被迫提交国际仲裁或国际刑事法院裁决，而是仍保留决定是否愿意这样做的自由。卡塔尔对其加入的其他条约的类似条款也作出保留，特别是在最近几年。</w:t>
      </w:r>
    </w:p>
    <w:p w:rsidR="007234DD" w:rsidRDefault="007234DD">
      <w:pPr>
        <w:pStyle w:val="HChGC"/>
      </w:pPr>
      <w:r>
        <w:rPr>
          <w:rFonts w:hint="eastAsia"/>
        </w:rPr>
        <w:tab/>
      </w:r>
      <w:r>
        <w:rPr>
          <w:rFonts w:hint="eastAsia"/>
        </w:rPr>
        <w:tab/>
      </w:r>
      <w:r>
        <w:rPr>
          <w:rFonts w:hint="eastAsia"/>
        </w:rPr>
        <w:t>结论</w:t>
      </w:r>
    </w:p>
    <w:p w:rsidR="007234DD" w:rsidRDefault="007234DD">
      <w:pPr>
        <w:pStyle w:val="SingleTxtGC"/>
      </w:pPr>
      <w:r>
        <w:t xml:space="preserve">459.  </w:t>
      </w:r>
      <w:r>
        <w:rPr>
          <w:rFonts w:hint="eastAsia"/>
        </w:rPr>
        <w:t>在将本报告提交消除对妇女一切形式歧视委员会时，卡塔尔政府确认会竭尽全力消除对妇女的一切形式歧视。这将以《卡塔尔宪法》和国家愿景为基础。该国家愿景是，建立一个以正义、平等和法治原则为指导的安全、稳定的社会，建设妇女能力，使她们能够积极参与经济、政治和社会生活，并确保她们有机会获得决策职位。卡塔尔将坚持不懈地努力，以实现提高妇女的社会地位、确保她们能够与男子并肩努力，为卡塔尔的社会发展做出更大贡献。</w:t>
      </w:r>
    </w:p>
    <w:p w:rsidR="007234DD" w:rsidRDefault="007234DD">
      <w:pPr>
        <w:pStyle w:val="SingleTxtGC"/>
      </w:pPr>
      <w:r>
        <w:t xml:space="preserve">460.  </w:t>
      </w:r>
      <w:r>
        <w:rPr>
          <w:rFonts w:hint="eastAsia"/>
        </w:rPr>
        <w:t>卡塔尔对委员会在增强妇女权能方面所做的开拓性工作表示感谢，保证与委员会建立更紧密的关系，并在今后的报告中提交能够得到的所有信息。</w:t>
      </w:r>
    </w:p>
    <w:p w:rsidR="007234DD" w:rsidRDefault="007234DD" w:rsidP="00781B78">
      <w:pPr>
        <w:pStyle w:val="HChGC"/>
        <w:spacing w:after="160"/>
      </w:pPr>
      <w:r>
        <w:br w:type="page"/>
      </w:r>
      <w:r>
        <w:rPr>
          <w:rFonts w:hint="eastAsia"/>
        </w:rPr>
        <w:t>附件</w:t>
      </w:r>
    </w:p>
    <w:p w:rsidR="007234DD" w:rsidRDefault="007234DD" w:rsidP="00781B78">
      <w:pPr>
        <w:pStyle w:val="HChGC"/>
        <w:spacing w:after="160"/>
      </w:pPr>
      <w:r>
        <w:rPr>
          <w:rFonts w:hint="eastAsia"/>
        </w:rPr>
        <w:tab/>
      </w:r>
      <w:r>
        <w:rPr>
          <w:rFonts w:hint="eastAsia"/>
        </w:rPr>
        <w:tab/>
      </w:r>
      <w:r>
        <w:rPr>
          <w:rFonts w:hint="eastAsia"/>
        </w:rPr>
        <w:t>法律、决定和命令</w:t>
      </w:r>
    </w:p>
    <w:p w:rsidR="007234DD" w:rsidRDefault="007234DD" w:rsidP="00781B78">
      <w:pPr>
        <w:pStyle w:val="SingleTxtGC"/>
        <w:spacing w:after="80"/>
        <w:rPr>
          <w:rFonts w:hint="eastAsia"/>
        </w:rPr>
      </w:pPr>
      <w:r>
        <w:t>1.</w:t>
      </w:r>
      <w:r>
        <w:tab/>
      </w:r>
      <w:r>
        <w:rPr>
          <w:rFonts w:hint="eastAsia"/>
        </w:rPr>
        <w:t>1995</w:t>
      </w:r>
      <w:r>
        <w:rPr>
          <w:rFonts w:hint="eastAsia"/>
        </w:rPr>
        <w:t>年第</w:t>
      </w:r>
      <w:r>
        <w:rPr>
          <w:rFonts w:hint="eastAsia"/>
        </w:rPr>
        <w:t>38</w:t>
      </w:r>
      <w:r>
        <w:rPr>
          <w:rFonts w:hint="eastAsia"/>
        </w:rPr>
        <w:t>号法，关于社会保障</w:t>
      </w:r>
    </w:p>
    <w:p w:rsidR="007234DD" w:rsidRDefault="007234DD" w:rsidP="00781B78">
      <w:pPr>
        <w:pStyle w:val="SingleTxtGC"/>
        <w:spacing w:after="80"/>
      </w:pPr>
      <w:r>
        <w:t>2.</w:t>
      </w:r>
      <w:r>
        <w:tab/>
      </w:r>
      <w:r>
        <w:rPr>
          <w:rFonts w:hint="eastAsia"/>
        </w:rPr>
        <w:t>2001</w:t>
      </w:r>
      <w:r>
        <w:rPr>
          <w:rFonts w:hint="eastAsia"/>
        </w:rPr>
        <w:t>年第</w:t>
      </w:r>
      <w:r>
        <w:rPr>
          <w:rFonts w:hint="eastAsia"/>
        </w:rPr>
        <w:t>25</w:t>
      </w:r>
      <w:r>
        <w:rPr>
          <w:rFonts w:hint="eastAsia"/>
        </w:rPr>
        <w:t>号法，关于义务教育</w:t>
      </w:r>
      <w:r>
        <w:t xml:space="preserve"> </w:t>
      </w:r>
    </w:p>
    <w:p w:rsidR="007234DD" w:rsidRDefault="007234DD" w:rsidP="00781B78">
      <w:pPr>
        <w:pStyle w:val="SingleTxtGC"/>
        <w:spacing w:after="80"/>
      </w:pPr>
      <w:r>
        <w:t>3.</w:t>
      </w:r>
      <w:r>
        <w:tab/>
      </w:r>
      <w:r>
        <w:rPr>
          <w:rFonts w:hint="eastAsia"/>
        </w:rPr>
        <w:t>2002</w:t>
      </w:r>
      <w:r>
        <w:rPr>
          <w:rFonts w:hint="eastAsia"/>
        </w:rPr>
        <w:t>年第</w:t>
      </w:r>
      <w:r>
        <w:rPr>
          <w:rFonts w:hint="eastAsia"/>
        </w:rPr>
        <w:t>24</w:t>
      </w:r>
      <w:r>
        <w:rPr>
          <w:rFonts w:hint="eastAsia"/>
        </w:rPr>
        <w:t>号法，业经修正，关于退休和养老金</w:t>
      </w:r>
    </w:p>
    <w:p w:rsidR="007234DD" w:rsidRDefault="007234DD" w:rsidP="00781B78">
      <w:pPr>
        <w:pStyle w:val="SingleTxtGC"/>
        <w:spacing w:after="80"/>
      </w:pPr>
      <w:r>
        <w:t>4.</w:t>
      </w:r>
      <w:r>
        <w:tab/>
      </w:r>
      <w:r>
        <w:rPr>
          <w:rFonts w:hint="eastAsia"/>
        </w:rPr>
        <w:t>2003</w:t>
      </w:r>
      <w:r>
        <w:rPr>
          <w:rFonts w:hint="eastAsia"/>
        </w:rPr>
        <w:t>年第</w:t>
      </w:r>
      <w:r>
        <w:rPr>
          <w:rFonts w:hint="eastAsia"/>
        </w:rPr>
        <w:t>10</w:t>
      </w:r>
      <w:r>
        <w:rPr>
          <w:rFonts w:hint="eastAsia"/>
        </w:rPr>
        <w:t>号法，颁布《司法权力法》</w:t>
      </w:r>
    </w:p>
    <w:p w:rsidR="007234DD" w:rsidRDefault="007234DD" w:rsidP="00781B78">
      <w:pPr>
        <w:pStyle w:val="SingleTxtGC"/>
        <w:spacing w:after="80"/>
      </w:pPr>
      <w:r>
        <w:t>5.</w:t>
      </w:r>
      <w:r>
        <w:tab/>
      </w:r>
      <w:r>
        <w:rPr>
          <w:rFonts w:hint="eastAsia"/>
        </w:rPr>
        <w:t>2004</w:t>
      </w:r>
      <w:r>
        <w:rPr>
          <w:rFonts w:hint="eastAsia"/>
        </w:rPr>
        <w:t>年第</w:t>
      </w:r>
      <w:r>
        <w:rPr>
          <w:rFonts w:hint="eastAsia"/>
        </w:rPr>
        <w:t>2</w:t>
      </w:r>
      <w:r>
        <w:rPr>
          <w:rFonts w:hint="eastAsia"/>
        </w:rPr>
        <w:t>号法，关于有特殊需要人员</w:t>
      </w:r>
    </w:p>
    <w:p w:rsidR="007234DD" w:rsidRDefault="007234DD" w:rsidP="00781B78">
      <w:pPr>
        <w:pStyle w:val="SingleTxtGC"/>
        <w:spacing w:after="80"/>
      </w:pPr>
      <w:r>
        <w:t>6.</w:t>
      </w:r>
      <w:r>
        <w:tab/>
      </w:r>
      <w:r>
        <w:rPr>
          <w:rFonts w:hint="eastAsia"/>
        </w:rPr>
        <w:t>2004</w:t>
      </w:r>
      <w:r>
        <w:rPr>
          <w:rFonts w:hint="eastAsia"/>
        </w:rPr>
        <w:t>年第</w:t>
      </w:r>
      <w:r>
        <w:rPr>
          <w:rFonts w:hint="eastAsia"/>
        </w:rPr>
        <w:t>11</w:t>
      </w:r>
      <w:r>
        <w:rPr>
          <w:rFonts w:hint="eastAsia"/>
        </w:rPr>
        <w:t>号法，颁布《刑法》，业经修正</w:t>
      </w:r>
    </w:p>
    <w:p w:rsidR="007234DD" w:rsidRDefault="007234DD" w:rsidP="00781B78">
      <w:pPr>
        <w:pStyle w:val="SingleTxtGC"/>
        <w:spacing w:after="80"/>
      </w:pPr>
      <w:r>
        <w:t>7.</w:t>
      </w:r>
      <w:r>
        <w:tab/>
      </w:r>
      <w:r>
        <w:rPr>
          <w:rFonts w:hint="eastAsia"/>
        </w:rPr>
        <w:t>2004</w:t>
      </w:r>
      <w:r>
        <w:rPr>
          <w:rFonts w:hint="eastAsia"/>
        </w:rPr>
        <w:t>年第</w:t>
      </w:r>
      <w:r>
        <w:rPr>
          <w:rFonts w:hint="eastAsia"/>
        </w:rPr>
        <w:t>12</w:t>
      </w:r>
      <w:r>
        <w:rPr>
          <w:rFonts w:hint="eastAsia"/>
        </w:rPr>
        <w:t>号法，业经修正，关于协会和私立机构</w:t>
      </w:r>
    </w:p>
    <w:p w:rsidR="007234DD" w:rsidRDefault="007234DD" w:rsidP="00781B78">
      <w:pPr>
        <w:pStyle w:val="SingleTxtGC"/>
        <w:spacing w:after="80"/>
      </w:pPr>
      <w:r>
        <w:t>8.</w:t>
      </w:r>
      <w:r>
        <w:tab/>
      </w:r>
      <w:r>
        <w:rPr>
          <w:rFonts w:hint="eastAsia"/>
        </w:rPr>
        <w:t>2004</w:t>
      </w:r>
      <w:r>
        <w:rPr>
          <w:rFonts w:hint="eastAsia"/>
        </w:rPr>
        <w:t>年第</w:t>
      </w:r>
      <w:r>
        <w:rPr>
          <w:rFonts w:hint="eastAsia"/>
        </w:rPr>
        <w:t>14</w:t>
      </w:r>
      <w:r>
        <w:rPr>
          <w:rFonts w:hint="eastAsia"/>
        </w:rPr>
        <w:t>号法，业经修正，颁布《劳动法》，业经修正</w:t>
      </w:r>
    </w:p>
    <w:p w:rsidR="007234DD" w:rsidRDefault="007234DD" w:rsidP="00781B78">
      <w:pPr>
        <w:pStyle w:val="SingleTxtGC"/>
        <w:spacing w:after="80"/>
      </w:pPr>
      <w:r>
        <w:t>9.</w:t>
      </w:r>
      <w:r>
        <w:tab/>
      </w:r>
      <w:r>
        <w:rPr>
          <w:rFonts w:hint="eastAsia"/>
        </w:rPr>
        <w:t>2004</w:t>
      </w:r>
      <w:r>
        <w:rPr>
          <w:rFonts w:hint="eastAsia"/>
        </w:rPr>
        <w:t>年第</w:t>
      </w:r>
      <w:r>
        <w:rPr>
          <w:rFonts w:hint="eastAsia"/>
        </w:rPr>
        <w:t>22</w:t>
      </w:r>
      <w:r>
        <w:rPr>
          <w:rFonts w:hint="eastAsia"/>
        </w:rPr>
        <w:t>号法，颁布《民法》</w:t>
      </w:r>
    </w:p>
    <w:p w:rsidR="007234DD" w:rsidRDefault="007234DD" w:rsidP="00781B78">
      <w:pPr>
        <w:pStyle w:val="SingleTxtGC"/>
        <w:spacing w:after="80"/>
      </w:pPr>
      <w:r>
        <w:t>10.</w:t>
      </w:r>
      <w:r>
        <w:tab/>
      </w:r>
      <w:r>
        <w:rPr>
          <w:rFonts w:hint="eastAsia"/>
        </w:rPr>
        <w:t>2004</w:t>
      </w:r>
      <w:r>
        <w:rPr>
          <w:rFonts w:hint="eastAsia"/>
        </w:rPr>
        <w:t>年第</w:t>
      </w:r>
      <w:r>
        <w:rPr>
          <w:rFonts w:hint="eastAsia"/>
        </w:rPr>
        <w:t>23</w:t>
      </w:r>
      <w:r>
        <w:rPr>
          <w:rFonts w:hint="eastAsia"/>
        </w:rPr>
        <w:t>号法，颁布《刑事诉讼法》</w:t>
      </w:r>
    </w:p>
    <w:p w:rsidR="007234DD" w:rsidRDefault="007234DD" w:rsidP="00781B78">
      <w:pPr>
        <w:pStyle w:val="SingleTxtGC"/>
        <w:spacing w:after="80"/>
      </w:pPr>
      <w:r>
        <w:t>11.</w:t>
      </w:r>
      <w:r>
        <w:tab/>
      </w:r>
      <w:r>
        <w:rPr>
          <w:rFonts w:hint="eastAsia"/>
        </w:rPr>
        <w:t>2004</w:t>
      </w:r>
      <w:r>
        <w:rPr>
          <w:rFonts w:hint="eastAsia"/>
        </w:rPr>
        <w:t>年第</w:t>
      </w:r>
      <w:r>
        <w:rPr>
          <w:rFonts w:hint="eastAsia"/>
        </w:rPr>
        <w:t>40</w:t>
      </w:r>
      <w:r>
        <w:rPr>
          <w:rFonts w:hint="eastAsia"/>
        </w:rPr>
        <w:t>号法，关于未成年人财产的监护权</w:t>
      </w:r>
    </w:p>
    <w:p w:rsidR="007234DD" w:rsidRDefault="007234DD" w:rsidP="00781B78">
      <w:pPr>
        <w:pStyle w:val="SingleTxtGC"/>
        <w:spacing w:after="80"/>
      </w:pPr>
      <w:r>
        <w:t>12.</w:t>
      </w:r>
      <w:r>
        <w:tab/>
      </w:r>
      <w:r>
        <w:rPr>
          <w:rFonts w:hint="eastAsia"/>
        </w:rPr>
        <w:t>2006</w:t>
      </w:r>
      <w:r>
        <w:rPr>
          <w:rFonts w:hint="eastAsia"/>
        </w:rPr>
        <w:t>年第</w:t>
      </w:r>
      <w:r>
        <w:rPr>
          <w:rFonts w:hint="eastAsia"/>
        </w:rPr>
        <w:t>21</w:t>
      </w:r>
      <w:r>
        <w:rPr>
          <w:rFonts w:hint="eastAsia"/>
        </w:rPr>
        <w:t>号法，关于有助公益的私立协会</w:t>
      </w:r>
    </w:p>
    <w:p w:rsidR="007234DD" w:rsidRDefault="007234DD" w:rsidP="00781B78">
      <w:pPr>
        <w:pStyle w:val="SingleTxtGC"/>
        <w:spacing w:after="80"/>
      </w:pPr>
      <w:r>
        <w:t>13.</w:t>
      </w:r>
      <w:r>
        <w:tab/>
      </w:r>
      <w:r>
        <w:rPr>
          <w:rFonts w:hint="eastAsia"/>
        </w:rPr>
        <w:t>2006</w:t>
      </w:r>
      <w:r>
        <w:rPr>
          <w:rFonts w:hint="eastAsia"/>
        </w:rPr>
        <w:t>年第</w:t>
      </w:r>
      <w:r>
        <w:rPr>
          <w:rFonts w:hint="eastAsia"/>
        </w:rPr>
        <w:t>22</w:t>
      </w:r>
      <w:r>
        <w:rPr>
          <w:rFonts w:hint="eastAsia"/>
        </w:rPr>
        <w:t>号法，颁布《家庭法》</w:t>
      </w:r>
    </w:p>
    <w:p w:rsidR="007234DD" w:rsidRDefault="007234DD" w:rsidP="00781B78">
      <w:pPr>
        <w:pStyle w:val="SingleTxtGC"/>
        <w:spacing w:after="80"/>
      </w:pPr>
      <w:r>
        <w:t>14.</w:t>
      </w:r>
      <w:r>
        <w:tab/>
      </w:r>
      <w:r>
        <w:rPr>
          <w:rFonts w:hint="eastAsia"/>
        </w:rPr>
        <w:t>2007</w:t>
      </w:r>
      <w:r>
        <w:rPr>
          <w:rFonts w:hint="eastAsia"/>
        </w:rPr>
        <w:t>年第</w:t>
      </w:r>
      <w:r>
        <w:rPr>
          <w:rFonts w:hint="eastAsia"/>
        </w:rPr>
        <w:t>2</w:t>
      </w:r>
      <w:r>
        <w:rPr>
          <w:rFonts w:hint="eastAsia"/>
        </w:rPr>
        <w:t>号法，关于住房计划和执行法令</w:t>
      </w:r>
    </w:p>
    <w:p w:rsidR="007234DD" w:rsidRDefault="007234DD" w:rsidP="00781B78">
      <w:pPr>
        <w:pStyle w:val="SingleTxtGC"/>
        <w:spacing w:after="80"/>
      </w:pPr>
      <w:r>
        <w:t>15.</w:t>
      </w:r>
      <w:r>
        <w:tab/>
      </w:r>
      <w:r>
        <w:rPr>
          <w:rFonts w:hint="eastAsia"/>
        </w:rPr>
        <w:t>2007</w:t>
      </w:r>
      <w:r>
        <w:rPr>
          <w:rFonts w:hint="eastAsia"/>
        </w:rPr>
        <w:t>年第</w:t>
      </w:r>
      <w:r>
        <w:rPr>
          <w:rFonts w:hint="eastAsia"/>
        </w:rPr>
        <w:t>7</w:t>
      </w:r>
      <w:r>
        <w:rPr>
          <w:rFonts w:hint="eastAsia"/>
        </w:rPr>
        <w:t>号法，关于审理行政纠纷</w:t>
      </w:r>
    </w:p>
    <w:p w:rsidR="007234DD" w:rsidRDefault="007234DD" w:rsidP="00781B78">
      <w:pPr>
        <w:pStyle w:val="SingleTxtGC"/>
        <w:spacing w:after="80"/>
        <w:rPr>
          <w:rFonts w:hint="eastAsia"/>
        </w:rPr>
      </w:pPr>
      <w:r>
        <w:t>16.</w:t>
      </w:r>
      <w:r>
        <w:tab/>
      </w:r>
      <w:r>
        <w:rPr>
          <w:rFonts w:hint="eastAsia"/>
        </w:rPr>
        <w:t>2008</w:t>
      </w:r>
      <w:r>
        <w:rPr>
          <w:rFonts w:hint="eastAsia"/>
        </w:rPr>
        <w:t>年第</w:t>
      </w:r>
      <w:r>
        <w:rPr>
          <w:rFonts w:hint="eastAsia"/>
        </w:rPr>
        <w:t>12</w:t>
      </w:r>
      <w:r>
        <w:rPr>
          <w:rFonts w:hint="eastAsia"/>
        </w:rPr>
        <w:t>号法，关于成立最高宪法法院</w:t>
      </w:r>
      <w:r>
        <w:t>，</w:t>
      </w:r>
    </w:p>
    <w:p w:rsidR="007234DD" w:rsidRDefault="007234DD" w:rsidP="00781B78">
      <w:pPr>
        <w:pStyle w:val="SingleTxtGC"/>
        <w:spacing w:after="80"/>
      </w:pPr>
      <w:r>
        <w:t>17.</w:t>
      </w:r>
      <w:r>
        <w:tab/>
      </w:r>
      <w:r>
        <w:rPr>
          <w:rFonts w:hint="eastAsia"/>
        </w:rPr>
        <w:t>2008</w:t>
      </w:r>
      <w:r>
        <w:rPr>
          <w:rFonts w:hint="eastAsia"/>
        </w:rPr>
        <w:t>年第</w:t>
      </w:r>
      <w:r>
        <w:rPr>
          <w:rFonts w:hint="eastAsia"/>
        </w:rPr>
        <w:t>19</w:t>
      </w:r>
      <w:r>
        <w:rPr>
          <w:rFonts w:hint="eastAsia"/>
        </w:rPr>
        <w:t>号法，关于支付受害者家属抚恤金</w:t>
      </w:r>
      <w:r>
        <w:t xml:space="preserve"> </w:t>
      </w:r>
    </w:p>
    <w:p w:rsidR="007234DD" w:rsidRDefault="007234DD" w:rsidP="00781B78">
      <w:pPr>
        <w:pStyle w:val="SingleTxtGC"/>
        <w:spacing w:after="80"/>
      </w:pPr>
      <w:r>
        <w:t>18.</w:t>
      </w:r>
      <w:r>
        <w:tab/>
      </w:r>
      <w:r>
        <w:rPr>
          <w:rFonts w:hint="eastAsia"/>
        </w:rPr>
        <w:t>2007</w:t>
      </w:r>
      <w:r>
        <w:rPr>
          <w:rFonts w:hint="eastAsia"/>
        </w:rPr>
        <w:t>年第</w:t>
      </w:r>
      <w:r>
        <w:rPr>
          <w:rFonts w:hint="eastAsia"/>
        </w:rPr>
        <w:t>51</w:t>
      </w:r>
      <w:r>
        <w:rPr>
          <w:rFonts w:hint="eastAsia"/>
        </w:rPr>
        <w:t>号埃米尔令，批准成立阿拉伯民主基金会</w:t>
      </w:r>
    </w:p>
    <w:p w:rsidR="007234DD" w:rsidRDefault="007234DD" w:rsidP="00781B78">
      <w:pPr>
        <w:pStyle w:val="SingleTxtGC"/>
        <w:spacing w:after="80"/>
      </w:pPr>
      <w:r>
        <w:t>19.</w:t>
      </w:r>
      <w:r>
        <w:tab/>
      </w:r>
      <w:r>
        <w:rPr>
          <w:rFonts w:hint="eastAsia"/>
        </w:rPr>
        <w:t>2007</w:t>
      </w:r>
      <w:r>
        <w:rPr>
          <w:rFonts w:hint="eastAsia"/>
        </w:rPr>
        <w:t>年第</w:t>
      </w:r>
      <w:r>
        <w:rPr>
          <w:rFonts w:hint="eastAsia"/>
        </w:rPr>
        <w:t>86</w:t>
      </w:r>
      <w:r>
        <w:rPr>
          <w:rFonts w:hint="eastAsia"/>
        </w:rPr>
        <w:t>号埃米尔令，批准成立多哈媒体自由中心</w:t>
      </w:r>
    </w:p>
    <w:p w:rsidR="007234DD" w:rsidRDefault="007234DD" w:rsidP="00781B78">
      <w:pPr>
        <w:pStyle w:val="SingleTxtGC"/>
        <w:spacing w:after="80"/>
      </w:pPr>
      <w:r>
        <w:t>20.</w:t>
      </w:r>
      <w:r>
        <w:tab/>
      </w:r>
      <w:r>
        <w:rPr>
          <w:rFonts w:hint="eastAsia"/>
        </w:rPr>
        <w:t>2008</w:t>
      </w:r>
      <w:r>
        <w:rPr>
          <w:rFonts w:hint="eastAsia"/>
        </w:rPr>
        <w:t>年第</w:t>
      </w:r>
      <w:r>
        <w:rPr>
          <w:rFonts w:hint="eastAsia"/>
        </w:rPr>
        <w:t>3</w:t>
      </w:r>
      <w:r>
        <w:rPr>
          <w:rFonts w:hint="eastAsia"/>
        </w:rPr>
        <w:t>号埃米尔令，批准成立</w:t>
      </w:r>
      <w:r>
        <w:t xml:space="preserve">Silatech </w:t>
      </w:r>
      <w:r>
        <w:rPr>
          <w:rFonts w:hint="eastAsia"/>
        </w:rPr>
        <w:t>基金会</w:t>
      </w:r>
    </w:p>
    <w:p w:rsidR="007234DD" w:rsidRDefault="007234DD" w:rsidP="00781B78">
      <w:pPr>
        <w:pStyle w:val="SingleTxtGC"/>
        <w:spacing w:after="80"/>
      </w:pPr>
      <w:r>
        <w:t>21.</w:t>
      </w:r>
      <w:r>
        <w:tab/>
      </w:r>
      <w:r>
        <w:rPr>
          <w:rFonts w:hint="eastAsia"/>
        </w:rPr>
        <w:t>2008</w:t>
      </w:r>
      <w:r>
        <w:rPr>
          <w:rFonts w:hint="eastAsia"/>
        </w:rPr>
        <w:t>年第</w:t>
      </w:r>
      <w:r>
        <w:rPr>
          <w:rFonts w:hint="eastAsia"/>
        </w:rPr>
        <w:t>44</w:t>
      </w:r>
      <w:r>
        <w:rPr>
          <w:rFonts w:hint="eastAsia"/>
        </w:rPr>
        <w:t>号埃米尔令，批准卡塔尔愿景</w:t>
      </w:r>
    </w:p>
    <w:p w:rsidR="007234DD" w:rsidRDefault="007234DD" w:rsidP="00781B78">
      <w:pPr>
        <w:pStyle w:val="SingleTxtGC"/>
        <w:spacing w:after="80"/>
      </w:pPr>
      <w:r>
        <w:t>22.</w:t>
      </w:r>
      <w:r>
        <w:tab/>
      </w:r>
      <w:r>
        <w:rPr>
          <w:rFonts w:hint="eastAsia"/>
        </w:rPr>
        <w:t>2009</w:t>
      </w:r>
      <w:r>
        <w:rPr>
          <w:rFonts w:hint="eastAsia"/>
        </w:rPr>
        <w:t>年第</w:t>
      </w:r>
      <w:r>
        <w:rPr>
          <w:rFonts w:hint="eastAsia"/>
        </w:rPr>
        <w:t>15</w:t>
      </w:r>
      <w:r>
        <w:rPr>
          <w:rFonts w:hint="eastAsia"/>
        </w:rPr>
        <w:t>号埃米尔令，关于最高家庭事务委员会的组织</w:t>
      </w:r>
    </w:p>
    <w:p w:rsidR="007234DD" w:rsidRDefault="007234DD" w:rsidP="00781B78">
      <w:pPr>
        <w:pStyle w:val="SingleTxtGC"/>
        <w:spacing w:after="80"/>
      </w:pPr>
      <w:r>
        <w:t>23.</w:t>
      </w:r>
      <w:r>
        <w:tab/>
      </w:r>
      <w:r>
        <w:rPr>
          <w:rFonts w:hint="eastAsia"/>
        </w:rPr>
        <w:t>2010</w:t>
      </w:r>
      <w:r>
        <w:rPr>
          <w:rFonts w:hint="eastAsia"/>
        </w:rPr>
        <w:t>年第</w:t>
      </w:r>
      <w:r>
        <w:rPr>
          <w:rFonts w:hint="eastAsia"/>
        </w:rPr>
        <w:t>10</w:t>
      </w:r>
      <w:r>
        <w:rPr>
          <w:rFonts w:hint="eastAsia"/>
        </w:rPr>
        <w:t>号大臣决定，关于成立追究家长违反义务教育法问题委员会</w:t>
      </w:r>
    </w:p>
    <w:p w:rsidR="007234DD" w:rsidRDefault="007234DD" w:rsidP="00781B78">
      <w:pPr>
        <w:pStyle w:val="SingleTxtGC"/>
        <w:spacing w:after="80"/>
      </w:pPr>
      <w:r>
        <w:t>24.</w:t>
      </w:r>
      <w:r>
        <w:tab/>
      </w:r>
      <w:r>
        <w:rPr>
          <w:rFonts w:hint="eastAsia"/>
        </w:rPr>
        <w:t>2010</w:t>
      </w:r>
      <w:r>
        <w:rPr>
          <w:rFonts w:hint="eastAsia"/>
        </w:rPr>
        <w:t>年第</w:t>
      </w:r>
      <w:r>
        <w:rPr>
          <w:rFonts w:hint="eastAsia"/>
        </w:rPr>
        <w:t>20</w:t>
      </w:r>
      <w:r>
        <w:rPr>
          <w:rFonts w:hint="eastAsia"/>
        </w:rPr>
        <w:t>号埃米尔令，批准建立多哈不同信仰间对话国际中心</w:t>
      </w:r>
    </w:p>
    <w:p w:rsidR="007234DD" w:rsidRDefault="007234DD" w:rsidP="00781B78">
      <w:pPr>
        <w:pStyle w:val="SingleTxtGC"/>
        <w:spacing w:after="80"/>
      </w:pPr>
      <w:r>
        <w:t>25.</w:t>
      </w:r>
      <w:r>
        <w:tab/>
      </w:r>
      <w:r>
        <w:rPr>
          <w:rFonts w:hint="eastAsia"/>
        </w:rPr>
        <w:t>2007</w:t>
      </w:r>
      <w:r>
        <w:rPr>
          <w:rFonts w:hint="eastAsia"/>
        </w:rPr>
        <w:t>年第</w:t>
      </w:r>
      <w:r>
        <w:rPr>
          <w:rFonts w:hint="eastAsia"/>
        </w:rPr>
        <w:t>17</w:t>
      </w:r>
      <w:r>
        <w:rPr>
          <w:rFonts w:hint="eastAsia"/>
        </w:rPr>
        <w:t>号内阁决定，关于获得住房补贴的条例</w:t>
      </w:r>
    </w:p>
    <w:p w:rsidR="007234DD" w:rsidRDefault="007234DD" w:rsidP="00781B78">
      <w:pPr>
        <w:pStyle w:val="SingleTxtGC"/>
        <w:spacing w:after="80"/>
      </w:pPr>
      <w:r>
        <w:t>26.</w:t>
      </w:r>
      <w:r>
        <w:tab/>
      </w:r>
      <w:r>
        <w:rPr>
          <w:rFonts w:hint="eastAsia"/>
        </w:rPr>
        <w:t>2007</w:t>
      </w:r>
      <w:r>
        <w:rPr>
          <w:rFonts w:hint="eastAsia"/>
        </w:rPr>
        <w:t>年第</w:t>
      </w:r>
      <w:r>
        <w:rPr>
          <w:rFonts w:hint="eastAsia"/>
        </w:rPr>
        <w:t>18</w:t>
      </w:r>
      <w:r>
        <w:rPr>
          <w:rFonts w:hint="eastAsia"/>
        </w:rPr>
        <w:t>号内阁决定，关于有需要人员获得住房补贴的优先事项和条例</w:t>
      </w:r>
    </w:p>
    <w:p w:rsidR="007234DD" w:rsidRDefault="007234DD" w:rsidP="00781B78">
      <w:pPr>
        <w:pStyle w:val="SingleTxtGC"/>
        <w:spacing w:after="80"/>
      </w:pPr>
      <w:r>
        <w:t>27.</w:t>
      </w:r>
      <w:r>
        <w:tab/>
      </w:r>
      <w:r>
        <w:rPr>
          <w:rFonts w:hint="eastAsia"/>
        </w:rPr>
        <w:t>2007</w:t>
      </w:r>
      <w:r>
        <w:rPr>
          <w:rFonts w:hint="eastAsia"/>
        </w:rPr>
        <w:t>年第</w:t>
      </w:r>
      <w:r>
        <w:rPr>
          <w:rFonts w:hint="eastAsia"/>
        </w:rPr>
        <w:t>4</w:t>
      </w:r>
      <w:r>
        <w:rPr>
          <w:rFonts w:hint="eastAsia"/>
        </w:rPr>
        <w:t>号最高家庭事务委员会主席令，将卡塔尔儿童和妇女保护基金会变为私立公益机构</w:t>
      </w:r>
    </w:p>
    <w:p w:rsidR="007234DD" w:rsidRDefault="007234DD" w:rsidP="00781B78">
      <w:pPr>
        <w:pStyle w:val="SingleTxtGC"/>
        <w:spacing w:after="80"/>
      </w:pPr>
      <w:r>
        <w:t>28.</w:t>
      </w:r>
      <w:r>
        <w:tab/>
      </w:r>
      <w:r>
        <w:rPr>
          <w:rFonts w:hint="eastAsia"/>
        </w:rPr>
        <w:t>2008</w:t>
      </w:r>
      <w:r>
        <w:rPr>
          <w:rFonts w:hint="eastAsia"/>
        </w:rPr>
        <w:t>年第</w:t>
      </w:r>
      <w:r>
        <w:rPr>
          <w:rFonts w:hint="eastAsia"/>
        </w:rPr>
        <w:t>1</w:t>
      </w:r>
      <w:r>
        <w:rPr>
          <w:rFonts w:hint="eastAsia"/>
        </w:rPr>
        <w:t>号最高家庭事务委员会主席令，关于卡塔尔打击人口贩运基金会的成立文件</w:t>
      </w:r>
    </w:p>
    <w:p w:rsidR="007234DD" w:rsidRDefault="007234DD" w:rsidP="00781B78">
      <w:pPr>
        <w:pStyle w:val="SingleTxtGC"/>
        <w:spacing w:after="80"/>
        <w:rPr>
          <w:rFonts w:hint="eastAsia"/>
        </w:rPr>
      </w:pPr>
      <w:r>
        <w:t>29.</w:t>
      </w:r>
      <w:r>
        <w:tab/>
      </w:r>
      <w:r>
        <w:rPr>
          <w:rFonts w:hint="eastAsia"/>
        </w:rPr>
        <w:t>1995</w:t>
      </w:r>
      <w:r>
        <w:rPr>
          <w:rFonts w:hint="eastAsia"/>
        </w:rPr>
        <w:t>年第</w:t>
      </w:r>
      <w:r>
        <w:rPr>
          <w:rFonts w:hint="eastAsia"/>
        </w:rPr>
        <w:t>54</w:t>
      </w:r>
      <w:r>
        <w:rPr>
          <w:rFonts w:hint="eastAsia"/>
        </w:rPr>
        <w:t>号命令，业经修正，批准国家加入《儿童权利公约》</w:t>
      </w:r>
    </w:p>
    <w:p w:rsidR="007234DD" w:rsidRDefault="007234DD" w:rsidP="00781B78">
      <w:pPr>
        <w:pStyle w:val="SingleTxtGC"/>
        <w:spacing w:after="80"/>
      </w:pPr>
      <w:bookmarkStart w:id="19" w:name="OLE_LINK13"/>
      <w:r>
        <w:rPr>
          <w:rFonts w:hint="eastAsia"/>
        </w:rPr>
        <w:t>撤销部分保留</w:t>
      </w:r>
      <w:bookmarkEnd w:id="19"/>
      <w:r>
        <w:rPr>
          <w:rFonts w:hint="eastAsia"/>
        </w:rPr>
        <w:t>的文件</w:t>
      </w:r>
    </w:p>
    <w:p w:rsidR="007234DD" w:rsidRDefault="007234DD" w:rsidP="00781B78">
      <w:pPr>
        <w:pStyle w:val="SingleTxtGC"/>
        <w:spacing w:after="80"/>
      </w:pPr>
      <w:r>
        <w:t>30.</w:t>
      </w:r>
      <w:r>
        <w:tab/>
      </w:r>
      <w:r>
        <w:rPr>
          <w:rFonts w:hint="eastAsia"/>
        </w:rPr>
        <w:t>2003</w:t>
      </w:r>
      <w:r>
        <w:rPr>
          <w:rFonts w:hint="eastAsia"/>
        </w:rPr>
        <w:t>年第</w:t>
      </w:r>
      <w:r>
        <w:rPr>
          <w:rFonts w:hint="eastAsia"/>
        </w:rPr>
        <w:t>15</w:t>
      </w:r>
      <w:r>
        <w:rPr>
          <w:rFonts w:hint="eastAsia"/>
        </w:rPr>
        <w:t>号令，业经修正，批准国家加入《儿童权利公约关于买卖儿童、儿童卖淫和儿童色情制品的任择议定书</w:t>
      </w:r>
      <w:bookmarkStart w:id="20" w:name="OLE_LINK12"/>
      <w:r>
        <w:rPr>
          <w:rFonts w:hint="eastAsia"/>
        </w:rPr>
        <w:t>》</w:t>
      </w:r>
    </w:p>
    <w:bookmarkEnd w:id="20"/>
    <w:p w:rsidR="007234DD" w:rsidRDefault="007234DD" w:rsidP="00781B78">
      <w:pPr>
        <w:pStyle w:val="SingleTxtGC"/>
        <w:spacing w:after="80"/>
      </w:pPr>
      <w:r>
        <w:rPr>
          <w:rFonts w:hint="eastAsia"/>
        </w:rPr>
        <w:t>撤销保留的文件</w:t>
      </w:r>
    </w:p>
    <w:p w:rsidR="007234DD" w:rsidRDefault="007234DD" w:rsidP="00781B78">
      <w:pPr>
        <w:pStyle w:val="SingleTxtGC"/>
        <w:spacing w:after="80"/>
      </w:pPr>
      <w:r>
        <w:t>31.</w:t>
      </w:r>
      <w:r>
        <w:tab/>
      </w:r>
      <w:r>
        <w:rPr>
          <w:rFonts w:hint="eastAsia"/>
        </w:rPr>
        <w:t>2008</w:t>
      </w:r>
      <w:r>
        <w:rPr>
          <w:rFonts w:hint="eastAsia"/>
        </w:rPr>
        <w:t>年第</w:t>
      </w:r>
      <w:r>
        <w:rPr>
          <w:rFonts w:hint="eastAsia"/>
        </w:rPr>
        <w:t>28</w:t>
      </w:r>
      <w:r>
        <w:rPr>
          <w:rFonts w:hint="eastAsia"/>
        </w:rPr>
        <w:t>号令，关于批准《残疾人权利公约》</w:t>
      </w:r>
    </w:p>
    <w:p w:rsidR="007234DD" w:rsidRDefault="007234DD" w:rsidP="00781B78">
      <w:pPr>
        <w:pStyle w:val="SingleTxtGC"/>
        <w:spacing w:after="80"/>
      </w:pPr>
      <w:r>
        <w:t>32.</w:t>
      </w:r>
      <w:r>
        <w:tab/>
      </w:r>
      <w:r>
        <w:rPr>
          <w:rFonts w:hint="eastAsia"/>
        </w:rPr>
        <w:t>2009</w:t>
      </w:r>
      <w:r>
        <w:rPr>
          <w:rFonts w:hint="eastAsia"/>
        </w:rPr>
        <w:t>年第</w:t>
      </w:r>
      <w:r>
        <w:rPr>
          <w:rFonts w:hint="eastAsia"/>
        </w:rPr>
        <w:t>28</w:t>
      </w:r>
      <w:r>
        <w:rPr>
          <w:rFonts w:hint="eastAsia"/>
        </w:rPr>
        <w:t>号令，关于国家加入《消除对妇女一切形式歧视公约》</w:t>
      </w:r>
    </w:p>
    <w:p w:rsidR="007234DD" w:rsidRDefault="007234DD" w:rsidP="00781B78">
      <w:pPr>
        <w:pStyle w:val="SingleTxtGC"/>
        <w:spacing w:after="80"/>
      </w:pPr>
      <w:r>
        <w:t>33.</w:t>
      </w:r>
      <w:r>
        <w:tab/>
      </w:r>
      <w:r>
        <w:rPr>
          <w:rFonts w:hint="eastAsia"/>
        </w:rPr>
        <w:t>2010</w:t>
      </w:r>
      <w:r>
        <w:rPr>
          <w:rFonts w:hint="eastAsia"/>
        </w:rPr>
        <w:t>年第</w:t>
      </w:r>
      <w:r>
        <w:rPr>
          <w:rFonts w:hint="eastAsia"/>
        </w:rPr>
        <w:t>17</w:t>
      </w:r>
      <w:r>
        <w:rPr>
          <w:rFonts w:hint="eastAsia"/>
        </w:rPr>
        <w:t>号令，关于儿童权利委员会</w:t>
      </w:r>
    </w:p>
    <w:p w:rsidR="007234DD" w:rsidRDefault="007234DD" w:rsidP="00781B78">
      <w:pPr>
        <w:pStyle w:val="SingleTxtGC"/>
        <w:spacing w:after="80"/>
        <w:rPr>
          <w:rFonts w:hint="eastAsia"/>
        </w:rPr>
      </w:pPr>
      <w:r>
        <w:br w:type="page"/>
      </w:r>
      <w:r>
        <w:rPr>
          <w:rFonts w:hint="eastAsia"/>
        </w:rPr>
        <w:tab/>
      </w:r>
      <w:r>
        <w:rPr>
          <w:rFonts w:hint="eastAsia"/>
        </w:rPr>
        <w:t>通过在“卡塔尔</w:t>
      </w:r>
      <w:r>
        <w:rPr>
          <w:rFonts w:hint="eastAsia"/>
        </w:rPr>
        <w:t>2030</w:t>
      </w:r>
      <w:r>
        <w:rPr>
          <w:rFonts w:hint="eastAsia"/>
        </w:rPr>
        <w:t>年国家愿景”报告中提出的综合发展远景，是为了在人类发展框架</w:t>
      </w:r>
      <w:r>
        <w:rPr>
          <w:rFonts w:hint="eastAsia"/>
          <w:spacing w:val="-50"/>
        </w:rPr>
        <w:t>―</w:t>
      </w:r>
      <w:r>
        <w:rPr>
          <w:rFonts w:hint="eastAsia"/>
          <w:spacing w:val="10"/>
        </w:rPr>
        <w:t>―</w:t>
      </w:r>
      <w:r>
        <w:rPr>
          <w:rFonts w:hint="eastAsia"/>
        </w:rPr>
        <w:t>愿景的第一个专题领域</w:t>
      </w:r>
      <w:r>
        <w:rPr>
          <w:rFonts w:hint="eastAsia"/>
          <w:spacing w:val="-50"/>
        </w:rPr>
        <w:t>―</w:t>
      </w:r>
      <w:r>
        <w:rPr>
          <w:rFonts w:hint="eastAsia"/>
          <w:spacing w:val="10"/>
        </w:rPr>
        <w:t>―</w:t>
      </w:r>
      <w:r>
        <w:rPr>
          <w:rFonts w:hint="eastAsia"/>
        </w:rPr>
        <w:t>内提高卡塔尔国民的能力。其目标是支持卡塔尔人民的发展，以便他们反过来能够建设一个繁荣的社会。至于社会发展</w:t>
      </w:r>
      <w:r>
        <w:rPr>
          <w:rFonts w:hint="eastAsia"/>
          <w:spacing w:val="-50"/>
        </w:rPr>
        <w:t>―</w:t>
      </w:r>
      <w:r>
        <w:rPr>
          <w:rFonts w:hint="eastAsia"/>
          <w:spacing w:val="10"/>
        </w:rPr>
        <w:t>―</w:t>
      </w:r>
      <w:r>
        <w:rPr>
          <w:rFonts w:hint="eastAsia"/>
        </w:rPr>
        <w:t>第二个专题领域，目标是基于高道德标准和社会福利原则发展一个公正和充满爱心的社会。这样的社会能够与其他社会互动，并在全球发展伙伴关系中，以及在有关实施措施</w:t>
      </w:r>
      <w:r>
        <w:rPr>
          <w:rFonts w:hint="eastAsia"/>
          <w:spacing w:val="-50"/>
        </w:rPr>
        <w:t>―</w:t>
      </w:r>
      <w:r>
        <w:rPr>
          <w:rFonts w:hint="eastAsia"/>
          <w:spacing w:val="10"/>
        </w:rPr>
        <w:t>―</w:t>
      </w:r>
      <w:r>
        <w:rPr>
          <w:rFonts w:hint="eastAsia"/>
        </w:rPr>
        <w:t>即制订卡塔尔战略发展规划和把关于促进妇女参与社会生活所有方面特别是参与经济和政治决策的政治承诺转化为有意义的行动</w:t>
      </w:r>
      <w:r>
        <w:rPr>
          <w:rFonts w:hint="eastAsia"/>
          <w:spacing w:val="-50"/>
        </w:rPr>
        <w:t>―</w:t>
      </w:r>
      <w:r>
        <w:rPr>
          <w:rFonts w:hint="eastAsia"/>
          <w:spacing w:val="10"/>
        </w:rPr>
        <w:t>―</w:t>
      </w:r>
      <w:r>
        <w:rPr>
          <w:rFonts w:hint="eastAsia"/>
        </w:rPr>
        <w:t>中发挥重要作用。</w:t>
      </w:r>
    </w:p>
    <w:p w:rsidR="007234DD" w:rsidRDefault="007234DD">
      <w:pPr>
        <w:pStyle w:val="SingleTxtGC"/>
        <w:rPr>
          <w:lang w:val="fr-FR"/>
        </w:rPr>
      </w:pPr>
    </w:p>
    <w:p w:rsidR="007234DD" w:rsidRDefault="007234D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234DD" w:rsidRDefault="007234DD">
      <w:pPr>
        <w:pStyle w:val="SingleTxtGC"/>
        <w:rPr>
          <w:rFonts w:hint="eastAsia"/>
          <w:lang w:val="fr-FR"/>
        </w:rPr>
      </w:pPr>
    </w:p>
    <w:sectPr w:rsidR="007234DD">
      <w:headerReference w:type="even" r:id="rId19"/>
      <w:headerReference w:type="default" r:id="rId20"/>
      <w:footerReference w:type="even" r:id="rId21"/>
      <w:footerReference w:type="default" r:id="rId22"/>
      <w:footerReference w:type="first" r:id="rId2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6E0" w:rsidRDefault="00F636E0">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636E0" w:rsidRDefault="00F636E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 w:name="STKaiti">
    <w:charset w:val="86"/>
    <w:family w:val="auto"/>
    <w:pitch w:val="variable"/>
    <w:sig w:usb0="00000287" w:usb1="080F0000" w:usb2="00000010" w:usb3="00000000" w:csb0="0004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4DD" w:rsidRDefault="007234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E2194">
      <w:rPr>
        <w:rStyle w:val="PageNumber"/>
        <w:noProof/>
      </w:rPr>
      <w:t>4</w:t>
    </w:r>
    <w:r>
      <w:rPr>
        <w:rStyle w:val="PageNumber"/>
      </w:rPr>
      <w:fldChar w:fldCharType="end"/>
    </w:r>
    <w:r>
      <w:rPr>
        <w:rStyle w:val="PageNumber"/>
        <w:rFonts w:eastAsia="SimSun" w:hint="eastAsia"/>
        <w:lang w:eastAsia="zh-CN"/>
      </w:rPr>
      <w:tab/>
    </w:r>
    <w:r>
      <w:rPr>
        <w:rFonts w:eastAsia="SimSun"/>
        <w:lang w:eastAsia="zh-CN"/>
      </w:rPr>
      <w:t>GE.</w:t>
    </w:r>
    <w:r>
      <w:rPr>
        <w:rFonts w:eastAsia="SimSun" w:hint="eastAsia"/>
        <w:lang w:eastAsia="zh-CN"/>
      </w:rPr>
      <w:t>12</w:t>
    </w:r>
    <w:r>
      <w:rPr>
        <w:rFonts w:eastAsia="SimSun"/>
        <w:lang w:eastAsia="zh-CN"/>
      </w:rPr>
      <w:t>-41481 (</w:t>
    </w:r>
    <w:r>
      <w:rPr>
        <w:rFonts w:eastAsia="SimSun" w:hint="eastAsia"/>
        <w:lang w:eastAsia="zh-CN"/>
      </w:rPr>
      <w:t>EXT</w:t>
    </w:r>
    <w:r>
      <w:rPr>
        <w:rFonts w:eastAsia="SimSun"/>
        <w:lang w:eastAsia="zh-CN"/>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4DD" w:rsidRDefault="007234DD">
    <w:pPr>
      <w:pStyle w:val="Footer"/>
      <w:tabs>
        <w:tab w:val="right" w:pos="9639"/>
      </w:tabs>
    </w:pPr>
    <w:r>
      <w:rPr>
        <w:rFonts w:eastAsia="SimSun"/>
        <w:lang w:eastAsia="zh-CN"/>
      </w:rPr>
      <w:t>GE.</w:t>
    </w:r>
    <w:r>
      <w:rPr>
        <w:rFonts w:eastAsia="SimSun" w:hint="eastAsia"/>
        <w:lang w:eastAsia="zh-CN"/>
      </w:rPr>
      <w:t>12</w:t>
    </w:r>
    <w:r>
      <w:rPr>
        <w:rFonts w:eastAsia="SimSun"/>
        <w:lang w:eastAsia="zh-CN"/>
      </w:rPr>
      <w:t>-41481 (</w:t>
    </w:r>
    <w:r>
      <w:rPr>
        <w:rFonts w:eastAsia="SimSun" w:hint="eastAsia"/>
        <w:lang w:eastAsia="zh-CN"/>
      </w:rPr>
      <w:t>EXT</w:t>
    </w:r>
    <w:r>
      <w:rPr>
        <w:rFonts w:eastAsia="SimSun"/>
        <w:lang w:eastAsia="zh-CN"/>
      </w:rPr>
      <w: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E2194">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4DD" w:rsidRDefault="007234D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 xml:space="preserve">-41481 </w:t>
    </w:r>
    <w:r>
      <w:rPr>
        <w:rFonts w:eastAsia="SimSun"/>
        <w:sz w:val="20"/>
        <w:lang w:val="en-US" w:eastAsia="zh-CN"/>
      </w:rPr>
      <w:t>(</w:t>
    </w:r>
    <w:r>
      <w:rPr>
        <w:rFonts w:eastAsia="SimSun" w:hint="eastAsia"/>
        <w:sz w:val="20"/>
        <w:lang w:val="en-US" w:eastAsia="zh-CN"/>
      </w:rPr>
      <w:t>EXT</w:t>
    </w:r>
    <w:r>
      <w:rPr>
        <w:rFonts w:eastAsia="SimSun"/>
        <w:sz w:val="20"/>
        <w:lang w:val="en-US" w:eastAsia="zh-CN"/>
      </w:rPr>
      <w:t>)</w:t>
    </w:r>
    <w:r>
      <w:rPr>
        <w:rFonts w:eastAsia="SimSun"/>
        <w:sz w:val="20"/>
        <w:lang w:eastAsia="zh-CN"/>
      </w:rPr>
      <w:tab/>
    </w:r>
    <w:r>
      <w:rPr>
        <w:rFonts w:eastAsia="SimSun"/>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6E0" w:rsidRDefault="00F636E0">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636E0" w:rsidRDefault="00F636E0">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234DD" w:rsidRDefault="007234DD">
      <w:pPr>
        <w:pStyle w:val="FootnoteText"/>
        <w:tabs>
          <w:tab w:val="clear" w:pos="1021"/>
        </w:tabs>
        <w:ind w:hanging="234"/>
        <w:rPr>
          <w:szCs w:val="18"/>
        </w:rPr>
      </w:pPr>
      <w:r>
        <w:rPr>
          <w:szCs w:val="18"/>
        </w:rPr>
        <w:tab/>
      </w:r>
      <w:r>
        <w:rPr>
          <w:rStyle w:val="FootnoteReference"/>
          <w:szCs w:val="18"/>
          <w:vertAlign w:val="baseline"/>
        </w:rPr>
        <w:t>*</w:t>
      </w:r>
      <w:r>
        <w:rPr>
          <w:rFonts w:hint="eastAsia"/>
          <w:szCs w:val="18"/>
        </w:rPr>
        <w:tab/>
      </w:r>
      <w:r>
        <w:rPr>
          <w:rFonts w:hint="eastAsia"/>
          <w:szCs w:val="18"/>
        </w:rPr>
        <w:t>按照已通知各缔约国的报告处理办法，本文件在送交联合国翻译部门前未经正式编辑。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4DD" w:rsidRDefault="007234DD">
    <w:pPr>
      <w:pStyle w:val="Header"/>
    </w:pPr>
    <w:r>
      <w:t>CEDAW/C/QAT/1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4DD" w:rsidRDefault="007234DD">
    <w:pPr>
      <w:pStyle w:val="Header"/>
      <w:jc w:val="right"/>
      <w:rPr>
        <w:rFonts w:hint="eastAsia"/>
        <w:lang w:eastAsia="zh-CN"/>
      </w:rPr>
    </w:pPr>
    <w:r>
      <w:rPr>
        <w:lang w:eastAsia="zh-CN"/>
      </w:rPr>
      <w:t>CEDAW/C/QAT/1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lvl>
  </w:abstractNum>
  <w:abstractNum w:abstractNumId="1">
    <w:nsid w:val="01DF672C"/>
    <w:multiLevelType w:val="hybridMultilevel"/>
    <w:tmpl w:val="C13C9D3E"/>
    <w:lvl w:ilvl="0" w:tplc="E280C5E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8E131AA"/>
    <w:multiLevelType w:val="hybridMultilevel"/>
    <w:tmpl w:val="1E749840"/>
    <w:lvl w:ilvl="0" w:tplc="2518942A">
      <w:start w:val="1"/>
      <w:numFmt w:val="bullet"/>
      <w:lvlText w:val=""/>
      <w:lvlJc w:val="left"/>
      <w:pPr>
        <w:tabs>
          <w:tab w:val="num" w:pos="1951"/>
        </w:tabs>
        <w:ind w:left="1951" w:hanging="420"/>
      </w:pPr>
      <w:rPr>
        <w:rFonts w:ascii="Wingdings 2" w:hAnsi="Wingdings 2" w:cs="Cambria"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2B70168"/>
    <w:multiLevelType w:val="hybridMultilevel"/>
    <w:tmpl w:val="B0682B00"/>
    <w:lvl w:ilvl="0" w:tplc="BD52659C">
      <w:start w:val="1"/>
      <w:numFmt w:val="lowerLetter"/>
      <w:lvlText w:val="(%1)"/>
      <w:lvlJc w:val="left"/>
      <w:pPr>
        <w:tabs>
          <w:tab w:val="num" w:pos="1254"/>
        </w:tabs>
        <w:ind w:left="1254" w:hanging="855"/>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9">
    <w:nsid w:val="26775EC1"/>
    <w:multiLevelType w:val="hybridMultilevel"/>
    <w:tmpl w:val="1B40A916"/>
    <w:lvl w:ilvl="0" w:tplc="FD425F28">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10">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6B34C97"/>
    <w:multiLevelType w:val="hybridMultilevel"/>
    <w:tmpl w:val="AE2418CE"/>
    <w:lvl w:ilvl="0" w:tplc="D012DA00">
      <w:start w:val="1"/>
      <w:numFmt w:val="lowerLetter"/>
      <w:lvlText w:val="(%1)"/>
      <w:lvlJc w:val="left"/>
      <w:pPr>
        <w:tabs>
          <w:tab w:val="num" w:pos="915"/>
        </w:tabs>
        <w:ind w:left="915" w:hanging="360"/>
      </w:pPr>
      <w:rPr>
        <w:rFonts w:hint="default"/>
      </w:rPr>
    </w:lvl>
    <w:lvl w:ilvl="1" w:tplc="04090019" w:tentative="1">
      <w:start w:val="1"/>
      <w:numFmt w:val="lowerLetter"/>
      <w:lvlText w:val="%2."/>
      <w:lvlJc w:val="left"/>
      <w:pPr>
        <w:tabs>
          <w:tab w:val="num" w:pos="1635"/>
        </w:tabs>
        <w:ind w:left="1635" w:hanging="360"/>
      </w:pPr>
    </w:lvl>
    <w:lvl w:ilvl="2" w:tplc="0409001B" w:tentative="1">
      <w:start w:val="1"/>
      <w:numFmt w:val="lowerRoman"/>
      <w:lvlText w:val="%3."/>
      <w:lvlJc w:val="right"/>
      <w:pPr>
        <w:tabs>
          <w:tab w:val="num" w:pos="2355"/>
        </w:tabs>
        <w:ind w:left="2355" w:hanging="180"/>
      </w:pPr>
    </w:lvl>
    <w:lvl w:ilvl="3" w:tplc="0409000F" w:tentative="1">
      <w:start w:val="1"/>
      <w:numFmt w:val="decimal"/>
      <w:lvlText w:val="%4."/>
      <w:lvlJc w:val="left"/>
      <w:pPr>
        <w:tabs>
          <w:tab w:val="num" w:pos="3075"/>
        </w:tabs>
        <w:ind w:left="3075" w:hanging="360"/>
      </w:pPr>
    </w:lvl>
    <w:lvl w:ilvl="4" w:tplc="04090019" w:tentative="1">
      <w:start w:val="1"/>
      <w:numFmt w:val="lowerLetter"/>
      <w:lvlText w:val="%5."/>
      <w:lvlJc w:val="left"/>
      <w:pPr>
        <w:tabs>
          <w:tab w:val="num" w:pos="3795"/>
        </w:tabs>
        <w:ind w:left="3795" w:hanging="360"/>
      </w:pPr>
    </w:lvl>
    <w:lvl w:ilvl="5" w:tplc="0409001B" w:tentative="1">
      <w:start w:val="1"/>
      <w:numFmt w:val="lowerRoman"/>
      <w:lvlText w:val="%6."/>
      <w:lvlJc w:val="right"/>
      <w:pPr>
        <w:tabs>
          <w:tab w:val="num" w:pos="4515"/>
        </w:tabs>
        <w:ind w:left="4515" w:hanging="180"/>
      </w:pPr>
    </w:lvl>
    <w:lvl w:ilvl="6" w:tplc="0409000F" w:tentative="1">
      <w:start w:val="1"/>
      <w:numFmt w:val="decimal"/>
      <w:lvlText w:val="%7."/>
      <w:lvlJc w:val="left"/>
      <w:pPr>
        <w:tabs>
          <w:tab w:val="num" w:pos="5235"/>
        </w:tabs>
        <w:ind w:left="5235" w:hanging="360"/>
      </w:pPr>
    </w:lvl>
    <w:lvl w:ilvl="7" w:tplc="04090019" w:tentative="1">
      <w:start w:val="1"/>
      <w:numFmt w:val="lowerLetter"/>
      <w:lvlText w:val="%8."/>
      <w:lvlJc w:val="left"/>
      <w:pPr>
        <w:tabs>
          <w:tab w:val="num" w:pos="5955"/>
        </w:tabs>
        <w:ind w:left="5955" w:hanging="360"/>
      </w:pPr>
    </w:lvl>
    <w:lvl w:ilvl="8" w:tplc="0409001B" w:tentative="1">
      <w:start w:val="1"/>
      <w:numFmt w:val="lowerRoman"/>
      <w:lvlText w:val="%9."/>
      <w:lvlJc w:val="right"/>
      <w:pPr>
        <w:tabs>
          <w:tab w:val="num" w:pos="6675"/>
        </w:tabs>
        <w:ind w:left="6675" w:hanging="180"/>
      </w:pPr>
    </w:lvl>
  </w:abstractNum>
  <w:abstractNum w:abstractNumId="12">
    <w:nsid w:val="2E7C15D8"/>
    <w:multiLevelType w:val="hybridMultilevel"/>
    <w:tmpl w:val="54C8D3F8"/>
    <w:lvl w:ilvl="0" w:tplc="E280C5E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3393FF6"/>
    <w:multiLevelType w:val="hybridMultilevel"/>
    <w:tmpl w:val="E0F6EA28"/>
    <w:lvl w:ilvl="0" w:tplc="E280C5E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DC7551"/>
    <w:multiLevelType w:val="hybridMultilevel"/>
    <w:tmpl w:val="FE6E460C"/>
    <w:lvl w:ilvl="0" w:tplc="E280C5E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2C3685A"/>
    <w:multiLevelType w:val="hybridMultilevel"/>
    <w:tmpl w:val="25602146"/>
    <w:lvl w:ilvl="0" w:tplc="E280C5E8">
      <w:start w:val="1"/>
      <w:numFmt w:val="lowerLetter"/>
      <w:lvlRestart w:val="0"/>
      <w:lvlText w:val="(%1)"/>
      <w:lvlJc w:val="left"/>
      <w:pPr>
        <w:tabs>
          <w:tab w:val="num" w:pos="2426"/>
        </w:tabs>
        <w:ind w:left="1134" w:firstLine="431"/>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D114822"/>
    <w:multiLevelType w:val="hybridMultilevel"/>
    <w:tmpl w:val="0BD65E62"/>
    <w:lvl w:ilvl="0" w:tplc="E280C5E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0192550"/>
    <w:multiLevelType w:val="hybridMultilevel"/>
    <w:tmpl w:val="906637F6"/>
    <w:lvl w:ilvl="0" w:tplc="E64A51D4">
      <w:start w:val="1"/>
      <w:numFmt w:val="lowerLetter"/>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96698D"/>
    <w:multiLevelType w:val="hybridMultilevel"/>
    <w:tmpl w:val="F12CDD1C"/>
    <w:lvl w:ilvl="0" w:tplc="04090001">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nsid w:val="5D8E67FC"/>
    <w:multiLevelType w:val="hybridMultilevel"/>
    <w:tmpl w:val="ED7A1978"/>
    <w:lvl w:ilvl="0" w:tplc="802ECB6E">
      <w:start w:val="1"/>
      <w:numFmt w:val="lowerLetter"/>
      <w:lvlText w:val="(%1)"/>
      <w:lvlJc w:val="left"/>
      <w:pPr>
        <w:tabs>
          <w:tab w:val="num" w:pos="855"/>
        </w:tabs>
        <w:ind w:left="855" w:hanging="42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20">
    <w:nsid w:val="5F050FBB"/>
    <w:multiLevelType w:val="hybridMultilevel"/>
    <w:tmpl w:val="6EE6D344"/>
    <w:lvl w:ilvl="0" w:tplc="FC3AD7D6">
      <w:start w:val="1"/>
      <w:numFmt w:val="bullet"/>
      <w:pStyle w:val="Nabrajanje"/>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1">
    <w:nsid w:val="604877DD"/>
    <w:multiLevelType w:val="hybridMultilevel"/>
    <w:tmpl w:val="75AE15C4"/>
    <w:lvl w:ilvl="0" w:tplc="E280C5E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6FC2C2D"/>
    <w:multiLevelType w:val="hybridMultilevel"/>
    <w:tmpl w:val="F3D4924C"/>
    <w:lvl w:ilvl="0" w:tplc="E280C5E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CE4407B"/>
    <w:multiLevelType w:val="hybridMultilevel"/>
    <w:tmpl w:val="EE329566"/>
    <w:lvl w:ilvl="0" w:tplc="E280C5E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3123F94"/>
    <w:multiLevelType w:val="hybridMultilevel"/>
    <w:tmpl w:val="B6F8FC00"/>
    <w:lvl w:ilvl="0" w:tplc="E280C5E8">
      <w:start w:val="1"/>
      <w:numFmt w:val="lowerLetter"/>
      <w:lvlRestart w:val="0"/>
      <w:lvlText w:val="(%1)"/>
      <w:lvlJc w:val="left"/>
      <w:pPr>
        <w:tabs>
          <w:tab w:val="num" w:pos="2825"/>
        </w:tabs>
        <w:ind w:left="1533" w:firstLine="431"/>
      </w:p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8">
    <w:nsid w:val="739327D8"/>
    <w:multiLevelType w:val="hybridMultilevel"/>
    <w:tmpl w:val="96A495F2"/>
    <w:lvl w:ilvl="0" w:tplc="7E5288A6">
      <w:start w:val="1"/>
      <w:numFmt w:val="lowerLetter"/>
      <w:lvlRestart w:val="0"/>
      <w:lvlText w:val="(%1)"/>
      <w:lvlJc w:val="left"/>
      <w:pPr>
        <w:tabs>
          <w:tab w:val="num" w:pos="2426"/>
        </w:tabs>
        <w:ind w:left="1134" w:firstLine="431"/>
      </w:pPr>
      <w:rPr>
        <w:rFonts w:ascii="Times New Roman" w:hAnsi="Times New Roman" w:cs="Times New Roman" w:hint="eastAsia"/>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0"/>
  </w:num>
  <w:num w:numId="2">
    <w:abstractNumId w:val="4"/>
  </w:num>
  <w:num w:numId="3">
    <w:abstractNumId w:val="24"/>
  </w:num>
  <w:num w:numId="4">
    <w:abstractNumId w:val="5"/>
  </w:num>
  <w:num w:numId="5">
    <w:abstractNumId w:val="2"/>
  </w:num>
  <w:num w:numId="6">
    <w:abstractNumId w:val="7"/>
  </w:num>
  <w:num w:numId="7">
    <w:abstractNumId w:val="25"/>
  </w:num>
  <w:num w:numId="8">
    <w:abstractNumId w:val="22"/>
  </w:num>
  <w:num w:numId="9">
    <w:abstractNumId w:val="6"/>
  </w:num>
  <w:num w:numId="10">
    <w:abstractNumId w:val="3"/>
  </w:num>
  <w:num w:numId="11">
    <w:abstractNumId w:val="29"/>
  </w:num>
  <w:num w:numId="12">
    <w:abstractNumId w:val="20"/>
  </w:num>
  <w:num w:numId="13">
    <w:abstractNumId w:val="18"/>
  </w:num>
  <w:num w:numId="14">
    <w:abstractNumId w:val="10"/>
  </w:num>
  <w:num w:numId="15">
    <w:abstractNumId w:val="21"/>
  </w:num>
  <w:num w:numId="16">
    <w:abstractNumId w:val="11"/>
  </w:num>
  <w:num w:numId="17">
    <w:abstractNumId w:val="27"/>
  </w:num>
  <w:num w:numId="18">
    <w:abstractNumId w:val="8"/>
  </w:num>
  <w:num w:numId="19">
    <w:abstractNumId w:val="1"/>
  </w:num>
  <w:num w:numId="20">
    <w:abstractNumId w:val="19"/>
  </w:num>
  <w:num w:numId="21">
    <w:abstractNumId w:val="14"/>
  </w:num>
  <w:num w:numId="22">
    <w:abstractNumId w:val="16"/>
  </w:num>
  <w:num w:numId="23">
    <w:abstractNumId w:val="9"/>
  </w:num>
  <w:num w:numId="24">
    <w:abstractNumId w:val="13"/>
  </w:num>
  <w:num w:numId="25">
    <w:abstractNumId w:val="17"/>
  </w:num>
  <w:num w:numId="26">
    <w:abstractNumId w:val="12"/>
  </w:num>
  <w:num w:numId="27">
    <w:abstractNumId w:val="15"/>
  </w:num>
  <w:num w:numId="28">
    <w:abstractNumId w:val="23"/>
  </w:num>
  <w:num w:numId="29">
    <w:abstractNumId w:val="26"/>
  </w:num>
  <w:num w:numId="30">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colormenu v:ext="edit" strokecolor="none"/>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1B78"/>
    <w:rsid w:val="000106D5"/>
    <w:rsid w:val="00247695"/>
    <w:rsid w:val="00306F8D"/>
    <w:rsid w:val="00326C16"/>
    <w:rsid w:val="00380D50"/>
    <w:rsid w:val="00411CD5"/>
    <w:rsid w:val="0046422A"/>
    <w:rsid w:val="005D71D9"/>
    <w:rsid w:val="007234DD"/>
    <w:rsid w:val="00781B78"/>
    <w:rsid w:val="00AE6F86"/>
    <w:rsid w:val="00C90140"/>
    <w:rsid w:val="00CE2194"/>
    <w:rsid w:val="00F636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aliases w:val="Títol b"/>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Titre 3 Car,Car19 Car"/>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aliases w:val="Antraštė 6 Diagrama1,Antraštė 6 Diagrama Diagrama"/>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4"/>
      </w:numPr>
      <w:spacing w:after="120"/>
      <w:ind w:right="1134"/>
    </w:pPr>
    <w:rPr>
      <w:lang w:val="fr-CH"/>
    </w:rPr>
  </w:style>
  <w:style w:type="paragraph" w:styleId="FootnoteText">
    <w:name w:val="footnote text"/>
    <w:aliases w:val="5_G"/>
    <w:basedOn w:val="Normal"/>
    <w:link w:val="FootnoteTextChar"/>
    <w:pPr>
      <w:tabs>
        <w:tab w:val="clear" w:pos="431"/>
        <w:tab w:val="right" w:pos="1021"/>
      </w:tabs>
      <w:spacing w:after="120" w:line="240" w:lineRule="exact"/>
      <w:ind w:left="1134" w:right="1134" w:hanging="1134"/>
    </w:pPr>
    <w:rPr>
      <w:sz w:val="18"/>
    </w:rPr>
  </w:style>
  <w:style w:type="character" w:styleId="FootnoteReference">
    <w:name w:val="footnote reference"/>
    <w:aliases w:val="4_G"/>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aliases w:val="2_G"/>
    <w:basedOn w:val="FootnoteText"/>
    <w:pPr>
      <w:tabs>
        <w:tab w:val="right" w:pos="1021"/>
      </w:tabs>
    </w:pPr>
  </w:style>
  <w:style w:type="character" w:styleId="EndnoteReference">
    <w:name w:val="endnote reference"/>
    <w:aliases w:val="1_G"/>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tabs>
        <w:tab w:val="clear" w:pos="431"/>
      </w:tabs>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left" w:pos="510"/>
        <w:tab w:val="left" w:pos="1021"/>
        <w:tab w:val="left" w:pos="1531"/>
        <w:tab w:val="left" w:pos="2041"/>
        <w:tab w:val="right" w:leader="dot" w:pos="6804"/>
        <w:tab w:val="right" w:pos="7371"/>
        <w:tab w:val="center" w:pos="7541"/>
        <w:tab w:val="left" w:pos="7711"/>
        <w:tab w:val="right" w:pos="9185"/>
      </w:tabs>
      <w:spacing w:line="336" w:lineRule="auto"/>
      <w:ind w:left="510" w:right="3402" w:hanging="510"/>
    </w:pPr>
    <w:rPr>
      <w:spacing w:val="10"/>
      <w:sz w:val="24"/>
    </w:r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pPr>
      <w:spacing w:line="240" w:lineRule="auto"/>
    </w:pPr>
    <w:rPr>
      <w:rFonts w:eastAsia="Times New Roman"/>
      <w:sz w:val="16"/>
      <w:lang w:val="en-GB" w:eastAsia="en-US"/>
    </w:rPr>
  </w:style>
  <w:style w:type="character" w:styleId="PageNumber">
    <w:name w:val="page number"/>
    <w:aliases w:val="7_G"/>
    <w:rPr>
      <w:rFonts w:ascii="Times New Roman" w:hAnsi="Times New Roman"/>
      <w:b/>
      <w:spacing w:val="0"/>
      <w:kern w:val="0"/>
      <w:sz w:val="18"/>
    </w:rPr>
  </w:style>
  <w:style w:type="paragraph" w:styleId="Header">
    <w:name w:val="header"/>
    <w:aliases w:val="中文页眉,6_G"/>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2"/>
      </w:numPr>
      <w:spacing w:after="120"/>
      <w:ind w:right="1134"/>
    </w:pPr>
  </w:style>
  <w:style w:type="paragraph" w:customStyle="1" w:styleId="Bullet2GC">
    <w:name w:val="_Bullet 2_GC"/>
    <w:basedOn w:val="Normal"/>
    <w:pPr>
      <w:numPr>
        <w:numId w:val="3"/>
      </w:numPr>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tabs>
        <w:tab w:val="clear" w:pos="431"/>
      </w:tabs>
      <w:spacing w:before="40" w:line="240" w:lineRule="atLeast"/>
      <w:ind w:left="0" w:right="113"/>
    </w:pPr>
    <w:rPr>
      <w:sz w:val="18"/>
    </w:rPr>
  </w:style>
  <w:style w:type="paragraph" w:customStyle="1" w:styleId="a5">
    <w:name w:val="表数文字"/>
    <w:basedOn w:val="SingleTxtGC"/>
    <w:pPr>
      <w:tabs>
        <w:tab w:val="clear" w:pos="431"/>
      </w:tabs>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Bullet1G">
    <w:name w:val="_Bullet 1_G"/>
    <w:basedOn w:val="Normal"/>
    <w:pPr>
      <w:numPr>
        <w:numId w:val="5"/>
      </w:numPr>
      <w:tabs>
        <w:tab w:val="clear" w:pos="431"/>
      </w:tabs>
      <w:suppressAutoHyphens/>
      <w:overflowPunct/>
      <w:adjustRightInd/>
      <w:snapToGrid/>
      <w:spacing w:after="120" w:line="240" w:lineRule="atLeast"/>
      <w:ind w:right="1134"/>
    </w:pPr>
    <w:rPr>
      <w:snapToGrid/>
      <w:sz w:val="20"/>
      <w:lang w:val="en-GB" w:eastAsia="en-US"/>
    </w:rPr>
  </w:style>
  <w:style w:type="character" w:customStyle="1" w:styleId="FootnoteTextChar">
    <w:name w:val="Footnote Text Char"/>
    <w:aliases w:val="5_G Char"/>
    <w:link w:val="FootnoteText"/>
    <w:locked/>
    <w:rPr>
      <w:rFonts w:eastAsia="SimSun"/>
      <w:snapToGrid w:val="0"/>
      <w:sz w:val="18"/>
      <w:lang w:val="en-US" w:eastAsia="zh-CN" w:bidi="ar-SA"/>
    </w:rPr>
  </w:style>
  <w:style w:type="character" w:customStyle="1" w:styleId="H1GCar">
    <w:name w:val="_ H_1_G Car"/>
    <w:link w:val="H1G"/>
    <w:rPr>
      <w:rFonts w:eastAsia="SimSun"/>
      <w:b/>
      <w:sz w:val="24"/>
      <w:lang w:val="en-GB" w:eastAsia="en-US" w:bidi="ar-SA"/>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Pr>
      <w:rFonts w:eastAsia="SimSun"/>
      <w:lang w:val="en-GB" w:eastAsia="en-US" w:bidi="ar-SA"/>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Pr>
      <w:rFonts w:eastAsia="SimSun"/>
      <w:b/>
      <w:lang w:val="en-GB" w:eastAsia="en-US" w:bidi="ar-SA"/>
    </w:rPr>
  </w:style>
  <w:style w:type="character" w:customStyle="1" w:styleId="Heading1Char">
    <w:name w:val="Heading 1 Char"/>
    <w:aliases w:val="Table_G Char"/>
    <w:link w:val="Heading1"/>
    <w:rPr>
      <w:rFonts w:eastAsia="SimSun"/>
      <w:b/>
      <w:kern w:val="32"/>
      <w:sz w:val="30"/>
      <w:lang w:val="en-US" w:eastAsia="zh-CN" w:bidi="ar-SA"/>
    </w:rPr>
  </w:style>
  <w:style w:type="paragraph" w:styleId="BodyTextIndent">
    <w:name w:val="Body Text Indent"/>
    <w:basedOn w:val="Normal"/>
    <w:pPr>
      <w:spacing w:after="120"/>
      <w:ind w:left="283"/>
    </w:pPr>
  </w:style>
  <w:style w:type="paragraph" w:styleId="BodyTextFirstIndent2">
    <w:name w:val="Body Text First Indent 2"/>
    <w:basedOn w:val="BodyTextIndent"/>
    <w:semiHidden/>
    <w:pPr>
      <w:tabs>
        <w:tab w:val="clear" w:pos="431"/>
      </w:tabs>
      <w:suppressAutoHyphens/>
      <w:overflowPunct/>
      <w:adjustRightInd/>
      <w:snapToGrid/>
      <w:spacing w:line="240" w:lineRule="atLeast"/>
      <w:ind w:firstLine="210"/>
      <w:jc w:val="left"/>
    </w:pPr>
    <w:rPr>
      <w:snapToGrid/>
      <w:sz w:val="20"/>
      <w:lang w:val="en-GB" w:eastAsia="en-US"/>
    </w:rPr>
  </w:style>
  <w:style w:type="paragraph" w:customStyle="1" w:styleId="HMG">
    <w:name w:val="_ H __M_G"/>
    <w:basedOn w:val="Normal"/>
    <w:next w:val="Normal"/>
    <w:link w:val="HMGChar"/>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H1">
    <w:name w:val="_ H_1"/>
    <w:basedOn w:val="Normal"/>
    <w:next w:val="Normal"/>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Bullet2G">
    <w:name w:val="_Bullet 2_G"/>
    <w:basedOn w:val="Normal"/>
    <w:pPr>
      <w:numPr>
        <w:numId w:val="7"/>
      </w:numPr>
      <w:tabs>
        <w:tab w:val="clear" w:pos="431"/>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Corps de texte Car1,Corps de texte Car Car,Car12 Car Car,Corps de texte Car,Car12 Car"/>
    <w:basedOn w:val="Normal"/>
    <w:next w:val="Normal"/>
    <w:link w:val="BodyTextChar"/>
    <w:semiHidden/>
    <w:pPr>
      <w:tabs>
        <w:tab w:val="clear" w:pos="431"/>
      </w:tabs>
      <w:suppressAutoHyphens/>
      <w:overflowPunct/>
      <w:adjustRightInd/>
      <w:snapToGrid/>
      <w:spacing w:line="240" w:lineRule="atLeast"/>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numbering" w:styleId="111111">
    <w:name w:val="Outline List 2"/>
    <w:basedOn w:val="NoList"/>
    <w:semiHidden/>
    <w:pPr>
      <w:numPr>
        <w:numId w:val="8"/>
      </w:numPr>
    </w:pPr>
  </w:style>
  <w:style w:type="numbering" w:styleId="1ai">
    <w:name w:val="Outline List 1"/>
    <w:basedOn w:val="NoList"/>
    <w:semiHidden/>
    <w:pPr>
      <w:numPr>
        <w:numId w:val="9"/>
      </w:numPr>
    </w:pPr>
  </w:style>
  <w:style w:type="numbering" w:styleId="ArticleSection">
    <w:name w:val="Outline List 3"/>
    <w:basedOn w:val="NoList"/>
    <w:semiHidden/>
    <w:pPr>
      <w:numPr>
        <w:numId w:val="10"/>
      </w:numPr>
    </w:p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Char Char1 Char Char"/>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pPr>
      <w:spacing w:after="120"/>
      <w:ind w:firstLine="210"/>
    </w:pPr>
  </w:style>
  <w:style w:type="paragraph" w:styleId="BodyTextIndent2">
    <w:name w:val="Body Text Indent 2"/>
    <w:basedOn w:val="Normal"/>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Normal (Web) Char"/>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aliases w:val="Antraštė 6 Diagrama1 Char,Antraštė 6 Diagrama Diagrama Char Char"/>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BodyTextChar">
    <w:name w:val="Body Text Char"/>
    <w:aliases w:val="Corps de texte Car1 Char1,Corps de texte Car Car Char1,Car12 Car Car Char1,Corps de texte Car Char1,Car12 Car Char"/>
    <w:link w:val="BodyText"/>
    <w:rPr>
      <w:rFonts w:eastAsia="SimSun"/>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2Char">
    <w:name w:val="Heading 2 Char"/>
    <w:aliases w:val="Títol b Char"/>
    <w:link w:val="Heading2"/>
    <w:rPr>
      <w:rFonts w:eastAsia="SimSun"/>
      <w:snapToGrid w:val="0"/>
      <w:kern w:val="28"/>
      <w:sz w:val="28"/>
      <w:lang w:val="en-US" w:eastAsia="zh-CN" w:bidi="ar-SA"/>
    </w:rPr>
  </w:style>
  <w:style w:type="character" w:customStyle="1" w:styleId="Heading3Char">
    <w:name w:val="Heading 3 Char"/>
    <w:aliases w:val="Titre 3 Car Char1,Car19 Car Char"/>
    <w:link w:val="Heading3"/>
    <w:rPr>
      <w:rFonts w:eastAsia="SimSun"/>
      <w:snapToGrid w:val="0"/>
      <w:kern w:val="28"/>
      <w:sz w:val="21"/>
      <w:u w:val="single"/>
      <w:lang w:val="en-US" w:eastAsia="zh-CN" w:bidi="ar-SA"/>
    </w:rPr>
  </w:style>
  <w:style w:type="character" w:customStyle="1" w:styleId="HeaderChar">
    <w:name w:val="Header Char"/>
    <w:aliases w:val="中文页眉 Char,6_G Char"/>
    <w:link w:val="Header"/>
    <w:rPr>
      <w:rFonts w:eastAsia="SimSun"/>
      <w:b/>
      <w:snapToGrid w:val="0"/>
      <w:sz w:val="18"/>
      <w:lang w:val="en-GB" w:eastAsia="en-US" w:bidi="ar-SA"/>
    </w:rPr>
  </w:style>
  <w:style w:type="character" w:customStyle="1" w:styleId="FooterChar">
    <w:name w:val="Footer Char"/>
    <w:aliases w:val="3_G Char"/>
    <w:link w:val="Footer"/>
    <w:rPr>
      <w:snapToGrid w:val="0"/>
      <w:sz w:val="16"/>
      <w:lang w:val="en-GB" w:eastAsia="en-US" w:bidi="ar-SA"/>
    </w:rPr>
  </w:style>
  <w:style w:type="paragraph" w:styleId="BalloonText">
    <w:name w:val="Balloon Text"/>
    <w:basedOn w:val="Normal"/>
    <w:semiHidden/>
    <w:pPr>
      <w:tabs>
        <w:tab w:val="clear" w:pos="431"/>
      </w:tabs>
      <w:overflowPunct/>
      <w:adjustRightInd/>
      <w:snapToGrid/>
      <w:spacing w:line="240" w:lineRule="auto"/>
      <w:jc w:val="left"/>
    </w:pPr>
    <w:rPr>
      <w:rFonts w:ascii="Tahoma" w:hAnsi="Tahoma" w:cs="Tahoma"/>
      <w:snapToGrid/>
      <w:sz w:val="16"/>
      <w:szCs w:val="16"/>
      <w:lang w:val="en-GB" w:eastAsia="en-US"/>
    </w:rPr>
  </w:style>
  <w:style w:type="paragraph" w:styleId="CommentSubject">
    <w:name w:val="annotation subject"/>
    <w:basedOn w:val="CommentText"/>
    <w:next w:val="CommentText"/>
    <w:semiHidden/>
    <w:pPr>
      <w:suppressAutoHyphens w:val="0"/>
      <w:spacing w:line="240" w:lineRule="auto"/>
    </w:pPr>
    <w:rPr>
      <w:rFonts w:ascii="Arial" w:hAnsi="Arial"/>
      <w:b/>
      <w:bCs/>
    </w:rPr>
  </w:style>
  <w:style w:type="character" w:customStyle="1" w:styleId="hps">
    <w:name w:val="hps"/>
    <w:basedOn w:val="DefaultParagraphFont"/>
  </w:style>
  <w:style w:type="paragraph" w:customStyle="1" w:styleId="SingleTxt">
    <w:name w:val="__Single Txt"/>
    <w:basedOn w:val="Normal"/>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Calibri"/>
      <w:snapToGrid/>
      <w:spacing w:val="4"/>
      <w:w w:val="103"/>
      <w:kern w:val="14"/>
      <w:sz w:val="20"/>
      <w:lang w:val="en-GB" w:eastAsia="en-US"/>
    </w:rPr>
  </w:style>
  <w:style w:type="paragraph" w:customStyle="1" w:styleId="footnotetext0">
    <w:name w:val="footnote text"/>
    <w:basedOn w:val="Normal"/>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CharChar16">
    <w:name w:val="Char Char16"/>
    <w:locked/>
    <w:rPr>
      <w:rFonts w:cs="Times New Roman"/>
      <w:b/>
      <w:bCs/>
      <w:sz w:val="24"/>
      <w:szCs w:val="24"/>
    </w:rPr>
  </w:style>
  <w:style w:type="character" w:customStyle="1" w:styleId="CharChar15">
    <w:name w:val="Char Char15"/>
    <w:locked/>
    <w:rPr>
      <w:rFonts w:ascii="Arial" w:hAnsi="Arial" w:cs="Arial"/>
      <w:i/>
      <w:iCs/>
      <w:sz w:val="16"/>
      <w:szCs w:val="16"/>
      <w:lang w:val="en-GB"/>
    </w:rPr>
  </w:style>
  <w:style w:type="character" w:customStyle="1" w:styleId="CharChar14">
    <w:name w:val="Char Char14"/>
    <w:locked/>
    <w:rPr>
      <w:rFonts w:cs="Times New Roman"/>
      <w:b/>
      <w:bCs/>
      <w:sz w:val="22"/>
      <w:szCs w:val="22"/>
      <w:lang w:val="lt-LT"/>
    </w:rPr>
  </w:style>
  <w:style w:type="character" w:customStyle="1" w:styleId="CharChar13">
    <w:name w:val="Char Char13"/>
    <w:locked/>
    <w:rPr>
      <w:rFonts w:eastAsia="Times New Roman" w:cs="Times New Roman"/>
      <w:sz w:val="24"/>
      <w:szCs w:val="24"/>
      <w:lang w:val="lt-LT"/>
    </w:rPr>
  </w:style>
  <w:style w:type="character" w:customStyle="1" w:styleId="CharChar12">
    <w:name w:val="Char Char12"/>
    <w:locked/>
    <w:rPr>
      <w:rFonts w:ascii="Arial" w:hAnsi="Arial" w:cs="Arial"/>
      <w:sz w:val="16"/>
      <w:szCs w:val="16"/>
      <w:lang w:val="en-GB"/>
    </w:rPr>
  </w:style>
  <w:style w:type="character" w:customStyle="1" w:styleId="FootnoteCharChar">
    <w:name w:val="Footnote Char Char"/>
    <w:semiHidden/>
    <w:locked/>
    <w:rPr>
      <w:rFonts w:ascii="TimesLT" w:hAnsi="TimesLT" w:cs="TimesLT"/>
      <w:lang w:val="en-GB"/>
    </w:rPr>
  </w:style>
  <w:style w:type="paragraph" w:customStyle="1" w:styleId="Sraopastraipa">
    <w:name w:val="Sąrašo pastraipa"/>
    <w:basedOn w:val="Normal"/>
    <w:qFormat/>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CharChar11">
    <w:name w:val="Char Char11"/>
    <w:locked/>
    <w:rPr>
      <w:rFonts w:cs="Times New Roman"/>
      <w:sz w:val="24"/>
      <w:szCs w:val="24"/>
      <w:lang w:val="lt-LT"/>
    </w:rPr>
  </w:style>
  <w:style w:type="character" w:customStyle="1" w:styleId="Typewriter">
    <w:name w:val="Typewriter"/>
    <w:rPr>
      <w:rFonts w:ascii="Courier New" w:hAnsi="Courier New"/>
      <w:sz w:val="20"/>
    </w:rPr>
  </w:style>
  <w:style w:type="character" w:customStyle="1" w:styleId="FootnoteCharChar1">
    <w:name w:val="Footnote Char Char1"/>
    <w:locked/>
    <w:rPr>
      <w:rFonts w:cs="Times New Roman"/>
      <w:sz w:val="24"/>
      <w:szCs w:val="24"/>
      <w:lang w:val="x-none"/>
    </w:rPr>
  </w:style>
  <w:style w:type="paragraph" w:customStyle="1" w:styleId="hyperlink0">
    <w:name w:val="hyperlink"/>
    <w:basedOn w:val="Normal"/>
    <w:pPr>
      <w:tabs>
        <w:tab w:val="clear" w:pos="431"/>
      </w:tabs>
      <w:overflowPunct/>
      <w:autoSpaceDE w:val="0"/>
      <w:autoSpaceDN w:val="0"/>
      <w:adjustRightInd/>
      <w:snapToGrid/>
      <w:spacing w:line="297" w:lineRule="auto"/>
      <w:ind w:firstLine="312"/>
    </w:pPr>
    <w:rPr>
      <w:color w:val="000000"/>
      <w:sz w:val="20"/>
      <w:lang w:val="lt-LT" w:eastAsia="lt-LT"/>
    </w:rPr>
  </w:style>
  <w:style w:type="character" w:customStyle="1" w:styleId="CharChar9">
    <w:name w:val="Char Char9"/>
    <w:locked/>
    <w:rPr>
      <w:rFonts w:cs="Times New Roman"/>
      <w:b/>
      <w:bCs/>
      <w:sz w:val="24"/>
      <w:szCs w:val="24"/>
      <w:lang w:val="x-none"/>
    </w:rPr>
  </w:style>
  <w:style w:type="character" w:customStyle="1" w:styleId="CharChar8">
    <w:name w:val="Char Char8"/>
    <w:locked/>
    <w:rPr>
      <w:rFonts w:cs="Times New Roman"/>
      <w:sz w:val="16"/>
      <w:szCs w:val="16"/>
      <w:lang w:val="x-none"/>
    </w:rPr>
  </w:style>
  <w:style w:type="paragraph" w:customStyle="1" w:styleId="Textbody">
    <w:name w:val="Text body"/>
    <w:basedOn w:val="Normal"/>
    <w:pPr>
      <w:tabs>
        <w:tab w:val="clear" w:pos="431"/>
      </w:tabs>
      <w:suppressAutoHyphens/>
      <w:overflowPunct/>
      <w:autoSpaceDN w:val="0"/>
      <w:adjustRightInd/>
      <w:snapToGrid/>
      <w:spacing w:line="240" w:lineRule="auto"/>
      <w:textAlignment w:val="baseline"/>
    </w:pPr>
    <w:rPr>
      <w:kern w:val="3"/>
      <w:sz w:val="24"/>
      <w:szCs w:val="24"/>
      <w:lang w:val="lt-LT" w:eastAsia="lt-LT"/>
    </w:rPr>
  </w:style>
  <w:style w:type="paragraph" w:customStyle="1" w:styleId="bodytext0">
    <w:name w:val="bodytex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Default">
    <w:name w:val="Default"/>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Pr>
      <w:rFonts w:ascii="Courier New" w:hAnsi="Courier New" w:cs="Courier New"/>
    </w:rPr>
  </w:style>
  <w:style w:type="paragraph" w:customStyle="1" w:styleId="statymopavad">
    <w:name w:val="statymopavad"/>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6">
    <w:name w:val="Char Char6"/>
    <w:locked/>
    <w:rPr>
      <w:rFonts w:ascii="Times New Roman" w:hAnsi="Times New Roman" w:cs="Times New Roman"/>
      <w:sz w:val="16"/>
      <w:szCs w:val="16"/>
      <w:lang w:val="en-GB"/>
    </w:rPr>
  </w:style>
  <w:style w:type="paragraph" w:customStyle="1" w:styleId="Paragraph">
    <w:name w:val="Paragraph"/>
    <w:basedOn w:val="Default"/>
    <w:next w:val="Default"/>
    <w:pPr>
      <w:spacing w:before="120"/>
    </w:pPr>
    <w:rPr>
      <w:color w:val="auto"/>
    </w:rPr>
  </w:style>
  <w:style w:type="paragraph" w:customStyle="1" w:styleId="lentpavl">
    <w:name w:val="lentpavl"/>
    <w:basedOn w:val="Normal"/>
    <w:pPr>
      <w:numPr>
        <w:numId w:val="11"/>
      </w:numPr>
      <w:tabs>
        <w:tab w:val="clear" w:pos="431"/>
      </w:tabs>
      <w:overflowPunct/>
      <w:adjustRightInd/>
      <w:snapToGrid/>
      <w:spacing w:line="240" w:lineRule="auto"/>
      <w:jc w:val="left"/>
    </w:pPr>
    <w:rPr>
      <w:rFonts w:ascii="Arial" w:hAnsi="Arial" w:cs="Arial"/>
      <w:b/>
      <w:bCs/>
      <w:sz w:val="20"/>
      <w:lang w:val="lt-LT" w:eastAsia="lt-LT"/>
    </w:rPr>
  </w:style>
  <w:style w:type="paragraph" w:customStyle="1" w:styleId="lentpava">
    <w:name w:val="lentpava"/>
    <w:basedOn w:val="lentpavl"/>
    <w:pPr>
      <w:numPr>
        <w:numId w:val="0"/>
      </w:numPr>
      <w:tabs>
        <w:tab w:val="left" w:pos="425"/>
      </w:tabs>
      <w:spacing w:before="40"/>
    </w:pPr>
    <w:rPr>
      <w:i/>
      <w:iCs/>
      <w:sz w:val="18"/>
      <w:szCs w:val="18"/>
    </w:rPr>
  </w:style>
  <w:style w:type="paragraph" w:customStyle="1" w:styleId="galva">
    <w:name w:val="galva"/>
    <w:basedOn w:val="Normal"/>
    <w:pPr>
      <w:tabs>
        <w:tab w:val="clear" w:pos="431"/>
      </w:tabs>
      <w:overflowPunct/>
      <w:adjustRightInd/>
      <w:snapToGrid/>
      <w:spacing w:before="40" w:after="40" w:line="240" w:lineRule="auto"/>
      <w:ind w:left="57"/>
      <w:jc w:val="left"/>
    </w:pPr>
    <w:rPr>
      <w:rFonts w:ascii="Arial" w:hAnsi="Arial" w:cs="Arial"/>
      <w:sz w:val="16"/>
      <w:szCs w:val="16"/>
      <w:lang w:val="en-GB" w:eastAsia="lt-LT"/>
    </w:rPr>
  </w:style>
  <w:style w:type="paragraph" w:customStyle="1" w:styleId="lentpava1">
    <w:name w:val="lentpava1"/>
    <w:basedOn w:val="lentpava"/>
    <w:pPr>
      <w:spacing w:before="0" w:after="40"/>
    </w:pPr>
    <w:rPr>
      <w:b w:val="0"/>
      <w:bCs w:val="0"/>
      <w:sz w:val="16"/>
      <w:szCs w:val="16"/>
    </w:rPr>
  </w:style>
  <w:style w:type="paragraph" w:customStyle="1" w:styleId="lentpavl1">
    <w:name w:val="lentpavl1"/>
    <w:basedOn w:val="Normal"/>
    <w:pPr>
      <w:tabs>
        <w:tab w:val="clear" w:pos="431"/>
      </w:tabs>
      <w:overflowPunct/>
      <w:adjustRightInd/>
      <w:snapToGrid/>
      <w:spacing w:before="120" w:line="240" w:lineRule="auto"/>
      <w:jc w:val="left"/>
    </w:pPr>
    <w:rPr>
      <w:rFonts w:ascii="Arial" w:hAnsi="Arial" w:cs="Arial"/>
      <w:sz w:val="16"/>
      <w:szCs w:val="16"/>
      <w:lang w:val="lt-LT" w:eastAsia="lt-LT"/>
    </w:rPr>
  </w:style>
  <w:style w:type="character" w:customStyle="1" w:styleId="CharChar5">
    <w:name w:val="Char Char5"/>
    <w:locked/>
    <w:rPr>
      <w:rFonts w:ascii="Arial" w:hAnsi="Arial" w:cs="Arial"/>
      <w:sz w:val="16"/>
      <w:szCs w:val="16"/>
      <w:lang w:val="en-GB"/>
    </w:rPr>
  </w:style>
  <w:style w:type="paragraph" w:customStyle="1" w:styleId="galva1">
    <w:name w:val="galva1"/>
    <w:basedOn w:val="Normal"/>
    <w:pPr>
      <w:tabs>
        <w:tab w:val="clear" w:pos="431"/>
      </w:tabs>
      <w:overflowPunct/>
      <w:adjustRightInd/>
      <w:snapToGrid/>
      <w:spacing w:after="40" w:line="240" w:lineRule="auto"/>
      <w:ind w:left="57"/>
      <w:jc w:val="left"/>
    </w:pPr>
    <w:rPr>
      <w:rFonts w:ascii="Arial" w:hAnsi="Arial" w:cs="Arial"/>
      <w:i/>
      <w:iCs/>
      <w:sz w:val="16"/>
      <w:szCs w:val="16"/>
      <w:lang w:val="en-GB" w:eastAsia="lt-LT"/>
    </w:rPr>
  </w:style>
  <w:style w:type="paragraph" w:customStyle="1" w:styleId="0atit">
    <w:name w:val="0atit"/>
    <w:basedOn w:val="Normal"/>
    <w:pPr>
      <w:tabs>
        <w:tab w:val="clear" w:pos="431"/>
      </w:tabs>
      <w:overflowPunct/>
      <w:adjustRightInd/>
      <w:snapToGrid/>
      <w:spacing w:before="60" w:line="240" w:lineRule="auto"/>
      <w:jc w:val="left"/>
    </w:pPr>
    <w:rPr>
      <w:rFonts w:ascii="Arial" w:hAnsi="Arial" w:cs="Arial"/>
      <w:sz w:val="16"/>
      <w:szCs w:val="16"/>
      <w:lang w:val="en-GB" w:eastAsia="lt-LT"/>
    </w:rPr>
  </w:style>
  <w:style w:type="paragraph" w:customStyle="1" w:styleId="skaiciai">
    <w:name w:val="skaiciai"/>
    <w:basedOn w:val="Normal"/>
    <w:pPr>
      <w:tabs>
        <w:tab w:val="clear" w:pos="431"/>
      </w:tabs>
      <w:overflowPunct/>
      <w:adjustRightInd/>
      <w:snapToGrid/>
      <w:spacing w:line="240" w:lineRule="auto"/>
      <w:ind w:right="170"/>
      <w:jc w:val="right"/>
    </w:pPr>
    <w:rPr>
      <w:rFonts w:ascii="Arial" w:hAnsi="Arial" w:cs="Arial"/>
      <w:sz w:val="16"/>
      <w:szCs w:val="16"/>
      <w:lang w:val="en-GB" w:eastAsia="lt-LT"/>
    </w:rPr>
  </w:style>
  <w:style w:type="paragraph" w:customStyle="1" w:styleId="lentpav">
    <w:name w:val="lentpav"/>
    <w:basedOn w:val="Normal"/>
    <w:pPr>
      <w:tabs>
        <w:tab w:val="clear" w:pos="431"/>
        <w:tab w:val="left" w:pos="1985"/>
      </w:tabs>
      <w:overflowPunct/>
      <w:adjustRightInd/>
      <w:snapToGrid/>
      <w:spacing w:before="60" w:line="240" w:lineRule="auto"/>
      <w:jc w:val="center"/>
    </w:pPr>
    <w:rPr>
      <w:rFonts w:ascii="Arial" w:hAnsi="Arial" w:cs="Arial"/>
      <w:b/>
      <w:bCs/>
      <w:sz w:val="20"/>
      <w:lang w:eastAsia="lt-LT"/>
    </w:rPr>
  </w:style>
  <w:style w:type="paragraph" w:customStyle="1" w:styleId="popav">
    <w:name w:val="popav"/>
    <w:basedOn w:val="Normal"/>
    <w:pPr>
      <w:tabs>
        <w:tab w:val="clear" w:pos="431"/>
      </w:tabs>
      <w:overflowPunct/>
      <w:adjustRightInd/>
      <w:snapToGrid/>
      <w:spacing w:before="60" w:after="60" w:line="240" w:lineRule="auto"/>
      <w:jc w:val="left"/>
    </w:pPr>
    <w:rPr>
      <w:rFonts w:ascii="Arial" w:hAnsi="Arial" w:cs="Arial"/>
      <w:sz w:val="18"/>
      <w:szCs w:val="18"/>
      <w:lang w:val="lt-LT" w:eastAsia="lt-LT"/>
    </w:rPr>
  </w:style>
  <w:style w:type="paragraph" w:styleId="TOC1">
    <w:name w:val="toc 1"/>
    <w:aliases w:val="Turinys"/>
    <w:basedOn w:val="Normal"/>
    <w:next w:val="Normal"/>
    <w:autoRedefine/>
    <w:semiHidden/>
    <w:pPr>
      <w:tabs>
        <w:tab w:val="clear" w:pos="431"/>
      </w:tabs>
      <w:overflowPunct/>
      <w:adjustRightInd/>
      <w:snapToGrid/>
      <w:spacing w:after="200" w:line="276" w:lineRule="auto"/>
      <w:jc w:val="left"/>
    </w:pPr>
    <w:rPr>
      <w:sz w:val="24"/>
      <w:szCs w:val="24"/>
      <w:lang w:eastAsia="lt-LT"/>
    </w:rPr>
  </w:style>
  <w:style w:type="paragraph" w:customStyle="1" w:styleId="1atit">
    <w:name w:val="1atit"/>
    <w:basedOn w:val="Normal"/>
    <w:pPr>
      <w:tabs>
        <w:tab w:val="clear" w:pos="431"/>
      </w:tabs>
      <w:overflowPunct/>
      <w:adjustRightInd/>
      <w:snapToGrid/>
      <w:spacing w:line="240" w:lineRule="auto"/>
      <w:ind w:left="113"/>
      <w:jc w:val="left"/>
    </w:pPr>
    <w:rPr>
      <w:rFonts w:ascii="Arial" w:hAnsi="Arial" w:cs="Arial"/>
      <w:sz w:val="16"/>
      <w:szCs w:val="16"/>
      <w:lang w:val="en-GB" w:eastAsia="lt-LT"/>
    </w:rPr>
  </w:style>
  <w:style w:type="paragraph" w:customStyle="1" w:styleId="skyrpava">
    <w:name w:val="skyrpava"/>
    <w:basedOn w:val="Normal"/>
    <w:pPr>
      <w:tabs>
        <w:tab w:val="clear" w:pos="431"/>
      </w:tabs>
      <w:overflowPunct/>
      <w:adjustRightInd/>
      <w:snapToGrid/>
      <w:spacing w:before="20" w:after="100" w:line="240" w:lineRule="auto"/>
      <w:jc w:val="center"/>
    </w:pPr>
    <w:rPr>
      <w:rFonts w:ascii="Arial" w:hAnsi="Arial" w:cs="Arial"/>
      <w:b/>
      <w:bCs/>
      <w:i/>
      <w:iCs/>
      <w:caps/>
      <w:sz w:val="18"/>
      <w:szCs w:val="18"/>
      <w:lang w:val="lt-LT" w:eastAsia="lt-LT"/>
    </w:rPr>
  </w:style>
  <w:style w:type="paragraph" w:customStyle="1" w:styleId="lentpavlt">
    <w:name w:val="lentpavlt"/>
    <w:basedOn w:val="Normal"/>
    <w:pPr>
      <w:tabs>
        <w:tab w:val="clear" w:pos="431"/>
      </w:tabs>
      <w:overflowPunct/>
      <w:adjustRightInd/>
      <w:snapToGrid/>
      <w:spacing w:before="120" w:line="240" w:lineRule="auto"/>
      <w:jc w:val="left"/>
    </w:pPr>
    <w:rPr>
      <w:rFonts w:ascii="Arial" w:hAnsi="Arial" w:cs="Arial"/>
      <w:b/>
      <w:bCs/>
      <w:sz w:val="20"/>
      <w:lang w:val="lt-LT" w:eastAsia="lt-LT"/>
    </w:rPr>
  </w:style>
  <w:style w:type="paragraph" w:customStyle="1" w:styleId="lentpavang">
    <w:name w:val="lentpavang"/>
    <w:basedOn w:val="Normal"/>
    <w:pPr>
      <w:tabs>
        <w:tab w:val="clear" w:pos="431"/>
      </w:tabs>
      <w:overflowPunct/>
      <w:adjustRightInd/>
      <w:snapToGrid/>
      <w:spacing w:before="60" w:after="80" w:line="240" w:lineRule="auto"/>
      <w:jc w:val="left"/>
    </w:pPr>
    <w:rPr>
      <w:rFonts w:ascii="Arial" w:hAnsi="Arial" w:cs="Arial"/>
      <w:b/>
      <w:bCs/>
      <w:i/>
      <w:iCs/>
      <w:sz w:val="18"/>
      <w:szCs w:val="18"/>
      <w:lang w:val="en-GB" w:eastAsia="lt-LT"/>
    </w:rPr>
  </w:style>
  <w:style w:type="paragraph" w:customStyle="1" w:styleId="StiliuslentpavlKairje0cmPirmojieilut0cm">
    <w:name w:val="Stilius lentpavl + Kairėje:  0 cm Pirmoji eilutė:  0 cm"/>
    <w:basedOn w:val="lentpavl"/>
    <w:pPr>
      <w:numPr>
        <w:numId w:val="0"/>
      </w:numPr>
      <w:tabs>
        <w:tab w:val="num" w:pos="425"/>
      </w:tabs>
      <w:ind w:left="425" w:hanging="425"/>
    </w:pPr>
  </w:style>
  <w:style w:type="paragraph" w:customStyle="1" w:styleId="skl">
    <w:name w:val="skl"/>
    <w:basedOn w:val="Normal"/>
    <w:pPr>
      <w:tabs>
        <w:tab w:val="clear" w:pos="431"/>
      </w:tabs>
      <w:overflowPunct/>
      <w:adjustRightInd/>
      <w:snapToGrid/>
      <w:spacing w:before="120" w:after="40" w:line="240" w:lineRule="auto"/>
      <w:jc w:val="left"/>
    </w:pPr>
    <w:rPr>
      <w:rFonts w:ascii="Arial" w:hAnsi="Arial" w:cs="Arial"/>
      <w:sz w:val="18"/>
      <w:szCs w:val="18"/>
      <w:lang w:val="lt-LT" w:eastAsia="lt-LT"/>
    </w:rPr>
  </w:style>
  <w:style w:type="paragraph" w:customStyle="1" w:styleId="galva-a">
    <w:name w:val="galva-a"/>
    <w:basedOn w:val="galva"/>
    <w:pPr>
      <w:widowControl w:val="0"/>
      <w:spacing w:before="0"/>
      <w:ind w:left="0" w:right="-85"/>
    </w:pPr>
    <w:rPr>
      <w:i/>
      <w:iCs/>
      <w:sz w:val="17"/>
      <w:szCs w:val="17"/>
      <w:lang w:val="en-US"/>
    </w:rPr>
  </w:style>
  <w:style w:type="paragraph" w:styleId="TOC2">
    <w:name w:val="toc 2"/>
    <w:basedOn w:val="Normal"/>
    <w:next w:val="Normal"/>
    <w:autoRedefine/>
    <w:semiHidden/>
    <w:pPr>
      <w:tabs>
        <w:tab w:val="clear" w:pos="431"/>
      </w:tabs>
      <w:overflowPunct/>
      <w:adjustRightInd/>
      <w:snapToGrid/>
      <w:spacing w:line="240" w:lineRule="auto"/>
      <w:ind w:left="170"/>
      <w:jc w:val="left"/>
    </w:pPr>
    <w:rPr>
      <w:rFonts w:ascii="Arial" w:hAnsi="Arial" w:cs="Arial"/>
      <w:sz w:val="17"/>
      <w:szCs w:val="17"/>
      <w:lang w:eastAsia="lt-LT"/>
    </w:rPr>
  </w:style>
  <w:style w:type="paragraph" w:customStyle="1" w:styleId="Sraopastraipa1">
    <w:name w:val="Sąrašo pastraipa1"/>
    <w:basedOn w:val="Normal"/>
    <w:pPr>
      <w:tabs>
        <w:tab w:val="clear" w:pos="431"/>
      </w:tabs>
      <w:overflowPunct/>
      <w:adjustRightInd/>
      <w:snapToGrid/>
      <w:spacing w:line="240" w:lineRule="auto"/>
      <w:ind w:left="720"/>
      <w:jc w:val="left"/>
    </w:pPr>
    <w:rPr>
      <w:sz w:val="24"/>
      <w:szCs w:val="24"/>
      <w:lang w:val="lt-LT" w:eastAsia="lt-LT"/>
    </w:rPr>
  </w:style>
  <w:style w:type="character" w:customStyle="1" w:styleId="CharChar3">
    <w:name w:val="Char Char3"/>
    <w:locked/>
    <w:rPr>
      <w:rFonts w:cs="Times New Roman"/>
      <w:sz w:val="24"/>
      <w:szCs w:val="24"/>
    </w:rPr>
  </w:style>
  <w:style w:type="character" w:customStyle="1" w:styleId="dpav">
    <w:name w:val="dpav"/>
    <w:rPr>
      <w:rFonts w:cs="Times New Roman"/>
      <w:sz w:val="26"/>
      <w:szCs w:val="26"/>
    </w:rPr>
  </w:style>
  <w:style w:type="paragraph" w:customStyle="1" w:styleId="BodyTextIndent21">
    <w:name w:val="Body Text Indent 21"/>
    <w:basedOn w:val="Normal"/>
    <w:pPr>
      <w:tabs>
        <w:tab w:val="clear" w:pos="431"/>
      </w:tabs>
      <w:suppressAutoHyphens/>
      <w:overflowPunct/>
      <w:adjustRightInd/>
      <w:snapToGrid/>
      <w:spacing w:after="200" w:line="360" w:lineRule="auto"/>
      <w:ind w:firstLine="720"/>
    </w:pPr>
    <w:rPr>
      <w:rFonts w:ascii="TimesLT" w:hAnsi="TimesLT" w:cs="TimesLT"/>
      <w:sz w:val="24"/>
      <w:szCs w:val="24"/>
      <w:lang w:val="lt-LT" w:eastAsia="lt-LT"/>
    </w:rPr>
  </w:style>
  <w:style w:type="paragraph" w:customStyle="1" w:styleId="prastasistinklapis2">
    <w:name w:val="Įprastasis (tinklapis)2"/>
    <w:basedOn w:val="Normal"/>
    <w:pPr>
      <w:tabs>
        <w:tab w:val="clear" w:pos="431"/>
      </w:tabs>
      <w:overflowPunct/>
      <w:adjustRightInd/>
      <w:snapToGrid/>
      <w:spacing w:before="240" w:after="240" w:line="240" w:lineRule="auto"/>
      <w:jc w:val="left"/>
    </w:pPr>
    <w:rPr>
      <w:sz w:val="24"/>
      <w:szCs w:val="24"/>
      <w:lang w:val="lt-LT" w:eastAsia="lt-LT"/>
    </w:rPr>
  </w:style>
  <w:style w:type="paragraph" w:customStyle="1" w:styleId="Betarp1">
    <w:name w:val="Be tarpų1"/>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pPr>
      <w:tabs>
        <w:tab w:val="clear" w:pos="431"/>
      </w:tabs>
      <w:overflowPunct/>
      <w:adjustRightInd/>
      <w:snapToGrid/>
      <w:spacing w:after="160" w:line="240" w:lineRule="exact"/>
      <w:jc w:val="left"/>
    </w:pPr>
    <w:rPr>
      <w:sz w:val="20"/>
      <w:lang w:eastAsia="lt-LT"/>
    </w:rPr>
  </w:style>
  <w:style w:type="paragraph" w:customStyle="1" w:styleId="prastasistinklapis8">
    <w:name w:val="prastasistinklapis8"/>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fait">
    <w:name w:val="fai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2">
    <w:name w:val="Char Char2"/>
    <w:locked/>
    <w:rPr>
      <w:rFonts w:ascii="Courier New" w:hAnsi="Courier New" w:cs="Courier New"/>
      <w:lang w:val="x-none"/>
    </w:rPr>
  </w:style>
  <w:style w:type="character" w:customStyle="1" w:styleId="CharChar1">
    <w:name w:val="Char Char1"/>
    <w:locked/>
    <w:rPr>
      <w:rFonts w:cs="Times New Roman"/>
    </w:rPr>
  </w:style>
  <w:style w:type="character" w:customStyle="1" w:styleId="CharChar">
    <w:name w:val="Char Char"/>
    <w:locked/>
    <w:rPr>
      <w:rFonts w:cs="Times New Roman"/>
      <w:b/>
      <w:bCs/>
    </w:rPr>
  </w:style>
  <w:style w:type="paragraph" w:customStyle="1" w:styleId="Pagrindiniotekstopirmatrauka1">
    <w:name w:val="Pagrindinio teksto pirma įtrauka1"/>
    <w:basedOn w:val="Normal"/>
    <w:next w:val="hyperlink0"/>
    <w:pPr>
      <w:tabs>
        <w:tab w:val="clear" w:pos="431"/>
      </w:tabs>
      <w:suppressAutoHyphens/>
      <w:overflowPunct/>
      <w:adjustRightInd/>
      <w:snapToGrid/>
      <w:spacing w:after="120" w:line="240" w:lineRule="auto"/>
      <w:ind w:firstLine="210"/>
      <w:jc w:val="left"/>
    </w:pPr>
    <w:rPr>
      <w:rFonts w:ascii="TimesLT" w:hAnsi="TimesLT" w:cs="TimesLT"/>
      <w:sz w:val="20"/>
      <w:lang w:val="en-GB" w:eastAsia="lt-LT"/>
    </w:rPr>
  </w:style>
  <w:style w:type="paragraph" w:styleId="NoSpacing">
    <w:name w:val="No Spacing"/>
    <w:qFormat/>
    <w:rPr>
      <w:snapToGrid w:val="0"/>
      <w:sz w:val="24"/>
      <w:szCs w:val="24"/>
      <w:lang w:val="lt-LT" w:eastAsia="lt-LT"/>
    </w:rPr>
  </w:style>
  <w:style w:type="paragraph" w:customStyle="1" w:styleId="msolistparagraph0">
    <w:name w:val="msolistparagraph"/>
    <w:basedOn w:val="Normal"/>
    <w:pPr>
      <w:tabs>
        <w:tab w:val="clear" w:pos="431"/>
      </w:tabs>
      <w:overflowPunct/>
      <w:adjustRightInd/>
      <w:snapToGrid/>
      <w:spacing w:line="240" w:lineRule="auto"/>
      <w:ind w:left="720"/>
      <w:jc w:val="left"/>
    </w:pPr>
    <w:rPr>
      <w:sz w:val="24"/>
      <w:szCs w:val="24"/>
      <w:lang w:val="lt-LT" w:eastAsia="lt-LT"/>
    </w:rPr>
  </w:style>
  <w:style w:type="paragraph" w:customStyle="1" w:styleId="NormalWeb1">
    <w:name w:val="Normal (Web)1"/>
    <w:basedOn w:val="Normal"/>
    <w:pPr>
      <w:widowControl w:val="0"/>
      <w:tabs>
        <w:tab w:val="clear" w:pos="431"/>
      </w:tabs>
      <w:suppressAutoHyphens/>
      <w:overflowPunct/>
      <w:adjustRightInd/>
      <w:snapToGrid/>
      <w:spacing w:before="280" w:after="280" w:line="240" w:lineRule="auto"/>
      <w:jc w:val="left"/>
    </w:pPr>
    <w:rPr>
      <w:kern w:val="1"/>
      <w:sz w:val="24"/>
      <w:szCs w:val="24"/>
      <w:lang w:val="lt-LT" w:eastAsia="lt-LT"/>
    </w:rPr>
  </w:style>
  <w:style w:type="character" w:customStyle="1" w:styleId="tw4winMark">
    <w:name w:val="tw4winMark"/>
    <w:rPr>
      <w:rFonts w:ascii="Courier New" w:hAnsi="Courier New"/>
      <w:vanish/>
      <w:color w:val="800080"/>
      <w:sz w:val="24"/>
      <w:vertAlign w:val="subscript"/>
    </w:rPr>
  </w:style>
  <w:style w:type="paragraph" w:customStyle="1" w:styleId="Sraopastraipa0">
    <w:name w:val="S?ra?o pastraipa"/>
    <w:basedOn w:val="Normal"/>
    <w:next w:val="Sraopastraipa10"/>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Sraopastraipa10">
    <w:name w:val="S?ra?o pastraipa1"/>
    <w:basedOn w:val="Normal"/>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customStyle="1" w:styleId="BodyText21">
    <w:name w:val="Body Text 21"/>
    <w:basedOn w:val="Normal"/>
    <w:pPr>
      <w:tabs>
        <w:tab w:val="clear" w:pos="431"/>
      </w:tabs>
      <w:autoSpaceDE w:val="0"/>
      <w:autoSpaceDN w:val="0"/>
      <w:snapToGrid/>
      <w:spacing w:line="240" w:lineRule="auto"/>
      <w:textAlignment w:val="baseline"/>
    </w:pPr>
    <w:rPr>
      <w:snapToGrid/>
      <w:sz w:val="20"/>
      <w:lang w:val="hr-HR" w:eastAsia="en-US"/>
    </w:rPr>
  </w:style>
  <w:style w:type="paragraph" w:styleId="Caption">
    <w:name w:val="caption"/>
    <w:basedOn w:val="Normal"/>
    <w:next w:val="Normal"/>
    <w:qFormat/>
    <w:pPr>
      <w:tabs>
        <w:tab w:val="clear" w:pos="431"/>
      </w:tabs>
      <w:overflowPunct/>
      <w:adjustRightInd/>
      <w:snapToGrid/>
      <w:spacing w:line="240" w:lineRule="auto"/>
      <w:jc w:val="center"/>
    </w:pPr>
    <w:rPr>
      <w:rFonts w:ascii="Arial" w:hAnsi="Arial"/>
      <w:b/>
      <w:snapToGrid/>
      <w:sz w:val="24"/>
      <w:lang w:val="en-GB" w:eastAsia="en-US"/>
    </w:rPr>
  </w:style>
  <w:style w:type="paragraph" w:styleId="TOC3">
    <w:name w:val="toc 3"/>
    <w:basedOn w:val="Normal"/>
    <w:next w:val="Normal"/>
    <w:autoRedefine/>
    <w:pPr>
      <w:tabs>
        <w:tab w:val="clear" w:pos="431"/>
      </w:tabs>
      <w:overflowPunct/>
      <w:adjustRightInd/>
      <w:snapToGrid/>
      <w:spacing w:line="240" w:lineRule="auto"/>
      <w:ind w:left="480"/>
      <w:jc w:val="left"/>
    </w:pPr>
    <w:rPr>
      <w:i/>
      <w:iCs/>
      <w:snapToGrid/>
      <w:sz w:val="24"/>
      <w:szCs w:val="24"/>
      <w:lang w:val="en-GB" w:eastAsia="en-US"/>
    </w:rPr>
  </w:style>
  <w:style w:type="paragraph" w:styleId="TOC4">
    <w:name w:val="toc 4"/>
    <w:basedOn w:val="Normal"/>
    <w:next w:val="Normal"/>
    <w:autoRedefine/>
    <w:pPr>
      <w:tabs>
        <w:tab w:val="clear" w:pos="431"/>
        <w:tab w:val="right" w:leader="dot" w:pos="9062"/>
      </w:tabs>
      <w:overflowPunct/>
      <w:adjustRightInd/>
      <w:snapToGrid/>
      <w:spacing w:line="240" w:lineRule="auto"/>
      <w:ind w:left="720"/>
      <w:jc w:val="left"/>
    </w:pPr>
    <w:rPr>
      <w:rFonts w:ascii="Arial" w:hAnsi="Arial" w:cs="Arial"/>
      <w:noProof/>
      <w:snapToGrid/>
      <w:sz w:val="20"/>
      <w:lang w:val="hr-BA" w:eastAsia="en-US"/>
    </w:rPr>
  </w:style>
  <w:style w:type="paragraph" w:styleId="TOC5">
    <w:name w:val="toc 5"/>
    <w:basedOn w:val="Normal"/>
    <w:next w:val="Normal"/>
    <w:autoRedefine/>
    <w:semiHidden/>
    <w:pPr>
      <w:tabs>
        <w:tab w:val="clear" w:pos="431"/>
      </w:tabs>
      <w:overflowPunct/>
      <w:adjustRightInd/>
      <w:snapToGrid/>
      <w:spacing w:line="240" w:lineRule="auto"/>
      <w:ind w:left="960"/>
      <w:jc w:val="left"/>
    </w:pPr>
    <w:rPr>
      <w:snapToGrid/>
      <w:sz w:val="24"/>
      <w:szCs w:val="21"/>
      <w:lang w:val="en-GB" w:eastAsia="en-US"/>
    </w:rPr>
  </w:style>
  <w:style w:type="paragraph" w:styleId="TOC6">
    <w:name w:val="toc 6"/>
    <w:basedOn w:val="Normal"/>
    <w:next w:val="Normal"/>
    <w:autoRedefine/>
    <w:semiHidden/>
    <w:pPr>
      <w:tabs>
        <w:tab w:val="clear" w:pos="431"/>
      </w:tabs>
      <w:overflowPunct/>
      <w:adjustRightInd/>
      <w:snapToGrid/>
      <w:spacing w:line="240" w:lineRule="auto"/>
      <w:ind w:left="1200"/>
      <w:jc w:val="left"/>
    </w:pPr>
    <w:rPr>
      <w:snapToGrid/>
      <w:sz w:val="24"/>
      <w:szCs w:val="21"/>
      <w:lang w:val="en-GB" w:eastAsia="en-US"/>
    </w:rPr>
  </w:style>
  <w:style w:type="paragraph" w:styleId="TOC7">
    <w:name w:val="toc 7"/>
    <w:basedOn w:val="Normal"/>
    <w:next w:val="Normal"/>
    <w:autoRedefine/>
    <w:semiHidden/>
    <w:pPr>
      <w:tabs>
        <w:tab w:val="clear" w:pos="431"/>
      </w:tabs>
      <w:overflowPunct/>
      <w:adjustRightInd/>
      <w:snapToGrid/>
      <w:spacing w:line="240" w:lineRule="auto"/>
      <w:ind w:left="1440"/>
      <w:jc w:val="left"/>
    </w:pPr>
    <w:rPr>
      <w:snapToGrid/>
      <w:sz w:val="24"/>
      <w:szCs w:val="21"/>
      <w:lang w:val="en-GB" w:eastAsia="en-US"/>
    </w:rPr>
  </w:style>
  <w:style w:type="paragraph" w:styleId="TOC8">
    <w:name w:val="toc 8"/>
    <w:basedOn w:val="Normal"/>
    <w:next w:val="Normal"/>
    <w:autoRedefine/>
    <w:semiHidden/>
    <w:pPr>
      <w:tabs>
        <w:tab w:val="clear" w:pos="431"/>
      </w:tabs>
      <w:overflowPunct/>
      <w:adjustRightInd/>
      <w:snapToGrid/>
      <w:spacing w:line="240" w:lineRule="auto"/>
      <w:ind w:left="1680"/>
      <w:jc w:val="left"/>
    </w:pPr>
    <w:rPr>
      <w:snapToGrid/>
      <w:sz w:val="24"/>
      <w:szCs w:val="21"/>
      <w:lang w:val="en-GB" w:eastAsia="en-US"/>
    </w:rPr>
  </w:style>
  <w:style w:type="paragraph" w:styleId="TOC9">
    <w:name w:val="toc 9"/>
    <w:basedOn w:val="Normal"/>
    <w:next w:val="Normal"/>
    <w:autoRedefine/>
    <w:semiHidden/>
    <w:pPr>
      <w:tabs>
        <w:tab w:val="clear" w:pos="431"/>
      </w:tabs>
      <w:overflowPunct/>
      <w:adjustRightInd/>
      <w:snapToGrid/>
      <w:spacing w:line="240" w:lineRule="auto"/>
      <w:ind w:left="1920"/>
      <w:jc w:val="left"/>
    </w:pPr>
    <w:rPr>
      <w:snapToGrid/>
      <w:sz w:val="24"/>
      <w:szCs w:val="21"/>
      <w:lang w:val="en-GB" w:eastAsia="en-US"/>
    </w:rPr>
  </w:style>
  <w:style w:type="paragraph" w:styleId="Index2">
    <w:name w:val="index 2"/>
    <w:basedOn w:val="Normal"/>
    <w:next w:val="Normal"/>
    <w:autoRedefine/>
    <w:semiHidden/>
    <w:pPr>
      <w:tabs>
        <w:tab w:val="clear" w:pos="431"/>
      </w:tabs>
      <w:overflowPunct/>
      <w:adjustRightInd/>
      <w:snapToGrid/>
      <w:spacing w:line="240" w:lineRule="auto"/>
      <w:ind w:left="480" w:hanging="240"/>
      <w:jc w:val="left"/>
    </w:pPr>
    <w:rPr>
      <w:snapToGrid/>
      <w:sz w:val="24"/>
      <w:szCs w:val="24"/>
      <w:lang w:val="en-GB" w:eastAsia="en-US"/>
    </w:rPr>
  </w:style>
  <w:style w:type="paragraph" w:styleId="Index1">
    <w:name w:val="index 1"/>
    <w:basedOn w:val="Normal"/>
    <w:next w:val="Normal"/>
    <w:autoRedefine/>
    <w:semiHidden/>
    <w:pPr>
      <w:tabs>
        <w:tab w:val="clear" w:pos="431"/>
      </w:tabs>
      <w:overflowPunct/>
      <w:adjustRightInd/>
      <w:snapToGrid/>
      <w:spacing w:line="240" w:lineRule="auto"/>
      <w:ind w:left="240" w:hanging="240"/>
      <w:jc w:val="left"/>
    </w:pPr>
    <w:rPr>
      <w:snapToGrid/>
      <w:sz w:val="24"/>
      <w:szCs w:val="24"/>
      <w:lang w:val="en-GB" w:eastAsia="en-US"/>
    </w:rPr>
  </w:style>
  <w:style w:type="paragraph" w:styleId="Index3">
    <w:name w:val="index 3"/>
    <w:basedOn w:val="Normal"/>
    <w:next w:val="Normal"/>
    <w:autoRedefine/>
    <w:semiHidden/>
    <w:pPr>
      <w:tabs>
        <w:tab w:val="clear" w:pos="431"/>
      </w:tabs>
      <w:overflowPunct/>
      <w:adjustRightInd/>
      <w:snapToGrid/>
      <w:spacing w:line="240" w:lineRule="auto"/>
      <w:ind w:left="720" w:hanging="240"/>
      <w:jc w:val="left"/>
    </w:pPr>
    <w:rPr>
      <w:snapToGrid/>
      <w:sz w:val="24"/>
      <w:szCs w:val="24"/>
      <w:lang w:val="en-GB" w:eastAsia="en-US"/>
    </w:rPr>
  </w:style>
  <w:style w:type="paragraph" w:styleId="Index4">
    <w:name w:val="index 4"/>
    <w:basedOn w:val="Normal"/>
    <w:next w:val="Normal"/>
    <w:autoRedefine/>
    <w:semiHidden/>
    <w:pPr>
      <w:tabs>
        <w:tab w:val="clear" w:pos="431"/>
      </w:tabs>
      <w:overflowPunct/>
      <w:adjustRightInd/>
      <w:snapToGrid/>
      <w:spacing w:line="240" w:lineRule="auto"/>
      <w:ind w:left="960" w:hanging="240"/>
      <w:jc w:val="left"/>
    </w:pPr>
    <w:rPr>
      <w:snapToGrid/>
      <w:sz w:val="24"/>
      <w:szCs w:val="24"/>
      <w:lang w:val="en-GB" w:eastAsia="en-US"/>
    </w:rPr>
  </w:style>
  <w:style w:type="paragraph" w:styleId="Index5">
    <w:name w:val="index 5"/>
    <w:basedOn w:val="Normal"/>
    <w:next w:val="Normal"/>
    <w:autoRedefine/>
    <w:semiHidden/>
    <w:pPr>
      <w:tabs>
        <w:tab w:val="clear" w:pos="431"/>
      </w:tabs>
      <w:overflowPunct/>
      <w:adjustRightInd/>
      <w:snapToGrid/>
      <w:spacing w:line="240" w:lineRule="auto"/>
      <w:ind w:left="1200" w:hanging="240"/>
      <w:jc w:val="left"/>
    </w:pPr>
    <w:rPr>
      <w:snapToGrid/>
      <w:sz w:val="24"/>
      <w:szCs w:val="24"/>
      <w:lang w:val="en-GB" w:eastAsia="en-US"/>
    </w:rPr>
  </w:style>
  <w:style w:type="paragraph" w:styleId="Index6">
    <w:name w:val="index 6"/>
    <w:basedOn w:val="Normal"/>
    <w:next w:val="Normal"/>
    <w:autoRedefine/>
    <w:semiHidden/>
    <w:pPr>
      <w:tabs>
        <w:tab w:val="clear" w:pos="431"/>
      </w:tabs>
      <w:overflowPunct/>
      <w:adjustRightInd/>
      <w:snapToGrid/>
      <w:spacing w:line="240" w:lineRule="auto"/>
      <w:ind w:left="1440" w:hanging="240"/>
      <w:jc w:val="left"/>
    </w:pPr>
    <w:rPr>
      <w:snapToGrid/>
      <w:sz w:val="24"/>
      <w:szCs w:val="24"/>
      <w:lang w:val="en-GB" w:eastAsia="en-US"/>
    </w:rPr>
  </w:style>
  <w:style w:type="paragraph" w:styleId="Index7">
    <w:name w:val="index 7"/>
    <w:basedOn w:val="Normal"/>
    <w:next w:val="Normal"/>
    <w:autoRedefine/>
    <w:semiHidden/>
    <w:pPr>
      <w:tabs>
        <w:tab w:val="clear" w:pos="431"/>
      </w:tabs>
      <w:overflowPunct/>
      <w:adjustRightInd/>
      <w:snapToGrid/>
      <w:spacing w:line="240" w:lineRule="auto"/>
      <w:ind w:left="1680" w:hanging="240"/>
      <w:jc w:val="left"/>
    </w:pPr>
    <w:rPr>
      <w:snapToGrid/>
      <w:sz w:val="24"/>
      <w:szCs w:val="24"/>
      <w:lang w:val="en-GB" w:eastAsia="en-US"/>
    </w:rPr>
  </w:style>
  <w:style w:type="paragraph" w:styleId="Index8">
    <w:name w:val="index 8"/>
    <w:basedOn w:val="Normal"/>
    <w:next w:val="Normal"/>
    <w:autoRedefine/>
    <w:semiHidden/>
    <w:pPr>
      <w:tabs>
        <w:tab w:val="clear" w:pos="431"/>
      </w:tabs>
      <w:overflowPunct/>
      <w:adjustRightInd/>
      <w:snapToGrid/>
      <w:spacing w:line="240" w:lineRule="auto"/>
      <w:ind w:left="1920" w:hanging="240"/>
      <w:jc w:val="left"/>
    </w:pPr>
    <w:rPr>
      <w:snapToGrid/>
      <w:sz w:val="24"/>
      <w:szCs w:val="24"/>
      <w:lang w:val="en-GB" w:eastAsia="en-US"/>
    </w:rPr>
  </w:style>
  <w:style w:type="paragraph" w:styleId="Index9">
    <w:name w:val="index 9"/>
    <w:basedOn w:val="Normal"/>
    <w:next w:val="Normal"/>
    <w:autoRedefine/>
    <w:semiHidden/>
    <w:pPr>
      <w:tabs>
        <w:tab w:val="clear" w:pos="431"/>
      </w:tabs>
      <w:overflowPunct/>
      <w:adjustRightInd/>
      <w:snapToGrid/>
      <w:spacing w:line="240" w:lineRule="auto"/>
      <w:ind w:left="2160" w:hanging="240"/>
      <w:jc w:val="left"/>
    </w:pPr>
    <w:rPr>
      <w:snapToGrid/>
      <w:sz w:val="24"/>
      <w:szCs w:val="24"/>
      <w:lang w:val="en-GB" w:eastAsia="en-US"/>
    </w:rPr>
  </w:style>
  <w:style w:type="paragraph" w:styleId="IndexHeading">
    <w:name w:val="index heading"/>
    <w:basedOn w:val="Normal"/>
    <w:next w:val="Index1"/>
    <w:semiHidden/>
    <w:pPr>
      <w:tabs>
        <w:tab w:val="clear" w:pos="431"/>
      </w:tabs>
      <w:overflowPunct/>
      <w:adjustRightInd/>
      <w:snapToGrid/>
      <w:spacing w:line="240" w:lineRule="auto"/>
      <w:jc w:val="left"/>
    </w:pPr>
    <w:rPr>
      <w:snapToGrid/>
      <w:sz w:val="24"/>
      <w:szCs w:val="24"/>
      <w:lang w:val="en-GB" w:eastAsia="en-US"/>
    </w:rPr>
  </w:style>
  <w:style w:type="paragraph" w:customStyle="1" w:styleId="Tekst">
    <w:name w:val="Tekst"/>
    <w:basedOn w:val="Normal"/>
    <w:link w:val="TekstChar"/>
    <w:pPr>
      <w:tabs>
        <w:tab w:val="clear" w:pos="431"/>
      </w:tabs>
      <w:overflowPunct/>
      <w:adjustRightInd/>
      <w:snapToGrid/>
      <w:spacing w:before="120" w:line="240" w:lineRule="auto"/>
    </w:pPr>
    <w:rPr>
      <w:snapToGrid/>
      <w:sz w:val="24"/>
      <w:szCs w:val="24"/>
      <w:lang w:val="sr-Cyrl-CS" w:eastAsia="en-US"/>
    </w:rPr>
  </w:style>
  <w:style w:type="paragraph" w:customStyle="1" w:styleId="Podnaslov">
    <w:name w:val="Podnaslov"/>
    <w:basedOn w:val="Normal"/>
    <w:pPr>
      <w:tabs>
        <w:tab w:val="clear" w:pos="431"/>
      </w:tabs>
      <w:overflowPunct/>
      <w:adjustRightInd/>
      <w:snapToGrid/>
      <w:spacing w:line="240" w:lineRule="auto"/>
      <w:jc w:val="center"/>
    </w:pPr>
    <w:rPr>
      <w:rFonts w:ascii="Verdana" w:hAnsi="Verdana"/>
      <w:b/>
      <w:bCs/>
      <w:caps/>
      <w:snapToGrid/>
      <w:sz w:val="28"/>
      <w:szCs w:val="24"/>
      <w:lang w:val="sr-Latn-CS" w:eastAsia="en-U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Pr>
      <w:lang w:val="en-AU" w:eastAsia="en-US"/>
    </w:rPr>
  </w:style>
  <w:style w:type="paragraph" w:customStyle="1" w:styleId="Medunaslov">
    <w:name w:val="Medunaslov"/>
    <w:basedOn w:val="ListContinue"/>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pPr>
      <w:numPr>
        <w:numId w:val="12"/>
      </w:numPr>
      <w:tabs>
        <w:tab w:val="clear" w:pos="431"/>
      </w:tabs>
      <w:overflowPunct/>
      <w:adjustRightInd/>
      <w:snapToGrid/>
      <w:spacing w:line="240" w:lineRule="auto"/>
      <w:jc w:val="left"/>
    </w:pPr>
    <w:rPr>
      <w:snapToGrid/>
      <w:sz w:val="24"/>
      <w:szCs w:val="24"/>
      <w:lang w:val="en-GB" w:eastAsia="en-US"/>
    </w:rPr>
  </w:style>
  <w:style w:type="paragraph" w:customStyle="1" w:styleId="COEHeading5">
    <w:name w:val="COE_Heading5"/>
    <w:basedOn w:val="Normal"/>
    <w:next w:val="Normal"/>
    <w:pPr>
      <w:keepNext/>
      <w:tabs>
        <w:tab w:val="clear" w:pos="431"/>
        <w:tab w:val="left" w:pos="570"/>
        <w:tab w:val="right" w:pos="8892"/>
      </w:tabs>
      <w:overflowPunct/>
      <w:adjustRightInd/>
      <w:snapToGrid/>
      <w:spacing w:before="240" w:line="240" w:lineRule="auto"/>
      <w:ind w:left="567" w:hanging="567"/>
    </w:pPr>
    <w:rPr>
      <w:rFonts w:ascii="AvantGarde" w:hAnsi="AvantGarde"/>
      <w:bCs/>
      <w:snapToGrid/>
      <w:sz w:val="20"/>
      <w:szCs w:val="22"/>
      <w:u w:val="single"/>
      <w:lang w:val="en-GB" w:eastAsia="fr-FR"/>
    </w:rPr>
  </w:style>
  <w:style w:type="paragraph" w:customStyle="1" w:styleId="tekst0">
    <w:name w:val="tekst"/>
    <w:basedOn w:val="Normal"/>
    <w:link w:val="tekstChar0"/>
    <w:pPr>
      <w:tabs>
        <w:tab w:val="clear" w:pos="431"/>
      </w:tabs>
      <w:overflowPunct/>
      <w:adjustRightInd/>
      <w:snapToGrid/>
      <w:spacing w:before="240" w:line="240" w:lineRule="auto"/>
    </w:pPr>
    <w:rPr>
      <w:snapToGrid/>
      <w:sz w:val="22"/>
      <w:szCs w:val="24"/>
      <w:lang w:val="sr-Cyrl-BA" w:eastAsia="en-US"/>
    </w:rPr>
  </w:style>
  <w:style w:type="paragraph" w:customStyle="1" w:styleId="Aktivnosti">
    <w:name w:val="Aktivnosti"/>
    <w:basedOn w:val="TOC5"/>
    <w:next w:val="TOC3"/>
    <w:pPr>
      <w:numPr>
        <w:numId w:val="13"/>
      </w:numPr>
      <w:tabs>
        <w:tab w:val="clear" w:pos="2340"/>
      </w:tabs>
      <w:ind w:left="960" w:firstLine="0"/>
    </w:pPr>
  </w:style>
  <w:style w:type="paragraph" w:styleId="ListParagraph">
    <w:name w:val="List Paragraph"/>
    <w:basedOn w:val="Normal"/>
    <w:qFormat/>
    <w:pPr>
      <w:tabs>
        <w:tab w:val="clear" w:pos="431"/>
      </w:tabs>
      <w:overflowPunct/>
      <w:adjustRightInd/>
      <w:snapToGrid/>
      <w:spacing w:line="240" w:lineRule="auto"/>
      <w:ind w:left="720"/>
      <w:contextualSpacing/>
      <w:jc w:val="left"/>
    </w:pPr>
    <w:rPr>
      <w:snapToGrid/>
      <w:sz w:val="24"/>
      <w:szCs w:val="24"/>
      <w:lang w:val="sr-Cyrl-CS" w:eastAsia="hr-HR"/>
    </w:rPr>
  </w:style>
  <w:style w:type="character" w:customStyle="1" w:styleId="CharChar110">
    <w:name w:val=" Char Char11"/>
    <w:rPr>
      <w:rFonts w:ascii="Tahoma" w:hAnsi="Tahoma"/>
      <w:sz w:val="22"/>
      <w:lang w:val="sr-Cyrl-CS" w:eastAsia="en-US"/>
    </w:rPr>
  </w:style>
  <w:style w:type="character" w:customStyle="1" w:styleId="CharChar20">
    <w:name w:val=" Char Char20"/>
    <w:rPr>
      <w:rFonts w:ascii="Arial" w:eastAsia="Calibri" w:hAnsi="Arial" w:cs="Arial"/>
      <w:b/>
      <w:iCs/>
      <w:sz w:val="24"/>
      <w:szCs w:val="24"/>
      <w:lang w:val="hr-HR" w:eastAsia="hr-HR"/>
    </w:rPr>
  </w:style>
  <w:style w:type="paragraph" w:customStyle="1" w:styleId="Normal1">
    <w:name w:val="Normal+1"/>
    <w:basedOn w:val="Default"/>
    <w:next w:val="Default"/>
    <w:rPr>
      <w:rFonts w:ascii="Times New Roman" w:eastAsia="Calibri" w:hAnsi="Times New Roman" w:cs="Times New Roman"/>
      <w:snapToGrid/>
      <w:color w:val="auto"/>
      <w:lang w:val="hr-HR" w:eastAsia="en-US"/>
    </w:rPr>
  </w:style>
  <w:style w:type="character" w:customStyle="1" w:styleId="TekstChar">
    <w:name w:val="Tekst Char"/>
    <w:link w:val="Tekst"/>
    <w:rPr>
      <w:rFonts w:eastAsia="SimSun"/>
      <w:sz w:val="24"/>
      <w:szCs w:val="24"/>
      <w:lang w:val="sr-Cyrl-CS" w:eastAsia="en-US" w:bidi="ar-SA"/>
    </w:rPr>
  </w:style>
  <w:style w:type="character" w:customStyle="1" w:styleId="CharChar21">
    <w:name w:val=" Char Char21"/>
    <w:rPr>
      <w:rFonts w:ascii="Arial" w:hAnsi="Arial" w:cs="Arial"/>
      <w:b/>
      <w:iCs/>
      <w:color w:val="1F1A17"/>
      <w:sz w:val="24"/>
      <w:szCs w:val="24"/>
    </w:rPr>
  </w:style>
  <w:style w:type="character" w:customStyle="1" w:styleId="tekstChar0">
    <w:name w:val="tekst Char"/>
    <w:link w:val="tekst0"/>
    <w:rPr>
      <w:rFonts w:eastAsia="SimSun"/>
      <w:sz w:val="22"/>
      <w:szCs w:val="24"/>
      <w:lang w:val="sr-Cyrl-BA" w:eastAsia="en-US" w:bidi="ar-SA"/>
    </w:rPr>
  </w:style>
  <w:style w:type="paragraph" w:customStyle="1" w:styleId="StyleBodyTextBefore6pt">
    <w:name w:val="Style Body Text + Before:  6 pt"/>
    <w:basedOn w:val="BodyText"/>
    <w:pPr>
      <w:suppressAutoHyphens w:val="0"/>
      <w:spacing w:before="120" w:line="240" w:lineRule="auto"/>
      <w:jc w:val="both"/>
    </w:pPr>
    <w:rPr>
      <w:rFonts w:ascii="Calibri" w:hAnsi="Calibri"/>
      <w:sz w:val="22"/>
      <w:lang w:val="hr-HR"/>
    </w:rPr>
  </w:style>
  <w:style w:type="character" w:customStyle="1" w:styleId="CharChar22">
    <w:name w:val=" Char Char22"/>
    <w:rPr>
      <w:rFonts w:ascii="Arial" w:hAnsi="Arial" w:cs="Arial"/>
      <w:b/>
      <w:iCs/>
      <w:sz w:val="28"/>
      <w:szCs w:val="28"/>
      <w:u w:val="single"/>
      <w:lang w:val="hr-HR" w:eastAsia="hr-HR"/>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aliases w:val="Antraštė 6 Diagrama1 Char1,Antraštė 6 Diagrama Diagrama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character" w:customStyle="1" w:styleId="BodyText3Char">
    <w:name w:val="Body Text 3 Char"/>
    <w:aliases w:val=" Char Char1 Char Char Char"/>
    <w:link w:val="BodyText3"/>
    <w:rPr>
      <w:rFonts w:eastAsia="SimSun"/>
      <w:sz w:val="16"/>
      <w:szCs w:val="16"/>
      <w:lang w:val="en-GB" w:eastAsia="en-US" w:bidi="ar-SA"/>
    </w:rPr>
  </w:style>
  <w:style w:type="character" w:customStyle="1" w:styleId="BodyText2Char">
    <w:name w:val="Body Text 2 Char"/>
    <w:link w:val="BodyTex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harChar80">
    <w:name w:val=" Char Char8"/>
    <w:rPr>
      <w:rFonts w:ascii="Arial" w:hAnsi="Arial"/>
      <w:sz w:val="24"/>
      <w:lang w:val="en-US" w:eastAsia="en-US"/>
    </w:rPr>
  </w:style>
  <w:style w:type="character" w:customStyle="1" w:styleId="CharChar70">
    <w:name w:val=" Char Char7"/>
    <w:rPr>
      <w:rFonts w:ascii="Arial" w:hAnsi="Arial"/>
      <w:sz w:val="24"/>
      <w:lang w:val="en-US" w:eastAsia="en-US"/>
    </w:rPr>
  </w:style>
  <w:style w:type="character" w:customStyle="1" w:styleId="text1">
    <w:name w:val="text1"/>
    <w:rPr>
      <w:rFonts w:ascii="Verdana" w:hAnsi="Verdana" w:hint="default"/>
      <w:b w:val="0"/>
      <w:bCs w:val="0"/>
      <w:i w:val="0"/>
      <w:iCs w:val="0"/>
      <w:caps w:val="0"/>
      <w:color w:val="000000"/>
      <w:sz w:val="15"/>
      <w:szCs w:val="15"/>
    </w:rPr>
  </w:style>
  <w:style w:type="numbering" w:customStyle="1" w:styleId="Style1">
    <w:name w:val="Style1"/>
    <w:pPr>
      <w:numPr>
        <w:numId w:val="14"/>
      </w:numPr>
    </w:pPr>
  </w:style>
  <w:style w:type="paragraph" w:styleId="Revision">
    <w:name w:val="Revision"/>
    <w:hidden/>
    <w:semiHidden/>
    <w:rPr>
      <w:sz w:val="24"/>
      <w:szCs w:val="24"/>
      <w:lang w:val="en-US" w:eastAsia="en-US"/>
    </w:rPr>
  </w:style>
  <w:style w:type="paragraph" w:customStyle="1" w:styleId="StyleBody11ptJustified">
    <w:name w:val="Style +Body 11 pt Justified"/>
    <w:basedOn w:val="Normal"/>
    <w:pPr>
      <w:tabs>
        <w:tab w:val="clear" w:pos="431"/>
      </w:tabs>
      <w:overflowPunct/>
      <w:adjustRightInd/>
      <w:snapToGrid/>
      <w:spacing w:before="120" w:line="240" w:lineRule="auto"/>
    </w:pPr>
    <w:rPr>
      <w:rFonts w:ascii="Calibri" w:hAnsi="Calibri"/>
      <w:snapToGrid/>
      <w:sz w:val="22"/>
      <w:lang w:val="en-GB" w:eastAsia="en-US"/>
    </w:rPr>
  </w:style>
  <w:style w:type="paragraph" w:styleId="TOCHeading">
    <w:name w:val="TOC Heading"/>
    <w:basedOn w:val="Heading1"/>
    <w:next w:val="Normal"/>
    <w:qFormat/>
    <w:pPr>
      <w:widowControl/>
      <w:tabs>
        <w:tab w:val="clear" w:pos="431"/>
      </w:tabs>
      <w:overflowPunct/>
      <w:adjustRightInd/>
      <w:snapToGrid/>
      <w:spacing w:before="480" w:after="0" w:line="276" w:lineRule="auto"/>
      <w:jc w:val="left"/>
      <w:outlineLvl w:val="9"/>
    </w:pPr>
    <w:rPr>
      <w:rFonts w:ascii="Cambria" w:eastAsia="MS Gothic" w:hAnsi="Cambria"/>
      <w:bCs/>
      <w:color w:val="365F91"/>
      <w:kern w:val="0"/>
      <w:sz w:val="28"/>
      <w:szCs w:val="28"/>
      <w:lang w:eastAsia="ja-JP"/>
    </w:rPr>
  </w:style>
  <w:style w:type="character" w:customStyle="1" w:styleId="atn">
    <w:name w:val="atn"/>
    <w:basedOn w:val="DefaultParagraphFont"/>
  </w:style>
  <w:style w:type="character" w:customStyle="1" w:styleId="gt-icon-text">
    <w:name w:val="gt-icon-text"/>
    <w:basedOn w:val="DefaultParagraphFont"/>
  </w:style>
  <w:style w:type="paragraph" w:styleId="Quote">
    <w:name w:val="Quote"/>
    <w:basedOn w:val="Normal"/>
    <w:next w:val="Normal"/>
    <w:link w:val="QuoteChar"/>
    <w:qFormat/>
    <w:pPr>
      <w:tabs>
        <w:tab w:val="clear" w:pos="431"/>
      </w:tabs>
      <w:overflowPunct/>
      <w:adjustRightInd/>
      <w:snapToGrid/>
      <w:spacing w:after="200" w:line="288" w:lineRule="auto"/>
      <w:jc w:val="left"/>
    </w:pPr>
    <w:rPr>
      <w:rFonts w:ascii="Calibri" w:eastAsia="Calibri" w:hAnsi="Calibri" w:cs="Arial"/>
      <w:snapToGrid/>
      <w:color w:val="943634"/>
      <w:sz w:val="20"/>
      <w:lang w:eastAsia="en-US" w:bidi="en-US"/>
    </w:rPr>
  </w:style>
  <w:style w:type="character" w:customStyle="1" w:styleId="QuoteChar">
    <w:name w:val="Quote Char"/>
    <w:link w:val="Quote"/>
    <w:rPr>
      <w:rFonts w:ascii="Calibri" w:eastAsia="Calibri" w:hAnsi="Calibri" w:cs="Arial"/>
      <w:color w:val="943634"/>
      <w:lang w:val="en-US" w:eastAsia="en-US" w:bidi="en-US"/>
    </w:rPr>
  </w:style>
  <w:style w:type="paragraph" w:styleId="IntenseQuote">
    <w:name w:val="Intense Quote"/>
    <w:basedOn w:val="Normal"/>
    <w:next w:val="Normal"/>
    <w:link w:val="IntenseQuoteChar"/>
    <w:qFormat/>
    <w:pPr>
      <w:pBdr>
        <w:top w:val="dotted" w:sz="8" w:space="10" w:color="C0504D"/>
        <w:bottom w:val="dotted" w:sz="8" w:space="10" w:color="C0504D"/>
      </w:pBdr>
      <w:tabs>
        <w:tab w:val="clear" w:pos="431"/>
      </w:tabs>
      <w:overflowPunct/>
      <w:adjustRightInd/>
      <w:snapToGrid/>
      <w:spacing w:after="200" w:line="300" w:lineRule="auto"/>
      <w:ind w:left="2160" w:right="2160"/>
      <w:jc w:val="center"/>
    </w:pPr>
    <w:rPr>
      <w:rFonts w:ascii="Cambria" w:hAnsi="Cambria"/>
      <w:b/>
      <w:bCs/>
      <w:i/>
      <w:iCs/>
      <w:snapToGrid/>
      <w:color w:val="C0504D"/>
      <w:sz w:val="20"/>
      <w:lang w:eastAsia="en-US" w:bidi="en-US"/>
    </w:rPr>
  </w:style>
  <w:style w:type="character" w:customStyle="1" w:styleId="IntenseQuoteChar">
    <w:name w:val="Intense Quote Char"/>
    <w:link w:val="IntenseQuote"/>
    <w:rPr>
      <w:rFonts w:ascii="Cambria" w:eastAsia="SimSun" w:hAnsi="Cambria"/>
      <w:b/>
      <w:bCs/>
      <w:i/>
      <w:iCs/>
      <w:color w:val="C0504D"/>
      <w:lang w:val="en-US" w:eastAsia="en-US" w:bidi="en-US"/>
    </w:rPr>
  </w:style>
  <w:style w:type="character" w:styleId="SubtleEmphasis">
    <w:name w:val="Subtle Emphasis"/>
    <w:qFormat/>
    <w:rPr>
      <w:rFonts w:ascii="Cambria" w:eastAsia="Times New Roman" w:hAnsi="Cambria" w:cs="Times New Roman"/>
      <w:i/>
      <w:iCs/>
      <w:color w:val="C0504D"/>
    </w:rPr>
  </w:style>
  <w:style w:type="character" w:styleId="IntenseEmphasis">
    <w:name w:val="Intense Emphasis"/>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Pr>
      <w:i/>
      <w:iCs/>
      <w:smallCaps/>
      <w:color w:val="C0504D"/>
      <w:u w:color="C0504D"/>
    </w:rPr>
  </w:style>
  <w:style w:type="character" w:styleId="IntenseReference">
    <w:name w:val="Intense Reference"/>
    <w:qFormat/>
    <w:rPr>
      <w:b/>
      <w:bCs/>
      <w:i/>
      <w:iCs/>
      <w:smallCaps/>
      <w:color w:val="C0504D"/>
      <w:u w:color="C0504D"/>
    </w:rPr>
  </w:style>
  <w:style w:type="character" w:styleId="BookTitle">
    <w:name w:val="Book Title"/>
    <w:qFormat/>
    <w:rPr>
      <w:rFonts w:ascii="Cambria" w:eastAsia="Times New Roman" w:hAnsi="Cambria" w:cs="Times New Roman"/>
      <w:b/>
      <w:bCs/>
      <w:i/>
      <w:iCs/>
      <w:smallCaps/>
      <w:color w:val="943634"/>
      <w:u w:val="single"/>
    </w:rPr>
  </w:style>
  <w:style w:type="table" w:styleId="MediumList1-Accent5">
    <w:name w:val="Medium List 1 Accent 5"/>
    <w:basedOn w:val="TableNormal"/>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pPr>
      <w:keepNext/>
      <w:tabs>
        <w:tab w:val="clear" w:pos="431"/>
        <w:tab w:val="right" w:pos="4536"/>
      </w:tabs>
      <w:overflowPunct/>
      <w:adjustRightInd/>
      <w:snapToGrid/>
      <w:spacing w:before="360" w:after="40" w:line="250" w:lineRule="exact"/>
    </w:pPr>
    <w:rPr>
      <w:rFonts w:ascii="GoudyOlSt BT" w:hAnsi="GoudyOlSt BT" w:cs="GoudyOlSt BT"/>
      <w:b/>
      <w:bCs/>
      <w:noProof/>
      <w:sz w:val="24"/>
      <w:szCs w:val="24"/>
      <w:lang w:val="ca-ES" w:eastAsia="fr-FR"/>
    </w:rPr>
  </w:style>
  <w:style w:type="paragraph" w:customStyle="1" w:styleId="Ttolc">
    <w:name w:val="Títol c"/>
    <w:basedOn w:val="Heading3"/>
    <w:link w:val="TtolcCar"/>
    <w:pPr>
      <w:keepLines w:val="0"/>
      <w:widowControl/>
      <w:tabs>
        <w:tab w:val="clear" w:pos="431"/>
      </w:tabs>
      <w:overflowPunct/>
      <w:adjustRightInd/>
      <w:snapToGrid/>
      <w:spacing w:after="0" w:line="360" w:lineRule="auto"/>
      <w:ind w:left="708"/>
      <w:jc w:val="both"/>
    </w:pPr>
    <w:rPr>
      <w:b/>
      <w:noProof/>
      <w:kern w:val="0"/>
      <w:sz w:val="24"/>
      <w:lang w:val="fr-FR" w:eastAsia="fr-FR"/>
    </w:rPr>
  </w:style>
  <w:style w:type="paragraph" w:customStyle="1" w:styleId="Ttola">
    <w:name w:val="Títol a"/>
    <w:basedOn w:val="Heading1"/>
    <w:link w:val="TtolaCar"/>
    <w:autoRedefine/>
    <w:pPr>
      <w:keepLines w:val="0"/>
      <w:widowControl/>
      <w:tabs>
        <w:tab w:val="clear" w:pos="431"/>
      </w:tabs>
      <w:overflowPunct/>
      <w:adjustRightInd/>
      <w:snapToGrid/>
      <w:spacing w:before="240" w:after="60" w:line="360" w:lineRule="auto"/>
      <w:ind w:left="435"/>
      <w:jc w:val="both"/>
    </w:pPr>
    <w:rPr>
      <w:bCs/>
      <w:caps/>
      <w:noProof/>
      <w:snapToGrid w:val="0"/>
      <w:sz w:val="28"/>
      <w:szCs w:val="28"/>
      <w:lang w:val="fr-FR" w:eastAsia="fr-FR"/>
    </w:rPr>
  </w:style>
  <w:style w:type="character" w:customStyle="1" w:styleId="TtolaCar">
    <w:name w:val="Títol a Car"/>
    <w:link w:val="Ttola"/>
    <w:rPr>
      <w:rFonts w:eastAsia="SimSun"/>
      <w:b/>
      <w:bCs/>
      <w:caps/>
      <w:noProof/>
      <w:snapToGrid w:val="0"/>
      <w:kern w:val="32"/>
      <w:sz w:val="28"/>
      <w:szCs w:val="28"/>
      <w:lang w:val="fr-FR" w:eastAsia="fr-FR" w:bidi="ar-SA"/>
    </w:rPr>
  </w:style>
  <w:style w:type="character" w:customStyle="1" w:styleId="TtolcCar">
    <w:name w:val="Títol c Car"/>
    <w:link w:val="Ttolc"/>
    <w:rPr>
      <w:rFonts w:eastAsia="SimSun"/>
      <w:b/>
      <w:noProof/>
      <w:snapToGrid w:val="0"/>
      <w:sz w:val="24"/>
      <w:u w:val="single"/>
      <w:lang w:val="fr-FR" w:eastAsia="fr-FR" w:bidi="ar-SA"/>
    </w:rPr>
  </w:style>
  <w:style w:type="paragraph" w:customStyle="1" w:styleId="Noparagraphstyle">
    <w:name w:val="[No paragraph style]"/>
    <w:pPr>
      <w:autoSpaceDE w:val="0"/>
      <w:autoSpaceDN w:val="0"/>
      <w:adjustRightInd w:val="0"/>
      <w:spacing w:line="288" w:lineRule="auto"/>
      <w:textAlignment w:val="center"/>
    </w:pPr>
    <w:rPr>
      <w:rFonts w:ascii="Times" w:hAnsi="Times" w:cs="Times"/>
      <w:snapToGrid w:val="0"/>
      <w:color w:val="000000"/>
      <w:sz w:val="24"/>
      <w:szCs w:val="24"/>
      <w:lang w:val="es-ES" w:eastAsia="fr-FR"/>
    </w:rPr>
  </w:style>
  <w:style w:type="paragraph" w:customStyle="1" w:styleId="textcom">
    <w:name w:val="text comú"/>
    <w:basedOn w:val="Noparagraphstyle"/>
    <w:next w:val="Noparagraphstyle"/>
    <w:autoRedefine/>
    <w:pPr>
      <w:keepLines/>
      <w:jc w:val="both"/>
      <w:textAlignment w:val="baseline"/>
    </w:pPr>
    <w:rPr>
      <w:rFonts w:ascii="Garamond" w:hAnsi="Garamond" w:cs="Garamond"/>
      <w:color w:val="auto"/>
      <w:sz w:val="20"/>
      <w:szCs w:val="20"/>
      <w:lang w:val="ca-ES"/>
    </w:rPr>
  </w:style>
  <w:style w:type="paragraph" w:customStyle="1" w:styleId="convenis">
    <w:name w:val="convenis"/>
    <w:basedOn w:val="Normal"/>
    <w:pPr>
      <w:tabs>
        <w:tab w:val="clear" w:pos="431"/>
      </w:tabs>
      <w:overflowPunct/>
      <w:adjustRightInd/>
      <w:snapToGrid/>
      <w:spacing w:before="24" w:after="24" w:line="240" w:lineRule="auto"/>
      <w:ind w:left="24" w:right="24"/>
    </w:pPr>
    <w:rPr>
      <w:noProof/>
      <w:sz w:val="24"/>
      <w:szCs w:val="24"/>
      <w:lang w:val="es-ES" w:eastAsia="fr-FR"/>
    </w:rPr>
  </w:style>
  <w:style w:type="paragraph" w:customStyle="1" w:styleId="QUADRE">
    <w:name w:val="QUADRE"/>
    <w:basedOn w:val="BodyText"/>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pPr>
      <w:tabs>
        <w:tab w:val="clear" w:pos="431"/>
        <w:tab w:val="num" w:pos="1440"/>
        <w:tab w:val="left" w:pos="2072"/>
      </w:tabs>
      <w:overflowPunct/>
      <w:adjustRightInd/>
      <w:snapToGrid/>
      <w:spacing w:after="0" w:line="360" w:lineRule="auto"/>
      <w:ind w:left="0"/>
    </w:pPr>
    <w:rPr>
      <w:b/>
      <w:bCs/>
      <w:noProof/>
      <w:sz w:val="24"/>
      <w:szCs w:val="24"/>
      <w:lang w:val="fr-FR" w:eastAsia="fr-FR"/>
    </w:rPr>
  </w:style>
  <w:style w:type="paragraph" w:customStyle="1" w:styleId="xl25">
    <w:name w:val="xl25"/>
    <w:basedOn w:val="Normal"/>
    <w:pPr>
      <w:tabs>
        <w:tab w:val="clear" w:pos="431"/>
      </w:tabs>
      <w:overflowPunct/>
      <w:adjustRightInd/>
      <w:snapToGrid/>
      <w:spacing w:before="100" w:beforeAutospacing="1" w:after="100" w:afterAutospacing="1" w:line="240" w:lineRule="auto"/>
      <w:jc w:val="left"/>
    </w:pPr>
    <w:rPr>
      <w:rFonts w:ascii="Arial0" w:eastAsia="Arial Unicode MS" w:hAnsi="Arial0" w:cs="Arial0"/>
      <w:noProof/>
      <w:snapToGrid/>
      <w:sz w:val="20"/>
      <w:lang w:val="es-ES" w:eastAsia="fr-FR"/>
    </w:rPr>
  </w:style>
  <w:style w:type="paragraph" w:customStyle="1" w:styleId="Justifi">
    <w:name w:val="Justifié"/>
    <w:aliases w:val="Avant : 12 pt Après : 12 pt Interligne : 1,5l"/>
    <w:basedOn w:val="Normal"/>
    <w:pPr>
      <w:tabs>
        <w:tab w:val="clear" w:pos="431"/>
      </w:tabs>
      <w:overflowPunct/>
      <w:adjustRightInd/>
      <w:snapToGrid/>
      <w:spacing w:before="240" w:after="240" w:line="360" w:lineRule="auto"/>
      <w:ind w:left="180"/>
    </w:pPr>
    <w:rPr>
      <w:noProof/>
      <w:sz w:val="24"/>
      <w:lang w:val="ca-ES" w:eastAsia="fr-FR"/>
    </w:rPr>
  </w:style>
  <w:style w:type="paragraph" w:customStyle="1" w:styleId="xl24">
    <w:name w:val="xl24"/>
    <w:basedOn w:val="Normal"/>
    <w:pPr>
      <w:tabs>
        <w:tab w:val="clear" w:pos="431"/>
      </w:tabs>
      <w:overflowPunct/>
      <w:adjustRightInd/>
      <w:snapToGrid/>
      <w:spacing w:before="100" w:beforeAutospacing="1" w:after="100" w:afterAutospacing="1" w:line="240" w:lineRule="auto"/>
      <w:jc w:val="left"/>
    </w:pPr>
    <w:rPr>
      <w:rFonts w:ascii="Arial" w:eastAsia="Arial Unicode MS" w:hAnsi="Arial" w:cs="Arial"/>
      <w:noProof/>
      <w:snapToGrid/>
      <w:sz w:val="24"/>
      <w:szCs w:val="24"/>
      <w:lang w:val="es-ES" w:eastAsia="es-ES"/>
    </w:rPr>
  </w:style>
  <w:style w:type="paragraph" w:customStyle="1" w:styleId="Ttol1Interlineat15lnies">
    <w:name w:val="Títol 1 + Interlineat:  15 línies"/>
    <w:basedOn w:val="Heading1"/>
    <w:pPr>
      <w:keepLines w:val="0"/>
      <w:widowControl/>
      <w:tabs>
        <w:tab w:val="clear" w:pos="431"/>
      </w:tabs>
      <w:overflowPunct/>
      <w:adjustRightInd/>
      <w:snapToGrid/>
      <w:spacing w:before="240" w:after="60" w:line="360" w:lineRule="auto"/>
      <w:jc w:val="both"/>
    </w:pPr>
    <w:rPr>
      <w:b w:val="0"/>
      <w:bCs/>
      <w:noProof/>
      <w:snapToGrid w:val="0"/>
      <w:sz w:val="28"/>
      <w:lang w:val="fr-FR" w:eastAsia="fr-FR"/>
    </w:rPr>
  </w:style>
  <w:style w:type="character" w:customStyle="1" w:styleId="Titre3CarChar">
    <w:name w:val="Titre 3 Car Char"/>
    <w:aliases w:val="Car19 Car Char Char"/>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Pr>
      <w:snapToGrid w:val="0"/>
      <w:lang w:val="fr-FR" w:eastAsia="fr-FR" w:bidi="ar-SA"/>
    </w:rPr>
  </w:style>
  <w:style w:type="paragraph" w:customStyle="1" w:styleId="Prrafodelista">
    <w:name w:val="Párrafo de lista"/>
    <w:basedOn w:val="Normal"/>
    <w:qFormat/>
    <w:pPr>
      <w:tabs>
        <w:tab w:val="clear" w:pos="431"/>
      </w:tabs>
      <w:overflowPunct/>
      <w:adjustRightInd/>
      <w:snapToGrid/>
      <w:spacing w:line="240" w:lineRule="auto"/>
      <w:ind w:left="708"/>
      <w:jc w:val="left"/>
    </w:pPr>
    <w:rPr>
      <w:noProof/>
      <w:sz w:val="24"/>
      <w:szCs w:val="24"/>
      <w:lang w:val="fr-FR" w:eastAsia="fr-FR"/>
    </w:rPr>
  </w:style>
  <w:style w:type="paragraph" w:customStyle="1" w:styleId="2">
    <w:name w:val="页眉2"/>
    <w:basedOn w:val="Normal"/>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paragraph" w:customStyle="1" w:styleId="ParaNoG">
    <w:name w:val="_ParaNo._G"/>
    <w:basedOn w:val="SingleTxtG"/>
    <w:pPr>
      <w:numPr>
        <w:numId w:val="1"/>
      </w:numPr>
    </w:pPr>
  </w:style>
  <w:style w:type="paragraph" w:customStyle="1" w:styleId="H23GR">
    <w:name w:val="_ H_2/3_GR"/>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character" w:customStyle="1" w:styleId="HMGChar">
    <w:name w:val="_ H __M_G Char"/>
    <w:link w:val="HMG"/>
    <w:rPr>
      <w:rFonts w:eastAsia="SimSun"/>
      <w:b/>
      <w:sz w:val="34"/>
      <w:lang w:val="en-GB" w:eastAsia="en-US" w:bidi="ar-SA"/>
    </w:rPr>
  </w:style>
  <w:style w:type="paragraph" w:customStyle="1" w:styleId="Sinespaciado1">
    <w:name w:val="Sin espaciado1"/>
    <w:semiHidden/>
    <w:pPr>
      <w:suppressAutoHyphens/>
    </w:pPr>
    <w:rPr>
      <w:sz w:val="22"/>
      <w:szCs w:val="22"/>
      <w:lang w:val="en-US" w:eastAsia="ar-SA"/>
    </w:rPr>
  </w:style>
  <w:style w:type="character" w:customStyle="1" w:styleId="shorttext">
    <w:name w:val="short_text"/>
    <w:basedOn w:val="DefaultParagraphFont"/>
  </w:style>
  <w:style w:type="character" w:customStyle="1" w:styleId="SingleTxtGCChar">
    <w:name w:val="_ Single Txt_GC Char"/>
    <w:link w:val="SingleTxtGC"/>
    <w:locke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dicid.org"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dohacentre.org" TargetMode="External"/><Relationship Id="rId17" Type="http://schemas.openxmlformats.org/officeDocument/2006/relationships/image" Target="media/image4.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qix.gov.qa"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df.org.qa"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qix.gov.qa" TargetMode="External"/><Relationship Id="rId23" Type="http://schemas.openxmlformats.org/officeDocument/2006/relationships/footer" Target="footer3.xml"/><Relationship Id="rId10" Type="http://schemas.openxmlformats.org/officeDocument/2006/relationships/hyperlink" Target="http://www.nhrc-qa.or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qsa.gov.qa"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9</TotalTime>
  <Pages>1</Pages>
  <Words>14564</Words>
  <Characters>83017</Characters>
  <Application>Microsoft Office Word</Application>
  <DocSecurity>4</DocSecurity>
  <Lines>691</Lines>
  <Paragraphs>194</Paragraphs>
  <ScaleCrop>false</ScaleCrop>
  <HeadingPairs>
    <vt:vector size="2" baseType="variant">
      <vt:variant>
        <vt:lpstr>Titre</vt:lpstr>
      </vt:variant>
      <vt:variant>
        <vt:i4>1</vt:i4>
      </vt:variant>
    </vt:vector>
  </HeadingPairs>
  <TitlesOfParts>
    <vt:vector size="1" baseType="lpstr">
      <vt:lpstr>Normal</vt:lpstr>
    </vt:vector>
  </TitlesOfParts>
  <Company>CSD</Company>
  <LinksUpToDate>false</LinksUpToDate>
  <CharactersWithSpaces>97387</CharactersWithSpaces>
  <SharedDoc>false</SharedDoc>
  <HLinks>
    <vt:vector size="42" baseType="variant">
      <vt:variant>
        <vt:i4>7143479</vt:i4>
      </vt:variant>
      <vt:variant>
        <vt:i4>21</vt:i4>
      </vt:variant>
      <vt:variant>
        <vt:i4>0</vt:i4>
      </vt:variant>
      <vt:variant>
        <vt:i4>5</vt:i4>
      </vt:variant>
      <vt:variant>
        <vt:lpwstr>http://www.qix.gov.qa/</vt:lpwstr>
      </vt:variant>
      <vt:variant>
        <vt:lpwstr/>
      </vt:variant>
      <vt:variant>
        <vt:i4>7143479</vt:i4>
      </vt:variant>
      <vt:variant>
        <vt:i4>18</vt:i4>
      </vt:variant>
      <vt:variant>
        <vt:i4>0</vt:i4>
      </vt:variant>
      <vt:variant>
        <vt:i4>5</vt:i4>
      </vt:variant>
      <vt:variant>
        <vt:lpwstr>http://www.qix.gov.qa/</vt:lpwstr>
      </vt:variant>
      <vt:variant>
        <vt:lpwstr/>
      </vt:variant>
      <vt:variant>
        <vt:i4>7602221</vt:i4>
      </vt:variant>
      <vt:variant>
        <vt:i4>15</vt:i4>
      </vt:variant>
      <vt:variant>
        <vt:i4>0</vt:i4>
      </vt:variant>
      <vt:variant>
        <vt:i4>5</vt:i4>
      </vt:variant>
      <vt:variant>
        <vt:lpwstr>http://www.qsa.gov.qa/</vt:lpwstr>
      </vt:variant>
      <vt:variant>
        <vt:lpwstr/>
      </vt:variant>
      <vt:variant>
        <vt:i4>4194316</vt:i4>
      </vt:variant>
      <vt:variant>
        <vt:i4>12</vt:i4>
      </vt:variant>
      <vt:variant>
        <vt:i4>0</vt:i4>
      </vt:variant>
      <vt:variant>
        <vt:i4>5</vt:i4>
      </vt:variant>
      <vt:variant>
        <vt:lpwstr>http://www.dicid.org/</vt:lpwstr>
      </vt:variant>
      <vt:variant>
        <vt:lpwstr/>
      </vt:variant>
      <vt:variant>
        <vt:i4>2818082</vt:i4>
      </vt:variant>
      <vt:variant>
        <vt:i4>9</vt:i4>
      </vt:variant>
      <vt:variant>
        <vt:i4>0</vt:i4>
      </vt:variant>
      <vt:variant>
        <vt:i4>5</vt:i4>
      </vt:variant>
      <vt:variant>
        <vt:lpwstr>http://www.dohacentre.org/</vt:lpwstr>
      </vt:variant>
      <vt:variant>
        <vt:lpwstr/>
      </vt:variant>
      <vt:variant>
        <vt:i4>7995431</vt:i4>
      </vt:variant>
      <vt:variant>
        <vt:i4>6</vt:i4>
      </vt:variant>
      <vt:variant>
        <vt:i4>0</vt:i4>
      </vt:variant>
      <vt:variant>
        <vt:i4>5</vt:i4>
      </vt:variant>
      <vt:variant>
        <vt:lpwstr>http://www.adf.org.qa/</vt:lpwstr>
      </vt:variant>
      <vt:variant>
        <vt:lpwstr/>
      </vt:variant>
      <vt:variant>
        <vt:i4>7536758</vt:i4>
      </vt:variant>
      <vt:variant>
        <vt:i4>3</vt:i4>
      </vt:variant>
      <vt:variant>
        <vt:i4>0</vt:i4>
      </vt:variant>
      <vt:variant>
        <vt:i4>5</vt:i4>
      </vt:variant>
      <vt:variant>
        <vt:lpwstr>http://www.nhrc-qa.org/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dc:creator>
  <cp:keywords/>
  <dc:description/>
  <cp:lastModifiedBy>CSD</cp:lastModifiedBy>
  <cp:revision>5</cp:revision>
  <cp:lastPrinted>2012-12-17T14:13:00Z</cp:lastPrinted>
  <dcterms:created xsi:type="dcterms:W3CDTF">2012-12-17T15:51:00Z</dcterms:created>
  <dcterms:modified xsi:type="dcterms:W3CDTF">2012-12-17T16:06:00Z</dcterms:modified>
</cp:coreProperties>
</file>