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D54371" w14:textId="77777777" w:rsidR="00BC3AC7" w:rsidRPr="001324A4" w:rsidRDefault="00BC3AC7" w:rsidP="00BC3AC7">
      <w:pPr>
        <w:spacing w:line="240" w:lineRule="auto"/>
        <w:rPr>
          <w:sz w:val="2"/>
        </w:rPr>
        <w:sectPr w:rsidR="00BC3AC7" w:rsidRPr="001324A4" w:rsidSect="001324A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1324A4">
        <w:rPr>
          <w:rStyle w:val="CommentReference"/>
        </w:rPr>
        <w:commentReference w:id="0"/>
      </w:r>
      <w:bookmarkStart w:id="1" w:name="BeginPage"/>
      <w:bookmarkEnd w:id="1"/>
    </w:p>
    <w:p w14:paraId="5981CFC2" w14:textId="3F4D0F21" w:rsidR="001324A4" w:rsidRPr="00C92BA2" w:rsidRDefault="001324A4" w:rsidP="001324A4">
      <w:pPr>
        <w:pStyle w:val="H1"/>
        <w:tabs>
          <w:tab w:val="clear" w:pos="1742"/>
        </w:tabs>
        <w:ind w:left="0" w:right="4350" w:firstLine="0"/>
      </w:pPr>
      <w:r w:rsidRPr="00C92BA2">
        <w:t>Committee on the Elimination of Discrimination against Women</w:t>
      </w:r>
    </w:p>
    <w:p w14:paraId="240E0FFC" w14:textId="77777777" w:rsidR="001324A4" w:rsidRPr="001324A4" w:rsidRDefault="001324A4" w:rsidP="001324A4">
      <w:pPr>
        <w:pStyle w:val="SingleTxt"/>
        <w:spacing w:after="0" w:line="120" w:lineRule="exact"/>
        <w:rPr>
          <w:sz w:val="10"/>
        </w:rPr>
      </w:pPr>
    </w:p>
    <w:p w14:paraId="5BF5D0AB" w14:textId="77777777" w:rsidR="001324A4" w:rsidRPr="001324A4" w:rsidRDefault="001324A4" w:rsidP="001324A4">
      <w:pPr>
        <w:pStyle w:val="SingleTxt"/>
        <w:spacing w:after="0" w:line="120" w:lineRule="exact"/>
        <w:rPr>
          <w:sz w:val="10"/>
        </w:rPr>
      </w:pPr>
    </w:p>
    <w:p w14:paraId="57E18D3C" w14:textId="77777777" w:rsidR="001324A4" w:rsidRPr="001324A4" w:rsidRDefault="001324A4" w:rsidP="001324A4">
      <w:pPr>
        <w:pStyle w:val="SingleTxt"/>
        <w:spacing w:after="0" w:line="120" w:lineRule="exact"/>
        <w:rPr>
          <w:sz w:val="10"/>
        </w:rPr>
      </w:pPr>
    </w:p>
    <w:p w14:paraId="201DFC4D" w14:textId="79B05755" w:rsidR="001324A4" w:rsidRPr="001324A4" w:rsidRDefault="001324A4" w:rsidP="001324A4">
      <w:pPr>
        <w:framePr w:w="9792" w:h="432" w:hSpace="180" w:wrap="notBeside" w:hAnchor="page" w:x="1210" w:yAlign="bottom"/>
        <w:spacing w:line="240" w:lineRule="auto"/>
        <w:rPr>
          <w:sz w:val="2"/>
        </w:rPr>
      </w:pPr>
      <w:r w:rsidRPr="001324A4">
        <w:rPr>
          <w:noProof/>
          <w:w w:val="100"/>
          <w:sz w:val="2"/>
        </w:rPr>
        <mc:AlternateContent>
          <mc:Choice Requires="wps">
            <w:drawing>
              <wp:anchor distT="0" distB="0" distL="114300" distR="114300" simplePos="0" relativeHeight="251659264" behindDoc="0" locked="0" layoutInCell="1" allowOverlap="1" wp14:anchorId="7D133F47" wp14:editId="5DAC4CA0">
                <wp:simplePos x="0" y="0"/>
                <wp:positionH relativeFrom="page">
                  <wp:posOffset>639445</wp:posOffset>
                </wp:positionH>
                <wp:positionV relativeFrom="paragraph">
                  <wp:posOffset>-12700</wp:posOffset>
                </wp:positionV>
                <wp:extent cx="914400" cy="0"/>
                <wp:effectExtent l="0" t="0" r="0" b="0"/>
                <wp:wrapNone/>
                <wp:docPr id="161020526"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24AA10"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2A8E70E6" w14:textId="7092B111" w:rsidR="001324A4" w:rsidRPr="001324A4" w:rsidRDefault="001324A4" w:rsidP="001324A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14:ligatures w14:val="none"/>
        </w:rPr>
      </w:pPr>
      <w:r w:rsidRPr="001324A4">
        <w:rPr>
          <w:spacing w:val="5"/>
          <w:w w:val="104"/>
          <w:sz w:val="17"/>
          <w14:ligatures w14:val="none"/>
        </w:rPr>
        <w:tab/>
        <w:t>*</w:t>
      </w:r>
      <w:r w:rsidRPr="001324A4">
        <w:rPr>
          <w:spacing w:val="5"/>
          <w:w w:val="104"/>
          <w:sz w:val="17"/>
          <w14:ligatures w14:val="none"/>
        </w:rPr>
        <w:tab/>
        <w:t>The present document is being issued without formal editing.</w:t>
      </w:r>
    </w:p>
    <w:p w14:paraId="640C2682" w14:textId="51DFEDBA" w:rsidR="001324A4" w:rsidRPr="00C92BA2" w:rsidRDefault="001324A4" w:rsidP="001324A4">
      <w:pPr>
        <w:pStyle w:val="TitleHCH"/>
        <w:tabs>
          <w:tab w:val="clear" w:pos="1742"/>
        </w:tabs>
        <w:ind w:left="1267" w:right="1267"/>
        <w:rPr>
          <w:rStyle w:val="SingleTxtChar"/>
        </w:rPr>
      </w:pPr>
      <w:r w:rsidRPr="00C92BA2">
        <w:t>Information received from South Africa on follow-up to the concluding observations on its fifth periodic report</w:t>
      </w:r>
      <w:r w:rsidRPr="00723392">
        <w:rPr>
          <w:rFonts w:ascii="Times New Roman" w:eastAsiaTheme="minorHAnsi" w:hAnsi="Times New Roman" w:cs="Times New Roman"/>
          <w:b w:val="0"/>
          <w:spacing w:val="0"/>
          <w:w w:val="100"/>
          <w:position w:val="2"/>
          <w:sz w:val="20"/>
          <w:szCs w:val="20"/>
        </w:rPr>
        <w:t>*</w:t>
      </w:r>
    </w:p>
    <w:p w14:paraId="51B05E19" w14:textId="77777777" w:rsidR="001324A4" w:rsidRDefault="001324A4" w:rsidP="001324A4">
      <w:pPr>
        <w:pStyle w:val="SingleTxt"/>
        <w:spacing w:after="0" w:line="120" w:lineRule="exact"/>
        <w:rPr>
          <w:w w:val="100"/>
          <w:sz w:val="10"/>
        </w:rPr>
      </w:pPr>
    </w:p>
    <w:p w14:paraId="65D77133" w14:textId="77777777" w:rsidR="009B6E0D" w:rsidRPr="001324A4" w:rsidRDefault="009B6E0D" w:rsidP="001324A4">
      <w:pPr>
        <w:pStyle w:val="SingleTxt"/>
        <w:spacing w:after="0" w:line="120" w:lineRule="exact"/>
        <w:rPr>
          <w:w w:val="100"/>
          <w:sz w:val="10"/>
        </w:rPr>
      </w:pPr>
    </w:p>
    <w:p w14:paraId="412E2BAF" w14:textId="77777777" w:rsidR="001324A4" w:rsidRPr="001324A4" w:rsidRDefault="001324A4" w:rsidP="001324A4">
      <w:pPr>
        <w:pStyle w:val="SingleTxtG"/>
        <w:jc w:val="right"/>
      </w:pPr>
      <w:r w:rsidRPr="001324A4">
        <w:t xml:space="preserve">[Date received: </w:t>
      </w:r>
      <w:r w:rsidRPr="00C92BA2">
        <w:t>23</w:t>
      </w:r>
      <w:r w:rsidRPr="001324A4">
        <w:t xml:space="preserve"> July </w:t>
      </w:r>
      <w:r w:rsidRPr="00C92BA2">
        <w:t>2024</w:t>
      </w:r>
      <w:r w:rsidRPr="001324A4">
        <w:t>]</w:t>
      </w:r>
    </w:p>
    <w:p w14:paraId="234EA5FA" w14:textId="77777777" w:rsidR="001324A4" w:rsidRPr="001324A4" w:rsidRDefault="001324A4" w:rsidP="001324A4">
      <w:pPr>
        <w:suppressAutoHyphens w:val="0"/>
        <w:spacing w:after="200" w:line="276" w:lineRule="auto"/>
      </w:pPr>
      <w:r w:rsidRPr="001324A4">
        <w:br w:type="page"/>
      </w:r>
    </w:p>
    <w:p w14:paraId="1B4233A6" w14:textId="77777777" w:rsidR="001324A4" w:rsidRPr="00C92BA2" w:rsidRDefault="001324A4" w:rsidP="001324A4">
      <w:pPr>
        <w:pStyle w:val="HCh"/>
        <w:spacing w:after="0"/>
        <w:ind w:left="1267" w:right="1260" w:hanging="1267"/>
        <w:rPr>
          <w:rFonts w:ascii="Times New Roman Bold" w:hAnsi="Times New Roman Bold"/>
          <w:b/>
          <w:bCs/>
        </w:rPr>
      </w:pPr>
      <w:r w:rsidRPr="00C92BA2">
        <w:rPr>
          <w:rFonts w:ascii="Times New Roman Bold" w:hAnsi="Times New Roman Bold"/>
          <w:b/>
          <w:bCs/>
        </w:rPr>
        <w:lastRenderedPageBreak/>
        <w:tab/>
        <w:t>I.</w:t>
      </w:r>
      <w:r w:rsidRPr="00C92BA2">
        <w:rPr>
          <w:rFonts w:ascii="Times New Roman Bold" w:hAnsi="Times New Roman Bold"/>
          <w:b/>
          <w:bCs/>
        </w:rPr>
        <w:tab/>
        <w:t>Introduction</w:t>
      </w:r>
    </w:p>
    <w:p w14:paraId="7A83B062" w14:textId="77777777" w:rsidR="001324A4" w:rsidRPr="001324A4" w:rsidRDefault="001324A4" w:rsidP="001324A4">
      <w:pPr>
        <w:pStyle w:val="SingleTxt"/>
        <w:spacing w:after="0" w:line="120" w:lineRule="exact"/>
        <w:rPr>
          <w:sz w:val="10"/>
        </w:rPr>
      </w:pPr>
    </w:p>
    <w:p w14:paraId="61B0ED36" w14:textId="77777777" w:rsidR="001324A4" w:rsidRPr="001324A4" w:rsidRDefault="001324A4" w:rsidP="001324A4">
      <w:pPr>
        <w:pStyle w:val="SingleTxt"/>
        <w:spacing w:after="0" w:line="120" w:lineRule="exact"/>
        <w:rPr>
          <w:sz w:val="10"/>
        </w:rPr>
      </w:pPr>
    </w:p>
    <w:p w14:paraId="686EF9B6" w14:textId="77777777" w:rsidR="00996E34" w:rsidRPr="001324A4" w:rsidRDefault="001324A4" w:rsidP="001324A4">
      <w:pPr>
        <w:pStyle w:val="SingleTxt"/>
        <w:rPr>
          <w:rFonts w:cs="Times New Roman"/>
          <w:szCs w:val="20"/>
        </w:rPr>
      </w:pPr>
      <w:r w:rsidRPr="00C92BA2">
        <w:rPr>
          <w:rFonts w:cs="Times New Roman"/>
          <w:szCs w:val="20"/>
        </w:rPr>
        <w:t>1</w:t>
      </w:r>
      <w:r w:rsidRPr="001324A4">
        <w:rPr>
          <w:rFonts w:cs="Times New Roman"/>
          <w:szCs w:val="20"/>
        </w:rPr>
        <w:t>.</w:t>
      </w:r>
      <w:r w:rsidRPr="001324A4">
        <w:rPr>
          <w:rFonts w:cs="Times New Roman"/>
          <w:szCs w:val="20"/>
        </w:rPr>
        <w:tab/>
        <w:t xml:space="preserve">The Committee on the Elimination of Discrimination against Women having considered the fifth periodic report submitted by South Africa and examination of the report at the Committee’s eightieth session held in October/November </w:t>
      </w:r>
      <w:r w:rsidRPr="00C92BA2">
        <w:rPr>
          <w:rFonts w:cs="Times New Roman"/>
          <w:szCs w:val="20"/>
        </w:rPr>
        <w:t>2021</w:t>
      </w:r>
      <w:r w:rsidRPr="001324A4">
        <w:rPr>
          <w:rFonts w:cs="Times New Roman"/>
          <w:szCs w:val="20"/>
        </w:rPr>
        <w:t>, transmitted the Committee’s concluding observations to the Permanent Mission of South Africa.</w:t>
      </w:r>
      <w:r w:rsidR="00996E34">
        <w:rPr>
          <w:rFonts w:cs="Times New Roman"/>
          <w:szCs w:val="20"/>
        </w:rPr>
        <w:t xml:space="preserve"> </w:t>
      </w:r>
    </w:p>
    <w:p w14:paraId="75BEB14B" w14:textId="77777777" w:rsidR="00996E34" w:rsidRPr="001324A4" w:rsidRDefault="001324A4" w:rsidP="001324A4">
      <w:pPr>
        <w:pStyle w:val="SingleTxt"/>
        <w:rPr>
          <w:rFonts w:cs="Times New Roman"/>
          <w:szCs w:val="20"/>
        </w:rPr>
      </w:pPr>
      <w:r w:rsidRPr="00C92BA2">
        <w:rPr>
          <w:rFonts w:cs="Times New Roman"/>
          <w:szCs w:val="20"/>
        </w:rPr>
        <w:t>2</w:t>
      </w:r>
      <w:r w:rsidRPr="001324A4">
        <w:rPr>
          <w:rFonts w:cs="Times New Roman"/>
          <w:szCs w:val="20"/>
        </w:rPr>
        <w:t>.</w:t>
      </w:r>
      <w:r w:rsidRPr="001324A4">
        <w:rPr>
          <w:rFonts w:cs="Times New Roman"/>
          <w:szCs w:val="20"/>
        </w:rPr>
        <w:tab/>
        <w:t xml:space="preserve">In paragraph </w:t>
      </w:r>
      <w:r w:rsidRPr="00C92BA2">
        <w:rPr>
          <w:rFonts w:cs="Times New Roman"/>
          <w:szCs w:val="20"/>
        </w:rPr>
        <w:t>67</w:t>
      </w:r>
      <w:r w:rsidRPr="001324A4">
        <w:rPr>
          <w:rFonts w:cs="Times New Roman"/>
          <w:szCs w:val="20"/>
        </w:rPr>
        <w:t xml:space="preserve"> on follow-up to the concluding observations, the Committee requested South Africa to provide, within two years, written information on the steps taken to implement the recommendations contained in paragraphs </w:t>
      </w:r>
      <w:r w:rsidRPr="00C92BA2">
        <w:rPr>
          <w:rFonts w:cs="Times New Roman"/>
          <w:szCs w:val="20"/>
        </w:rPr>
        <w:t>10</w:t>
      </w:r>
      <w:r w:rsidRPr="001324A4">
        <w:rPr>
          <w:rFonts w:cs="Times New Roman"/>
          <w:szCs w:val="20"/>
        </w:rPr>
        <w:t xml:space="preserve"> (b) (c), </w:t>
      </w:r>
      <w:r w:rsidRPr="00C92BA2">
        <w:rPr>
          <w:rFonts w:cs="Times New Roman"/>
          <w:szCs w:val="20"/>
        </w:rPr>
        <w:t>28</w:t>
      </w:r>
      <w:r w:rsidRPr="001324A4">
        <w:rPr>
          <w:rFonts w:cs="Times New Roman"/>
          <w:szCs w:val="20"/>
        </w:rPr>
        <w:t xml:space="preserve"> (e) and </w:t>
      </w:r>
      <w:r w:rsidRPr="00C92BA2">
        <w:rPr>
          <w:rFonts w:cs="Times New Roman"/>
          <w:szCs w:val="20"/>
        </w:rPr>
        <w:t>34</w:t>
      </w:r>
      <w:r w:rsidRPr="001324A4">
        <w:rPr>
          <w:rFonts w:cs="Times New Roman"/>
          <w:szCs w:val="20"/>
        </w:rPr>
        <w:t xml:space="preserve"> (b) of the concluding observations.</w:t>
      </w:r>
      <w:r w:rsidR="00996E34">
        <w:rPr>
          <w:rFonts w:cs="Times New Roman"/>
          <w:szCs w:val="20"/>
        </w:rPr>
        <w:t xml:space="preserve"> </w:t>
      </w:r>
    </w:p>
    <w:p w14:paraId="4350F5FC" w14:textId="2FA47DC9" w:rsidR="001324A4" w:rsidRPr="001324A4" w:rsidRDefault="001324A4" w:rsidP="001324A4">
      <w:pPr>
        <w:pStyle w:val="SingleTxt"/>
        <w:rPr>
          <w:rFonts w:cs="Times New Roman"/>
          <w:szCs w:val="20"/>
        </w:rPr>
      </w:pPr>
      <w:r w:rsidRPr="00C92BA2">
        <w:rPr>
          <w:rFonts w:cs="Times New Roman"/>
          <w:szCs w:val="20"/>
        </w:rPr>
        <w:t>3</w:t>
      </w:r>
      <w:r w:rsidRPr="001324A4">
        <w:rPr>
          <w:rFonts w:cs="Times New Roman"/>
          <w:szCs w:val="20"/>
        </w:rPr>
        <w:t>.</w:t>
      </w:r>
      <w:r w:rsidRPr="001324A4">
        <w:rPr>
          <w:rFonts w:cs="Times New Roman"/>
          <w:szCs w:val="20"/>
        </w:rPr>
        <w:tab/>
        <w:t xml:space="preserve">Hereunder are the specific recommendations and Government responses elicited from the various South African Government Departments, whose mandates is relevant to the above-mentioned concluding observations and recommendations. </w:t>
      </w:r>
    </w:p>
    <w:p w14:paraId="6C59F866" w14:textId="77777777" w:rsidR="001324A4" w:rsidRPr="001324A4" w:rsidRDefault="001324A4" w:rsidP="001324A4">
      <w:pPr>
        <w:pStyle w:val="SingleTxt"/>
        <w:spacing w:after="0" w:line="120" w:lineRule="exact"/>
        <w:rPr>
          <w:rFonts w:cs="Times New Roman"/>
          <w:sz w:val="10"/>
          <w:szCs w:val="20"/>
        </w:rPr>
      </w:pPr>
    </w:p>
    <w:p w14:paraId="2D930DCB" w14:textId="77777777" w:rsidR="001324A4" w:rsidRPr="001324A4" w:rsidRDefault="001324A4" w:rsidP="001324A4">
      <w:pPr>
        <w:pStyle w:val="SingleTxt"/>
        <w:spacing w:after="0" w:line="120" w:lineRule="exact"/>
        <w:rPr>
          <w:rFonts w:cs="Times New Roman"/>
          <w:sz w:val="10"/>
          <w:szCs w:val="20"/>
        </w:rPr>
      </w:pPr>
    </w:p>
    <w:p w14:paraId="13F996AC" w14:textId="529B5EDC" w:rsidR="001324A4" w:rsidRPr="00C92BA2" w:rsidRDefault="001324A4" w:rsidP="001324A4">
      <w:pPr>
        <w:pStyle w:val="HCh"/>
        <w:spacing w:after="0"/>
        <w:ind w:left="1267" w:right="1260" w:hanging="1267"/>
        <w:rPr>
          <w:rFonts w:ascii="Times New Roman Bold" w:hAnsi="Times New Roman Bold"/>
          <w:b/>
          <w:bCs/>
        </w:rPr>
      </w:pPr>
      <w:r w:rsidRPr="00C92BA2">
        <w:rPr>
          <w:rFonts w:ascii="Times New Roman Bold" w:hAnsi="Times New Roman Bold"/>
          <w:b/>
          <w:bCs/>
        </w:rPr>
        <w:tab/>
        <w:t>II.</w:t>
      </w:r>
      <w:r w:rsidRPr="00C92BA2">
        <w:rPr>
          <w:rFonts w:ascii="Times New Roman Bold" w:hAnsi="Times New Roman Bold"/>
          <w:b/>
          <w:bCs/>
        </w:rPr>
        <w:tab/>
        <w:t xml:space="preserve">Follow-up information </w:t>
      </w:r>
    </w:p>
    <w:p w14:paraId="53CFBA56" w14:textId="77777777" w:rsidR="001324A4" w:rsidRPr="001324A4" w:rsidRDefault="001324A4" w:rsidP="001324A4">
      <w:pPr>
        <w:pStyle w:val="SingleTxt"/>
        <w:spacing w:after="0" w:line="120" w:lineRule="exact"/>
        <w:rPr>
          <w:rFonts w:cs="Times New Roman"/>
          <w:sz w:val="10"/>
          <w:szCs w:val="20"/>
        </w:rPr>
      </w:pPr>
    </w:p>
    <w:p w14:paraId="38D3D3E2" w14:textId="77777777" w:rsidR="001324A4" w:rsidRPr="001324A4" w:rsidRDefault="001324A4" w:rsidP="001324A4">
      <w:pPr>
        <w:pStyle w:val="SingleTxt"/>
        <w:spacing w:after="0" w:line="120" w:lineRule="exact"/>
        <w:rPr>
          <w:rFonts w:cs="Times New Roman"/>
          <w:sz w:val="10"/>
          <w:szCs w:val="20"/>
        </w:rPr>
      </w:pPr>
    </w:p>
    <w:p w14:paraId="6915FAF4" w14:textId="632C62B6" w:rsidR="001324A4" w:rsidRPr="00C92BA2" w:rsidRDefault="001324A4" w:rsidP="001324A4">
      <w:pPr>
        <w:pStyle w:val="H1"/>
        <w:ind w:right="1650"/>
      </w:pPr>
      <w:r w:rsidRPr="00C92BA2">
        <w:tab/>
      </w:r>
      <w:bookmarkStart w:id="2" w:name="_Hlk172802269"/>
      <w:r w:rsidRPr="00C92BA2">
        <w:t>A.</w:t>
      </w:r>
      <w:r w:rsidRPr="00C92BA2">
        <w:tab/>
        <w:t>Follow-up information relating to paragraph 10 (b) of the concluding observations</w:t>
      </w:r>
      <w:bookmarkEnd w:id="2"/>
    </w:p>
    <w:p w14:paraId="0506E374" w14:textId="77777777" w:rsidR="001324A4" w:rsidRPr="001324A4" w:rsidRDefault="001324A4" w:rsidP="001324A4">
      <w:pPr>
        <w:pStyle w:val="SingleTxt"/>
        <w:spacing w:after="0" w:line="120" w:lineRule="exact"/>
        <w:rPr>
          <w:rFonts w:cs="Times New Roman"/>
          <w:sz w:val="10"/>
          <w:szCs w:val="20"/>
        </w:rPr>
      </w:pPr>
    </w:p>
    <w:p w14:paraId="52BC0939" w14:textId="77777777" w:rsidR="001324A4" w:rsidRPr="001324A4" w:rsidRDefault="001324A4" w:rsidP="001324A4">
      <w:pPr>
        <w:pStyle w:val="SingleTxt"/>
        <w:spacing w:after="0" w:line="120" w:lineRule="exact"/>
        <w:rPr>
          <w:rFonts w:cs="Times New Roman"/>
          <w:sz w:val="10"/>
          <w:szCs w:val="20"/>
        </w:rPr>
      </w:pPr>
    </w:p>
    <w:p w14:paraId="1DAB291D" w14:textId="77777777" w:rsidR="00996E34" w:rsidRPr="001324A4" w:rsidRDefault="001324A4" w:rsidP="001324A4">
      <w:pPr>
        <w:pStyle w:val="SingleTxt"/>
        <w:rPr>
          <w:rFonts w:cs="Times New Roman"/>
          <w:szCs w:val="20"/>
        </w:rPr>
      </w:pPr>
      <w:r w:rsidRPr="00C92BA2">
        <w:rPr>
          <w:rFonts w:cs="Times New Roman"/>
          <w:szCs w:val="20"/>
        </w:rPr>
        <w:t>4</w:t>
      </w:r>
      <w:r w:rsidRPr="001324A4">
        <w:rPr>
          <w:rFonts w:cs="Times New Roman"/>
          <w:szCs w:val="20"/>
        </w:rPr>
        <w:t>.</w:t>
      </w:r>
      <w:r w:rsidRPr="001324A4">
        <w:rPr>
          <w:rFonts w:cs="Times New Roman"/>
          <w:szCs w:val="20"/>
        </w:rPr>
        <w:tab/>
        <w:t>Training of Judges, prosecutors and other law enforcement officers is offered at different levels and by different institutions.</w:t>
      </w:r>
      <w:r w:rsidR="00996E34">
        <w:rPr>
          <w:rFonts w:cs="Times New Roman"/>
          <w:szCs w:val="20"/>
        </w:rPr>
        <w:t xml:space="preserve"> </w:t>
      </w:r>
      <w:r w:rsidR="00996E34" w:rsidRPr="001324A4">
        <w:rPr>
          <w:rFonts w:cs="Times New Roman"/>
          <w:szCs w:val="20"/>
        </w:rPr>
        <w:t>S</w:t>
      </w:r>
      <w:r w:rsidRPr="001324A4">
        <w:rPr>
          <w:rFonts w:cs="Times New Roman"/>
          <w:szCs w:val="20"/>
        </w:rPr>
        <w:t xml:space="preserve">ection </w:t>
      </w:r>
      <w:r w:rsidRPr="00C92BA2">
        <w:rPr>
          <w:rFonts w:cs="Times New Roman"/>
          <w:szCs w:val="20"/>
        </w:rPr>
        <w:t>66</w:t>
      </w:r>
      <w:r w:rsidRPr="001324A4">
        <w:rPr>
          <w:rFonts w:cs="Times New Roman"/>
          <w:szCs w:val="20"/>
        </w:rPr>
        <w:t xml:space="preserve"> (</w:t>
      </w:r>
      <w:r w:rsidRPr="00C92BA2">
        <w:rPr>
          <w:rFonts w:cs="Times New Roman"/>
          <w:szCs w:val="20"/>
        </w:rPr>
        <w:t>2</w:t>
      </w:r>
      <w:r w:rsidRPr="001324A4">
        <w:rPr>
          <w:rFonts w:cs="Times New Roman"/>
          <w:szCs w:val="20"/>
        </w:rPr>
        <w:t xml:space="preserve">) (a) and (b) of the Criminal Law (Sexual Offences and Related Matters) Amendment Act </w:t>
      </w:r>
      <w:r w:rsidRPr="00C92BA2">
        <w:rPr>
          <w:rFonts w:cs="Times New Roman"/>
          <w:szCs w:val="20"/>
        </w:rPr>
        <w:t>32</w:t>
      </w:r>
      <w:r w:rsidRPr="001324A4">
        <w:rPr>
          <w:rFonts w:cs="Times New Roman"/>
          <w:szCs w:val="20"/>
        </w:rPr>
        <w:t xml:space="preserve"> of </w:t>
      </w:r>
      <w:r w:rsidRPr="00C92BA2">
        <w:rPr>
          <w:rFonts w:cs="Times New Roman"/>
          <w:szCs w:val="20"/>
        </w:rPr>
        <w:t>2007</w:t>
      </w:r>
      <w:r w:rsidRPr="001324A4">
        <w:rPr>
          <w:rFonts w:cs="Times New Roman"/>
          <w:szCs w:val="20"/>
        </w:rPr>
        <w:t xml:space="preserve"> places the responsibility on the Director of Public prosecutions to develop directives for prosecutors and related training courses. These training courses, as prescribed, must include training on the developed directives; also include social context training in respect of several offences; and provide for the use of standardized procedures. This is ultimately with the view to ensure that “as many prosecutors as possible are able to deal with sexual offences cases in an appropriate, efficient and sensitive manner”. Section </w:t>
      </w:r>
      <w:r w:rsidRPr="00C92BA2">
        <w:rPr>
          <w:rFonts w:cs="Times New Roman"/>
          <w:szCs w:val="20"/>
        </w:rPr>
        <w:t>66</w:t>
      </w:r>
      <w:r w:rsidRPr="001324A4">
        <w:rPr>
          <w:rFonts w:cs="Times New Roman"/>
          <w:szCs w:val="20"/>
        </w:rPr>
        <w:t xml:space="preserve"> (</w:t>
      </w:r>
      <w:r w:rsidRPr="00C92BA2">
        <w:rPr>
          <w:rFonts w:cs="Times New Roman"/>
          <w:szCs w:val="20"/>
        </w:rPr>
        <w:t>5</w:t>
      </w:r>
      <w:r w:rsidRPr="001324A4">
        <w:rPr>
          <w:rFonts w:cs="Times New Roman"/>
          <w:szCs w:val="20"/>
        </w:rPr>
        <w:t>)(a) of the Act requires that the training course completed must be tabled in parliament. Training courses and curriculum are reviewed annually to keep up with the latest relevant cases and developments in related legislation to ensure that prosecutors are up to date and trained accordingly to deliver the best in the prosecution of sexual offences.</w:t>
      </w:r>
      <w:r w:rsidR="00996E34">
        <w:rPr>
          <w:rFonts w:cs="Times New Roman"/>
          <w:szCs w:val="20"/>
        </w:rPr>
        <w:t xml:space="preserve"> </w:t>
      </w:r>
    </w:p>
    <w:p w14:paraId="0DE5B5C0" w14:textId="77777777" w:rsidR="00996E34" w:rsidRPr="001324A4" w:rsidRDefault="001324A4" w:rsidP="001324A4">
      <w:pPr>
        <w:pStyle w:val="SingleTxt"/>
        <w:rPr>
          <w:rFonts w:cs="Times New Roman"/>
          <w:szCs w:val="20"/>
        </w:rPr>
      </w:pPr>
      <w:r w:rsidRPr="00C92BA2">
        <w:rPr>
          <w:rFonts w:cs="Times New Roman"/>
          <w:szCs w:val="20"/>
        </w:rPr>
        <w:t>5</w:t>
      </w:r>
      <w:r w:rsidRPr="001324A4">
        <w:rPr>
          <w:rFonts w:cs="Times New Roman"/>
          <w:szCs w:val="20"/>
        </w:rPr>
        <w:t>.</w:t>
      </w:r>
      <w:r w:rsidRPr="001324A4">
        <w:rPr>
          <w:rFonts w:cs="Times New Roman"/>
          <w:szCs w:val="20"/>
        </w:rPr>
        <w:tab/>
        <w:t xml:space="preserve">The Justice College amended the learning modules to align them with the changes introduced by the signing into law of </w:t>
      </w:r>
      <w:r w:rsidRPr="00C92BA2">
        <w:rPr>
          <w:rFonts w:cs="Times New Roman"/>
          <w:szCs w:val="20"/>
        </w:rPr>
        <w:t>3</w:t>
      </w:r>
      <w:r w:rsidRPr="001324A4">
        <w:rPr>
          <w:rFonts w:cs="Times New Roman"/>
          <w:szCs w:val="20"/>
        </w:rPr>
        <w:t xml:space="preserve"> pieces of legislation aimed at strengthening efforts to end gender-based violence, with a victim-centred focus on combating this dehumanising pandemic. These are the Criminal and Related Matters Amendment Act </w:t>
      </w:r>
      <w:r w:rsidRPr="00C92BA2">
        <w:rPr>
          <w:rFonts w:cs="Times New Roman"/>
          <w:szCs w:val="20"/>
        </w:rPr>
        <w:t>12</w:t>
      </w:r>
      <w:r w:rsidRPr="001324A4">
        <w:rPr>
          <w:rFonts w:cs="Times New Roman"/>
          <w:szCs w:val="20"/>
        </w:rPr>
        <w:t xml:space="preserve"> of </w:t>
      </w:r>
      <w:r w:rsidRPr="00C92BA2">
        <w:rPr>
          <w:rFonts w:cs="Times New Roman"/>
          <w:szCs w:val="20"/>
        </w:rPr>
        <w:t>2021</w:t>
      </w:r>
      <w:r w:rsidRPr="001324A4">
        <w:rPr>
          <w:rFonts w:cs="Times New Roman"/>
          <w:szCs w:val="20"/>
        </w:rPr>
        <w:t xml:space="preserve">, the Criminal Law (Sexual Offences and Related Matters) Amendment Act </w:t>
      </w:r>
      <w:r w:rsidRPr="00C92BA2">
        <w:rPr>
          <w:rFonts w:cs="Times New Roman"/>
          <w:szCs w:val="20"/>
        </w:rPr>
        <w:t>13</w:t>
      </w:r>
      <w:r w:rsidRPr="001324A4">
        <w:rPr>
          <w:rFonts w:cs="Times New Roman"/>
          <w:szCs w:val="20"/>
        </w:rPr>
        <w:t xml:space="preserve"> of </w:t>
      </w:r>
      <w:r w:rsidRPr="00C92BA2">
        <w:rPr>
          <w:rFonts w:cs="Times New Roman"/>
          <w:szCs w:val="20"/>
        </w:rPr>
        <w:t>2021</w:t>
      </w:r>
      <w:r w:rsidRPr="001324A4">
        <w:rPr>
          <w:rFonts w:cs="Times New Roman"/>
          <w:szCs w:val="20"/>
        </w:rPr>
        <w:t xml:space="preserve"> and the Domestic Violence Amendment Act </w:t>
      </w:r>
      <w:r w:rsidRPr="00C92BA2">
        <w:rPr>
          <w:rFonts w:cs="Times New Roman"/>
          <w:szCs w:val="20"/>
        </w:rPr>
        <w:t>14</w:t>
      </w:r>
      <w:r w:rsidRPr="001324A4">
        <w:rPr>
          <w:rFonts w:cs="Times New Roman"/>
          <w:szCs w:val="20"/>
        </w:rPr>
        <w:t xml:space="preserve"> of </w:t>
      </w:r>
      <w:r w:rsidRPr="00C92BA2">
        <w:rPr>
          <w:rFonts w:cs="Times New Roman"/>
          <w:szCs w:val="20"/>
        </w:rPr>
        <w:t>2021</w:t>
      </w:r>
      <w:r w:rsidRPr="001324A4">
        <w:rPr>
          <w:rFonts w:cs="Times New Roman"/>
          <w:szCs w:val="20"/>
        </w:rPr>
        <w:t xml:space="preserve">. The modules for the Basic Training and Advanced Training on Intermediary Services were also aligned to the Criminal and Related Matters) Amendment Act, </w:t>
      </w:r>
      <w:r w:rsidRPr="00C92BA2">
        <w:rPr>
          <w:rFonts w:cs="Times New Roman"/>
          <w:szCs w:val="20"/>
        </w:rPr>
        <w:t>2021</w:t>
      </w:r>
      <w:r w:rsidRPr="001324A4">
        <w:rPr>
          <w:rFonts w:cs="Times New Roman"/>
          <w:szCs w:val="20"/>
        </w:rPr>
        <w:t xml:space="preserve"> (Act No </w:t>
      </w:r>
      <w:r w:rsidRPr="00C92BA2">
        <w:rPr>
          <w:rFonts w:cs="Times New Roman"/>
          <w:szCs w:val="20"/>
        </w:rPr>
        <w:t>12</w:t>
      </w:r>
      <w:r w:rsidRPr="001324A4">
        <w:rPr>
          <w:rFonts w:cs="Times New Roman"/>
          <w:szCs w:val="20"/>
        </w:rPr>
        <w:t xml:space="preserve"> of </w:t>
      </w:r>
      <w:r w:rsidRPr="00C92BA2">
        <w:rPr>
          <w:rFonts w:cs="Times New Roman"/>
          <w:szCs w:val="20"/>
        </w:rPr>
        <w:t>2021</w:t>
      </w:r>
      <w:r w:rsidRPr="001324A4">
        <w:rPr>
          <w:rFonts w:cs="Times New Roman"/>
          <w:szCs w:val="20"/>
        </w:rPr>
        <w:t>) and the new two (</w:t>
      </w:r>
      <w:r w:rsidRPr="00C92BA2">
        <w:rPr>
          <w:rFonts w:cs="Times New Roman"/>
          <w:szCs w:val="20"/>
        </w:rPr>
        <w:t>2</w:t>
      </w:r>
      <w:r w:rsidRPr="001324A4">
        <w:rPr>
          <w:rFonts w:cs="Times New Roman"/>
          <w:szCs w:val="20"/>
        </w:rPr>
        <w:t>) Determinations of Persons or Categories or Class of Persons who are Competent to be Appointed as Intermediaries.</w:t>
      </w:r>
      <w:r w:rsidR="00996E34">
        <w:rPr>
          <w:rFonts w:cs="Times New Roman"/>
          <w:szCs w:val="20"/>
        </w:rPr>
        <w:t xml:space="preserve"> </w:t>
      </w:r>
    </w:p>
    <w:p w14:paraId="2B94B283" w14:textId="77777777" w:rsidR="00996E34" w:rsidRPr="001324A4" w:rsidRDefault="001324A4" w:rsidP="001324A4">
      <w:pPr>
        <w:pStyle w:val="SingleTxt"/>
        <w:rPr>
          <w:rFonts w:cs="Times New Roman"/>
          <w:szCs w:val="20"/>
        </w:rPr>
      </w:pPr>
      <w:r w:rsidRPr="00C92BA2">
        <w:rPr>
          <w:rFonts w:cs="Times New Roman"/>
          <w:szCs w:val="20"/>
        </w:rPr>
        <w:t>6</w:t>
      </w:r>
      <w:r w:rsidRPr="001324A4">
        <w:rPr>
          <w:rFonts w:cs="Times New Roman"/>
          <w:szCs w:val="20"/>
        </w:rPr>
        <w:t>.</w:t>
      </w:r>
      <w:r w:rsidRPr="001324A4">
        <w:rPr>
          <w:rFonts w:cs="Times New Roman"/>
          <w:szCs w:val="20"/>
        </w:rPr>
        <w:tab/>
        <w:t>The South African Judicial Education Institution (SAJEI) continues to provide judicial education and training for Judicial Officers to ensure enhanced service delivery and the transformation of the Judiciary for Judges and Aspirant Judges in South Africa.</w:t>
      </w:r>
      <w:r w:rsidR="00996E34">
        <w:rPr>
          <w:rFonts w:cs="Times New Roman"/>
          <w:szCs w:val="20"/>
        </w:rPr>
        <w:t xml:space="preserve"> </w:t>
      </w:r>
      <w:r w:rsidR="00996E34" w:rsidRPr="001324A4">
        <w:rPr>
          <w:rFonts w:cs="Times New Roman"/>
          <w:szCs w:val="20"/>
        </w:rPr>
        <w:t>T</w:t>
      </w:r>
      <w:r w:rsidRPr="001324A4">
        <w:rPr>
          <w:rFonts w:cs="Times New Roman"/>
          <w:szCs w:val="20"/>
        </w:rPr>
        <w:t>he regional magistrates are trained by the Regional Court President Forum.</w:t>
      </w:r>
      <w:r w:rsidR="00996E34">
        <w:rPr>
          <w:rFonts w:cs="Times New Roman"/>
          <w:szCs w:val="20"/>
        </w:rPr>
        <w:t xml:space="preserve"> </w:t>
      </w:r>
    </w:p>
    <w:p w14:paraId="6852A220" w14:textId="77777777" w:rsidR="00996E34" w:rsidRPr="001324A4" w:rsidRDefault="001324A4" w:rsidP="001324A4">
      <w:pPr>
        <w:pStyle w:val="SingleTxt"/>
        <w:rPr>
          <w:rFonts w:cs="Times New Roman"/>
          <w:szCs w:val="20"/>
        </w:rPr>
      </w:pPr>
      <w:r w:rsidRPr="00C92BA2">
        <w:rPr>
          <w:rFonts w:cs="Times New Roman"/>
          <w:szCs w:val="20"/>
        </w:rPr>
        <w:t>7</w:t>
      </w:r>
      <w:r w:rsidRPr="001324A4">
        <w:rPr>
          <w:rFonts w:cs="Times New Roman"/>
          <w:szCs w:val="20"/>
        </w:rPr>
        <w:t>.</w:t>
      </w:r>
      <w:r w:rsidRPr="001324A4">
        <w:rPr>
          <w:rFonts w:cs="Times New Roman"/>
          <w:szCs w:val="20"/>
        </w:rPr>
        <w:tab/>
        <w:t xml:space="preserve">The Sexual Offences and Community Affairs (SOCA) Unit was established in the National Prosecuting Authority (NPA), as a specialist Unit at Head Office with a </w:t>
      </w:r>
      <w:r w:rsidRPr="001324A4">
        <w:rPr>
          <w:rFonts w:cs="Times New Roman"/>
          <w:szCs w:val="20"/>
        </w:rPr>
        <w:lastRenderedPageBreak/>
        <w:t>strategic and operational mandate to deal with all gender-based violence (GBV) matters nationally with colleagues in the Director of Public Prosecution divisions. It has been positioned itself as a formidable force in / at the forefront of the fight to address gender-based violence and femicide under the able leadership of the Special Director. SOCA created unique opportunities to ensure that GBV victims are provided with the best pre-trial and other services at a time that they are at their most vulnerable.</w:t>
      </w:r>
      <w:r w:rsidR="00996E34">
        <w:rPr>
          <w:rFonts w:cs="Times New Roman"/>
          <w:szCs w:val="20"/>
        </w:rPr>
        <w:t xml:space="preserve"> </w:t>
      </w:r>
    </w:p>
    <w:p w14:paraId="6DBC00A7" w14:textId="77777777" w:rsidR="00996E34" w:rsidRPr="001324A4" w:rsidRDefault="001324A4" w:rsidP="001324A4">
      <w:pPr>
        <w:pStyle w:val="SingleTxt"/>
        <w:rPr>
          <w:rFonts w:cs="Times New Roman"/>
          <w:szCs w:val="20"/>
        </w:rPr>
      </w:pPr>
      <w:r w:rsidRPr="00C92BA2">
        <w:rPr>
          <w:rFonts w:cs="Times New Roman"/>
          <w:szCs w:val="20"/>
        </w:rPr>
        <w:t>8</w:t>
      </w:r>
      <w:r w:rsidRPr="001324A4">
        <w:rPr>
          <w:rFonts w:cs="Times New Roman"/>
          <w:szCs w:val="20"/>
        </w:rPr>
        <w:t>.</w:t>
      </w:r>
      <w:r w:rsidRPr="001324A4">
        <w:rPr>
          <w:rFonts w:cs="Times New Roman"/>
          <w:szCs w:val="20"/>
        </w:rPr>
        <w:tab/>
        <w:t>SOCA has further expanded the mandate of the Thuthuzela Care Center (TCC) model to enhance the focus of domestic violence matters in addition to sexual offence matters, to broaden the scope of the model.</w:t>
      </w:r>
      <w:r w:rsidR="00996E34">
        <w:rPr>
          <w:rFonts w:cs="Times New Roman"/>
          <w:szCs w:val="20"/>
        </w:rPr>
        <w:t xml:space="preserve"> </w:t>
      </w:r>
      <w:r w:rsidR="00996E34" w:rsidRPr="001324A4">
        <w:rPr>
          <w:rFonts w:cs="Times New Roman"/>
          <w:szCs w:val="20"/>
        </w:rPr>
        <w:t>T</w:t>
      </w:r>
      <w:r w:rsidRPr="001324A4">
        <w:rPr>
          <w:rFonts w:cs="Times New Roman"/>
          <w:szCs w:val="20"/>
        </w:rPr>
        <w:t>he TCC model provides a best practice model for pre-trial services for victims of sexual offences.</w:t>
      </w:r>
      <w:r w:rsidR="00996E34">
        <w:rPr>
          <w:rFonts w:cs="Times New Roman"/>
          <w:szCs w:val="20"/>
        </w:rPr>
        <w:t xml:space="preserve"> </w:t>
      </w:r>
      <w:r w:rsidR="00996E34" w:rsidRPr="001324A4">
        <w:rPr>
          <w:rFonts w:cs="Times New Roman"/>
          <w:szCs w:val="20"/>
        </w:rPr>
        <w:t>T</w:t>
      </w:r>
      <w:r w:rsidRPr="001324A4">
        <w:rPr>
          <w:rFonts w:cs="Times New Roman"/>
          <w:szCs w:val="20"/>
        </w:rPr>
        <w:t>he number of victims of domestic violence seeking help at the TCCs has increased allowing for an opportunity, to break the cycle of violence which often precedes a femicide. To amplify the services offered to domestic violence victims, SOCA commenced the rolling out of a domestic violence protocol to all TCCs which serves as a vehicle for victims to obtain domestic violence protection orders.</w:t>
      </w:r>
      <w:r w:rsidR="00996E34">
        <w:rPr>
          <w:rFonts w:cs="Times New Roman"/>
          <w:szCs w:val="20"/>
        </w:rPr>
        <w:t xml:space="preserve"> </w:t>
      </w:r>
    </w:p>
    <w:p w14:paraId="5E7F0551" w14:textId="6071EB85" w:rsidR="001324A4" w:rsidRPr="001324A4" w:rsidRDefault="001324A4" w:rsidP="001324A4">
      <w:pPr>
        <w:pStyle w:val="SingleTxt"/>
        <w:rPr>
          <w:rFonts w:cs="Times New Roman"/>
          <w:szCs w:val="20"/>
        </w:rPr>
      </w:pPr>
      <w:r w:rsidRPr="00C92BA2">
        <w:rPr>
          <w:rFonts w:cs="Times New Roman"/>
          <w:szCs w:val="20"/>
        </w:rPr>
        <w:t>9</w:t>
      </w:r>
      <w:r w:rsidRPr="001324A4">
        <w:rPr>
          <w:rFonts w:cs="Times New Roman"/>
          <w:szCs w:val="20"/>
        </w:rPr>
        <w:t>.</w:t>
      </w:r>
      <w:r w:rsidRPr="001324A4">
        <w:rPr>
          <w:rFonts w:cs="Times New Roman"/>
          <w:szCs w:val="20"/>
        </w:rPr>
        <w:tab/>
        <w:t xml:space="preserve">In the country, Sign Language was officially added as the </w:t>
      </w:r>
      <w:r w:rsidRPr="00C92BA2">
        <w:rPr>
          <w:rFonts w:cs="Times New Roman"/>
          <w:szCs w:val="20"/>
        </w:rPr>
        <w:t>12</w:t>
      </w:r>
      <w:r w:rsidRPr="001324A4">
        <w:rPr>
          <w:rFonts w:cs="Times New Roman"/>
          <w:szCs w:val="20"/>
        </w:rPr>
        <w:t>th official language. This is a massive step in addressing the marginalization of the deaf community. In support of this, SOCA collaborated with the deaf community and produced a video for deaf victims who seek help at a TCC. The video uses a sign language interpreter to explain the TCC processes so that the victim is made to feel comfortable and safe immediately and aware of what to expect. This increases the accessibility to the TCCs by deaf victims. Collaborations have commenced to introduce a basic sign language course for all TCC officials to further assist in the services rendered to deaf victims.</w:t>
      </w:r>
    </w:p>
    <w:p w14:paraId="04E2DB5B" w14:textId="77777777" w:rsidR="00996E34" w:rsidRPr="001324A4" w:rsidRDefault="001324A4" w:rsidP="001324A4">
      <w:pPr>
        <w:pStyle w:val="SingleTxt"/>
        <w:rPr>
          <w:rFonts w:cs="Times New Roman"/>
          <w:szCs w:val="20"/>
        </w:rPr>
      </w:pPr>
      <w:r w:rsidRPr="00C92BA2">
        <w:rPr>
          <w:rFonts w:cs="Times New Roman"/>
          <w:szCs w:val="20"/>
        </w:rPr>
        <w:t>10</w:t>
      </w:r>
      <w:r w:rsidRPr="001324A4">
        <w:rPr>
          <w:rFonts w:cs="Times New Roman"/>
          <w:szCs w:val="20"/>
        </w:rPr>
        <w:t>.</w:t>
      </w:r>
      <w:r w:rsidRPr="001324A4">
        <w:rPr>
          <w:rFonts w:cs="Times New Roman"/>
          <w:szCs w:val="20"/>
        </w:rPr>
        <w:tab/>
        <w:t xml:space="preserve">In relation to training and skills development, in the </w:t>
      </w:r>
      <w:r w:rsidRPr="00C92BA2">
        <w:rPr>
          <w:rFonts w:cs="Times New Roman"/>
          <w:szCs w:val="20"/>
        </w:rPr>
        <w:t>2023</w:t>
      </w:r>
      <w:r w:rsidRPr="001324A4">
        <w:rPr>
          <w:rFonts w:cs="Times New Roman"/>
          <w:szCs w:val="20"/>
        </w:rPr>
        <w:t>/</w:t>
      </w:r>
      <w:r w:rsidRPr="00C92BA2">
        <w:rPr>
          <w:rFonts w:cs="Times New Roman"/>
          <w:szCs w:val="20"/>
        </w:rPr>
        <w:t>24</w:t>
      </w:r>
      <w:r w:rsidRPr="001324A4">
        <w:rPr>
          <w:rFonts w:cs="Times New Roman"/>
          <w:szCs w:val="20"/>
        </w:rPr>
        <w:t xml:space="preserve"> financial year, </w:t>
      </w:r>
      <w:r w:rsidRPr="00C92BA2">
        <w:rPr>
          <w:rFonts w:cs="Times New Roman"/>
          <w:szCs w:val="20"/>
        </w:rPr>
        <w:t>197</w:t>
      </w:r>
      <w:r w:rsidRPr="001324A4">
        <w:rPr>
          <w:rFonts w:cs="Times New Roman"/>
          <w:szCs w:val="20"/>
        </w:rPr>
        <w:t xml:space="preserve"> training sessions were delivered in relation to GBV - on sexual offences, domestic violence, child justice, maintenance, trafficking in persons - to prosecutors and integrated multi-sectoral training for stakeholders nationally.</w:t>
      </w:r>
      <w:r w:rsidR="00996E34">
        <w:rPr>
          <w:rFonts w:cs="Times New Roman"/>
          <w:szCs w:val="20"/>
        </w:rPr>
        <w:t xml:space="preserve"> </w:t>
      </w:r>
    </w:p>
    <w:p w14:paraId="61110899" w14:textId="77777777" w:rsidR="00996E34" w:rsidRPr="001324A4" w:rsidRDefault="001324A4" w:rsidP="001324A4">
      <w:pPr>
        <w:pStyle w:val="SingleTxt"/>
        <w:rPr>
          <w:rFonts w:cs="Times New Roman"/>
          <w:szCs w:val="20"/>
        </w:rPr>
      </w:pPr>
      <w:r w:rsidRPr="00C92BA2">
        <w:rPr>
          <w:rFonts w:cs="Times New Roman"/>
          <w:szCs w:val="20"/>
        </w:rPr>
        <w:t>11</w:t>
      </w:r>
      <w:r w:rsidRPr="001324A4">
        <w:rPr>
          <w:rFonts w:cs="Times New Roman"/>
          <w:szCs w:val="20"/>
        </w:rPr>
        <w:t>.</w:t>
      </w:r>
      <w:r w:rsidRPr="001324A4">
        <w:rPr>
          <w:rFonts w:cs="Times New Roman"/>
          <w:szCs w:val="20"/>
        </w:rPr>
        <w:tab/>
        <w:t>As part of the integrated stakeholder training, law enforcement officials from various departments and or sections in the South African Police Services are included. Furthermore, prosecutor-guided investigations are provided by the TCC state advocates (specialists in GBV matters) and prosecutors are strong in all GBV matters but specifically in sexual offence matters. This is to guide the investigation of these cases to ultimately increase the number of prosecutions and convictions of these cases. In addition, our training material includes a comprehensive module on social context awareness to assist trainees with all the aspects of social context in dealing effectively, and efficiently with GBV cases, victims, and witnesses. This is to enhance the quality of prosecutions, the success rate of these cases and to empower victims within a victim-centric environment in the process of becoming survivors.</w:t>
      </w:r>
      <w:r w:rsidR="00996E34">
        <w:rPr>
          <w:rFonts w:cs="Times New Roman"/>
          <w:szCs w:val="20"/>
        </w:rPr>
        <w:t xml:space="preserve"> </w:t>
      </w:r>
    </w:p>
    <w:p w14:paraId="1C57DB60" w14:textId="77777777" w:rsidR="00996E34" w:rsidRPr="001324A4" w:rsidRDefault="001324A4" w:rsidP="001324A4">
      <w:pPr>
        <w:pStyle w:val="SingleTxt"/>
        <w:rPr>
          <w:rFonts w:cs="Times New Roman"/>
          <w:szCs w:val="20"/>
        </w:rPr>
      </w:pPr>
      <w:r w:rsidRPr="00C92BA2">
        <w:rPr>
          <w:rFonts w:cs="Times New Roman"/>
          <w:szCs w:val="20"/>
        </w:rPr>
        <w:t>12</w:t>
      </w:r>
      <w:r w:rsidRPr="001324A4">
        <w:rPr>
          <w:rFonts w:cs="Times New Roman"/>
          <w:szCs w:val="20"/>
        </w:rPr>
        <w:t>.</w:t>
      </w:r>
      <w:r w:rsidRPr="001324A4">
        <w:rPr>
          <w:rFonts w:cs="Times New Roman"/>
          <w:szCs w:val="20"/>
        </w:rPr>
        <w:tab/>
        <w:t xml:space="preserve">To further contribute towards the creation of an enabling environment, the SOCA Unit and its officials participated in </w:t>
      </w:r>
      <w:r w:rsidRPr="00C92BA2">
        <w:rPr>
          <w:rFonts w:cs="Times New Roman"/>
          <w:szCs w:val="20"/>
        </w:rPr>
        <w:t>290</w:t>
      </w:r>
      <w:r w:rsidRPr="001324A4">
        <w:rPr>
          <w:rFonts w:cs="Times New Roman"/>
          <w:szCs w:val="20"/>
        </w:rPr>
        <w:t xml:space="preserve"> public awareness events on various related topics on GBV nationally during the international </w:t>
      </w:r>
      <w:r w:rsidRPr="00C92BA2">
        <w:rPr>
          <w:rFonts w:cs="Times New Roman"/>
          <w:szCs w:val="20"/>
        </w:rPr>
        <w:t>16</w:t>
      </w:r>
      <w:r w:rsidRPr="001324A4">
        <w:rPr>
          <w:rFonts w:cs="Times New Roman"/>
          <w:szCs w:val="20"/>
        </w:rPr>
        <w:t>-days of no violence against women and children campaign. These public awareness campaigns are delivered to communities on different topics throughout the year to enhance and empower the broader public on their knowledge and actions to be taken when confronted with GBV. It includes several webinars, radio talk shows, community sessions, schools and tertiary discussion sessions to learners and educators.</w:t>
      </w:r>
      <w:r w:rsidR="00996E34">
        <w:rPr>
          <w:rFonts w:cs="Times New Roman"/>
          <w:szCs w:val="20"/>
        </w:rPr>
        <w:t xml:space="preserve"> </w:t>
      </w:r>
    </w:p>
    <w:p w14:paraId="50AB66A6" w14:textId="77777777" w:rsidR="00996E34" w:rsidRPr="001324A4" w:rsidRDefault="001324A4" w:rsidP="001324A4">
      <w:pPr>
        <w:pStyle w:val="SingleTxt"/>
        <w:rPr>
          <w:rFonts w:cs="Times New Roman"/>
          <w:szCs w:val="20"/>
        </w:rPr>
      </w:pPr>
      <w:r w:rsidRPr="00C92BA2">
        <w:rPr>
          <w:rFonts w:cs="Times New Roman"/>
          <w:szCs w:val="20"/>
        </w:rPr>
        <w:t>13</w:t>
      </w:r>
      <w:r w:rsidRPr="001324A4">
        <w:rPr>
          <w:rFonts w:cs="Times New Roman"/>
          <w:szCs w:val="20"/>
        </w:rPr>
        <w:t>.</w:t>
      </w:r>
      <w:r w:rsidRPr="001324A4">
        <w:rPr>
          <w:rFonts w:cs="Times New Roman"/>
          <w:szCs w:val="20"/>
        </w:rPr>
        <w:tab/>
        <w:t xml:space="preserve">With reference to the latest amendments to legislation in the Criminal Procedure Act, Domestic Violence Act and the Sexual Offences Related Matters Amendment Act, specifically in relation to victims of GBV, SOCA reviewed and amended the current NPA policy directives (applicable to prosecutors) for domestic violence and sexual offences. Furthermore, a Femicide directive was developed to assist and guide </w:t>
      </w:r>
      <w:r w:rsidRPr="001324A4">
        <w:rPr>
          <w:rFonts w:cs="Times New Roman"/>
          <w:szCs w:val="20"/>
        </w:rPr>
        <w:lastRenderedPageBreak/>
        <w:t>prosecutors in dealing with these matters.</w:t>
      </w:r>
      <w:r w:rsidR="00996E34">
        <w:rPr>
          <w:rFonts w:cs="Times New Roman"/>
          <w:szCs w:val="20"/>
        </w:rPr>
        <w:t xml:space="preserve"> </w:t>
      </w:r>
      <w:r w:rsidR="00996E34" w:rsidRPr="001324A4">
        <w:rPr>
          <w:rFonts w:cs="Times New Roman"/>
          <w:szCs w:val="20"/>
        </w:rPr>
        <w:t>T</w:t>
      </w:r>
      <w:r w:rsidRPr="001324A4">
        <w:rPr>
          <w:rFonts w:cs="Times New Roman"/>
          <w:szCs w:val="20"/>
        </w:rPr>
        <w:t>he SOCA unit also participated in the amendment process of annexures to charge sheets in relation to sexual offences, domestic violence, and trafficking in persons, specifically.</w:t>
      </w:r>
      <w:r w:rsidR="00996E34">
        <w:rPr>
          <w:rFonts w:cs="Times New Roman"/>
          <w:szCs w:val="20"/>
        </w:rPr>
        <w:t xml:space="preserve"> </w:t>
      </w:r>
    </w:p>
    <w:p w14:paraId="67EEB080" w14:textId="08C0D6D7" w:rsidR="00996E34" w:rsidRPr="001324A4" w:rsidRDefault="001324A4" w:rsidP="001324A4">
      <w:pPr>
        <w:pStyle w:val="SingleTxt"/>
        <w:rPr>
          <w:rFonts w:cs="Times New Roman"/>
          <w:szCs w:val="20"/>
        </w:rPr>
      </w:pPr>
      <w:r w:rsidRPr="00C92BA2">
        <w:rPr>
          <w:rFonts w:cs="Times New Roman"/>
          <w:szCs w:val="20"/>
        </w:rPr>
        <w:t>14</w:t>
      </w:r>
      <w:r w:rsidRPr="001324A4">
        <w:rPr>
          <w:rFonts w:cs="Times New Roman"/>
          <w:szCs w:val="20"/>
        </w:rPr>
        <w:t>.</w:t>
      </w:r>
      <w:r w:rsidRPr="001324A4">
        <w:rPr>
          <w:rFonts w:cs="Times New Roman"/>
          <w:szCs w:val="20"/>
        </w:rPr>
        <w:tab/>
        <w:t>The SOCA Unit compiled a list of GBV-offences focusing on both the common law offences and statutory law offences. This includes those offences that are in nature GBV-related but also those, were the intention of the offender is indicative of his/her intention in committing the offence, that is GBVrelated.</w:t>
      </w:r>
      <w:r w:rsidR="00996E34">
        <w:rPr>
          <w:rFonts w:cs="Times New Roman"/>
          <w:szCs w:val="20"/>
        </w:rPr>
        <w:t xml:space="preserve"> </w:t>
      </w:r>
      <w:r w:rsidR="00996E34" w:rsidRPr="001324A4">
        <w:rPr>
          <w:rFonts w:cs="Times New Roman"/>
          <w:szCs w:val="20"/>
        </w:rPr>
        <w:t>T</w:t>
      </w:r>
      <w:r w:rsidRPr="001324A4">
        <w:rPr>
          <w:rFonts w:cs="Times New Roman"/>
          <w:szCs w:val="20"/>
        </w:rPr>
        <w:t xml:space="preserve">his is to assist all Government departments in the Criminal Justice System (specifically as outlined in pillar </w:t>
      </w:r>
      <w:r w:rsidRPr="00C92BA2">
        <w:rPr>
          <w:rFonts w:cs="Times New Roman"/>
          <w:szCs w:val="20"/>
        </w:rPr>
        <w:t>3</w:t>
      </w:r>
      <w:r w:rsidRPr="001324A4">
        <w:rPr>
          <w:rFonts w:cs="Times New Roman"/>
          <w:szCs w:val="20"/>
        </w:rPr>
        <w:t xml:space="preserve"> of the National Strategic Plan (NSP) to end Gender-Based Violence and Femicide (GBVF)) to guide them in identifying those offences or conduct of offenders that are GBV related, which will assist them in dealing with these matters appropriately. Secondly it will also guide the process in determining the exact scope and scourge of GBV-related offences committed in the country. The SOCA team developed (with inputs from stakeholders) the final draft of the document which will be submitted via NPA senior management to the Department of Justice and Constitutional Development and the governance coordinators of the NSP on Ending GBVF.</w:t>
      </w:r>
      <w:r w:rsidR="00996E34">
        <w:rPr>
          <w:rFonts w:cs="Times New Roman"/>
          <w:szCs w:val="20"/>
        </w:rPr>
        <w:t xml:space="preserve"> </w:t>
      </w:r>
    </w:p>
    <w:p w14:paraId="5DDCA50F" w14:textId="16C85B0B" w:rsidR="001324A4" w:rsidRDefault="001324A4" w:rsidP="001324A4">
      <w:pPr>
        <w:pStyle w:val="SingleTxt"/>
        <w:rPr>
          <w:rFonts w:cs="Times New Roman"/>
          <w:szCs w:val="20"/>
        </w:rPr>
      </w:pPr>
      <w:r w:rsidRPr="00C92BA2">
        <w:rPr>
          <w:rFonts w:cs="Times New Roman"/>
          <w:szCs w:val="20"/>
        </w:rPr>
        <w:t>15</w:t>
      </w:r>
      <w:r w:rsidRPr="001324A4">
        <w:rPr>
          <w:rFonts w:cs="Times New Roman"/>
          <w:szCs w:val="20"/>
        </w:rPr>
        <w:t>.</w:t>
      </w:r>
      <w:r w:rsidRPr="001324A4">
        <w:rPr>
          <w:rFonts w:cs="Times New Roman"/>
          <w:szCs w:val="20"/>
        </w:rPr>
        <w:tab/>
        <w:t>In the Intersectoral Committee on Domestic Violence, the SOCA Unit forms part of the team that is reviewing the current Safety Plan for Domestic Violence victims (to be accessed by victims on the website of the Department of Justice), which is a step-by-step guide to assist victims with action to be taken in domestic violence abusive relationships.</w:t>
      </w:r>
      <w:r w:rsidR="00996E34">
        <w:rPr>
          <w:rFonts w:cs="Times New Roman"/>
          <w:szCs w:val="20"/>
        </w:rPr>
        <w:t xml:space="preserve"> </w:t>
      </w:r>
    </w:p>
    <w:p w14:paraId="22912E3A" w14:textId="77777777" w:rsidR="00EF7F8E" w:rsidRPr="00EF7F8E" w:rsidRDefault="00EF7F8E" w:rsidP="00EF7F8E">
      <w:pPr>
        <w:pStyle w:val="SingleTxt"/>
        <w:spacing w:after="0" w:line="120" w:lineRule="exact"/>
        <w:rPr>
          <w:rFonts w:cs="Times New Roman"/>
          <w:sz w:val="10"/>
          <w:szCs w:val="20"/>
        </w:rPr>
      </w:pPr>
    </w:p>
    <w:tbl>
      <w:tblPr>
        <w:tblW w:w="7370" w:type="dxa"/>
        <w:tblInd w:w="1267" w:type="dxa"/>
        <w:tblLayout w:type="fixed"/>
        <w:tblCellMar>
          <w:left w:w="0" w:type="dxa"/>
          <w:right w:w="0" w:type="dxa"/>
        </w:tblCellMar>
        <w:tblLook w:val="04A0" w:firstRow="1" w:lastRow="0" w:firstColumn="1" w:lastColumn="0" w:noHBand="0" w:noVBand="1"/>
      </w:tblPr>
      <w:tblGrid>
        <w:gridCol w:w="3740"/>
        <w:gridCol w:w="3384"/>
        <w:gridCol w:w="246"/>
      </w:tblGrid>
      <w:tr w:rsidR="008E7D41" w:rsidRPr="006821E1" w14:paraId="4856CF33" w14:textId="77777777" w:rsidTr="00C92BA2">
        <w:trPr>
          <w:tblHeader/>
        </w:trPr>
        <w:tc>
          <w:tcPr>
            <w:tcW w:w="7370" w:type="dxa"/>
            <w:gridSpan w:val="3"/>
            <w:tcBorders>
              <w:top w:val="single" w:sz="4" w:space="0" w:color="auto"/>
              <w:bottom w:val="single" w:sz="12" w:space="0" w:color="auto"/>
            </w:tcBorders>
            <w:shd w:val="clear" w:color="auto" w:fill="auto"/>
            <w:vAlign w:val="bottom"/>
          </w:tcPr>
          <w:p w14:paraId="45361F2D" w14:textId="77777777" w:rsidR="008E7D41" w:rsidRPr="00C92BA2" w:rsidRDefault="008E7D41" w:rsidP="00B01AD0">
            <w:pPr>
              <w:spacing w:before="80" w:after="80" w:line="200" w:lineRule="exact"/>
              <w:ind w:right="113"/>
              <w:rPr>
                <w:i/>
                <w:sz w:val="16"/>
              </w:rPr>
            </w:pPr>
            <w:r w:rsidRPr="00C92BA2">
              <w:rPr>
                <w:i/>
                <w:sz w:val="16"/>
              </w:rPr>
              <w:t xml:space="preserve">TCC statistics for the period April to December 2023 in the 2023/24 Financial Year (FY) versus the same period for the previous FY (2022/23): </w:t>
            </w:r>
          </w:p>
        </w:tc>
      </w:tr>
      <w:tr w:rsidR="008E7D41" w:rsidRPr="006821E1" w14:paraId="4EA6E70E" w14:textId="77777777" w:rsidTr="00C92BA2">
        <w:trPr>
          <w:trHeight w:hRule="exact" w:val="113"/>
          <w:tblHeader/>
        </w:trPr>
        <w:tc>
          <w:tcPr>
            <w:tcW w:w="7370" w:type="dxa"/>
            <w:gridSpan w:val="3"/>
            <w:tcBorders>
              <w:top w:val="single" w:sz="12" w:space="0" w:color="auto"/>
            </w:tcBorders>
            <w:shd w:val="clear" w:color="auto" w:fill="auto"/>
          </w:tcPr>
          <w:p w14:paraId="4557A6CD" w14:textId="77777777" w:rsidR="008E7D41" w:rsidRPr="006821E1" w:rsidRDefault="008E7D41" w:rsidP="00B01AD0">
            <w:pPr>
              <w:spacing w:before="40" w:after="120"/>
              <w:ind w:right="113"/>
            </w:pPr>
          </w:p>
        </w:tc>
      </w:tr>
      <w:tr w:rsidR="008E7D41" w:rsidRPr="006821E1" w14:paraId="7AE6F5D8" w14:textId="77777777" w:rsidTr="008E7D41">
        <w:tc>
          <w:tcPr>
            <w:tcW w:w="7370" w:type="dxa"/>
            <w:gridSpan w:val="3"/>
            <w:shd w:val="clear" w:color="auto" w:fill="auto"/>
          </w:tcPr>
          <w:p w14:paraId="73FAE318" w14:textId="6B926864" w:rsidR="008E7D41" w:rsidRPr="00C92BA2" w:rsidRDefault="008E7D41" w:rsidP="00B01AD0">
            <w:pPr>
              <w:spacing w:before="40" w:after="120"/>
              <w:ind w:right="113"/>
              <w:rPr>
                <w:i/>
                <w:iCs/>
              </w:rPr>
            </w:pPr>
            <w:r w:rsidRPr="00C92BA2">
              <w:rPr>
                <w:i/>
                <w:iCs/>
              </w:rPr>
              <w:t>1. Matters reported at the sites (with victims receiving the TCC-services at sites):</w:t>
            </w:r>
            <w:r w:rsidR="00F72C2B" w:rsidRPr="00C92BA2">
              <w:rPr>
                <w:i/>
                <w:iCs/>
              </w:rPr>
              <w:t xml:space="preserve"> </w:t>
            </w:r>
          </w:p>
        </w:tc>
      </w:tr>
      <w:tr w:rsidR="008E7D41" w:rsidRPr="006821E1" w14:paraId="70CE380D" w14:textId="77777777" w:rsidTr="008E7D41">
        <w:tc>
          <w:tcPr>
            <w:tcW w:w="3740" w:type="dxa"/>
            <w:shd w:val="clear" w:color="auto" w:fill="auto"/>
          </w:tcPr>
          <w:p w14:paraId="09724F7D" w14:textId="77777777" w:rsidR="008E7D41" w:rsidRPr="006821E1" w:rsidRDefault="008E7D41" w:rsidP="00B01AD0">
            <w:pPr>
              <w:spacing w:before="40" w:after="120"/>
              <w:ind w:right="113"/>
            </w:pPr>
            <w:r w:rsidRPr="00C92BA2">
              <w:t>2023</w:t>
            </w:r>
            <w:r w:rsidRPr="006821E1">
              <w:t>/</w:t>
            </w:r>
            <w:r w:rsidRPr="00C92BA2">
              <w:t>24</w:t>
            </w:r>
            <w:r w:rsidRPr="006821E1">
              <w:t xml:space="preserve"> FY </w:t>
            </w:r>
          </w:p>
        </w:tc>
        <w:tc>
          <w:tcPr>
            <w:tcW w:w="3384" w:type="dxa"/>
            <w:shd w:val="clear" w:color="auto" w:fill="auto"/>
          </w:tcPr>
          <w:p w14:paraId="0160372B" w14:textId="2A25C990" w:rsidR="008E7D41" w:rsidRPr="006821E1" w:rsidRDefault="008E7D41" w:rsidP="00B01AD0">
            <w:pPr>
              <w:spacing w:before="40" w:after="120"/>
              <w:ind w:right="113"/>
            </w:pPr>
            <w:r w:rsidRPr="00C92BA2">
              <w:t>2022</w:t>
            </w:r>
            <w:r w:rsidRPr="006821E1">
              <w:t>/</w:t>
            </w:r>
            <w:r w:rsidRPr="00C92BA2">
              <w:t>23</w:t>
            </w:r>
            <w:r w:rsidRPr="006821E1">
              <w:t xml:space="preserve"> FY</w:t>
            </w:r>
            <w:r>
              <w:t xml:space="preserve"> </w:t>
            </w:r>
          </w:p>
        </w:tc>
        <w:tc>
          <w:tcPr>
            <w:tcW w:w="246" w:type="dxa"/>
            <w:shd w:val="clear" w:color="auto" w:fill="auto"/>
          </w:tcPr>
          <w:p w14:paraId="63312E68" w14:textId="04213190" w:rsidR="008E7D41" w:rsidRPr="006821E1" w:rsidRDefault="008E7D41" w:rsidP="00B01AD0">
            <w:pPr>
              <w:spacing w:before="40" w:after="120"/>
              <w:ind w:right="113"/>
            </w:pPr>
            <w:r>
              <w:t xml:space="preserve"> </w:t>
            </w:r>
          </w:p>
        </w:tc>
      </w:tr>
      <w:tr w:rsidR="008E7D41" w:rsidRPr="006821E1" w14:paraId="5A954C31" w14:textId="77777777" w:rsidTr="008E7D41">
        <w:tc>
          <w:tcPr>
            <w:tcW w:w="3740" w:type="dxa"/>
            <w:shd w:val="clear" w:color="auto" w:fill="auto"/>
          </w:tcPr>
          <w:p w14:paraId="32494216" w14:textId="77777777" w:rsidR="008E7D41" w:rsidRPr="006821E1" w:rsidRDefault="008E7D41" w:rsidP="00B01AD0">
            <w:pPr>
              <w:spacing w:before="40" w:after="120"/>
              <w:ind w:right="113"/>
            </w:pPr>
            <w:r w:rsidRPr="00C92BA2">
              <w:t>29</w:t>
            </w:r>
            <w:r w:rsidRPr="006821E1">
              <w:t xml:space="preserve"> </w:t>
            </w:r>
            <w:r w:rsidRPr="00C92BA2">
              <w:t>492</w:t>
            </w:r>
            <w:r w:rsidRPr="006821E1">
              <w:t xml:space="preserve"> (an increase of </w:t>
            </w:r>
            <w:r w:rsidRPr="00C92BA2">
              <w:t>1770</w:t>
            </w:r>
            <w:r w:rsidRPr="006821E1">
              <w:t xml:space="preserve"> matters or </w:t>
            </w:r>
            <w:r w:rsidRPr="00C92BA2">
              <w:t>6</w:t>
            </w:r>
            <w:r w:rsidRPr="006821E1">
              <w:t>.</w:t>
            </w:r>
            <w:r w:rsidRPr="00C92BA2">
              <w:t>4</w:t>
            </w:r>
            <w:r w:rsidRPr="006821E1">
              <w:t xml:space="preserve">% on the previous FY). </w:t>
            </w:r>
          </w:p>
        </w:tc>
        <w:tc>
          <w:tcPr>
            <w:tcW w:w="3384" w:type="dxa"/>
            <w:shd w:val="clear" w:color="auto" w:fill="auto"/>
          </w:tcPr>
          <w:p w14:paraId="3F79071B" w14:textId="5C59B010" w:rsidR="008E7D41" w:rsidRPr="006821E1" w:rsidRDefault="008E7D41" w:rsidP="00B01AD0">
            <w:pPr>
              <w:spacing w:before="40" w:after="120"/>
              <w:ind w:right="113"/>
            </w:pPr>
            <w:r w:rsidRPr="00C92BA2">
              <w:t>27</w:t>
            </w:r>
            <w:r w:rsidRPr="006821E1">
              <w:t xml:space="preserve"> </w:t>
            </w:r>
            <w:r w:rsidRPr="00C92BA2">
              <w:t>722</w:t>
            </w:r>
            <w:r>
              <w:t xml:space="preserve"> </w:t>
            </w:r>
          </w:p>
        </w:tc>
        <w:tc>
          <w:tcPr>
            <w:tcW w:w="246" w:type="dxa"/>
            <w:shd w:val="clear" w:color="auto" w:fill="auto"/>
          </w:tcPr>
          <w:p w14:paraId="21126ABB" w14:textId="77777777" w:rsidR="008E7D41" w:rsidRPr="006821E1" w:rsidRDefault="008E7D41" w:rsidP="00B01AD0">
            <w:pPr>
              <w:spacing w:before="40" w:after="120"/>
              <w:ind w:right="113"/>
            </w:pPr>
            <w:r w:rsidRPr="006821E1">
              <w:t xml:space="preserve"> </w:t>
            </w:r>
          </w:p>
        </w:tc>
      </w:tr>
      <w:tr w:rsidR="008E7D41" w:rsidRPr="006821E1" w14:paraId="7FD05ED2" w14:textId="77777777" w:rsidTr="008E7D41">
        <w:tc>
          <w:tcPr>
            <w:tcW w:w="7370" w:type="dxa"/>
            <w:gridSpan w:val="3"/>
            <w:shd w:val="clear" w:color="auto" w:fill="auto"/>
          </w:tcPr>
          <w:p w14:paraId="2C98DFD9" w14:textId="770A2A49" w:rsidR="008E7D41" w:rsidRPr="006821E1" w:rsidRDefault="008E7D41" w:rsidP="00B01AD0">
            <w:pPr>
              <w:spacing w:before="40" w:after="120"/>
              <w:ind w:right="113"/>
            </w:pPr>
            <w:r w:rsidRPr="006821E1">
              <w:t xml:space="preserve">Of these matters reported, </w:t>
            </w:r>
            <w:r w:rsidRPr="00C92BA2">
              <w:t>24</w:t>
            </w:r>
            <w:r w:rsidRPr="006821E1">
              <w:t xml:space="preserve"> </w:t>
            </w:r>
            <w:r w:rsidRPr="00C92BA2">
              <w:t>250</w:t>
            </w:r>
            <w:r w:rsidRPr="006821E1">
              <w:t xml:space="preserve"> (</w:t>
            </w:r>
            <w:r w:rsidRPr="00C92BA2">
              <w:t>83</w:t>
            </w:r>
            <w:r w:rsidRPr="006821E1">
              <w:t>.</w:t>
            </w:r>
            <w:r w:rsidRPr="00C92BA2">
              <w:t>1</w:t>
            </w:r>
            <w:r w:rsidRPr="006821E1">
              <w:t xml:space="preserve">%) are on sexual offences and </w:t>
            </w:r>
            <w:r w:rsidRPr="00C92BA2">
              <w:t>3668</w:t>
            </w:r>
            <w:r w:rsidRPr="006821E1">
              <w:t xml:space="preserve"> (</w:t>
            </w:r>
            <w:r w:rsidRPr="00C92BA2">
              <w:t>12</w:t>
            </w:r>
            <w:r w:rsidRPr="006821E1">
              <w:t>.</w:t>
            </w:r>
            <w:r w:rsidRPr="00C92BA2">
              <w:t>4</w:t>
            </w:r>
            <w:r w:rsidRPr="006821E1">
              <w:t xml:space="preserve">%) are on domestic violence related matters. The domestic violence matters reported relates to an increase of </w:t>
            </w:r>
            <w:r w:rsidRPr="00C92BA2">
              <w:t>27</w:t>
            </w:r>
            <w:r w:rsidRPr="006821E1">
              <w:t>.</w:t>
            </w:r>
            <w:r w:rsidRPr="00C92BA2">
              <w:t>2</w:t>
            </w:r>
            <w:r w:rsidRPr="006821E1">
              <w:t>% versus the previous FY.</w:t>
            </w:r>
            <w:r w:rsidR="00F72C2B">
              <w:t xml:space="preserve"> </w:t>
            </w:r>
          </w:p>
        </w:tc>
      </w:tr>
      <w:tr w:rsidR="008E7D41" w:rsidRPr="006821E1" w14:paraId="656D8113" w14:textId="77777777" w:rsidTr="008E7D41">
        <w:tc>
          <w:tcPr>
            <w:tcW w:w="7370" w:type="dxa"/>
            <w:gridSpan w:val="3"/>
            <w:shd w:val="clear" w:color="auto" w:fill="auto"/>
          </w:tcPr>
          <w:p w14:paraId="77D29A11" w14:textId="2B2A92B4" w:rsidR="008E7D41" w:rsidRPr="00C92BA2" w:rsidRDefault="008E7D41" w:rsidP="00B01AD0">
            <w:pPr>
              <w:spacing w:before="40" w:after="120"/>
              <w:ind w:right="113"/>
              <w:rPr>
                <w:i/>
                <w:iCs/>
              </w:rPr>
            </w:pPr>
            <w:r w:rsidRPr="00C92BA2">
              <w:rPr>
                <w:i/>
                <w:iCs/>
              </w:rPr>
              <w:t xml:space="preserve">2. Conviction rate of TCC reported and prosecuted cases: </w:t>
            </w:r>
          </w:p>
        </w:tc>
      </w:tr>
      <w:tr w:rsidR="008E7D41" w:rsidRPr="006821E1" w14:paraId="031C1C62" w14:textId="77777777" w:rsidTr="008E7D41">
        <w:tc>
          <w:tcPr>
            <w:tcW w:w="3740" w:type="dxa"/>
            <w:shd w:val="clear" w:color="auto" w:fill="auto"/>
          </w:tcPr>
          <w:p w14:paraId="34FD9C55" w14:textId="77777777" w:rsidR="008E7D41" w:rsidRPr="006821E1" w:rsidRDefault="008E7D41" w:rsidP="00B01AD0">
            <w:pPr>
              <w:spacing w:before="40" w:after="120"/>
              <w:ind w:right="113"/>
            </w:pPr>
            <w:r w:rsidRPr="00C92BA2">
              <w:t>2023</w:t>
            </w:r>
            <w:r w:rsidRPr="006821E1">
              <w:t>/</w:t>
            </w:r>
            <w:r w:rsidRPr="00C92BA2">
              <w:t>24</w:t>
            </w:r>
            <w:r w:rsidRPr="006821E1">
              <w:t xml:space="preserve"> FY </w:t>
            </w:r>
          </w:p>
        </w:tc>
        <w:tc>
          <w:tcPr>
            <w:tcW w:w="3384" w:type="dxa"/>
            <w:shd w:val="clear" w:color="auto" w:fill="auto"/>
          </w:tcPr>
          <w:p w14:paraId="006327F9" w14:textId="77777777" w:rsidR="008E7D41" w:rsidRPr="006821E1" w:rsidRDefault="008E7D41" w:rsidP="00B01AD0">
            <w:pPr>
              <w:spacing w:before="40" w:after="120"/>
              <w:ind w:right="113"/>
            </w:pPr>
            <w:r w:rsidRPr="00C92BA2">
              <w:t>2022</w:t>
            </w:r>
            <w:r w:rsidRPr="006821E1">
              <w:t>/</w:t>
            </w:r>
            <w:r w:rsidRPr="00C92BA2">
              <w:t>23</w:t>
            </w:r>
            <w:r w:rsidRPr="006821E1">
              <w:t xml:space="preserve"> FY </w:t>
            </w:r>
          </w:p>
        </w:tc>
        <w:tc>
          <w:tcPr>
            <w:tcW w:w="246" w:type="dxa"/>
            <w:shd w:val="clear" w:color="auto" w:fill="auto"/>
          </w:tcPr>
          <w:p w14:paraId="77012CAF" w14:textId="1D4A8954" w:rsidR="008E7D41" w:rsidRPr="006821E1" w:rsidRDefault="008E7D41" w:rsidP="00B01AD0">
            <w:pPr>
              <w:spacing w:before="40" w:after="120"/>
              <w:ind w:right="113"/>
            </w:pPr>
            <w:r>
              <w:t xml:space="preserve"> </w:t>
            </w:r>
          </w:p>
        </w:tc>
      </w:tr>
      <w:tr w:rsidR="008E7D41" w:rsidRPr="006821E1" w14:paraId="7E10B44C" w14:textId="77777777" w:rsidTr="008E7D41">
        <w:tc>
          <w:tcPr>
            <w:tcW w:w="3740" w:type="dxa"/>
            <w:shd w:val="clear" w:color="auto" w:fill="auto"/>
          </w:tcPr>
          <w:p w14:paraId="68797F31" w14:textId="4F664A4B" w:rsidR="008E7D41" w:rsidRPr="006821E1" w:rsidRDefault="008E7D41" w:rsidP="00B01AD0">
            <w:pPr>
              <w:spacing w:before="40" w:after="120"/>
              <w:ind w:right="113"/>
            </w:pPr>
            <w:r w:rsidRPr="00C92BA2">
              <w:t>77</w:t>
            </w:r>
            <w:r w:rsidRPr="006821E1">
              <w:t>.</w:t>
            </w:r>
            <w:r w:rsidRPr="00C92BA2">
              <w:t>5</w:t>
            </w:r>
            <w:r w:rsidRPr="006821E1">
              <w:t xml:space="preserve">% (with </w:t>
            </w:r>
            <w:r w:rsidRPr="00C92BA2">
              <w:t>1298</w:t>
            </w:r>
            <w:r w:rsidRPr="006821E1">
              <w:t xml:space="preserve"> cases finalized and </w:t>
            </w:r>
            <w:r w:rsidRPr="00C92BA2">
              <w:t>1006</w:t>
            </w:r>
            <w:r w:rsidRPr="006821E1">
              <w:t xml:space="preserve"> convictions). This is an increase of </w:t>
            </w:r>
            <w:r w:rsidRPr="00C92BA2">
              <w:t>1</w:t>
            </w:r>
            <w:r w:rsidRPr="006821E1">
              <w:t>.</w:t>
            </w:r>
            <w:r w:rsidRPr="00C92BA2">
              <w:t>5</w:t>
            </w:r>
            <w:r w:rsidRPr="006821E1">
              <w:t xml:space="preserve">% and </w:t>
            </w:r>
            <w:r w:rsidRPr="00C92BA2">
              <w:t>165</w:t>
            </w:r>
            <w:r w:rsidRPr="006821E1">
              <w:t xml:space="preserve"> cases versus the previous FY.</w:t>
            </w:r>
            <w:r w:rsidR="00F72C2B">
              <w:t xml:space="preserve"> </w:t>
            </w:r>
          </w:p>
        </w:tc>
        <w:tc>
          <w:tcPr>
            <w:tcW w:w="3384" w:type="dxa"/>
            <w:shd w:val="clear" w:color="auto" w:fill="auto"/>
          </w:tcPr>
          <w:p w14:paraId="18115F5C" w14:textId="623B2FCA" w:rsidR="008E7D41" w:rsidRPr="006821E1" w:rsidRDefault="008E7D41" w:rsidP="00B01AD0">
            <w:pPr>
              <w:spacing w:before="40" w:after="120"/>
              <w:ind w:right="113"/>
            </w:pPr>
            <w:r w:rsidRPr="00C92BA2">
              <w:t>76</w:t>
            </w:r>
            <w:r w:rsidRPr="006821E1">
              <w:t>% (</w:t>
            </w:r>
            <w:r w:rsidRPr="00C92BA2">
              <w:t>1133</w:t>
            </w:r>
            <w:r w:rsidRPr="006821E1">
              <w:t xml:space="preserve"> cases finalized with </w:t>
            </w:r>
            <w:r w:rsidRPr="00C92BA2">
              <w:t>861</w:t>
            </w:r>
            <w:r w:rsidRPr="006821E1">
              <w:t xml:space="preserve"> convictions).</w:t>
            </w:r>
            <w:r w:rsidR="00F72C2B">
              <w:t xml:space="preserve"> </w:t>
            </w:r>
          </w:p>
        </w:tc>
        <w:tc>
          <w:tcPr>
            <w:tcW w:w="246" w:type="dxa"/>
            <w:shd w:val="clear" w:color="auto" w:fill="auto"/>
          </w:tcPr>
          <w:p w14:paraId="6D840DC2" w14:textId="77777777" w:rsidR="008E7D41" w:rsidRPr="006821E1" w:rsidRDefault="008E7D41" w:rsidP="00B01AD0">
            <w:pPr>
              <w:spacing w:before="40" w:after="120"/>
              <w:ind w:right="113"/>
            </w:pPr>
            <w:r w:rsidRPr="006821E1">
              <w:t xml:space="preserve"> </w:t>
            </w:r>
          </w:p>
        </w:tc>
      </w:tr>
      <w:tr w:rsidR="008E7D41" w:rsidRPr="006821E1" w14:paraId="2E67C08D" w14:textId="77777777" w:rsidTr="008E7D41">
        <w:tc>
          <w:tcPr>
            <w:tcW w:w="7370" w:type="dxa"/>
            <w:gridSpan w:val="3"/>
            <w:shd w:val="clear" w:color="auto" w:fill="auto"/>
          </w:tcPr>
          <w:p w14:paraId="61E1CC4E" w14:textId="3632537C" w:rsidR="008E7D41" w:rsidRPr="00C92BA2" w:rsidRDefault="008E7D41" w:rsidP="00B01AD0">
            <w:pPr>
              <w:spacing w:before="40" w:after="120"/>
              <w:ind w:right="113"/>
              <w:rPr>
                <w:i/>
                <w:iCs/>
              </w:rPr>
            </w:pPr>
            <w:r w:rsidRPr="00C92BA2">
              <w:rPr>
                <w:i/>
                <w:iCs/>
              </w:rPr>
              <w:t xml:space="preserve">3. Sentencing of TCC finalized cases: </w:t>
            </w:r>
          </w:p>
        </w:tc>
      </w:tr>
      <w:tr w:rsidR="008E7D41" w:rsidRPr="006821E1" w14:paraId="68173652" w14:textId="77777777" w:rsidTr="008E7D41">
        <w:tc>
          <w:tcPr>
            <w:tcW w:w="3740" w:type="dxa"/>
            <w:shd w:val="clear" w:color="auto" w:fill="auto"/>
          </w:tcPr>
          <w:p w14:paraId="5D52B07F" w14:textId="77777777" w:rsidR="008E7D41" w:rsidRPr="006821E1" w:rsidRDefault="008E7D41" w:rsidP="00B01AD0">
            <w:pPr>
              <w:spacing w:before="40" w:after="120"/>
              <w:ind w:right="113"/>
            </w:pPr>
            <w:r w:rsidRPr="00C92BA2">
              <w:t>2023</w:t>
            </w:r>
            <w:r w:rsidRPr="006821E1">
              <w:t>/</w:t>
            </w:r>
            <w:r w:rsidRPr="00C92BA2">
              <w:t>24</w:t>
            </w:r>
            <w:r w:rsidRPr="006821E1">
              <w:t xml:space="preserve"> FY </w:t>
            </w:r>
          </w:p>
        </w:tc>
        <w:tc>
          <w:tcPr>
            <w:tcW w:w="3384" w:type="dxa"/>
            <w:shd w:val="clear" w:color="auto" w:fill="auto"/>
          </w:tcPr>
          <w:p w14:paraId="4849D8B8" w14:textId="77777777" w:rsidR="008E7D41" w:rsidRPr="006821E1" w:rsidRDefault="008E7D41" w:rsidP="00B01AD0">
            <w:pPr>
              <w:spacing w:before="40" w:after="120"/>
              <w:ind w:right="113"/>
            </w:pPr>
            <w:r w:rsidRPr="00C92BA2">
              <w:t>2022</w:t>
            </w:r>
            <w:r w:rsidRPr="006821E1">
              <w:t>/</w:t>
            </w:r>
            <w:r w:rsidRPr="00C92BA2">
              <w:t>23</w:t>
            </w:r>
            <w:r w:rsidRPr="006821E1">
              <w:t xml:space="preserve"> FY </w:t>
            </w:r>
          </w:p>
        </w:tc>
        <w:tc>
          <w:tcPr>
            <w:tcW w:w="246" w:type="dxa"/>
            <w:shd w:val="clear" w:color="auto" w:fill="auto"/>
          </w:tcPr>
          <w:p w14:paraId="540BE9DA" w14:textId="41591B68" w:rsidR="008E7D41" w:rsidRPr="006821E1" w:rsidRDefault="008E7D41" w:rsidP="00B01AD0">
            <w:pPr>
              <w:spacing w:before="40" w:after="120"/>
              <w:ind w:right="113"/>
            </w:pPr>
            <w:r>
              <w:t xml:space="preserve"> </w:t>
            </w:r>
          </w:p>
        </w:tc>
      </w:tr>
      <w:tr w:rsidR="008E7D41" w:rsidRPr="006821E1" w14:paraId="49D1378F" w14:textId="77777777" w:rsidTr="008E7D41">
        <w:tc>
          <w:tcPr>
            <w:tcW w:w="3740" w:type="dxa"/>
            <w:shd w:val="clear" w:color="auto" w:fill="auto"/>
          </w:tcPr>
          <w:p w14:paraId="5D8BD7BB" w14:textId="44E3369A" w:rsidR="008E7D41" w:rsidRPr="006821E1" w:rsidRDefault="008E7D41" w:rsidP="00B01AD0">
            <w:pPr>
              <w:spacing w:before="40" w:after="120"/>
              <w:ind w:right="113"/>
            </w:pPr>
            <w:r w:rsidRPr="006821E1">
              <w:t xml:space="preserve">Life imprisonment (Number of these sentences imposed by courts) </w:t>
            </w:r>
            <w:r w:rsidRPr="00C92BA2">
              <w:t>160</w:t>
            </w:r>
            <w:r w:rsidRPr="006821E1">
              <w:t xml:space="preserve"> (decrease of </w:t>
            </w:r>
            <w:r w:rsidRPr="00C92BA2">
              <w:t>17</w:t>
            </w:r>
            <w:r w:rsidRPr="006821E1">
              <w:t xml:space="preserve"> in previous FY).</w:t>
            </w:r>
            <w:r w:rsidR="00F72C2B">
              <w:t xml:space="preserve"> </w:t>
            </w:r>
          </w:p>
        </w:tc>
        <w:tc>
          <w:tcPr>
            <w:tcW w:w="3384" w:type="dxa"/>
            <w:shd w:val="clear" w:color="auto" w:fill="auto"/>
          </w:tcPr>
          <w:p w14:paraId="58E00902" w14:textId="77777777" w:rsidR="008E7D41" w:rsidRPr="006821E1" w:rsidRDefault="008E7D41" w:rsidP="00B01AD0">
            <w:pPr>
              <w:spacing w:before="40" w:after="120"/>
              <w:ind w:right="113"/>
            </w:pPr>
            <w:r w:rsidRPr="006821E1">
              <w:t xml:space="preserve">Life imprisonment (Number of these sentences imposed by courts) </w:t>
            </w:r>
            <w:r w:rsidRPr="00C92BA2">
              <w:t>177</w:t>
            </w:r>
            <w:r w:rsidRPr="006821E1">
              <w:t xml:space="preserve"> </w:t>
            </w:r>
          </w:p>
        </w:tc>
        <w:tc>
          <w:tcPr>
            <w:tcW w:w="246" w:type="dxa"/>
            <w:vMerge w:val="restart"/>
            <w:shd w:val="clear" w:color="auto" w:fill="auto"/>
          </w:tcPr>
          <w:p w14:paraId="25C67708" w14:textId="77777777" w:rsidR="008E7D41" w:rsidRPr="006821E1" w:rsidRDefault="008E7D41" w:rsidP="00B01AD0">
            <w:pPr>
              <w:spacing w:before="40" w:after="120"/>
              <w:ind w:right="113"/>
            </w:pPr>
            <w:r w:rsidRPr="006821E1">
              <w:t xml:space="preserve"> </w:t>
            </w:r>
          </w:p>
        </w:tc>
      </w:tr>
      <w:tr w:rsidR="008E7D41" w:rsidRPr="006821E1" w14:paraId="3FBAE2CD" w14:textId="77777777" w:rsidTr="008E7D41">
        <w:tc>
          <w:tcPr>
            <w:tcW w:w="3740" w:type="dxa"/>
            <w:shd w:val="clear" w:color="auto" w:fill="auto"/>
          </w:tcPr>
          <w:p w14:paraId="7A4D57FD" w14:textId="6AFCF773" w:rsidR="008E7D41" w:rsidRPr="006821E1" w:rsidRDefault="008E7D41" w:rsidP="00B01AD0">
            <w:pPr>
              <w:spacing w:before="40" w:after="120"/>
              <w:ind w:right="113"/>
            </w:pPr>
            <w:r w:rsidRPr="00C92BA2">
              <w:lastRenderedPageBreak/>
              <w:t>20</w:t>
            </w:r>
            <w:r w:rsidRPr="006821E1">
              <w:t xml:space="preserve"> -</w:t>
            </w:r>
            <w:r w:rsidRPr="00C92BA2">
              <w:t>25</w:t>
            </w:r>
            <w:r w:rsidRPr="006821E1">
              <w:t xml:space="preserve"> years imprisonment (Number of these sentences imposed by courts) </w:t>
            </w:r>
            <w:r w:rsidRPr="00C92BA2">
              <w:t>118</w:t>
            </w:r>
            <w:r w:rsidRPr="006821E1">
              <w:t xml:space="preserve"> (same as previous FY).</w:t>
            </w:r>
            <w:r w:rsidR="00F72C2B">
              <w:t xml:space="preserve"> </w:t>
            </w:r>
          </w:p>
        </w:tc>
        <w:tc>
          <w:tcPr>
            <w:tcW w:w="3384" w:type="dxa"/>
            <w:shd w:val="clear" w:color="auto" w:fill="auto"/>
          </w:tcPr>
          <w:p w14:paraId="04358C76" w14:textId="7AA7326E" w:rsidR="008E7D41" w:rsidRPr="006821E1" w:rsidRDefault="008E7D41" w:rsidP="00B01AD0">
            <w:pPr>
              <w:spacing w:before="40" w:after="120"/>
              <w:ind w:right="113"/>
            </w:pPr>
            <w:r w:rsidRPr="00C92BA2">
              <w:t>20</w:t>
            </w:r>
            <w:r w:rsidRPr="006821E1">
              <w:t xml:space="preserve"> -</w:t>
            </w:r>
            <w:r w:rsidRPr="00C92BA2">
              <w:t>25</w:t>
            </w:r>
            <w:r w:rsidRPr="006821E1">
              <w:t xml:space="preserve"> years imprisonment (Number of these sentences imposed by courts) </w:t>
            </w:r>
            <w:r w:rsidRPr="00C92BA2">
              <w:t>118</w:t>
            </w:r>
            <w:r w:rsidR="00F72C2B">
              <w:t xml:space="preserve"> </w:t>
            </w:r>
          </w:p>
        </w:tc>
        <w:tc>
          <w:tcPr>
            <w:tcW w:w="246" w:type="dxa"/>
            <w:vMerge/>
            <w:shd w:val="clear" w:color="auto" w:fill="auto"/>
          </w:tcPr>
          <w:p w14:paraId="155A2E9C" w14:textId="77777777" w:rsidR="008E7D41" w:rsidRPr="006821E1" w:rsidRDefault="008E7D41" w:rsidP="00B01AD0">
            <w:pPr>
              <w:spacing w:before="40" w:after="120"/>
              <w:ind w:right="113"/>
            </w:pPr>
          </w:p>
        </w:tc>
      </w:tr>
      <w:tr w:rsidR="008E7D41" w:rsidRPr="006821E1" w14:paraId="3BA329DD" w14:textId="77777777" w:rsidTr="008E7D41">
        <w:tc>
          <w:tcPr>
            <w:tcW w:w="3740" w:type="dxa"/>
            <w:shd w:val="clear" w:color="auto" w:fill="auto"/>
          </w:tcPr>
          <w:p w14:paraId="7F9B9AED" w14:textId="623BB597" w:rsidR="008E7D41" w:rsidRPr="006821E1" w:rsidRDefault="008E7D41" w:rsidP="00B01AD0">
            <w:pPr>
              <w:spacing w:before="40" w:after="120"/>
              <w:ind w:right="113"/>
            </w:pPr>
            <w:r w:rsidRPr="00C92BA2">
              <w:t>10</w:t>
            </w:r>
            <w:r w:rsidRPr="006821E1">
              <w:t xml:space="preserve"> -</w:t>
            </w:r>
            <w:r w:rsidRPr="00C92BA2">
              <w:t>19</w:t>
            </w:r>
            <w:r w:rsidRPr="006821E1">
              <w:t xml:space="preserve"> years imprisonment (Number of these sentences imposed by courts) </w:t>
            </w:r>
            <w:r w:rsidRPr="00C92BA2">
              <w:t>328</w:t>
            </w:r>
            <w:r w:rsidRPr="006821E1">
              <w:t xml:space="preserve"> (increase of </w:t>
            </w:r>
            <w:r w:rsidRPr="00C92BA2">
              <w:t>32</w:t>
            </w:r>
            <w:r w:rsidRPr="006821E1">
              <w:t xml:space="preserve"> on previous FY).</w:t>
            </w:r>
            <w:r w:rsidR="00F72C2B">
              <w:t xml:space="preserve"> </w:t>
            </w:r>
          </w:p>
        </w:tc>
        <w:tc>
          <w:tcPr>
            <w:tcW w:w="3384" w:type="dxa"/>
            <w:shd w:val="clear" w:color="auto" w:fill="auto"/>
          </w:tcPr>
          <w:p w14:paraId="0F9368BE" w14:textId="77777777" w:rsidR="008E7D41" w:rsidRPr="006821E1" w:rsidRDefault="008E7D41" w:rsidP="00B01AD0">
            <w:pPr>
              <w:spacing w:before="40" w:after="120"/>
              <w:ind w:right="113"/>
            </w:pPr>
            <w:r w:rsidRPr="00C92BA2">
              <w:t>10</w:t>
            </w:r>
            <w:r w:rsidRPr="006821E1">
              <w:t xml:space="preserve"> -</w:t>
            </w:r>
            <w:r w:rsidRPr="00C92BA2">
              <w:t>19</w:t>
            </w:r>
            <w:r w:rsidRPr="006821E1">
              <w:t xml:space="preserve"> years imprisonment (Number of these sentences imposed by courts) </w:t>
            </w:r>
            <w:r w:rsidRPr="00C92BA2">
              <w:t>296</w:t>
            </w:r>
            <w:r w:rsidRPr="006821E1">
              <w:t xml:space="preserve"> </w:t>
            </w:r>
          </w:p>
        </w:tc>
        <w:tc>
          <w:tcPr>
            <w:tcW w:w="246" w:type="dxa"/>
            <w:vMerge/>
            <w:shd w:val="clear" w:color="auto" w:fill="auto"/>
          </w:tcPr>
          <w:p w14:paraId="2525F134" w14:textId="77777777" w:rsidR="008E7D41" w:rsidRPr="006821E1" w:rsidRDefault="008E7D41" w:rsidP="00B01AD0">
            <w:pPr>
              <w:spacing w:before="40" w:after="120"/>
              <w:ind w:right="113"/>
            </w:pPr>
          </w:p>
        </w:tc>
      </w:tr>
      <w:tr w:rsidR="008E7D41" w:rsidRPr="006821E1" w14:paraId="5E79CF9F" w14:textId="77777777" w:rsidTr="008E7D41">
        <w:tc>
          <w:tcPr>
            <w:tcW w:w="3740" w:type="dxa"/>
            <w:tcBorders>
              <w:bottom w:val="single" w:sz="12" w:space="0" w:color="auto"/>
            </w:tcBorders>
            <w:shd w:val="clear" w:color="auto" w:fill="auto"/>
          </w:tcPr>
          <w:p w14:paraId="7D89D22E" w14:textId="0AF3563B" w:rsidR="008E7D41" w:rsidRPr="006821E1" w:rsidRDefault="008E7D41" w:rsidP="00B01AD0">
            <w:pPr>
              <w:spacing w:before="40" w:after="120"/>
              <w:ind w:right="113"/>
            </w:pPr>
            <w:r w:rsidRPr="006821E1">
              <w:t xml:space="preserve">Number of accused sentenced: </w:t>
            </w:r>
            <w:r w:rsidRPr="00C92BA2">
              <w:t>1088</w:t>
            </w:r>
            <w:r w:rsidRPr="006821E1">
              <w:t xml:space="preserve"> (an increase of </w:t>
            </w:r>
            <w:r w:rsidRPr="00C92BA2">
              <w:t>210</w:t>
            </w:r>
            <w:r w:rsidRPr="006821E1">
              <w:t xml:space="preserve"> or </w:t>
            </w:r>
            <w:r w:rsidRPr="00C92BA2">
              <w:t>23</w:t>
            </w:r>
            <w:r w:rsidRPr="006821E1">
              <w:t>.</w:t>
            </w:r>
            <w:r w:rsidRPr="00C92BA2">
              <w:t>9</w:t>
            </w:r>
            <w:r w:rsidRPr="006821E1">
              <w:t>% on the previous FY)</w:t>
            </w:r>
            <w:r>
              <w:t xml:space="preserve"> </w:t>
            </w:r>
          </w:p>
        </w:tc>
        <w:tc>
          <w:tcPr>
            <w:tcW w:w="3384" w:type="dxa"/>
            <w:tcBorders>
              <w:bottom w:val="single" w:sz="12" w:space="0" w:color="auto"/>
            </w:tcBorders>
            <w:shd w:val="clear" w:color="auto" w:fill="auto"/>
          </w:tcPr>
          <w:p w14:paraId="2B51392E" w14:textId="0EE01AC0" w:rsidR="008E7D41" w:rsidRPr="006821E1" w:rsidRDefault="008E7D41" w:rsidP="00B01AD0">
            <w:pPr>
              <w:spacing w:before="40" w:after="120"/>
              <w:ind w:right="113"/>
            </w:pPr>
            <w:r w:rsidRPr="006821E1">
              <w:t xml:space="preserve">Number of accused sentenced: </w:t>
            </w:r>
            <w:r w:rsidRPr="00C92BA2">
              <w:t>878</w:t>
            </w:r>
            <w:r>
              <w:t xml:space="preserve"> </w:t>
            </w:r>
          </w:p>
        </w:tc>
        <w:tc>
          <w:tcPr>
            <w:tcW w:w="246" w:type="dxa"/>
            <w:tcBorders>
              <w:bottom w:val="single" w:sz="12" w:space="0" w:color="auto"/>
            </w:tcBorders>
            <w:shd w:val="clear" w:color="auto" w:fill="auto"/>
          </w:tcPr>
          <w:p w14:paraId="660B66F6" w14:textId="77777777" w:rsidR="008E7D41" w:rsidRPr="006821E1" w:rsidRDefault="008E7D41" w:rsidP="00B01AD0">
            <w:pPr>
              <w:spacing w:before="40" w:after="120"/>
              <w:ind w:right="113"/>
            </w:pPr>
          </w:p>
        </w:tc>
      </w:tr>
    </w:tbl>
    <w:p w14:paraId="1660F635" w14:textId="77777777" w:rsidR="00996E34" w:rsidRDefault="00996E34" w:rsidP="00996E34">
      <w:pPr>
        <w:pStyle w:val="SingleTxt"/>
        <w:spacing w:after="0" w:line="120" w:lineRule="exact"/>
        <w:rPr>
          <w:rFonts w:cs="Times New Roman"/>
          <w:sz w:val="10"/>
          <w:szCs w:val="20"/>
        </w:rPr>
      </w:pPr>
    </w:p>
    <w:p w14:paraId="4B9599B2" w14:textId="77777777" w:rsidR="008E7D41" w:rsidRPr="00996E34" w:rsidRDefault="008E7D41" w:rsidP="00996E34">
      <w:pPr>
        <w:pStyle w:val="SingleTxt"/>
        <w:spacing w:after="0" w:line="120" w:lineRule="exact"/>
        <w:rPr>
          <w:rFonts w:cs="Times New Roman"/>
          <w:sz w:val="10"/>
          <w:szCs w:val="20"/>
        </w:rPr>
      </w:pPr>
    </w:p>
    <w:p w14:paraId="4A8ED34D" w14:textId="77777777" w:rsidR="001324A4" w:rsidRPr="001324A4" w:rsidRDefault="001324A4" w:rsidP="001324A4">
      <w:pPr>
        <w:pStyle w:val="SingleTxt"/>
        <w:rPr>
          <w:rFonts w:cs="Times New Roman"/>
          <w:szCs w:val="20"/>
        </w:rPr>
      </w:pPr>
      <w:r w:rsidRPr="00C92BA2">
        <w:rPr>
          <w:rFonts w:cs="Times New Roman"/>
          <w:szCs w:val="20"/>
        </w:rPr>
        <w:t>16</w:t>
      </w:r>
      <w:r w:rsidRPr="001324A4">
        <w:rPr>
          <w:rFonts w:cs="Times New Roman"/>
          <w:szCs w:val="20"/>
        </w:rPr>
        <w:t>.</w:t>
      </w:r>
      <w:r w:rsidRPr="001324A4">
        <w:rPr>
          <w:rFonts w:cs="Times New Roman"/>
          <w:szCs w:val="20"/>
        </w:rPr>
        <w:tab/>
        <w:t xml:space="preserve">The South African Police Service provides the following training programs that support the prioritization of women, youth, and persons with disabilities: </w:t>
      </w:r>
    </w:p>
    <w:p w14:paraId="644D0C3C" w14:textId="77777777" w:rsidR="001324A4" w:rsidRPr="001324A4" w:rsidRDefault="001324A4" w:rsidP="001324A4">
      <w:pPr>
        <w:pStyle w:val="SingleTxt"/>
        <w:rPr>
          <w:rFonts w:cs="Times New Roman"/>
          <w:szCs w:val="20"/>
        </w:rPr>
      </w:pPr>
      <w:r w:rsidRPr="001324A4">
        <w:rPr>
          <w:rFonts w:cs="Times New Roman"/>
          <w:szCs w:val="20"/>
        </w:rPr>
        <w:tab/>
        <w:t>(a)</w:t>
      </w:r>
      <w:r w:rsidRPr="001324A4">
        <w:rPr>
          <w:rFonts w:cs="Times New Roman"/>
          <w:szCs w:val="20"/>
        </w:rPr>
        <w:tab/>
        <w:t>Basic Course in Hostage and Suicide Negotiation;</w:t>
      </w:r>
    </w:p>
    <w:p w14:paraId="7ADB3CC6" w14:textId="77777777" w:rsidR="001324A4" w:rsidRPr="001324A4" w:rsidRDefault="001324A4" w:rsidP="001324A4">
      <w:pPr>
        <w:pStyle w:val="SingleTxt"/>
        <w:rPr>
          <w:rFonts w:cs="Times New Roman"/>
          <w:szCs w:val="20"/>
        </w:rPr>
      </w:pPr>
      <w:r w:rsidRPr="001324A4">
        <w:rPr>
          <w:rFonts w:cs="Times New Roman"/>
          <w:szCs w:val="20"/>
        </w:rPr>
        <w:tab/>
        <w:t>(b)</w:t>
      </w:r>
      <w:r w:rsidRPr="001324A4">
        <w:rPr>
          <w:rFonts w:cs="Times New Roman"/>
          <w:szCs w:val="20"/>
        </w:rPr>
        <w:tab/>
        <w:t>National Victim Empowerment Training Programme;</w:t>
      </w:r>
    </w:p>
    <w:p w14:paraId="47B7761C" w14:textId="77777777" w:rsidR="001324A4" w:rsidRPr="001324A4" w:rsidRDefault="001324A4" w:rsidP="001324A4">
      <w:pPr>
        <w:pStyle w:val="SingleTxt"/>
        <w:rPr>
          <w:rFonts w:cs="Times New Roman"/>
          <w:szCs w:val="20"/>
        </w:rPr>
      </w:pPr>
      <w:r w:rsidRPr="001324A4">
        <w:rPr>
          <w:rFonts w:cs="Times New Roman"/>
          <w:szCs w:val="20"/>
        </w:rPr>
        <w:tab/>
        <w:t>(c)</w:t>
      </w:r>
      <w:r w:rsidRPr="001324A4">
        <w:rPr>
          <w:rFonts w:cs="Times New Roman"/>
          <w:szCs w:val="20"/>
        </w:rPr>
        <w:tab/>
        <w:t>Children and Youth at Risk;</w:t>
      </w:r>
    </w:p>
    <w:p w14:paraId="643AE583" w14:textId="77777777" w:rsidR="001324A4" w:rsidRPr="001324A4" w:rsidRDefault="001324A4" w:rsidP="001324A4">
      <w:pPr>
        <w:pStyle w:val="SingleTxt"/>
        <w:rPr>
          <w:rFonts w:cs="Times New Roman"/>
          <w:szCs w:val="20"/>
        </w:rPr>
      </w:pPr>
      <w:r w:rsidRPr="001324A4">
        <w:rPr>
          <w:rFonts w:cs="Times New Roman"/>
          <w:szCs w:val="20"/>
        </w:rPr>
        <w:tab/>
        <w:t>(d)</w:t>
      </w:r>
      <w:r w:rsidRPr="001324A4">
        <w:rPr>
          <w:rFonts w:cs="Times New Roman"/>
          <w:szCs w:val="20"/>
        </w:rPr>
        <w:tab/>
        <w:t>Human Rights in Policing Programme;</w:t>
      </w:r>
    </w:p>
    <w:p w14:paraId="4283CE85" w14:textId="77777777" w:rsidR="001324A4" w:rsidRPr="001324A4" w:rsidRDefault="001324A4" w:rsidP="001324A4">
      <w:pPr>
        <w:pStyle w:val="SingleTxt"/>
        <w:rPr>
          <w:rFonts w:cs="Times New Roman"/>
          <w:szCs w:val="20"/>
        </w:rPr>
      </w:pPr>
      <w:r w:rsidRPr="001324A4">
        <w:rPr>
          <w:rFonts w:cs="Times New Roman"/>
          <w:szCs w:val="20"/>
        </w:rPr>
        <w:tab/>
        <w:t>(e)</w:t>
      </w:r>
      <w:r w:rsidRPr="001324A4">
        <w:rPr>
          <w:rFonts w:cs="Times New Roman"/>
          <w:szCs w:val="20"/>
        </w:rPr>
        <w:tab/>
        <w:t>First Responder to Sexual Offences Learning Programme;</w:t>
      </w:r>
    </w:p>
    <w:p w14:paraId="5596AECA" w14:textId="77777777" w:rsidR="001324A4" w:rsidRPr="001324A4" w:rsidRDefault="001324A4" w:rsidP="001324A4">
      <w:pPr>
        <w:pStyle w:val="SingleTxt"/>
        <w:rPr>
          <w:rFonts w:cs="Times New Roman"/>
          <w:szCs w:val="20"/>
        </w:rPr>
      </w:pPr>
      <w:r w:rsidRPr="001324A4">
        <w:rPr>
          <w:rFonts w:cs="Times New Roman"/>
          <w:szCs w:val="20"/>
        </w:rPr>
        <w:tab/>
        <w:t>(f)</w:t>
      </w:r>
      <w:r w:rsidRPr="001324A4">
        <w:rPr>
          <w:rFonts w:cs="Times New Roman"/>
          <w:szCs w:val="20"/>
        </w:rPr>
        <w:tab/>
        <w:t>Sexual Offences Course for Investigating Officers;</w:t>
      </w:r>
    </w:p>
    <w:p w14:paraId="10BC597F" w14:textId="77777777" w:rsidR="001324A4" w:rsidRPr="001324A4" w:rsidRDefault="001324A4" w:rsidP="001324A4">
      <w:pPr>
        <w:pStyle w:val="SingleTxt"/>
        <w:rPr>
          <w:rFonts w:cs="Times New Roman"/>
          <w:szCs w:val="20"/>
        </w:rPr>
      </w:pPr>
      <w:r w:rsidRPr="001324A4">
        <w:rPr>
          <w:rFonts w:cs="Times New Roman"/>
          <w:szCs w:val="20"/>
        </w:rPr>
        <w:tab/>
        <w:t>(g)</w:t>
      </w:r>
      <w:r w:rsidRPr="001324A4">
        <w:rPr>
          <w:rFonts w:cs="Times New Roman"/>
          <w:szCs w:val="20"/>
        </w:rPr>
        <w:tab/>
        <w:t>Domestic Violence Learning Programme (new);</w:t>
      </w:r>
    </w:p>
    <w:p w14:paraId="24C21602" w14:textId="77777777" w:rsidR="001324A4" w:rsidRPr="001324A4" w:rsidRDefault="001324A4" w:rsidP="001324A4">
      <w:pPr>
        <w:pStyle w:val="SingleTxt"/>
        <w:rPr>
          <w:rFonts w:cs="Times New Roman"/>
          <w:szCs w:val="20"/>
        </w:rPr>
      </w:pPr>
      <w:r w:rsidRPr="001324A4">
        <w:rPr>
          <w:rFonts w:cs="Times New Roman"/>
          <w:szCs w:val="20"/>
        </w:rPr>
        <w:tab/>
        <w:t>(h)</w:t>
      </w:r>
      <w:r w:rsidRPr="001324A4">
        <w:rPr>
          <w:rFonts w:cs="Times New Roman"/>
          <w:szCs w:val="20"/>
        </w:rPr>
        <w:tab/>
        <w:t>Resolving of Crime Learning Programme;</w:t>
      </w:r>
    </w:p>
    <w:p w14:paraId="44D31F65" w14:textId="77777777" w:rsidR="001324A4" w:rsidRPr="001324A4" w:rsidRDefault="001324A4" w:rsidP="001324A4">
      <w:pPr>
        <w:pStyle w:val="SingleTxt"/>
        <w:rPr>
          <w:rFonts w:cs="Times New Roman"/>
          <w:szCs w:val="20"/>
        </w:rPr>
      </w:pPr>
      <w:r w:rsidRPr="001324A4">
        <w:rPr>
          <w:rFonts w:cs="Times New Roman"/>
          <w:szCs w:val="20"/>
        </w:rPr>
        <w:tab/>
        <w:t>(i)</w:t>
      </w:r>
      <w:r w:rsidRPr="001324A4">
        <w:rPr>
          <w:rFonts w:cs="Times New Roman"/>
          <w:szCs w:val="20"/>
        </w:rPr>
        <w:tab/>
        <w:t>Vulnerable Groups Learning Programme;</w:t>
      </w:r>
    </w:p>
    <w:p w14:paraId="72684945" w14:textId="77777777" w:rsidR="001324A4" w:rsidRPr="001324A4" w:rsidRDefault="001324A4" w:rsidP="001324A4">
      <w:pPr>
        <w:pStyle w:val="SingleTxt"/>
        <w:rPr>
          <w:rFonts w:cs="Times New Roman"/>
          <w:szCs w:val="20"/>
        </w:rPr>
      </w:pPr>
      <w:r w:rsidRPr="001324A4">
        <w:rPr>
          <w:rFonts w:cs="Times New Roman"/>
          <w:szCs w:val="20"/>
        </w:rPr>
        <w:tab/>
        <w:t>(j)</w:t>
      </w:r>
      <w:r w:rsidRPr="001324A4">
        <w:rPr>
          <w:rFonts w:cs="Times New Roman"/>
          <w:szCs w:val="20"/>
        </w:rPr>
        <w:tab/>
        <w:t xml:space="preserve">Family Violence Child Protection and Sexual Offences Learning Programme. </w:t>
      </w:r>
    </w:p>
    <w:p w14:paraId="0F11BE93" w14:textId="77777777" w:rsidR="00996E34" w:rsidRPr="00996E34" w:rsidRDefault="00996E34" w:rsidP="00996E34">
      <w:pPr>
        <w:pStyle w:val="SingleTxt"/>
        <w:spacing w:after="0" w:line="120" w:lineRule="exact"/>
        <w:rPr>
          <w:rFonts w:cs="Times New Roman"/>
          <w:sz w:val="10"/>
          <w:szCs w:val="20"/>
        </w:rPr>
      </w:pPr>
    </w:p>
    <w:p w14:paraId="4ED5C6D3" w14:textId="77777777" w:rsidR="00996E34" w:rsidRPr="00996E34" w:rsidRDefault="00996E34" w:rsidP="00996E34">
      <w:pPr>
        <w:pStyle w:val="SingleTxt"/>
        <w:spacing w:after="0" w:line="120" w:lineRule="exact"/>
        <w:rPr>
          <w:rFonts w:cs="Times New Roman"/>
          <w:sz w:val="10"/>
          <w:szCs w:val="20"/>
        </w:rPr>
      </w:pPr>
    </w:p>
    <w:p w14:paraId="25CFC545" w14:textId="36C8C261" w:rsidR="001324A4" w:rsidRPr="00C92BA2" w:rsidRDefault="001324A4" w:rsidP="00996E34">
      <w:pPr>
        <w:pStyle w:val="H1"/>
        <w:ind w:right="1650"/>
      </w:pPr>
      <w:r w:rsidRPr="00C92BA2">
        <w:tab/>
      </w:r>
      <w:bookmarkStart w:id="3" w:name="_Hlk172802317"/>
      <w:r w:rsidRPr="00C92BA2">
        <w:t>B.</w:t>
      </w:r>
      <w:r w:rsidRPr="00C92BA2">
        <w:tab/>
        <w:t>Follow-up information relating to paragraph 10 (c) of the concluding observations</w:t>
      </w:r>
      <w:bookmarkEnd w:id="3"/>
    </w:p>
    <w:p w14:paraId="500BF56A" w14:textId="77777777" w:rsidR="00996E34" w:rsidRPr="00996E34" w:rsidRDefault="00996E34" w:rsidP="00996E34">
      <w:pPr>
        <w:pStyle w:val="SingleTxt"/>
        <w:spacing w:after="0" w:line="120" w:lineRule="exact"/>
        <w:rPr>
          <w:rFonts w:cs="Times New Roman"/>
          <w:sz w:val="10"/>
          <w:szCs w:val="20"/>
        </w:rPr>
      </w:pPr>
    </w:p>
    <w:p w14:paraId="32B0BA3E" w14:textId="77777777" w:rsidR="00996E34" w:rsidRPr="00996E34" w:rsidRDefault="00996E34" w:rsidP="00996E34">
      <w:pPr>
        <w:pStyle w:val="SingleTxt"/>
        <w:spacing w:after="0" w:line="120" w:lineRule="exact"/>
        <w:rPr>
          <w:rFonts w:cs="Times New Roman"/>
          <w:sz w:val="10"/>
          <w:szCs w:val="20"/>
        </w:rPr>
      </w:pPr>
    </w:p>
    <w:p w14:paraId="545D56A2" w14:textId="75D2CA88" w:rsidR="00996E34" w:rsidRPr="001324A4" w:rsidRDefault="001324A4" w:rsidP="001324A4">
      <w:pPr>
        <w:pStyle w:val="SingleTxt"/>
        <w:rPr>
          <w:rFonts w:cs="Times New Roman"/>
          <w:szCs w:val="20"/>
        </w:rPr>
      </w:pPr>
      <w:r w:rsidRPr="00C92BA2">
        <w:rPr>
          <w:rFonts w:cs="Times New Roman"/>
          <w:szCs w:val="20"/>
        </w:rPr>
        <w:t>17</w:t>
      </w:r>
      <w:r w:rsidRPr="001324A4">
        <w:rPr>
          <w:rFonts w:cs="Times New Roman"/>
          <w:szCs w:val="20"/>
        </w:rPr>
        <w:t>.</w:t>
      </w:r>
      <w:r w:rsidRPr="001324A4">
        <w:rPr>
          <w:rFonts w:cs="Times New Roman"/>
          <w:szCs w:val="20"/>
        </w:rPr>
        <w:tab/>
        <w:t>To strengthen victims support services, South Africa is currently processing the Victims Support Services Bill for cabinet approval.</w:t>
      </w:r>
      <w:r w:rsidR="00996E34">
        <w:rPr>
          <w:rFonts w:cs="Times New Roman"/>
          <w:szCs w:val="20"/>
        </w:rPr>
        <w:t xml:space="preserve"> </w:t>
      </w:r>
    </w:p>
    <w:p w14:paraId="6DB1739D" w14:textId="1BD177A5" w:rsidR="001324A4" w:rsidRPr="001324A4" w:rsidRDefault="001324A4" w:rsidP="001324A4">
      <w:pPr>
        <w:pStyle w:val="SingleTxt"/>
        <w:rPr>
          <w:rFonts w:cs="Times New Roman"/>
          <w:szCs w:val="20"/>
        </w:rPr>
      </w:pPr>
      <w:r w:rsidRPr="00C92BA2">
        <w:rPr>
          <w:rFonts w:cs="Times New Roman"/>
          <w:szCs w:val="20"/>
        </w:rPr>
        <w:t>18</w:t>
      </w:r>
      <w:r w:rsidRPr="001324A4">
        <w:rPr>
          <w:rFonts w:cs="Times New Roman"/>
          <w:szCs w:val="20"/>
        </w:rPr>
        <w:t>.</w:t>
      </w:r>
      <w:r w:rsidRPr="001324A4">
        <w:rPr>
          <w:rFonts w:cs="Times New Roman"/>
          <w:szCs w:val="20"/>
        </w:rPr>
        <w:tab/>
        <w:t xml:space="preserve">The proposed Bill seeks to provide a framework to guide and inform the provision of integrated and multi-disciplinary services for victims of violent crimes; and co-ordinate all activities and services by government departments in the Justice, Crime Prevention and Security Cluster as well as in the Social Cluster, to provide more efficient and effective services. The legislation will address gaps in all existing victim support services related legislations such as Domestic Violence Act which is silent on the role, management and registration of shelter services for victims of violent crimes. It will assist with monitoring the quality of services rendered within the victim support services’ sector and in addressing the scourge of violent crimes and improve referrals. </w:t>
      </w:r>
    </w:p>
    <w:p w14:paraId="58280B0A" w14:textId="77777777" w:rsidR="00996E34" w:rsidRPr="001324A4" w:rsidRDefault="001324A4" w:rsidP="001324A4">
      <w:pPr>
        <w:pStyle w:val="SingleTxt"/>
        <w:rPr>
          <w:rFonts w:cs="Times New Roman"/>
          <w:szCs w:val="20"/>
        </w:rPr>
      </w:pPr>
      <w:r w:rsidRPr="00C92BA2">
        <w:rPr>
          <w:rFonts w:cs="Times New Roman"/>
          <w:szCs w:val="20"/>
        </w:rPr>
        <w:t>19</w:t>
      </w:r>
      <w:r w:rsidRPr="001324A4">
        <w:rPr>
          <w:rFonts w:cs="Times New Roman"/>
          <w:szCs w:val="20"/>
        </w:rPr>
        <w:t>.</w:t>
      </w:r>
      <w:r w:rsidRPr="001324A4">
        <w:rPr>
          <w:rFonts w:cs="Times New Roman"/>
          <w:szCs w:val="20"/>
        </w:rPr>
        <w:tab/>
        <w:t xml:space="preserve">To strengthen the victim support services, the Department of Social Development has embarked on a project of conversion of unused Government properties into shelters for victims of GBV, working with the Department of Public Works and Infrastructure. The project is ongoing, and buildings are being identified </w:t>
      </w:r>
      <w:r w:rsidRPr="001324A4">
        <w:rPr>
          <w:rFonts w:cs="Times New Roman"/>
          <w:szCs w:val="20"/>
        </w:rPr>
        <w:lastRenderedPageBreak/>
        <w:t>in all the nine provinces for allocation to the Department of Social Development. The project management team comprising of national and provincial representatives of the two departments are also ensuring that local by-laws are strictly adhered to during occupation and conversion for operationalization as GBV shelters.</w:t>
      </w:r>
      <w:r w:rsidR="00996E34">
        <w:rPr>
          <w:rFonts w:cs="Times New Roman"/>
          <w:szCs w:val="20"/>
        </w:rPr>
        <w:t xml:space="preserve"> </w:t>
      </w:r>
    </w:p>
    <w:p w14:paraId="7CD04BF8" w14:textId="77777777" w:rsidR="00996E34" w:rsidRPr="001324A4" w:rsidRDefault="001324A4" w:rsidP="001324A4">
      <w:pPr>
        <w:pStyle w:val="SingleTxt"/>
        <w:rPr>
          <w:rFonts w:cs="Times New Roman"/>
          <w:szCs w:val="20"/>
        </w:rPr>
      </w:pPr>
      <w:r w:rsidRPr="00C92BA2">
        <w:rPr>
          <w:rFonts w:cs="Times New Roman"/>
          <w:szCs w:val="20"/>
        </w:rPr>
        <w:t>20</w:t>
      </w:r>
      <w:r w:rsidRPr="001324A4">
        <w:rPr>
          <w:rFonts w:cs="Times New Roman"/>
          <w:szCs w:val="20"/>
        </w:rPr>
        <w:t>.</w:t>
      </w:r>
      <w:r w:rsidRPr="001324A4">
        <w:rPr>
          <w:rFonts w:cs="Times New Roman"/>
          <w:szCs w:val="20"/>
        </w:rPr>
        <w:tab/>
        <w:t xml:space="preserve">Shelters that are managed by the Non-Profit Organisation (NPO) sector receive subsidy from the Department of Social Development to provide shelter services. The funding is administered in line with the Public Finance Management Act, </w:t>
      </w:r>
      <w:r w:rsidRPr="00C92BA2">
        <w:rPr>
          <w:rFonts w:cs="Times New Roman"/>
          <w:szCs w:val="20"/>
        </w:rPr>
        <w:t>1</w:t>
      </w:r>
      <w:r w:rsidRPr="001324A4">
        <w:rPr>
          <w:rFonts w:cs="Times New Roman"/>
          <w:szCs w:val="20"/>
        </w:rPr>
        <w:t xml:space="preserve"> of </w:t>
      </w:r>
      <w:r w:rsidRPr="00C92BA2">
        <w:rPr>
          <w:rFonts w:cs="Times New Roman"/>
          <w:szCs w:val="20"/>
        </w:rPr>
        <w:t>1999</w:t>
      </w:r>
      <w:r w:rsidRPr="001324A4">
        <w:rPr>
          <w:rFonts w:cs="Times New Roman"/>
          <w:szCs w:val="20"/>
        </w:rPr>
        <w:t xml:space="preserve"> and the Department of Social Development’s Sector Funding Policy (SFP) which has recently been reviewed and approved. Capacity building of officials on the Sector Funding Policy is ongoing to acquaint them with the provisions of the Policy which in turn will improve efficiencies in the management of transfers to NPOs.</w:t>
      </w:r>
      <w:r w:rsidR="00996E34">
        <w:rPr>
          <w:rFonts w:cs="Times New Roman"/>
          <w:szCs w:val="20"/>
        </w:rPr>
        <w:t xml:space="preserve"> </w:t>
      </w:r>
    </w:p>
    <w:p w14:paraId="6DD43079" w14:textId="5DFF5969" w:rsidR="001324A4" w:rsidRPr="001324A4" w:rsidRDefault="001324A4" w:rsidP="001324A4">
      <w:pPr>
        <w:pStyle w:val="SingleTxt"/>
        <w:rPr>
          <w:rFonts w:cs="Times New Roman"/>
          <w:szCs w:val="20"/>
        </w:rPr>
      </w:pPr>
      <w:r w:rsidRPr="00C92BA2">
        <w:rPr>
          <w:rFonts w:cs="Times New Roman"/>
          <w:szCs w:val="20"/>
        </w:rPr>
        <w:t>21</w:t>
      </w:r>
      <w:r w:rsidRPr="001324A4">
        <w:rPr>
          <w:rFonts w:cs="Times New Roman"/>
          <w:szCs w:val="20"/>
        </w:rPr>
        <w:t>.</w:t>
      </w:r>
      <w:r w:rsidRPr="001324A4">
        <w:rPr>
          <w:rFonts w:cs="Times New Roman"/>
          <w:szCs w:val="20"/>
        </w:rPr>
        <w:tab/>
        <w:t xml:space="preserve">The Department of Social Development has also sourced funding through the National Lotteries Commissions, Criminal Assets Recovery Account (CARA) funds; and developmental partners such as the European Union and Global Fund to support GBV Shelters. </w:t>
      </w:r>
    </w:p>
    <w:p w14:paraId="51D4D64F" w14:textId="77777777" w:rsidR="00996E34" w:rsidRPr="00996E34" w:rsidRDefault="00996E34" w:rsidP="00996E34">
      <w:pPr>
        <w:pStyle w:val="SingleTxt"/>
        <w:spacing w:after="0" w:line="120" w:lineRule="exact"/>
        <w:rPr>
          <w:rFonts w:cs="Times New Roman"/>
          <w:sz w:val="10"/>
          <w:szCs w:val="20"/>
        </w:rPr>
      </w:pPr>
    </w:p>
    <w:p w14:paraId="288A3EDC" w14:textId="77777777" w:rsidR="00996E34" w:rsidRPr="00996E34" w:rsidRDefault="00996E34" w:rsidP="00996E34">
      <w:pPr>
        <w:pStyle w:val="SingleTxt"/>
        <w:spacing w:after="0" w:line="120" w:lineRule="exact"/>
        <w:rPr>
          <w:rFonts w:cs="Times New Roman"/>
          <w:sz w:val="10"/>
          <w:szCs w:val="20"/>
        </w:rPr>
      </w:pPr>
    </w:p>
    <w:p w14:paraId="00549576" w14:textId="6D2E694A" w:rsidR="001324A4" w:rsidRPr="00C92BA2" w:rsidRDefault="001324A4" w:rsidP="00996E34">
      <w:pPr>
        <w:pStyle w:val="H1"/>
        <w:ind w:right="1560"/>
      </w:pPr>
      <w:r w:rsidRPr="00C92BA2">
        <w:tab/>
      </w:r>
      <w:bookmarkStart w:id="4" w:name="_Hlk172802362"/>
      <w:r w:rsidRPr="00C92BA2">
        <w:t>C.</w:t>
      </w:r>
      <w:r w:rsidRPr="00C92BA2">
        <w:tab/>
        <w:t>Follow-up information relating to paragraph 28 (e) of the concluding observations</w:t>
      </w:r>
      <w:bookmarkEnd w:id="4"/>
    </w:p>
    <w:p w14:paraId="5822CF55" w14:textId="77777777" w:rsidR="00996E34" w:rsidRPr="00996E34" w:rsidRDefault="00996E34" w:rsidP="00996E34">
      <w:pPr>
        <w:pStyle w:val="SingleTxt"/>
        <w:spacing w:after="0" w:line="120" w:lineRule="exact"/>
        <w:rPr>
          <w:rFonts w:cs="Times New Roman"/>
          <w:sz w:val="10"/>
          <w:szCs w:val="20"/>
        </w:rPr>
      </w:pPr>
    </w:p>
    <w:p w14:paraId="179D20FC" w14:textId="77777777" w:rsidR="00996E34" w:rsidRPr="00996E34" w:rsidRDefault="00996E34" w:rsidP="00996E34">
      <w:pPr>
        <w:pStyle w:val="SingleTxt"/>
        <w:spacing w:after="0" w:line="120" w:lineRule="exact"/>
        <w:rPr>
          <w:rFonts w:cs="Times New Roman"/>
          <w:sz w:val="10"/>
          <w:szCs w:val="20"/>
        </w:rPr>
      </w:pPr>
    </w:p>
    <w:p w14:paraId="6D4B9CB8" w14:textId="4A78CEAA" w:rsidR="00996E34" w:rsidRPr="001324A4" w:rsidRDefault="001324A4" w:rsidP="001324A4">
      <w:pPr>
        <w:pStyle w:val="SingleTxt"/>
        <w:rPr>
          <w:rFonts w:cs="Times New Roman"/>
          <w:szCs w:val="20"/>
        </w:rPr>
      </w:pPr>
      <w:r w:rsidRPr="00C92BA2">
        <w:rPr>
          <w:rFonts w:cs="Times New Roman"/>
          <w:szCs w:val="20"/>
        </w:rPr>
        <w:t>22</w:t>
      </w:r>
      <w:r w:rsidRPr="001324A4">
        <w:rPr>
          <w:rFonts w:cs="Times New Roman"/>
          <w:szCs w:val="20"/>
        </w:rPr>
        <w:t>.</w:t>
      </w:r>
      <w:r w:rsidRPr="001324A4">
        <w:rPr>
          <w:rFonts w:cs="Times New Roman"/>
          <w:szCs w:val="20"/>
        </w:rPr>
        <w:tab/>
        <w:t xml:space="preserve">There is currently an Inter-Ministerial Committee on GBVF established in the country and comprises approximately </w:t>
      </w:r>
      <w:r w:rsidRPr="00C92BA2">
        <w:rPr>
          <w:rFonts w:cs="Times New Roman"/>
          <w:szCs w:val="20"/>
        </w:rPr>
        <w:t>8</w:t>
      </w:r>
      <w:r w:rsidRPr="001324A4">
        <w:rPr>
          <w:rFonts w:cs="Times New Roman"/>
          <w:szCs w:val="20"/>
        </w:rPr>
        <w:t xml:space="preserve"> Ministers whose mandate involves issues of addressing GBVF.</w:t>
      </w:r>
      <w:r w:rsidR="00996E34">
        <w:rPr>
          <w:rFonts w:cs="Times New Roman"/>
          <w:szCs w:val="20"/>
        </w:rPr>
        <w:t xml:space="preserve"> </w:t>
      </w:r>
    </w:p>
    <w:p w14:paraId="258AC22F" w14:textId="77777777" w:rsidR="00996E34" w:rsidRPr="001324A4" w:rsidRDefault="001324A4" w:rsidP="001324A4">
      <w:pPr>
        <w:pStyle w:val="SingleTxt"/>
        <w:rPr>
          <w:rFonts w:cs="Times New Roman"/>
          <w:szCs w:val="20"/>
        </w:rPr>
      </w:pPr>
      <w:r w:rsidRPr="00C92BA2">
        <w:rPr>
          <w:rFonts w:cs="Times New Roman"/>
          <w:szCs w:val="20"/>
        </w:rPr>
        <w:t>23</w:t>
      </w:r>
      <w:r w:rsidRPr="001324A4">
        <w:rPr>
          <w:rFonts w:cs="Times New Roman"/>
          <w:szCs w:val="20"/>
        </w:rPr>
        <w:t>.</w:t>
      </w:r>
      <w:r w:rsidRPr="001324A4">
        <w:rPr>
          <w:rFonts w:cs="Times New Roman"/>
          <w:szCs w:val="20"/>
        </w:rPr>
        <w:tab/>
        <w:t>Unfortunately, at this stage there is no Inter-Ministerial Committee for the coordination of Women’s Rights reporting obligations and follow up on implementation of concluding observations. However, there was a Cabinet approved structure established that was co-chaired by the Department of International Relations, the Department of Justice and the South African Human Rights Commission with the responsibility to oversee the country’s implementation of and reporting to international commitments and compliance issues. Due to technical challenges, this Committee is no longer functional.</w:t>
      </w:r>
      <w:r w:rsidR="00996E34">
        <w:rPr>
          <w:rFonts w:cs="Times New Roman"/>
          <w:szCs w:val="20"/>
        </w:rPr>
        <w:t xml:space="preserve"> </w:t>
      </w:r>
    </w:p>
    <w:p w14:paraId="4D335F99" w14:textId="7643A096" w:rsidR="001324A4" w:rsidRPr="001324A4" w:rsidRDefault="001324A4" w:rsidP="001324A4">
      <w:pPr>
        <w:pStyle w:val="SingleTxt"/>
        <w:rPr>
          <w:rFonts w:cs="Times New Roman"/>
          <w:szCs w:val="20"/>
        </w:rPr>
      </w:pPr>
      <w:r w:rsidRPr="00C92BA2">
        <w:rPr>
          <w:rFonts w:cs="Times New Roman"/>
          <w:szCs w:val="20"/>
        </w:rPr>
        <w:t>24</w:t>
      </w:r>
      <w:r w:rsidRPr="001324A4">
        <w:rPr>
          <w:rFonts w:cs="Times New Roman"/>
          <w:szCs w:val="20"/>
        </w:rPr>
        <w:t>.</w:t>
      </w:r>
      <w:r w:rsidRPr="001324A4">
        <w:rPr>
          <w:rFonts w:cs="Times New Roman"/>
          <w:szCs w:val="20"/>
        </w:rPr>
        <w:tab/>
        <w:t>However, this matter is being addressed. The process of establishing a committee for the coordination of reporting obligations is at an advanced stage in South Africa. The process of establishing an Inter-departmental Committee on Treaty Obligations (Inter-departmental Committee) is awaiting cabinet endorsement. The proposed Inter-departmental Committee will be co-chaired by the Department of Justice, Department of Women, Youth and Persons with Disabilities, and the Department of International Relations and Cooperation.</w:t>
      </w:r>
      <w:r w:rsidR="00996E34">
        <w:rPr>
          <w:rFonts w:cs="Times New Roman"/>
          <w:szCs w:val="20"/>
        </w:rPr>
        <w:t xml:space="preserve"> </w:t>
      </w:r>
      <w:r w:rsidR="00996E34" w:rsidRPr="001324A4">
        <w:rPr>
          <w:rFonts w:cs="Times New Roman"/>
          <w:szCs w:val="20"/>
        </w:rPr>
        <w:t>O</w:t>
      </w:r>
      <w:r w:rsidRPr="001324A4">
        <w:rPr>
          <w:rFonts w:cs="Times New Roman"/>
          <w:szCs w:val="20"/>
        </w:rPr>
        <w:t>ther key departments to form the Committee include those who play major roles on compliance with treaty obligations:</w:t>
      </w:r>
      <w:r w:rsidR="00996E34">
        <w:rPr>
          <w:rFonts w:cs="Times New Roman"/>
          <w:szCs w:val="20"/>
        </w:rPr>
        <w:t xml:space="preserve"> </w:t>
      </w:r>
      <w:r w:rsidR="00996E34" w:rsidRPr="001324A4">
        <w:rPr>
          <w:rFonts w:cs="Times New Roman"/>
          <w:szCs w:val="20"/>
        </w:rPr>
        <w:t>D</w:t>
      </w:r>
      <w:r w:rsidRPr="001324A4">
        <w:rPr>
          <w:rFonts w:cs="Times New Roman"/>
          <w:szCs w:val="20"/>
        </w:rPr>
        <w:t xml:space="preserve">epartments of Labour and Employment; Social Development; among others in the country (country reports revolve around these departments in terms of RSA treaty obligations). </w:t>
      </w:r>
    </w:p>
    <w:p w14:paraId="20EE5805" w14:textId="77777777" w:rsidR="00996E34" w:rsidRPr="00996E34" w:rsidRDefault="00996E34" w:rsidP="00996E34">
      <w:pPr>
        <w:pStyle w:val="SingleTxt"/>
        <w:spacing w:after="0" w:line="120" w:lineRule="exact"/>
        <w:rPr>
          <w:rFonts w:cs="Times New Roman"/>
          <w:sz w:val="10"/>
          <w:szCs w:val="20"/>
        </w:rPr>
      </w:pPr>
    </w:p>
    <w:p w14:paraId="690DE392" w14:textId="77777777" w:rsidR="00996E34" w:rsidRPr="00996E34" w:rsidRDefault="00996E34" w:rsidP="00996E34">
      <w:pPr>
        <w:pStyle w:val="SingleTxt"/>
        <w:spacing w:after="0" w:line="120" w:lineRule="exact"/>
        <w:rPr>
          <w:rFonts w:cs="Times New Roman"/>
          <w:sz w:val="10"/>
          <w:szCs w:val="20"/>
        </w:rPr>
      </w:pPr>
    </w:p>
    <w:p w14:paraId="46E75CC7" w14:textId="72B37149" w:rsidR="001324A4" w:rsidRPr="00C92BA2" w:rsidRDefault="001324A4" w:rsidP="00996E34">
      <w:pPr>
        <w:pStyle w:val="H1"/>
        <w:ind w:right="1560"/>
      </w:pPr>
      <w:r w:rsidRPr="00C92BA2">
        <w:tab/>
        <w:t>D.</w:t>
      </w:r>
      <w:r w:rsidRPr="00C92BA2">
        <w:tab/>
        <w:t>Follow-up information relating to paragraph 34 (b) of the concluding observations</w:t>
      </w:r>
    </w:p>
    <w:p w14:paraId="3AE1CFD4" w14:textId="77777777" w:rsidR="00996E34" w:rsidRPr="00996E34" w:rsidRDefault="00996E34" w:rsidP="00996E34">
      <w:pPr>
        <w:pStyle w:val="SingleTxt"/>
        <w:spacing w:after="0" w:line="120" w:lineRule="exact"/>
        <w:rPr>
          <w:rFonts w:cs="Times New Roman"/>
          <w:sz w:val="10"/>
          <w:szCs w:val="20"/>
        </w:rPr>
      </w:pPr>
    </w:p>
    <w:p w14:paraId="78C534F5" w14:textId="77777777" w:rsidR="00996E34" w:rsidRPr="00996E34" w:rsidRDefault="00996E34" w:rsidP="00996E34">
      <w:pPr>
        <w:pStyle w:val="SingleTxt"/>
        <w:spacing w:after="0" w:line="120" w:lineRule="exact"/>
        <w:rPr>
          <w:rFonts w:cs="Times New Roman"/>
          <w:sz w:val="10"/>
          <w:szCs w:val="20"/>
        </w:rPr>
      </w:pPr>
    </w:p>
    <w:p w14:paraId="34DF2339" w14:textId="03EEBC94" w:rsidR="001324A4" w:rsidRPr="001324A4" w:rsidRDefault="001324A4" w:rsidP="001324A4">
      <w:pPr>
        <w:pStyle w:val="SingleTxt"/>
        <w:rPr>
          <w:rFonts w:cs="Times New Roman"/>
          <w:szCs w:val="20"/>
        </w:rPr>
      </w:pPr>
      <w:r w:rsidRPr="00C92BA2">
        <w:rPr>
          <w:rFonts w:cs="Times New Roman"/>
          <w:szCs w:val="20"/>
        </w:rPr>
        <w:t>25</w:t>
      </w:r>
      <w:r w:rsidRPr="001324A4">
        <w:rPr>
          <w:rFonts w:cs="Times New Roman"/>
          <w:szCs w:val="20"/>
        </w:rPr>
        <w:t>.</w:t>
      </w:r>
      <w:r w:rsidRPr="001324A4">
        <w:rPr>
          <w:rFonts w:cs="Times New Roman"/>
          <w:szCs w:val="20"/>
        </w:rPr>
        <w:tab/>
        <w:t xml:space="preserve">In terms of section </w:t>
      </w:r>
      <w:r w:rsidRPr="00C92BA2">
        <w:rPr>
          <w:rFonts w:cs="Times New Roman"/>
          <w:szCs w:val="20"/>
        </w:rPr>
        <w:t>17</w:t>
      </w:r>
      <w:r w:rsidRPr="001324A4">
        <w:rPr>
          <w:rFonts w:cs="Times New Roman"/>
          <w:szCs w:val="20"/>
        </w:rPr>
        <w:t>. (</w:t>
      </w:r>
      <w:r w:rsidRPr="00C92BA2">
        <w:rPr>
          <w:rFonts w:cs="Times New Roman"/>
          <w:szCs w:val="20"/>
        </w:rPr>
        <w:t>1</w:t>
      </w:r>
      <w:r w:rsidRPr="001324A4">
        <w:rPr>
          <w:rFonts w:cs="Times New Roman"/>
          <w:szCs w:val="20"/>
        </w:rPr>
        <w:t>) of the Marriage Bill (</w:t>
      </w:r>
      <w:r w:rsidRPr="00C92BA2">
        <w:rPr>
          <w:rFonts w:cs="Times New Roman"/>
          <w:szCs w:val="20"/>
        </w:rPr>
        <w:t>2023</w:t>
      </w:r>
      <w:r w:rsidRPr="001324A4">
        <w:rPr>
          <w:rFonts w:cs="Times New Roman"/>
          <w:szCs w:val="20"/>
        </w:rPr>
        <w:t>),</w:t>
      </w:r>
      <w:r w:rsidR="00996E34">
        <w:rPr>
          <w:rFonts w:cs="Times New Roman"/>
          <w:szCs w:val="20"/>
        </w:rPr>
        <w:t xml:space="preserve"> </w:t>
      </w:r>
      <w:r w:rsidR="00996E34" w:rsidRPr="001324A4">
        <w:rPr>
          <w:rFonts w:cs="Times New Roman"/>
          <w:szCs w:val="20"/>
        </w:rPr>
        <w:t>“</w:t>
      </w:r>
      <w:r w:rsidRPr="001324A4">
        <w:rPr>
          <w:rFonts w:cs="Times New Roman"/>
          <w:szCs w:val="20"/>
        </w:rPr>
        <w:t xml:space="preserve">Any person who enters into a marriage with a person who is not at least </w:t>
      </w:r>
      <w:r w:rsidRPr="00C92BA2">
        <w:rPr>
          <w:rFonts w:cs="Times New Roman"/>
          <w:szCs w:val="20"/>
        </w:rPr>
        <w:t>18</w:t>
      </w:r>
      <w:r w:rsidRPr="001324A4">
        <w:rPr>
          <w:rFonts w:cs="Times New Roman"/>
          <w:szCs w:val="20"/>
        </w:rPr>
        <w:t xml:space="preserve"> years of age, or any person, other than a child, who participates knowingly in such a marriage, shall be guilty of an offence and liable on conviction to a fine or in default of payment, to imprisonment for a period not exceeding </w:t>
      </w:r>
      <w:r w:rsidRPr="00C92BA2">
        <w:rPr>
          <w:rFonts w:cs="Times New Roman"/>
          <w:szCs w:val="20"/>
        </w:rPr>
        <w:t>5</w:t>
      </w:r>
      <w:r w:rsidRPr="001324A4">
        <w:rPr>
          <w:rFonts w:cs="Times New Roman"/>
          <w:szCs w:val="20"/>
        </w:rPr>
        <w:t xml:space="preserve"> years or to both such fine and such imprisonment”. </w:t>
      </w:r>
    </w:p>
    <w:p w14:paraId="6F570EE1" w14:textId="77777777" w:rsidR="001324A4" w:rsidRPr="001324A4" w:rsidRDefault="001324A4" w:rsidP="001324A4">
      <w:pPr>
        <w:pStyle w:val="SingleTxt"/>
        <w:rPr>
          <w:rFonts w:cs="Times New Roman"/>
          <w:szCs w:val="20"/>
        </w:rPr>
      </w:pPr>
      <w:r w:rsidRPr="00C92BA2">
        <w:rPr>
          <w:rFonts w:cs="Times New Roman"/>
          <w:szCs w:val="20"/>
        </w:rPr>
        <w:lastRenderedPageBreak/>
        <w:t>26</w:t>
      </w:r>
      <w:r w:rsidRPr="001324A4">
        <w:rPr>
          <w:rFonts w:cs="Times New Roman"/>
          <w:szCs w:val="20"/>
        </w:rPr>
        <w:t>.</w:t>
      </w:r>
      <w:r w:rsidRPr="001324A4">
        <w:rPr>
          <w:rFonts w:cs="Times New Roman"/>
          <w:szCs w:val="20"/>
        </w:rPr>
        <w:tab/>
        <w:t xml:space="preserve">Harmful practices including Ukuthwala, and female genital mutilation are criminalised in South Africa. The following legislations criminalises these practices, having sex with a child without her consent, following her kidnapping and abduction (Ukuthwala), constitutes rape in violation of the Criminal Law (Sexual Offences) Amendment Act, </w:t>
      </w:r>
      <w:r w:rsidRPr="00C92BA2">
        <w:rPr>
          <w:rFonts w:cs="Times New Roman"/>
          <w:szCs w:val="20"/>
        </w:rPr>
        <w:t>2007</w:t>
      </w:r>
      <w:r w:rsidRPr="001324A4">
        <w:rPr>
          <w:rFonts w:cs="Times New Roman"/>
          <w:szCs w:val="20"/>
        </w:rPr>
        <w:t xml:space="preserve"> (Section </w:t>
      </w:r>
      <w:r w:rsidRPr="00C92BA2">
        <w:rPr>
          <w:rFonts w:cs="Times New Roman"/>
          <w:szCs w:val="20"/>
        </w:rPr>
        <w:t>15</w:t>
      </w:r>
      <w:r w:rsidRPr="001324A4">
        <w:rPr>
          <w:rFonts w:cs="Times New Roman"/>
          <w:szCs w:val="20"/>
        </w:rPr>
        <w:t xml:space="preserve">). This Act, which is known as the Sexual Offences Amendment Act, </w:t>
      </w:r>
      <w:r w:rsidRPr="00C92BA2">
        <w:rPr>
          <w:rFonts w:cs="Times New Roman"/>
          <w:szCs w:val="20"/>
        </w:rPr>
        <w:t>2007</w:t>
      </w:r>
      <w:r w:rsidRPr="001324A4">
        <w:rPr>
          <w:rFonts w:cs="Times New Roman"/>
          <w:szCs w:val="20"/>
        </w:rPr>
        <w:t xml:space="preserve">, prohibits sex with a person without their consent. Regarding a child, the age of consent is </w:t>
      </w:r>
      <w:r w:rsidRPr="00C92BA2">
        <w:rPr>
          <w:rFonts w:cs="Times New Roman"/>
          <w:szCs w:val="20"/>
        </w:rPr>
        <w:t>16</w:t>
      </w:r>
      <w:r w:rsidRPr="001324A4">
        <w:rPr>
          <w:rFonts w:cs="Times New Roman"/>
          <w:szCs w:val="20"/>
        </w:rPr>
        <w:t xml:space="preserve"> meaning that sex with an under-</w:t>
      </w:r>
      <w:r w:rsidRPr="00C92BA2">
        <w:rPr>
          <w:rFonts w:cs="Times New Roman"/>
          <w:szCs w:val="20"/>
        </w:rPr>
        <w:t>16</w:t>
      </w:r>
      <w:r w:rsidRPr="001324A4">
        <w:rPr>
          <w:rFonts w:cs="Times New Roman"/>
          <w:szCs w:val="20"/>
        </w:rPr>
        <w:t xml:space="preserve">-year-old is statutory rape. Sex with a child that is </w:t>
      </w:r>
      <w:r w:rsidRPr="00C92BA2">
        <w:rPr>
          <w:rFonts w:cs="Times New Roman"/>
          <w:szCs w:val="20"/>
        </w:rPr>
        <w:t>12</w:t>
      </w:r>
      <w:r w:rsidRPr="001324A4">
        <w:rPr>
          <w:rFonts w:cs="Times New Roman"/>
          <w:szCs w:val="20"/>
        </w:rPr>
        <w:t xml:space="preserve"> years and below is considered as rape as a child of that age is legally incapable of consent. The Act also prohibits other sexual activities with children (sections </w:t>
      </w:r>
      <w:r w:rsidRPr="00C92BA2">
        <w:rPr>
          <w:rFonts w:cs="Times New Roman"/>
          <w:szCs w:val="20"/>
        </w:rPr>
        <w:t>16</w:t>
      </w:r>
      <w:r w:rsidRPr="001324A4">
        <w:rPr>
          <w:rFonts w:cs="Times New Roman"/>
          <w:szCs w:val="20"/>
        </w:rPr>
        <w:t xml:space="preserve"> and </w:t>
      </w:r>
      <w:r w:rsidRPr="00C92BA2">
        <w:rPr>
          <w:rFonts w:cs="Times New Roman"/>
          <w:szCs w:val="20"/>
        </w:rPr>
        <w:t>17</w:t>
      </w:r>
      <w:r w:rsidRPr="001324A4">
        <w:rPr>
          <w:rFonts w:cs="Times New Roman"/>
          <w:szCs w:val="20"/>
        </w:rPr>
        <w:t>), including sexual grooming (Section</w:t>
      </w:r>
      <w:r w:rsidRPr="00C92BA2">
        <w:rPr>
          <w:rFonts w:cs="Times New Roman"/>
          <w:szCs w:val="20"/>
        </w:rPr>
        <w:t>18</w:t>
      </w:r>
      <w:r w:rsidRPr="001324A4">
        <w:rPr>
          <w:rFonts w:cs="Times New Roman"/>
          <w:szCs w:val="20"/>
        </w:rPr>
        <w:t xml:space="preserve">). Section </w:t>
      </w:r>
      <w:r w:rsidRPr="00C92BA2">
        <w:rPr>
          <w:rFonts w:cs="Times New Roman"/>
          <w:szCs w:val="20"/>
        </w:rPr>
        <w:t>17</w:t>
      </w:r>
      <w:r w:rsidRPr="001324A4">
        <w:rPr>
          <w:rFonts w:cs="Times New Roman"/>
          <w:szCs w:val="20"/>
        </w:rPr>
        <w:t xml:space="preserve"> of the Sexual Offences Amendment Act, </w:t>
      </w:r>
      <w:r w:rsidRPr="00C92BA2">
        <w:rPr>
          <w:rFonts w:cs="Times New Roman"/>
          <w:szCs w:val="20"/>
        </w:rPr>
        <w:t>2007</w:t>
      </w:r>
      <w:r w:rsidRPr="001324A4">
        <w:rPr>
          <w:rFonts w:cs="Times New Roman"/>
          <w:szCs w:val="20"/>
        </w:rPr>
        <w:t xml:space="preserve"> prohibits the sexual exploitation of children by parents and others. Parents or relatives and others who collude in or aid and abet the Ukuthwala of a girl-child commit the crime of sexual exploitation of children. These parents and relatives also face being charged with Trafficking in Persons under Section </w:t>
      </w:r>
      <w:r w:rsidRPr="00C92BA2">
        <w:rPr>
          <w:rFonts w:cs="Times New Roman"/>
          <w:szCs w:val="20"/>
        </w:rPr>
        <w:t>71</w:t>
      </w:r>
      <w:r w:rsidRPr="001324A4">
        <w:rPr>
          <w:rFonts w:cs="Times New Roman"/>
          <w:szCs w:val="20"/>
        </w:rPr>
        <w:t xml:space="preserve"> of the Sexual Offences Act. </w:t>
      </w:r>
    </w:p>
    <w:p w14:paraId="28896D04" w14:textId="77777777" w:rsidR="00996E34" w:rsidRPr="001324A4" w:rsidRDefault="001324A4" w:rsidP="001324A4">
      <w:pPr>
        <w:pStyle w:val="SingleTxt"/>
        <w:rPr>
          <w:rFonts w:cs="Times New Roman"/>
          <w:szCs w:val="20"/>
        </w:rPr>
      </w:pPr>
      <w:r w:rsidRPr="00C92BA2">
        <w:rPr>
          <w:rFonts w:cs="Times New Roman"/>
          <w:szCs w:val="20"/>
        </w:rPr>
        <w:t>27</w:t>
      </w:r>
      <w:r w:rsidRPr="001324A4">
        <w:rPr>
          <w:rFonts w:cs="Times New Roman"/>
          <w:szCs w:val="20"/>
        </w:rPr>
        <w:t>.</w:t>
      </w:r>
      <w:r w:rsidRPr="001324A4">
        <w:rPr>
          <w:rFonts w:cs="Times New Roman"/>
          <w:szCs w:val="20"/>
        </w:rPr>
        <w:tab/>
        <w:t xml:space="preserve">According to the Prevention and Combating of Trafficking in Persons Act, parents, and relatives that hand over a child into forced marriage for financial or other gain can potentially be prosecuted under Section </w:t>
      </w:r>
      <w:r w:rsidRPr="00C92BA2">
        <w:rPr>
          <w:rFonts w:cs="Times New Roman"/>
          <w:szCs w:val="20"/>
        </w:rPr>
        <w:t>4</w:t>
      </w:r>
      <w:r w:rsidRPr="001324A4">
        <w:rPr>
          <w:rFonts w:cs="Times New Roman"/>
          <w:szCs w:val="20"/>
        </w:rPr>
        <w:t xml:space="preserve"> read with Section </w:t>
      </w:r>
      <w:r w:rsidRPr="00C92BA2">
        <w:rPr>
          <w:rFonts w:cs="Times New Roman"/>
          <w:szCs w:val="20"/>
        </w:rPr>
        <w:t>1</w:t>
      </w:r>
      <w:r w:rsidRPr="001324A4">
        <w:rPr>
          <w:rFonts w:cs="Times New Roman"/>
          <w:szCs w:val="20"/>
        </w:rPr>
        <w:t xml:space="preserve"> of the Act. The Act prohibits the recruitment, sale, supply, procurement, transportation, transfer, harbouring, disposal, or receipt of persons by means of the use of threat, force, intimidation, or other forms of coercion; or by abusing vulnerability, for the purpose of exploitation.</w:t>
      </w:r>
      <w:r w:rsidR="00996E34">
        <w:rPr>
          <w:rFonts w:cs="Times New Roman"/>
          <w:szCs w:val="20"/>
        </w:rPr>
        <w:t xml:space="preserve"> </w:t>
      </w:r>
    </w:p>
    <w:p w14:paraId="157C211A" w14:textId="77777777" w:rsidR="00996E34" w:rsidRPr="001324A4" w:rsidRDefault="001324A4" w:rsidP="001324A4">
      <w:pPr>
        <w:pStyle w:val="SingleTxt"/>
        <w:rPr>
          <w:rFonts w:cs="Times New Roman"/>
          <w:szCs w:val="20"/>
        </w:rPr>
      </w:pPr>
      <w:r w:rsidRPr="00C92BA2">
        <w:rPr>
          <w:rFonts w:cs="Times New Roman"/>
          <w:szCs w:val="20"/>
        </w:rPr>
        <w:t>28</w:t>
      </w:r>
      <w:r w:rsidRPr="001324A4">
        <w:rPr>
          <w:rFonts w:cs="Times New Roman"/>
          <w:szCs w:val="20"/>
        </w:rPr>
        <w:t>.</w:t>
      </w:r>
      <w:r w:rsidRPr="001324A4">
        <w:rPr>
          <w:rFonts w:cs="Times New Roman"/>
          <w:szCs w:val="20"/>
        </w:rPr>
        <w:tab/>
        <w:t xml:space="preserve">The customary Initiation Act of </w:t>
      </w:r>
      <w:r w:rsidRPr="00C92BA2">
        <w:rPr>
          <w:rFonts w:cs="Times New Roman"/>
          <w:szCs w:val="20"/>
        </w:rPr>
        <w:t>2021</w:t>
      </w:r>
      <w:r w:rsidRPr="001324A4">
        <w:rPr>
          <w:rFonts w:cs="Times New Roman"/>
          <w:szCs w:val="20"/>
        </w:rPr>
        <w:t xml:space="preserve"> prohibits initiation of children between the ages of </w:t>
      </w:r>
      <w:r w:rsidRPr="00C92BA2">
        <w:rPr>
          <w:rFonts w:cs="Times New Roman"/>
          <w:szCs w:val="20"/>
        </w:rPr>
        <w:t>16</w:t>
      </w:r>
      <w:r w:rsidRPr="001324A4">
        <w:rPr>
          <w:rFonts w:cs="Times New Roman"/>
          <w:szCs w:val="20"/>
        </w:rPr>
        <w:t xml:space="preserve"> and </w:t>
      </w:r>
      <w:r w:rsidRPr="00C92BA2">
        <w:rPr>
          <w:rFonts w:cs="Times New Roman"/>
          <w:szCs w:val="20"/>
        </w:rPr>
        <w:t>18</w:t>
      </w:r>
      <w:r w:rsidRPr="001324A4">
        <w:rPr>
          <w:rFonts w:cs="Times New Roman"/>
          <w:szCs w:val="20"/>
        </w:rPr>
        <w:t xml:space="preserve"> years. In terms of section </w:t>
      </w:r>
      <w:r w:rsidRPr="00C92BA2">
        <w:rPr>
          <w:rFonts w:cs="Times New Roman"/>
          <w:szCs w:val="20"/>
        </w:rPr>
        <w:t>12</w:t>
      </w:r>
      <w:r w:rsidRPr="001324A4">
        <w:rPr>
          <w:rFonts w:cs="Times New Roman"/>
          <w:szCs w:val="20"/>
        </w:rPr>
        <w:t xml:space="preserve"> (</w:t>
      </w:r>
      <w:r w:rsidRPr="00C92BA2">
        <w:rPr>
          <w:rFonts w:cs="Times New Roman"/>
          <w:szCs w:val="20"/>
        </w:rPr>
        <w:t>3</w:t>
      </w:r>
      <w:r w:rsidRPr="001324A4">
        <w:rPr>
          <w:rFonts w:cs="Times New Roman"/>
          <w:szCs w:val="20"/>
        </w:rPr>
        <w:t>) of the Children’s Act, genital mutilation or circumcision of female children is prohibited.</w:t>
      </w:r>
      <w:r w:rsidR="00996E34">
        <w:rPr>
          <w:rFonts w:cs="Times New Roman"/>
          <w:szCs w:val="20"/>
        </w:rPr>
        <w:t xml:space="preserve"> </w:t>
      </w:r>
    </w:p>
    <w:p w14:paraId="276C1304" w14:textId="560EA7D4" w:rsidR="001324A4" w:rsidRPr="001324A4" w:rsidRDefault="001324A4" w:rsidP="001324A4">
      <w:pPr>
        <w:pStyle w:val="SingleTxt"/>
        <w:rPr>
          <w:rFonts w:cs="Times New Roman"/>
          <w:szCs w:val="20"/>
        </w:rPr>
      </w:pPr>
      <w:r w:rsidRPr="00C92BA2">
        <w:rPr>
          <w:rFonts w:cs="Times New Roman"/>
          <w:szCs w:val="20"/>
        </w:rPr>
        <w:t>29</w:t>
      </w:r>
      <w:r w:rsidRPr="001324A4">
        <w:rPr>
          <w:rFonts w:cs="Times New Roman"/>
          <w:szCs w:val="20"/>
        </w:rPr>
        <w:t>.</w:t>
      </w:r>
      <w:r w:rsidRPr="001324A4">
        <w:rPr>
          <w:rFonts w:cs="Times New Roman"/>
          <w:szCs w:val="20"/>
        </w:rPr>
        <w:tab/>
        <w:t>It must be noted that all known cases of ukuthwala and female genital mutilation are investigated, that perpetrators are prosecuted and adequately punished, and that women and girls in such unions have access to protection, including adequate shelters and victim support services. There are case laws as evidence to this.</w:t>
      </w:r>
    </w:p>
    <w:p w14:paraId="16FE92A4" w14:textId="04FC1941" w:rsidR="00BC3AC7" w:rsidRPr="001324A4" w:rsidRDefault="00996E34" w:rsidP="001324A4">
      <w:pPr>
        <w:pStyle w:val="SingleTxt"/>
        <w:rPr>
          <w:rFonts w:cs="Times New Roman"/>
          <w:szCs w:val="20"/>
        </w:rPr>
      </w:pPr>
      <w:r>
        <w:rPr>
          <w:rFonts w:cs="Times New Roman"/>
          <w:noProof/>
          <w:w w:val="100"/>
          <w:szCs w:val="20"/>
          <w14:ligatures w14:val="standardContextual"/>
        </w:rPr>
        <mc:AlternateContent>
          <mc:Choice Requires="wps">
            <w:drawing>
              <wp:anchor distT="0" distB="0" distL="114300" distR="114300" simplePos="0" relativeHeight="251660288" behindDoc="0" locked="0" layoutInCell="1" allowOverlap="1" wp14:anchorId="56617980" wp14:editId="072B8274">
                <wp:simplePos x="0" y="0"/>
                <wp:positionH relativeFrom="column">
                  <wp:posOffset>2669540</wp:posOffset>
                </wp:positionH>
                <wp:positionV relativeFrom="paragraph">
                  <wp:posOffset>304800</wp:posOffset>
                </wp:positionV>
                <wp:extent cx="914400" cy="0"/>
                <wp:effectExtent l="0" t="0" r="0" b="0"/>
                <wp:wrapNone/>
                <wp:docPr id="178063979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E96E96"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C3AC7" w:rsidRPr="001324A4" w:rsidSect="001324A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08-08T12:11:00Z" w:initials="Start">
    <w:p w14:paraId="421E35F9" w14:textId="77777777" w:rsidR="00BC3AC7" w:rsidRDefault="00BC3AC7">
      <w:pPr>
        <w:pStyle w:val="CommentText"/>
      </w:pPr>
      <w:r>
        <w:rPr>
          <w:rStyle w:val="CommentReference"/>
        </w:rPr>
        <w:annotationRef/>
      </w:r>
      <w:r>
        <w:t>&lt;&lt;ODS JOB NO&gt;&gt;N2422077E&lt;&lt;ODS JOB NO&gt;&gt;</w:t>
      </w:r>
    </w:p>
    <w:p w14:paraId="2E97491B" w14:textId="77777777" w:rsidR="00BC3AC7" w:rsidRDefault="00BC3AC7">
      <w:pPr>
        <w:pStyle w:val="CommentText"/>
      </w:pPr>
      <w:r>
        <w:t>&lt;&lt;ODS DOC SYMBOL1&gt;&gt;CEDAW/C/ZAF/FCO/5&lt;&lt;ODS DOC SYMBOL1&gt;&gt;</w:t>
      </w:r>
    </w:p>
    <w:p w14:paraId="5582247D" w14:textId="7CDC4F25" w:rsidR="00BC3AC7" w:rsidRDefault="00BC3AC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58224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F097953" w16cex:dateUtc="2024-08-08T16: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582247D" w16cid:durableId="0F0979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4E76FA" w14:textId="77777777" w:rsidR="005D25C2" w:rsidRDefault="005D25C2" w:rsidP="00331D20">
      <w:r>
        <w:separator/>
      </w:r>
    </w:p>
  </w:endnote>
  <w:endnote w:type="continuationSeparator" w:id="0">
    <w:p w14:paraId="31F7FE3F" w14:textId="77777777" w:rsidR="005D25C2" w:rsidRDefault="005D25C2"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Bold">
    <w:panose1 w:val="020208030705050203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3AC7" w14:paraId="78809292" w14:textId="77777777" w:rsidTr="00BC3AC7">
      <w:tc>
        <w:tcPr>
          <w:tcW w:w="4920" w:type="dxa"/>
          <w:shd w:val="clear" w:color="auto" w:fill="auto"/>
        </w:tcPr>
        <w:p w14:paraId="2C847E69" w14:textId="526FF244" w:rsidR="00BC3AC7" w:rsidRPr="00BC3AC7" w:rsidRDefault="00BC3AC7" w:rsidP="00BC3A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783D">
            <w:rPr>
              <w:b w:val="0"/>
              <w:w w:val="103"/>
              <w:sz w:val="14"/>
            </w:rPr>
            <w:t>24-13641</w:t>
          </w:r>
          <w:r>
            <w:rPr>
              <w:b w:val="0"/>
              <w:w w:val="103"/>
              <w:sz w:val="14"/>
            </w:rPr>
            <w:fldChar w:fldCharType="end"/>
          </w:r>
        </w:p>
      </w:tc>
      <w:tc>
        <w:tcPr>
          <w:tcW w:w="4920" w:type="dxa"/>
          <w:shd w:val="clear" w:color="auto" w:fill="auto"/>
        </w:tcPr>
        <w:p w14:paraId="71F253AA" w14:textId="6D44C0EB" w:rsidR="00BC3AC7" w:rsidRPr="00BC3AC7" w:rsidRDefault="00BC3AC7" w:rsidP="00BC3AC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A102F9A" w14:textId="77777777" w:rsidR="00BC3AC7" w:rsidRPr="00BC3AC7" w:rsidRDefault="00BC3AC7" w:rsidP="00BC3A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C3AC7" w14:paraId="00CA1365" w14:textId="77777777" w:rsidTr="00BC3AC7">
      <w:tc>
        <w:tcPr>
          <w:tcW w:w="4920" w:type="dxa"/>
          <w:shd w:val="clear" w:color="auto" w:fill="auto"/>
        </w:tcPr>
        <w:p w14:paraId="43BC46BD" w14:textId="0E05754E" w:rsidR="00BC3AC7" w:rsidRPr="00BC3AC7" w:rsidRDefault="00BC3AC7" w:rsidP="00BC3AC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8F2AC55" w14:textId="4EF522DA" w:rsidR="00BC3AC7" w:rsidRPr="00BC3AC7" w:rsidRDefault="00BC3AC7" w:rsidP="00BC3A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F783D">
            <w:rPr>
              <w:b w:val="0"/>
              <w:w w:val="103"/>
              <w:sz w:val="14"/>
            </w:rPr>
            <w:t>24-13641</w:t>
          </w:r>
          <w:r>
            <w:rPr>
              <w:b w:val="0"/>
              <w:w w:val="103"/>
              <w:sz w:val="14"/>
            </w:rPr>
            <w:fldChar w:fldCharType="end"/>
          </w:r>
        </w:p>
      </w:tc>
    </w:tr>
  </w:tbl>
  <w:p w14:paraId="471FCEB6" w14:textId="77777777" w:rsidR="00BC3AC7" w:rsidRPr="00BC3AC7" w:rsidRDefault="00BC3AC7" w:rsidP="00BC3A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BC3AC7" w14:paraId="114D5959" w14:textId="77777777" w:rsidTr="00BC3AC7">
      <w:tc>
        <w:tcPr>
          <w:tcW w:w="3801" w:type="dxa"/>
        </w:tcPr>
        <w:p w14:paraId="358B9AA4" w14:textId="6ED3EBFD" w:rsidR="00BC3AC7" w:rsidRDefault="00BC3AC7" w:rsidP="00BC3AC7">
          <w:pPr>
            <w:pStyle w:val="ReleaseDate0"/>
          </w:pPr>
          <w:r>
            <w:rPr>
              <w:noProof/>
            </w:rPr>
            <w:drawing>
              <wp:anchor distT="0" distB="0" distL="114300" distR="114300" simplePos="0" relativeHeight="251658240" behindDoc="0" locked="0" layoutInCell="1" allowOverlap="1" wp14:anchorId="40F9A5E1" wp14:editId="03C27153">
                <wp:simplePos x="0" y="0"/>
                <wp:positionH relativeFrom="column">
                  <wp:posOffset>5495290</wp:posOffset>
                </wp:positionH>
                <wp:positionV relativeFrom="paragraph">
                  <wp:posOffset>-365760</wp:posOffset>
                </wp:positionV>
                <wp:extent cx="694690" cy="694690"/>
                <wp:effectExtent l="0" t="0" r="0" b="0"/>
                <wp:wrapNone/>
                <wp:docPr id="126785275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24-13641 (E)    080824    </w:t>
          </w:r>
        </w:p>
        <w:p w14:paraId="68A9F05A" w14:textId="47B84C89" w:rsidR="00BC3AC7" w:rsidRPr="00BC3AC7" w:rsidRDefault="00BC3AC7" w:rsidP="00BC3AC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*2413641*</w:t>
          </w:r>
        </w:p>
      </w:tc>
      <w:tc>
        <w:tcPr>
          <w:tcW w:w="4920" w:type="dxa"/>
        </w:tcPr>
        <w:p w14:paraId="5A768EB3" w14:textId="7E8E3A6F" w:rsidR="00BC3AC7" w:rsidRDefault="00BC3AC7" w:rsidP="00BC3AC7">
          <w:pPr>
            <w:pStyle w:val="Footer"/>
            <w:jc w:val="right"/>
            <w:rPr>
              <w:b w:val="0"/>
              <w:sz w:val="20"/>
            </w:rPr>
          </w:pPr>
          <w:r>
            <w:rPr>
              <w:b w:val="0"/>
              <w:sz w:val="20"/>
            </w:rPr>
            <w:drawing>
              <wp:inline distT="0" distB="0" distL="0" distR="0" wp14:anchorId="3164BD98" wp14:editId="288522C6">
                <wp:extent cx="929642" cy="231648"/>
                <wp:effectExtent l="0" t="0" r="3810" b="0"/>
                <wp:docPr id="459851353" name="Picture 2"/>
                <wp:cNvGraphicFramePr/>
                <a:graphic xmlns:a="http://schemas.openxmlformats.org/drawingml/2006/main">
                  <a:graphicData uri="http://schemas.openxmlformats.org/drawingml/2006/picture">
                    <pic:pic xmlns:pic="http://schemas.openxmlformats.org/drawingml/2006/picture">
                      <pic:nvPicPr>
                        <pic:cNvPr id="459851353"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643E469" w14:textId="77777777" w:rsidR="00BC3AC7" w:rsidRPr="00BC3AC7" w:rsidRDefault="00BC3AC7" w:rsidP="00BC3AC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45E46" w14:textId="77777777" w:rsidR="005D25C2" w:rsidRDefault="005D25C2" w:rsidP="00331D20">
      <w:r>
        <w:separator/>
      </w:r>
    </w:p>
  </w:footnote>
  <w:footnote w:type="continuationSeparator" w:id="0">
    <w:p w14:paraId="06A805D8" w14:textId="77777777" w:rsidR="005D25C2" w:rsidRDefault="005D25C2"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3AC7" w14:paraId="0761B27A" w14:textId="77777777" w:rsidTr="00BC3AC7">
      <w:trPr>
        <w:trHeight w:hRule="exact" w:val="864"/>
      </w:trPr>
      <w:tc>
        <w:tcPr>
          <w:tcW w:w="4920" w:type="dxa"/>
          <w:shd w:val="clear" w:color="auto" w:fill="auto"/>
          <w:vAlign w:val="bottom"/>
        </w:tcPr>
        <w:p w14:paraId="585B204A" w14:textId="26B55924" w:rsidR="00BC3AC7" w:rsidRPr="00BC3AC7" w:rsidRDefault="00BC3AC7" w:rsidP="00BC3AC7">
          <w:pPr>
            <w:pStyle w:val="Header"/>
            <w:spacing w:after="80"/>
            <w:rPr>
              <w:b/>
            </w:rPr>
          </w:pPr>
          <w:r>
            <w:rPr>
              <w:b/>
            </w:rPr>
            <w:fldChar w:fldCharType="begin"/>
          </w:r>
          <w:r>
            <w:rPr>
              <w:b/>
            </w:rPr>
            <w:instrText xml:space="preserve"> DOCVARIABLE "sss1" \* MERGEFORMAT </w:instrText>
          </w:r>
          <w:r>
            <w:rPr>
              <w:b/>
            </w:rPr>
            <w:fldChar w:fldCharType="separate"/>
          </w:r>
          <w:r w:rsidR="00BF783D">
            <w:rPr>
              <w:b/>
            </w:rPr>
            <w:t>CEDAW/C/ZAF/FCO/5</w:t>
          </w:r>
          <w:r>
            <w:rPr>
              <w:b/>
            </w:rPr>
            <w:fldChar w:fldCharType="end"/>
          </w:r>
        </w:p>
      </w:tc>
      <w:tc>
        <w:tcPr>
          <w:tcW w:w="4920" w:type="dxa"/>
          <w:shd w:val="clear" w:color="auto" w:fill="auto"/>
          <w:vAlign w:val="bottom"/>
        </w:tcPr>
        <w:p w14:paraId="3AF29598" w14:textId="77777777" w:rsidR="00BC3AC7" w:rsidRDefault="00BC3AC7" w:rsidP="00BC3AC7">
          <w:pPr>
            <w:pStyle w:val="Header"/>
          </w:pPr>
        </w:p>
      </w:tc>
    </w:tr>
  </w:tbl>
  <w:p w14:paraId="3FEDA117" w14:textId="77777777" w:rsidR="00BC3AC7" w:rsidRPr="00BC3AC7" w:rsidRDefault="00BC3AC7" w:rsidP="00BC3AC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C3AC7" w14:paraId="5B5C42C1" w14:textId="77777777" w:rsidTr="00BC3AC7">
      <w:trPr>
        <w:trHeight w:hRule="exact" w:val="864"/>
      </w:trPr>
      <w:tc>
        <w:tcPr>
          <w:tcW w:w="4920" w:type="dxa"/>
          <w:shd w:val="clear" w:color="auto" w:fill="auto"/>
          <w:vAlign w:val="bottom"/>
        </w:tcPr>
        <w:p w14:paraId="09FE5DF5" w14:textId="77777777" w:rsidR="00BC3AC7" w:rsidRDefault="00BC3AC7" w:rsidP="00BC3AC7">
          <w:pPr>
            <w:pStyle w:val="Header"/>
          </w:pPr>
        </w:p>
      </w:tc>
      <w:tc>
        <w:tcPr>
          <w:tcW w:w="4920" w:type="dxa"/>
          <w:shd w:val="clear" w:color="auto" w:fill="auto"/>
          <w:vAlign w:val="bottom"/>
        </w:tcPr>
        <w:p w14:paraId="7E6748AE" w14:textId="512E31CC" w:rsidR="00BC3AC7" w:rsidRPr="00BC3AC7" w:rsidRDefault="00BC3AC7" w:rsidP="00BC3AC7">
          <w:pPr>
            <w:pStyle w:val="Header"/>
            <w:spacing w:after="80"/>
            <w:jc w:val="right"/>
            <w:rPr>
              <w:b/>
            </w:rPr>
          </w:pPr>
          <w:r>
            <w:rPr>
              <w:b/>
            </w:rPr>
            <w:fldChar w:fldCharType="begin"/>
          </w:r>
          <w:r>
            <w:rPr>
              <w:b/>
            </w:rPr>
            <w:instrText xml:space="preserve"> DOCVARIABLE "sss1" \* MERGEFORMAT </w:instrText>
          </w:r>
          <w:r>
            <w:rPr>
              <w:b/>
            </w:rPr>
            <w:fldChar w:fldCharType="separate"/>
          </w:r>
          <w:r w:rsidR="00BF783D">
            <w:rPr>
              <w:b/>
            </w:rPr>
            <w:t>CEDAW/C/ZAF/FCO/5</w:t>
          </w:r>
          <w:r>
            <w:rPr>
              <w:b/>
            </w:rPr>
            <w:fldChar w:fldCharType="end"/>
          </w:r>
        </w:p>
      </w:tc>
    </w:tr>
  </w:tbl>
  <w:p w14:paraId="54A04B9C" w14:textId="77777777" w:rsidR="00BC3AC7" w:rsidRPr="00BC3AC7" w:rsidRDefault="00BC3AC7" w:rsidP="00BC3AC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C3AC7" w14:paraId="7D855785" w14:textId="77777777" w:rsidTr="00BC3AC7">
      <w:trPr>
        <w:trHeight w:hRule="exact" w:val="864"/>
      </w:trPr>
      <w:tc>
        <w:tcPr>
          <w:tcW w:w="1267" w:type="dxa"/>
          <w:tcBorders>
            <w:bottom w:val="single" w:sz="4" w:space="0" w:color="auto"/>
          </w:tcBorders>
          <w:shd w:val="clear" w:color="auto" w:fill="auto"/>
          <w:vAlign w:val="bottom"/>
        </w:tcPr>
        <w:p w14:paraId="7637E81F" w14:textId="77777777" w:rsidR="00BC3AC7" w:rsidRDefault="00BC3AC7" w:rsidP="00BC3AC7">
          <w:pPr>
            <w:pStyle w:val="Header"/>
            <w:spacing w:after="120"/>
          </w:pPr>
        </w:p>
      </w:tc>
      <w:tc>
        <w:tcPr>
          <w:tcW w:w="1872" w:type="dxa"/>
          <w:tcBorders>
            <w:bottom w:val="single" w:sz="4" w:space="0" w:color="auto"/>
          </w:tcBorders>
          <w:shd w:val="clear" w:color="auto" w:fill="auto"/>
          <w:vAlign w:val="bottom"/>
        </w:tcPr>
        <w:p w14:paraId="59D0F5DB" w14:textId="2E509B07" w:rsidR="00BC3AC7" w:rsidRPr="00BC3AC7" w:rsidRDefault="00BC3AC7" w:rsidP="00BC3AC7">
          <w:pPr>
            <w:pStyle w:val="HCh"/>
            <w:rPr>
              <w:w w:val="96"/>
            </w:rPr>
          </w:pPr>
          <w:r>
            <w:t>United Nations</w:t>
          </w:r>
        </w:p>
      </w:tc>
      <w:tc>
        <w:tcPr>
          <w:tcW w:w="245" w:type="dxa"/>
          <w:tcBorders>
            <w:bottom w:val="single" w:sz="4" w:space="0" w:color="auto"/>
          </w:tcBorders>
          <w:shd w:val="clear" w:color="auto" w:fill="auto"/>
          <w:vAlign w:val="bottom"/>
        </w:tcPr>
        <w:p w14:paraId="4074B17E" w14:textId="77777777" w:rsidR="00BC3AC7" w:rsidRDefault="00BC3AC7" w:rsidP="00BC3AC7">
          <w:pPr>
            <w:pStyle w:val="Header"/>
            <w:spacing w:after="120"/>
          </w:pPr>
        </w:p>
      </w:tc>
      <w:tc>
        <w:tcPr>
          <w:tcW w:w="6466" w:type="dxa"/>
          <w:gridSpan w:val="4"/>
          <w:tcBorders>
            <w:bottom w:val="single" w:sz="4" w:space="0" w:color="auto"/>
          </w:tcBorders>
          <w:shd w:val="clear" w:color="auto" w:fill="auto"/>
          <w:vAlign w:val="bottom"/>
        </w:tcPr>
        <w:p w14:paraId="57CA0DEE" w14:textId="04BCBA00" w:rsidR="00BC3AC7" w:rsidRPr="00BC3AC7" w:rsidRDefault="00BC3AC7" w:rsidP="00BC3AC7">
          <w:pPr>
            <w:spacing w:after="80" w:line="240" w:lineRule="auto"/>
            <w:jc w:val="right"/>
            <w:rPr>
              <w:position w:val="-4"/>
            </w:rPr>
          </w:pPr>
          <w:r>
            <w:rPr>
              <w:position w:val="-4"/>
              <w:sz w:val="40"/>
            </w:rPr>
            <w:t>CEDAW</w:t>
          </w:r>
          <w:r>
            <w:rPr>
              <w:position w:val="-4"/>
            </w:rPr>
            <w:t>/C/ZAF/FCO/5</w:t>
          </w:r>
        </w:p>
      </w:tc>
    </w:tr>
    <w:tr w:rsidR="00BC3AC7" w:rsidRPr="00BC3AC7" w14:paraId="0C262470" w14:textId="77777777" w:rsidTr="00BC3AC7">
      <w:trPr>
        <w:gridAfter w:val="1"/>
        <w:wAfter w:w="15" w:type="dxa"/>
        <w:trHeight w:hRule="exact" w:val="2880"/>
      </w:trPr>
      <w:tc>
        <w:tcPr>
          <w:tcW w:w="1267" w:type="dxa"/>
          <w:tcBorders>
            <w:top w:val="single" w:sz="4" w:space="0" w:color="auto"/>
            <w:bottom w:val="single" w:sz="12" w:space="0" w:color="auto"/>
          </w:tcBorders>
          <w:shd w:val="clear" w:color="auto" w:fill="auto"/>
        </w:tcPr>
        <w:p w14:paraId="7F7B9760" w14:textId="10482953" w:rsidR="00BC3AC7" w:rsidRPr="00BC3AC7" w:rsidRDefault="00BC3AC7" w:rsidP="00BC3AC7">
          <w:pPr>
            <w:pStyle w:val="Header"/>
            <w:spacing w:before="120"/>
            <w:jc w:val="center"/>
          </w:pPr>
          <w:r>
            <w:t xml:space="preserve"> </w:t>
          </w:r>
          <w:r>
            <w:drawing>
              <wp:inline distT="0" distB="0" distL="0" distR="0" wp14:anchorId="3B6612BE" wp14:editId="5DA3F778">
                <wp:extent cx="713232" cy="597103"/>
                <wp:effectExtent l="0" t="0" r="0" b="0"/>
                <wp:docPr id="1134394623" name="Picture 1"/>
                <wp:cNvGraphicFramePr/>
                <a:graphic xmlns:a="http://schemas.openxmlformats.org/drawingml/2006/main">
                  <a:graphicData uri="http://schemas.openxmlformats.org/drawingml/2006/picture">
                    <pic:pic xmlns:pic="http://schemas.openxmlformats.org/drawingml/2006/picture">
                      <pic:nvPicPr>
                        <pic:cNvPr id="113439462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6B4D10" w14:textId="765997B3" w:rsidR="00BC3AC7" w:rsidRPr="00BC3AC7" w:rsidRDefault="00BC3AC7" w:rsidP="00BC3AC7">
          <w:pPr>
            <w:pStyle w:val="XLarge"/>
            <w:spacing w:before="109" w:after="0"/>
            <w:rPr>
              <w:b/>
            </w:rPr>
          </w:pPr>
          <w:r>
            <w:rPr>
              <w:b/>
            </w:rPr>
            <w:t>Convention on the Elimination</w:t>
          </w:r>
          <w:r>
            <w:rPr>
              <w:b/>
            </w:rPr>
            <w:br/>
            <w:t>of All Forms of Discrimination against Women</w:t>
          </w:r>
        </w:p>
      </w:tc>
      <w:tc>
        <w:tcPr>
          <w:tcW w:w="245" w:type="dxa"/>
          <w:tcBorders>
            <w:top w:val="single" w:sz="4" w:space="0" w:color="auto"/>
            <w:bottom w:val="single" w:sz="12" w:space="0" w:color="auto"/>
          </w:tcBorders>
          <w:shd w:val="clear" w:color="auto" w:fill="auto"/>
        </w:tcPr>
        <w:p w14:paraId="06783D27" w14:textId="77777777" w:rsidR="00BC3AC7" w:rsidRPr="00BC3AC7" w:rsidRDefault="00BC3AC7" w:rsidP="00BC3AC7">
          <w:pPr>
            <w:pStyle w:val="Header"/>
            <w:spacing w:before="109"/>
          </w:pPr>
        </w:p>
      </w:tc>
      <w:tc>
        <w:tcPr>
          <w:tcW w:w="3096" w:type="dxa"/>
          <w:tcBorders>
            <w:top w:val="single" w:sz="4" w:space="0" w:color="auto"/>
            <w:bottom w:val="single" w:sz="12" w:space="0" w:color="auto"/>
          </w:tcBorders>
          <w:shd w:val="clear" w:color="auto" w:fill="auto"/>
        </w:tcPr>
        <w:p w14:paraId="6727E700" w14:textId="77777777" w:rsidR="00BC3AC7" w:rsidRDefault="00BC3AC7" w:rsidP="00BC3AC7">
          <w:pPr>
            <w:pStyle w:val="Publication"/>
            <w:spacing w:before="240"/>
            <w:rPr>
              <w:color w:val="010000"/>
            </w:rPr>
          </w:pPr>
          <w:r>
            <w:rPr>
              <w:color w:val="010000"/>
            </w:rPr>
            <w:t>Distr.: General</w:t>
          </w:r>
        </w:p>
        <w:p w14:paraId="6AB20FF5" w14:textId="77777777" w:rsidR="00BC3AC7" w:rsidRDefault="00BC3AC7" w:rsidP="00BC3AC7">
          <w:r>
            <w:t>25 July 2024</w:t>
          </w:r>
        </w:p>
        <w:p w14:paraId="186C72EA" w14:textId="5926CCBF" w:rsidR="00BC3AC7" w:rsidRDefault="00BC3AC7" w:rsidP="00BC3AC7"/>
        <w:p w14:paraId="56A59E59" w14:textId="408991C8" w:rsidR="00817327" w:rsidRDefault="00BC3AC7" w:rsidP="00BC3AC7">
          <w:r>
            <w:t xml:space="preserve">Original: </w:t>
          </w:r>
          <w:r w:rsidR="00817327">
            <w:t>English</w:t>
          </w:r>
        </w:p>
        <w:p w14:paraId="4DCEA894" w14:textId="5E9A0B05" w:rsidR="00BC3AC7" w:rsidRPr="00BC3AC7" w:rsidRDefault="00BC3AC7" w:rsidP="00BC3AC7">
          <w:r>
            <w:t>English</w:t>
          </w:r>
          <w:r w:rsidR="00DC0562">
            <w:t xml:space="preserve">, </w:t>
          </w:r>
          <w:r>
            <w:t>French</w:t>
          </w:r>
          <w:r w:rsidR="00DC0562">
            <w:t xml:space="preserve"> and </w:t>
          </w:r>
          <w:r>
            <w:t>Spanish</w:t>
          </w:r>
          <w:r w:rsidR="00DC0562">
            <w:t xml:space="preserve"> only</w:t>
          </w:r>
        </w:p>
      </w:tc>
    </w:tr>
  </w:tbl>
  <w:p w14:paraId="0E0B128D" w14:textId="77777777" w:rsidR="00BC3AC7" w:rsidRPr="00BC3AC7" w:rsidRDefault="00BC3AC7" w:rsidP="00BC3AC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1207990489">
    <w:abstractNumId w:val="12"/>
  </w:num>
  <w:num w:numId="35" w16cid:durableId="162164527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3641*"/>
    <w:docVar w:name="CreationDt" w:val="08-Aug-24 12:11:28"/>
    <w:docVar w:name="DocCategory" w:val="Doc"/>
    <w:docVar w:name="DocType" w:val="Final"/>
    <w:docVar w:name="DutyStation" w:val="New York"/>
    <w:docVar w:name="FooterJN" w:val="24-13641"/>
    <w:docVar w:name="jobn" w:val="24-13641 (E)"/>
    <w:docVar w:name="jobnDT" w:val="24-13641 (E)   080824"/>
    <w:docVar w:name="jobnDTDT" w:val="24-13641 (E)   080824   080824"/>
    <w:docVar w:name="JobNo" w:val="2413641E"/>
    <w:docVar w:name="JobNo2" w:val="2422077E"/>
    <w:docVar w:name="LocalDrive" w:val="0"/>
    <w:docVar w:name="OandT" w:val=" "/>
    <w:docVar w:name="sss1" w:val="CEDAW/C/ZAF/FCO/5"/>
    <w:docVar w:name="sss2" w:val="-"/>
    <w:docVar w:name="Symbol1" w:val="CEDAW/C/ZAF/FCO/5"/>
    <w:docVar w:name="Symbol2" w:val="-"/>
    <w:docVar w:name="Title1" w:val="Information received from South Africa on follow-up to the concluding observations on its fifth periodic report*_x000d_"/>
  </w:docVars>
  <w:rsids>
    <w:rsidRoot w:val="00AF4C6E"/>
    <w:rsid w:val="00001169"/>
    <w:rsid w:val="000444AA"/>
    <w:rsid w:val="000A544B"/>
    <w:rsid w:val="00101B6D"/>
    <w:rsid w:val="001167DA"/>
    <w:rsid w:val="00126BB0"/>
    <w:rsid w:val="001324A4"/>
    <w:rsid w:val="0013302C"/>
    <w:rsid w:val="0016102A"/>
    <w:rsid w:val="001C71AC"/>
    <w:rsid w:val="00247400"/>
    <w:rsid w:val="00266344"/>
    <w:rsid w:val="00297D61"/>
    <w:rsid w:val="002F493C"/>
    <w:rsid w:val="002F7621"/>
    <w:rsid w:val="00312AB6"/>
    <w:rsid w:val="00331D20"/>
    <w:rsid w:val="00365FD7"/>
    <w:rsid w:val="003C7E49"/>
    <w:rsid w:val="003F56DC"/>
    <w:rsid w:val="003F6A22"/>
    <w:rsid w:val="00455337"/>
    <w:rsid w:val="00495E7B"/>
    <w:rsid w:val="0049669D"/>
    <w:rsid w:val="004C7753"/>
    <w:rsid w:val="004F5722"/>
    <w:rsid w:val="0054211F"/>
    <w:rsid w:val="00542901"/>
    <w:rsid w:val="005610B1"/>
    <w:rsid w:val="005D25C2"/>
    <w:rsid w:val="0060478B"/>
    <w:rsid w:val="006955C7"/>
    <w:rsid w:val="00713054"/>
    <w:rsid w:val="00721EFE"/>
    <w:rsid w:val="00723392"/>
    <w:rsid w:val="00745FE9"/>
    <w:rsid w:val="00775B9A"/>
    <w:rsid w:val="008138CB"/>
    <w:rsid w:val="00817327"/>
    <w:rsid w:val="0085267A"/>
    <w:rsid w:val="00863195"/>
    <w:rsid w:val="00865675"/>
    <w:rsid w:val="00877270"/>
    <w:rsid w:val="008E7D41"/>
    <w:rsid w:val="00996E34"/>
    <w:rsid w:val="009B6E0D"/>
    <w:rsid w:val="009C5632"/>
    <w:rsid w:val="009D56BA"/>
    <w:rsid w:val="009D69CB"/>
    <w:rsid w:val="009E0648"/>
    <w:rsid w:val="00A96458"/>
    <w:rsid w:val="00AA29EE"/>
    <w:rsid w:val="00AC1703"/>
    <w:rsid w:val="00AE7918"/>
    <w:rsid w:val="00AF4C6E"/>
    <w:rsid w:val="00B06285"/>
    <w:rsid w:val="00B27698"/>
    <w:rsid w:val="00B34B21"/>
    <w:rsid w:val="00B711B3"/>
    <w:rsid w:val="00B901FD"/>
    <w:rsid w:val="00BB20F9"/>
    <w:rsid w:val="00BC2C8A"/>
    <w:rsid w:val="00BC3AC7"/>
    <w:rsid w:val="00BE6804"/>
    <w:rsid w:val="00BF783D"/>
    <w:rsid w:val="00C46199"/>
    <w:rsid w:val="00C4776A"/>
    <w:rsid w:val="00C92BA2"/>
    <w:rsid w:val="00CC2D86"/>
    <w:rsid w:val="00CE12EA"/>
    <w:rsid w:val="00D23FFB"/>
    <w:rsid w:val="00D409D0"/>
    <w:rsid w:val="00D70FF1"/>
    <w:rsid w:val="00D91A05"/>
    <w:rsid w:val="00DB0712"/>
    <w:rsid w:val="00DC0562"/>
    <w:rsid w:val="00E26243"/>
    <w:rsid w:val="00E433FC"/>
    <w:rsid w:val="00E548DF"/>
    <w:rsid w:val="00E72EBA"/>
    <w:rsid w:val="00E8036E"/>
    <w:rsid w:val="00EA1709"/>
    <w:rsid w:val="00EB6612"/>
    <w:rsid w:val="00EC1658"/>
    <w:rsid w:val="00EC7936"/>
    <w:rsid w:val="00ED0E7A"/>
    <w:rsid w:val="00EF2580"/>
    <w:rsid w:val="00EF7F8E"/>
    <w:rsid w:val="00F00F12"/>
    <w:rsid w:val="00F355B1"/>
    <w:rsid w:val="00F45F99"/>
    <w:rsid w:val="00F72C2B"/>
    <w:rsid w:val="00F732E5"/>
    <w:rsid w:val="00F95E56"/>
    <w:rsid w:val="00FC470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26CA69"/>
  <w15:chartTrackingRefBased/>
  <w15:docId w15:val="{1D3F1B38-2357-456E-BB0F-62DE87B9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93C"/>
    <w:pPr>
      <w:suppressAutoHyphens/>
      <w:spacing w:after="0" w:line="240" w:lineRule="exact"/>
    </w:pPr>
    <w:rPr>
      <w:rFonts w:ascii="Times New Roman"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45F99"/>
    <w:pPr>
      <w:tabs>
        <w:tab w:val="center" w:pos="4320"/>
        <w:tab w:val="right" w:pos="8640"/>
      </w:tabs>
      <w:spacing w:after="0" w:line="240" w:lineRule="auto"/>
    </w:pPr>
    <w:rPr>
      <w:rFonts w:ascii="Times New Roman" w:hAnsi="Times New Roman" w:cs="Times New Roman"/>
      <w:noProof/>
      <w:sz w:val="17"/>
      <w:szCs w:val="20"/>
      <w:lang w:eastAsia="en-US"/>
    </w:rPr>
  </w:style>
  <w:style w:type="character" w:customStyle="1" w:styleId="HeaderChar">
    <w:name w:val="Header Char"/>
    <w:basedOn w:val="DefaultParagraphFont"/>
    <w:link w:val="Header"/>
    <w:rsid w:val="00F45F99"/>
    <w:rPr>
      <w:rFonts w:ascii="Times New Roman" w:hAnsi="Times New Roman" w:cs="Times New Roman"/>
      <w:noProof/>
      <w:sz w:val="17"/>
      <w:szCs w:val="20"/>
      <w:lang w:eastAsia="en-US"/>
    </w:rPr>
  </w:style>
  <w:style w:type="paragraph" w:styleId="Footer">
    <w:name w:val="footer"/>
    <w:link w:val="FooterChar"/>
    <w:rsid w:val="00F45F99"/>
    <w:pPr>
      <w:tabs>
        <w:tab w:val="center" w:pos="4320"/>
        <w:tab w:val="right" w:pos="8640"/>
      </w:tabs>
      <w:spacing w:after="0" w:line="240" w:lineRule="auto"/>
    </w:pPr>
    <w:rPr>
      <w:rFonts w:ascii="Times New Roman" w:hAnsi="Times New Roman" w:cs="Times New Roman"/>
      <w:b/>
      <w:noProof/>
      <w:sz w:val="17"/>
      <w:szCs w:val="20"/>
      <w:lang w:eastAsia="en-US"/>
    </w:rPr>
  </w:style>
  <w:style w:type="character" w:customStyle="1" w:styleId="FooterChar">
    <w:name w:val="Footer Char"/>
    <w:basedOn w:val="DefaultParagraphFont"/>
    <w:link w:val="Footer"/>
    <w:rsid w:val="00F45F99"/>
    <w:rPr>
      <w:rFonts w:ascii="Times New Roman" w:hAnsi="Times New Roman" w:cs="Times New Roman"/>
      <w:b/>
      <w:noProof/>
      <w:sz w:val="17"/>
      <w:szCs w:val="20"/>
      <w:lang w:eastAsia="en-US"/>
    </w:rPr>
  </w:style>
  <w:style w:type="paragraph" w:customStyle="1" w:styleId="HM">
    <w:name w:val="_ H __M"/>
    <w:basedOn w:val="HCh"/>
    <w:next w:val="Normal"/>
    <w:rsid w:val="00F45F99"/>
    <w:pPr>
      <w:spacing w:line="360" w:lineRule="exact"/>
    </w:pPr>
    <w:rPr>
      <w:spacing w:val="-3"/>
      <w:w w:val="99"/>
      <w:sz w:val="34"/>
    </w:rPr>
  </w:style>
  <w:style w:type="paragraph" w:customStyle="1" w:styleId="H1">
    <w:name w:val="_ H_1"/>
    <w:basedOn w:val="Normal"/>
    <w:next w:val="SingleTxt"/>
    <w:rsid w:val="002F493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270" w:lineRule="exact"/>
      <w:ind w:left="1267" w:right="1267" w:hanging="1267"/>
      <w:outlineLvl w:val="0"/>
    </w:pPr>
    <w:rPr>
      <w:rFonts w:ascii="Times New Roman Bold" w:eastAsia="Calibri" w:hAnsi="Times New Roman Bold" w:cs="Arial"/>
      <w:b/>
      <w:kern w:val="0"/>
      <w:sz w:val="24"/>
      <w:szCs w:val="22"/>
      <w14:ligatures w14:val="none"/>
    </w:rPr>
  </w:style>
  <w:style w:type="paragraph" w:customStyle="1" w:styleId="HCh">
    <w:name w:val="_ H _Ch"/>
    <w:basedOn w:val="H1"/>
    <w:next w:val="SingleTxt"/>
    <w:rsid w:val="00F355B1"/>
    <w:pPr>
      <w:suppressAutoHyphens/>
      <w:spacing w:after="80" w:line="300" w:lineRule="exact"/>
      <w:ind w:left="0" w:right="0" w:firstLine="0"/>
    </w:pPr>
    <w:rPr>
      <w:rFonts w:ascii="Times New Roman" w:eastAsiaTheme="minorHAnsi" w:hAnsi="Times New Roman" w:cs="Times New Roman"/>
      <w:b w:val="0"/>
      <w:spacing w:val="2"/>
      <w:kern w:val="14"/>
      <w:sz w:val="28"/>
      <w:szCs w:val="20"/>
    </w:rPr>
  </w:style>
  <w:style w:type="paragraph" w:customStyle="1" w:styleId="H23">
    <w:name w:val="_ H_2/3"/>
    <w:basedOn w:val="Normal"/>
    <w:next w:val="SingleTxt"/>
    <w:rsid w:val="00126BB0"/>
    <w:pPr>
      <w:suppressAutoHyphens w:val="0"/>
      <w:spacing w:line="240" w:lineRule="auto"/>
      <w:ind w:right="1267"/>
      <w:outlineLvl w:val="1"/>
    </w:pPr>
    <w:rPr>
      <w:rFonts w:eastAsia="Calibri" w:cs="Arial"/>
      <w:b/>
      <w:spacing w:val="0"/>
      <w:w w:val="100"/>
      <w:kern w:val="0"/>
      <w:szCs w:val="22"/>
      <w:lang w:val="en-US"/>
      <w14:ligatures w14:val="none"/>
    </w:rPr>
  </w:style>
  <w:style w:type="paragraph" w:customStyle="1" w:styleId="H4">
    <w:name w:val="_ H_4"/>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45F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45F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45F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45F99"/>
    <w:pPr>
      <w:spacing w:line="540" w:lineRule="exact"/>
    </w:pPr>
    <w:rPr>
      <w:spacing w:val="-8"/>
      <w:w w:val="96"/>
      <w:sz w:val="57"/>
    </w:rPr>
  </w:style>
  <w:style w:type="paragraph" w:customStyle="1" w:styleId="SS">
    <w:name w:val="__S_S"/>
    <w:basedOn w:val="HCh"/>
    <w:next w:val="Normal"/>
    <w:rsid w:val="00F45F99"/>
    <w:pPr>
      <w:ind w:left="1267"/>
    </w:pPr>
  </w:style>
  <w:style w:type="paragraph" w:customStyle="1" w:styleId="SingleTxt">
    <w:name w:val="__Single Txt"/>
    <w:basedOn w:val="Normal"/>
    <w:link w:val="SingleTxtChar"/>
    <w:rsid w:val="00721EF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atLeast"/>
      <w:ind w:left="1267" w:right="1267"/>
      <w:jc w:val="both"/>
    </w:pPr>
    <w:rPr>
      <w:rFonts w:eastAsia="Calibri" w:cs="Arial"/>
      <w:kern w:val="0"/>
      <w:szCs w:val="22"/>
      <w14:ligatures w14:val="none"/>
    </w:rPr>
  </w:style>
  <w:style w:type="paragraph" w:customStyle="1" w:styleId="AgendaItemNormal">
    <w:name w:val="Agenda_Item_Normal"/>
    <w:next w:val="Normal"/>
    <w:qFormat/>
    <w:rsid w:val="00F45F99"/>
    <w:pPr>
      <w:spacing w:after="0" w:line="240" w:lineRule="exact"/>
    </w:pPr>
    <w:rPr>
      <w:rFonts w:ascii="Times New Roman" w:hAnsi="Times New Roman" w:cs="Times New Roman"/>
      <w:spacing w:val="4"/>
      <w:w w:val="103"/>
      <w:kern w:val="14"/>
      <w:sz w:val="20"/>
      <w:szCs w:val="20"/>
      <w:lang w:val="en-GB" w:eastAsia="en-US"/>
    </w:rPr>
  </w:style>
  <w:style w:type="paragraph" w:customStyle="1" w:styleId="TitleH1">
    <w:name w:val="Title_H1"/>
    <w:basedOn w:val="Normal"/>
    <w:next w:val="Normal"/>
    <w:qFormat/>
    <w:rsid w:val="00F45F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45F99"/>
    <w:pPr>
      <w:spacing w:line="240" w:lineRule="exact"/>
      <w:ind w:left="0" w:right="5040" w:firstLine="0"/>
      <w:outlineLvl w:val="1"/>
    </w:pPr>
    <w:rPr>
      <w:sz w:val="20"/>
    </w:rPr>
  </w:style>
  <w:style w:type="paragraph" w:customStyle="1" w:styleId="Bullet1">
    <w:name w:val="Bullet 1"/>
    <w:basedOn w:val="Normal"/>
    <w:qFormat/>
    <w:rsid w:val="00F45F99"/>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45F99"/>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45F99"/>
    <w:pPr>
      <w:spacing w:before="240" w:after="0" w:line="240" w:lineRule="auto"/>
    </w:pPr>
    <w:rPr>
      <w:rFonts w:ascii="Times New Roman" w:hAnsi="Times New Roman" w:cs="Times New Roman"/>
      <w:spacing w:val="4"/>
      <w:w w:val="103"/>
      <w:kern w:val="14"/>
      <w:sz w:val="20"/>
      <w:szCs w:val="20"/>
      <w:lang w:val="en-GB" w:eastAsia="en-US"/>
    </w:rPr>
  </w:style>
  <w:style w:type="character" w:styleId="EndnoteReference">
    <w:name w:val="endnote reference"/>
    <w:semiHidden/>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45F99"/>
  </w:style>
  <w:style w:type="character" w:customStyle="1" w:styleId="EndnoteTextChar">
    <w:name w:val="Endnote Text Char"/>
    <w:basedOn w:val="DefaultParagraphFont"/>
    <w:link w:val="EndnoteText"/>
    <w:semiHidden/>
    <w:rsid w:val="00F45F99"/>
    <w:rPr>
      <w:rFonts w:ascii="Times New Roman" w:hAnsi="Times New Roman" w:cs="Times New Roman"/>
      <w:spacing w:val="5"/>
      <w:w w:val="103"/>
      <w:kern w:val="14"/>
      <w:sz w:val="17"/>
      <w:szCs w:val="20"/>
      <w:lang w:val="en-GB" w:eastAsia="en-US"/>
    </w:rPr>
  </w:style>
  <w:style w:type="character" w:styleId="FootnoteReference">
    <w:name w:val="footnote reference"/>
    <w:aliases w:val="4_G"/>
    <w:qFormat/>
    <w:rsid w:val="00F45F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F45F99"/>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F45F99"/>
    <w:rPr>
      <w:rFonts w:ascii="Times New Roman"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Publication">
    <w:name w:val="Publication"/>
    <w:next w:val="Normal"/>
    <w:rsid w:val="00F45F99"/>
    <w:pPr>
      <w:spacing w:after="0" w:line="240" w:lineRule="auto"/>
    </w:pPr>
    <w:rPr>
      <w:rFonts w:ascii="Times New Roman"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F45F99"/>
    <w:pPr>
      <w:tabs>
        <w:tab w:val="right" w:pos="9965"/>
      </w:tabs>
      <w:spacing w:line="210" w:lineRule="exact"/>
    </w:pPr>
    <w:rPr>
      <w:spacing w:val="5"/>
      <w:w w:val="104"/>
      <w:sz w:val="17"/>
    </w:rPr>
  </w:style>
  <w:style w:type="paragraph" w:customStyle="1" w:styleId="SmallX">
    <w:name w:val="SmallX"/>
    <w:basedOn w:val="Small"/>
    <w:next w:val="Normal"/>
    <w:rsid w:val="00F45F99"/>
    <w:pPr>
      <w:spacing w:line="180" w:lineRule="exact"/>
      <w:jc w:val="right"/>
    </w:pPr>
    <w:rPr>
      <w:spacing w:val="6"/>
      <w:w w:val="106"/>
      <w:sz w:val="14"/>
    </w:rPr>
  </w:style>
  <w:style w:type="paragraph" w:customStyle="1" w:styleId="TitleHCH">
    <w:name w:val="Title_H_CH"/>
    <w:basedOn w:val="H1"/>
    <w:next w:val="Normal"/>
    <w:qFormat/>
    <w:rsid w:val="00F45F99"/>
    <w:pPr>
      <w:spacing w:line="300" w:lineRule="exact"/>
      <w:ind w:left="0" w:right="0" w:firstLine="0"/>
    </w:pPr>
    <w:rPr>
      <w:spacing w:val="-2"/>
      <w:sz w:val="28"/>
    </w:rPr>
  </w:style>
  <w:style w:type="paragraph" w:customStyle="1" w:styleId="TitleH2">
    <w:name w:val="Title_H2"/>
    <w:basedOn w:val="Normal"/>
    <w:next w:val="Normal"/>
    <w:qFormat/>
    <w:rsid w:val="00F45F99"/>
    <w:pPr>
      <w:outlineLvl w:val="1"/>
    </w:pPr>
    <w:rPr>
      <w:b/>
    </w:rPr>
  </w:style>
  <w:style w:type="paragraph" w:customStyle="1" w:styleId="XLarge">
    <w:name w:val="XLarge"/>
    <w:basedOn w:val="HM"/>
    <w:rsid w:val="00F45F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45F99"/>
    <w:rPr>
      <w:rFonts w:ascii="Tahoma" w:hAnsi="Tahoma" w:cs="Tahoma"/>
      <w:sz w:val="16"/>
      <w:szCs w:val="16"/>
    </w:rPr>
  </w:style>
  <w:style w:type="character" w:customStyle="1" w:styleId="BalloonTextChar">
    <w:name w:val="Balloon Text Char"/>
    <w:basedOn w:val="DefaultParagraphFont"/>
    <w:link w:val="BalloonText"/>
    <w:semiHidden/>
    <w:rsid w:val="00F45F99"/>
    <w:rPr>
      <w:rFonts w:ascii="Tahoma"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F45F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732E5"/>
    <w:rPr>
      <w:rFonts w:ascii="Times New Roman Bold" w:hAnsi="Times New Roman Bold"/>
      <w:b w:val="0"/>
    </w:rPr>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721EFE"/>
    <w:rPr>
      <w:rFonts w:ascii="Times New Roman" w:eastAsia="Calibri" w:hAnsi="Times New Roman" w:cs="Arial"/>
      <w:spacing w:val="4"/>
      <w:w w:val="103"/>
      <w:kern w:val="0"/>
      <w:sz w:val="20"/>
      <w:lang w:val="en-GB" w:eastAsia="en-US"/>
      <w14:ligatures w14:val="none"/>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45F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45F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45F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45F99"/>
    <w:rPr>
      <w:rFonts w:ascii="Courier New" w:eastAsia="Times New Roman" w:hAnsi="Courier New" w:cs="Times New Roman"/>
      <w:sz w:val="20"/>
      <w:szCs w:val="20"/>
      <w:lang w:eastAsia="en-GB"/>
    </w:rPr>
  </w:style>
  <w:style w:type="paragraph" w:customStyle="1" w:styleId="ReleaseDate0">
    <w:name w:val="Release Date"/>
    <w:next w:val="Footer"/>
    <w:rsid w:val="00F45F99"/>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F45F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customStyle="1" w:styleId="Thousands">
    <w:name w:val="(Thousands)"/>
    <w:basedOn w:val="SingleTxt"/>
    <w:qFormat/>
    <w:rsid w:val="00E433FC"/>
    <w:pPr>
      <w:keepNext/>
      <w:keepLines/>
      <w:suppressAutoHyphens/>
      <w:spacing w:after="0"/>
    </w:pPr>
    <w:rPr>
      <w:rFonts w:eastAsiaTheme="minorHAnsi" w:cs="Times New Roman"/>
      <w:kern w:val="14"/>
      <w:sz w:val="14"/>
      <w:szCs w:val="14"/>
    </w:rPr>
  </w:style>
  <w:style w:type="paragraph" w:styleId="Title">
    <w:name w:val="Title"/>
    <w:basedOn w:val="Normal"/>
    <w:next w:val="Normal"/>
    <w:link w:val="TitleChar"/>
    <w:uiPriority w:val="10"/>
    <w:qFormat/>
    <w:rsid w:val="00AF4C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4C6E"/>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AF4C6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4C6E"/>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AF4C6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F4C6E"/>
    <w:rPr>
      <w:rFonts w:ascii="Times New Roman"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AF4C6E"/>
    <w:pPr>
      <w:ind w:left="720"/>
      <w:contextualSpacing/>
    </w:pPr>
  </w:style>
  <w:style w:type="character" w:styleId="IntenseEmphasis">
    <w:name w:val="Intense Emphasis"/>
    <w:basedOn w:val="DefaultParagraphFont"/>
    <w:uiPriority w:val="21"/>
    <w:qFormat/>
    <w:rsid w:val="00AF4C6E"/>
    <w:rPr>
      <w:i/>
      <w:iCs/>
      <w:color w:val="0F4761" w:themeColor="accent1" w:themeShade="BF"/>
    </w:rPr>
  </w:style>
  <w:style w:type="paragraph" w:styleId="IntenseQuote">
    <w:name w:val="Intense Quote"/>
    <w:basedOn w:val="Normal"/>
    <w:next w:val="Normal"/>
    <w:link w:val="IntenseQuoteChar"/>
    <w:uiPriority w:val="30"/>
    <w:qFormat/>
    <w:rsid w:val="00AF4C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4C6E"/>
    <w:rPr>
      <w:rFonts w:ascii="Times New Roman" w:hAnsi="Times New Roman" w:cs="Times New Roman"/>
      <w:i/>
      <w:iCs/>
      <w:color w:val="0F4761"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AF4C6E"/>
    <w:rPr>
      <w:b/>
      <w:bCs/>
      <w:smallCaps/>
      <w:color w:val="0F4761" w:themeColor="accent1" w:themeShade="BF"/>
      <w:spacing w:val="5"/>
    </w:rPr>
  </w:style>
  <w:style w:type="paragraph" w:styleId="CommentText">
    <w:name w:val="annotation text"/>
    <w:basedOn w:val="Normal"/>
    <w:link w:val="CommentTextChar"/>
    <w:uiPriority w:val="99"/>
    <w:semiHidden/>
    <w:unhideWhenUsed/>
    <w:rsid w:val="00BC3AC7"/>
    <w:pPr>
      <w:spacing w:line="240" w:lineRule="auto"/>
    </w:pPr>
  </w:style>
  <w:style w:type="character" w:customStyle="1" w:styleId="CommentTextChar">
    <w:name w:val="Comment Text Char"/>
    <w:basedOn w:val="DefaultParagraphFont"/>
    <w:link w:val="CommentText"/>
    <w:uiPriority w:val="99"/>
    <w:semiHidden/>
    <w:rsid w:val="00BC3AC7"/>
    <w:rPr>
      <w:rFonts w:ascii="Times New Roman"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C3AC7"/>
    <w:rPr>
      <w:b/>
      <w:bCs/>
    </w:rPr>
  </w:style>
  <w:style w:type="character" w:customStyle="1" w:styleId="CommentSubjectChar">
    <w:name w:val="Comment Subject Char"/>
    <w:basedOn w:val="CommentTextChar"/>
    <w:link w:val="CommentSubject"/>
    <w:uiPriority w:val="99"/>
    <w:semiHidden/>
    <w:rsid w:val="00BC3AC7"/>
    <w:rPr>
      <w:rFonts w:ascii="Times New Roman"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1324A4"/>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14:ligatures w14:val="none"/>
    </w:rPr>
  </w:style>
  <w:style w:type="paragraph" w:customStyle="1" w:styleId="HChG">
    <w:name w:val="_ H _Ch_G"/>
    <w:basedOn w:val="Normal"/>
    <w:next w:val="Normal"/>
    <w:qFormat/>
    <w:rsid w:val="001324A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14:ligatures w14:val="none"/>
    </w:rPr>
  </w:style>
  <w:style w:type="paragraph" w:customStyle="1" w:styleId="H1G">
    <w:name w:val="_ H_1_G"/>
    <w:basedOn w:val="Normal"/>
    <w:next w:val="Normal"/>
    <w:qFormat/>
    <w:rsid w:val="001324A4"/>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14:ligatures w14:val="none"/>
    </w:rPr>
  </w:style>
  <w:style w:type="paragraph" w:customStyle="1" w:styleId="SingleTxtG">
    <w:name w:val="_ Single Txt_G"/>
    <w:basedOn w:val="Normal"/>
    <w:link w:val="SingleTxtGChar"/>
    <w:qFormat/>
    <w:rsid w:val="001324A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14:ligatures w14:val="none"/>
    </w:rPr>
  </w:style>
  <w:style w:type="character" w:customStyle="1" w:styleId="SingleTxtGChar">
    <w:name w:val="_ Single Txt_G Char"/>
    <w:link w:val="SingleTxtG"/>
    <w:locked/>
    <w:rsid w:val="001324A4"/>
    <w:rPr>
      <w:rFonts w:ascii="Times New Roman" w:hAnsi="Times New Roman" w:cs="Times New Roman"/>
      <w:kern w:val="0"/>
      <w:sz w:val="20"/>
      <w:szCs w:val="20"/>
      <w:lang w:val="en-GB" w:eastAsia="en-US"/>
      <w14:ligatures w14:val="none"/>
    </w:rPr>
  </w:style>
  <w:style w:type="paragraph" w:styleId="Revision">
    <w:name w:val="Revision"/>
    <w:hidden/>
    <w:uiPriority w:val="99"/>
    <w:semiHidden/>
    <w:rsid w:val="001324A4"/>
    <w:pPr>
      <w:spacing w:after="0" w:line="240" w:lineRule="auto"/>
    </w:pPr>
    <w:rPr>
      <w:rFonts w:ascii="Times New Roman"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AE56E-C3A2-43F2-B10D-C586CCA7C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2789</Words>
  <Characters>15903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3</cp:revision>
  <cp:lastPrinted>2024-08-08T19:26:00Z</cp:lastPrinted>
  <dcterms:created xsi:type="dcterms:W3CDTF">2024-08-08T19:26:00Z</dcterms:created>
  <dcterms:modified xsi:type="dcterms:W3CDTF">2024-08-08T19:26:00Z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2413641</vt:lpwstr>
  </property>
  <property fmtid="{D5CDD505-2E9C-101B-9397-08002B2CF9AE}" pid="3" name="ODSRefJobNo">
    <vt:lpwstr>2422077E</vt:lpwstr>
  </property>
  <property fmtid="{D5CDD505-2E9C-101B-9397-08002B2CF9AE}" pid="4" name="Symbol1">
    <vt:lpwstr>CEDAW/C/ZAF/FCO/5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080824</vt:lpwstr>
  </property>
  <property fmtid="{D5CDD505-2E9C-101B-9397-08002B2CF9AE}" pid="15" name="Title1">
    <vt:lpwstr>Information received from South Africa on follow-up to the concluding observations on its fifth periodic report</vt:lpwstr>
  </property>
</Properties>
</file>