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E654FB" w14:paraId="04259026" w14:textId="77777777" w:rsidTr="001E45CF">
        <w:trPr>
          <w:trHeight w:hRule="exact" w:val="851"/>
        </w:trPr>
        <w:tc>
          <w:tcPr>
            <w:tcW w:w="1274" w:type="dxa"/>
            <w:tcBorders>
              <w:bottom w:val="single" w:sz="4" w:space="0" w:color="auto"/>
            </w:tcBorders>
          </w:tcPr>
          <w:p w14:paraId="5EB4B8DD" w14:textId="77777777" w:rsidR="00B116DD" w:rsidRPr="00E654FB" w:rsidRDefault="00B116DD" w:rsidP="0066406F">
            <w:pPr>
              <w:kinsoku w:val="0"/>
              <w:overflowPunct w:val="0"/>
              <w:autoSpaceDE w:val="0"/>
              <w:autoSpaceDN w:val="0"/>
              <w:adjustRightInd w:val="0"/>
              <w:snapToGrid w:val="0"/>
              <w:spacing w:after="80" w:line="480" w:lineRule="exact"/>
              <w:jc w:val="left"/>
              <w:rPr>
                <w:szCs w:val="40"/>
              </w:rPr>
            </w:pPr>
          </w:p>
        </w:tc>
        <w:tc>
          <w:tcPr>
            <w:tcW w:w="5104" w:type="dxa"/>
            <w:tcBorders>
              <w:bottom w:val="single" w:sz="4" w:space="0" w:color="auto"/>
            </w:tcBorders>
            <w:vAlign w:val="bottom"/>
          </w:tcPr>
          <w:p w14:paraId="5624DAFD" w14:textId="77777777" w:rsidR="006B3E27" w:rsidRPr="00E654FB" w:rsidRDefault="006B3E27" w:rsidP="005540EB">
            <w:pPr>
              <w:spacing w:after="80" w:line="480" w:lineRule="exact"/>
              <w:ind w:left="57"/>
              <w:jc w:val="left"/>
              <w:rPr>
                <w:sz w:val="30"/>
                <w:szCs w:val="30"/>
                <w:rtl/>
              </w:rPr>
            </w:pPr>
            <w:r w:rsidRPr="00E654FB">
              <w:rPr>
                <w:rFonts w:hint="cs"/>
                <w:sz w:val="30"/>
                <w:szCs w:val="30"/>
                <w:rtl/>
              </w:rPr>
              <w:t>الأمم المتحدة</w:t>
            </w:r>
          </w:p>
        </w:tc>
        <w:tc>
          <w:tcPr>
            <w:tcW w:w="3261" w:type="dxa"/>
            <w:tcBorders>
              <w:bottom w:val="single" w:sz="4" w:space="0" w:color="auto"/>
            </w:tcBorders>
            <w:vAlign w:val="bottom"/>
          </w:tcPr>
          <w:p w14:paraId="5EF1FA8B" w14:textId="70FFECA1" w:rsidR="006B3E27" w:rsidRPr="003D67AE" w:rsidRDefault="003D67AE" w:rsidP="003D67AE">
            <w:pPr>
              <w:bidi w:val="0"/>
              <w:jc w:val="left"/>
            </w:pPr>
            <w:r w:rsidRPr="00CD4621">
              <w:rPr>
                <w:sz w:val="40"/>
              </w:rPr>
              <w:t>CMW</w:t>
            </w:r>
            <w:r w:rsidRPr="00CD4621">
              <w:t>/C/MAR/CO/</w:t>
            </w:r>
            <w:r w:rsidRPr="009E0726">
              <w:t>2</w:t>
            </w:r>
          </w:p>
        </w:tc>
      </w:tr>
      <w:tr w:rsidR="006B3E27" w:rsidRPr="00E654FB" w14:paraId="55E631C4" w14:textId="77777777" w:rsidTr="001E45CF">
        <w:trPr>
          <w:trHeight w:hRule="exact" w:val="2554"/>
        </w:trPr>
        <w:tc>
          <w:tcPr>
            <w:tcW w:w="1274" w:type="dxa"/>
            <w:tcBorders>
              <w:top w:val="single" w:sz="4" w:space="0" w:color="auto"/>
              <w:bottom w:val="single" w:sz="12" w:space="0" w:color="auto"/>
            </w:tcBorders>
          </w:tcPr>
          <w:p w14:paraId="3017B9A1" w14:textId="77777777" w:rsidR="006B3E27" w:rsidRPr="00E654FB" w:rsidRDefault="0059622A" w:rsidP="001E45CF">
            <w:pPr>
              <w:jc w:val="center"/>
              <w:rPr>
                <w:rtl/>
              </w:rPr>
            </w:pPr>
            <w:r w:rsidRPr="00E654FB">
              <w:rPr>
                <w:noProof/>
              </w:rPr>
              <w:drawing>
                <wp:inline distT="0" distB="0" distL="0" distR="0" wp14:anchorId="328AD13C" wp14:editId="1289C53D">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19391554" w14:textId="77777777" w:rsidR="006B3E27" w:rsidRPr="009E0726" w:rsidRDefault="001E1CAD" w:rsidP="005540EB">
            <w:pPr>
              <w:spacing w:before="120" w:after="40" w:line="560" w:lineRule="exact"/>
              <w:ind w:left="57"/>
              <w:jc w:val="left"/>
              <w:rPr>
                <w:b/>
                <w:bCs/>
                <w:sz w:val="42"/>
                <w:szCs w:val="42"/>
                <w:rtl/>
              </w:rPr>
            </w:pPr>
            <w:r w:rsidRPr="009E0726">
              <w:rPr>
                <w:rFonts w:hint="cs"/>
                <w:b/>
                <w:bCs/>
                <w:sz w:val="42"/>
                <w:szCs w:val="42"/>
                <w:rtl/>
              </w:rPr>
              <w:t>ا</w:t>
            </w:r>
            <w:r w:rsidR="00523BAE" w:rsidRPr="009E0726">
              <w:rPr>
                <w:rFonts w:hint="cs"/>
                <w:b/>
                <w:bCs/>
                <w:sz w:val="42"/>
                <w:szCs w:val="42"/>
                <w:rtl/>
              </w:rPr>
              <w:t>لا</w:t>
            </w:r>
            <w:r w:rsidR="004A14A6" w:rsidRPr="009E0726">
              <w:rPr>
                <w:rFonts w:hint="cs"/>
                <w:b/>
                <w:bCs/>
                <w:sz w:val="42"/>
                <w:szCs w:val="42"/>
                <w:rtl/>
              </w:rPr>
              <w:t>تفاقي</w:t>
            </w:r>
            <w:r w:rsidR="00523BAE" w:rsidRPr="009E0726">
              <w:rPr>
                <w:rFonts w:hint="cs"/>
                <w:b/>
                <w:bCs/>
                <w:sz w:val="42"/>
                <w:szCs w:val="42"/>
                <w:rtl/>
              </w:rPr>
              <w:t>ـ</w:t>
            </w:r>
            <w:r w:rsidR="004A14A6" w:rsidRPr="009E0726">
              <w:rPr>
                <w:rFonts w:hint="cs"/>
                <w:b/>
                <w:bCs/>
                <w:sz w:val="42"/>
                <w:szCs w:val="42"/>
                <w:rtl/>
              </w:rPr>
              <w:t xml:space="preserve">ة </w:t>
            </w:r>
            <w:r w:rsidR="00523BAE" w:rsidRPr="009E0726">
              <w:rPr>
                <w:rFonts w:hint="cs"/>
                <w:b/>
                <w:bCs/>
                <w:sz w:val="42"/>
                <w:szCs w:val="42"/>
                <w:rtl/>
              </w:rPr>
              <w:t xml:space="preserve">الدوليـة </w:t>
            </w:r>
            <w:r w:rsidR="0045649E" w:rsidRPr="009E0726">
              <w:rPr>
                <w:rFonts w:hint="cs"/>
                <w:b/>
                <w:bCs/>
                <w:sz w:val="42"/>
                <w:szCs w:val="42"/>
                <w:rtl/>
              </w:rPr>
              <w:t>لحماية حقوق جميع العمال المهاجرين وأفراد أسره</w:t>
            </w:r>
            <w:r w:rsidR="0086216C" w:rsidRPr="009E0726">
              <w:rPr>
                <w:rFonts w:hint="cs"/>
                <w:b/>
                <w:bCs/>
                <w:sz w:val="42"/>
                <w:szCs w:val="42"/>
                <w:rtl/>
              </w:rPr>
              <w:t>م</w:t>
            </w:r>
          </w:p>
        </w:tc>
        <w:tc>
          <w:tcPr>
            <w:tcW w:w="3261" w:type="dxa"/>
            <w:tcBorders>
              <w:top w:val="single" w:sz="4" w:space="0" w:color="auto"/>
              <w:bottom w:val="single" w:sz="12" w:space="0" w:color="auto"/>
            </w:tcBorders>
          </w:tcPr>
          <w:p w14:paraId="3D765EE3" w14:textId="29956AFD" w:rsidR="006B3E27" w:rsidRDefault="003D67AE" w:rsidP="00336B60">
            <w:pPr>
              <w:bidi w:val="0"/>
              <w:spacing w:before="240"/>
              <w:jc w:val="left"/>
            </w:pPr>
            <w:r>
              <w:t>Dist</w:t>
            </w:r>
            <w:r w:rsidR="00CD4621" w:rsidRPr="00CD4621">
              <w:t>r.:</w:t>
            </w:r>
            <w:r>
              <w:t xml:space="preserve"> General</w:t>
            </w:r>
          </w:p>
          <w:p w14:paraId="7E249914" w14:textId="70B5C820" w:rsidR="003D67AE" w:rsidRDefault="00CD4621" w:rsidP="003D67AE">
            <w:pPr>
              <w:bidi w:val="0"/>
              <w:spacing w:line="240" w:lineRule="exact"/>
              <w:jc w:val="left"/>
            </w:pPr>
            <w:r w:rsidRPr="009E0726">
              <w:t>23</w:t>
            </w:r>
            <w:r w:rsidRPr="008839E6">
              <w:t xml:space="preserve"> May </w:t>
            </w:r>
            <w:r w:rsidR="003D67AE" w:rsidRPr="009E0726">
              <w:t>2023</w:t>
            </w:r>
          </w:p>
          <w:p w14:paraId="144AF408" w14:textId="77777777" w:rsidR="003D67AE" w:rsidRDefault="003D67AE" w:rsidP="003D67AE">
            <w:pPr>
              <w:bidi w:val="0"/>
              <w:spacing w:line="240" w:lineRule="exact"/>
              <w:jc w:val="left"/>
            </w:pPr>
            <w:r>
              <w:t>Arabic</w:t>
            </w:r>
          </w:p>
          <w:p w14:paraId="3DF40810" w14:textId="12A709A1" w:rsidR="003D67AE" w:rsidRPr="003D67AE" w:rsidRDefault="003D67AE" w:rsidP="003D67AE">
            <w:pPr>
              <w:bidi w:val="0"/>
              <w:spacing w:line="240" w:lineRule="exact"/>
              <w:jc w:val="left"/>
            </w:pPr>
            <w:r>
              <w:t>Origina</w:t>
            </w:r>
            <w:r w:rsidR="00CD4621" w:rsidRPr="00CD4621">
              <w:t xml:space="preserve">l: </w:t>
            </w:r>
            <w:r w:rsidR="00CD4621">
              <w:t>French</w:t>
            </w:r>
          </w:p>
        </w:tc>
      </w:tr>
    </w:tbl>
    <w:p w14:paraId="7D759886" w14:textId="77777777" w:rsidR="00CD4621" w:rsidRPr="009E0726" w:rsidRDefault="00CD4621" w:rsidP="00CD4621">
      <w:pPr>
        <w:pStyle w:val="SingleTxtGA"/>
        <w:spacing w:before="120" w:after="0"/>
        <w:ind w:left="0" w:right="284"/>
        <w:jc w:val="left"/>
        <w:rPr>
          <w:b/>
          <w:bCs/>
          <w:sz w:val="26"/>
          <w:szCs w:val="26"/>
          <w:lang w:val="ar-SA" w:eastAsia="zh-TW" w:bidi="en-GB"/>
        </w:rPr>
      </w:pPr>
      <w:r w:rsidRPr="009E0726">
        <w:rPr>
          <w:b/>
          <w:bCs/>
          <w:sz w:val="26"/>
          <w:szCs w:val="26"/>
          <w:rtl/>
        </w:rPr>
        <w:t>اللجنة المعنية بحماية حقوق جميع العمال المهاجرين وأفراد أسرهم</w:t>
      </w:r>
    </w:p>
    <w:p w14:paraId="236940F8" w14:textId="350F6C66" w:rsidR="00CD4621" w:rsidRPr="009E0726" w:rsidRDefault="00CD4621" w:rsidP="00CD4621">
      <w:pPr>
        <w:pStyle w:val="HChGA"/>
        <w:rPr>
          <w:sz w:val="34"/>
          <w:szCs w:val="34"/>
          <w:lang w:val="en-US" w:eastAsia="zh-TW" w:bidi="en-GB"/>
        </w:rPr>
      </w:pPr>
      <w:r w:rsidRPr="009E0726">
        <w:rPr>
          <w:rtl/>
        </w:rPr>
        <w:tab/>
      </w:r>
      <w:r w:rsidRPr="009E0726">
        <w:rPr>
          <w:rtl/>
        </w:rPr>
        <w:tab/>
        <w:t>الملاحظات الختامية بشأن التقرير الدوري الثاني للمغرب</w:t>
      </w:r>
      <w:r w:rsidRPr="009E0726">
        <w:rPr>
          <w:rStyle w:val="FootnoteReference"/>
          <w:sz w:val="26"/>
          <w:szCs w:val="26"/>
          <w:vertAlign w:val="baseline"/>
          <w:rtl/>
          <w:lang w:val="en-US" w:eastAsia="zh-TW"/>
        </w:rPr>
        <w:footnoteReference w:customMarkFollows="1" w:id="1"/>
        <w:t>*</w:t>
      </w:r>
    </w:p>
    <w:p w14:paraId="17EE4057" w14:textId="63A77CDE" w:rsidR="00CD4621" w:rsidRPr="00CD4621" w:rsidRDefault="00CD4621" w:rsidP="00CD4621">
      <w:pPr>
        <w:pStyle w:val="SingleTxtGA"/>
        <w:rPr>
          <w:rFonts w:eastAsiaTheme="minorEastAsia"/>
          <w:lang w:val="ar-SA" w:eastAsia="zh-TW" w:bidi="en-GB"/>
        </w:rPr>
      </w:pPr>
      <w:r w:rsidRPr="009E0726">
        <w:rPr>
          <w:rFonts w:eastAsiaTheme="minorEastAsia"/>
          <w:rtl/>
        </w:rPr>
        <w:t>1</w:t>
      </w:r>
      <w:r w:rsidRPr="00CD4621">
        <w:rPr>
          <w:rFonts w:eastAsiaTheme="minorEastAsia"/>
          <w:rtl/>
        </w:rPr>
        <w:t>-</w:t>
      </w:r>
      <w:r w:rsidRPr="00CD4621">
        <w:rPr>
          <w:rFonts w:eastAsiaTheme="minorEastAsia"/>
          <w:rtl/>
        </w:rPr>
        <w:tab/>
        <w:t>نظرت اللجنة في التقرير الدوري الثاني للمغرب</w:t>
      </w:r>
      <w:r w:rsidRPr="008839E6">
        <w:rPr>
          <w:rStyle w:val="FootnoteReference"/>
          <w:rFonts w:eastAsiaTheme="minorEastAsia"/>
          <w:sz w:val="22"/>
          <w:rtl/>
        </w:rPr>
        <w:t>(</w:t>
      </w:r>
      <w:r w:rsidRPr="009E0726">
        <w:rPr>
          <w:rStyle w:val="FootnoteReference"/>
          <w:rFonts w:eastAsiaTheme="minorEastAsia"/>
          <w:sz w:val="22"/>
          <w:lang w:val="en-US"/>
        </w:rPr>
        <w:footnoteReference w:id="2"/>
      </w:r>
      <w:r w:rsidRPr="008839E6">
        <w:rPr>
          <w:rStyle w:val="FootnoteReference"/>
          <w:rFonts w:eastAsiaTheme="minorEastAsia"/>
          <w:sz w:val="22"/>
          <w:rtl/>
        </w:rPr>
        <w:t>)</w:t>
      </w:r>
      <w:r w:rsidRPr="00CD4621">
        <w:rPr>
          <w:rFonts w:eastAsiaTheme="minorEastAsia"/>
          <w:rtl/>
        </w:rPr>
        <w:t xml:space="preserve"> في جلستيها </w:t>
      </w:r>
      <w:r w:rsidRPr="009E0726">
        <w:rPr>
          <w:rFonts w:eastAsiaTheme="minorEastAsia"/>
          <w:rtl/>
        </w:rPr>
        <w:t>515</w:t>
      </w:r>
      <w:r w:rsidRPr="00CD4621">
        <w:rPr>
          <w:rFonts w:eastAsiaTheme="minorEastAsia"/>
          <w:rtl/>
        </w:rPr>
        <w:t xml:space="preserve"> و</w:t>
      </w:r>
      <w:r w:rsidRPr="009E0726">
        <w:rPr>
          <w:rFonts w:eastAsiaTheme="minorEastAsia"/>
          <w:rtl/>
        </w:rPr>
        <w:t>516</w:t>
      </w:r>
      <w:r w:rsidRPr="008839E6">
        <w:rPr>
          <w:rStyle w:val="FootnoteReference"/>
          <w:rFonts w:eastAsiaTheme="minorEastAsia"/>
          <w:sz w:val="22"/>
          <w:rtl/>
        </w:rPr>
        <w:t>(</w:t>
      </w:r>
      <w:r w:rsidRPr="009E0726">
        <w:rPr>
          <w:rStyle w:val="FootnoteReference"/>
          <w:rFonts w:eastAsiaTheme="minorEastAsia"/>
          <w:sz w:val="22"/>
          <w:lang w:val="en-US"/>
        </w:rPr>
        <w:footnoteReference w:id="3"/>
      </w:r>
      <w:r w:rsidRPr="008839E6">
        <w:rPr>
          <w:rStyle w:val="FootnoteReference"/>
          <w:rFonts w:eastAsiaTheme="minorEastAsia"/>
          <w:sz w:val="22"/>
          <w:rtl/>
        </w:rPr>
        <w:t>)</w:t>
      </w:r>
      <w:r w:rsidRPr="00CD4621">
        <w:rPr>
          <w:rFonts w:eastAsiaTheme="minorEastAsia"/>
          <w:rtl/>
        </w:rPr>
        <w:t xml:space="preserve"> المعقودتين في</w:t>
      </w:r>
      <w:r>
        <w:rPr>
          <w:rFonts w:eastAsiaTheme="minorEastAsia" w:hint="cs"/>
          <w:rtl/>
        </w:rPr>
        <w:t> </w:t>
      </w:r>
      <w:r w:rsidRPr="009E0726">
        <w:rPr>
          <w:rFonts w:eastAsiaTheme="minorEastAsia"/>
          <w:rtl/>
        </w:rPr>
        <w:t>28</w:t>
      </w:r>
      <w:r w:rsidRPr="00CD4621">
        <w:rPr>
          <w:rFonts w:eastAsiaTheme="minorEastAsia"/>
          <w:rtl/>
        </w:rPr>
        <w:t xml:space="preserve"> آذار/مارس </w:t>
      </w:r>
      <w:r w:rsidRPr="009E0726">
        <w:rPr>
          <w:rFonts w:eastAsiaTheme="minorEastAsia"/>
          <w:rtl/>
        </w:rPr>
        <w:t>2023</w:t>
      </w:r>
      <w:r w:rsidRPr="00CD4621">
        <w:rPr>
          <w:rFonts w:eastAsiaTheme="minorEastAsia"/>
          <w:rtl/>
        </w:rPr>
        <w:t xml:space="preserve">. واعتمدت في جلستها </w:t>
      </w:r>
      <w:r w:rsidRPr="009E0726">
        <w:rPr>
          <w:rFonts w:eastAsiaTheme="minorEastAsia"/>
          <w:rtl/>
        </w:rPr>
        <w:t>530</w:t>
      </w:r>
      <w:r w:rsidRPr="00CD4621">
        <w:rPr>
          <w:rFonts w:eastAsiaTheme="minorEastAsia"/>
          <w:rtl/>
        </w:rPr>
        <w:t xml:space="preserve"> المعقودة في </w:t>
      </w:r>
      <w:r w:rsidRPr="009E0726">
        <w:rPr>
          <w:rFonts w:eastAsiaTheme="minorEastAsia"/>
          <w:rtl/>
        </w:rPr>
        <w:t>6</w:t>
      </w:r>
      <w:r w:rsidRPr="00CD4621">
        <w:rPr>
          <w:rFonts w:eastAsiaTheme="minorEastAsia"/>
          <w:rtl/>
        </w:rPr>
        <w:t xml:space="preserve"> نيسان/أبريل </w:t>
      </w:r>
      <w:r w:rsidRPr="009E0726">
        <w:rPr>
          <w:rFonts w:eastAsiaTheme="minorEastAsia"/>
          <w:rtl/>
        </w:rPr>
        <w:t>2023</w:t>
      </w:r>
      <w:r w:rsidRPr="00CD4621">
        <w:rPr>
          <w:rFonts w:eastAsiaTheme="minorEastAsia"/>
          <w:rtl/>
        </w:rPr>
        <w:t xml:space="preserve"> هذه الملاحظات</w:t>
      </w:r>
      <w:r>
        <w:rPr>
          <w:rFonts w:eastAsiaTheme="minorEastAsia" w:hint="cs"/>
          <w:rtl/>
        </w:rPr>
        <w:t> </w:t>
      </w:r>
      <w:r w:rsidRPr="00CD4621">
        <w:rPr>
          <w:rFonts w:eastAsiaTheme="minorEastAsia"/>
          <w:rtl/>
        </w:rPr>
        <w:t>الختامية.</w:t>
      </w:r>
    </w:p>
    <w:p w14:paraId="2A26FFB5" w14:textId="77F64C77" w:rsidR="00CD4621" w:rsidRPr="009E0726" w:rsidRDefault="00CD4621" w:rsidP="00CD4621">
      <w:pPr>
        <w:pStyle w:val="H1GA"/>
        <w:rPr>
          <w:lang w:val="en-US" w:eastAsia="zh-TW" w:bidi="en-GB"/>
        </w:rPr>
      </w:pPr>
      <w:r w:rsidRPr="009E0726">
        <w:rPr>
          <w:rtl/>
        </w:rPr>
        <w:tab/>
        <w:t>ألف-</w:t>
      </w:r>
      <w:r w:rsidRPr="009E0726">
        <w:rPr>
          <w:rtl/>
        </w:rPr>
        <w:tab/>
        <w:t>مقدمة</w:t>
      </w:r>
    </w:p>
    <w:p w14:paraId="352C7BC6" w14:textId="45ECBBB5" w:rsidR="00CD4621" w:rsidRPr="00CD4621" w:rsidRDefault="00CD4621" w:rsidP="00CD4621">
      <w:pPr>
        <w:pStyle w:val="SingleTxtGA"/>
        <w:rPr>
          <w:rFonts w:eastAsiaTheme="minorEastAsia"/>
          <w:lang w:val="ar-SA" w:eastAsia="zh-TW" w:bidi="en-GB"/>
        </w:rPr>
      </w:pPr>
      <w:r w:rsidRPr="009E0726">
        <w:rPr>
          <w:rFonts w:eastAsiaTheme="minorEastAsia"/>
          <w:rtl/>
        </w:rPr>
        <w:t>2</w:t>
      </w:r>
      <w:r w:rsidRPr="00CD4621">
        <w:rPr>
          <w:rFonts w:eastAsiaTheme="minorEastAsia"/>
          <w:rtl/>
        </w:rPr>
        <w:t>-</w:t>
      </w:r>
      <w:r w:rsidRPr="00CD4621">
        <w:rPr>
          <w:rFonts w:eastAsiaTheme="minorEastAsia"/>
          <w:rtl/>
        </w:rPr>
        <w:tab/>
      </w:r>
      <w:r w:rsidR="002F1DD0">
        <w:rPr>
          <w:rFonts w:eastAsiaTheme="minorEastAsia" w:hint="cs"/>
          <w:rtl/>
        </w:rPr>
        <w:t>ت</w:t>
      </w:r>
      <w:r w:rsidRPr="00CD4621">
        <w:rPr>
          <w:rFonts w:eastAsiaTheme="minorEastAsia"/>
          <w:rtl/>
        </w:rPr>
        <w:t>عرب اللجنة عن تقديرها للدولة الطرف على تقديمها تقريرها الدوري الثاني الذي أُعدَّ استجابةً لقائمة المسائل التي وُضعت قبل تقديم التقر</w:t>
      </w:r>
      <w:r w:rsidR="00AF7459">
        <w:rPr>
          <w:rFonts w:eastAsiaTheme="minorEastAsia" w:hint="cs"/>
          <w:rtl/>
        </w:rPr>
        <w:t>ي</w:t>
      </w:r>
      <w:r w:rsidRPr="00CD4621">
        <w:rPr>
          <w:rFonts w:eastAsiaTheme="minorEastAsia"/>
          <w:rtl/>
        </w:rPr>
        <w:t>ر</w:t>
      </w:r>
      <w:r w:rsidRPr="008839E6">
        <w:rPr>
          <w:rStyle w:val="FootnoteReference"/>
          <w:rFonts w:eastAsiaTheme="minorEastAsia"/>
          <w:sz w:val="22"/>
          <w:rtl/>
        </w:rPr>
        <w:t>(</w:t>
      </w:r>
      <w:r w:rsidRPr="009E0726">
        <w:rPr>
          <w:rStyle w:val="FootnoteReference"/>
          <w:rFonts w:eastAsiaTheme="minorEastAsia"/>
          <w:sz w:val="22"/>
          <w:lang w:val="en-US"/>
        </w:rPr>
        <w:footnoteReference w:id="4"/>
      </w:r>
      <w:r w:rsidRPr="008839E6">
        <w:rPr>
          <w:rStyle w:val="FootnoteReference"/>
          <w:rFonts w:eastAsiaTheme="minorEastAsia"/>
          <w:sz w:val="22"/>
          <w:rtl/>
        </w:rPr>
        <w:t>)</w:t>
      </w:r>
      <w:r w:rsidRPr="00CD4621">
        <w:rPr>
          <w:rFonts w:eastAsiaTheme="minorEastAsia"/>
          <w:rtl/>
        </w:rPr>
        <w:t>. وترحب اللجنة أيضاً بالمعلومات التكميلية التي قدمها إليها أثناء الحوار الوفدُ الرفيع المستوى المتعدد القطاعات برئاسة وزير الإدماج الاقتصادي والمقاولة الصغرى والتشغيل والكفاءات، السيد يونس السكوري، والمؤلف من ممثلين عن رئيس الحكومة، ووزارة الداخلية، ووزارة الشؤون الخارجية والتعاون الأفريقي والمغاربة المقيمين بالخارج، ووزارة الإدماج الاقتصادي والمقاولة الصغرى والتشغيل والكفاءات، ووزارة العدل، ووزارة التربية الوطنية والتعليم الأولي والرياضة، ووزارة الصحة والحماية الاجتماعية، ورئاسة النيابة العامة، والمندوبية الوزارية المكلفة بحقوق الإنسان، والمديرية العامة للأمن الوطني، والسفير والممثل الدائم للمغرب لدى مكتب الأمم المتحدة والمنظمات الدولية الأخرى في جنيف، عمر زنيبر، يرافقه أعضاء البعثة الدائمة.</w:t>
      </w:r>
      <w:bookmarkStart w:id="0" w:name="_Hlk131151794"/>
      <w:bookmarkEnd w:id="0"/>
    </w:p>
    <w:p w14:paraId="06953D8A" w14:textId="77777777" w:rsidR="00CD4621" w:rsidRPr="00CD4621" w:rsidRDefault="00CD4621" w:rsidP="00CD4621">
      <w:pPr>
        <w:pStyle w:val="SingleTxtGA"/>
        <w:rPr>
          <w:rFonts w:eastAsiaTheme="minorEastAsia"/>
          <w:lang w:val="ar-SA" w:eastAsia="zh-TW" w:bidi="en-GB"/>
        </w:rPr>
      </w:pPr>
      <w:r w:rsidRPr="009E0726">
        <w:rPr>
          <w:rFonts w:eastAsiaTheme="minorEastAsia"/>
          <w:rtl/>
        </w:rPr>
        <w:t>3</w:t>
      </w:r>
      <w:r w:rsidRPr="00CD4621">
        <w:rPr>
          <w:rFonts w:eastAsiaTheme="minorEastAsia"/>
          <w:rtl/>
        </w:rPr>
        <w:t>-</w:t>
      </w:r>
      <w:r w:rsidRPr="00CD4621">
        <w:rPr>
          <w:rFonts w:eastAsiaTheme="minorEastAsia"/>
          <w:rtl/>
        </w:rPr>
        <w:tab/>
        <w:t>وتعرب اللجنة عن تقديرها للحوار الذي أجرته مع الوفد الرفيع المستوى، وتعرب عن شكرها لممثلي الدولة الطرف على المعلومات التي قدموها وعلى موقفهم البنّاء الذي مكّن من إجراء عملية تحليل وتفكير تشاركية. وتعرب اللجنة أيضاً عن شكرها للدولة الطرف على ردودها وما قدمته من معلومات تكميلية في غضون الأربع وعشرين ساعة التي أعقبت الحوار.</w:t>
      </w:r>
    </w:p>
    <w:p w14:paraId="26668C1C" w14:textId="77777777" w:rsidR="00CD4621" w:rsidRPr="00CD4621" w:rsidRDefault="00CD4621" w:rsidP="00CD4621">
      <w:pPr>
        <w:pStyle w:val="SingleTxtGA"/>
        <w:rPr>
          <w:rFonts w:eastAsiaTheme="minorEastAsia"/>
          <w:lang w:val="ar-SA" w:eastAsia="zh-TW" w:bidi="en-GB"/>
        </w:rPr>
      </w:pPr>
      <w:r w:rsidRPr="009E0726">
        <w:rPr>
          <w:rFonts w:eastAsiaTheme="minorEastAsia"/>
          <w:rtl/>
        </w:rPr>
        <w:t>4</w:t>
      </w:r>
      <w:r w:rsidRPr="00CD4621">
        <w:rPr>
          <w:rFonts w:eastAsiaTheme="minorEastAsia"/>
          <w:rtl/>
        </w:rPr>
        <w:t>-</w:t>
      </w:r>
      <w:r w:rsidRPr="00CD4621">
        <w:rPr>
          <w:rFonts w:eastAsiaTheme="minorEastAsia"/>
          <w:rtl/>
        </w:rPr>
        <w:tab/>
        <w:t>وتدرك اللجنة أن المغرب، بوصفه بلد منشأ للعمال المهاجرين، قد أحرز تقدماً في حماية حقوق رعاياه في الخارج. ومع ذلك، تلاحظ اللجنة أيضاً أن الدولة الطرف، بوصفها بلد منشأ وعبور ومقصد للمهاجرين من أفريقيا جنوب الصحراء الكبرى وبلدان مختلفة، تواجه عدداً من التحديات فيما يتعلق بحماية حقوق العمال المهاجرين وأفراد أسرهم.</w:t>
      </w:r>
    </w:p>
    <w:p w14:paraId="4719D1C2" w14:textId="118A0BE0" w:rsidR="00CD4621" w:rsidRPr="009E0726" w:rsidRDefault="00CD4621" w:rsidP="00CD4621">
      <w:pPr>
        <w:pStyle w:val="H1GA"/>
        <w:rPr>
          <w:lang w:val="ar-SA" w:eastAsia="zh-TW" w:bidi="en-GB"/>
        </w:rPr>
      </w:pPr>
      <w:r w:rsidRPr="009E0726">
        <w:rPr>
          <w:rtl/>
        </w:rPr>
        <w:lastRenderedPageBreak/>
        <w:tab/>
        <w:t>باء-</w:t>
      </w:r>
      <w:r w:rsidRPr="009E0726">
        <w:rPr>
          <w:rtl/>
        </w:rPr>
        <w:tab/>
        <w:t>الجوانب الإيجابية</w:t>
      </w:r>
    </w:p>
    <w:p w14:paraId="4490D32C" w14:textId="77777777" w:rsidR="00CD4621" w:rsidRPr="00CD4621" w:rsidRDefault="00CD4621" w:rsidP="00CD4621">
      <w:pPr>
        <w:pStyle w:val="SingleTxtGA"/>
        <w:rPr>
          <w:rFonts w:eastAsiaTheme="minorEastAsia"/>
          <w:lang w:val="ar-SA" w:eastAsia="zh-TW" w:bidi="en-GB"/>
        </w:rPr>
      </w:pPr>
      <w:r w:rsidRPr="009E0726">
        <w:rPr>
          <w:rFonts w:eastAsiaTheme="minorEastAsia"/>
          <w:rtl/>
        </w:rPr>
        <w:t>5</w:t>
      </w:r>
      <w:r w:rsidRPr="00CD4621">
        <w:rPr>
          <w:rFonts w:eastAsiaTheme="minorEastAsia"/>
          <w:rtl/>
        </w:rPr>
        <w:t>-</w:t>
      </w:r>
      <w:r w:rsidRPr="00CD4621">
        <w:rPr>
          <w:rFonts w:eastAsiaTheme="minorEastAsia"/>
          <w:rtl/>
        </w:rPr>
        <w:tab/>
        <w:t>تحيط اللجنة علماً مع التقدير بتصديق الدولة الطرف على الصكوك الدولية التالية:</w:t>
      </w:r>
    </w:p>
    <w:p w14:paraId="030214B5" w14:textId="2EE1DB1F" w:rsidR="00CD4621" w:rsidRPr="00CD4621" w:rsidRDefault="00CD4621" w:rsidP="00CD4621">
      <w:pPr>
        <w:pStyle w:val="SingleTxtGA"/>
        <w:rPr>
          <w:rFonts w:eastAsiaTheme="minorEastAsia"/>
          <w:lang w:val="ar-SA" w:eastAsia="zh-TW" w:bidi="en-GB"/>
        </w:rPr>
      </w:pPr>
      <w:r>
        <w:rPr>
          <w:rFonts w:eastAsiaTheme="minorEastAsia"/>
          <w:rtl/>
        </w:rPr>
        <w:tab/>
      </w:r>
      <w:r w:rsidRPr="00CD4621">
        <w:rPr>
          <w:rFonts w:eastAsiaTheme="minorEastAsia"/>
          <w:rtl/>
        </w:rPr>
        <w:t>(أ)</w:t>
      </w:r>
      <w:r w:rsidRPr="00CD4621">
        <w:rPr>
          <w:rFonts w:eastAsiaTheme="minorEastAsia"/>
          <w:rtl/>
        </w:rPr>
        <w:tab/>
        <w:t xml:space="preserve">اتفاقية منظمة العمل الدولية بشأن العمال المهاجرين (مراجعة)، </w:t>
      </w:r>
      <w:r w:rsidRPr="009E0726">
        <w:rPr>
          <w:rFonts w:eastAsiaTheme="minorEastAsia"/>
          <w:rtl/>
        </w:rPr>
        <w:t>1949</w:t>
      </w:r>
      <w:r w:rsidRPr="00CD4621">
        <w:rPr>
          <w:rFonts w:eastAsiaTheme="minorEastAsia"/>
          <w:rtl/>
        </w:rPr>
        <w:t xml:space="preserve"> (رقم </w:t>
      </w:r>
      <w:r w:rsidRPr="009E0726">
        <w:rPr>
          <w:rFonts w:eastAsiaTheme="minorEastAsia"/>
          <w:rtl/>
        </w:rPr>
        <w:t>97</w:t>
      </w:r>
      <w:r w:rsidRPr="00CD4621">
        <w:rPr>
          <w:rFonts w:eastAsiaTheme="minorEastAsia"/>
          <w:rtl/>
        </w:rPr>
        <w:t xml:space="preserve">) في حزيران/يونيه </w:t>
      </w:r>
      <w:r w:rsidRPr="009E0726">
        <w:rPr>
          <w:rFonts w:eastAsiaTheme="minorEastAsia"/>
          <w:rtl/>
        </w:rPr>
        <w:t>2019</w:t>
      </w:r>
      <w:r w:rsidRPr="00CD4621">
        <w:rPr>
          <w:rFonts w:eastAsiaTheme="minorEastAsia"/>
          <w:rtl/>
        </w:rPr>
        <w:t>؛</w:t>
      </w:r>
    </w:p>
    <w:p w14:paraId="01E10F71" w14:textId="074582E9" w:rsidR="00CD4621" w:rsidRPr="00CD4621" w:rsidRDefault="00CD4621" w:rsidP="00CD4621">
      <w:pPr>
        <w:pStyle w:val="SingleTxtGA"/>
        <w:rPr>
          <w:rFonts w:eastAsiaTheme="minorEastAsia"/>
          <w:lang w:val="ar-SA" w:eastAsia="zh-TW" w:bidi="en-GB"/>
        </w:rPr>
      </w:pPr>
      <w:r>
        <w:rPr>
          <w:rFonts w:eastAsiaTheme="minorEastAsia"/>
          <w:rtl/>
        </w:rPr>
        <w:tab/>
      </w:r>
      <w:r w:rsidRPr="00CD4621">
        <w:rPr>
          <w:rFonts w:eastAsiaTheme="minorEastAsia"/>
          <w:rtl/>
        </w:rPr>
        <w:t>(ب)</w:t>
      </w:r>
      <w:r w:rsidRPr="00CD4621">
        <w:rPr>
          <w:rFonts w:eastAsiaTheme="minorEastAsia"/>
          <w:rtl/>
        </w:rPr>
        <w:tab/>
        <w:t xml:space="preserve">اتفاقية منظمة العمل الدولية بشأن الضمان الاجتماعي (المعايير الدنيا)، </w:t>
      </w:r>
      <w:r w:rsidRPr="009E0726">
        <w:rPr>
          <w:rFonts w:eastAsiaTheme="minorEastAsia"/>
          <w:rtl/>
        </w:rPr>
        <w:t>1952</w:t>
      </w:r>
      <w:r w:rsidRPr="00CD4621">
        <w:rPr>
          <w:rFonts w:eastAsiaTheme="minorEastAsia"/>
          <w:rtl/>
        </w:rPr>
        <w:t xml:space="preserve"> (رقم</w:t>
      </w:r>
      <w:r>
        <w:rPr>
          <w:rFonts w:eastAsiaTheme="minorEastAsia" w:hint="cs"/>
          <w:rtl/>
        </w:rPr>
        <w:t> </w:t>
      </w:r>
      <w:r w:rsidRPr="009E0726">
        <w:rPr>
          <w:rFonts w:eastAsiaTheme="minorEastAsia"/>
          <w:rtl/>
        </w:rPr>
        <w:t>102</w:t>
      </w:r>
      <w:r w:rsidRPr="00CD4621">
        <w:rPr>
          <w:rFonts w:eastAsiaTheme="minorEastAsia"/>
          <w:rtl/>
        </w:rPr>
        <w:t xml:space="preserve">) في حزيران/يونيه </w:t>
      </w:r>
      <w:r w:rsidRPr="009E0726">
        <w:rPr>
          <w:rFonts w:eastAsiaTheme="minorEastAsia"/>
          <w:rtl/>
        </w:rPr>
        <w:t>2019</w:t>
      </w:r>
      <w:r w:rsidRPr="00CD4621">
        <w:rPr>
          <w:rFonts w:eastAsiaTheme="minorEastAsia"/>
          <w:rtl/>
        </w:rPr>
        <w:t>؛</w:t>
      </w:r>
    </w:p>
    <w:p w14:paraId="44E0B217" w14:textId="02CBAD43" w:rsidR="00CD4621" w:rsidRPr="005739E6" w:rsidRDefault="00CD4621" w:rsidP="00CD4621">
      <w:pPr>
        <w:pStyle w:val="SingleTxtGA"/>
        <w:rPr>
          <w:rFonts w:eastAsiaTheme="minorEastAsia"/>
          <w:lang w:val="en-US" w:eastAsia="zh-TW" w:bidi="en-GB"/>
        </w:rPr>
      </w:pPr>
      <w:r>
        <w:rPr>
          <w:rFonts w:eastAsiaTheme="minorEastAsia"/>
          <w:rtl/>
        </w:rPr>
        <w:tab/>
      </w:r>
      <w:r w:rsidRPr="00CD4621">
        <w:rPr>
          <w:rFonts w:eastAsiaTheme="minorEastAsia"/>
          <w:rtl/>
        </w:rPr>
        <w:t>(ج)</w:t>
      </w:r>
      <w:r w:rsidRPr="00CD4621">
        <w:rPr>
          <w:rFonts w:eastAsiaTheme="minorEastAsia"/>
          <w:rtl/>
        </w:rPr>
        <w:tab/>
        <w:t>اتفاقية منظمة العمل الدولية بشأن الإطار الترويجي للسلامة والصحة المهنيتين،</w:t>
      </w:r>
      <w:r>
        <w:rPr>
          <w:rFonts w:eastAsiaTheme="minorEastAsia" w:hint="cs"/>
          <w:rtl/>
        </w:rPr>
        <w:t> </w:t>
      </w:r>
      <w:r w:rsidRPr="009E0726">
        <w:rPr>
          <w:rFonts w:eastAsiaTheme="minorEastAsia"/>
          <w:rtl/>
        </w:rPr>
        <w:t>2006</w:t>
      </w:r>
      <w:r w:rsidRPr="00CD4621">
        <w:rPr>
          <w:rFonts w:eastAsiaTheme="minorEastAsia"/>
          <w:rtl/>
        </w:rPr>
        <w:t xml:space="preserve"> (رقم </w:t>
      </w:r>
      <w:r w:rsidRPr="009E0726">
        <w:rPr>
          <w:rFonts w:eastAsiaTheme="minorEastAsia"/>
          <w:rtl/>
        </w:rPr>
        <w:t>187</w:t>
      </w:r>
      <w:r w:rsidRPr="00CD4621">
        <w:rPr>
          <w:rFonts w:eastAsiaTheme="minorEastAsia"/>
          <w:rtl/>
        </w:rPr>
        <w:t xml:space="preserve">) في تموز/يوليه </w:t>
      </w:r>
      <w:r w:rsidRPr="009E0726">
        <w:rPr>
          <w:rFonts w:eastAsiaTheme="minorEastAsia"/>
          <w:rtl/>
        </w:rPr>
        <w:t>2019</w:t>
      </w:r>
      <w:r w:rsidR="005739E6">
        <w:rPr>
          <w:rFonts w:eastAsiaTheme="minorEastAsia" w:hint="cs"/>
          <w:rtl/>
        </w:rPr>
        <w:t>.</w:t>
      </w:r>
    </w:p>
    <w:p w14:paraId="2D206B92" w14:textId="7B1D028E" w:rsidR="00CD4621" w:rsidRPr="00CD4621" w:rsidRDefault="00CD4621" w:rsidP="00CD4621">
      <w:pPr>
        <w:pStyle w:val="SingleTxtGA"/>
        <w:rPr>
          <w:rFonts w:eastAsiaTheme="minorEastAsia"/>
          <w:lang w:val="ar-SA" w:eastAsia="zh-TW" w:bidi="en-GB"/>
        </w:rPr>
      </w:pPr>
      <w:r w:rsidRPr="009E0726">
        <w:rPr>
          <w:rFonts w:eastAsiaTheme="minorEastAsia"/>
          <w:rtl/>
        </w:rPr>
        <w:t>6</w:t>
      </w:r>
      <w:r w:rsidRPr="00CD4621">
        <w:rPr>
          <w:rFonts w:eastAsiaTheme="minorEastAsia"/>
          <w:rtl/>
        </w:rPr>
        <w:t>-</w:t>
      </w:r>
      <w:r w:rsidRPr="00CD4621">
        <w:rPr>
          <w:rFonts w:eastAsiaTheme="minorEastAsia"/>
          <w:rtl/>
        </w:rPr>
        <w:tab/>
        <w:t>وترحب اللجنة باعتماد الدولة الطرف القوانين التالية:</w:t>
      </w:r>
    </w:p>
    <w:p w14:paraId="4FCB7CF5" w14:textId="17F2CA30" w:rsidR="00CD4621" w:rsidRPr="00CD4621" w:rsidRDefault="00CD4621" w:rsidP="00CD4621">
      <w:pPr>
        <w:pStyle w:val="SingleTxtGA"/>
        <w:rPr>
          <w:rFonts w:eastAsiaTheme="minorEastAsia"/>
          <w:lang w:val="ar-SA" w:eastAsia="zh-TW" w:bidi="en-GB"/>
        </w:rPr>
      </w:pPr>
      <w:r>
        <w:rPr>
          <w:rFonts w:eastAsiaTheme="minorEastAsia"/>
          <w:rtl/>
        </w:rPr>
        <w:tab/>
      </w:r>
      <w:r w:rsidRPr="00CD4621">
        <w:rPr>
          <w:rFonts w:eastAsiaTheme="minorEastAsia"/>
          <w:rtl/>
        </w:rPr>
        <w:t>(أ)</w:t>
      </w:r>
      <w:r w:rsidRPr="00CD4621">
        <w:rPr>
          <w:rFonts w:eastAsiaTheme="minorEastAsia"/>
          <w:rtl/>
        </w:rPr>
        <w:tab/>
        <w:t xml:space="preserve">القانون الإطار رقم </w:t>
      </w:r>
      <w:r w:rsidR="00F3001F">
        <w:rPr>
          <w:rFonts w:eastAsiaTheme="minorEastAsia" w:hint="cs"/>
          <w:rtl/>
        </w:rPr>
        <w:t>09</w:t>
      </w:r>
      <w:r w:rsidRPr="00CD4621">
        <w:rPr>
          <w:rFonts w:eastAsiaTheme="minorEastAsia"/>
          <w:rtl/>
        </w:rPr>
        <w:t>-</w:t>
      </w:r>
      <w:r w:rsidR="00F3001F">
        <w:rPr>
          <w:rFonts w:eastAsiaTheme="minorEastAsia" w:hint="cs"/>
          <w:rtl/>
        </w:rPr>
        <w:t>21</w:t>
      </w:r>
      <w:r w:rsidRPr="00CD4621">
        <w:rPr>
          <w:rFonts w:eastAsiaTheme="minorEastAsia"/>
          <w:rtl/>
        </w:rPr>
        <w:t xml:space="preserve"> المتعلق بالحماية الاجتماعية، في عام </w:t>
      </w:r>
      <w:r w:rsidRPr="009E0726">
        <w:rPr>
          <w:rFonts w:eastAsiaTheme="minorEastAsia"/>
          <w:rtl/>
        </w:rPr>
        <w:t>2021</w:t>
      </w:r>
      <w:r w:rsidRPr="00CD4621">
        <w:rPr>
          <w:rFonts w:eastAsiaTheme="minorEastAsia"/>
          <w:rtl/>
        </w:rPr>
        <w:t>؛</w:t>
      </w:r>
    </w:p>
    <w:p w14:paraId="4C859054" w14:textId="74B671E4" w:rsidR="00CD4621" w:rsidRPr="00CD4621" w:rsidRDefault="00CD4621" w:rsidP="00CD4621">
      <w:pPr>
        <w:pStyle w:val="SingleTxtGA"/>
        <w:rPr>
          <w:rFonts w:eastAsiaTheme="minorEastAsia"/>
          <w:lang w:val="ar-SA" w:eastAsia="zh-TW" w:bidi="en-GB"/>
        </w:rPr>
      </w:pPr>
      <w:r>
        <w:rPr>
          <w:rFonts w:eastAsiaTheme="minorEastAsia"/>
          <w:rtl/>
        </w:rPr>
        <w:tab/>
      </w:r>
      <w:r w:rsidRPr="00CD4621">
        <w:rPr>
          <w:rFonts w:eastAsiaTheme="minorEastAsia"/>
          <w:rtl/>
        </w:rPr>
        <w:t>(ب)</w:t>
      </w:r>
      <w:r w:rsidRPr="00CD4621">
        <w:rPr>
          <w:rFonts w:eastAsiaTheme="minorEastAsia"/>
          <w:rtl/>
        </w:rPr>
        <w:tab/>
        <w:t xml:space="preserve">المرسوم رقم </w:t>
      </w:r>
      <w:r w:rsidRPr="009E0726">
        <w:rPr>
          <w:rFonts w:eastAsiaTheme="minorEastAsia"/>
          <w:rtl/>
        </w:rPr>
        <w:t>2</w:t>
      </w:r>
      <w:r w:rsidRPr="00CD4621">
        <w:rPr>
          <w:rFonts w:eastAsiaTheme="minorEastAsia"/>
          <w:rtl/>
        </w:rPr>
        <w:t>.</w:t>
      </w:r>
      <w:r w:rsidRPr="009E0726">
        <w:rPr>
          <w:rFonts w:eastAsiaTheme="minorEastAsia"/>
          <w:rtl/>
        </w:rPr>
        <w:t>18</w:t>
      </w:r>
      <w:r w:rsidRPr="00CD4621">
        <w:rPr>
          <w:rFonts w:eastAsiaTheme="minorEastAsia"/>
          <w:rtl/>
        </w:rPr>
        <w:t>.</w:t>
      </w:r>
      <w:r w:rsidRPr="009E0726">
        <w:rPr>
          <w:rFonts w:eastAsiaTheme="minorEastAsia"/>
          <w:rtl/>
        </w:rPr>
        <w:t>686</w:t>
      </w:r>
      <w:r w:rsidRPr="00CD4621">
        <w:rPr>
          <w:rFonts w:eastAsiaTheme="minorEastAsia"/>
          <w:rtl/>
        </w:rPr>
        <w:t xml:space="preserve"> المتعلق بتحديد شروط تطبيق نظام الضمان الاجتماعي عل</w:t>
      </w:r>
      <w:r w:rsidR="005739E6">
        <w:rPr>
          <w:rFonts w:eastAsiaTheme="minorEastAsia" w:hint="cs"/>
          <w:rtl/>
        </w:rPr>
        <w:t>ى</w:t>
      </w:r>
      <w:r w:rsidRPr="00CD4621">
        <w:rPr>
          <w:rFonts w:eastAsiaTheme="minorEastAsia"/>
          <w:rtl/>
        </w:rPr>
        <w:t xml:space="preserve"> العاملات والعمال المنزليين، في عام </w:t>
      </w:r>
      <w:r w:rsidRPr="009E0726">
        <w:rPr>
          <w:rFonts w:eastAsiaTheme="minorEastAsia"/>
          <w:rtl/>
        </w:rPr>
        <w:t>2019</w:t>
      </w:r>
      <w:r w:rsidRPr="00CD4621">
        <w:rPr>
          <w:rFonts w:eastAsiaTheme="minorEastAsia"/>
          <w:rtl/>
        </w:rPr>
        <w:t>؛</w:t>
      </w:r>
    </w:p>
    <w:p w14:paraId="3AFED1BD" w14:textId="154415B3" w:rsidR="00CD4621" w:rsidRPr="00CD4621" w:rsidRDefault="00CD4621" w:rsidP="00CD4621">
      <w:pPr>
        <w:pStyle w:val="SingleTxtGA"/>
        <w:rPr>
          <w:rFonts w:eastAsiaTheme="minorEastAsia"/>
          <w:lang w:val="ar-SA" w:eastAsia="zh-TW" w:bidi="en-GB"/>
        </w:rPr>
      </w:pPr>
      <w:r>
        <w:rPr>
          <w:rFonts w:eastAsiaTheme="minorEastAsia"/>
          <w:rtl/>
        </w:rPr>
        <w:tab/>
      </w:r>
      <w:r w:rsidRPr="00CD4621">
        <w:rPr>
          <w:rFonts w:eastAsiaTheme="minorEastAsia"/>
          <w:rtl/>
        </w:rPr>
        <w:t>(ج)</w:t>
      </w:r>
      <w:r w:rsidRPr="00CD4621">
        <w:rPr>
          <w:rFonts w:eastAsiaTheme="minorEastAsia"/>
          <w:rtl/>
        </w:rPr>
        <w:tab/>
        <w:t>القانون رقم</w:t>
      </w:r>
      <w:r w:rsidR="00CB0C0D">
        <w:rPr>
          <w:rFonts w:eastAsiaTheme="minorEastAsia" w:hint="cs"/>
          <w:rtl/>
        </w:rPr>
        <w:t xml:space="preserve"> </w:t>
      </w:r>
      <w:r w:rsidR="00CB0C0D" w:rsidRPr="009E0726">
        <w:rPr>
          <w:rFonts w:eastAsiaTheme="minorEastAsia" w:hint="cs"/>
          <w:rtl/>
        </w:rPr>
        <w:t>19</w:t>
      </w:r>
      <w:r w:rsidR="00CB0C0D" w:rsidRPr="008839E6">
        <w:rPr>
          <w:rFonts w:eastAsiaTheme="minorEastAsia" w:hint="cs"/>
          <w:rtl/>
        </w:rPr>
        <w:t>-</w:t>
      </w:r>
      <w:r w:rsidR="00CB0C0D" w:rsidRPr="009E0726">
        <w:rPr>
          <w:rFonts w:eastAsiaTheme="minorEastAsia" w:hint="cs"/>
          <w:rtl/>
        </w:rPr>
        <w:t>12</w:t>
      </w:r>
      <w:r w:rsidRPr="00CD4621">
        <w:rPr>
          <w:rFonts w:eastAsiaTheme="minorEastAsia"/>
          <w:rtl/>
        </w:rPr>
        <w:t xml:space="preserve"> بتحديد شروط الشغل والتشغيل المتعلقة بالعاملات والعمال المنزليين، في عام </w:t>
      </w:r>
      <w:r w:rsidRPr="009E0726">
        <w:rPr>
          <w:rFonts w:eastAsiaTheme="minorEastAsia"/>
          <w:rtl/>
        </w:rPr>
        <w:t>2016</w:t>
      </w:r>
      <w:r w:rsidRPr="00CD4621">
        <w:rPr>
          <w:rFonts w:eastAsiaTheme="minorEastAsia"/>
          <w:rtl/>
        </w:rPr>
        <w:t>، ونصوصه التنفيذية؛</w:t>
      </w:r>
    </w:p>
    <w:p w14:paraId="5CC116BA" w14:textId="465B89C6" w:rsidR="00CD4621" w:rsidRPr="00CD4621" w:rsidRDefault="00CD4621" w:rsidP="00CD4621">
      <w:pPr>
        <w:pStyle w:val="SingleTxtGA"/>
        <w:rPr>
          <w:rFonts w:eastAsiaTheme="minorEastAsia"/>
          <w:lang w:val="ar-SA" w:eastAsia="zh-TW" w:bidi="en-GB"/>
        </w:rPr>
      </w:pPr>
      <w:r>
        <w:rPr>
          <w:rFonts w:eastAsiaTheme="minorEastAsia"/>
          <w:rtl/>
        </w:rPr>
        <w:tab/>
      </w:r>
      <w:r w:rsidRPr="00CD4621">
        <w:rPr>
          <w:rFonts w:eastAsiaTheme="minorEastAsia"/>
          <w:rtl/>
        </w:rPr>
        <w:t>(د)</w:t>
      </w:r>
      <w:r w:rsidRPr="00CD4621">
        <w:rPr>
          <w:rFonts w:eastAsiaTheme="minorEastAsia"/>
          <w:rtl/>
        </w:rPr>
        <w:tab/>
        <w:t>القانون رقم</w:t>
      </w:r>
      <w:r w:rsidR="00CB0C0D">
        <w:rPr>
          <w:rFonts w:eastAsiaTheme="minorEastAsia" w:hint="cs"/>
          <w:rtl/>
        </w:rPr>
        <w:t xml:space="preserve"> </w:t>
      </w:r>
      <w:r w:rsidR="00CB0C0D" w:rsidRPr="009E0726">
        <w:rPr>
          <w:rFonts w:eastAsiaTheme="minorEastAsia" w:hint="cs"/>
          <w:rtl/>
        </w:rPr>
        <w:t>27</w:t>
      </w:r>
      <w:r w:rsidR="00CB0C0D" w:rsidRPr="008839E6">
        <w:rPr>
          <w:rFonts w:eastAsiaTheme="minorEastAsia" w:hint="cs"/>
          <w:rtl/>
        </w:rPr>
        <w:t>-</w:t>
      </w:r>
      <w:r w:rsidR="00CB0C0D" w:rsidRPr="009E0726">
        <w:rPr>
          <w:rFonts w:eastAsiaTheme="minorEastAsia" w:hint="cs"/>
          <w:rtl/>
        </w:rPr>
        <w:t>14</w:t>
      </w:r>
      <w:r w:rsidRPr="00CD4621">
        <w:rPr>
          <w:rFonts w:eastAsiaTheme="minorEastAsia"/>
          <w:rtl/>
        </w:rPr>
        <w:t xml:space="preserve"> المتعلق بمكافحة الاتجار بالبشر، في عام </w:t>
      </w:r>
      <w:r w:rsidRPr="009E0726">
        <w:rPr>
          <w:rFonts w:eastAsiaTheme="minorEastAsia"/>
          <w:rtl/>
        </w:rPr>
        <w:t>2016</w:t>
      </w:r>
      <w:r w:rsidRPr="00CD4621">
        <w:rPr>
          <w:rFonts w:eastAsiaTheme="minorEastAsia"/>
          <w:rtl/>
        </w:rPr>
        <w:t>؛</w:t>
      </w:r>
    </w:p>
    <w:p w14:paraId="54AA63FB" w14:textId="052B87EC" w:rsidR="00CD4621" w:rsidRPr="00CD4621" w:rsidRDefault="00CD4621" w:rsidP="00CD4621">
      <w:pPr>
        <w:pStyle w:val="SingleTxtGA"/>
        <w:rPr>
          <w:rFonts w:eastAsiaTheme="minorEastAsia"/>
          <w:lang w:val="ar-SA" w:eastAsia="zh-TW" w:bidi="en-GB"/>
        </w:rPr>
      </w:pPr>
      <w:r>
        <w:rPr>
          <w:rFonts w:eastAsiaTheme="minorEastAsia"/>
          <w:rtl/>
        </w:rPr>
        <w:tab/>
      </w:r>
      <w:r w:rsidRPr="00CD4621">
        <w:rPr>
          <w:rFonts w:eastAsiaTheme="minorEastAsia"/>
          <w:rtl/>
        </w:rPr>
        <w:t>(هـ)</w:t>
      </w:r>
      <w:r w:rsidRPr="00CD4621">
        <w:rPr>
          <w:rFonts w:eastAsiaTheme="minorEastAsia"/>
          <w:rtl/>
        </w:rPr>
        <w:tab/>
        <w:t>القانون الإطار رقم</w:t>
      </w:r>
      <w:r w:rsidR="00CB0C0D">
        <w:rPr>
          <w:rFonts w:eastAsiaTheme="minorEastAsia" w:hint="cs"/>
          <w:rtl/>
        </w:rPr>
        <w:t xml:space="preserve"> </w:t>
      </w:r>
      <w:r w:rsidR="00CB0C0D" w:rsidRPr="009E0726">
        <w:rPr>
          <w:rFonts w:eastAsiaTheme="minorEastAsia" w:hint="cs"/>
          <w:rtl/>
        </w:rPr>
        <w:t>51</w:t>
      </w:r>
      <w:r w:rsidR="00CB0C0D" w:rsidRPr="008839E6">
        <w:rPr>
          <w:rFonts w:eastAsiaTheme="minorEastAsia" w:hint="cs"/>
          <w:rtl/>
        </w:rPr>
        <w:t>-</w:t>
      </w:r>
      <w:r w:rsidR="00CB0C0D" w:rsidRPr="009E0726">
        <w:rPr>
          <w:rFonts w:eastAsiaTheme="minorEastAsia" w:hint="cs"/>
          <w:rtl/>
        </w:rPr>
        <w:t>17</w:t>
      </w:r>
      <w:r w:rsidR="00CB0C0D">
        <w:rPr>
          <w:rFonts w:eastAsiaTheme="minorEastAsia" w:hint="cs"/>
          <w:rtl/>
        </w:rPr>
        <w:t xml:space="preserve"> </w:t>
      </w:r>
      <w:r w:rsidRPr="00CD4621">
        <w:rPr>
          <w:rFonts w:eastAsiaTheme="minorEastAsia"/>
          <w:rtl/>
        </w:rPr>
        <w:t>المتعلق بمنظومة التربية والتكوين والبحث العلمي، في</w:t>
      </w:r>
      <w:r>
        <w:rPr>
          <w:rFonts w:eastAsiaTheme="minorEastAsia" w:hint="cs"/>
          <w:rtl/>
        </w:rPr>
        <w:t> </w:t>
      </w:r>
      <w:r w:rsidRPr="00CD4621">
        <w:rPr>
          <w:rFonts w:eastAsiaTheme="minorEastAsia"/>
          <w:rtl/>
        </w:rPr>
        <w:t xml:space="preserve">عام </w:t>
      </w:r>
      <w:r w:rsidRPr="009E0726">
        <w:rPr>
          <w:rFonts w:eastAsiaTheme="minorEastAsia"/>
          <w:rtl/>
        </w:rPr>
        <w:t>2019</w:t>
      </w:r>
      <w:r w:rsidRPr="00CD4621">
        <w:rPr>
          <w:rFonts w:eastAsiaTheme="minorEastAsia"/>
          <w:rtl/>
        </w:rPr>
        <w:t>.</w:t>
      </w:r>
    </w:p>
    <w:p w14:paraId="4F97C46B" w14:textId="27CA84BA" w:rsidR="00CD4621" w:rsidRPr="00CD4621" w:rsidRDefault="00CD4621" w:rsidP="00CD4621">
      <w:pPr>
        <w:pStyle w:val="SingleTxtGA"/>
        <w:rPr>
          <w:rFonts w:eastAsiaTheme="minorEastAsia"/>
          <w:lang w:val="ar-SA" w:eastAsia="zh-TW" w:bidi="en-GB"/>
        </w:rPr>
      </w:pPr>
      <w:r w:rsidRPr="009E0726">
        <w:rPr>
          <w:rFonts w:eastAsiaTheme="minorEastAsia"/>
          <w:rtl/>
        </w:rPr>
        <w:t>7</w:t>
      </w:r>
      <w:r w:rsidRPr="00CD4621">
        <w:rPr>
          <w:rFonts w:eastAsiaTheme="minorEastAsia"/>
          <w:rtl/>
        </w:rPr>
        <w:t>-</w:t>
      </w:r>
      <w:r w:rsidRPr="00CD4621">
        <w:rPr>
          <w:rFonts w:eastAsiaTheme="minorEastAsia"/>
          <w:rtl/>
        </w:rPr>
        <w:tab/>
        <w:t>وتحيط اللجنة علماً بارتياح بالتدابير المؤسسية والسياساتية التالية</w:t>
      </w:r>
      <w:r w:rsidRPr="00CD4621">
        <w:rPr>
          <w:rFonts w:eastAsiaTheme="minorEastAsia"/>
        </w:rPr>
        <w:t>:</w:t>
      </w:r>
      <w:r w:rsidRPr="00CD4621">
        <w:rPr>
          <w:rFonts w:eastAsiaTheme="minorEastAsia"/>
          <w:rtl/>
        </w:rPr>
        <w:t xml:space="preserve"> </w:t>
      </w:r>
    </w:p>
    <w:p w14:paraId="0C57239A" w14:textId="5BAB7C59" w:rsidR="00CD4621" w:rsidRPr="00CD4621" w:rsidRDefault="00CD4621" w:rsidP="00CD4621">
      <w:pPr>
        <w:pStyle w:val="SingleTxtGA"/>
        <w:rPr>
          <w:rFonts w:eastAsiaTheme="minorEastAsia"/>
          <w:lang w:val="ar-SA" w:eastAsia="zh-TW" w:bidi="en-GB"/>
        </w:rPr>
      </w:pPr>
      <w:r>
        <w:rPr>
          <w:rFonts w:eastAsiaTheme="minorEastAsia"/>
          <w:rtl/>
        </w:rPr>
        <w:tab/>
      </w:r>
      <w:r w:rsidRPr="00CD4621">
        <w:rPr>
          <w:rFonts w:eastAsiaTheme="minorEastAsia"/>
          <w:rtl/>
        </w:rPr>
        <w:t>(أ)</w:t>
      </w:r>
      <w:r w:rsidRPr="00CD4621">
        <w:rPr>
          <w:rFonts w:eastAsiaTheme="minorEastAsia"/>
          <w:rtl/>
        </w:rPr>
        <w:tab/>
        <w:t xml:space="preserve">اعتماد الخطة الوطنية لمكافحة الاتجار بالبشر والوقاية منه للفترة </w:t>
      </w:r>
      <w:r w:rsidRPr="009E0726">
        <w:rPr>
          <w:rFonts w:eastAsiaTheme="minorEastAsia"/>
          <w:rtl/>
        </w:rPr>
        <w:t>2023</w:t>
      </w:r>
      <w:r w:rsidRPr="00CD4621">
        <w:rPr>
          <w:rFonts w:eastAsiaTheme="minorEastAsia"/>
          <w:rtl/>
        </w:rPr>
        <w:t>-</w:t>
      </w:r>
      <w:r w:rsidRPr="009E0726">
        <w:rPr>
          <w:rFonts w:eastAsiaTheme="minorEastAsia"/>
          <w:rtl/>
        </w:rPr>
        <w:t>2030</w:t>
      </w:r>
      <w:r w:rsidRPr="00CD4621">
        <w:rPr>
          <w:rFonts w:eastAsiaTheme="minorEastAsia"/>
          <w:rtl/>
        </w:rPr>
        <w:t xml:space="preserve">، وآلية الإحالة الوطنية لضحايا الاتجار بالبشر، في عام </w:t>
      </w:r>
      <w:r w:rsidRPr="009E0726">
        <w:rPr>
          <w:rFonts w:eastAsiaTheme="minorEastAsia"/>
          <w:rtl/>
        </w:rPr>
        <w:t>2023</w:t>
      </w:r>
      <w:r w:rsidRPr="00CD4621">
        <w:rPr>
          <w:rFonts w:eastAsiaTheme="minorEastAsia"/>
          <w:rtl/>
        </w:rPr>
        <w:t>؛</w:t>
      </w:r>
    </w:p>
    <w:p w14:paraId="05FD7F8D" w14:textId="3CF34504" w:rsidR="00CD4621" w:rsidRPr="00CD4621" w:rsidRDefault="00CD4621" w:rsidP="00CD4621">
      <w:pPr>
        <w:pStyle w:val="SingleTxtGA"/>
        <w:rPr>
          <w:rFonts w:eastAsiaTheme="minorEastAsia"/>
          <w:lang w:val="ar-SA" w:eastAsia="zh-TW" w:bidi="en-GB"/>
        </w:rPr>
      </w:pPr>
      <w:r>
        <w:rPr>
          <w:rFonts w:eastAsiaTheme="minorEastAsia"/>
          <w:rtl/>
        </w:rPr>
        <w:tab/>
      </w:r>
      <w:r w:rsidRPr="00CD4621">
        <w:rPr>
          <w:rFonts w:eastAsiaTheme="minorEastAsia"/>
          <w:rtl/>
        </w:rPr>
        <w:t>(ب)</w:t>
      </w:r>
      <w:r w:rsidRPr="00CD4621">
        <w:rPr>
          <w:rFonts w:eastAsiaTheme="minorEastAsia"/>
          <w:rtl/>
        </w:rPr>
        <w:tab/>
        <w:t xml:space="preserve">اعتماد الخطة الاستراتيجية الوطنية للصحة والهجرة </w:t>
      </w:r>
      <w:r w:rsidRPr="009E0726">
        <w:rPr>
          <w:rFonts w:eastAsiaTheme="minorEastAsia"/>
          <w:rtl/>
        </w:rPr>
        <w:t>2021</w:t>
      </w:r>
      <w:r w:rsidRPr="00CD4621">
        <w:rPr>
          <w:rFonts w:eastAsiaTheme="minorEastAsia"/>
          <w:rtl/>
        </w:rPr>
        <w:t>-</w:t>
      </w:r>
      <w:r w:rsidRPr="009E0726">
        <w:rPr>
          <w:rFonts w:eastAsiaTheme="minorEastAsia"/>
          <w:rtl/>
        </w:rPr>
        <w:t>2025</w:t>
      </w:r>
      <w:r w:rsidRPr="00CD4621">
        <w:rPr>
          <w:rFonts w:eastAsiaTheme="minorEastAsia"/>
          <w:rtl/>
        </w:rPr>
        <w:t>؛</w:t>
      </w:r>
    </w:p>
    <w:p w14:paraId="6912E4F7" w14:textId="5CCE50A0" w:rsidR="00CD4621" w:rsidRPr="00CD4621" w:rsidRDefault="00CD4621" w:rsidP="00CD4621">
      <w:pPr>
        <w:pStyle w:val="SingleTxtGA"/>
        <w:rPr>
          <w:rFonts w:eastAsiaTheme="minorEastAsia"/>
          <w:lang w:val="ar-SA" w:eastAsia="zh-TW" w:bidi="en-GB"/>
        </w:rPr>
      </w:pPr>
      <w:r>
        <w:rPr>
          <w:rFonts w:eastAsiaTheme="minorEastAsia"/>
          <w:rtl/>
        </w:rPr>
        <w:tab/>
      </w:r>
      <w:r w:rsidRPr="00CD4621">
        <w:rPr>
          <w:rFonts w:eastAsiaTheme="minorEastAsia"/>
          <w:rtl/>
        </w:rPr>
        <w:t>(ج)</w:t>
      </w:r>
      <w:r w:rsidRPr="00CD4621">
        <w:rPr>
          <w:rFonts w:eastAsiaTheme="minorEastAsia"/>
          <w:rtl/>
        </w:rPr>
        <w:tab/>
        <w:t xml:space="preserve">اعتماد الاستراتيجية الوطنية للهجرة واللجوء، في عام </w:t>
      </w:r>
      <w:r w:rsidRPr="009E0726">
        <w:rPr>
          <w:rFonts w:eastAsiaTheme="minorEastAsia"/>
          <w:rtl/>
        </w:rPr>
        <w:t>2014</w:t>
      </w:r>
      <w:r w:rsidRPr="00CD4621">
        <w:rPr>
          <w:rFonts w:eastAsiaTheme="minorEastAsia"/>
          <w:rtl/>
        </w:rPr>
        <w:t>؛</w:t>
      </w:r>
    </w:p>
    <w:p w14:paraId="14E6C009" w14:textId="71F7F259" w:rsidR="00CD4621" w:rsidRPr="00CD4621" w:rsidRDefault="00CD4621" w:rsidP="00CD4621">
      <w:pPr>
        <w:pStyle w:val="SingleTxtGA"/>
        <w:rPr>
          <w:rFonts w:eastAsiaTheme="minorEastAsia"/>
          <w:lang w:val="ar-SA" w:eastAsia="zh-TW" w:bidi="en-GB"/>
        </w:rPr>
      </w:pPr>
      <w:r>
        <w:rPr>
          <w:rFonts w:eastAsiaTheme="minorEastAsia"/>
          <w:rtl/>
        </w:rPr>
        <w:tab/>
      </w:r>
      <w:r w:rsidRPr="00CD4621">
        <w:rPr>
          <w:rFonts w:eastAsiaTheme="minorEastAsia"/>
          <w:rtl/>
        </w:rPr>
        <w:t>(د)</w:t>
      </w:r>
      <w:r w:rsidRPr="00CD4621">
        <w:rPr>
          <w:rFonts w:eastAsiaTheme="minorEastAsia"/>
          <w:rtl/>
        </w:rPr>
        <w:tab/>
        <w:t xml:space="preserve">إنشاء المرصد الأفريقي للهجرة الذي فتح أبوابه في الرباط في عام </w:t>
      </w:r>
      <w:r w:rsidRPr="009E0726">
        <w:rPr>
          <w:rFonts w:eastAsiaTheme="minorEastAsia"/>
          <w:rtl/>
        </w:rPr>
        <w:t>2020</w:t>
      </w:r>
      <w:r w:rsidRPr="00CD4621">
        <w:rPr>
          <w:rFonts w:eastAsiaTheme="minorEastAsia"/>
          <w:rtl/>
        </w:rPr>
        <w:t>؛</w:t>
      </w:r>
    </w:p>
    <w:p w14:paraId="7361C6C0" w14:textId="5ECCB7F2" w:rsidR="00CD4621" w:rsidRPr="00CD4621" w:rsidRDefault="00CD4621" w:rsidP="00CD4621">
      <w:pPr>
        <w:pStyle w:val="SingleTxtGA"/>
        <w:rPr>
          <w:rFonts w:eastAsiaTheme="minorEastAsia"/>
          <w:lang w:val="ar-SA" w:eastAsia="zh-TW" w:bidi="en-GB"/>
        </w:rPr>
      </w:pPr>
      <w:r>
        <w:rPr>
          <w:rFonts w:eastAsiaTheme="minorEastAsia"/>
          <w:rtl/>
        </w:rPr>
        <w:tab/>
      </w:r>
      <w:r w:rsidRPr="00CD4621">
        <w:rPr>
          <w:rFonts w:eastAsiaTheme="minorEastAsia"/>
          <w:rtl/>
        </w:rPr>
        <w:t>(هـ)</w:t>
      </w:r>
      <w:r w:rsidRPr="00CD4621">
        <w:rPr>
          <w:rFonts w:eastAsiaTheme="minorEastAsia"/>
          <w:rtl/>
        </w:rPr>
        <w:tab/>
        <w:t xml:space="preserve">إطلاق عملية استثنائية في عامي </w:t>
      </w:r>
      <w:r w:rsidRPr="009E0726">
        <w:rPr>
          <w:rFonts w:eastAsiaTheme="minorEastAsia"/>
          <w:rtl/>
        </w:rPr>
        <w:t>2014</w:t>
      </w:r>
      <w:r w:rsidRPr="00CD4621">
        <w:rPr>
          <w:rFonts w:eastAsiaTheme="minorEastAsia"/>
          <w:rtl/>
        </w:rPr>
        <w:t xml:space="preserve"> و</w:t>
      </w:r>
      <w:r w:rsidRPr="009E0726">
        <w:rPr>
          <w:rFonts w:eastAsiaTheme="minorEastAsia"/>
          <w:rtl/>
        </w:rPr>
        <w:t>2017</w:t>
      </w:r>
      <w:r w:rsidRPr="00CD4621">
        <w:rPr>
          <w:rFonts w:eastAsiaTheme="minorEastAsia"/>
          <w:rtl/>
        </w:rPr>
        <w:t xml:space="preserve"> لتسوية أوضاع المهاجرين المقيمين بصفة غير نظامية في الدولة الطرف، مكنت ما يقرب من </w:t>
      </w:r>
      <w:r w:rsidRPr="009E0726">
        <w:rPr>
          <w:rFonts w:eastAsiaTheme="minorEastAsia"/>
          <w:rtl/>
        </w:rPr>
        <w:t>000</w:t>
      </w:r>
      <w:r w:rsidRPr="00CD4621">
        <w:rPr>
          <w:rFonts w:eastAsiaTheme="minorEastAsia"/>
          <w:rtl/>
        </w:rPr>
        <w:t xml:space="preserve"> </w:t>
      </w:r>
      <w:r w:rsidR="00CB0C0D" w:rsidRPr="009E0726">
        <w:rPr>
          <w:rFonts w:eastAsiaTheme="minorEastAsia"/>
          <w:rtl/>
        </w:rPr>
        <w:t>50</w:t>
      </w:r>
      <w:r w:rsidR="00CB0C0D">
        <w:rPr>
          <w:rFonts w:eastAsiaTheme="minorEastAsia" w:hint="cs"/>
          <w:rtl/>
        </w:rPr>
        <w:t xml:space="preserve"> </w:t>
      </w:r>
      <w:r w:rsidRPr="00CD4621">
        <w:rPr>
          <w:rFonts w:eastAsiaTheme="minorEastAsia"/>
          <w:rtl/>
        </w:rPr>
        <w:t>منهم من الحصول على تصريح إقامة صالح لمدة ثلاث سنوات وقابل للتجديد.</w:t>
      </w:r>
    </w:p>
    <w:p w14:paraId="26AA15A2" w14:textId="4A228142" w:rsidR="00CD4621" w:rsidRPr="00CD4621" w:rsidRDefault="00CD4621" w:rsidP="00CD4621">
      <w:pPr>
        <w:pStyle w:val="SingleTxtGA"/>
        <w:rPr>
          <w:rFonts w:eastAsiaTheme="minorEastAsia"/>
          <w:lang w:val="ar-SA" w:eastAsia="zh-TW" w:bidi="en-GB"/>
        </w:rPr>
      </w:pPr>
      <w:r w:rsidRPr="009E0726">
        <w:rPr>
          <w:rFonts w:eastAsiaTheme="minorEastAsia"/>
          <w:rtl/>
        </w:rPr>
        <w:t>8</w:t>
      </w:r>
      <w:r w:rsidRPr="00CD4621">
        <w:rPr>
          <w:rFonts w:eastAsiaTheme="minorEastAsia"/>
          <w:rtl/>
        </w:rPr>
        <w:t>-</w:t>
      </w:r>
      <w:r w:rsidRPr="00CD4621">
        <w:rPr>
          <w:rFonts w:eastAsiaTheme="minorEastAsia"/>
          <w:rtl/>
        </w:rPr>
        <w:tab/>
        <w:t xml:space="preserve">وتقر اللجنة بالتزام الدولة الطرف بعمليات التعاون والحوار الإقليمية الرامية إلى معالجة تدفقات المهاجرين في القارة الأفريقية، كما يتضح من أدائها دور "رائد الاتحاد الأفريقي للهجرة" الذي اعترف به رؤساء الدول والحكومات في القمة الثامنة والعشرين للاتحاد الأفريقي المعقودة في أديس أبابا يومي </w:t>
      </w:r>
      <w:r w:rsidRPr="009E0726">
        <w:rPr>
          <w:rFonts w:eastAsiaTheme="minorEastAsia"/>
          <w:rtl/>
        </w:rPr>
        <w:t>30</w:t>
      </w:r>
      <w:r w:rsidRPr="00CD4621">
        <w:rPr>
          <w:rFonts w:eastAsiaTheme="minorEastAsia"/>
          <w:rtl/>
        </w:rPr>
        <w:t xml:space="preserve"> و</w:t>
      </w:r>
      <w:r w:rsidRPr="009E0726">
        <w:rPr>
          <w:rFonts w:eastAsiaTheme="minorEastAsia"/>
          <w:rtl/>
        </w:rPr>
        <w:t>31</w:t>
      </w:r>
      <w:r w:rsidRPr="00CD4621">
        <w:rPr>
          <w:rFonts w:eastAsiaTheme="minorEastAsia"/>
          <w:rtl/>
        </w:rPr>
        <w:t xml:space="preserve"> كانون الثاني/يناير </w:t>
      </w:r>
      <w:r w:rsidRPr="009E0726">
        <w:rPr>
          <w:rFonts w:eastAsiaTheme="minorEastAsia"/>
          <w:rtl/>
        </w:rPr>
        <w:t>2017</w:t>
      </w:r>
      <w:r w:rsidRPr="00CD4621">
        <w:rPr>
          <w:rFonts w:eastAsiaTheme="minorEastAsia"/>
          <w:rtl/>
        </w:rPr>
        <w:t>.</w:t>
      </w:r>
    </w:p>
    <w:p w14:paraId="29473ABD" w14:textId="6AC860CD" w:rsidR="00CD4621" w:rsidRPr="00CD4621" w:rsidRDefault="00CD4621" w:rsidP="00CD4621">
      <w:pPr>
        <w:pStyle w:val="SingleTxtGA"/>
        <w:rPr>
          <w:rFonts w:eastAsiaTheme="minorEastAsia"/>
          <w:lang w:val="ar-SA" w:eastAsia="zh-TW" w:bidi="en-GB"/>
        </w:rPr>
      </w:pPr>
      <w:r w:rsidRPr="009E0726">
        <w:rPr>
          <w:rFonts w:eastAsiaTheme="minorEastAsia"/>
          <w:rtl/>
        </w:rPr>
        <w:t>9</w:t>
      </w:r>
      <w:r w:rsidRPr="00CD4621">
        <w:rPr>
          <w:rFonts w:eastAsiaTheme="minorEastAsia"/>
          <w:rtl/>
        </w:rPr>
        <w:t>-</w:t>
      </w:r>
      <w:r w:rsidRPr="00CD4621">
        <w:rPr>
          <w:rFonts w:eastAsiaTheme="minorEastAsia"/>
          <w:rtl/>
        </w:rPr>
        <w:tab/>
        <w:t xml:space="preserve">وتنظر اللجنة بارتياح إلى الدور الرئيسي للدولة الطرف في اعتماد الاتفاق العالمي من أجل الهجرة الآمنة والمنظمة والنظامية في مراكش، وهو اتفاق أقرته الجمعية العامة في </w:t>
      </w:r>
      <w:r w:rsidRPr="009E0726">
        <w:rPr>
          <w:rFonts w:eastAsiaTheme="minorEastAsia"/>
          <w:rtl/>
        </w:rPr>
        <w:t>19</w:t>
      </w:r>
      <w:r w:rsidRPr="00CD4621">
        <w:rPr>
          <w:rFonts w:eastAsiaTheme="minorEastAsia"/>
          <w:rtl/>
        </w:rPr>
        <w:t xml:space="preserve"> كانون الأول/ديسمبر </w:t>
      </w:r>
      <w:r w:rsidRPr="009E0726">
        <w:rPr>
          <w:rFonts w:eastAsiaTheme="minorEastAsia"/>
          <w:rtl/>
        </w:rPr>
        <w:t>2018</w:t>
      </w:r>
      <w:r w:rsidRPr="00CD4621">
        <w:rPr>
          <w:rFonts w:eastAsiaTheme="minorEastAsia"/>
          <w:rtl/>
        </w:rPr>
        <w:t xml:space="preserve"> في قرارها </w:t>
      </w:r>
      <w:hyperlink r:id="rId9" w:history="1">
        <w:r w:rsidRPr="009E0726">
          <w:rPr>
            <w:rStyle w:val="Hyperlink"/>
            <w:rFonts w:eastAsiaTheme="minorEastAsia"/>
            <w:rtl/>
          </w:rPr>
          <w:t>73</w:t>
        </w:r>
        <w:r w:rsidRPr="00F3001F">
          <w:rPr>
            <w:rStyle w:val="Hyperlink"/>
            <w:rFonts w:eastAsiaTheme="minorEastAsia"/>
            <w:rtl/>
          </w:rPr>
          <w:t>/</w:t>
        </w:r>
        <w:r w:rsidRPr="009E0726">
          <w:rPr>
            <w:rStyle w:val="Hyperlink"/>
            <w:rFonts w:eastAsiaTheme="minorEastAsia"/>
            <w:rtl/>
          </w:rPr>
          <w:t>195</w:t>
        </w:r>
      </w:hyperlink>
      <w:r w:rsidRPr="00CD4621">
        <w:rPr>
          <w:rFonts w:eastAsiaTheme="minorEastAsia"/>
          <w:rtl/>
        </w:rPr>
        <w:t xml:space="preserve">. وترحب اللجنة أيضاً بالمشاركة النشطة للدولة الطرف في </w:t>
      </w:r>
      <w:r w:rsidRPr="00CD4621">
        <w:rPr>
          <w:rFonts w:eastAsiaTheme="minorEastAsia"/>
          <w:rtl/>
        </w:rPr>
        <w:lastRenderedPageBreak/>
        <w:t xml:space="preserve">الاستعراض الإقليمي الأفريقي لتنفيذ الاتفاق، في </w:t>
      </w:r>
      <w:r w:rsidRPr="009E0726">
        <w:rPr>
          <w:rFonts w:eastAsiaTheme="minorEastAsia"/>
          <w:rtl/>
        </w:rPr>
        <w:t>31</w:t>
      </w:r>
      <w:r w:rsidRPr="00CD4621">
        <w:rPr>
          <w:rFonts w:eastAsiaTheme="minorEastAsia"/>
          <w:rtl/>
        </w:rPr>
        <w:t xml:space="preserve"> آب/أغسطس و</w:t>
      </w:r>
      <w:r w:rsidRPr="009E0726">
        <w:rPr>
          <w:rFonts w:eastAsiaTheme="minorEastAsia"/>
          <w:rtl/>
        </w:rPr>
        <w:t>1</w:t>
      </w:r>
      <w:r w:rsidRPr="00CD4621">
        <w:rPr>
          <w:rFonts w:eastAsiaTheme="minorEastAsia"/>
          <w:rtl/>
        </w:rPr>
        <w:t xml:space="preserve"> أيلول/سبتمبر </w:t>
      </w:r>
      <w:r w:rsidRPr="009E0726">
        <w:rPr>
          <w:rFonts w:eastAsiaTheme="minorEastAsia"/>
          <w:rtl/>
        </w:rPr>
        <w:t>2021</w:t>
      </w:r>
      <w:r w:rsidRPr="00CD4621">
        <w:rPr>
          <w:rFonts w:eastAsiaTheme="minorEastAsia"/>
          <w:rtl/>
        </w:rPr>
        <w:t>، بما في ذلك من خلال تقديم مساهمات طوعية إلى الاستعراض.</w:t>
      </w:r>
    </w:p>
    <w:p w14:paraId="2CA522DA" w14:textId="6BEB4CEE" w:rsidR="00CD4621" w:rsidRPr="009E0726" w:rsidRDefault="00CD4621" w:rsidP="00CD4621">
      <w:pPr>
        <w:pStyle w:val="H1GA"/>
        <w:rPr>
          <w:lang w:val="en-US" w:eastAsia="zh-TW" w:bidi="en-GB"/>
        </w:rPr>
      </w:pPr>
      <w:r w:rsidRPr="009E0726">
        <w:rPr>
          <w:rtl/>
        </w:rPr>
        <w:tab/>
        <w:t>جيم-</w:t>
      </w:r>
      <w:r w:rsidRPr="009E0726">
        <w:rPr>
          <w:rtl/>
        </w:rPr>
        <w:tab/>
        <w:t>دواعي القلق الرئيسية والتوصيات</w:t>
      </w:r>
    </w:p>
    <w:p w14:paraId="240F3211" w14:textId="0AE67840" w:rsidR="00CD4621" w:rsidRPr="009E0726" w:rsidRDefault="00CD4621" w:rsidP="00CD4621">
      <w:pPr>
        <w:pStyle w:val="H23GA"/>
        <w:rPr>
          <w:lang w:val="ar-SA" w:eastAsia="zh-TW" w:bidi="en-GB"/>
        </w:rPr>
      </w:pPr>
      <w:r w:rsidRPr="009E0726">
        <w:rPr>
          <w:rtl/>
        </w:rPr>
        <w:tab/>
        <w:t>1-</w:t>
      </w:r>
      <w:r w:rsidRPr="009E0726">
        <w:rPr>
          <w:rtl/>
        </w:rPr>
        <w:tab/>
        <w:t>تدابير التنفيذ العامة (المادتان 73 و84)</w:t>
      </w:r>
    </w:p>
    <w:p w14:paraId="10B87DB9" w14:textId="76007A0F" w:rsidR="00CD4621" w:rsidRPr="009E0726" w:rsidRDefault="00CD4621" w:rsidP="00CD4621">
      <w:pPr>
        <w:pStyle w:val="H23GA"/>
        <w:rPr>
          <w:lang w:val="ar-SA" w:eastAsia="zh-TW" w:bidi="en-GB"/>
        </w:rPr>
      </w:pPr>
      <w:r w:rsidRPr="009E0726">
        <w:rPr>
          <w:rtl/>
        </w:rPr>
        <w:tab/>
      </w:r>
      <w:r w:rsidRPr="009E0726">
        <w:rPr>
          <w:rtl/>
        </w:rPr>
        <w:tab/>
        <w:t>السياق الحالي</w:t>
      </w:r>
    </w:p>
    <w:p w14:paraId="10BBD948" w14:textId="2301CC01" w:rsidR="00CD4621" w:rsidRPr="00CD4621" w:rsidRDefault="00CD4621" w:rsidP="00CD4621">
      <w:pPr>
        <w:pStyle w:val="SingleTxtGA"/>
        <w:rPr>
          <w:rFonts w:eastAsiaTheme="minorEastAsia"/>
          <w:lang w:val="ar-SA" w:eastAsia="zh-TW" w:bidi="en-GB"/>
        </w:rPr>
      </w:pPr>
      <w:r w:rsidRPr="009E0726">
        <w:rPr>
          <w:rFonts w:eastAsiaTheme="minorEastAsia"/>
          <w:rtl/>
        </w:rPr>
        <w:t>10</w:t>
      </w:r>
      <w:r w:rsidRPr="00CD4621">
        <w:rPr>
          <w:rFonts w:eastAsiaTheme="minorEastAsia"/>
          <w:rtl/>
        </w:rPr>
        <w:t>-</w:t>
      </w:r>
      <w:r w:rsidRPr="00CD4621">
        <w:rPr>
          <w:rFonts w:eastAsiaTheme="minorEastAsia"/>
          <w:rtl/>
        </w:rPr>
        <w:tab/>
      </w:r>
      <w:r w:rsidRPr="009E0726">
        <w:rPr>
          <w:rFonts w:eastAsiaTheme="minorEastAsia"/>
          <w:b/>
          <w:bCs/>
          <w:rtl/>
        </w:rPr>
        <w:t>توصي اللجنة الدولة الطرف بحماية حقوق العمال المهاجرين وأفراد أسرهم، ولا سيما حقهم في الصحة، وبالتخفيف، في إطار التعاون الدولي، من الآثار السلبية لجائحة مرض فيروس كورونا (كوفيد-19) استناداً إلى المذكرة التوجيهية المشتركة بشأن آثار جائحة كوفيد-19 على حقوق الإنسان للمهاجرين التي أعدتها اللجنة والمقرر الخاص المعني بحقوق الإنسان للمهاجرين.</w:t>
      </w:r>
      <w:r w:rsidRPr="00CD4621">
        <w:rPr>
          <w:rFonts w:eastAsiaTheme="minorEastAsia"/>
          <w:rtl/>
        </w:rPr>
        <w:t xml:space="preserve"> </w:t>
      </w:r>
      <w:r w:rsidRPr="009E0726">
        <w:rPr>
          <w:rFonts w:eastAsiaTheme="minorEastAsia"/>
          <w:b/>
          <w:bCs/>
          <w:rtl/>
        </w:rPr>
        <w:t>وتوصي اللجنة، على وجه الخصوص، بكفالة الدولة الطرف لجميع العمال المهاجرين وأفراد أسرهم إمكانية الحصول على لقاح كوفيد-19 على قدم المساواة مع غيرهم، بغض النظر عن جنسيتهم أو وضعهم من حيث الهجرة أو عن أي سبب آخر من أسباب التمييز، تمشياً مع التوصيات الواردة في مذكرة اللجنة وغيرها من الآليات الإقليمية لحماية حقوق الإنسان.</w:t>
      </w:r>
    </w:p>
    <w:p w14:paraId="118B660B" w14:textId="77777777" w:rsidR="00CD4621" w:rsidRPr="009E0726" w:rsidRDefault="00CD4621" w:rsidP="00CD4621">
      <w:pPr>
        <w:pStyle w:val="H23GA"/>
        <w:rPr>
          <w:lang w:val="ar-SA" w:eastAsia="zh-TW" w:bidi="en-GB"/>
        </w:rPr>
      </w:pPr>
      <w:r w:rsidRPr="009E0726">
        <w:rPr>
          <w:rtl/>
        </w:rPr>
        <w:tab/>
      </w:r>
      <w:r w:rsidRPr="009E0726">
        <w:rPr>
          <w:rtl/>
        </w:rPr>
        <w:tab/>
        <w:t>التشريعات والتطبيق</w:t>
      </w:r>
    </w:p>
    <w:p w14:paraId="2BD66108" w14:textId="1459B7C3" w:rsidR="00CD4621" w:rsidRPr="00CD4621" w:rsidRDefault="00CD4621" w:rsidP="00CD4621">
      <w:pPr>
        <w:pStyle w:val="SingleTxtGA"/>
        <w:rPr>
          <w:rFonts w:eastAsiaTheme="minorEastAsia"/>
          <w:lang w:val="ar-SA" w:eastAsia="zh-TW" w:bidi="en-GB"/>
        </w:rPr>
      </w:pPr>
      <w:r w:rsidRPr="009E0726">
        <w:rPr>
          <w:rFonts w:eastAsiaTheme="minorEastAsia"/>
          <w:rtl/>
        </w:rPr>
        <w:t>11</w:t>
      </w:r>
      <w:r w:rsidRPr="00CD4621">
        <w:rPr>
          <w:rFonts w:eastAsiaTheme="minorEastAsia"/>
          <w:rtl/>
        </w:rPr>
        <w:t>-</w:t>
      </w:r>
      <w:r w:rsidRPr="00CD4621">
        <w:rPr>
          <w:rFonts w:eastAsiaTheme="minorEastAsia"/>
          <w:rtl/>
        </w:rPr>
        <w:tab/>
        <w:t>تلاحظ اللجنة مع التقدير الالتزام الذي أعربت عنه الدولة الطرف بضمان مواءمة التشريعات الوطنية مع الاتفاقية ووضع سياسة شاملة للهجرة، تشمل ملتمسي اللجوء واللاجئين. وتلاحظ اللجنة باهتمام أيضاً صياغة مشروعي قانونين بشأن حقوق المهاجرين هما: مشروع القانون رقم</w:t>
      </w:r>
      <w:r w:rsidR="00CB0C0D">
        <w:rPr>
          <w:rFonts w:eastAsiaTheme="minorEastAsia" w:hint="cs"/>
          <w:rtl/>
        </w:rPr>
        <w:t xml:space="preserve"> </w:t>
      </w:r>
      <w:r w:rsidR="00CB0C0D" w:rsidRPr="009E0726">
        <w:rPr>
          <w:rFonts w:eastAsiaTheme="minorEastAsia" w:hint="cs"/>
          <w:rtl/>
        </w:rPr>
        <w:t>72</w:t>
      </w:r>
      <w:r w:rsidR="00CB0C0D" w:rsidRPr="008839E6">
        <w:rPr>
          <w:rFonts w:eastAsiaTheme="minorEastAsia" w:hint="cs"/>
          <w:rtl/>
        </w:rPr>
        <w:t>-</w:t>
      </w:r>
      <w:r w:rsidR="00CB0C0D" w:rsidRPr="009E0726">
        <w:rPr>
          <w:rFonts w:eastAsiaTheme="minorEastAsia" w:hint="cs"/>
          <w:rtl/>
        </w:rPr>
        <w:t>17</w:t>
      </w:r>
      <w:r w:rsidRPr="00CD4621">
        <w:rPr>
          <w:rFonts w:eastAsiaTheme="minorEastAsia"/>
          <w:rtl/>
        </w:rPr>
        <w:t xml:space="preserve"> المتعلق بدخول وإقامة الأجانب بالمملكة المغربية وبالهجرة، ومشروع القانون رقم </w:t>
      </w:r>
      <w:r w:rsidR="00CB0C0D" w:rsidRPr="009E0726">
        <w:rPr>
          <w:rFonts w:eastAsiaTheme="minorEastAsia" w:hint="cs"/>
          <w:rtl/>
        </w:rPr>
        <w:t>97</w:t>
      </w:r>
      <w:r w:rsidR="00CB0C0D" w:rsidRPr="008839E6">
        <w:rPr>
          <w:rFonts w:eastAsiaTheme="minorEastAsia" w:hint="cs"/>
          <w:rtl/>
        </w:rPr>
        <w:t>-</w:t>
      </w:r>
      <w:r w:rsidR="00CB0C0D" w:rsidRPr="009E0726">
        <w:rPr>
          <w:rFonts w:eastAsiaTheme="minorEastAsia" w:hint="cs"/>
          <w:rtl/>
        </w:rPr>
        <w:t>21</w:t>
      </w:r>
      <w:r w:rsidR="00CB0C0D">
        <w:rPr>
          <w:rFonts w:eastAsiaTheme="minorEastAsia" w:hint="cs"/>
          <w:rtl/>
        </w:rPr>
        <w:t xml:space="preserve"> </w:t>
      </w:r>
      <w:r w:rsidRPr="00CD4621">
        <w:rPr>
          <w:rFonts w:eastAsiaTheme="minorEastAsia"/>
          <w:rtl/>
        </w:rPr>
        <w:t>المتعلق باللجوء وشروط منحه. وتلاحظ اللجنة كذلك أن الدولة الطرف أفادت بأنها واءمت تشريعاتها المتعلقة بالعمل مع الصكوك الدولية ذات الصلة. ومع ذلك، تعرب اللجنة عن أسفها لأن مشروعي القانونين المذكورين لم يُعتمدا، على الرغم من جهود تنقيح القانون التي انطلقت منذ عدة سنوات، ولأن العمال المهاجرين غير النظاميين ما</w:t>
      </w:r>
      <w:r>
        <w:rPr>
          <w:rFonts w:eastAsiaTheme="minorEastAsia" w:hint="cs"/>
          <w:rtl/>
        </w:rPr>
        <w:t> </w:t>
      </w:r>
      <w:r w:rsidRPr="00CD4621">
        <w:rPr>
          <w:rFonts w:eastAsiaTheme="minorEastAsia"/>
          <w:rtl/>
        </w:rPr>
        <w:t>زالوا عرضة للتجريم. ويساور اللجنة القلق أيضاً إزاء المعلومات التي تفيد بأن العديد من المهاجرين غير النظاميين لا يتلقون الرعاية من السلطات ويتعرضون لخطر الاستغلال من جانب أرباب العمل وغيرهم من الوسطاء الذين يجبرونهم على العمل في ظروف عمل سيئة.</w:t>
      </w:r>
    </w:p>
    <w:p w14:paraId="5A5529C0" w14:textId="0B5CB044" w:rsidR="00CD4621" w:rsidRPr="00CD4621" w:rsidRDefault="00CD4621" w:rsidP="00CD4621">
      <w:pPr>
        <w:pStyle w:val="SingleTxtGA"/>
        <w:rPr>
          <w:rFonts w:eastAsiaTheme="minorEastAsia"/>
          <w:lang w:val="ar-SA" w:eastAsia="zh-TW" w:bidi="en-GB"/>
        </w:rPr>
      </w:pPr>
      <w:r w:rsidRPr="009E0726">
        <w:rPr>
          <w:rFonts w:eastAsiaTheme="minorEastAsia"/>
          <w:rtl/>
        </w:rPr>
        <w:t>12</w:t>
      </w:r>
      <w:r w:rsidRPr="00CD4621">
        <w:rPr>
          <w:rFonts w:eastAsiaTheme="minorEastAsia"/>
          <w:rtl/>
        </w:rPr>
        <w:t>-</w:t>
      </w:r>
      <w:r w:rsidRPr="00CD4621">
        <w:rPr>
          <w:rFonts w:eastAsiaTheme="minorEastAsia"/>
          <w:rtl/>
        </w:rPr>
        <w:tab/>
      </w:r>
      <w:r w:rsidRPr="009E0726">
        <w:rPr>
          <w:rFonts w:eastAsiaTheme="minorEastAsia"/>
          <w:b/>
          <w:bCs/>
          <w:rtl/>
        </w:rPr>
        <w:t>تكرر اللجنة التوصيات الواردة في ملاحظاتها الختامية السابقة</w:t>
      </w:r>
      <w:r w:rsidRPr="008839E6">
        <w:rPr>
          <w:rStyle w:val="FootnoteReference"/>
          <w:rFonts w:eastAsiaTheme="minorEastAsia"/>
          <w:sz w:val="22"/>
          <w:rtl/>
        </w:rPr>
        <w:t>(</w:t>
      </w:r>
      <w:r w:rsidRPr="009E0726">
        <w:rPr>
          <w:rStyle w:val="FootnoteReference"/>
          <w:rFonts w:eastAsiaTheme="minorEastAsia"/>
          <w:sz w:val="22"/>
          <w:lang w:val="en-US"/>
        </w:rPr>
        <w:footnoteReference w:id="5"/>
      </w:r>
      <w:r w:rsidRPr="008839E6">
        <w:rPr>
          <w:rStyle w:val="FootnoteReference"/>
          <w:rFonts w:eastAsiaTheme="minorEastAsia"/>
          <w:sz w:val="22"/>
          <w:rtl/>
        </w:rPr>
        <w:t>)</w:t>
      </w:r>
      <w:r w:rsidRPr="009E0726">
        <w:rPr>
          <w:rFonts w:eastAsiaTheme="minorEastAsia"/>
          <w:b/>
          <w:bCs/>
          <w:rtl/>
        </w:rPr>
        <w:t>، وتوصي الدولةَ الطرف باتخاذ تدابير لمواءمة القانون رقم</w:t>
      </w:r>
      <w:r w:rsidR="00CB0C0D" w:rsidRPr="009E0726">
        <w:rPr>
          <w:rFonts w:eastAsiaTheme="minorEastAsia" w:hint="cs"/>
          <w:b/>
          <w:bCs/>
          <w:rtl/>
        </w:rPr>
        <w:t xml:space="preserve"> 02-03 </w:t>
      </w:r>
      <w:r w:rsidRPr="009E0726">
        <w:rPr>
          <w:rFonts w:eastAsiaTheme="minorEastAsia"/>
          <w:b/>
          <w:bCs/>
          <w:rtl/>
        </w:rPr>
        <w:t xml:space="preserve"> المؤرخ 11 تشرين الثاني/نوفمبر 2003 المتعلق بدخول وإقامة الأجانب بالمملكة المغربية وبالهجرة غير المشروعة مع أحكام الاتفاقية، بغية توسيع نطاق حماية الحقوق المنصوص عليها في الاتفاقية لتشمل جميع العمال المهاجرين وأفراد أسرهم في الدولة الطرف، بمن فيهم غير النظاميين.</w:t>
      </w:r>
      <w:r w:rsidRPr="00CD4621">
        <w:rPr>
          <w:rFonts w:eastAsiaTheme="minorEastAsia"/>
          <w:rtl/>
        </w:rPr>
        <w:t xml:space="preserve"> </w:t>
      </w:r>
      <w:r w:rsidRPr="009E0726">
        <w:rPr>
          <w:rFonts w:eastAsiaTheme="minorEastAsia"/>
          <w:b/>
          <w:bCs/>
          <w:rtl/>
        </w:rPr>
        <w:t>وتوصي اللجنة الدولة الطرف أيضاً بكفالة استناد سياستها المتعلقة بالهجرة إلى مختلف الصكوك الدولية لحقوق الإنسان، ولا سيما الاتفاقية.</w:t>
      </w:r>
      <w:r w:rsidRPr="00CD4621">
        <w:rPr>
          <w:rFonts w:eastAsiaTheme="minorEastAsia"/>
          <w:rtl/>
        </w:rPr>
        <w:t xml:space="preserve"> </w:t>
      </w:r>
      <w:r w:rsidRPr="009E0726">
        <w:rPr>
          <w:rFonts w:eastAsiaTheme="minorEastAsia"/>
          <w:b/>
          <w:bCs/>
          <w:rtl/>
        </w:rPr>
        <w:t>وتوصيها كذلك بتعزيز التدابير الرامية إلى رصد تنفيذ التشريعات المتعلقة بالعمال المهاجرين، فضلاً عن الاتفاقية.</w:t>
      </w:r>
    </w:p>
    <w:p w14:paraId="102F8D49" w14:textId="77777777" w:rsidR="00CD4621" w:rsidRPr="009E0726" w:rsidRDefault="00CD4621" w:rsidP="00CD4621">
      <w:pPr>
        <w:pStyle w:val="H23GA"/>
        <w:rPr>
          <w:lang w:val="ar-SA" w:eastAsia="zh-TW" w:bidi="en-GB"/>
        </w:rPr>
      </w:pPr>
      <w:r w:rsidRPr="009E0726">
        <w:rPr>
          <w:rtl/>
        </w:rPr>
        <w:lastRenderedPageBreak/>
        <w:tab/>
      </w:r>
      <w:r w:rsidRPr="009E0726">
        <w:rPr>
          <w:rtl/>
        </w:rPr>
        <w:tab/>
        <w:t>الإعلانات والتحفظات</w:t>
      </w:r>
    </w:p>
    <w:p w14:paraId="0B4BD787" w14:textId="66A750CD" w:rsidR="00CD4621" w:rsidRPr="00CD4621" w:rsidRDefault="00CD4621" w:rsidP="00CD4621">
      <w:pPr>
        <w:pStyle w:val="SingleTxtGA"/>
        <w:rPr>
          <w:rFonts w:eastAsiaTheme="minorEastAsia"/>
          <w:lang w:val="ar-SA" w:eastAsia="zh-TW" w:bidi="en-GB"/>
        </w:rPr>
      </w:pPr>
      <w:r w:rsidRPr="009E0726">
        <w:rPr>
          <w:rFonts w:eastAsiaTheme="minorEastAsia"/>
          <w:rtl/>
        </w:rPr>
        <w:t>13</w:t>
      </w:r>
      <w:r w:rsidRPr="00CD4621">
        <w:rPr>
          <w:rFonts w:eastAsiaTheme="minorEastAsia"/>
          <w:rtl/>
        </w:rPr>
        <w:t>-</w:t>
      </w:r>
      <w:r w:rsidRPr="00CD4621">
        <w:rPr>
          <w:rFonts w:eastAsiaTheme="minorEastAsia"/>
          <w:rtl/>
        </w:rPr>
        <w:tab/>
      </w:r>
      <w:r w:rsidRPr="009E0726">
        <w:rPr>
          <w:rFonts w:eastAsiaTheme="minorEastAsia"/>
          <w:b/>
          <w:bCs/>
          <w:rtl/>
        </w:rPr>
        <w:t>توصي اللجنة الدولة الطرف باتخاذ التدابير اللازمة لسحب تحفظاتها على الفقرة 1 من المادة</w:t>
      </w:r>
      <w:r w:rsidRPr="009E0726">
        <w:rPr>
          <w:rFonts w:eastAsiaTheme="minorEastAsia" w:hint="cs"/>
          <w:b/>
          <w:bCs/>
          <w:rtl/>
        </w:rPr>
        <w:t> </w:t>
      </w:r>
      <w:r w:rsidRPr="009E0726">
        <w:rPr>
          <w:rFonts w:eastAsiaTheme="minorEastAsia"/>
          <w:b/>
          <w:bCs/>
          <w:rtl/>
        </w:rPr>
        <w:t>92 من الاتفاقية، بغية ضمان تمتع العمال المهاجرين الكامل بحقوقهم بموجب الاتفاقية.</w:t>
      </w:r>
    </w:p>
    <w:p w14:paraId="77981DBF" w14:textId="77777777" w:rsidR="00CD4621" w:rsidRPr="009E0726" w:rsidRDefault="00CD4621" w:rsidP="00CD4621">
      <w:pPr>
        <w:pStyle w:val="H23GA"/>
        <w:rPr>
          <w:lang w:val="ar-SA" w:eastAsia="zh-TW" w:bidi="en-GB"/>
        </w:rPr>
      </w:pPr>
      <w:r w:rsidRPr="009E0726">
        <w:rPr>
          <w:rtl/>
        </w:rPr>
        <w:tab/>
      </w:r>
      <w:r w:rsidRPr="009E0726">
        <w:rPr>
          <w:rtl/>
        </w:rPr>
        <w:tab/>
        <w:t>المادتان 76 و77</w:t>
      </w:r>
    </w:p>
    <w:p w14:paraId="21BA2213" w14:textId="77777777" w:rsidR="00CD4621" w:rsidRPr="00CD4621" w:rsidRDefault="00CD4621" w:rsidP="00CD4621">
      <w:pPr>
        <w:pStyle w:val="SingleTxtGA"/>
        <w:rPr>
          <w:rFonts w:eastAsiaTheme="minorEastAsia"/>
          <w:lang w:val="ar-SA" w:eastAsia="zh-TW" w:bidi="en-GB"/>
        </w:rPr>
      </w:pPr>
      <w:r w:rsidRPr="009E0726">
        <w:rPr>
          <w:rFonts w:eastAsiaTheme="minorEastAsia"/>
          <w:rtl/>
        </w:rPr>
        <w:t>14</w:t>
      </w:r>
      <w:r w:rsidRPr="00CD4621">
        <w:rPr>
          <w:rFonts w:eastAsiaTheme="minorEastAsia"/>
          <w:rtl/>
        </w:rPr>
        <w:t>-</w:t>
      </w:r>
      <w:r w:rsidRPr="00CD4621">
        <w:rPr>
          <w:rFonts w:eastAsiaTheme="minorEastAsia"/>
          <w:rtl/>
        </w:rPr>
        <w:tab/>
        <w:t xml:space="preserve">تلاحظ اللجنة أن الدولة الطرف لم تصدر بعدُ الإعلانين المنصوص عليهما في المادتين </w:t>
      </w:r>
      <w:r w:rsidRPr="009E0726">
        <w:rPr>
          <w:rFonts w:eastAsiaTheme="minorEastAsia"/>
          <w:rtl/>
        </w:rPr>
        <w:t>76</w:t>
      </w:r>
      <w:r w:rsidRPr="00CD4621">
        <w:rPr>
          <w:rFonts w:eastAsiaTheme="minorEastAsia"/>
          <w:rtl/>
        </w:rPr>
        <w:t xml:space="preserve"> و</w:t>
      </w:r>
      <w:r w:rsidRPr="009E0726">
        <w:rPr>
          <w:rFonts w:eastAsiaTheme="minorEastAsia"/>
          <w:rtl/>
        </w:rPr>
        <w:t>77</w:t>
      </w:r>
      <w:r w:rsidRPr="00CD4621">
        <w:rPr>
          <w:rFonts w:eastAsiaTheme="minorEastAsia"/>
          <w:rtl/>
        </w:rPr>
        <w:t xml:space="preserve"> من الاتفاقية اللذين تعترف بموجبهما الدولة الطرف باختصاص اللجنة في تلقي بلاغات من الدول الأطراف والأفراد. وتحيط اللجنة علماً بالمعلومات المقدمة عن سياسة الدولة الطرف بشأن التصديق على الصكوك القانونية الدولية، استناداً إلى مبدأ التدرج.</w:t>
      </w:r>
    </w:p>
    <w:p w14:paraId="7CB9E5C6" w14:textId="4741FCA0" w:rsidR="00CD4621" w:rsidRPr="00CD4621" w:rsidRDefault="00CD4621" w:rsidP="00CD4621">
      <w:pPr>
        <w:pStyle w:val="SingleTxtGA"/>
        <w:rPr>
          <w:rFonts w:eastAsiaTheme="minorEastAsia"/>
          <w:lang w:val="ar-SA" w:eastAsia="zh-TW" w:bidi="en-GB"/>
        </w:rPr>
      </w:pPr>
      <w:r w:rsidRPr="009E0726">
        <w:rPr>
          <w:rFonts w:eastAsiaTheme="minorEastAsia"/>
          <w:rtl/>
        </w:rPr>
        <w:t>15</w:t>
      </w:r>
      <w:r w:rsidRPr="00CD4621">
        <w:rPr>
          <w:rFonts w:eastAsiaTheme="minorEastAsia"/>
          <w:rtl/>
        </w:rPr>
        <w:t>-</w:t>
      </w:r>
      <w:r w:rsidRPr="00CD4621">
        <w:rPr>
          <w:rFonts w:eastAsiaTheme="minorEastAsia"/>
          <w:rtl/>
        </w:rPr>
        <w:tab/>
      </w:r>
      <w:r w:rsidRPr="009E0726">
        <w:rPr>
          <w:rFonts w:eastAsiaTheme="minorEastAsia"/>
          <w:b/>
          <w:bCs/>
          <w:rtl/>
        </w:rPr>
        <w:t>تكرر اللجنة التوصيات الواردة في ملاحظاتها الختامية السابقة</w:t>
      </w:r>
      <w:r w:rsidRPr="008839E6">
        <w:rPr>
          <w:rStyle w:val="FootnoteReference"/>
          <w:rFonts w:eastAsiaTheme="minorEastAsia"/>
          <w:sz w:val="22"/>
          <w:rtl/>
        </w:rPr>
        <w:t>(</w:t>
      </w:r>
      <w:r w:rsidRPr="009E0726">
        <w:rPr>
          <w:rStyle w:val="FootnoteReference"/>
          <w:rFonts w:eastAsiaTheme="minorEastAsia"/>
          <w:sz w:val="22"/>
          <w:lang w:val="en-US"/>
        </w:rPr>
        <w:footnoteReference w:id="6"/>
      </w:r>
      <w:r w:rsidRPr="008839E6">
        <w:rPr>
          <w:rStyle w:val="FootnoteReference"/>
          <w:rFonts w:eastAsiaTheme="minorEastAsia"/>
          <w:sz w:val="22"/>
          <w:rtl/>
        </w:rPr>
        <w:t>)</w:t>
      </w:r>
      <w:r w:rsidRPr="009E0726">
        <w:rPr>
          <w:rFonts w:eastAsiaTheme="minorEastAsia"/>
          <w:b/>
          <w:bCs/>
          <w:rtl/>
        </w:rPr>
        <w:t>، وتوصي الدولة الطرف</w:t>
      </w:r>
      <w:r w:rsidRPr="009E0726">
        <w:rPr>
          <w:rFonts w:eastAsiaTheme="minorEastAsia" w:hint="cs"/>
          <w:b/>
          <w:bCs/>
          <w:rtl/>
        </w:rPr>
        <w:t> </w:t>
      </w:r>
      <w:r w:rsidRPr="009E0726">
        <w:rPr>
          <w:rFonts w:eastAsiaTheme="minorEastAsia"/>
          <w:b/>
          <w:bCs/>
          <w:rtl/>
        </w:rPr>
        <w:t>بمواصلة الإجراءات الرامية إلى إصدار الإعلانين المنصوص عليهما في المادتين 76 و77 من</w:t>
      </w:r>
      <w:r w:rsidRPr="009E0726">
        <w:rPr>
          <w:rFonts w:eastAsiaTheme="minorEastAsia" w:hint="cs"/>
          <w:b/>
          <w:bCs/>
          <w:rtl/>
        </w:rPr>
        <w:t> </w:t>
      </w:r>
      <w:r w:rsidRPr="009E0726">
        <w:rPr>
          <w:rFonts w:eastAsiaTheme="minorEastAsia"/>
          <w:b/>
          <w:bCs/>
          <w:rtl/>
        </w:rPr>
        <w:t>الاتفاقية.</w:t>
      </w:r>
    </w:p>
    <w:p w14:paraId="02B0E9F3" w14:textId="77777777" w:rsidR="00CD4621" w:rsidRPr="009E0726" w:rsidRDefault="00CD4621" w:rsidP="00CD4621">
      <w:pPr>
        <w:pStyle w:val="H23GA"/>
        <w:rPr>
          <w:lang w:val="ar-SA" w:eastAsia="zh-TW" w:bidi="en-GB"/>
        </w:rPr>
      </w:pPr>
      <w:r w:rsidRPr="009E0726">
        <w:rPr>
          <w:rtl/>
        </w:rPr>
        <w:tab/>
      </w:r>
      <w:r w:rsidRPr="009E0726">
        <w:rPr>
          <w:rtl/>
        </w:rPr>
        <w:tab/>
        <w:t>التصديق على الصكوك ذات الصلة</w:t>
      </w:r>
    </w:p>
    <w:p w14:paraId="4D0CB162" w14:textId="2BED5907" w:rsidR="00CD4621" w:rsidRPr="00CD4621" w:rsidRDefault="00CD4621" w:rsidP="00CD4621">
      <w:pPr>
        <w:pStyle w:val="SingleTxtGA"/>
        <w:rPr>
          <w:rFonts w:eastAsiaTheme="minorEastAsia"/>
          <w:lang w:val="ar-SA" w:eastAsia="zh-TW" w:bidi="en-GB"/>
        </w:rPr>
      </w:pPr>
      <w:r w:rsidRPr="009E0726">
        <w:rPr>
          <w:rFonts w:eastAsiaTheme="minorEastAsia"/>
          <w:rtl/>
        </w:rPr>
        <w:t>16</w:t>
      </w:r>
      <w:r w:rsidRPr="00CD4621">
        <w:rPr>
          <w:rFonts w:eastAsiaTheme="minorEastAsia"/>
          <w:rtl/>
        </w:rPr>
        <w:t>-</w:t>
      </w:r>
      <w:r w:rsidRPr="00CD4621">
        <w:rPr>
          <w:rFonts w:eastAsiaTheme="minorEastAsia"/>
          <w:rtl/>
        </w:rPr>
        <w:tab/>
        <w:t>تحيط اللجنة علماً بالإشارة إلى أن الدولة الطرف بذلت جهوداً لمواءمة تشريعاتها المتعلقة بالعمل مع الاتفاقيات الدولية ذات الصلة، بما فيها اتفاقيات منظمة العمل الدولية. وتلاحظ اللجنة مع الأسف أنه على الرغم من اعتماد قانون التصديق على اتفاقية منظمة العمل الدولية بشأن العمال المهاجرين (أحكام</w:t>
      </w:r>
      <w:r>
        <w:rPr>
          <w:rFonts w:eastAsiaTheme="minorEastAsia" w:hint="cs"/>
          <w:rtl/>
        </w:rPr>
        <w:t> </w:t>
      </w:r>
      <w:r w:rsidRPr="00CD4621">
        <w:rPr>
          <w:rFonts w:eastAsiaTheme="minorEastAsia"/>
          <w:rtl/>
        </w:rPr>
        <w:t xml:space="preserve">تكميلية)، </w:t>
      </w:r>
      <w:r w:rsidRPr="009E0726">
        <w:rPr>
          <w:rFonts w:eastAsiaTheme="minorEastAsia"/>
          <w:rtl/>
        </w:rPr>
        <w:t>1975</w:t>
      </w:r>
      <w:r w:rsidRPr="00CD4621">
        <w:rPr>
          <w:rFonts w:eastAsiaTheme="minorEastAsia"/>
          <w:rtl/>
        </w:rPr>
        <w:t xml:space="preserve"> (رقم </w:t>
      </w:r>
      <w:r w:rsidRPr="009E0726">
        <w:rPr>
          <w:rFonts w:eastAsiaTheme="minorEastAsia"/>
          <w:rtl/>
        </w:rPr>
        <w:t>143</w:t>
      </w:r>
      <w:r w:rsidRPr="00CD4621">
        <w:rPr>
          <w:rFonts w:eastAsiaTheme="minorEastAsia"/>
          <w:rtl/>
        </w:rPr>
        <w:t xml:space="preserve">) في عام </w:t>
      </w:r>
      <w:r w:rsidRPr="009E0726">
        <w:rPr>
          <w:rFonts w:eastAsiaTheme="minorEastAsia"/>
          <w:rtl/>
        </w:rPr>
        <w:t>2016</w:t>
      </w:r>
      <w:r w:rsidRPr="00CD4621">
        <w:rPr>
          <w:rFonts w:eastAsiaTheme="minorEastAsia"/>
          <w:rtl/>
        </w:rPr>
        <w:t xml:space="preserve">، فإن عملية التصديق لم تكتمل بعد. وتلاحظ أيضاً أن الدولة الطرف لم تنضم بعد إلى اتفاقيات منظمة العمل الدولية التالية: اتفاقية العمال المنزليين، </w:t>
      </w:r>
      <w:r w:rsidRPr="009E0726">
        <w:rPr>
          <w:rFonts w:eastAsiaTheme="minorEastAsia"/>
          <w:rtl/>
        </w:rPr>
        <w:t>2011</w:t>
      </w:r>
      <w:r w:rsidRPr="00CD4621">
        <w:rPr>
          <w:rFonts w:eastAsiaTheme="minorEastAsia"/>
          <w:rtl/>
        </w:rPr>
        <w:t xml:space="preserve"> (رقم</w:t>
      </w:r>
      <w:r>
        <w:rPr>
          <w:rFonts w:eastAsiaTheme="minorEastAsia" w:hint="cs"/>
          <w:rtl/>
        </w:rPr>
        <w:t> </w:t>
      </w:r>
      <w:r w:rsidRPr="009E0726">
        <w:rPr>
          <w:rFonts w:eastAsiaTheme="minorEastAsia"/>
          <w:rtl/>
        </w:rPr>
        <w:t>189</w:t>
      </w:r>
      <w:r w:rsidRPr="00CD4621">
        <w:rPr>
          <w:rFonts w:eastAsiaTheme="minorEastAsia"/>
          <w:rtl/>
        </w:rPr>
        <w:t xml:space="preserve">)، واتفاقية الحرية النقابية وحماية حق التنظيم، </w:t>
      </w:r>
      <w:r w:rsidRPr="009E0726">
        <w:rPr>
          <w:rFonts w:eastAsiaTheme="minorEastAsia"/>
          <w:rtl/>
        </w:rPr>
        <w:t>1948</w:t>
      </w:r>
      <w:r w:rsidRPr="00CD4621">
        <w:rPr>
          <w:rFonts w:eastAsiaTheme="minorEastAsia"/>
          <w:rtl/>
        </w:rPr>
        <w:t xml:space="preserve"> (رقم </w:t>
      </w:r>
      <w:r w:rsidRPr="009E0726">
        <w:rPr>
          <w:rFonts w:eastAsiaTheme="minorEastAsia"/>
          <w:rtl/>
        </w:rPr>
        <w:t>87</w:t>
      </w:r>
      <w:r w:rsidRPr="00CD4621">
        <w:rPr>
          <w:rFonts w:eastAsiaTheme="minorEastAsia"/>
          <w:rtl/>
        </w:rPr>
        <w:t xml:space="preserve">)، والاتفاقية بشأن القضاء على العنف والتحرش في عالم العمل، </w:t>
      </w:r>
      <w:r w:rsidRPr="009E0726">
        <w:rPr>
          <w:rFonts w:eastAsiaTheme="minorEastAsia"/>
          <w:rtl/>
        </w:rPr>
        <w:t>2019</w:t>
      </w:r>
      <w:r w:rsidRPr="00CD4621">
        <w:rPr>
          <w:rFonts w:eastAsiaTheme="minorEastAsia"/>
          <w:rtl/>
        </w:rPr>
        <w:t xml:space="preserve"> (رقم </w:t>
      </w:r>
      <w:r w:rsidRPr="009E0726">
        <w:rPr>
          <w:rFonts w:eastAsiaTheme="minorEastAsia"/>
          <w:rtl/>
        </w:rPr>
        <w:t>190</w:t>
      </w:r>
      <w:r w:rsidRPr="00CD4621">
        <w:rPr>
          <w:rFonts w:eastAsiaTheme="minorEastAsia"/>
          <w:rtl/>
        </w:rPr>
        <w:t>).</w:t>
      </w:r>
    </w:p>
    <w:p w14:paraId="5560C19E" w14:textId="476BFAF9" w:rsidR="00CD4621" w:rsidRPr="00CD4621" w:rsidRDefault="00CD4621" w:rsidP="00CD4621">
      <w:pPr>
        <w:pStyle w:val="SingleTxtGA"/>
        <w:rPr>
          <w:rFonts w:ascii="Times New Roman Bold" w:eastAsiaTheme="minorEastAsia" w:hAnsi="Times New Roman Bold" w:hint="eastAsia"/>
          <w:spacing w:val="-6"/>
          <w:lang w:val="ar-SA" w:eastAsia="zh-TW" w:bidi="en-GB"/>
        </w:rPr>
      </w:pPr>
      <w:r w:rsidRPr="009E0726">
        <w:rPr>
          <w:rFonts w:eastAsiaTheme="minorEastAsia"/>
          <w:rtl/>
        </w:rPr>
        <w:t>17</w:t>
      </w:r>
      <w:r w:rsidRPr="00CD4621">
        <w:rPr>
          <w:rFonts w:eastAsiaTheme="minorEastAsia"/>
          <w:rtl/>
        </w:rPr>
        <w:t>-</w:t>
      </w:r>
      <w:r w:rsidRPr="00CD4621">
        <w:rPr>
          <w:rFonts w:eastAsiaTheme="minorEastAsia"/>
          <w:rtl/>
        </w:rPr>
        <w:tab/>
      </w:r>
      <w:r w:rsidRPr="009E0726">
        <w:rPr>
          <w:rFonts w:eastAsiaTheme="minorEastAsia"/>
          <w:b/>
          <w:bCs/>
          <w:rtl/>
        </w:rPr>
        <w:t>تكرر اللجنة التوصيات الواردة في ملاحظاتها الختامية السابقة</w:t>
      </w:r>
      <w:r w:rsidRPr="008839E6">
        <w:rPr>
          <w:rStyle w:val="FootnoteReference"/>
          <w:rFonts w:eastAsiaTheme="minorEastAsia"/>
          <w:sz w:val="22"/>
          <w:rtl/>
        </w:rPr>
        <w:t>(</w:t>
      </w:r>
      <w:r w:rsidRPr="009E0726">
        <w:rPr>
          <w:rStyle w:val="FootnoteReference"/>
          <w:rFonts w:eastAsiaTheme="minorEastAsia"/>
          <w:sz w:val="22"/>
          <w:lang w:val="en-US"/>
        </w:rPr>
        <w:footnoteReference w:id="7"/>
      </w:r>
      <w:r w:rsidRPr="008839E6">
        <w:rPr>
          <w:rStyle w:val="FootnoteReference"/>
          <w:rFonts w:eastAsiaTheme="minorEastAsia"/>
          <w:sz w:val="22"/>
          <w:rtl/>
        </w:rPr>
        <w:t>)</w:t>
      </w:r>
      <w:r w:rsidRPr="009E0726">
        <w:rPr>
          <w:rFonts w:eastAsiaTheme="minorEastAsia"/>
          <w:b/>
          <w:bCs/>
          <w:rtl/>
        </w:rPr>
        <w:t>، وتوصي الدولة الطرف</w:t>
      </w:r>
      <w:r w:rsidRPr="009E0726">
        <w:rPr>
          <w:rFonts w:eastAsiaTheme="minorEastAsia" w:hint="cs"/>
          <w:b/>
          <w:bCs/>
          <w:rtl/>
        </w:rPr>
        <w:t> </w:t>
      </w:r>
      <w:r w:rsidRPr="009E0726">
        <w:rPr>
          <w:rFonts w:eastAsiaTheme="minorEastAsia"/>
          <w:b/>
          <w:bCs/>
          <w:rtl/>
        </w:rPr>
        <w:t>بإكمال عملية التصديق على اتفاقية منظمة العمل الدولية بشأن العمال المهاجرين (أحكام</w:t>
      </w:r>
      <w:r w:rsidRPr="009E0726">
        <w:rPr>
          <w:rFonts w:eastAsiaTheme="minorEastAsia" w:hint="cs"/>
          <w:b/>
          <w:bCs/>
          <w:rtl/>
        </w:rPr>
        <w:t> </w:t>
      </w:r>
      <w:r w:rsidRPr="009E0726">
        <w:rPr>
          <w:rFonts w:eastAsiaTheme="minorEastAsia"/>
          <w:b/>
          <w:bCs/>
          <w:rtl/>
        </w:rPr>
        <w:t>تكميلية)، 1975 (رقم 143).</w:t>
      </w:r>
      <w:r w:rsidRPr="00CD4621">
        <w:rPr>
          <w:rFonts w:eastAsiaTheme="minorEastAsia"/>
          <w:rtl/>
        </w:rPr>
        <w:t xml:space="preserve"> </w:t>
      </w:r>
      <w:r w:rsidRPr="009E0726">
        <w:rPr>
          <w:rFonts w:eastAsiaTheme="minorEastAsia"/>
          <w:b/>
          <w:bCs/>
          <w:rtl/>
        </w:rPr>
        <w:t xml:space="preserve">وتوصيها أيضاً بالنظر في التصديق على اتفاقيات منظمة العمل الدولية التالية: اتفاقية العمال المنزليين، 2011 (رقم 189)، واتفاقية الحرية النقابية وحماية </w:t>
      </w:r>
      <w:r w:rsidRPr="009E0726">
        <w:rPr>
          <w:rFonts w:ascii="Times New Roman Bold" w:eastAsiaTheme="minorEastAsia" w:hAnsi="Times New Roman Bold"/>
          <w:b/>
          <w:bCs/>
          <w:spacing w:val="-4"/>
          <w:rtl/>
        </w:rPr>
        <w:t>حق</w:t>
      </w:r>
      <w:r w:rsidRPr="009E0726">
        <w:rPr>
          <w:rFonts w:ascii="Times New Roman Bold" w:eastAsiaTheme="minorEastAsia" w:hAnsi="Times New Roman Bold" w:hint="cs"/>
          <w:b/>
          <w:bCs/>
          <w:spacing w:val="-4"/>
          <w:rtl/>
        </w:rPr>
        <w:t xml:space="preserve"> </w:t>
      </w:r>
      <w:r w:rsidRPr="009E0726">
        <w:rPr>
          <w:rFonts w:ascii="Times New Roman Bold" w:eastAsiaTheme="minorEastAsia" w:hAnsi="Times New Roman Bold"/>
          <w:b/>
          <w:bCs/>
          <w:spacing w:val="-6"/>
          <w:rtl/>
        </w:rPr>
        <w:t>التنظيم، 1948 (رقم</w:t>
      </w:r>
      <w:r w:rsidRPr="009E0726">
        <w:rPr>
          <w:rFonts w:ascii="Times New Roman Bold" w:eastAsiaTheme="minorEastAsia" w:hAnsi="Times New Roman Bold" w:hint="cs"/>
          <w:b/>
          <w:bCs/>
          <w:spacing w:val="-6"/>
          <w:rtl/>
        </w:rPr>
        <w:t> </w:t>
      </w:r>
      <w:r w:rsidRPr="009E0726">
        <w:rPr>
          <w:rFonts w:ascii="Times New Roman Bold" w:eastAsiaTheme="minorEastAsia" w:hAnsi="Times New Roman Bold"/>
          <w:b/>
          <w:bCs/>
          <w:spacing w:val="-6"/>
          <w:rtl/>
        </w:rPr>
        <w:t>87)، والاتفاقية بشأن القضاء على العنف والتحرش في عالم العمل، 2019 (رقم 190).</w:t>
      </w:r>
      <w:r w:rsidRPr="00CD4621">
        <w:rPr>
          <w:rFonts w:ascii="Times New Roman Bold" w:eastAsiaTheme="minorEastAsia" w:hAnsi="Times New Roman Bold"/>
          <w:spacing w:val="-6"/>
          <w:rtl/>
        </w:rPr>
        <w:t xml:space="preserve"> </w:t>
      </w:r>
    </w:p>
    <w:p w14:paraId="7BF09AB8" w14:textId="77777777" w:rsidR="00CD4621" w:rsidRPr="009E0726" w:rsidRDefault="00CD4621" w:rsidP="00CD4621">
      <w:pPr>
        <w:pStyle w:val="H23GA"/>
        <w:rPr>
          <w:lang w:val="ar-SA" w:eastAsia="zh-TW" w:bidi="en-GB"/>
        </w:rPr>
      </w:pPr>
      <w:r w:rsidRPr="009E0726">
        <w:rPr>
          <w:rtl/>
        </w:rPr>
        <w:tab/>
      </w:r>
      <w:r w:rsidRPr="009E0726">
        <w:rPr>
          <w:rtl/>
        </w:rPr>
        <w:tab/>
        <w:t>السياسة والاستراتيجية الشاملتان</w:t>
      </w:r>
    </w:p>
    <w:p w14:paraId="586C7A41" w14:textId="2B2F79FD" w:rsidR="00CD4621" w:rsidRPr="00CD4621" w:rsidRDefault="00CD4621" w:rsidP="00CD4621">
      <w:pPr>
        <w:pStyle w:val="SingleTxtGA"/>
        <w:rPr>
          <w:rFonts w:eastAsiaTheme="minorEastAsia"/>
          <w:lang w:val="ar-SA" w:eastAsia="zh-TW" w:bidi="en-GB"/>
        </w:rPr>
      </w:pPr>
      <w:r w:rsidRPr="009E0726">
        <w:rPr>
          <w:rFonts w:eastAsiaTheme="minorEastAsia"/>
          <w:rtl/>
        </w:rPr>
        <w:t>18</w:t>
      </w:r>
      <w:r w:rsidRPr="00CD4621">
        <w:rPr>
          <w:rFonts w:eastAsiaTheme="minorEastAsia"/>
          <w:rtl/>
        </w:rPr>
        <w:t>-</w:t>
      </w:r>
      <w:r w:rsidRPr="00CD4621">
        <w:rPr>
          <w:rFonts w:eastAsiaTheme="minorEastAsia"/>
          <w:rtl/>
        </w:rPr>
        <w:tab/>
        <w:t xml:space="preserve">تلاحظ اللجنة بارتياح إطلاق سياسة وطنية جديدة للهجرة واللجوء في عام </w:t>
      </w:r>
      <w:r w:rsidRPr="009E0726">
        <w:rPr>
          <w:rFonts w:eastAsiaTheme="minorEastAsia"/>
          <w:rtl/>
        </w:rPr>
        <w:t>2013</w:t>
      </w:r>
      <w:r w:rsidRPr="00CD4621">
        <w:rPr>
          <w:rFonts w:eastAsiaTheme="minorEastAsia"/>
          <w:rtl/>
        </w:rPr>
        <w:t xml:space="preserve"> واعتماد الاستراتيجية الوطنية للهجرة واللجوء في كانون الأول/ديسمبر </w:t>
      </w:r>
      <w:r w:rsidRPr="009E0726">
        <w:rPr>
          <w:rFonts w:eastAsiaTheme="minorEastAsia"/>
          <w:rtl/>
        </w:rPr>
        <w:t>2014</w:t>
      </w:r>
      <w:r w:rsidRPr="00CD4621">
        <w:rPr>
          <w:rFonts w:eastAsiaTheme="minorEastAsia"/>
          <w:rtl/>
        </w:rPr>
        <w:t xml:space="preserve">. </w:t>
      </w:r>
    </w:p>
    <w:p w14:paraId="549B01BA" w14:textId="77777777" w:rsidR="00CD4621" w:rsidRPr="00CD4621" w:rsidRDefault="00CD4621" w:rsidP="00CD4621">
      <w:pPr>
        <w:pStyle w:val="SingleTxtGA"/>
        <w:rPr>
          <w:rFonts w:eastAsiaTheme="minorEastAsia"/>
          <w:lang w:val="ar-SA" w:eastAsia="zh-TW" w:bidi="en-GB"/>
        </w:rPr>
      </w:pPr>
      <w:r w:rsidRPr="009E0726">
        <w:rPr>
          <w:rFonts w:eastAsiaTheme="minorEastAsia"/>
          <w:rtl/>
        </w:rPr>
        <w:t>19</w:t>
      </w:r>
      <w:r w:rsidRPr="00CD4621">
        <w:rPr>
          <w:rFonts w:eastAsiaTheme="minorEastAsia"/>
          <w:rtl/>
        </w:rPr>
        <w:t>-</w:t>
      </w:r>
      <w:r w:rsidRPr="00CD4621">
        <w:rPr>
          <w:rFonts w:eastAsiaTheme="minorEastAsia"/>
          <w:rtl/>
        </w:rPr>
        <w:tab/>
      </w:r>
      <w:r w:rsidRPr="009E0726">
        <w:rPr>
          <w:rFonts w:eastAsiaTheme="minorEastAsia"/>
          <w:b/>
          <w:bCs/>
          <w:rtl/>
        </w:rPr>
        <w:t>توصي اللجنة الدولة الطرف بكفالة أن تركز الاستراتيجية الوطنية للهجرة واللجوء تركيزاً كافياً على تنفيذ الاتفاقية، بما في ذلك مراعاة النوع الاجتماعي وحقوق الطفل وحقوق الإنسان بوجه عام، ولا سيما حقوق العمال المهاجرين الأجانب وأفراد أسرهم.</w:t>
      </w:r>
      <w:r w:rsidRPr="00CD4621">
        <w:rPr>
          <w:rFonts w:eastAsiaTheme="minorEastAsia"/>
          <w:rtl/>
        </w:rPr>
        <w:t xml:space="preserve"> </w:t>
      </w:r>
      <w:r w:rsidRPr="009E0726">
        <w:rPr>
          <w:rFonts w:eastAsiaTheme="minorEastAsia"/>
          <w:b/>
          <w:bCs/>
          <w:rtl/>
        </w:rPr>
        <w:t>وتوصي اللجنة أيضاً الدولة الطرف بتخصيص ما يكفي من الموارد البشرية والتقنية والمالية لتنفيذ الاستراتيجية.</w:t>
      </w:r>
      <w:r w:rsidRPr="00CD4621">
        <w:rPr>
          <w:rFonts w:eastAsiaTheme="minorEastAsia"/>
          <w:rtl/>
        </w:rPr>
        <w:t xml:space="preserve"> </w:t>
      </w:r>
    </w:p>
    <w:p w14:paraId="599E2EE9" w14:textId="77777777" w:rsidR="00CD4621" w:rsidRPr="009E0726" w:rsidRDefault="00CD4621" w:rsidP="00CD4621">
      <w:pPr>
        <w:pStyle w:val="H23GA"/>
        <w:rPr>
          <w:lang w:val="en-US" w:eastAsia="zh-TW" w:bidi="en-GB"/>
        </w:rPr>
      </w:pPr>
      <w:r w:rsidRPr="009E0726">
        <w:rPr>
          <w:rtl/>
        </w:rPr>
        <w:lastRenderedPageBreak/>
        <w:tab/>
      </w:r>
      <w:r w:rsidRPr="009E0726">
        <w:rPr>
          <w:rtl/>
        </w:rPr>
        <w:tab/>
        <w:t>التنسيق</w:t>
      </w:r>
    </w:p>
    <w:p w14:paraId="247A8187" w14:textId="05BD787D" w:rsidR="00CD4621" w:rsidRPr="00CD4621" w:rsidRDefault="00CD4621" w:rsidP="00CD4621">
      <w:pPr>
        <w:pStyle w:val="SingleTxtGA"/>
        <w:rPr>
          <w:rFonts w:eastAsiaTheme="minorEastAsia"/>
          <w:lang w:val="ar-SA" w:eastAsia="zh-TW" w:bidi="en-GB"/>
        </w:rPr>
      </w:pPr>
      <w:r w:rsidRPr="009E0726">
        <w:rPr>
          <w:rFonts w:eastAsiaTheme="minorEastAsia"/>
          <w:rtl/>
        </w:rPr>
        <w:t>20</w:t>
      </w:r>
      <w:r w:rsidRPr="00CD4621">
        <w:rPr>
          <w:rFonts w:eastAsiaTheme="minorEastAsia"/>
          <w:rtl/>
        </w:rPr>
        <w:t>-</w:t>
      </w:r>
      <w:r w:rsidRPr="00CD4621">
        <w:rPr>
          <w:rFonts w:eastAsiaTheme="minorEastAsia"/>
          <w:rtl/>
        </w:rPr>
        <w:tab/>
        <w:t>تلاحظ اللجنة أن الوزارة المكلفة بالمغاربة المقيمين بالخارج وشؤون الهجرة التي أنشئت في عام</w:t>
      </w:r>
      <w:r>
        <w:rPr>
          <w:rFonts w:eastAsiaTheme="minorEastAsia" w:hint="cs"/>
          <w:rtl/>
        </w:rPr>
        <w:t> </w:t>
      </w:r>
      <w:r w:rsidRPr="009E0726">
        <w:rPr>
          <w:rFonts w:eastAsiaTheme="minorEastAsia"/>
          <w:rtl/>
        </w:rPr>
        <w:t>2014</w:t>
      </w:r>
      <w:r w:rsidRPr="00CD4621">
        <w:rPr>
          <w:rFonts w:eastAsiaTheme="minorEastAsia"/>
          <w:rtl/>
        </w:rPr>
        <w:t xml:space="preserve"> وكُلفت بوضع وتنفيذ سياسة حكومية تتعلق بالمغاربة المقيمين بالخارج وبالمهاجرين في المغرب، قد أُلحقت بوزارة الشؤون الخارجية والتعاون الأفريقي والمغاربة المقيمين بالخارج في تشرين الأول/أكتوبر </w:t>
      </w:r>
      <w:r w:rsidRPr="009E0726">
        <w:rPr>
          <w:rFonts w:eastAsiaTheme="minorEastAsia"/>
          <w:rtl/>
        </w:rPr>
        <w:t>2021</w:t>
      </w:r>
      <w:r w:rsidRPr="00CD4621">
        <w:rPr>
          <w:rFonts w:eastAsiaTheme="minorEastAsia"/>
          <w:rtl/>
        </w:rPr>
        <w:t>. بيد أن اللجنة تلاحظ بقلق أن هذا التغيير المؤسسي قد يؤدي إلى تقويض الأولوية المعطاة لمسائل الهجرة في السياسة الحكومية.</w:t>
      </w:r>
    </w:p>
    <w:p w14:paraId="0AC7EC91" w14:textId="0ADBC90E" w:rsidR="00CD4621" w:rsidRPr="00CD4621" w:rsidRDefault="00CD4621" w:rsidP="00CD4621">
      <w:pPr>
        <w:pStyle w:val="SingleTxtGA"/>
        <w:rPr>
          <w:rFonts w:eastAsiaTheme="minorEastAsia"/>
          <w:lang w:val="ar-SA" w:eastAsia="zh-TW" w:bidi="en-GB"/>
        </w:rPr>
      </w:pPr>
      <w:r w:rsidRPr="009E0726">
        <w:rPr>
          <w:rFonts w:eastAsiaTheme="minorEastAsia"/>
          <w:rtl/>
        </w:rPr>
        <w:t>21</w:t>
      </w:r>
      <w:r w:rsidRPr="00CD4621">
        <w:rPr>
          <w:rFonts w:eastAsiaTheme="minorEastAsia"/>
          <w:rtl/>
        </w:rPr>
        <w:t>-</w:t>
      </w:r>
      <w:r w:rsidRPr="00CD4621">
        <w:rPr>
          <w:rFonts w:eastAsiaTheme="minorEastAsia"/>
          <w:rtl/>
        </w:rPr>
        <w:tab/>
      </w:r>
      <w:r w:rsidRPr="009E0726">
        <w:rPr>
          <w:rFonts w:eastAsiaTheme="minorEastAsia"/>
          <w:b/>
          <w:bCs/>
          <w:rtl/>
        </w:rPr>
        <w:t>توصي اللجنة الدولة الطرف بكفالة أن تكون للإدارة المعنية بشؤون الهجرة التابعة لوزارة الخارجية ولايةٌ واضحة وهيئة محددة لتنسيق جميع الأنشطة الرامية إلى الإعمال الفعال للحقوق التي تحميها الاتفاقية، وبتزويد هذه الهيئة التنسيقية بالموارد البشرية والتقنية والمالية اللازمة لتعمل بكفاءة</w:t>
      </w:r>
      <w:r w:rsidRPr="009E0726">
        <w:rPr>
          <w:rFonts w:eastAsiaTheme="minorEastAsia" w:hint="cs"/>
          <w:b/>
          <w:bCs/>
          <w:rtl/>
        </w:rPr>
        <w:t> </w:t>
      </w:r>
      <w:r w:rsidRPr="009E0726">
        <w:rPr>
          <w:rFonts w:eastAsiaTheme="minorEastAsia"/>
          <w:b/>
          <w:bCs/>
          <w:rtl/>
        </w:rPr>
        <w:t>واستدامة.</w:t>
      </w:r>
    </w:p>
    <w:p w14:paraId="32CB25F5" w14:textId="77777777" w:rsidR="00CD4621" w:rsidRPr="009E0726" w:rsidRDefault="00CD4621" w:rsidP="00CD4621">
      <w:pPr>
        <w:pStyle w:val="H23GA"/>
        <w:rPr>
          <w:lang w:val="ar-SA" w:eastAsia="zh-TW" w:bidi="en-GB"/>
        </w:rPr>
      </w:pPr>
      <w:r w:rsidRPr="009E0726">
        <w:rPr>
          <w:rtl/>
        </w:rPr>
        <w:tab/>
      </w:r>
      <w:r w:rsidRPr="009E0726">
        <w:rPr>
          <w:rtl/>
        </w:rPr>
        <w:tab/>
        <w:t>آلية الرصد المستقل</w:t>
      </w:r>
    </w:p>
    <w:p w14:paraId="367BF315" w14:textId="77777777" w:rsidR="00CD4621" w:rsidRPr="00CD4621" w:rsidRDefault="00CD4621" w:rsidP="00CD4621">
      <w:pPr>
        <w:pStyle w:val="SingleTxtGA"/>
        <w:rPr>
          <w:rFonts w:eastAsiaTheme="minorEastAsia"/>
          <w:lang w:val="ar-SA" w:eastAsia="zh-TW" w:bidi="en-GB"/>
        </w:rPr>
      </w:pPr>
      <w:r w:rsidRPr="009E0726">
        <w:rPr>
          <w:rFonts w:eastAsiaTheme="minorEastAsia"/>
          <w:rtl/>
        </w:rPr>
        <w:t>22</w:t>
      </w:r>
      <w:r w:rsidRPr="00CD4621">
        <w:rPr>
          <w:rFonts w:eastAsiaTheme="minorEastAsia"/>
          <w:rtl/>
        </w:rPr>
        <w:t>-</w:t>
      </w:r>
      <w:r w:rsidRPr="00CD4621">
        <w:rPr>
          <w:rFonts w:eastAsiaTheme="minorEastAsia"/>
          <w:rtl/>
        </w:rPr>
        <w:tab/>
        <w:t>تحيط اللجنة علماً بالجهود التي تبذلها الدولة الطرف لتعزيز مؤسستها الوطنية لحقوق الإنسان، أي المجلس الوطني لحقوق الإنسان. وتحيط علماً أيضاً بالتوصيات الواردة في تقرير الاعتماد الصادر عن اللجنة الفرعية المعنية بالاعتماد التابعة للتحالف العالمي للمؤسسات الوطنية لحقوق الإنسان.</w:t>
      </w:r>
    </w:p>
    <w:p w14:paraId="4C29469E" w14:textId="05EE6106" w:rsidR="00CD4621" w:rsidRPr="00CD4621" w:rsidRDefault="00CD4621" w:rsidP="00CD4621">
      <w:pPr>
        <w:pStyle w:val="SingleTxtGA"/>
        <w:rPr>
          <w:rFonts w:eastAsiaTheme="minorEastAsia"/>
          <w:lang w:val="ar-SA" w:eastAsia="zh-TW" w:bidi="en-GB"/>
        </w:rPr>
      </w:pPr>
      <w:r w:rsidRPr="009E0726">
        <w:rPr>
          <w:rFonts w:eastAsiaTheme="minorEastAsia"/>
          <w:rtl/>
        </w:rPr>
        <w:t>23</w:t>
      </w:r>
      <w:r w:rsidRPr="00CD4621">
        <w:rPr>
          <w:rFonts w:eastAsiaTheme="minorEastAsia"/>
          <w:rtl/>
        </w:rPr>
        <w:t>-</w:t>
      </w:r>
      <w:r w:rsidRPr="00CD4621">
        <w:rPr>
          <w:rFonts w:eastAsiaTheme="minorEastAsia"/>
          <w:rtl/>
        </w:rPr>
        <w:tab/>
      </w:r>
      <w:r w:rsidRPr="009E0726">
        <w:rPr>
          <w:rFonts w:eastAsiaTheme="minorEastAsia"/>
          <w:b/>
          <w:bCs/>
          <w:rtl/>
        </w:rPr>
        <w:t>توصي اللجنة الدولة الطرف بتنفيذ التوصيات الواردة في تقرير الاعتماد المذكور أعلاه، ومواصلة تعزيز استقلال وأداء المجلس الوطني لحقوق الإنسان، بما في ذلك على صعيد الميزانية، وفقاً</w:t>
      </w:r>
      <w:r w:rsidRPr="009E0726">
        <w:rPr>
          <w:rFonts w:eastAsiaTheme="minorEastAsia" w:hint="cs"/>
          <w:b/>
          <w:bCs/>
          <w:rtl/>
        </w:rPr>
        <w:t> </w:t>
      </w:r>
      <w:r w:rsidRPr="009E0726">
        <w:rPr>
          <w:rFonts w:eastAsiaTheme="minorEastAsia"/>
          <w:b/>
          <w:bCs/>
          <w:rtl/>
        </w:rPr>
        <w:t>للمبادئ المتعلقة بمركز المؤسسات الوطنية لتعزيز وحماية حقوق الإنسان (مبادئ باريس)، كي</w:t>
      </w:r>
      <w:r w:rsidRPr="009E0726">
        <w:rPr>
          <w:rFonts w:eastAsiaTheme="minorEastAsia" w:hint="cs"/>
          <w:b/>
          <w:bCs/>
          <w:rtl/>
        </w:rPr>
        <w:t> </w:t>
      </w:r>
      <w:r w:rsidRPr="009E0726">
        <w:rPr>
          <w:rFonts w:eastAsiaTheme="minorEastAsia"/>
          <w:b/>
          <w:bCs/>
          <w:rtl/>
        </w:rPr>
        <w:t>يكون المجلس أقدر على ضمان حماية فعلية لحقوق جميع العمال المهاجرين وأفراد أسرهم المعترف بها في الاتفاقية.</w:t>
      </w:r>
    </w:p>
    <w:p w14:paraId="6686FB01" w14:textId="77777777" w:rsidR="00CD4621" w:rsidRPr="009E0726" w:rsidRDefault="00CD4621" w:rsidP="00CD4621">
      <w:pPr>
        <w:pStyle w:val="H23GA"/>
        <w:rPr>
          <w:lang w:val="ar-SA" w:eastAsia="zh-TW" w:bidi="en-GB"/>
        </w:rPr>
      </w:pPr>
      <w:r w:rsidRPr="009E0726">
        <w:rPr>
          <w:rtl/>
        </w:rPr>
        <w:tab/>
      </w:r>
      <w:r w:rsidRPr="009E0726">
        <w:rPr>
          <w:rtl/>
        </w:rPr>
        <w:tab/>
        <w:t>التدريب في مجال الاتفاقية ونشر المعلومات المتعلقة بها</w:t>
      </w:r>
      <w:bookmarkStart w:id="1" w:name="_Hlk131595842"/>
      <w:bookmarkEnd w:id="1"/>
    </w:p>
    <w:p w14:paraId="63584CDF" w14:textId="1AF21797" w:rsidR="00CD4621" w:rsidRPr="00CD4621" w:rsidRDefault="00CD4621" w:rsidP="00CD4621">
      <w:pPr>
        <w:pStyle w:val="SingleTxtGA"/>
        <w:rPr>
          <w:rFonts w:eastAsiaTheme="minorEastAsia"/>
          <w:lang w:val="ar-SA" w:eastAsia="zh-TW" w:bidi="en-GB"/>
        </w:rPr>
      </w:pPr>
      <w:r w:rsidRPr="009E0726">
        <w:rPr>
          <w:rFonts w:eastAsiaTheme="minorEastAsia"/>
          <w:rtl/>
        </w:rPr>
        <w:t>24</w:t>
      </w:r>
      <w:r w:rsidRPr="00CD4621">
        <w:rPr>
          <w:rFonts w:eastAsiaTheme="minorEastAsia"/>
          <w:rtl/>
        </w:rPr>
        <w:t>-</w:t>
      </w:r>
      <w:r w:rsidRPr="00CD4621">
        <w:rPr>
          <w:rFonts w:eastAsiaTheme="minorEastAsia"/>
          <w:rtl/>
        </w:rPr>
        <w:tab/>
        <w:t>تلاحظ اللجنة مع التقدير قيام الدولة الطرف بتنظيم دورات تدريبية للموظفين القنصليين، ولا</w:t>
      </w:r>
      <w:r>
        <w:rPr>
          <w:rFonts w:eastAsiaTheme="minorEastAsia" w:hint="cs"/>
          <w:rtl/>
        </w:rPr>
        <w:t> </w:t>
      </w:r>
      <w:r w:rsidRPr="00CD4621">
        <w:rPr>
          <w:rFonts w:eastAsiaTheme="minorEastAsia"/>
          <w:rtl/>
        </w:rPr>
        <w:t>سيما قبل توليهم مهامهم، بشأن مرافقة المغاربة المقيمين في الخارج وتوجيههم القانوني وبشأن آليات المساعدة الاجتماعية والقضائية، وسبل الانتصاف وشروط الوصول إليها. غير أن اللجنة تشعر بالقلق إزاء عدم وجود مواد وبرامج تدريبية تتعلق تحديداً بالاتفاقية وبالحقوق المكرسة فيها، وإزاء عدم نشر هذه المعلومات بين جميع الجهات صاحبة المصلحة، ومنها الهيئات الإدارية على المستويات الوطني والإقليمي والمحلي، والمحاكم الوطنية، والموظفون الذين يقدمون المساعدة القانونية المجانية في إجراءات الهجرة، ومنظمات المجتمع المدني، والعمال المهاجرون وأفراد أسرهم.</w:t>
      </w:r>
    </w:p>
    <w:p w14:paraId="4D89FC59" w14:textId="3C1D1BDD" w:rsidR="00CD4621" w:rsidRPr="00CD4621" w:rsidRDefault="00CD4621" w:rsidP="00CD4621">
      <w:pPr>
        <w:pStyle w:val="SingleTxtGA"/>
        <w:rPr>
          <w:rFonts w:eastAsiaTheme="minorEastAsia"/>
          <w:lang w:val="ar-SA" w:eastAsia="zh-TW" w:bidi="en-GB"/>
        </w:rPr>
      </w:pPr>
      <w:r w:rsidRPr="009E0726">
        <w:rPr>
          <w:rFonts w:eastAsiaTheme="minorEastAsia"/>
          <w:rtl/>
        </w:rPr>
        <w:t>25</w:t>
      </w:r>
      <w:r w:rsidRPr="00CD4621">
        <w:rPr>
          <w:rFonts w:eastAsiaTheme="minorEastAsia"/>
          <w:rtl/>
        </w:rPr>
        <w:t>-</w:t>
      </w:r>
      <w:r w:rsidRPr="00CD4621">
        <w:rPr>
          <w:rFonts w:eastAsiaTheme="minorEastAsia"/>
          <w:rtl/>
        </w:rPr>
        <w:tab/>
      </w:r>
      <w:r w:rsidRPr="009E0726">
        <w:rPr>
          <w:rFonts w:eastAsiaTheme="minorEastAsia"/>
          <w:b/>
          <w:bCs/>
          <w:rtl/>
        </w:rPr>
        <w:t>تكرر اللجنة التوصيات الواردة في ملاحظاتها الختامية السابقة</w:t>
      </w:r>
      <w:r w:rsidRPr="008839E6">
        <w:rPr>
          <w:rStyle w:val="FootnoteReference"/>
          <w:rFonts w:eastAsiaTheme="minorEastAsia"/>
          <w:sz w:val="22"/>
          <w:rtl/>
        </w:rPr>
        <w:t>(</w:t>
      </w:r>
      <w:r w:rsidRPr="009E0726">
        <w:rPr>
          <w:rStyle w:val="FootnoteReference"/>
          <w:rFonts w:eastAsiaTheme="minorEastAsia"/>
          <w:sz w:val="22"/>
          <w:lang w:val="en-US"/>
        </w:rPr>
        <w:footnoteReference w:id="8"/>
      </w:r>
      <w:r w:rsidRPr="008839E6">
        <w:rPr>
          <w:rStyle w:val="FootnoteReference"/>
          <w:rFonts w:eastAsiaTheme="minorEastAsia"/>
          <w:sz w:val="22"/>
          <w:rtl/>
        </w:rPr>
        <w:t>)</w:t>
      </w:r>
      <w:r w:rsidRPr="009E0726">
        <w:rPr>
          <w:rFonts w:eastAsiaTheme="minorEastAsia"/>
          <w:b/>
          <w:bCs/>
          <w:rtl/>
        </w:rPr>
        <w:t>، وتوصي الدولة الطرف</w:t>
      </w:r>
      <w:r w:rsidRPr="009E0726">
        <w:rPr>
          <w:rFonts w:eastAsiaTheme="minorEastAsia" w:hint="cs"/>
          <w:b/>
          <w:bCs/>
          <w:rtl/>
        </w:rPr>
        <w:t> </w:t>
      </w:r>
      <w:r w:rsidRPr="009E0726">
        <w:rPr>
          <w:rFonts w:eastAsiaTheme="minorEastAsia"/>
          <w:b/>
          <w:bCs/>
          <w:rtl/>
        </w:rPr>
        <w:t>بما</w:t>
      </w:r>
      <w:r w:rsidRPr="009E0726">
        <w:rPr>
          <w:rFonts w:eastAsiaTheme="minorEastAsia" w:hint="cs"/>
          <w:b/>
          <w:bCs/>
          <w:rtl/>
        </w:rPr>
        <w:t> </w:t>
      </w:r>
      <w:r w:rsidRPr="009E0726">
        <w:rPr>
          <w:rFonts w:eastAsiaTheme="minorEastAsia"/>
          <w:b/>
          <w:bCs/>
          <w:rtl/>
        </w:rPr>
        <w:t>يلي:</w:t>
      </w:r>
    </w:p>
    <w:p w14:paraId="41A2CD68" w14:textId="4C089B95" w:rsidR="00CD4621" w:rsidRPr="00CD4621" w:rsidRDefault="00CD4621" w:rsidP="00CD4621">
      <w:pPr>
        <w:pStyle w:val="SingleTxtGA"/>
        <w:rPr>
          <w:rFonts w:eastAsiaTheme="minorEastAsia"/>
          <w:lang w:val="ar-SA" w:eastAsia="zh-TW" w:bidi="en-GB"/>
        </w:rPr>
      </w:pPr>
      <w:r>
        <w:rPr>
          <w:rFonts w:eastAsiaTheme="minorEastAsia"/>
          <w:rtl/>
        </w:rPr>
        <w:tab/>
      </w:r>
      <w:r w:rsidRPr="00CD4621">
        <w:rPr>
          <w:rFonts w:eastAsiaTheme="minorEastAsia"/>
          <w:rtl/>
        </w:rPr>
        <w:t>(أ)</w:t>
      </w:r>
      <w:r w:rsidRPr="00CD4621">
        <w:rPr>
          <w:rFonts w:eastAsiaTheme="minorEastAsia"/>
          <w:rtl/>
        </w:rPr>
        <w:tab/>
      </w:r>
      <w:r w:rsidRPr="009E0726">
        <w:rPr>
          <w:rFonts w:eastAsiaTheme="minorEastAsia"/>
          <w:b/>
          <w:bCs/>
          <w:rtl/>
        </w:rPr>
        <w:t>وضع مواد وبرامج تدريبية تتعلق تحديداً بالاتفاقية والحقوق المكرسة فيها؛</w:t>
      </w:r>
    </w:p>
    <w:p w14:paraId="1DAED7EA" w14:textId="161C056B" w:rsidR="00CD4621" w:rsidRPr="00CD4621" w:rsidRDefault="00CD4621" w:rsidP="00CD4621">
      <w:pPr>
        <w:pStyle w:val="SingleTxtGA"/>
        <w:rPr>
          <w:rFonts w:eastAsiaTheme="minorEastAsia"/>
          <w:lang w:val="ar-SA" w:eastAsia="zh-TW" w:bidi="en-GB"/>
        </w:rPr>
      </w:pPr>
      <w:r>
        <w:rPr>
          <w:rFonts w:eastAsiaTheme="minorEastAsia"/>
          <w:rtl/>
        </w:rPr>
        <w:tab/>
      </w:r>
      <w:r w:rsidRPr="00CD4621">
        <w:rPr>
          <w:rFonts w:eastAsiaTheme="minorEastAsia"/>
          <w:rtl/>
        </w:rPr>
        <w:t>(ب)</w:t>
      </w:r>
      <w:r w:rsidRPr="00CD4621">
        <w:rPr>
          <w:rFonts w:eastAsiaTheme="minorEastAsia"/>
          <w:rtl/>
        </w:rPr>
        <w:tab/>
      </w:r>
      <w:r w:rsidRPr="009E0726">
        <w:rPr>
          <w:rFonts w:eastAsiaTheme="minorEastAsia"/>
          <w:b/>
          <w:bCs/>
          <w:rtl/>
        </w:rPr>
        <w:t>تكثيف التدريب على مضمون الاتفاقية لجميع الموظفين العاملين في مجال الهجرة، ولا سيما أفراد الشرطة وموظفي المراقبة على الحدود، ومفتشي العمل، والقضاة، وجميع الموظفين المعنيين بشؤون العمال المهاجرين على الصعيد المحلي، والموظفين الدبلوماسيين والقنصليين؛</w:t>
      </w:r>
    </w:p>
    <w:p w14:paraId="579DEA46" w14:textId="655201CD" w:rsidR="00CD4621" w:rsidRPr="00CD4621" w:rsidRDefault="00CD4621" w:rsidP="00CD4621">
      <w:pPr>
        <w:pStyle w:val="SingleTxtGA"/>
        <w:rPr>
          <w:rFonts w:eastAsiaTheme="minorEastAsia"/>
          <w:lang w:val="ar-SA" w:eastAsia="zh-TW" w:bidi="en-GB"/>
        </w:rPr>
      </w:pPr>
      <w:r>
        <w:rPr>
          <w:rFonts w:eastAsiaTheme="minorEastAsia"/>
          <w:rtl/>
        </w:rPr>
        <w:lastRenderedPageBreak/>
        <w:tab/>
      </w:r>
      <w:r w:rsidRPr="00CD4621">
        <w:rPr>
          <w:rFonts w:eastAsiaTheme="minorEastAsia"/>
          <w:rtl/>
        </w:rPr>
        <w:t>(ج)</w:t>
      </w:r>
      <w:r w:rsidRPr="00CD4621">
        <w:rPr>
          <w:rFonts w:eastAsiaTheme="minorEastAsia"/>
          <w:rtl/>
        </w:rPr>
        <w:tab/>
      </w:r>
      <w:r w:rsidRPr="009E0726">
        <w:rPr>
          <w:rFonts w:eastAsiaTheme="minorEastAsia"/>
          <w:b/>
          <w:bCs/>
          <w:rtl/>
        </w:rPr>
        <w:t>اتخاذ التدابير العملية لكفالة حصول العمال المهاجرين على معلومات وتوجيهات بشأن الحقوق المعترف لهم بها في الاتفاقية؛</w:t>
      </w:r>
    </w:p>
    <w:p w14:paraId="60315718" w14:textId="2714D592" w:rsidR="00CD4621" w:rsidRPr="009E0726" w:rsidRDefault="00CD4621" w:rsidP="00CD4621">
      <w:pPr>
        <w:pStyle w:val="SingleTxtGA"/>
        <w:rPr>
          <w:rFonts w:eastAsiaTheme="minorEastAsia"/>
          <w:b/>
          <w:lang w:val="ar-SA" w:eastAsia="zh-TW" w:bidi="en-GB"/>
        </w:rPr>
      </w:pPr>
      <w:r w:rsidRPr="009E0726">
        <w:rPr>
          <w:rFonts w:eastAsiaTheme="minorEastAsia"/>
          <w:bCs/>
          <w:rtl/>
        </w:rPr>
        <w:tab/>
      </w:r>
      <w:r w:rsidRPr="009E0726">
        <w:rPr>
          <w:rFonts w:eastAsiaTheme="minorEastAsia"/>
          <w:b/>
          <w:rtl/>
        </w:rPr>
        <w:t>(د)</w:t>
      </w:r>
      <w:r w:rsidRPr="009E0726">
        <w:rPr>
          <w:rFonts w:eastAsiaTheme="minorEastAsia"/>
          <w:bCs/>
          <w:rtl/>
        </w:rPr>
        <w:tab/>
      </w:r>
      <w:r w:rsidRPr="009E0726">
        <w:rPr>
          <w:rFonts w:eastAsiaTheme="minorEastAsia"/>
          <w:b/>
          <w:bCs/>
          <w:rtl/>
        </w:rPr>
        <w:t>تعزيز تعاونها مع منظمات المجتمع المدني ووسائط الإعلام فيما يتعلق بالترويج للاتفاقية ونشرها.</w:t>
      </w:r>
    </w:p>
    <w:p w14:paraId="351F4571" w14:textId="547FC80E" w:rsidR="00CD4621" w:rsidRPr="009E0726" w:rsidRDefault="00CD4621" w:rsidP="00CD4621">
      <w:pPr>
        <w:pStyle w:val="H23GA"/>
        <w:rPr>
          <w:lang w:val="ar-SA" w:eastAsia="zh-TW" w:bidi="en-GB"/>
        </w:rPr>
      </w:pPr>
      <w:r w:rsidRPr="009E0726">
        <w:rPr>
          <w:rtl/>
        </w:rPr>
        <w:tab/>
        <w:t>2-</w:t>
      </w:r>
      <w:r w:rsidRPr="009E0726">
        <w:rPr>
          <w:rtl/>
        </w:rPr>
        <w:tab/>
        <w:t>المبادئ العامة (المادتان 7 و83)</w:t>
      </w:r>
    </w:p>
    <w:p w14:paraId="40FC9638" w14:textId="0BB7D061" w:rsidR="00CD4621" w:rsidRPr="009E0726" w:rsidRDefault="00CD4621" w:rsidP="00CD4621">
      <w:pPr>
        <w:pStyle w:val="H23GA"/>
        <w:rPr>
          <w:lang w:val="ar-SA" w:eastAsia="zh-TW" w:bidi="en-GB"/>
        </w:rPr>
      </w:pPr>
      <w:r w:rsidRPr="009E0726">
        <w:rPr>
          <w:rtl/>
        </w:rPr>
        <w:tab/>
      </w:r>
      <w:r w:rsidRPr="009E0726">
        <w:rPr>
          <w:rtl/>
        </w:rPr>
        <w:tab/>
        <w:t>مبدأ عدم التمييز</w:t>
      </w:r>
    </w:p>
    <w:p w14:paraId="351BCC12" w14:textId="77777777" w:rsidR="00CD4621" w:rsidRPr="00CD4621" w:rsidRDefault="00CD4621" w:rsidP="00CD4621">
      <w:pPr>
        <w:pStyle w:val="SingleTxtGA"/>
        <w:rPr>
          <w:rFonts w:eastAsiaTheme="minorEastAsia"/>
          <w:lang w:val="ar-SA" w:eastAsia="zh-TW" w:bidi="en-GB"/>
        </w:rPr>
      </w:pPr>
      <w:r w:rsidRPr="009E0726">
        <w:rPr>
          <w:rFonts w:eastAsiaTheme="minorEastAsia"/>
          <w:rtl/>
        </w:rPr>
        <w:t>26</w:t>
      </w:r>
      <w:r w:rsidRPr="00CD4621">
        <w:rPr>
          <w:rFonts w:eastAsiaTheme="minorEastAsia"/>
          <w:rtl/>
        </w:rPr>
        <w:t>-</w:t>
      </w:r>
      <w:r w:rsidRPr="00CD4621">
        <w:rPr>
          <w:rFonts w:eastAsiaTheme="minorEastAsia"/>
          <w:rtl/>
        </w:rPr>
        <w:tab/>
        <w:t xml:space="preserve">تشعر اللجنة بقلق شديد إزاء التقارير التي تفيد بالتمييز في معاملة العمال المهاجرين من جنوب الصحراء الكبرى، بما في ذلك اعتقالهم وطردهم إلى بلدهم أو إلى مدن مغربية أخرى أو إلى الحدود الشرقية. ويساور اللجنة القلق أيضاً إزاء الادعاءات التي تفيد بأن الفضاء العام على الإنترنت وفي أرض الواقع شهد، خلال عام </w:t>
      </w:r>
      <w:r w:rsidRPr="009E0726">
        <w:rPr>
          <w:rFonts w:eastAsiaTheme="minorEastAsia"/>
          <w:rtl/>
        </w:rPr>
        <w:t>2023</w:t>
      </w:r>
      <w:r w:rsidRPr="00CD4621">
        <w:rPr>
          <w:rFonts w:eastAsiaTheme="minorEastAsia"/>
          <w:rtl/>
        </w:rPr>
        <w:t>، تصاعد الخطاب التمييزي ضد المهاجرين من بلدان أفريقيا جنوب الصحراء الكبرى.</w:t>
      </w:r>
    </w:p>
    <w:p w14:paraId="06708D55" w14:textId="0CBA09B8" w:rsidR="00CD4621" w:rsidRPr="00CD4621" w:rsidRDefault="00CD4621" w:rsidP="00CD4621">
      <w:pPr>
        <w:pStyle w:val="SingleTxtGA"/>
        <w:rPr>
          <w:rFonts w:eastAsiaTheme="minorEastAsia"/>
          <w:lang w:val="ar-SA" w:eastAsia="zh-TW" w:bidi="en-GB"/>
        </w:rPr>
      </w:pPr>
      <w:r w:rsidRPr="009E0726">
        <w:rPr>
          <w:rFonts w:eastAsiaTheme="minorEastAsia"/>
          <w:rtl/>
        </w:rPr>
        <w:t>27</w:t>
      </w:r>
      <w:r w:rsidRPr="00CD4621">
        <w:rPr>
          <w:rFonts w:eastAsiaTheme="minorEastAsia"/>
          <w:rtl/>
        </w:rPr>
        <w:t>-</w:t>
      </w:r>
      <w:r w:rsidRPr="00CD4621">
        <w:rPr>
          <w:rFonts w:eastAsiaTheme="minorEastAsia"/>
          <w:rtl/>
        </w:rPr>
        <w:tab/>
      </w:r>
      <w:r w:rsidRPr="009E0726">
        <w:rPr>
          <w:rFonts w:eastAsiaTheme="minorEastAsia"/>
          <w:b/>
          <w:bCs/>
          <w:rtl/>
        </w:rPr>
        <w:t>تجدد اللجنة التوصيات الواردة في ملاحظاتها الختامية السابقة</w:t>
      </w:r>
      <w:r w:rsidRPr="008839E6">
        <w:rPr>
          <w:rStyle w:val="FootnoteReference"/>
          <w:rFonts w:eastAsiaTheme="minorEastAsia"/>
          <w:sz w:val="22"/>
          <w:rtl/>
        </w:rPr>
        <w:t>(</w:t>
      </w:r>
      <w:r w:rsidRPr="009E0726">
        <w:rPr>
          <w:rStyle w:val="FootnoteReference"/>
          <w:rFonts w:eastAsiaTheme="minorEastAsia"/>
          <w:sz w:val="22"/>
          <w:lang w:val="en-US"/>
        </w:rPr>
        <w:footnoteReference w:id="9"/>
      </w:r>
      <w:r w:rsidRPr="008839E6">
        <w:rPr>
          <w:rStyle w:val="FootnoteReference"/>
          <w:rFonts w:eastAsiaTheme="minorEastAsia"/>
          <w:sz w:val="22"/>
          <w:rtl/>
        </w:rPr>
        <w:t>)</w:t>
      </w:r>
      <w:r w:rsidRPr="009E0726">
        <w:rPr>
          <w:rFonts w:eastAsiaTheme="minorEastAsia"/>
          <w:b/>
          <w:bCs/>
          <w:rtl/>
        </w:rPr>
        <w:t>، وتوصي الدولة الطرف بكفالة تمتُّع جميع العمال المهاجرين وأفراد أسرهم الموجودين في أراضيها أو الخاضعين لولايتها بالحقوق المنصوص عليها في الاتفاقية دون أي تمييز، وفقاً للمادة 7.</w:t>
      </w:r>
      <w:r w:rsidRPr="00CD4621">
        <w:rPr>
          <w:rFonts w:eastAsiaTheme="minorEastAsia"/>
          <w:rtl/>
        </w:rPr>
        <w:t xml:space="preserve"> </w:t>
      </w:r>
      <w:r w:rsidRPr="009E0726">
        <w:rPr>
          <w:rFonts w:eastAsiaTheme="minorEastAsia"/>
          <w:b/>
          <w:bCs/>
          <w:rtl/>
        </w:rPr>
        <w:t>وتوصي اللجنة الدولة الطرف أيضاً باتخاذ تدابير فورية وفعالة لمكافحة الوصم الاجتماعي والعنصري للعمال المهاجرين، ولا سيما العمال المهاجرين من جنوب الصحراء الكبرى.</w:t>
      </w:r>
      <w:r w:rsidRPr="00CD4621">
        <w:rPr>
          <w:rFonts w:eastAsiaTheme="minorEastAsia"/>
          <w:rtl/>
        </w:rPr>
        <w:t xml:space="preserve"> </w:t>
      </w:r>
      <w:r w:rsidRPr="009E0726">
        <w:rPr>
          <w:rFonts w:eastAsiaTheme="minorEastAsia"/>
          <w:b/>
          <w:bCs/>
          <w:rtl/>
        </w:rPr>
        <w:t>وتحث اللجنة الدولة الطرف على تنظيم حملات مكثفة للتوعية والتثقيف في هذا الصدد.</w:t>
      </w:r>
      <w:bookmarkStart w:id="2" w:name="_Hlk130483541"/>
      <w:bookmarkEnd w:id="2"/>
    </w:p>
    <w:p w14:paraId="26EAB199" w14:textId="77777777" w:rsidR="00CD4621" w:rsidRPr="009E0726" w:rsidRDefault="00CD4621" w:rsidP="00CD4621">
      <w:pPr>
        <w:pStyle w:val="H23GA"/>
        <w:rPr>
          <w:lang w:val="ar-SA" w:eastAsia="zh-TW" w:bidi="en-GB"/>
        </w:rPr>
      </w:pPr>
      <w:r w:rsidRPr="009E0726">
        <w:rPr>
          <w:rtl/>
        </w:rPr>
        <w:tab/>
      </w:r>
      <w:r w:rsidRPr="009E0726">
        <w:rPr>
          <w:rtl/>
        </w:rPr>
        <w:tab/>
        <w:t>الحق في سبيل انتصاف فعال</w:t>
      </w:r>
    </w:p>
    <w:p w14:paraId="14AC0B82" w14:textId="40345DCA" w:rsidR="00CD4621" w:rsidRPr="00CD4621" w:rsidRDefault="00CD4621" w:rsidP="00CD4621">
      <w:pPr>
        <w:pStyle w:val="SingleTxtGA"/>
        <w:rPr>
          <w:rFonts w:eastAsiaTheme="minorEastAsia"/>
          <w:lang w:val="ar-SA" w:eastAsia="zh-TW" w:bidi="en-GB"/>
        </w:rPr>
      </w:pPr>
      <w:r w:rsidRPr="009E0726">
        <w:rPr>
          <w:rFonts w:eastAsiaTheme="minorEastAsia"/>
          <w:rtl/>
        </w:rPr>
        <w:t>28</w:t>
      </w:r>
      <w:r w:rsidRPr="00CD4621">
        <w:rPr>
          <w:rFonts w:eastAsiaTheme="minorEastAsia"/>
          <w:rtl/>
        </w:rPr>
        <w:t>-</w:t>
      </w:r>
      <w:r w:rsidRPr="00CD4621">
        <w:rPr>
          <w:rFonts w:eastAsiaTheme="minorEastAsia"/>
          <w:rtl/>
        </w:rPr>
        <w:tab/>
        <w:t>تلاحظ اللجنة إحراز تقدم في منح العمال المهاجرين نفس الحق في الوصول إلى العدالة الذي يتمتع به المواطنون. ومع ذلك، يساور اللجنة القلق إزاء المعلومات التي تفيد بإلقاء القبض على عمال مهاجرين ومحاكمتهم أحياناً دون محام، في غياب ترجمة الوثائق أو مساعدة مترجم شفوي عندما لا يفهم أولئك العمال اللغة المستخدمة أو لا يتكلمونها. وتلاحظ اللجنة بقلق عدم اتخاذ تدابير محددة لإبلاغ العمال المهاجرين وأفراد أسرهم بسبل الانتصاف المتاحة لهم في حال انتهاك حقوقهم بموجب الاتفاقية. ويساور اللجنة القلق أيضاً إزاء المعلومات التي تفيد بأن العديد من العمال المهاجرين في المغرب يفتقرون إلى الموارد المالية، وبالتالي يواجهون في كثير من الأحيان صعوبات في دفع التكاليف المرتبطة</w:t>
      </w:r>
      <w:r>
        <w:rPr>
          <w:rFonts w:eastAsiaTheme="minorEastAsia" w:hint="cs"/>
          <w:rtl/>
        </w:rPr>
        <w:t> </w:t>
      </w:r>
      <w:r w:rsidRPr="00CD4621">
        <w:rPr>
          <w:rFonts w:eastAsiaTheme="minorEastAsia"/>
          <w:rtl/>
        </w:rPr>
        <w:t>بالمحاكمة.</w:t>
      </w:r>
    </w:p>
    <w:p w14:paraId="2742344C" w14:textId="2B7D4A7E" w:rsidR="00CD4621" w:rsidRPr="00CD4621" w:rsidRDefault="00CD4621" w:rsidP="00CD4621">
      <w:pPr>
        <w:pStyle w:val="SingleTxtGA"/>
        <w:rPr>
          <w:rFonts w:eastAsiaTheme="minorEastAsia"/>
          <w:lang w:val="ar-SA" w:eastAsia="zh-TW" w:bidi="en-GB"/>
        </w:rPr>
      </w:pPr>
      <w:r w:rsidRPr="009E0726">
        <w:rPr>
          <w:rFonts w:eastAsiaTheme="minorEastAsia"/>
          <w:rtl/>
        </w:rPr>
        <w:t>29</w:t>
      </w:r>
      <w:r w:rsidRPr="00CD4621">
        <w:rPr>
          <w:rFonts w:eastAsiaTheme="minorEastAsia"/>
          <w:rtl/>
        </w:rPr>
        <w:t>-</w:t>
      </w:r>
      <w:r w:rsidRPr="00CD4621">
        <w:rPr>
          <w:rFonts w:eastAsiaTheme="minorEastAsia"/>
          <w:rtl/>
        </w:rPr>
        <w:tab/>
      </w:r>
      <w:r w:rsidRPr="009E0726">
        <w:rPr>
          <w:rFonts w:eastAsiaTheme="minorEastAsia"/>
          <w:b/>
          <w:bCs/>
          <w:rtl/>
        </w:rPr>
        <w:t>تكرر اللجنة التوصيات الواردة في ملاحظاتها الختامية السابقة</w:t>
      </w:r>
      <w:r w:rsidRPr="008839E6">
        <w:rPr>
          <w:rStyle w:val="FootnoteReference"/>
          <w:rFonts w:eastAsiaTheme="minorEastAsia"/>
          <w:sz w:val="22"/>
          <w:rtl/>
        </w:rPr>
        <w:t>(</w:t>
      </w:r>
      <w:r w:rsidRPr="009E0726">
        <w:rPr>
          <w:rStyle w:val="FootnoteReference"/>
          <w:rFonts w:eastAsiaTheme="minorEastAsia"/>
          <w:sz w:val="22"/>
          <w:lang w:val="en-US"/>
        </w:rPr>
        <w:footnoteReference w:id="10"/>
      </w:r>
      <w:r w:rsidRPr="008839E6">
        <w:rPr>
          <w:rStyle w:val="FootnoteReference"/>
          <w:rFonts w:eastAsiaTheme="minorEastAsia"/>
          <w:sz w:val="22"/>
          <w:rtl/>
        </w:rPr>
        <w:t>)</w:t>
      </w:r>
      <w:r w:rsidRPr="009E0726">
        <w:rPr>
          <w:rFonts w:eastAsiaTheme="minorEastAsia"/>
          <w:b/>
          <w:bCs/>
          <w:rtl/>
        </w:rPr>
        <w:t>، وتوصي الدولةَ الطرف</w:t>
      </w:r>
      <w:r w:rsidRPr="009E0726">
        <w:rPr>
          <w:rFonts w:eastAsiaTheme="minorEastAsia" w:hint="cs"/>
          <w:b/>
          <w:bCs/>
          <w:rtl/>
        </w:rPr>
        <w:t> </w:t>
      </w:r>
      <w:r w:rsidRPr="009E0726">
        <w:rPr>
          <w:rFonts w:eastAsiaTheme="minorEastAsia"/>
          <w:b/>
          <w:bCs/>
          <w:rtl/>
        </w:rPr>
        <w:t>بما</w:t>
      </w:r>
      <w:r w:rsidRPr="009E0726">
        <w:rPr>
          <w:rFonts w:eastAsiaTheme="minorEastAsia" w:hint="cs"/>
          <w:b/>
          <w:bCs/>
          <w:rtl/>
        </w:rPr>
        <w:t> </w:t>
      </w:r>
      <w:r w:rsidRPr="009E0726">
        <w:rPr>
          <w:rFonts w:eastAsiaTheme="minorEastAsia"/>
          <w:b/>
          <w:bCs/>
          <w:rtl/>
        </w:rPr>
        <w:t>يلي:</w:t>
      </w:r>
      <w:r w:rsidRPr="00CD4621">
        <w:rPr>
          <w:rFonts w:eastAsiaTheme="minorEastAsia"/>
          <w:rtl/>
        </w:rPr>
        <w:t xml:space="preserve"> </w:t>
      </w:r>
    </w:p>
    <w:p w14:paraId="31DD18AF" w14:textId="1E7B9E18" w:rsidR="00CD4621" w:rsidRPr="00CD4621" w:rsidRDefault="00CD4621" w:rsidP="00CD4621">
      <w:pPr>
        <w:pStyle w:val="SingleTxtGA"/>
        <w:rPr>
          <w:rFonts w:eastAsiaTheme="minorEastAsia"/>
          <w:lang w:val="ar-SA" w:eastAsia="zh-TW" w:bidi="en-GB"/>
        </w:rPr>
      </w:pPr>
      <w:r>
        <w:rPr>
          <w:rFonts w:eastAsiaTheme="minorEastAsia"/>
          <w:rtl/>
        </w:rPr>
        <w:tab/>
      </w:r>
      <w:r w:rsidRPr="00CD4621">
        <w:rPr>
          <w:rFonts w:eastAsiaTheme="minorEastAsia"/>
          <w:rtl/>
        </w:rPr>
        <w:t>(أ)</w:t>
      </w:r>
      <w:r w:rsidRPr="00CD4621">
        <w:rPr>
          <w:rFonts w:eastAsiaTheme="minorEastAsia"/>
          <w:rtl/>
        </w:rPr>
        <w:tab/>
      </w:r>
      <w:r w:rsidRPr="009E0726">
        <w:rPr>
          <w:rFonts w:eastAsiaTheme="minorEastAsia"/>
          <w:b/>
          <w:bCs/>
          <w:rtl/>
        </w:rPr>
        <w:t>ضمان تمتع العمال المهاجرين وأفراد أسرهم، بمن فيهم غير النظاميين، بالإمكانيات نفسها المتاحة لرعاياها فيما يتعلق برفع الشكاوى والاستفادة من سبل الانتصاف الفعال أمام المحاكم في حال انتهاك حقوقهم المعترف بها في الاتفاقية؛</w:t>
      </w:r>
    </w:p>
    <w:p w14:paraId="0A08B995" w14:textId="1350D156" w:rsidR="00CD4621" w:rsidRPr="00CD4621" w:rsidRDefault="00CD4621" w:rsidP="00CD4621">
      <w:pPr>
        <w:pStyle w:val="SingleTxtGA"/>
        <w:rPr>
          <w:rFonts w:eastAsiaTheme="minorEastAsia"/>
          <w:lang w:val="ar-SA" w:eastAsia="zh-TW" w:bidi="en-GB"/>
        </w:rPr>
      </w:pPr>
      <w:r>
        <w:rPr>
          <w:rFonts w:eastAsiaTheme="minorEastAsia"/>
          <w:rtl/>
        </w:rPr>
        <w:lastRenderedPageBreak/>
        <w:tab/>
      </w:r>
      <w:r w:rsidRPr="00CD4621">
        <w:rPr>
          <w:rFonts w:eastAsiaTheme="minorEastAsia"/>
          <w:rtl/>
        </w:rPr>
        <w:t>(ب)</w:t>
      </w:r>
      <w:r w:rsidRPr="00CD4621">
        <w:rPr>
          <w:rFonts w:eastAsiaTheme="minorEastAsia"/>
          <w:rtl/>
        </w:rPr>
        <w:tab/>
      </w:r>
      <w:r w:rsidRPr="009E0726">
        <w:rPr>
          <w:rFonts w:eastAsiaTheme="minorEastAsia"/>
          <w:b/>
          <w:bCs/>
          <w:rtl/>
        </w:rPr>
        <w:t>تمكين العمال المهاجرين من الاستفادة، وفقاً للفقرة 8 من المادة 16 والفقرة 3(د) من المادة 18 من الاتفاقية، من مساعدة محام ومن خدمات الترجمة التحريرية والترجمة الشفوية المناسبة عند الضرورة؛</w:t>
      </w:r>
    </w:p>
    <w:p w14:paraId="0BC451F6" w14:textId="77F87FEE" w:rsidR="00CD4621" w:rsidRPr="00CD4621" w:rsidRDefault="00CD4621" w:rsidP="00CD4621">
      <w:pPr>
        <w:pStyle w:val="SingleTxtGA"/>
        <w:rPr>
          <w:rFonts w:eastAsiaTheme="minorEastAsia"/>
          <w:lang w:val="ar-SA" w:eastAsia="zh-TW" w:bidi="en-GB"/>
        </w:rPr>
      </w:pPr>
      <w:r>
        <w:rPr>
          <w:rFonts w:eastAsiaTheme="minorEastAsia"/>
          <w:rtl/>
        </w:rPr>
        <w:tab/>
      </w:r>
      <w:r w:rsidRPr="00CD4621">
        <w:rPr>
          <w:rFonts w:eastAsiaTheme="minorEastAsia"/>
          <w:rtl/>
        </w:rPr>
        <w:t>(ج)</w:t>
      </w:r>
      <w:r w:rsidRPr="00CD4621">
        <w:rPr>
          <w:rFonts w:eastAsiaTheme="minorEastAsia"/>
          <w:rtl/>
        </w:rPr>
        <w:tab/>
      </w:r>
      <w:r w:rsidRPr="009E0726">
        <w:rPr>
          <w:rFonts w:eastAsiaTheme="minorEastAsia"/>
          <w:b/>
          <w:bCs/>
          <w:rtl/>
        </w:rPr>
        <w:t>تعميم المعلومات على العمال المهاجرين وأفراد أسرهم، بمن فيهم غير النظاميين، وإبلاغهم بالسبل القضائية وغيرها من السبل المتاحة لهم، ومعالجة شكاواهم على أفضل وجه ممكن.</w:t>
      </w:r>
    </w:p>
    <w:p w14:paraId="1395CC00" w14:textId="452AB6E0" w:rsidR="00CD4621" w:rsidRPr="009E0726" w:rsidRDefault="00CD4621" w:rsidP="00CD4621">
      <w:pPr>
        <w:pStyle w:val="H23GA"/>
        <w:rPr>
          <w:lang w:val="ar-SA" w:eastAsia="zh-TW"/>
        </w:rPr>
      </w:pPr>
      <w:r w:rsidRPr="009E0726">
        <w:rPr>
          <w:rtl/>
        </w:rPr>
        <w:tab/>
        <w:t>3-</w:t>
      </w:r>
      <w:r w:rsidRPr="009E0726">
        <w:rPr>
          <w:rtl/>
        </w:rPr>
        <w:tab/>
        <w:t>حقوق الإنسان لجميع العمال المهاجرين وأفراد أسرهم (المواد 8-35)</w:t>
      </w:r>
    </w:p>
    <w:p w14:paraId="76AF7469" w14:textId="74BFDDDC" w:rsidR="00CD4621" w:rsidRPr="009E0726" w:rsidRDefault="00CD4621" w:rsidP="00CD4621">
      <w:pPr>
        <w:pStyle w:val="H23GA"/>
        <w:rPr>
          <w:lang w:val="ar-SA" w:eastAsia="zh-TW" w:bidi="en-GB"/>
        </w:rPr>
      </w:pPr>
      <w:r w:rsidRPr="009E0726">
        <w:rPr>
          <w:rtl/>
        </w:rPr>
        <w:tab/>
      </w:r>
      <w:r w:rsidRPr="009E0726">
        <w:rPr>
          <w:rtl/>
        </w:rPr>
        <w:tab/>
        <w:t>الحق في الحياة وحظر التعذيب وغيره من ضروب المعاملة اللاإنسانية أو المهينة</w:t>
      </w:r>
    </w:p>
    <w:p w14:paraId="3BE7F1A6" w14:textId="3554BE36" w:rsidR="00CD4621" w:rsidRPr="00CD4621" w:rsidRDefault="00CD4621" w:rsidP="00CD4621">
      <w:pPr>
        <w:pStyle w:val="SingleTxtGA"/>
        <w:rPr>
          <w:rFonts w:eastAsiaTheme="minorEastAsia"/>
          <w:lang w:val="ar-SA" w:eastAsia="zh-TW" w:bidi="en-GB"/>
        </w:rPr>
      </w:pPr>
      <w:r w:rsidRPr="009E0726">
        <w:rPr>
          <w:rFonts w:eastAsiaTheme="minorEastAsia"/>
          <w:rtl/>
        </w:rPr>
        <w:t>30</w:t>
      </w:r>
      <w:r w:rsidRPr="00CD4621">
        <w:rPr>
          <w:rFonts w:eastAsiaTheme="minorEastAsia"/>
          <w:rtl/>
        </w:rPr>
        <w:t>-</w:t>
      </w:r>
      <w:r w:rsidRPr="00CD4621">
        <w:rPr>
          <w:rFonts w:eastAsiaTheme="minorEastAsia"/>
          <w:rtl/>
        </w:rPr>
        <w:tab/>
        <w:t xml:space="preserve">تشعر اللجنة بقلق بالغ إزاء المعلومات التي تفيد بأن الإجراءات التي اتخذتها قوات الأمن المغربية ضد المهاجرين عند المعبر الحدودي بين الناظور ومليلية قد أسفرت عن مقتل ما لا يقل عن </w:t>
      </w:r>
      <w:r w:rsidRPr="009E0726">
        <w:rPr>
          <w:rFonts w:eastAsiaTheme="minorEastAsia"/>
          <w:rtl/>
        </w:rPr>
        <w:t>23</w:t>
      </w:r>
      <w:r w:rsidRPr="00CD4621">
        <w:rPr>
          <w:rFonts w:eastAsiaTheme="minorEastAsia"/>
          <w:rtl/>
        </w:rPr>
        <w:t xml:space="preserve"> شخصاً وإصابة العشرات بجروح في حزيران/يونيه </w:t>
      </w:r>
      <w:r w:rsidRPr="009E0726">
        <w:rPr>
          <w:rFonts w:eastAsiaTheme="minorEastAsia"/>
          <w:rtl/>
        </w:rPr>
        <w:t>2022</w:t>
      </w:r>
      <w:r w:rsidRPr="00CD4621">
        <w:rPr>
          <w:rFonts w:eastAsiaTheme="minorEastAsia"/>
          <w:rtl/>
        </w:rPr>
        <w:t xml:space="preserve">، وتفيد بعدم تقديم المساعدة الطبية الطارئة للضحايا. ويساور اللجنة القلق أيضاً إزاء ادعاءات ارتكاب أعمال عنف أخرى، بما في ذلك التمييز العنصري وتدمير الممتلكات الخاصة والغذاء، ضد اللاجئين والمهاجرين الذين يعيشون في مساكن عشوائية في الناظور ونواحيها في الأشهر التي سبقت أحداث </w:t>
      </w:r>
      <w:r w:rsidRPr="009E0726">
        <w:rPr>
          <w:rFonts w:eastAsiaTheme="minorEastAsia"/>
          <w:rtl/>
        </w:rPr>
        <w:t>24</w:t>
      </w:r>
      <w:r w:rsidRPr="00CD4621">
        <w:rPr>
          <w:rFonts w:eastAsiaTheme="minorEastAsia"/>
          <w:rtl/>
        </w:rPr>
        <w:t xml:space="preserve"> حزيران/يونيه </w:t>
      </w:r>
      <w:r w:rsidRPr="009E0726">
        <w:rPr>
          <w:rFonts w:eastAsiaTheme="minorEastAsia"/>
          <w:rtl/>
        </w:rPr>
        <w:t>2022</w:t>
      </w:r>
      <w:r w:rsidRPr="00CD4621">
        <w:rPr>
          <w:rFonts w:eastAsiaTheme="minorEastAsia"/>
          <w:rtl/>
        </w:rPr>
        <w:t>.</w:t>
      </w:r>
    </w:p>
    <w:p w14:paraId="79DBEA7A" w14:textId="4C2E3709" w:rsidR="00CD4621" w:rsidRPr="00CD4621" w:rsidRDefault="00CD4621" w:rsidP="00CD4621">
      <w:pPr>
        <w:pStyle w:val="SingleTxtGA"/>
        <w:rPr>
          <w:rFonts w:eastAsiaTheme="minorEastAsia"/>
          <w:lang w:val="ar-SA" w:eastAsia="zh-TW" w:bidi="en-GB"/>
        </w:rPr>
      </w:pPr>
      <w:r w:rsidRPr="009E0726">
        <w:rPr>
          <w:rFonts w:eastAsiaTheme="minorEastAsia"/>
          <w:rtl/>
        </w:rPr>
        <w:t>31</w:t>
      </w:r>
      <w:r w:rsidRPr="00CD4621">
        <w:rPr>
          <w:rFonts w:eastAsiaTheme="minorEastAsia"/>
          <w:rtl/>
        </w:rPr>
        <w:t>-</w:t>
      </w:r>
      <w:r w:rsidRPr="00CD4621">
        <w:rPr>
          <w:rFonts w:eastAsiaTheme="minorEastAsia"/>
          <w:rtl/>
        </w:rPr>
        <w:tab/>
      </w:r>
      <w:r w:rsidRPr="009E0726">
        <w:rPr>
          <w:rFonts w:eastAsiaTheme="minorEastAsia"/>
          <w:b/>
          <w:bCs/>
          <w:rtl/>
        </w:rPr>
        <w:t>تحث اللجنة الدولة الطرف على ما يلي:</w:t>
      </w:r>
    </w:p>
    <w:p w14:paraId="04BF40B6" w14:textId="3024D4D6" w:rsidR="00CD4621" w:rsidRPr="00CD4621" w:rsidRDefault="00CD4621" w:rsidP="00CD4621">
      <w:pPr>
        <w:pStyle w:val="SingleTxtGA"/>
        <w:rPr>
          <w:rFonts w:eastAsiaTheme="minorEastAsia"/>
          <w:lang w:val="en-US" w:eastAsia="zh-TW" w:bidi="en-GB"/>
        </w:rPr>
      </w:pPr>
      <w:r>
        <w:rPr>
          <w:rFonts w:eastAsiaTheme="minorEastAsia"/>
          <w:rtl/>
        </w:rPr>
        <w:tab/>
      </w:r>
      <w:r w:rsidRPr="00CD4621">
        <w:rPr>
          <w:rFonts w:eastAsiaTheme="minorEastAsia"/>
          <w:rtl/>
        </w:rPr>
        <w:t>(أ)</w:t>
      </w:r>
      <w:r w:rsidRPr="00CD4621">
        <w:rPr>
          <w:rFonts w:eastAsiaTheme="minorEastAsia"/>
          <w:rtl/>
        </w:rPr>
        <w:tab/>
      </w:r>
      <w:r w:rsidRPr="009E0726">
        <w:rPr>
          <w:rFonts w:eastAsiaTheme="minorEastAsia"/>
          <w:b/>
          <w:bCs/>
          <w:rtl/>
        </w:rPr>
        <w:t>ضمان إجراء تحقيقات مستقلة وجدية وفورية في تلك الأعمال، مع مراعاة جميع الانتهاكات، بما في ذلك مسألة التمييز العنصري، وتعميم تقرير التحقيق الذي يُعَد في هذا الصدد وضمان نشره على النحو الواجب؛</w:t>
      </w:r>
      <w:r w:rsidRPr="00CD4621">
        <w:rPr>
          <w:rFonts w:eastAsiaTheme="minorEastAsia"/>
          <w:rtl/>
        </w:rPr>
        <w:t xml:space="preserve"> </w:t>
      </w:r>
    </w:p>
    <w:p w14:paraId="3822394B" w14:textId="52E36076" w:rsidR="00CD4621" w:rsidRPr="00CD4621" w:rsidRDefault="00CD4621" w:rsidP="00CD4621">
      <w:pPr>
        <w:pStyle w:val="SingleTxtGA"/>
        <w:rPr>
          <w:rFonts w:eastAsiaTheme="minorEastAsia"/>
          <w:lang w:val="ar-SA" w:eastAsia="zh-TW" w:bidi="en-GB"/>
        </w:rPr>
      </w:pPr>
      <w:r>
        <w:rPr>
          <w:rFonts w:eastAsiaTheme="minorEastAsia"/>
          <w:rtl/>
        </w:rPr>
        <w:tab/>
      </w:r>
      <w:r w:rsidRPr="00CD4621">
        <w:rPr>
          <w:rFonts w:eastAsiaTheme="minorEastAsia"/>
          <w:rtl/>
        </w:rPr>
        <w:t>(ب)</w:t>
      </w:r>
      <w:r w:rsidRPr="00CD4621">
        <w:rPr>
          <w:rFonts w:eastAsiaTheme="minorEastAsia"/>
          <w:rtl/>
        </w:rPr>
        <w:tab/>
      </w:r>
      <w:r w:rsidRPr="009E0726">
        <w:rPr>
          <w:rFonts w:eastAsiaTheme="minorEastAsia"/>
          <w:b/>
          <w:bCs/>
          <w:rtl/>
        </w:rPr>
        <w:t>ضمان تحديد المسؤوليات وفرض عقوبات تتناسب وخطورة الجريمة المرتكبة ضد</w:t>
      </w:r>
      <w:r w:rsidRPr="009E0726">
        <w:rPr>
          <w:rFonts w:eastAsiaTheme="minorEastAsia" w:hint="cs"/>
          <w:b/>
          <w:bCs/>
          <w:rtl/>
        </w:rPr>
        <w:t> </w:t>
      </w:r>
      <w:r w:rsidRPr="009E0726">
        <w:rPr>
          <w:rFonts w:eastAsiaTheme="minorEastAsia"/>
          <w:b/>
          <w:bCs/>
          <w:rtl/>
        </w:rPr>
        <w:t>المهاجرين؛</w:t>
      </w:r>
      <w:r w:rsidRPr="00CD4621">
        <w:rPr>
          <w:rFonts w:eastAsiaTheme="minorEastAsia"/>
          <w:rtl/>
        </w:rPr>
        <w:t xml:space="preserve"> </w:t>
      </w:r>
    </w:p>
    <w:p w14:paraId="13FCCE69" w14:textId="4A444CA9" w:rsidR="00CD4621" w:rsidRPr="00CD4621" w:rsidRDefault="00CD4621" w:rsidP="00CD4621">
      <w:pPr>
        <w:pStyle w:val="SingleTxtGA"/>
        <w:rPr>
          <w:rFonts w:eastAsiaTheme="minorEastAsia"/>
          <w:lang w:val="ar-SA" w:eastAsia="zh-TW" w:bidi="en-GB"/>
        </w:rPr>
      </w:pPr>
      <w:r>
        <w:rPr>
          <w:rFonts w:eastAsiaTheme="minorEastAsia"/>
          <w:rtl/>
        </w:rPr>
        <w:tab/>
      </w:r>
      <w:r w:rsidRPr="00CD4621">
        <w:rPr>
          <w:rFonts w:eastAsiaTheme="minorEastAsia"/>
          <w:rtl/>
        </w:rPr>
        <w:t>(ج)</w:t>
      </w:r>
      <w:r w:rsidRPr="00CD4621">
        <w:rPr>
          <w:rFonts w:eastAsiaTheme="minorEastAsia"/>
          <w:rtl/>
        </w:rPr>
        <w:tab/>
      </w:r>
      <w:r w:rsidRPr="009E0726">
        <w:rPr>
          <w:rFonts w:eastAsiaTheme="minorEastAsia"/>
          <w:b/>
          <w:bCs/>
          <w:rtl/>
        </w:rPr>
        <w:t>اتخاذ التدابير المناسبة لضمان عدم تكرار هذه الانتهاكات؛</w:t>
      </w:r>
      <w:r w:rsidRPr="00CD4621">
        <w:rPr>
          <w:rFonts w:eastAsiaTheme="minorEastAsia"/>
          <w:rtl/>
        </w:rPr>
        <w:t xml:space="preserve"> </w:t>
      </w:r>
    </w:p>
    <w:p w14:paraId="648755A7" w14:textId="393DCBB5" w:rsidR="00CD4621" w:rsidRPr="00CD4621" w:rsidRDefault="00CD4621" w:rsidP="00CD4621">
      <w:pPr>
        <w:pStyle w:val="SingleTxtGA"/>
        <w:rPr>
          <w:rFonts w:eastAsiaTheme="minorEastAsia"/>
          <w:lang w:val="ar-SA" w:eastAsia="zh-TW" w:bidi="en-GB"/>
        </w:rPr>
      </w:pPr>
      <w:r>
        <w:rPr>
          <w:rFonts w:eastAsiaTheme="minorEastAsia"/>
          <w:rtl/>
        </w:rPr>
        <w:tab/>
      </w:r>
      <w:r w:rsidRPr="00CD4621">
        <w:rPr>
          <w:rFonts w:eastAsiaTheme="minorEastAsia"/>
          <w:rtl/>
        </w:rPr>
        <w:t>(د)</w:t>
      </w:r>
      <w:r w:rsidRPr="00CD4621">
        <w:rPr>
          <w:rFonts w:eastAsiaTheme="minorEastAsia"/>
          <w:rtl/>
        </w:rPr>
        <w:tab/>
      </w:r>
      <w:r w:rsidRPr="009E0726">
        <w:rPr>
          <w:rFonts w:eastAsiaTheme="minorEastAsia"/>
          <w:b/>
          <w:bCs/>
          <w:rtl/>
        </w:rPr>
        <w:t>ملاحقة المسؤولين عن هذه الانتهاكات، بمن فيهم الموظفون العموميون المتورطون، ومعاقبتهم بعقوبات تتناسب مع خطورة الجريمة؛</w:t>
      </w:r>
    </w:p>
    <w:p w14:paraId="36EDDAC2" w14:textId="12BCB034" w:rsidR="00CD4621" w:rsidRPr="00CD4621" w:rsidRDefault="00CD4621" w:rsidP="00CD4621">
      <w:pPr>
        <w:pStyle w:val="SingleTxtGA"/>
        <w:rPr>
          <w:rFonts w:eastAsiaTheme="minorEastAsia"/>
          <w:lang w:val="ar-SA" w:eastAsia="zh-TW" w:bidi="en-GB"/>
        </w:rPr>
      </w:pPr>
      <w:r>
        <w:rPr>
          <w:rFonts w:eastAsiaTheme="minorEastAsia"/>
          <w:rtl/>
        </w:rPr>
        <w:tab/>
      </w:r>
      <w:r w:rsidRPr="00CD4621">
        <w:rPr>
          <w:rFonts w:eastAsiaTheme="minorEastAsia"/>
          <w:rtl/>
        </w:rPr>
        <w:t>(هـ)</w:t>
      </w:r>
      <w:r w:rsidRPr="00CD4621">
        <w:rPr>
          <w:rFonts w:eastAsiaTheme="minorEastAsia"/>
          <w:rtl/>
        </w:rPr>
        <w:tab/>
      </w:r>
      <w:r w:rsidRPr="009E0726">
        <w:rPr>
          <w:rFonts w:eastAsiaTheme="minorEastAsia"/>
          <w:b/>
          <w:bCs/>
          <w:rtl/>
        </w:rPr>
        <w:t>كفالة جبر الضرر للضحايا وأفراد أسرهم وحصولهم على تعويضات مناسبة.</w:t>
      </w:r>
    </w:p>
    <w:p w14:paraId="5DEE1E50" w14:textId="77777777" w:rsidR="00CD4621" w:rsidRPr="009E0726" w:rsidRDefault="00CD4621" w:rsidP="00CD4621">
      <w:pPr>
        <w:pStyle w:val="H23GA"/>
        <w:rPr>
          <w:lang w:val="ar-SA" w:eastAsia="zh-TW" w:bidi="en-GB"/>
        </w:rPr>
      </w:pPr>
      <w:r w:rsidRPr="009E0726">
        <w:rPr>
          <w:rtl/>
        </w:rPr>
        <w:tab/>
      </w:r>
      <w:r w:rsidRPr="009E0726">
        <w:rPr>
          <w:rtl/>
        </w:rPr>
        <w:tab/>
        <w:t>استغلال اليد العاملة وغيره من ضروب سوء المعاملة</w:t>
      </w:r>
    </w:p>
    <w:p w14:paraId="130DDB1A" w14:textId="2A011AB7" w:rsidR="00CD4621" w:rsidRPr="00CD4621" w:rsidRDefault="00CD4621" w:rsidP="00CD4621">
      <w:pPr>
        <w:pStyle w:val="SingleTxtGA"/>
        <w:rPr>
          <w:rFonts w:eastAsiaTheme="minorEastAsia"/>
          <w:lang w:val="ar-SA" w:eastAsia="zh-TW" w:bidi="en-GB"/>
        </w:rPr>
      </w:pPr>
      <w:r w:rsidRPr="009E0726">
        <w:rPr>
          <w:rFonts w:eastAsiaTheme="minorEastAsia"/>
          <w:rtl/>
        </w:rPr>
        <w:t>32</w:t>
      </w:r>
      <w:r w:rsidRPr="00CD4621">
        <w:rPr>
          <w:rFonts w:eastAsiaTheme="minorEastAsia"/>
          <w:rtl/>
        </w:rPr>
        <w:t>-</w:t>
      </w:r>
      <w:r w:rsidRPr="00CD4621">
        <w:rPr>
          <w:rFonts w:eastAsiaTheme="minorEastAsia"/>
          <w:rtl/>
        </w:rPr>
        <w:tab/>
        <w:t>تعرب اللجنة عن قلقها إزاء المعلومات التي تفيد بتعرض العمال المهاجرين للعمل القسري، ولا</w:t>
      </w:r>
      <w:r>
        <w:rPr>
          <w:rFonts w:eastAsiaTheme="minorEastAsia" w:hint="cs"/>
          <w:rtl/>
        </w:rPr>
        <w:t> </w:t>
      </w:r>
      <w:r w:rsidRPr="00CD4621">
        <w:rPr>
          <w:rFonts w:eastAsiaTheme="minorEastAsia"/>
          <w:rtl/>
        </w:rPr>
        <w:t>سيما غير النظاميين، فضلاً عن بعض العمال المهاجرين النظاميين الذين صادر مُستخدِموهم أو أسر مستخدِميهم وثائق هويتهم. وينطبق هذا الأمر بوجه خاص على بعض النساء اللواتي استقدمهن أرباب عمل سيئو النية في بلدهن الأصلي للعمل بعد وعدهن بالحصول على عقد عمل وعلى وضع نظامي في</w:t>
      </w:r>
      <w:r>
        <w:rPr>
          <w:rFonts w:eastAsiaTheme="minorEastAsia" w:hint="cs"/>
          <w:rtl/>
        </w:rPr>
        <w:t> </w:t>
      </w:r>
      <w:r w:rsidRPr="00CD4621">
        <w:rPr>
          <w:rFonts w:eastAsiaTheme="minorEastAsia"/>
          <w:rtl/>
        </w:rPr>
        <w:t>المغرب.</w:t>
      </w:r>
    </w:p>
    <w:p w14:paraId="159B2779" w14:textId="77777777" w:rsidR="00CD4621" w:rsidRPr="00CD4621" w:rsidRDefault="00CD4621" w:rsidP="00CD4621">
      <w:pPr>
        <w:pStyle w:val="SingleTxtGA"/>
        <w:rPr>
          <w:rFonts w:eastAsiaTheme="minorEastAsia"/>
          <w:lang w:val="ar-SA" w:eastAsia="zh-TW" w:bidi="en-GB"/>
        </w:rPr>
      </w:pPr>
      <w:r w:rsidRPr="009E0726">
        <w:rPr>
          <w:rFonts w:eastAsiaTheme="minorEastAsia"/>
          <w:rtl/>
        </w:rPr>
        <w:t>33</w:t>
      </w:r>
      <w:r w:rsidRPr="00CD4621">
        <w:rPr>
          <w:rFonts w:eastAsiaTheme="minorEastAsia"/>
          <w:rtl/>
        </w:rPr>
        <w:t>-</w:t>
      </w:r>
      <w:r w:rsidRPr="00CD4621">
        <w:rPr>
          <w:rFonts w:eastAsiaTheme="minorEastAsia"/>
          <w:rtl/>
        </w:rPr>
        <w:tab/>
      </w:r>
      <w:r w:rsidRPr="009E0726">
        <w:rPr>
          <w:rFonts w:eastAsiaTheme="minorEastAsia"/>
          <w:b/>
          <w:bCs/>
          <w:rtl/>
        </w:rPr>
        <w:t>توصي اللجنة الدولة الطرف بكفالة عدم إخضاع العمال المهاجرين، ولا سيما النساء، بصرف النظر عن وضعهم من حيث الهجرة، للعمل القسري أو مصادرة وثائقهم عندما تكون بحوزتهم.</w:t>
      </w:r>
    </w:p>
    <w:p w14:paraId="7C461B2E" w14:textId="77777777" w:rsidR="00CD4621" w:rsidRPr="009E0726" w:rsidRDefault="00CD4621" w:rsidP="00CD4621">
      <w:pPr>
        <w:pStyle w:val="H23GA"/>
        <w:rPr>
          <w:lang w:val="ar-SA" w:eastAsia="zh-TW" w:bidi="en-GB"/>
        </w:rPr>
      </w:pPr>
      <w:r w:rsidRPr="009E0726">
        <w:rPr>
          <w:rtl/>
        </w:rPr>
        <w:lastRenderedPageBreak/>
        <w:tab/>
      </w:r>
      <w:r w:rsidRPr="009E0726">
        <w:rPr>
          <w:rtl/>
        </w:rPr>
        <w:tab/>
        <w:t>الطرد</w:t>
      </w:r>
    </w:p>
    <w:p w14:paraId="288DA5D4" w14:textId="16C9BA83" w:rsidR="00CD4621" w:rsidRPr="00CD4621" w:rsidRDefault="00CD4621" w:rsidP="00CD4621">
      <w:pPr>
        <w:pStyle w:val="SingleTxtGA"/>
        <w:rPr>
          <w:rFonts w:eastAsiaTheme="minorEastAsia"/>
          <w:lang w:val="ar-SA" w:eastAsia="zh-TW" w:bidi="en-GB"/>
        </w:rPr>
      </w:pPr>
      <w:r w:rsidRPr="009E0726">
        <w:rPr>
          <w:rFonts w:eastAsiaTheme="minorEastAsia"/>
          <w:rtl/>
        </w:rPr>
        <w:t>34</w:t>
      </w:r>
      <w:r w:rsidRPr="00CD4621">
        <w:rPr>
          <w:rFonts w:eastAsiaTheme="minorEastAsia"/>
          <w:rtl/>
        </w:rPr>
        <w:t>-</w:t>
      </w:r>
      <w:r w:rsidRPr="00CD4621">
        <w:rPr>
          <w:rFonts w:eastAsiaTheme="minorEastAsia"/>
          <w:rtl/>
        </w:rPr>
        <w:tab/>
        <w:t>تلاحظ اللجنة أن القانون رقم</w:t>
      </w:r>
      <w:r w:rsidR="00CB0C0D">
        <w:rPr>
          <w:rFonts w:eastAsiaTheme="minorEastAsia" w:hint="cs"/>
          <w:rtl/>
        </w:rPr>
        <w:t xml:space="preserve"> </w:t>
      </w:r>
      <w:r w:rsidR="00CB0C0D" w:rsidRPr="009E0726">
        <w:rPr>
          <w:rFonts w:eastAsiaTheme="minorEastAsia" w:hint="cs"/>
          <w:rtl/>
        </w:rPr>
        <w:t>02</w:t>
      </w:r>
      <w:r w:rsidR="00CB0C0D" w:rsidRPr="008839E6">
        <w:rPr>
          <w:rFonts w:eastAsiaTheme="minorEastAsia" w:hint="cs"/>
          <w:rtl/>
        </w:rPr>
        <w:t>-</w:t>
      </w:r>
      <w:r w:rsidR="00CB0C0D" w:rsidRPr="009E0726">
        <w:rPr>
          <w:rFonts w:eastAsiaTheme="minorEastAsia" w:hint="cs"/>
          <w:rtl/>
        </w:rPr>
        <w:t>03</w:t>
      </w:r>
      <w:r w:rsidR="00CB0C0D" w:rsidRPr="008839E6">
        <w:rPr>
          <w:rFonts w:eastAsiaTheme="minorEastAsia" w:hint="cs"/>
          <w:rtl/>
        </w:rPr>
        <w:t xml:space="preserve"> </w:t>
      </w:r>
      <w:r w:rsidRPr="008839E6">
        <w:rPr>
          <w:rFonts w:eastAsiaTheme="minorEastAsia"/>
          <w:rtl/>
        </w:rPr>
        <w:t>المتعلق</w:t>
      </w:r>
      <w:r w:rsidRPr="00CD4621">
        <w:rPr>
          <w:rFonts w:eastAsiaTheme="minorEastAsia"/>
          <w:rtl/>
        </w:rPr>
        <w:t xml:space="preserve"> بدخول وإقامة الأجانب بالمملكة المغربية وبالهجرة غير المشروعة ينظم تدابير الإبعاد، وأن المادة </w:t>
      </w:r>
      <w:r w:rsidRPr="009E0726">
        <w:rPr>
          <w:rFonts w:eastAsiaTheme="minorEastAsia"/>
          <w:rtl/>
        </w:rPr>
        <w:t>26</w:t>
      </w:r>
      <w:r w:rsidRPr="00CD4621">
        <w:rPr>
          <w:rFonts w:eastAsiaTheme="minorEastAsia"/>
          <w:rtl/>
        </w:rPr>
        <w:t xml:space="preserve"> من هذا القانون تورد الاستثناءات التي لا</w:t>
      </w:r>
      <w:r>
        <w:rPr>
          <w:rFonts w:eastAsiaTheme="minorEastAsia" w:hint="cs"/>
          <w:rtl/>
        </w:rPr>
        <w:t> </w:t>
      </w:r>
      <w:r w:rsidRPr="00CD4621">
        <w:rPr>
          <w:rFonts w:eastAsiaTheme="minorEastAsia"/>
          <w:rtl/>
        </w:rPr>
        <w:t>يُسمح فيها بالطرد، بما في ذلك إذا كان الشخص قاصراً. ومع ذلك، يساور اللجنة القلق إزاء ادعاءات ترحيل أطفال ونساء، بمن فيهم ملتمسو اللجوء واللاجئون، فضلاً عن طرد مدافعات ومدافعين عن حقوق المهاجرين، ولا سيما هيلينا مالينو، من البلد.</w:t>
      </w:r>
    </w:p>
    <w:p w14:paraId="5D1F8211" w14:textId="77777777" w:rsidR="00CD4621" w:rsidRPr="00CD4621" w:rsidRDefault="00CD4621" w:rsidP="00CD4621">
      <w:pPr>
        <w:pStyle w:val="SingleTxtGA"/>
        <w:rPr>
          <w:rFonts w:eastAsiaTheme="minorEastAsia"/>
          <w:lang w:val="ar-SA" w:eastAsia="zh-TW" w:bidi="en-GB"/>
        </w:rPr>
      </w:pPr>
      <w:r w:rsidRPr="009E0726">
        <w:rPr>
          <w:rFonts w:eastAsiaTheme="minorEastAsia"/>
          <w:rtl/>
        </w:rPr>
        <w:t>35</w:t>
      </w:r>
      <w:r w:rsidRPr="00CD4621">
        <w:rPr>
          <w:rFonts w:eastAsiaTheme="minorEastAsia"/>
          <w:rtl/>
        </w:rPr>
        <w:t>-</w:t>
      </w:r>
      <w:r w:rsidRPr="00CD4621">
        <w:rPr>
          <w:rFonts w:eastAsiaTheme="minorEastAsia"/>
          <w:rtl/>
        </w:rPr>
        <w:tab/>
      </w:r>
      <w:r w:rsidRPr="009E0726">
        <w:rPr>
          <w:rFonts w:eastAsiaTheme="minorEastAsia"/>
          <w:b/>
          <w:bCs/>
          <w:rtl/>
        </w:rPr>
        <w:t>توصي اللجنة الدولة الطرف باتخاذ التدابير الضرورية لضمان ما يلي:</w:t>
      </w:r>
      <w:r w:rsidRPr="00CD4621">
        <w:rPr>
          <w:rFonts w:eastAsiaTheme="minorEastAsia"/>
          <w:rtl/>
        </w:rPr>
        <w:t xml:space="preserve"> </w:t>
      </w:r>
    </w:p>
    <w:p w14:paraId="1CCDAE07" w14:textId="20511FF4" w:rsidR="00CD4621" w:rsidRPr="00CD4621" w:rsidRDefault="00CD4621" w:rsidP="00CD4621">
      <w:pPr>
        <w:pStyle w:val="SingleTxtGA"/>
        <w:rPr>
          <w:rFonts w:eastAsiaTheme="minorEastAsia"/>
          <w:lang w:val="ar-SA" w:eastAsia="zh-TW" w:bidi="en-GB"/>
        </w:rPr>
      </w:pPr>
      <w:r>
        <w:rPr>
          <w:rFonts w:eastAsiaTheme="minorEastAsia"/>
          <w:rtl/>
        </w:rPr>
        <w:tab/>
      </w:r>
      <w:r w:rsidRPr="00CD4621">
        <w:rPr>
          <w:rFonts w:eastAsiaTheme="minorEastAsia"/>
          <w:rtl/>
        </w:rPr>
        <w:t>(أ)</w:t>
      </w:r>
      <w:r w:rsidRPr="00CD4621">
        <w:rPr>
          <w:rFonts w:eastAsiaTheme="minorEastAsia"/>
          <w:rtl/>
        </w:rPr>
        <w:tab/>
      </w:r>
      <w:r w:rsidRPr="009E0726">
        <w:rPr>
          <w:rFonts w:eastAsiaTheme="minorEastAsia"/>
          <w:b/>
          <w:bCs/>
          <w:rtl/>
        </w:rPr>
        <w:t>تَوافق الإجراءات الإدارية للإبعاد والطرد توافقاً تاماً مع المادتين 22 و23 من</w:t>
      </w:r>
      <w:r w:rsidRPr="009E0726">
        <w:rPr>
          <w:rFonts w:eastAsiaTheme="minorEastAsia" w:hint="cs"/>
          <w:b/>
          <w:bCs/>
          <w:rtl/>
        </w:rPr>
        <w:t> </w:t>
      </w:r>
      <w:r w:rsidRPr="009E0726">
        <w:rPr>
          <w:rFonts w:eastAsiaTheme="minorEastAsia"/>
          <w:b/>
          <w:bCs/>
          <w:rtl/>
        </w:rPr>
        <w:t>الاتفاقية؛</w:t>
      </w:r>
      <w:r w:rsidRPr="00CD4621">
        <w:rPr>
          <w:rFonts w:eastAsiaTheme="minorEastAsia"/>
          <w:rtl/>
        </w:rPr>
        <w:t xml:space="preserve"> </w:t>
      </w:r>
    </w:p>
    <w:p w14:paraId="199A12F2" w14:textId="4B9ADBA8" w:rsidR="00CD4621" w:rsidRPr="00CD4621" w:rsidRDefault="00CD4621" w:rsidP="00CD4621">
      <w:pPr>
        <w:pStyle w:val="SingleTxtGA"/>
        <w:rPr>
          <w:rFonts w:eastAsiaTheme="minorEastAsia"/>
          <w:lang w:val="ar-SA" w:eastAsia="zh-TW" w:bidi="en-GB"/>
        </w:rPr>
      </w:pPr>
      <w:r>
        <w:rPr>
          <w:rFonts w:eastAsiaTheme="minorEastAsia"/>
          <w:rtl/>
        </w:rPr>
        <w:tab/>
      </w:r>
      <w:r w:rsidRPr="00CD4621">
        <w:rPr>
          <w:rFonts w:eastAsiaTheme="minorEastAsia"/>
          <w:rtl/>
        </w:rPr>
        <w:t>(ب)</w:t>
      </w:r>
      <w:r w:rsidRPr="00CD4621">
        <w:rPr>
          <w:rFonts w:eastAsiaTheme="minorEastAsia"/>
          <w:rtl/>
        </w:rPr>
        <w:tab/>
      </w:r>
      <w:r w:rsidRPr="009E0726">
        <w:rPr>
          <w:rFonts w:eastAsiaTheme="minorEastAsia"/>
          <w:b/>
          <w:bCs/>
          <w:rtl/>
        </w:rPr>
        <w:t>حظر طرد المهاجرين إلى أن تقيَّم كل حالة على حدة تقييماً مناسباً، من أجل تحقيق جملة أمور منها احترام مبدأ عدم الإعادة القسرية وحظر الطرد الجماعي والتعسفي؛</w:t>
      </w:r>
    </w:p>
    <w:p w14:paraId="46D57D92" w14:textId="4DB248AC" w:rsidR="00CD4621" w:rsidRPr="00CD4621" w:rsidRDefault="00CD4621" w:rsidP="00CD4621">
      <w:pPr>
        <w:pStyle w:val="SingleTxtGA"/>
        <w:rPr>
          <w:rFonts w:eastAsiaTheme="minorEastAsia"/>
          <w:lang w:val="ar-SA" w:eastAsia="zh-TW" w:bidi="en-GB"/>
        </w:rPr>
      </w:pPr>
      <w:r>
        <w:rPr>
          <w:rFonts w:eastAsiaTheme="minorEastAsia"/>
          <w:rtl/>
        </w:rPr>
        <w:tab/>
      </w:r>
      <w:r w:rsidRPr="00CD4621">
        <w:rPr>
          <w:rFonts w:eastAsiaTheme="minorEastAsia"/>
          <w:rtl/>
        </w:rPr>
        <w:t>(ج)</w:t>
      </w:r>
      <w:r w:rsidRPr="00CD4621">
        <w:rPr>
          <w:rFonts w:eastAsiaTheme="minorEastAsia"/>
          <w:rtl/>
        </w:rPr>
        <w:tab/>
      </w:r>
      <w:r w:rsidRPr="009E0726">
        <w:rPr>
          <w:rFonts w:eastAsiaTheme="minorEastAsia"/>
          <w:b/>
          <w:bCs/>
          <w:rtl/>
        </w:rPr>
        <w:t>ضمان حماية المدافعات والمدافعين عن حقوق الإنسان، وإدراج معلومات عن حالة هيلينا مالينو على وجه الخصوص في تقريرها الدوري المقبل.</w:t>
      </w:r>
    </w:p>
    <w:p w14:paraId="073F1199" w14:textId="77777777" w:rsidR="00CD4621" w:rsidRPr="009E0726" w:rsidRDefault="00CD4621" w:rsidP="00CD4621">
      <w:pPr>
        <w:pStyle w:val="H23GA"/>
        <w:rPr>
          <w:lang w:val="ar-SA" w:eastAsia="zh-TW" w:bidi="en-GB"/>
        </w:rPr>
      </w:pPr>
      <w:r w:rsidRPr="009E0726">
        <w:rPr>
          <w:rtl/>
        </w:rPr>
        <w:tab/>
      </w:r>
      <w:r w:rsidRPr="009E0726">
        <w:rPr>
          <w:rtl/>
        </w:rPr>
        <w:tab/>
        <w:t>الضمان الاجتماعي</w:t>
      </w:r>
    </w:p>
    <w:p w14:paraId="1992DFF8" w14:textId="77777777" w:rsidR="00CD4621" w:rsidRPr="00CD4621" w:rsidRDefault="00CD4621" w:rsidP="00CD4621">
      <w:pPr>
        <w:pStyle w:val="SingleTxtGA"/>
        <w:rPr>
          <w:rFonts w:eastAsiaTheme="minorEastAsia"/>
          <w:lang w:val="ar-SA" w:eastAsia="zh-TW" w:bidi="en-GB"/>
        </w:rPr>
      </w:pPr>
      <w:r w:rsidRPr="009E0726">
        <w:rPr>
          <w:rFonts w:eastAsiaTheme="minorEastAsia"/>
          <w:rtl/>
        </w:rPr>
        <w:t>36</w:t>
      </w:r>
      <w:r w:rsidRPr="00CD4621">
        <w:rPr>
          <w:rFonts w:eastAsiaTheme="minorEastAsia"/>
          <w:rtl/>
        </w:rPr>
        <w:t>-</w:t>
      </w:r>
      <w:r w:rsidRPr="00CD4621">
        <w:rPr>
          <w:rFonts w:eastAsiaTheme="minorEastAsia"/>
          <w:rtl/>
        </w:rPr>
        <w:tab/>
        <w:t>تلاحظ اللجنة أن التشريع المغربي ينص على حق جميع العمال المهاجرين في الضمان الاجتماعي والتقاعد. غير أنها تعرب عن أسفها للافتقار إلى معلومات عن إعمال هذا الحق على أرض الواقع، بما في ذلك معلومات عن الشروط القانونية التي يجب أن يستوفيها العمال المهاجرون غير النظاميين للاستفادة من الضمان الاجتماعي على قدم المساواة مع المواطنين. وتعرب اللجنة عن أسفها أيضاً لتقديم قدر ضئيل جداً من المعلومات عن اتفاقات الضمان الاجتماعي الثنائية والمتعددة الأطراف التي أبرمتها الدولة الطرف.</w:t>
      </w:r>
    </w:p>
    <w:p w14:paraId="32A6E837" w14:textId="77777777" w:rsidR="00CD4621" w:rsidRPr="00CD4621" w:rsidRDefault="00CD4621" w:rsidP="00CD4621">
      <w:pPr>
        <w:pStyle w:val="SingleTxtGA"/>
        <w:rPr>
          <w:rFonts w:eastAsiaTheme="minorEastAsia"/>
          <w:lang w:val="ar-SA" w:eastAsia="zh-TW" w:bidi="en-GB"/>
        </w:rPr>
      </w:pPr>
      <w:r w:rsidRPr="009E0726">
        <w:rPr>
          <w:rFonts w:eastAsiaTheme="minorEastAsia"/>
          <w:rtl/>
        </w:rPr>
        <w:t>37</w:t>
      </w:r>
      <w:r w:rsidRPr="00CD4621">
        <w:rPr>
          <w:rFonts w:eastAsiaTheme="minorEastAsia"/>
          <w:rtl/>
        </w:rPr>
        <w:t>-</w:t>
      </w:r>
      <w:r w:rsidRPr="00CD4621">
        <w:rPr>
          <w:rFonts w:eastAsiaTheme="minorEastAsia"/>
          <w:rtl/>
        </w:rPr>
        <w:tab/>
      </w:r>
      <w:r w:rsidRPr="009E0726">
        <w:rPr>
          <w:rFonts w:eastAsiaTheme="minorEastAsia"/>
          <w:b/>
          <w:bCs/>
          <w:rtl/>
        </w:rPr>
        <w:t>توصي اللجنة الدولة الطرف بما يلي:</w:t>
      </w:r>
    </w:p>
    <w:p w14:paraId="48274585" w14:textId="12B67789" w:rsidR="00CD4621" w:rsidRPr="00CD4621" w:rsidRDefault="00CD4621" w:rsidP="00CD4621">
      <w:pPr>
        <w:pStyle w:val="SingleTxtGA"/>
        <w:rPr>
          <w:rFonts w:eastAsiaTheme="minorEastAsia"/>
          <w:lang w:val="ar-SA" w:eastAsia="zh-TW" w:bidi="en-GB"/>
        </w:rPr>
      </w:pPr>
      <w:r>
        <w:rPr>
          <w:rFonts w:eastAsiaTheme="minorEastAsia"/>
          <w:rtl/>
        </w:rPr>
        <w:tab/>
      </w:r>
      <w:r w:rsidRPr="00CD4621">
        <w:rPr>
          <w:rFonts w:eastAsiaTheme="minorEastAsia"/>
          <w:rtl/>
        </w:rPr>
        <w:t>(أ)</w:t>
      </w:r>
      <w:r w:rsidRPr="00CD4621">
        <w:rPr>
          <w:rFonts w:eastAsiaTheme="minorEastAsia"/>
          <w:rtl/>
        </w:rPr>
        <w:tab/>
      </w:r>
      <w:r w:rsidRPr="009E0726">
        <w:rPr>
          <w:rFonts w:eastAsiaTheme="minorEastAsia"/>
          <w:b/>
          <w:bCs/>
          <w:rtl/>
        </w:rPr>
        <w:t>ضمان إبلاغ جميع العمال المهاجرين وأفراد أسرهم بحقوقهم في الضمان الاجتماعي وتمكينهم من الانضمام إلى أحد نظم الضمان الاجتماعي؛</w:t>
      </w:r>
      <w:r w:rsidRPr="00CD4621">
        <w:rPr>
          <w:rFonts w:eastAsiaTheme="minorEastAsia"/>
          <w:rtl/>
        </w:rPr>
        <w:t xml:space="preserve"> </w:t>
      </w:r>
    </w:p>
    <w:p w14:paraId="25A2DA5B" w14:textId="7D14732B" w:rsidR="00CD4621" w:rsidRPr="00CD4621" w:rsidRDefault="00CD4621" w:rsidP="00CD4621">
      <w:pPr>
        <w:pStyle w:val="SingleTxtGA"/>
        <w:rPr>
          <w:rFonts w:eastAsiaTheme="minorEastAsia"/>
          <w:lang w:val="ar-SA" w:eastAsia="zh-TW" w:bidi="en-GB"/>
        </w:rPr>
      </w:pPr>
      <w:r>
        <w:rPr>
          <w:rFonts w:eastAsiaTheme="minorEastAsia"/>
          <w:rtl/>
        </w:rPr>
        <w:tab/>
      </w:r>
      <w:r w:rsidRPr="00CD4621">
        <w:rPr>
          <w:rFonts w:eastAsiaTheme="minorEastAsia"/>
          <w:rtl/>
        </w:rPr>
        <w:t>(ب)</w:t>
      </w:r>
      <w:r w:rsidRPr="00CD4621">
        <w:rPr>
          <w:rFonts w:eastAsiaTheme="minorEastAsia"/>
          <w:rtl/>
        </w:rPr>
        <w:tab/>
      </w:r>
      <w:r w:rsidRPr="009E0726">
        <w:rPr>
          <w:rFonts w:eastAsiaTheme="minorEastAsia"/>
          <w:b/>
          <w:bCs/>
          <w:rtl/>
        </w:rPr>
        <w:t>العمل، قدر الإمكان، على إبرام اتفاقات ثنائية ومتعددة الأطراف في مجال الضمان الاجتماعي مع بلدان منشأ ومقصد العمال المهاجرين، تراعي على وجه الخصوص اعتبارات النوع الاجتماعي ولا تنطوي على التمييز، من أجل كفالة الحماية الاجتماعية لجميع العمال المهاجرين.</w:t>
      </w:r>
    </w:p>
    <w:p w14:paraId="739FA322" w14:textId="77777777" w:rsidR="00CD4621" w:rsidRPr="009E0726" w:rsidRDefault="00CD4621" w:rsidP="00CD4621">
      <w:pPr>
        <w:pStyle w:val="H23GA"/>
        <w:rPr>
          <w:lang w:val="ar-SA" w:eastAsia="zh-TW" w:bidi="en-GB"/>
        </w:rPr>
      </w:pPr>
      <w:r w:rsidRPr="009E0726">
        <w:rPr>
          <w:rtl/>
        </w:rPr>
        <w:tab/>
      </w:r>
      <w:r w:rsidRPr="009E0726">
        <w:rPr>
          <w:rtl/>
        </w:rPr>
        <w:tab/>
        <w:t>الرعاية الطبية</w:t>
      </w:r>
    </w:p>
    <w:p w14:paraId="4BAAE5D6" w14:textId="18882971" w:rsidR="00CD4621" w:rsidRPr="00CD4621" w:rsidRDefault="00CD4621" w:rsidP="00CD4621">
      <w:pPr>
        <w:pStyle w:val="SingleTxtGA"/>
        <w:rPr>
          <w:rFonts w:eastAsiaTheme="minorEastAsia"/>
          <w:lang w:val="ar-SA" w:eastAsia="zh-TW" w:bidi="en-GB"/>
        </w:rPr>
      </w:pPr>
      <w:r w:rsidRPr="009E0726">
        <w:rPr>
          <w:rFonts w:eastAsiaTheme="minorEastAsia"/>
          <w:rtl/>
        </w:rPr>
        <w:t>38</w:t>
      </w:r>
      <w:r w:rsidRPr="00CD4621">
        <w:rPr>
          <w:rFonts w:eastAsiaTheme="minorEastAsia"/>
          <w:rtl/>
        </w:rPr>
        <w:t>-</w:t>
      </w:r>
      <w:r w:rsidRPr="00CD4621">
        <w:rPr>
          <w:rFonts w:eastAsiaTheme="minorEastAsia"/>
          <w:rtl/>
        </w:rPr>
        <w:tab/>
        <w:t xml:space="preserve">تلاحظ اللجنة بارتياح أن العمال المهاجرين وأفراد أسرهم، بغض النظر عن وضعهم الإداري، يحصلون على الخدمات الصحية الأساسية في مرافق الرعاية الصحية الأولية مجاناً وعلى قدم المساواة مع المواطنين المغاربة. ومع ذلك، يساور اللجنة القلق إزاء التقارير التي تشير إلى وجود بعض المشاكل المتصلة بدفع الرسوم غير المدرجة في حُزم الرعاية هذه، ومن ذلك على سبيل المثال عندما لا يتبع المهاجرون "مسار الرعاية" ويتوجهون أولاً إلى المستشفيات الجامعية بدلاً من مستشفيات الرعاية الأولية حيث يُعفون من الرسوم. وبالإضافة إلى ذلك، فإن بعض المرافق الصحية والمهنيين الصحيين ليسوا على علم بالتعميم الصادر عن وزارة الصحة في عام </w:t>
      </w:r>
      <w:r w:rsidRPr="009E0726">
        <w:rPr>
          <w:rFonts w:eastAsiaTheme="minorEastAsia"/>
          <w:rtl/>
        </w:rPr>
        <w:t>2008</w:t>
      </w:r>
      <w:r w:rsidRPr="00CD4621">
        <w:rPr>
          <w:rFonts w:eastAsiaTheme="minorEastAsia"/>
          <w:rtl/>
        </w:rPr>
        <w:t xml:space="preserve"> الذي يوسع نطاق الحصول على الرعاية الصحية </w:t>
      </w:r>
      <w:r w:rsidRPr="00CD4621">
        <w:rPr>
          <w:rFonts w:eastAsiaTheme="minorEastAsia"/>
          <w:rtl/>
        </w:rPr>
        <w:lastRenderedPageBreak/>
        <w:t>الأساسية للجميع، ويرفضون من ثم حصول العمال المهاجرين وأفراد أسرهم على تلك الرعاية. وتعرب اللجنة عن قلقها أيضاً إزاء التقارير المتعلقة بالصعوبات التي يواجهها المهاجرون غير النظاميين في الحصول على لقاح كوفيد-</w:t>
      </w:r>
      <w:r w:rsidRPr="009E0726">
        <w:rPr>
          <w:rFonts w:eastAsiaTheme="minorEastAsia"/>
          <w:rtl/>
        </w:rPr>
        <w:t>19</w:t>
      </w:r>
      <w:r w:rsidRPr="00CD4621">
        <w:rPr>
          <w:rFonts w:eastAsiaTheme="minorEastAsia"/>
          <w:rtl/>
        </w:rPr>
        <w:t>.</w:t>
      </w:r>
    </w:p>
    <w:p w14:paraId="5CBFBCB3" w14:textId="7640221F" w:rsidR="00CD4621" w:rsidRPr="00CD4621" w:rsidRDefault="00CD4621" w:rsidP="00CD4621">
      <w:pPr>
        <w:pStyle w:val="SingleTxtGA"/>
        <w:rPr>
          <w:rFonts w:eastAsiaTheme="minorEastAsia"/>
          <w:lang w:val="ar-SA" w:eastAsia="zh-TW" w:bidi="en-GB"/>
        </w:rPr>
      </w:pPr>
      <w:r w:rsidRPr="009E0726">
        <w:rPr>
          <w:rFonts w:eastAsiaTheme="minorEastAsia"/>
          <w:rtl/>
        </w:rPr>
        <w:t>39</w:t>
      </w:r>
      <w:r w:rsidRPr="00CD4621">
        <w:rPr>
          <w:rFonts w:eastAsiaTheme="minorEastAsia"/>
          <w:rtl/>
        </w:rPr>
        <w:t>-</w:t>
      </w:r>
      <w:r w:rsidRPr="00CD4621">
        <w:rPr>
          <w:rFonts w:eastAsiaTheme="minorEastAsia"/>
          <w:rtl/>
        </w:rPr>
        <w:tab/>
      </w:r>
      <w:r w:rsidRPr="009E0726">
        <w:rPr>
          <w:rFonts w:eastAsiaTheme="minorEastAsia"/>
          <w:b/>
          <w:bCs/>
          <w:rtl/>
        </w:rPr>
        <w:t>توصي اللجنة الدولة الطرف بأن تعتمد، وفقاً للمادة 28 من الاتفاقية، تدابير ملموسة وفعالة لتوعية العمال المهاجرين وأفراد أسرهم، فضلاً عن المهنيين الصحيين، بحق جميع المهاجرين وأفراد أسرهم في الحصول على الخدمات الصحية الأساسية مجاناً، أياً كان وضعهم الإداري، على أساس المساواة في المعاملة مع المواطنين.</w:t>
      </w:r>
      <w:r w:rsidRPr="00CD4621">
        <w:rPr>
          <w:rFonts w:eastAsiaTheme="minorEastAsia"/>
          <w:rtl/>
        </w:rPr>
        <w:t xml:space="preserve"> </w:t>
      </w:r>
      <w:r w:rsidRPr="009E0726">
        <w:rPr>
          <w:rFonts w:eastAsiaTheme="minorEastAsia"/>
          <w:b/>
          <w:bCs/>
          <w:rtl/>
        </w:rPr>
        <w:t>وتشجع اللجنة الدولة الطرف أيضاً على اتخاذ التدابير اللازمة لضمان حصول جميع المهاجرين، بمن فيهم غير النظاميين، على لقاح كوفيد-19 على نحو تام وعلى قدم المساواة مع غيرهم.</w:t>
      </w:r>
    </w:p>
    <w:p w14:paraId="42B70621" w14:textId="77777777" w:rsidR="00CD4621" w:rsidRPr="009E0726" w:rsidRDefault="00CD4621" w:rsidP="00CD4621">
      <w:pPr>
        <w:pStyle w:val="H23GA"/>
        <w:rPr>
          <w:lang w:val="ar-SA" w:eastAsia="zh-TW" w:bidi="en-GB"/>
        </w:rPr>
      </w:pPr>
      <w:r w:rsidRPr="009E0726">
        <w:rPr>
          <w:rtl/>
        </w:rPr>
        <w:tab/>
      </w:r>
      <w:r w:rsidRPr="009E0726">
        <w:rPr>
          <w:rtl/>
        </w:rPr>
        <w:tab/>
        <w:t>تسجيل المواليد والجنسية</w:t>
      </w:r>
    </w:p>
    <w:p w14:paraId="0272F76F" w14:textId="77777777" w:rsidR="00CD4621" w:rsidRPr="00CD4621" w:rsidRDefault="00CD4621" w:rsidP="00CD4621">
      <w:pPr>
        <w:pStyle w:val="SingleTxtGA"/>
        <w:rPr>
          <w:rFonts w:eastAsiaTheme="minorEastAsia"/>
          <w:lang w:val="ar-SA" w:eastAsia="zh-TW" w:bidi="en-GB"/>
        </w:rPr>
      </w:pPr>
      <w:r w:rsidRPr="009E0726">
        <w:rPr>
          <w:rFonts w:eastAsiaTheme="minorEastAsia"/>
          <w:rtl/>
        </w:rPr>
        <w:t>40</w:t>
      </w:r>
      <w:r w:rsidRPr="00CD4621">
        <w:rPr>
          <w:rFonts w:eastAsiaTheme="minorEastAsia"/>
          <w:rtl/>
        </w:rPr>
        <w:t>-</w:t>
      </w:r>
      <w:r w:rsidRPr="00CD4621">
        <w:rPr>
          <w:rFonts w:eastAsiaTheme="minorEastAsia"/>
          <w:rtl/>
        </w:rPr>
        <w:tab/>
        <w:t>تلاحظ اللجنة أن الدولة تفيد بأن للأطفال المهاجرين الحق في التسجيل في سجل الحالة المدنية المغربية. ومع ذلك، يساور اللجنة القلق إزاء الادعاءات القائلة بأن بعض أجنحة الولادة في المستشفيات تَعمَد، عندما لا يتبع المهاجرون مسار الرعاية، إلى حجب شهادات الميلاد بسبب عدم دفع تكاليف الولادة، مما يجعل من المستحيل التسجيل في سجل الحالة المدنية ولدى السلطات القنصلية.</w:t>
      </w:r>
    </w:p>
    <w:p w14:paraId="0F8B0FD4" w14:textId="5A21745B" w:rsidR="00CD4621" w:rsidRPr="00CD4621" w:rsidRDefault="00CD4621" w:rsidP="00CD4621">
      <w:pPr>
        <w:pStyle w:val="SingleTxtGA"/>
        <w:rPr>
          <w:rFonts w:eastAsiaTheme="minorEastAsia"/>
          <w:lang w:val="ar-SA" w:eastAsia="zh-TW" w:bidi="en-GB"/>
        </w:rPr>
      </w:pPr>
      <w:r w:rsidRPr="009E0726">
        <w:rPr>
          <w:rFonts w:eastAsiaTheme="minorEastAsia"/>
          <w:rtl/>
        </w:rPr>
        <w:t>41</w:t>
      </w:r>
      <w:r w:rsidRPr="00CD4621">
        <w:rPr>
          <w:rFonts w:eastAsiaTheme="minorEastAsia"/>
          <w:rtl/>
        </w:rPr>
        <w:t>-</w:t>
      </w:r>
      <w:r w:rsidRPr="00CD4621">
        <w:rPr>
          <w:rFonts w:eastAsiaTheme="minorEastAsia"/>
          <w:rtl/>
        </w:rPr>
        <w:tab/>
      </w:r>
      <w:r w:rsidRPr="009E0726">
        <w:rPr>
          <w:rFonts w:eastAsiaTheme="minorEastAsia"/>
          <w:b/>
          <w:bCs/>
          <w:rtl/>
        </w:rPr>
        <w:t>في ضوء التعليقات العامة المشتركة رقم 3 و4(2017) للجنة المعنية بحماية حقوق جميع العمال المهاجرين وأفراد أسرهم ورقم 22 و23(2017) للجنة حقوق الطفل، ومع مراعاة الغاية 16-9 من أهداف التنمية المستدامة، توصي اللجنة الدولة الطرف باتخاذ تدابير لتوعية جماعات المهاجرين بالإجراء المناسب لتسجيل المواليد، وللحرص على ألا تحجب أجنحة الولادة في المستشفيات شهادات ميلاد المهاجرين.</w:t>
      </w:r>
    </w:p>
    <w:p w14:paraId="64EAFBD3" w14:textId="2A565973" w:rsidR="00CD4621" w:rsidRPr="009E0726" w:rsidRDefault="00CD4621" w:rsidP="00CD4621">
      <w:pPr>
        <w:pStyle w:val="H23GA"/>
        <w:rPr>
          <w:lang w:val="ar-SA" w:eastAsia="zh-TW" w:bidi="en-GB"/>
        </w:rPr>
      </w:pPr>
      <w:r w:rsidRPr="009E0726">
        <w:rPr>
          <w:rFonts w:hint="cs"/>
        </w:rPr>
        <w:t>‌</w:t>
      </w:r>
      <w:r w:rsidRPr="009E0726">
        <w:rPr>
          <w:rtl/>
        </w:rPr>
        <w:tab/>
      </w:r>
      <w:r w:rsidRPr="009E0726">
        <w:rPr>
          <w:rtl/>
        </w:rPr>
        <w:tab/>
        <w:t>التعليم</w:t>
      </w:r>
    </w:p>
    <w:p w14:paraId="25CBCD42" w14:textId="77777777" w:rsidR="00CD4621" w:rsidRPr="00CD4621" w:rsidRDefault="00CD4621" w:rsidP="00CD4621">
      <w:pPr>
        <w:pStyle w:val="SingleTxtGA"/>
        <w:rPr>
          <w:rFonts w:eastAsiaTheme="minorEastAsia"/>
          <w:lang w:val="ar-SA" w:eastAsia="zh-TW" w:bidi="en-GB"/>
        </w:rPr>
      </w:pPr>
      <w:r w:rsidRPr="009E0726">
        <w:rPr>
          <w:rFonts w:eastAsiaTheme="minorEastAsia"/>
          <w:rtl/>
        </w:rPr>
        <w:t>42</w:t>
      </w:r>
      <w:r w:rsidRPr="00CD4621">
        <w:rPr>
          <w:rFonts w:eastAsiaTheme="minorEastAsia"/>
          <w:rtl/>
        </w:rPr>
        <w:t>-</w:t>
      </w:r>
      <w:r w:rsidRPr="00CD4621">
        <w:rPr>
          <w:rFonts w:eastAsiaTheme="minorEastAsia"/>
          <w:rtl/>
        </w:rPr>
        <w:tab/>
        <w:t>يساور اللجنة القلق إزاء المعلومات التي تفيد بأنه على الرغم من التوجيه الذي يسمح بإدماج جميع الأطفال المهاجرين في المدارس المغربية بغض النظر عن وضع آبائهم من حيث الهجرة، رفض بعض مديري المدارس تسجيل الأطفال الذين لا يحملون وثائق إدارية صالحة. وتلاحظ اللجنة بقلق أيضاً أن بعض الآباء يمتنعون عن تسجيل أطفالهم في المدارس بسبب الرسوم الإضافية الباهظة والحواجز الثقافية واللغوية.</w:t>
      </w:r>
    </w:p>
    <w:p w14:paraId="168E1D45" w14:textId="0C0CF41A" w:rsidR="00CD4621" w:rsidRPr="00CD4621" w:rsidRDefault="00CD4621" w:rsidP="00CD4621">
      <w:pPr>
        <w:pStyle w:val="SingleTxtGA"/>
        <w:rPr>
          <w:rFonts w:eastAsiaTheme="minorEastAsia"/>
          <w:lang w:val="ar-SA" w:eastAsia="zh-TW" w:bidi="en-GB"/>
        </w:rPr>
      </w:pPr>
      <w:r w:rsidRPr="009E0726">
        <w:rPr>
          <w:rFonts w:eastAsiaTheme="minorEastAsia"/>
          <w:rtl/>
        </w:rPr>
        <w:t>43</w:t>
      </w:r>
      <w:r w:rsidRPr="00CD4621">
        <w:rPr>
          <w:rFonts w:eastAsiaTheme="minorEastAsia"/>
          <w:rtl/>
        </w:rPr>
        <w:t>-</w:t>
      </w:r>
      <w:r w:rsidRPr="00CD4621">
        <w:rPr>
          <w:rFonts w:eastAsiaTheme="minorEastAsia"/>
          <w:rtl/>
        </w:rPr>
        <w:tab/>
      </w:r>
      <w:r w:rsidRPr="009E0726">
        <w:rPr>
          <w:rFonts w:eastAsiaTheme="minorEastAsia"/>
          <w:b/>
          <w:bCs/>
          <w:rtl/>
        </w:rPr>
        <w:t>تكرر اللجنة التوصيات الواردة في ملاحظاتها الختامية السابقة</w:t>
      </w:r>
      <w:r w:rsidRPr="008839E6">
        <w:rPr>
          <w:rStyle w:val="FootnoteReference"/>
          <w:rFonts w:eastAsiaTheme="minorEastAsia"/>
          <w:sz w:val="22"/>
          <w:rtl/>
        </w:rPr>
        <w:t>(</w:t>
      </w:r>
      <w:r w:rsidRPr="009E0726">
        <w:rPr>
          <w:rStyle w:val="FootnoteReference"/>
          <w:rFonts w:eastAsiaTheme="minorEastAsia"/>
          <w:sz w:val="22"/>
          <w:lang w:val="en-US"/>
        </w:rPr>
        <w:footnoteReference w:id="11"/>
      </w:r>
      <w:r w:rsidRPr="008839E6">
        <w:rPr>
          <w:rStyle w:val="FootnoteReference"/>
          <w:rFonts w:eastAsiaTheme="minorEastAsia"/>
          <w:sz w:val="22"/>
          <w:rtl/>
        </w:rPr>
        <w:t>)</w:t>
      </w:r>
      <w:r w:rsidRPr="009E0726">
        <w:rPr>
          <w:rFonts w:eastAsiaTheme="minorEastAsia"/>
          <w:b/>
          <w:bCs/>
          <w:rtl/>
        </w:rPr>
        <w:t>، وتوصي الدولةَ الطرف باتخاذ جميع التدابير اللازمة، بطرق منها توعية المدارس في البلد بالتوجيه الصادر عن وزارة التعليم، لضمان حصول جميع أطفال العمال المهاجرين، بغض النظر عن وضعهم، على التعليم قبل المدرسي والتعليمين الابتدائي والثانوي على أساس المساواة في المعاملة مع مواطني الدولة الطرف، وفقاً للمادة</w:t>
      </w:r>
      <w:r w:rsidRPr="009E0726">
        <w:rPr>
          <w:rFonts w:eastAsiaTheme="minorEastAsia" w:hint="cs"/>
          <w:b/>
          <w:bCs/>
          <w:rtl/>
        </w:rPr>
        <w:t> </w:t>
      </w:r>
      <w:r w:rsidRPr="009E0726">
        <w:rPr>
          <w:rFonts w:eastAsiaTheme="minorEastAsia"/>
          <w:b/>
          <w:bCs/>
          <w:rtl/>
        </w:rPr>
        <w:t>30 من الاتفاقية.</w:t>
      </w:r>
    </w:p>
    <w:p w14:paraId="235334E2" w14:textId="149345DD" w:rsidR="00CD4621" w:rsidRPr="009E0726" w:rsidRDefault="00CD4621" w:rsidP="00CD4621">
      <w:pPr>
        <w:pStyle w:val="H23GA"/>
        <w:rPr>
          <w:lang w:val="ar-SA" w:eastAsia="zh-TW" w:bidi="en-GB"/>
        </w:rPr>
      </w:pPr>
      <w:r w:rsidRPr="009E0726">
        <w:rPr>
          <w:rtl/>
        </w:rPr>
        <w:lastRenderedPageBreak/>
        <w:tab/>
        <w:t>4-</w:t>
      </w:r>
      <w:r w:rsidRPr="009E0726">
        <w:rPr>
          <w:rtl/>
        </w:rPr>
        <w:tab/>
        <w:t>حقوق أخرى للعمال المهاجرين وأفراد أسرهم الحائزين للوثائق اللازمة أو الذين هم في وضع نظامي (المواد 36-56)</w:t>
      </w:r>
    </w:p>
    <w:p w14:paraId="2119D742" w14:textId="4A208A2F" w:rsidR="00CD4621" w:rsidRPr="009E0726" w:rsidRDefault="00CD4621" w:rsidP="00CD4621">
      <w:pPr>
        <w:pStyle w:val="H23GA"/>
        <w:rPr>
          <w:lang w:val="ar-SA" w:eastAsia="zh-TW" w:bidi="en-GB"/>
        </w:rPr>
      </w:pPr>
      <w:r w:rsidRPr="009E0726">
        <w:rPr>
          <w:rtl/>
        </w:rPr>
        <w:tab/>
      </w:r>
      <w:r w:rsidRPr="009E0726">
        <w:rPr>
          <w:rtl/>
        </w:rPr>
        <w:tab/>
        <w:t>الحق في تكوين النقابات</w:t>
      </w:r>
    </w:p>
    <w:p w14:paraId="7763C089" w14:textId="77777777" w:rsidR="00CD4621" w:rsidRPr="00CD4621" w:rsidRDefault="00CD4621" w:rsidP="00CD4621">
      <w:pPr>
        <w:pStyle w:val="SingleTxtGA"/>
        <w:rPr>
          <w:rFonts w:eastAsiaTheme="minorEastAsia"/>
          <w:lang w:val="ar-SA" w:eastAsia="zh-TW" w:bidi="en-GB"/>
        </w:rPr>
      </w:pPr>
      <w:r w:rsidRPr="009E0726">
        <w:rPr>
          <w:rFonts w:eastAsiaTheme="minorEastAsia"/>
          <w:rtl/>
        </w:rPr>
        <w:t>44</w:t>
      </w:r>
      <w:r w:rsidRPr="00CD4621">
        <w:rPr>
          <w:rFonts w:eastAsiaTheme="minorEastAsia"/>
          <w:rtl/>
        </w:rPr>
        <w:t>-</w:t>
      </w:r>
      <w:r w:rsidRPr="00CD4621">
        <w:rPr>
          <w:rFonts w:eastAsiaTheme="minorEastAsia"/>
          <w:rtl/>
        </w:rPr>
        <w:tab/>
        <w:t>تلاحظ اللجنة مع التقدير أن بإمكان العمال المهاجرين الانضمام إلى نقابات. ومع ذلك، يساور اللجنة القلق من أن العمال المهاجرين لا يمكنهم أن يصبحوا قادة نقابيين.</w:t>
      </w:r>
    </w:p>
    <w:p w14:paraId="48DE4580" w14:textId="77777777" w:rsidR="00CD4621" w:rsidRPr="00CD4621" w:rsidRDefault="00CD4621" w:rsidP="00CD4621">
      <w:pPr>
        <w:pStyle w:val="SingleTxtGA"/>
        <w:rPr>
          <w:rFonts w:eastAsiaTheme="minorEastAsia"/>
          <w:lang w:val="ar-SA" w:eastAsia="zh-TW" w:bidi="en-GB"/>
        </w:rPr>
      </w:pPr>
      <w:r w:rsidRPr="009E0726">
        <w:rPr>
          <w:rFonts w:eastAsiaTheme="minorEastAsia"/>
          <w:rtl/>
        </w:rPr>
        <w:t>45</w:t>
      </w:r>
      <w:r w:rsidRPr="00CD4621">
        <w:rPr>
          <w:rFonts w:eastAsiaTheme="minorEastAsia"/>
          <w:rtl/>
        </w:rPr>
        <w:t>-</w:t>
      </w:r>
      <w:r w:rsidRPr="00CD4621">
        <w:rPr>
          <w:rFonts w:eastAsiaTheme="minorEastAsia"/>
          <w:rtl/>
        </w:rPr>
        <w:tab/>
      </w:r>
      <w:r w:rsidRPr="009E0726">
        <w:rPr>
          <w:rFonts w:eastAsiaTheme="minorEastAsia"/>
          <w:b/>
          <w:bCs/>
          <w:rtl/>
        </w:rPr>
        <w:t>توصي اللجنة الدولة الطرف باتخاذ جميع التدابير اللازمة، بما فيها إجراء تعديلات تشريعية، لضمان حق العمال المهاجرين في عضوية الهيئات التنفيذية لنقاباتهم توخياً لتعزيز وحماية مصالحهم الاقتصادية والاجتماعية والثقافية وغيرها، وفقاً للمادة 40 من الاتفاقية.</w:t>
      </w:r>
    </w:p>
    <w:p w14:paraId="121D118D" w14:textId="77777777" w:rsidR="00CD4621" w:rsidRPr="009E0726" w:rsidRDefault="00CD4621" w:rsidP="00CD4621">
      <w:pPr>
        <w:pStyle w:val="H23GA"/>
        <w:rPr>
          <w:lang w:val="ar-SA" w:eastAsia="zh-TW" w:bidi="en-GB"/>
        </w:rPr>
      </w:pPr>
      <w:r w:rsidRPr="009E0726">
        <w:rPr>
          <w:rtl/>
        </w:rPr>
        <w:tab/>
      </w:r>
      <w:r w:rsidRPr="009E0726">
        <w:rPr>
          <w:rtl/>
        </w:rPr>
        <w:tab/>
        <w:t>الحق في التصويت والترشح في دولة المنشأ</w:t>
      </w:r>
    </w:p>
    <w:p w14:paraId="0036FDBB" w14:textId="77777777" w:rsidR="00CD4621" w:rsidRPr="00CD4621" w:rsidRDefault="00CD4621" w:rsidP="00CD4621">
      <w:pPr>
        <w:pStyle w:val="SingleTxtGA"/>
        <w:rPr>
          <w:rFonts w:eastAsiaTheme="minorEastAsia"/>
          <w:lang w:val="ar-SA" w:eastAsia="zh-TW" w:bidi="en-GB"/>
        </w:rPr>
      </w:pPr>
      <w:r w:rsidRPr="009E0726">
        <w:rPr>
          <w:rFonts w:eastAsiaTheme="minorEastAsia"/>
          <w:rtl/>
        </w:rPr>
        <w:t>46</w:t>
      </w:r>
      <w:r w:rsidRPr="00CD4621">
        <w:rPr>
          <w:rFonts w:eastAsiaTheme="minorEastAsia"/>
          <w:rtl/>
        </w:rPr>
        <w:t>-</w:t>
      </w:r>
      <w:r w:rsidRPr="00CD4621">
        <w:rPr>
          <w:rFonts w:eastAsiaTheme="minorEastAsia"/>
          <w:rtl/>
        </w:rPr>
        <w:tab/>
        <w:t>تحيط اللجنة علماً بالمعلومات التي قدمتها الدولة الطرف ومفادها أن آلية للتصويت بالوكالة تسمح للعمال المهاجرين المغاربة المقيمين في الخارج بالمشاركة في الانتخابات من بلد إقامتهم، وأن السفارات والقنصليات تعمل على التوعية بآخر المستجدات والتغييرات في اللوائح الانتخابية. ومع ذلك، تأسف اللجنة لعدم وجود بيانات عن عدد العمال المهاجرين المغاربة المقيمين في الخارج الذين يشاركون بالفعل في الانتخابات على المستوى الوطني أو المحلي أو الإقليمي.</w:t>
      </w:r>
    </w:p>
    <w:p w14:paraId="58B0A88D" w14:textId="77777777" w:rsidR="00CD4621" w:rsidRPr="00CD4621" w:rsidRDefault="00CD4621" w:rsidP="00CD4621">
      <w:pPr>
        <w:pStyle w:val="SingleTxtGA"/>
        <w:rPr>
          <w:rFonts w:eastAsiaTheme="minorEastAsia"/>
          <w:lang w:val="ar-SA" w:eastAsia="zh-TW" w:bidi="en-GB"/>
        </w:rPr>
      </w:pPr>
      <w:r w:rsidRPr="009E0726">
        <w:rPr>
          <w:rFonts w:eastAsiaTheme="minorEastAsia"/>
          <w:rtl/>
        </w:rPr>
        <w:t>47</w:t>
      </w:r>
      <w:r w:rsidRPr="00CD4621">
        <w:rPr>
          <w:rFonts w:eastAsiaTheme="minorEastAsia"/>
          <w:rtl/>
        </w:rPr>
        <w:t>-</w:t>
      </w:r>
      <w:r w:rsidRPr="00CD4621">
        <w:rPr>
          <w:rFonts w:eastAsiaTheme="minorEastAsia"/>
          <w:rtl/>
        </w:rPr>
        <w:tab/>
      </w:r>
      <w:r w:rsidRPr="009E0726">
        <w:rPr>
          <w:rFonts w:eastAsiaTheme="minorEastAsia"/>
          <w:b/>
          <w:bCs/>
          <w:rtl/>
        </w:rPr>
        <w:t>تشجع اللجنة الدولة الطرف على مواصلة جهودها لتيسير ممارسة جميع العمال المهاجرين المغاربة المقيمين في الخارج حقهم في التصويت، وعلى تضمين تقريرها المقبل بيانات دقيقة عن عدد العمال المهاجرين المغاربة المقيمين في الخارج الذين تمكنوا من المشاركة في الانتخابات على المستويات الوطني والمحلي والإقليمي.</w:t>
      </w:r>
    </w:p>
    <w:p w14:paraId="05B52E2E" w14:textId="70EBF1E5" w:rsidR="00CD4621" w:rsidRPr="009E0726" w:rsidRDefault="00CD4621" w:rsidP="00CD4621">
      <w:pPr>
        <w:pStyle w:val="H23GA"/>
        <w:rPr>
          <w:lang w:val="ar-SA" w:eastAsia="zh-TW" w:bidi="en-GB"/>
        </w:rPr>
      </w:pPr>
      <w:r w:rsidRPr="009E0726">
        <w:rPr>
          <w:rtl/>
        </w:rPr>
        <w:tab/>
        <w:t>5-</w:t>
      </w:r>
      <w:r w:rsidRPr="009E0726">
        <w:rPr>
          <w:rtl/>
        </w:rPr>
        <w:tab/>
        <w:t>تعزيز الظروف السليمة والعادلة والإنسانية والمشروعة فيما يتعلق بالهجرة الدولية للعمال وأفراد أسرهم (المواد 64-71)</w:t>
      </w:r>
    </w:p>
    <w:p w14:paraId="6C508FBC" w14:textId="12B94067" w:rsidR="00CD4621" w:rsidRPr="009E0726" w:rsidRDefault="00CD4621" w:rsidP="00CD4621">
      <w:pPr>
        <w:pStyle w:val="H23GA"/>
        <w:rPr>
          <w:lang w:val="ar-SA" w:eastAsia="zh-TW" w:bidi="en-GB"/>
        </w:rPr>
      </w:pPr>
      <w:r w:rsidRPr="009E0726">
        <w:rPr>
          <w:rtl/>
        </w:rPr>
        <w:tab/>
      </w:r>
      <w:r w:rsidRPr="009E0726">
        <w:rPr>
          <w:rtl/>
        </w:rPr>
        <w:tab/>
        <w:t>التعاون الدولي مع بلدان العبور وبلدان المقصد</w:t>
      </w:r>
    </w:p>
    <w:p w14:paraId="69A70772" w14:textId="77777777" w:rsidR="00CD4621" w:rsidRPr="00CD4621" w:rsidRDefault="00CD4621" w:rsidP="00CD4621">
      <w:pPr>
        <w:pStyle w:val="SingleTxtGA"/>
        <w:rPr>
          <w:rFonts w:eastAsiaTheme="minorEastAsia"/>
          <w:lang w:val="ar-SA" w:eastAsia="zh-TW" w:bidi="en-GB"/>
        </w:rPr>
      </w:pPr>
      <w:r w:rsidRPr="009E0726">
        <w:rPr>
          <w:rFonts w:eastAsiaTheme="minorEastAsia"/>
          <w:rtl/>
        </w:rPr>
        <w:t>48</w:t>
      </w:r>
      <w:r w:rsidRPr="00CD4621">
        <w:rPr>
          <w:rFonts w:eastAsiaTheme="minorEastAsia"/>
          <w:rtl/>
        </w:rPr>
        <w:t>-</w:t>
      </w:r>
      <w:r w:rsidRPr="00CD4621">
        <w:rPr>
          <w:rFonts w:eastAsiaTheme="minorEastAsia"/>
          <w:rtl/>
        </w:rPr>
        <w:tab/>
        <w:t>تلاحظ اللجنة أن الدولة الطرف بصدد التوقيع على عدد من الاتفاقات الثنائية الجديدة بشأن مسألة هجرة اليد العاملة وتجديد اتفاقات أخرى. غير أن اللجنة تأسف لافتقارها إلى معلومات كافية لتحليل مدى تماشي هذه الاتفاقات مع القانون الدولي لحقوق الإنسان، ولا سيما مع أحكام الاتفاقية.</w:t>
      </w:r>
    </w:p>
    <w:p w14:paraId="47D58CD6" w14:textId="77777777" w:rsidR="00CD4621" w:rsidRPr="00CD4621" w:rsidRDefault="00CD4621" w:rsidP="00CD4621">
      <w:pPr>
        <w:pStyle w:val="SingleTxtGA"/>
        <w:rPr>
          <w:rFonts w:eastAsiaTheme="minorEastAsia"/>
          <w:lang w:val="ar-SA" w:eastAsia="zh-TW" w:bidi="en-GB"/>
        </w:rPr>
      </w:pPr>
      <w:r w:rsidRPr="009E0726">
        <w:rPr>
          <w:rFonts w:eastAsiaTheme="minorEastAsia"/>
          <w:rtl/>
        </w:rPr>
        <w:t>49</w:t>
      </w:r>
      <w:r w:rsidRPr="00CD4621">
        <w:rPr>
          <w:rFonts w:eastAsiaTheme="minorEastAsia"/>
          <w:rtl/>
        </w:rPr>
        <w:t>-</w:t>
      </w:r>
      <w:r w:rsidRPr="00CD4621">
        <w:rPr>
          <w:rFonts w:eastAsiaTheme="minorEastAsia"/>
          <w:rtl/>
        </w:rPr>
        <w:tab/>
      </w:r>
      <w:r w:rsidRPr="009E0726">
        <w:rPr>
          <w:rFonts w:eastAsiaTheme="minorEastAsia"/>
          <w:b/>
          <w:bCs/>
          <w:rtl/>
        </w:rPr>
        <w:t>توصي اللجنة الدولة الطرف بما يلي:</w:t>
      </w:r>
    </w:p>
    <w:p w14:paraId="6688C136" w14:textId="5079B5F4" w:rsidR="00CD4621" w:rsidRPr="00CD4621" w:rsidRDefault="00CD4621" w:rsidP="00CD4621">
      <w:pPr>
        <w:pStyle w:val="SingleTxtGA"/>
        <w:rPr>
          <w:rFonts w:eastAsiaTheme="minorEastAsia"/>
          <w:lang w:val="ar-SA" w:eastAsia="zh-TW" w:bidi="en-GB"/>
        </w:rPr>
      </w:pPr>
      <w:r>
        <w:rPr>
          <w:rFonts w:eastAsiaTheme="minorEastAsia"/>
          <w:rtl/>
        </w:rPr>
        <w:tab/>
      </w:r>
      <w:r w:rsidRPr="00CD4621">
        <w:rPr>
          <w:rFonts w:eastAsiaTheme="minorEastAsia"/>
          <w:rtl/>
        </w:rPr>
        <w:t>(أ)</w:t>
      </w:r>
      <w:r w:rsidRPr="00CD4621">
        <w:rPr>
          <w:rFonts w:eastAsiaTheme="minorEastAsia"/>
          <w:rtl/>
        </w:rPr>
        <w:tab/>
      </w:r>
      <w:r w:rsidRPr="009E0726">
        <w:rPr>
          <w:rFonts w:eastAsiaTheme="minorEastAsia"/>
          <w:b/>
          <w:bCs/>
          <w:rtl/>
        </w:rPr>
        <w:t>الحرص على أن تكون اتفاقاتها الثنائية والمتعددة الأطراف بشأن حرية تنقل العمال المهاجرين وأفراد أسرهم متماشية تماماً مع الاتفاقية ومع التعليقين العامين رقم 1(2011) ورقم</w:t>
      </w:r>
      <w:r w:rsidRPr="009E0726">
        <w:rPr>
          <w:rFonts w:eastAsiaTheme="minorEastAsia" w:hint="cs"/>
          <w:b/>
          <w:bCs/>
          <w:rtl/>
        </w:rPr>
        <w:t> </w:t>
      </w:r>
      <w:r w:rsidRPr="009E0726">
        <w:rPr>
          <w:rFonts w:eastAsiaTheme="minorEastAsia"/>
          <w:b/>
          <w:bCs/>
          <w:rtl/>
        </w:rPr>
        <w:t>2(2013) للجنة والتعليقات العامة المشتركة رقم 3 و4(2017) للجنة المعنية بحماية حقوق جميع العمال المهاجرين وأفراد أسرهم ورقم 22 و23(2017) للجنة حقوق الطفل، وأن تتناول تلك الاتفاقات على وجه الخصوص حقوق الإنسان وتتضمن أحكاماً محددة بشأن العمال الذين يعيشون أوضاعاً هشة، مع مراعاة جملة أمور منها اعتبارات النوع الاجتماعي؛</w:t>
      </w:r>
    </w:p>
    <w:p w14:paraId="27691BCC" w14:textId="559C0634" w:rsidR="00CD4621" w:rsidRPr="00CD4621" w:rsidRDefault="00CD4621" w:rsidP="00CD4621">
      <w:pPr>
        <w:pStyle w:val="SingleTxtGA"/>
        <w:rPr>
          <w:rFonts w:eastAsiaTheme="minorEastAsia"/>
          <w:lang w:val="ar-SA" w:eastAsia="zh-TW" w:bidi="en-GB"/>
        </w:rPr>
      </w:pPr>
      <w:r>
        <w:rPr>
          <w:rFonts w:eastAsiaTheme="minorEastAsia"/>
          <w:rtl/>
        </w:rPr>
        <w:lastRenderedPageBreak/>
        <w:tab/>
      </w:r>
      <w:r w:rsidRPr="00CD4621">
        <w:rPr>
          <w:rFonts w:eastAsiaTheme="minorEastAsia"/>
          <w:rtl/>
        </w:rPr>
        <w:t>(ب)</w:t>
      </w:r>
      <w:r w:rsidRPr="00CD4621">
        <w:rPr>
          <w:rFonts w:eastAsiaTheme="minorEastAsia"/>
          <w:rtl/>
        </w:rPr>
        <w:tab/>
      </w:r>
      <w:r w:rsidRPr="009E0726">
        <w:rPr>
          <w:rFonts w:eastAsiaTheme="minorEastAsia"/>
          <w:b/>
          <w:bCs/>
          <w:rtl/>
        </w:rPr>
        <w:t>التعاون مع مفوضية الأمم المتحدة السامية لحقوق الإنسان ومنظمة العمل الدولية، وطلب المساعدة التقنية فيما يتعلق بتنفيذ تلك الاتفاقات والتفاوض بشأن اتفاقات مقبلة، لضمان تماشيها مع الاتفاقية.</w:t>
      </w:r>
    </w:p>
    <w:p w14:paraId="065C1929" w14:textId="77777777" w:rsidR="00CD4621" w:rsidRPr="009E0726" w:rsidRDefault="00CD4621" w:rsidP="00CD4621">
      <w:pPr>
        <w:pStyle w:val="H23GA"/>
        <w:rPr>
          <w:lang w:val="ar-SA" w:eastAsia="zh-TW" w:bidi="en-GB"/>
        </w:rPr>
      </w:pPr>
      <w:r w:rsidRPr="009E0726">
        <w:rPr>
          <w:rtl/>
        </w:rPr>
        <w:tab/>
      </w:r>
      <w:r w:rsidRPr="009E0726">
        <w:rPr>
          <w:rtl/>
        </w:rPr>
        <w:tab/>
        <w:t>المهاجرون المستخدَمون عمالاً منزليين</w:t>
      </w:r>
    </w:p>
    <w:p w14:paraId="163DE847" w14:textId="77777777" w:rsidR="00CD4621" w:rsidRPr="00CD4621" w:rsidRDefault="00CD4621" w:rsidP="00CD4621">
      <w:pPr>
        <w:pStyle w:val="SingleTxtGA"/>
        <w:rPr>
          <w:rFonts w:eastAsiaTheme="minorEastAsia"/>
          <w:lang w:val="ar-SA" w:eastAsia="zh-TW" w:bidi="en-GB"/>
        </w:rPr>
      </w:pPr>
      <w:r w:rsidRPr="009E0726">
        <w:rPr>
          <w:rFonts w:eastAsiaTheme="minorEastAsia"/>
          <w:rtl/>
        </w:rPr>
        <w:t>50</w:t>
      </w:r>
      <w:r w:rsidRPr="00CD4621">
        <w:rPr>
          <w:rFonts w:eastAsiaTheme="minorEastAsia"/>
          <w:rtl/>
        </w:rPr>
        <w:t>-</w:t>
      </w:r>
      <w:r w:rsidRPr="00CD4621">
        <w:rPr>
          <w:rFonts w:eastAsiaTheme="minorEastAsia"/>
          <w:rtl/>
        </w:rPr>
        <w:tab/>
        <w:t xml:space="preserve">يساور اللجنة القلق من أن عدداً من العمال المهاجرين المستخدَمين في المنازل في الدولة الطرف لا تربطهم عقود عمل بمستخدِميهم، مما يعرضهم لخطر الاستغلال ويحول دون حصولهم على جميع أشكال الحماية الاجتماعية المتاحة في البلد. وعلاوة على ذلك، تحيط اللجنة علماً بما ذكرته الدولة الطرف ومفاده أن المادة </w:t>
      </w:r>
      <w:r w:rsidRPr="009E0726">
        <w:rPr>
          <w:rFonts w:eastAsiaTheme="minorEastAsia"/>
          <w:rtl/>
        </w:rPr>
        <w:t>516</w:t>
      </w:r>
      <w:r w:rsidRPr="00CD4621">
        <w:rPr>
          <w:rFonts w:eastAsiaTheme="minorEastAsia"/>
          <w:rtl/>
        </w:rPr>
        <w:t xml:space="preserve"> من مدونة الشغل تنص على أنه لا يجوز منح عقد لأجير أجنبي إلا بموافقة السلطة الحكومية، وعلى أنه يمكن إنهاء هذا العقد في أي وقت. وتلاحظ اللجنة أن أحكام هذه المادة لم تنفَّذ قط، وفقاً للدولة الطرف، غير أنها لا تزال تشعر بالقلق من أن وجودها يمكن أن يؤدي إلى حالة من عدم الاستقرار لدى العمال المنزليين الأجانب، ومعظمهم من النساء. </w:t>
      </w:r>
    </w:p>
    <w:p w14:paraId="6004AFFA" w14:textId="684624E2" w:rsidR="00CD4621" w:rsidRPr="00CD4621" w:rsidRDefault="00CD4621" w:rsidP="00CD4621">
      <w:pPr>
        <w:pStyle w:val="SingleTxtGA"/>
        <w:rPr>
          <w:rFonts w:eastAsiaTheme="minorEastAsia"/>
          <w:lang w:val="ar-SA" w:eastAsia="zh-TW" w:bidi="en-GB"/>
        </w:rPr>
      </w:pPr>
      <w:r w:rsidRPr="009E0726">
        <w:rPr>
          <w:rFonts w:eastAsiaTheme="minorEastAsia"/>
          <w:rtl/>
        </w:rPr>
        <w:t>51</w:t>
      </w:r>
      <w:r w:rsidRPr="00CD4621">
        <w:rPr>
          <w:rFonts w:eastAsiaTheme="minorEastAsia"/>
          <w:rtl/>
        </w:rPr>
        <w:t>-</w:t>
      </w:r>
      <w:r w:rsidRPr="00CD4621">
        <w:rPr>
          <w:rFonts w:eastAsiaTheme="minorEastAsia"/>
          <w:rtl/>
        </w:rPr>
        <w:tab/>
      </w:r>
      <w:r w:rsidRPr="009E0726">
        <w:rPr>
          <w:rFonts w:eastAsiaTheme="minorEastAsia"/>
          <w:b/>
          <w:bCs/>
          <w:rtl/>
        </w:rPr>
        <w:t>توصي اللجنة، في ضوء تعليقها العام رقم 1(2011)، الدولة الطرف بما يلي:</w:t>
      </w:r>
    </w:p>
    <w:p w14:paraId="2EDFEEE6" w14:textId="37E24DF9" w:rsidR="00CD4621" w:rsidRPr="00CD4621" w:rsidRDefault="00CD4621" w:rsidP="00CD4621">
      <w:pPr>
        <w:pStyle w:val="SingleTxtGA"/>
        <w:rPr>
          <w:rFonts w:eastAsiaTheme="minorEastAsia"/>
          <w:lang w:val="ar-SA" w:eastAsia="zh-TW" w:bidi="en-GB"/>
        </w:rPr>
      </w:pPr>
      <w:r>
        <w:rPr>
          <w:rFonts w:eastAsiaTheme="minorEastAsia"/>
          <w:rtl/>
        </w:rPr>
        <w:tab/>
      </w:r>
      <w:r w:rsidRPr="00CD4621">
        <w:rPr>
          <w:rFonts w:eastAsiaTheme="minorEastAsia"/>
          <w:rtl/>
        </w:rPr>
        <w:t>(أ)</w:t>
      </w:r>
      <w:r w:rsidRPr="00CD4621">
        <w:rPr>
          <w:rFonts w:eastAsiaTheme="minorEastAsia"/>
          <w:rtl/>
        </w:rPr>
        <w:tab/>
      </w:r>
      <w:r w:rsidRPr="009E0726">
        <w:rPr>
          <w:rFonts w:eastAsiaTheme="minorEastAsia"/>
          <w:b/>
          <w:bCs/>
          <w:rtl/>
        </w:rPr>
        <w:t>التعاون مع دول المنشأ ودول العمل بشأن أطر واتفاقات حماية حقوق العمال المهاجرين الوطنيين؛</w:t>
      </w:r>
    </w:p>
    <w:p w14:paraId="5FDCC8AA" w14:textId="62FA502A" w:rsidR="00CD4621" w:rsidRPr="00CD4621" w:rsidRDefault="00CD4621" w:rsidP="00CD4621">
      <w:pPr>
        <w:pStyle w:val="SingleTxtGA"/>
        <w:rPr>
          <w:rFonts w:eastAsiaTheme="minorEastAsia"/>
          <w:lang w:val="ar-SA" w:eastAsia="zh-TW" w:bidi="en-GB"/>
        </w:rPr>
      </w:pPr>
      <w:r>
        <w:rPr>
          <w:rFonts w:eastAsiaTheme="minorEastAsia"/>
          <w:rtl/>
        </w:rPr>
        <w:tab/>
      </w:r>
      <w:r w:rsidRPr="00CD4621">
        <w:rPr>
          <w:rFonts w:eastAsiaTheme="minorEastAsia"/>
          <w:rtl/>
        </w:rPr>
        <w:t>(ب)</w:t>
      </w:r>
      <w:r w:rsidRPr="00CD4621">
        <w:rPr>
          <w:rFonts w:eastAsiaTheme="minorEastAsia"/>
          <w:rtl/>
        </w:rPr>
        <w:tab/>
      </w:r>
      <w:r w:rsidRPr="009E0726">
        <w:rPr>
          <w:rFonts w:eastAsiaTheme="minorEastAsia"/>
          <w:b/>
          <w:bCs/>
          <w:rtl/>
        </w:rPr>
        <w:t>اتخاذ تدابير لتشجيع استخدام عقود عمل معيارية وموحدة ومُلزمة تتضمن شروط ومعايير عمل عادلة وشاملة وواضحة وقابلة للإنفاذ من الناحية القانونية في دولة المنشأ وفي دولة العمل، فضلاً عن إمكانية وصول العمال المهاجرين الوطنيين الذين انتُهكت حقوقهم إلى سبل الانتصاف وغيرها من الخدمات؛</w:t>
      </w:r>
    </w:p>
    <w:p w14:paraId="340B1D2A" w14:textId="7FD626D0" w:rsidR="00CD4621" w:rsidRPr="00CD4621" w:rsidRDefault="00CD4621" w:rsidP="00CD4621">
      <w:pPr>
        <w:pStyle w:val="SingleTxtGA"/>
        <w:rPr>
          <w:rFonts w:eastAsiaTheme="minorEastAsia"/>
          <w:lang w:val="ar-SA" w:eastAsia="zh-TW" w:bidi="en-GB"/>
        </w:rPr>
      </w:pPr>
      <w:r>
        <w:rPr>
          <w:rFonts w:eastAsiaTheme="minorEastAsia"/>
          <w:rtl/>
        </w:rPr>
        <w:tab/>
      </w:r>
      <w:r w:rsidRPr="00CD4621">
        <w:rPr>
          <w:rFonts w:eastAsiaTheme="minorEastAsia"/>
          <w:rtl/>
        </w:rPr>
        <w:t>(ج)</w:t>
      </w:r>
      <w:r w:rsidRPr="00CD4621">
        <w:rPr>
          <w:rFonts w:eastAsiaTheme="minorEastAsia"/>
          <w:rtl/>
        </w:rPr>
        <w:tab/>
      </w:r>
      <w:r w:rsidRPr="009E0726">
        <w:rPr>
          <w:rFonts w:eastAsiaTheme="minorEastAsia"/>
          <w:b/>
          <w:bCs/>
          <w:rtl/>
        </w:rPr>
        <w:t>تنقيح المادة 516 من مدونة الشغل للحيلولة دون أن تكون موافقة السلطة الحكومية شرطاً مسبقاً لإبرام عقد عمل بين صاحب العمل والعامل المهاجر، ولمنع إنهاء هذا العقد بطريقة تعسفية.</w:t>
      </w:r>
    </w:p>
    <w:p w14:paraId="296AB451" w14:textId="77777777" w:rsidR="00CD4621" w:rsidRPr="009E0726" w:rsidRDefault="00CD4621" w:rsidP="00CD4621">
      <w:pPr>
        <w:pStyle w:val="H23GA"/>
        <w:rPr>
          <w:lang w:val="ar-SA" w:eastAsia="zh-TW" w:bidi="en-GB"/>
        </w:rPr>
      </w:pPr>
      <w:r w:rsidRPr="009E0726">
        <w:rPr>
          <w:rtl/>
        </w:rPr>
        <w:tab/>
      </w:r>
      <w:r w:rsidRPr="009E0726">
        <w:rPr>
          <w:rtl/>
        </w:rPr>
        <w:tab/>
        <w:t>العودة وإعادة الإدماج</w:t>
      </w:r>
    </w:p>
    <w:p w14:paraId="7D945C04" w14:textId="77777777" w:rsidR="00CD4621" w:rsidRPr="00CD4621" w:rsidRDefault="00CD4621" w:rsidP="00CD4621">
      <w:pPr>
        <w:pStyle w:val="SingleTxtGA"/>
        <w:rPr>
          <w:rFonts w:eastAsiaTheme="minorEastAsia"/>
          <w:lang w:val="ar-SA" w:eastAsia="zh-TW" w:bidi="en-GB"/>
        </w:rPr>
      </w:pPr>
      <w:r w:rsidRPr="009E0726">
        <w:rPr>
          <w:rFonts w:eastAsiaTheme="minorEastAsia"/>
          <w:rtl/>
        </w:rPr>
        <w:t>52</w:t>
      </w:r>
      <w:r w:rsidRPr="00CD4621">
        <w:rPr>
          <w:rFonts w:eastAsiaTheme="minorEastAsia"/>
          <w:rtl/>
        </w:rPr>
        <w:t>-</w:t>
      </w:r>
      <w:r w:rsidRPr="00CD4621">
        <w:rPr>
          <w:rFonts w:eastAsiaTheme="minorEastAsia"/>
          <w:rtl/>
        </w:rPr>
        <w:tab/>
        <w:t>يساور اللجنة القلق إزاء استمرار ورود معلومات عن مصير عدد من العمال المهاجرين المغاربة الذين طُردوا من الأراضي الجزائرية منذ عدة عقود، وعادوا إلى الدولة الطرف ولم يحصلوا بعد على تعويض كامل ولم يُعَد إدماجهم اجتماعياً وثقافياً في الدولة الطرف.</w:t>
      </w:r>
    </w:p>
    <w:p w14:paraId="3F9B086E" w14:textId="51916CBC" w:rsidR="00CD4621" w:rsidRPr="00CD4621" w:rsidRDefault="00CD4621" w:rsidP="00CD4621">
      <w:pPr>
        <w:pStyle w:val="SingleTxtGA"/>
        <w:rPr>
          <w:rFonts w:eastAsiaTheme="minorEastAsia"/>
          <w:lang w:val="ar-SA" w:eastAsia="zh-TW" w:bidi="en-GB"/>
        </w:rPr>
      </w:pPr>
      <w:r w:rsidRPr="009E0726">
        <w:rPr>
          <w:rFonts w:eastAsiaTheme="minorEastAsia"/>
          <w:rtl/>
        </w:rPr>
        <w:t>53</w:t>
      </w:r>
      <w:r w:rsidRPr="00CD4621">
        <w:rPr>
          <w:rFonts w:eastAsiaTheme="minorEastAsia"/>
          <w:rtl/>
        </w:rPr>
        <w:t>-</w:t>
      </w:r>
      <w:r w:rsidRPr="00CD4621">
        <w:rPr>
          <w:rFonts w:eastAsiaTheme="minorEastAsia"/>
          <w:rtl/>
        </w:rPr>
        <w:tab/>
      </w:r>
      <w:r w:rsidRPr="009E0726">
        <w:rPr>
          <w:rFonts w:eastAsiaTheme="minorEastAsia"/>
          <w:b/>
          <w:bCs/>
          <w:rtl/>
        </w:rPr>
        <w:t>تذكّر اللجنة بالتوصيات الواردة في ملاحظاتها الختامية السابقة</w:t>
      </w:r>
      <w:r w:rsidRPr="008839E6">
        <w:rPr>
          <w:rStyle w:val="FootnoteReference"/>
          <w:rFonts w:eastAsiaTheme="minorEastAsia"/>
          <w:sz w:val="22"/>
          <w:rtl/>
        </w:rPr>
        <w:t>(</w:t>
      </w:r>
      <w:r w:rsidRPr="009E0726">
        <w:rPr>
          <w:rStyle w:val="FootnoteReference"/>
          <w:rFonts w:eastAsiaTheme="minorEastAsia"/>
          <w:sz w:val="22"/>
          <w:lang w:val="en-US"/>
        </w:rPr>
        <w:footnoteReference w:id="12"/>
      </w:r>
      <w:r w:rsidRPr="008839E6">
        <w:rPr>
          <w:rStyle w:val="FootnoteReference"/>
          <w:rFonts w:eastAsiaTheme="minorEastAsia"/>
          <w:sz w:val="22"/>
          <w:rtl/>
        </w:rPr>
        <w:t>)</w:t>
      </w:r>
      <w:r w:rsidRPr="009E0726">
        <w:rPr>
          <w:rFonts w:eastAsiaTheme="minorEastAsia"/>
          <w:b/>
          <w:bCs/>
          <w:rtl/>
        </w:rPr>
        <w:t>، وتشجع الدولة الطرف على أن تتخذ دون تأخير التدابير اللازمة لضمان الظروف الاجتماعية والاقتصادية والقانونية وغيرها من الظروف الضرورية بغية جبر الضرر الذي لحق بالعمال المهاجرين المغاربة من جراء طردهم من الجزائر وتيسير إعادة الإدماج الاجتماعي والثقافي المستدام لجميع المغاربة المعنيين في الدولة الطرف، بمن فيهم العمال المهاجرون المغاربة المطرودون من الأراضي الجزائرية، على النحو المنصوص عليه في المادة 67 من الاتفاقية.</w:t>
      </w:r>
    </w:p>
    <w:p w14:paraId="399F2AEB" w14:textId="77777777" w:rsidR="00CD4621" w:rsidRPr="009E0726" w:rsidRDefault="00CD4621" w:rsidP="00CD4621">
      <w:pPr>
        <w:pStyle w:val="H23GA"/>
        <w:rPr>
          <w:lang w:val="ar-SA" w:eastAsia="zh-TW" w:bidi="en-GB"/>
        </w:rPr>
      </w:pPr>
      <w:r w:rsidRPr="009E0726">
        <w:rPr>
          <w:rtl/>
        </w:rPr>
        <w:lastRenderedPageBreak/>
        <w:tab/>
      </w:r>
      <w:r w:rsidRPr="009E0726">
        <w:rPr>
          <w:rtl/>
        </w:rPr>
        <w:tab/>
        <w:t>الاتجار بالبشر</w:t>
      </w:r>
    </w:p>
    <w:p w14:paraId="2A3E53BC" w14:textId="72971911" w:rsidR="00CD4621" w:rsidRPr="009E0726" w:rsidRDefault="00CD4621" w:rsidP="00CD4621">
      <w:pPr>
        <w:pStyle w:val="SingleTxtGA"/>
        <w:rPr>
          <w:rFonts w:eastAsiaTheme="minorEastAsia"/>
          <w:lang w:val="en-US" w:eastAsia="zh-TW" w:bidi="en-GB"/>
        </w:rPr>
      </w:pPr>
      <w:r w:rsidRPr="009E0726">
        <w:rPr>
          <w:rFonts w:eastAsiaTheme="minorEastAsia"/>
          <w:rtl/>
        </w:rPr>
        <w:t>54</w:t>
      </w:r>
      <w:r w:rsidRPr="00CD4621">
        <w:rPr>
          <w:rFonts w:eastAsiaTheme="minorEastAsia"/>
          <w:rtl/>
        </w:rPr>
        <w:t>-</w:t>
      </w:r>
      <w:r w:rsidRPr="00CD4621">
        <w:rPr>
          <w:rFonts w:eastAsiaTheme="minorEastAsia"/>
          <w:rtl/>
        </w:rPr>
        <w:tab/>
        <w:t>تلاحظ اللجنة بقلق الادعاءات التي تفيد بأن مكافحة تهريب المهاجرين والاتجار بالبشر قد</w:t>
      </w:r>
      <w:r w:rsidR="00CB0C0D">
        <w:rPr>
          <w:rFonts w:eastAsiaTheme="minorEastAsia" w:hint="cs"/>
          <w:rtl/>
        </w:rPr>
        <w:t> </w:t>
      </w:r>
      <w:r w:rsidRPr="00CD4621">
        <w:rPr>
          <w:rFonts w:eastAsiaTheme="minorEastAsia"/>
          <w:rtl/>
        </w:rPr>
        <w:t>استُخدمت أيضاً لتبرير ممارسات معيّنة خارج إطار القانون، باسم حماية الضحايا المزعومين لشبكات الاتجار. ويساور اللجنة القلق من أن ضحايا الاتجار بالبشر يعامَلون كمهاجرين غير نظاميين ولا يتلقون الرعاية والحماية الكافيتين.</w:t>
      </w:r>
    </w:p>
    <w:p w14:paraId="341F2F63" w14:textId="5F1258FF" w:rsidR="00CD4621" w:rsidRPr="00CD4621" w:rsidRDefault="00CD4621" w:rsidP="00CD4621">
      <w:pPr>
        <w:pStyle w:val="SingleTxtGA"/>
        <w:rPr>
          <w:rFonts w:eastAsiaTheme="minorEastAsia"/>
          <w:lang w:val="ar-SA" w:eastAsia="zh-TW" w:bidi="en-GB"/>
        </w:rPr>
      </w:pPr>
      <w:r w:rsidRPr="009E0726">
        <w:rPr>
          <w:rFonts w:eastAsiaTheme="minorEastAsia"/>
          <w:rtl/>
        </w:rPr>
        <w:t>55</w:t>
      </w:r>
      <w:r w:rsidRPr="00CD4621">
        <w:rPr>
          <w:rFonts w:eastAsiaTheme="minorEastAsia"/>
          <w:rtl/>
        </w:rPr>
        <w:t>-</w:t>
      </w:r>
      <w:r w:rsidRPr="00CD4621">
        <w:rPr>
          <w:rFonts w:eastAsiaTheme="minorEastAsia"/>
          <w:rtl/>
        </w:rPr>
        <w:tab/>
      </w:r>
      <w:r w:rsidRPr="009E0726">
        <w:rPr>
          <w:rFonts w:eastAsiaTheme="minorEastAsia"/>
          <w:b/>
          <w:bCs/>
          <w:rtl/>
        </w:rPr>
        <w:t>تذكّر اللجنة بالتوصيات الواردة في ملاحظاتها الختامية السابقة</w:t>
      </w:r>
      <w:r w:rsidRPr="008839E6">
        <w:rPr>
          <w:rStyle w:val="FootnoteReference"/>
          <w:rFonts w:eastAsiaTheme="minorEastAsia"/>
          <w:sz w:val="22"/>
          <w:rtl/>
        </w:rPr>
        <w:t>(</w:t>
      </w:r>
      <w:r w:rsidRPr="009E0726">
        <w:rPr>
          <w:rStyle w:val="FootnoteReference"/>
          <w:rFonts w:eastAsiaTheme="minorEastAsia"/>
          <w:sz w:val="22"/>
          <w:lang w:val="en-US"/>
        </w:rPr>
        <w:footnoteReference w:id="13"/>
      </w:r>
      <w:r w:rsidRPr="008839E6">
        <w:rPr>
          <w:rStyle w:val="FootnoteReference"/>
          <w:rFonts w:eastAsiaTheme="minorEastAsia"/>
          <w:sz w:val="22"/>
          <w:rtl/>
        </w:rPr>
        <w:t>)</w:t>
      </w:r>
      <w:r w:rsidRPr="009E0726">
        <w:rPr>
          <w:rFonts w:eastAsiaTheme="minorEastAsia"/>
          <w:b/>
          <w:bCs/>
          <w:rtl/>
        </w:rPr>
        <w:t>، وتمشياً مع توصيات مفوضة الأمم المتحدة السامية لحقوق الإنسان بشأن المبادئ والمبادئ التوجيهية الموصى بها فيما يتعلق بحقوق الإنسان والاتجار بالأشخاص</w:t>
      </w:r>
      <w:r w:rsidRPr="008839E6">
        <w:rPr>
          <w:rStyle w:val="FootnoteReference"/>
          <w:rFonts w:eastAsiaTheme="minorEastAsia"/>
          <w:sz w:val="22"/>
          <w:rtl/>
        </w:rPr>
        <w:t>(</w:t>
      </w:r>
      <w:r w:rsidRPr="009E0726">
        <w:rPr>
          <w:rStyle w:val="FootnoteReference"/>
          <w:rFonts w:eastAsiaTheme="minorEastAsia"/>
          <w:sz w:val="22"/>
          <w:lang w:val="en-US"/>
        </w:rPr>
        <w:footnoteReference w:id="14"/>
      </w:r>
      <w:r w:rsidRPr="008839E6">
        <w:rPr>
          <w:rStyle w:val="FootnoteReference"/>
          <w:rFonts w:eastAsiaTheme="minorEastAsia"/>
          <w:sz w:val="22"/>
          <w:rtl/>
        </w:rPr>
        <w:t>)</w:t>
      </w:r>
      <w:r w:rsidRPr="009E0726">
        <w:rPr>
          <w:rFonts w:eastAsiaTheme="minorEastAsia"/>
          <w:b/>
          <w:bCs/>
          <w:rtl/>
        </w:rPr>
        <w:t>، توصي الدولة الطرف، في ضوء الغاية 5-2 من أهداف التنمية المستدامة، بما يلي:</w:t>
      </w:r>
      <w:r w:rsidRPr="00CD4621">
        <w:rPr>
          <w:rFonts w:eastAsiaTheme="minorEastAsia"/>
          <w:rtl/>
        </w:rPr>
        <w:t xml:space="preserve"> </w:t>
      </w:r>
    </w:p>
    <w:p w14:paraId="2B69A582" w14:textId="083A8331" w:rsidR="00CD4621" w:rsidRPr="00CD4621" w:rsidRDefault="00CD4621" w:rsidP="00CD4621">
      <w:pPr>
        <w:pStyle w:val="SingleTxtGA"/>
        <w:rPr>
          <w:rFonts w:eastAsiaTheme="minorEastAsia"/>
          <w:lang w:val="ar-SA" w:eastAsia="zh-TW" w:bidi="en-GB"/>
        </w:rPr>
      </w:pPr>
      <w:r>
        <w:rPr>
          <w:rFonts w:eastAsiaTheme="minorEastAsia"/>
          <w:rtl/>
        </w:rPr>
        <w:tab/>
      </w:r>
      <w:r w:rsidRPr="00CD4621">
        <w:rPr>
          <w:rFonts w:eastAsiaTheme="minorEastAsia"/>
          <w:rtl/>
        </w:rPr>
        <w:t>(أ)</w:t>
      </w:r>
      <w:r w:rsidRPr="00CD4621">
        <w:rPr>
          <w:rFonts w:eastAsiaTheme="minorEastAsia"/>
          <w:rtl/>
        </w:rPr>
        <w:tab/>
      </w:r>
      <w:r w:rsidRPr="009E0726">
        <w:rPr>
          <w:rFonts w:eastAsiaTheme="minorEastAsia"/>
          <w:b/>
          <w:bCs/>
          <w:rtl/>
        </w:rPr>
        <w:t>إنشاء آليات فعالة للتعرف على ضحايا الاتجار بالبشر وتزويدهم بالحماية والمساعدة التي يحتاجون إليها لإعانتهم على إعادة بناء حياتهم؛</w:t>
      </w:r>
    </w:p>
    <w:p w14:paraId="0EFF3D14" w14:textId="47C7A1E7" w:rsidR="00CD4621" w:rsidRPr="00CD4621" w:rsidRDefault="00CD4621" w:rsidP="00CD4621">
      <w:pPr>
        <w:pStyle w:val="SingleTxtGA"/>
        <w:rPr>
          <w:rFonts w:eastAsiaTheme="minorEastAsia"/>
          <w:lang w:val="ar-SA" w:eastAsia="zh-TW" w:bidi="en-GB"/>
        </w:rPr>
      </w:pPr>
      <w:r>
        <w:rPr>
          <w:rFonts w:eastAsiaTheme="minorEastAsia"/>
          <w:rtl/>
        </w:rPr>
        <w:tab/>
      </w:r>
      <w:r w:rsidRPr="00CD4621">
        <w:rPr>
          <w:rFonts w:eastAsiaTheme="minorEastAsia"/>
          <w:rtl/>
        </w:rPr>
        <w:t>(ب)</w:t>
      </w:r>
      <w:r w:rsidRPr="00CD4621">
        <w:rPr>
          <w:rFonts w:eastAsiaTheme="minorEastAsia"/>
          <w:rtl/>
        </w:rPr>
        <w:tab/>
      </w:r>
      <w:r w:rsidRPr="009E0726">
        <w:rPr>
          <w:rFonts w:eastAsiaTheme="minorEastAsia"/>
          <w:b/>
          <w:bCs/>
          <w:rtl/>
        </w:rPr>
        <w:t>توفير التدريب لأفراد الشرطة وغيرهم من الموظفين المكلفين بإنفاذ القوانين، والقضاة والمدعين العامين، ومفتشي العمل، والمدرسين والموظفين الصحيين، وموظفي السفارات والقنصليات في الدولة الطرف على التعرف على ضحايا الاتجار ومعاملتهم على النحو المناسب؛</w:t>
      </w:r>
    </w:p>
    <w:p w14:paraId="70D6DB5D" w14:textId="509AF01C" w:rsidR="00CD4621" w:rsidRPr="00CD4621" w:rsidRDefault="00CD4621" w:rsidP="00CD4621">
      <w:pPr>
        <w:pStyle w:val="SingleTxtGA"/>
        <w:rPr>
          <w:rFonts w:eastAsiaTheme="minorEastAsia"/>
          <w:lang w:val="ar-SA" w:eastAsia="zh-TW" w:bidi="en-GB"/>
        </w:rPr>
      </w:pPr>
      <w:r>
        <w:rPr>
          <w:rFonts w:eastAsiaTheme="minorEastAsia"/>
          <w:rtl/>
        </w:rPr>
        <w:tab/>
      </w:r>
      <w:r w:rsidRPr="00CD4621">
        <w:rPr>
          <w:rFonts w:eastAsiaTheme="minorEastAsia"/>
          <w:rtl/>
        </w:rPr>
        <w:t>(ج)</w:t>
      </w:r>
      <w:r w:rsidRPr="00CD4621">
        <w:rPr>
          <w:rFonts w:eastAsiaTheme="minorEastAsia"/>
          <w:rtl/>
        </w:rPr>
        <w:tab/>
      </w:r>
      <w:r w:rsidRPr="009E0726">
        <w:rPr>
          <w:rFonts w:eastAsiaTheme="minorEastAsia"/>
          <w:b/>
          <w:bCs/>
          <w:rtl/>
        </w:rPr>
        <w:t>ضمان توفير الدعم من أجل عمليات عودة العمال المهاجرين وأفراد أسرهم وإعادة إدماجهم مع مراعاة خصائص النوع الاجتماعي، بغية تلبية الاحتياجات المحددة في مجال الصحة البدنية والعقلية للأشخاص الذين تعرضوا للعنف وسوء المعاملة والاستغلال الجنسي، ولا سيما النساء ضحايا الاتجار بالبشر.</w:t>
      </w:r>
    </w:p>
    <w:p w14:paraId="7DAA7A57" w14:textId="77777777" w:rsidR="00CD4621" w:rsidRPr="009E0726" w:rsidRDefault="00CD4621" w:rsidP="00CD4621">
      <w:pPr>
        <w:pStyle w:val="H23GA"/>
        <w:rPr>
          <w:lang w:val="ar-SA" w:eastAsia="zh-TW" w:bidi="en-GB"/>
        </w:rPr>
      </w:pPr>
      <w:r w:rsidRPr="009E0726">
        <w:rPr>
          <w:rtl/>
        </w:rPr>
        <w:tab/>
      </w:r>
      <w:r w:rsidRPr="009E0726">
        <w:rPr>
          <w:rtl/>
        </w:rPr>
        <w:tab/>
        <w:t>التدابير المتخذة لمعالجة مسألة العمال المهاجرين الذين هم في وضع غير نظامي</w:t>
      </w:r>
    </w:p>
    <w:p w14:paraId="102449AE" w14:textId="2A5AC7BC" w:rsidR="00CD4621" w:rsidRPr="00CD4621" w:rsidRDefault="00CD4621" w:rsidP="00CD4621">
      <w:pPr>
        <w:pStyle w:val="SingleTxtGA"/>
        <w:rPr>
          <w:rFonts w:eastAsiaTheme="minorEastAsia"/>
          <w:lang w:val="ar-SA" w:eastAsia="zh-TW" w:bidi="en-GB"/>
        </w:rPr>
      </w:pPr>
      <w:r w:rsidRPr="009E0726">
        <w:rPr>
          <w:rFonts w:eastAsiaTheme="minorEastAsia"/>
          <w:rtl/>
        </w:rPr>
        <w:t>56</w:t>
      </w:r>
      <w:r w:rsidRPr="00CD4621">
        <w:rPr>
          <w:rFonts w:eastAsiaTheme="minorEastAsia"/>
          <w:rtl/>
        </w:rPr>
        <w:t>-</w:t>
      </w:r>
      <w:r w:rsidRPr="00CD4621">
        <w:rPr>
          <w:rFonts w:eastAsiaTheme="minorEastAsia"/>
          <w:rtl/>
        </w:rPr>
        <w:tab/>
        <w:t xml:space="preserve">ترحب اللجنة بالمبادرات التي اتُّخذت في عامي </w:t>
      </w:r>
      <w:r w:rsidRPr="009E0726">
        <w:rPr>
          <w:rFonts w:eastAsiaTheme="minorEastAsia"/>
          <w:rtl/>
        </w:rPr>
        <w:t>2014</w:t>
      </w:r>
      <w:r w:rsidRPr="00CD4621">
        <w:rPr>
          <w:rFonts w:eastAsiaTheme="minorEastAsia"/>
          <w:rtl/>
        </w:rPr>
        <w:t xml:space="preserve"> و</w:t>
      </w:r>
      <w:r w:rsidRPr="009E0726">
        <w:rPr>
          <w:rFonts w:eastAsiaTheme="minorEastAsia"/>
          <w:rtl/>
        </w:rPr>
        <w:t>2017</w:t>
      </w:r>
      <w:r w:rsidRPr="00CD4621">
        <w:rPr>
          <w:rFonts w:eastAsiaTheme="minorEastAsia"/>
          <w:rtl/>
        </w:rPr>
        <w:t xml:space="preserve"> من أجل تسوية استثنائية لأوضاع المهاجرين غير النظاميين المقيمين في الدولة الطرف. غير أنها تأسف لأن القانون رقم </w:t>
      </w:r>
      <w:r w:rsidR="003859AF" w:rsidRPr="009E0726">
        <w:rPr>
          <w:rFonts w:eastAsiaTheme="minorEastAsia" w:hint="cs"/>
          <w:rtl/>
        </w:rPr>
        <w:t>02</w:t>
      </w:r>
      <w:r w:rsidR="003859AF" w:rsidRPr="008839E6">
        <w:rPr>
          <w:rFonts w:eastAsiaTheme="minorEastAsia" w:hint="cs"/>
          <w:rtl/>
        </w:rPr>
        <w:t>-</w:t>
      </w:r>
      <w:r w:rsidR="003859AF" w:rsidRPr="009E0726">
        <w:rPr>
          <w:rFonts w:eastAsiaTheme="minorEastAsia" w:hint="cs"/>
          <w:rtl/>
        </w:rPr>
        <w:t>03</w:t>
      </w:r>
      <w:r w:rsidR="003859AF">
        <w:rPr>
          <w:rFonts w:eastAsiaTheme="minorEastAsia" w:hint="cs"/>
          <w:rtl/>
        </w:rPr>
        <w:t xml:space="preserve"> </w:t>
      </w:r>
      <w:r w:rsidRPr="00CD4621">
        <w:rPr>
          <w:rFonts w:eastAsiaTheme="minorEastAsia"/>
          <w:rtl/>
        </w:rPr>
        <w:t>(البابان السابع والثامن) الذي يجرم الهجرة غير النظامية وينص على عقوبات بالسجن وغرامات للعمال المهاجرين المغاربة والأجانب الذين هم في وضع غير نظامي، لم ينقَّح بعد. ويساور اللجنة القلق أيضاً إزاء المعلومات التي تفيد بأن العمال المهاجرين الذين سُوِّيت أوضاعهم عادوا إلى وضع غير نظامي بسبب الشروط الصارمة للوصول إلى سوق العمل.</w:t>
      </w:r>
      <w:bookmarkStart w:id="3" w:name="_Hlk130548529"/>
      <w:bookmarkStart w:id="4" w:name="_Hlk130976805"/>
      <w:bookmarkEnd w:id="3"/>
      <w:bookmarkEnd w:id="4"/>
    </w:p>
    <w:p w14:paraId="5B2B453E" w14:textId="1404EFC6" w:rsidR="00CD4621" w:rsidRPr="00CD4621" w:rsidRDefault="00CD4621" w:rsidP="00CD4621">
      <w:pPr>
        <w:pStyle w:val="SingleTxtGA"/>
        <w:rPr>
          <w:rFonts w:eastAsiaTheme="minorEastAsia"/>
          <w:lang w:val="ar-SA" w:eastAsia="zh-TW" w:bidi="en-GB"/>
        </w:rPr>
      </w:pPr>
      <w:r w:rsidRPr="009E0726">
        <w:rPr>
          <w:rFonts w:eastAsiaTheme="minorEastAsia"/>
          <w:rtl/>
        </w:rPr>
        <w:t>57</w:t>
      </w:r>
      <w:r w:rsidRPr="00CD4621">
        <w:rPr>
          <w:rFonts w:eastAsiaTheme="minorEastAsia"/>
          <w:rtl/>
        </w:rPr>
        <w:t>-</w:t>
      </w:r>
      <w:r w:rsidRPr="00CD4621">
        <w:rPr>
          <w:rFonts w:eastAsiaTheme="minorEastAsia"/>
          <w:rtl/>
        </w:rPr>
        <w:tab/>
      </w:r>
      <w:r w:rsidRPr="009E0726">
        <w:rPr>
          <w:rFonts w:eastAsiaTheme="minorEastAsia"/>
          <w:b/>
          <w:bCs/>
          <w:rtl/>
        </w:rPr>
        <w:t xml:space="preserve">وفقاً للمبادئ والخطوط التوجيهية الموصى بها فيما يتعلق بحقوق الإنسان على الحدود الدولية التي وضعتها المفوضية السامية لحقوق الإنسان، توصي اللجنة الدولة الطرف بأن تنقح القانون رقم </w:t>
      </w:r>
      <w:r w:rsidR="003859AF" w:rsidRPr="009E0726">
        <w:rPr>
          <w:rFonts w:eastAsiaTheme="minorEastAsia" w:hint="cs"/>
          <w:b/>
          <w:bCs/>
          <w:rtl/>
        </w:rPr>
        <w:t xml:space="preserve">02-03 </w:t>
      </w:r>
      <w:r w:rsidRPr="009E0726">
        <w:rPr>
          <w:rFonts w:eastAsiaTheme="minorEastAsia"/>
          <w:b/>
          <w:bCs/>
          <w:rtl/>
        </w:rPr>
        <w:t>بضمان عدم معاملة العمال المهاجرين غير النظاميين كمجرمين وعدم تأثير تدابير مكافحة الهجرة غير النظامية وتهريب المهاجرين تأثيراً سلبياً على حقوق الإنسان الأساسية للعمال المهاجرين وأفراد أسرهم، بما في ذلك ما يتعلق بعدم الإعادة القسرية وحظر الاحتجاز التعسفي والطرد الجماعي، وكفالة حصولهم على المساعدة اللازمة وضمانات مراعاة الأصول القانونية الواجبة.</w:t>
      </w:r>
    </w:p>
    <w:p w14:paraId="260C3BBC" w14:textId="52823CA9" w:rsidR="00CD4621" w:rsidRPr="009E0726" w:rsidRDefault="00CD4621" w:rsidP="00CD4621">
      <w:pPr>
        <w:pStyle w:val="H23GA"/>
        <w:rPr>
          <w:lang w:val="ar-SA" w:eastAsia="zh-TW" w:bidi="en-GB"/>
        </w:rPr>
      </w:pPr>
      <w:r w:rsidRPr="009E0726">
        <w:rPr>
          <w:rtl/>
        </w:rPr>
        <w:lastRenderedPageBreak/>
        <w:tab/>
        <w:t>6-</w:t>
      </w:r>
      <w:r w:rsidRPr="009E0726">
        <w:rPr>
          <w:rtl/>
        </w:rPr>
        <w:tab/>
        <w:t>النشر والمتابعة</w:t>
      </w:r>
    </w:p>
    <w:p w14:paraId="3E5C5777" w14:textId="77777777" w:rsidR="00CD4621" w:rsidRPr="009E0726" w:rsidRDefault="00CD4621" w:rsidP="00CD4621">
      <w:pPr>
        <w:pStyle w:val="H23GA"/>
        <w:rPr>
          <w:lang w:val="ar-SA" w:eastAsia="zh-TW" w:bidi="en-GB"/>
        </w:rPr>
      </w:pPr>
      <w:r w:rsidRPr="009E0726">
        <w:rPr>
          <w:rtl/>
        </w:rPr>
        <w:tab/>
      </w:r>
      <w:r w:rsidRPr="009E0726">
        <w:rPr>
          <w:rtl/>
        </w:rPr>
        <w:tab/>
        <w:t>النشر</w:t>
      </w:r>
    </w:p>
    <w:p w14:paraId="77944499" w14:textId="77777777" w:rsidR="00CD4621" w:rsidRPr="00CD4621" w:rsidRDefault="00CD4621" w:rsidP="00CD4621">
      <w:pPr>
        <w:pStyle w:val="SingleTxtGA"/>
        <w:rPr>
          <w:rFonts w:eastAsiaTheme="minorEastAsia"/>
          <w:lang w:val="ar-SA" w:eastAsia="zh-TW" w:bidi="en-GB"/>
        </w:rPr>
      </w:pPr>
      <w:r w:rsidRPr="009E0726">
        <w:rPr>
          <w:rFonts w:eastAsiaTheme="minorEastAsia"/>
          <w:rtl/>
        </w:rPr>
        <w:t>58</w:t>
      </w:r>
      <w:r w:rsidRPr="00CD4621">
        <w:rPr>
          <w:rFonts w:eastAsiaTheme="minorEastAsia"/>
          <w:rtl/>
        </w:rPr>
        <w:t>-</w:t>
      </w:r>
      <w:r w:rsidRPr="00CD4621">
        <w:rPr>
          <w:rFonts w:eastAsiaTheme="minorEastAsia"/>
          <w:rtl/>
        </w:rPr>
        <w:tab/>
      </w:r>
      <w:r w:rsidRPr="009E0726">
        <w:rPr>
          <w:rFonts w:eastAsiaTheme="minorEastAsia"/>
          <w:b/>
          <w:bCs/>
          <w:rtl/>
        </w:rPr>
        <w:t>تطلب اللجنة إلى الدولة الطرف ضمان نشر هذه الملاحظات الختامية بسرعة، بلغاتها الرسمية، على المؤسسات المعنية في الدولة، بما فيها الوزارات والبرلمان والسلطة القضائية والسلطات المحلية، فضلاً عن المنظمات غير الحكومية وغير ذلك من أعضاء المجتمع المدني.</w:t>
      </w:r>
    </w:p>
    <w:p w14:paraId="0E188FA8" w14:textId="77777777" w:rsidR="00CD4621" w:rsidRPr="009E0726" w:rsidRDefault="00CD4621" w:rsidP="00CD4621">
      <w:pPr>
        <w:pStyle w:val="H23GA"/>
        <w:rPr>
          <w:lang w:val="ar-SA" w:eastAsia="zh-TW" w:bidi="en-GB"/>
        </w:rPr>
      </w:pPr>
      <w:r w:rsidRPr="009E0726">
        <w:rPr>
          <w:rtl/>
        </w:rPr>
        <w:tab/>
      </w:r>
      <w:r w:rsidRPr="009E0726">
        <w:rPr>
          <w:rtl/>
        </w:rPr>
        <w:tab/>
        <w:t>المساعدة التقنية</w:t>
      </w:r>
    </w:p>
    <w:p w14:paraId="5F4BCD10" w14:textId="2B4643AF" w:rsidR="00CD4621" w:rsidRPr="00CD4621" w:rsidRDefault="00CD4621" w:rsidP="00CD4621">
      <w:pPr>
        <w:pStyle w:val="SingleTxtGA"/>
        <w:rPr>
          <w:rFonts w:eastAsiaTheme="minorEastAsia"/>
          <w:lang w:val="ar-SA" w:eastAsia="zh-TW" w:bidi="en-GB"/>
        </w:rPr>
      </w:pPr>
      <w:r w:rsidRPr="009E0726">
        <w:rPr>
          <w:rFonts w:eastAsiaTheme="minorEastAsia"/>
          <w:rtl/>
        </w:rPr>
        <w:t>59</w:t>
      </w:r>
      <w:r w:rsidRPr="00CD4621">
        <w:rPr>
          <w:rFonts w:eastAsiaTheme="minorEastAsia"/>
          <w:rtl/>
        </w:rPr>
        <w:t>-</w:t>
      </w:r>
      <w:r w:rsidRPr="00CD4621">
        <w:rPr>
          <w:rFonts w:eastAsiaTheme="minorEastAsia"/>
          <w:rtl/>
        </w:rPr>
        <w:tab/>
      </w:r>
      <w:r w:rsidRPr="009E0726">
        <w:rPr>
          <w:rFonts w:eastAsiaTheme="minorEastAsia"/>
          <w:b/>
          <w:bCs/>
          <w:rtl/>
        </w:rPr>
        <w:t>توصي اللجنة الدولة الطرف بمواصلة طلب المساعدة الدولية والحكومية الدولية من أجل تنفيذ التوصيات الواردة في هذه الملاحظات الختامية بما يتفق مع خطة التنمية المستدامة لعام 2030.</w:t>
      </w:r>
      <w:r w:rsidRPr="00CD4621">
        <w:rPr>
          <w:rFonts w:eastAsiaTheme="minorEastAsia"/>
          <w:rtl/>
        </w:rPr>
        <w:t xml:space="preserve"> </w:t>
      </w:r>
      <w:r w:rsidRPr="009E0726">
        <w:rPr>
          <w:rFonts w:eastAsiaTheme="minorEastAsia"/>
          <w:b/>
          <w:bCs/>
          <w:rtl/>
        </w:rPr>
        <w:t>وتوصي اللجنة الدولة الطرف أيضاً بمواصلة تعاونها مع وكالات الأمم المتحدة المتخصصة وبرامجها.</w:t>
      </w:r>
    </w:p>
    <w:p w14:paraId="7A06BF04" w14:textId="77777777" w:rsidR="00CD4621" w:rsidRPr="009E0726" w:rsidRDefault="00CD4621" w:rsidP="00CD4621">
      <w:pPr>
        <w:pStyle w:val="H23GA"/>
        <w:rPr>
          <w:lang w:val="ar-SA" w:eastAsia="zh-TW" w:bidi="en-GB"/>
        </w:rPr>
      </w:pPr>
      <w:r w:rsidRPr="009E0726">
        <w:rPr>
          <w:rtl/>
        </w:rPr>
        <w:tab/>
      </w:r>
      <w:r w:rsidRPr="009E0726">
        <w:rPr>
          <w:rtl/>
        </w:rPr>
        <w:tab/>
        <w:t>متابعة الملاحظات الختامية</w:t>
      </w:r>
    </w:p>
    <w:p w14:paraId="6FDB0558" w14:textId="17973AEB" w:rsidR="00CD4621" w:rsidRPr="00CD4621" w:rsidRDefault="00CD4621" w:rsidP="00CD4621">
      <w:pPr>
        <w:pStyle w:val="SingleTxtGA"/>
        <w:rPr>
          <w:rFonts w:ascii="Times New Roman Bold" w:eastAsiaTheme="minorEastAsia" w:hAnsi="Times New Roman Bold" w:hint="eastAsia"/>
          <w:spacing w:val="-4"/>
          <w:lang w:val="ar-SA" w:eastAsia="zh-TW" w:bidi="en-GB"/>
        </w:rPr>
      </w:pPr>
      <w:r w:rsidRPr="009E0726">
        <w:rPr>
          <w:rFonts w:eastAsiaTheme="minorEastAsia"/>
          <w:rtl/>
        </w:rPr>
        <w:t>60</w:t>
      </w:r>
      <w:r w:rsidRPr="00CD4621">
        <w:rPr>
          <w:rFonts w:eastAsiaTheme="minorEastAsia"/>
          <w:rtl/>
        </w:rPr>
        <w:t>-</w:t>
      </w:r>
      <w:r w:rsidRPr="00CD4621">
        <w:rPr>
          <w:rFonts w:eastAsiaTheme="minorEastAsia"/>
          <w:rtl/>
        </w:rPr>
        <w:tab/>
      </w:r>
      <w:r w:rsidRPr="009E0726">
        <w:rPr>
          <w:rFonts w:eastAsiaTheme="minorEastAsia"/>
          <w:b/>
          <w:bCs/>
          <w:rtl/>
        </w:rPr>
        <w:t xml:space="preserve">تطلب اللجنة إلى الدولة الطرف أن تقدم، في غضون سنتين (أي بحلول 1 أيار/مايو 2025)، معلومات كتابية عن تنفيذ التوصيات الواردة في الفقرات 25 (التدريب في مجال الاتفاقية ونشر </w:t>
      </w:r>
      <w:r w:rsidRPr="009E0726">
        <w:rPr>
          <w:rFonts w:ascii="Times New Roman Bold" w:eastAsiaTheme="minorEastAsia" w:hAnsi="Times New Roman Bold"/>
          <w:b/>
          <w:bCs/>
          <w:spacing w:val="-4"/>
          <w:rtl/>
        </w:rPr>
        <w:t>المعلومات المتعلقة بها)، و31 (الحق في الحياة ومنع التعذيب والمعاملة اللاإنسانية أو المهينة)، و35 (الطرد)، و57 (التدابير المتخذة لمعالجة مسألة العمال المهاجرين الذين هم في وضع غير نظامي) أعلاه.</w:t>
      </w:r>
    </w:p>
    <w:p w14:paraId="4068FBC7" w14:textId="77777777" w:rsidR="00CD4621" w:rsidRPr="009E0726" w:rsidRDefault="00CD4621" w:rsidP="00CD4621">
      <w:pPr>
        <w:pStyle w:val="H23GA"/>
        <w:rPr>
          <w:lang w:val="ar-SA" w:eastAsia="zh-TW" w:bidi="en-GB"/>
        </w:rPr>
      </w:pPr>
      <w:r w:rsidRPr="009E0726">
        <w:rPr>
          <w:rtl/>
        </w:rPr>
        <w:tab/>
      </w:r>
      <w:r w:rsidRPr="009E0726">
        <w:rPr>
          <w:rtl/>
        </w:rPr>
        <w:tab/>
        <w:t>التقرير الدوري المقبل</w:t>
      </w:r>
    </w:p>
    <w:p w14:paraId="2E34BE3D" w14:textId="0582D2F4" w:rsidR="00CD4621" w:rsidRPr="009E0726" w:rsidRDefault="00CD4621" w:rsidP="00CD4621">
      <w:pPr>
        <w:pStyle w:val="SingleTxtGA"/>
        <w:rPr>
          <w:rFonts w:eastAsiaTheme="minorEastAsia"/>
          <w:b/>
          <w:lang w:val="en-US" w:eastAsia="zh-TW" w:bidi="en-GB"/>
        </w:rPr>
      </w:pPr>
      <w:r w:rsidRPr="009E0726">
        <w:rPr>
          <w:rFonts w:eastAsiaTheme="minorEastAsia"/>
          <w:b/>
          <w:rtl/>
        </w:rPr>
        <w:t>61-</w:t>
      </w:r>
      <w:r w:rsidRPr="009E0726">
        <w:rPr>
          <w:rFonts w:eastAsiaTheme="minorEastAsia"/>
          <w:bCs/>
          <w:rtl/>
        </w:rPr>
        <w:tab/>
      </w:r>
      <w:r w:rsidRPr="009E0726">
        <w:rPr>
          <w:rFonts w:eastAsiaTheme="minorEastAsia"/>
          <w:b/>
          <w:bCs/>
          <w:rtl/>
        </w:rPr>
        <w:t>تطلب اللجنة إلى الدولة الطرف تقديم تقريرها الدوري الثالث بحلول 1 أيار/مايو 2028.</w:t>
      </w:r>
      <w:r w:rsidRPr="009E0726">
        <w:rPr>
          <w:rFonts w:eastAsiaTheme="minorEastAsia"/>
          <w:bCs/>
          <w:rtl/>
        </w:rPr>
        <w:t xml:space="preserve"> </w:t>
      </w:r>
      <w:r w:rsidRPr="009E0726">
        <w:rPr>
          <w:rFonts w:eastAsiaTheme="minorEastAsia"/>
          <w:b/>
          <w:bCs/>
          <w:rtl/>
        </w:rPr>
        <w:t>وستعتمد اللجنة، في إحدى دوراتها التي تُعقد قبل ذلك التاريخ، قائمة مسائل تُعَد قبل تقديم التقرير بموجب الإجراء المبسط لتقديم التقارير، ما لم تقرر الدولة الطرف صراحةً تقديم تقريرها الدوري الثالث بموجب الإجراء العادي لتقديم التقارير.</w:t>
      </w:r>
      <w:r w:rsidRPr="009E0726">
        <w:rPr>
          <w:rFonts w:eastAsiaTheme="minorEastAsia"/>
          <w:bCs/>
          <w:rtl/>
        </w:rPr>
        <w:t xml:space="preserve"> </w:t>
      </w:r>
      <w:r w:rsidRPr="009E0726">
        <w:rPr>
          <w:rFonts w:eastAsiaTheme="minorEastAsia"/>
          <w:b/>
          <w:bCs/>
          <w:rtl/>
        </w:rPr>
        <w:t>وتوجه اللجنة انتباه الدولة الطرف إلى مبادئها التوجيهية</w:t>
      </w:r>
      <w:r w:rsidRPr="009E0726">
        <w:rPr>
          <w:rFonts w:eastAsiaTheme="minorEastAsia" w:hint="cs"/>
          <w:b/>
          <w:bCs/>
          <w:rtl/>
        </w:rPr>
        <w:t> </w:t>
      </w:r>
      <w:r w:rsidRPr="009E0726">
        <w:rPr>
          <w:rFonts w:eastAsiaTheme="minorEastAsia"/>
          <w:b/>
          <w:bCs/>
          <w:rtl/>
        </w:rPr>
        <w:t>المنسقة</w:t>
      </w:r>
      <w:r w:rsidRPr="009E0726">
        <w:rPr>
          <w:rStyle w:val="FootnoteReference"/>
          <w:rFonts w:eastAsiaTheme="minorEastAsia"/>
          <w:b/>
          <w:sz w:val="22"/>
          <w:rtl/>
        </w:rPr>
        <w:t>(</w:t>
      </w:r>
      <w:r w:rsidRPr="009E0726">
        <w:rPr>
          <w:rStyle w:val="FootnoteReference"/>
          <w:rFonts w:eastAsiaTheme="minorEastAsia"/>
          <w:b/>
          <w:sz w:val="22"/>
          <w:lang w:val="en-US"/>
        </w:rPr>
        <w:footnoteReference w:id="15"/>
      </w:r>
      <w:r w:rsidRPr="009E0726">
        <w:rPr>
          <w:rStyle w:val="FootnoteReference"/>
          <w:rFonts w:eastAsiaTheme="minorEastAsia"/>
          <w:b/>
          <w:sz w:val="22"/>
          <w:rtl/>
        </w:rPr>
        <w:t>)</w:t>
      </w:r>
      <w:r w:rsidRPr="009E0726">
        <w:rPr>
          <w:rFonts w:eastAsiaTheme="minorEastAsia"/>
          <w:b/>
          <w:bCs/>
          <w:rtl/>
        </w:rPr>
        <w:t>.</w:t>
      </w:r>
    </w:p>
    <w:p w14:paraId="0517FFB6" w14:textId="7E57BB34" w:rsidR="00B54045" w:rsidRPr="00CD4621" w:rsidRDefault="00CD4621" w:rsidP="00CD4621">
      <w:pPr>
        <w:pStyle w:val="SingleTxtGA"/>
        <w:jc w:val="center"/>
        <w:rPr>
          <w:u w:val="single"/>
        </w:rPr>
      </w:pPr>
      <w:r>
        <w:rPr>
          <w:u w:val="single"/>
          <w:rtl/>
        </w:rPr>
        <w:tab/>
      </w:r>
      <w:r>
        <w:rPr>
          <w:u w:val="single"/>
          <w:rtl/>
        </w:rPr>
        <w:tab/>
      </w:r>
      <w:r>
        <w:rPr>
          <w:u w:val="single"/>
          <w:rtl/>
        </w:rPr>
        <w:tab/>
      </w:r>
    </w:p>
    <w:sectPr w:rsidR="00B54045" w:rsidRPr="00CD4621" w:rsidSect="003D67AE">
      <w:headerReference w:type="even" r:id="rId10"/>
      <w:headerReference w:type="default" r:id="rId11"/>
      <w:footerReference w:type="even" r:id="rId12"/>
      <w:footerReference w:type="defaul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5793B" w14:textId="77777777" w:rsidR="00C0600B" w:rsidRPr="002901D9" w:rsidRDefault="00C0600B" w:rsidP="008809C0">
      <w:pPr>
        <w:spacing w:after="120" w:line="240" w:lineRule="auto"/>
        <w:ind w:left="57"/>
        <w:rPr>
          <w:i/>
          <w:iCs/>
        </w:rPr>
      </w:pPr>
      <w:r>
        <w:rPr>
          <w:rFonts w:hint="cs"/>
          <w:i/>
          <w:iCs/>
          <w:rtl/>
        </w:rPr>
        <w:t>الحواشي</w:t>
      </w:r>
    </w:p>
  </w:endnote>
  <w:endnote w:type="continuationSeparator" w:id="0">
    <w:p w14:paraId="53D0006D" w14:textId="77777777" w:rsidR="00C0600B" w:rsidRDefault="00C0600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3B079" w14:textId="4289DD92" w:rsidR="0066406F" w:rsidRPr="0066406F" w:rsidRDefault="0066406F" w:rsidP="0066406F">
    <w:pPr>
      <w:pStyle w:val="Footer"/>
      <w:tabs>
        <w:tab w:val="right" w:pos="9638"/>
      </w:tabs>
      <w:rPr>
        <w:b/>
        <w:sz w:val="18"/>
        <w:lang w:val="en-US"/>
      </w:rPr>
    </w:pPr>
    <w:r>
      <w:rPr>
        <w:lang w:val="en-US"/>
      </w:rPr>
      <w:t>GE.23-08786</w:t>
    </w:r>
    <w:r>
      <w:rPr>
        <w:lang w:val="en-US"/>
      </w:rPr>
      <w:tab/>
    </w:r>
    <w:r w:rsidRPr="0066406F">
      <w:rPr>
        <w:b/>
        <w:sz w:val="18"/>
        <w:lang w:val="en-US"/>
      </w:rPr>
      <w:fldChar w:fldCharType="begin"/>
    </w:r>
    <w:r w:rsidRPr="0066406F">
      <w:rPr>
        <w:b/>
        <w:sz w:val="18"/>
        <w:lang w:val="en-US"/>
      </w:rPr>
      <w:instrText xml:space="preserve"> PAGE  \* MERGEFORMAT </w:instrText>
    </w:r>
    <w:r w:rsidRPr="0066406F">
      <w:rPr>
        <w:b/>
        <w:sz w:val="18"/>
        <w:lang w:val="en-US"/>
      </w:rPr>
      <w:fldChar w:fldCharType="separate"/>
    </w:r>
    <w:r w:rsidRPr="0066406F">
      <w:rPr>
        <w:b/>
        <w:noProof/>
        <w:sz w:val="18"/>
        <w:lang w:val="en-US"/>
      </w:rPr>
      <w:t>2</w:t>
    </w:r>
    <w:r w:rsidRPr="0066406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B6B3D" w14:textId="01780E3A" w:rsidR="006959B0" w:rsidRPr="0066406F" w:rsidRDefault="0066406F" w:rsidP="0066406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GE.23-08786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0D961" w14:textId="014EA07F" w:rsidR="007D04A0" w:rsidRPr="0066406F" w:rsidRDefault="0066406F" w:rsidP="0066406F">
    <w:pPr>
      <w:pStyle w:val="Footer"/>
      <w:spacing w:before="600"/>
      <w:ind w:left="567"/>
      <w:jc w:val="right"/>
      <w:rPr>
        <w:sz w:val="20"/>
        <w:lang w:val="en-US"/>
      </w:rPr>
    </w:pPr>
    <w:r>
      <w:rPr>
        <w:sz w:val="20"/>
        <w:lang w:val="en-US"/>
      </w:rPr>
      <w:t>GE.</w:t>
    </w:r>
    <w:r w:rsidR="00DC4EE6">
      <w:rPr>
        <w:noProof/>
      </w:rPr>
      <w:drawing>
        <wp:anchor distT="0" distB="0" distL="114300" distR="114300" simplePos="0" relativeHeight="251659264" behindDoc="1" locked="1" layoutInCell="0" allowOverlap="1" wp14:anchorId="65C92563" wp14:editId="3DBEF02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23-08786 (A)</w:t>
    </w:r>
    <w:r>
      <w:rPr>
        <w:noProof/>
        <w:sz w:val="20"/>
        <w:lang w:val="en-US"/>
      </w:rPr>
      <w:drawing>
        <wp:anchor distT="0" distB="0" distL="114300" distR="114300" simplePos="0" relativeHeight="251660288" behindDoc="0" locked="0" layoutInCell="1" allowOverlap="1" wp14:anchorId="0EDC7E91" wp14:editId="4CCBAA9F">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FB579E" w14:textId="77777777" w:rsidR="00C0600B" w:rsidRPr="00E849B7" w:rsidRDefault="00C0600B" w:rsidP="00E849B7">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A6FDEE4" w14:textId="77777777" w:rsidR="00C0600B" w:rsidRDefault="00C0600B" w:rsidP="00656392">
      <w:pPr>
        <w:spacing w:line="240" w:lineRule="auto"/>
      </w:pPr>
      <w:r>
        <w:continuationSeparator/>
      </w:r>
    </w:p>
  </w:footnote>
  <w:footnote w:id="1">
    <w:p w14:paraId="1B0A4734" w14:textId="27801CE5" w:rsidR="00CD4621" w:rsidRPr="00CD4621" w:rsidRDefault="00CD4621" w:rsidP="00CD4621">
      <w:pPr>
        <w:pStyle w:val="FootnoteText1"/>
        <w:rPr>
          <w:rtl/>
        </w:rPr>
      </w:pPr>
      <w:r w:rsidRPr="00CD4621">
        <w:rPr>
          <w:rtl/>
        </w:rPr>
        <w:t>*</w:t>
      </w:r>
      <w:r w:rsidRPr="00CD4621">
        <w:rPr>
          <w:rtl/>
        </w:rPr>
        <w:tab/>
        <w:t xml:space="preserve">اعتمدتها اللجنة في دورتها السادسة والثلاثين </w:t>
      </w:r>
      <w:r w:rsidRPr="00CD4621">
        <w:rPr>
          <w:rFonts w:ascii="Simplified Arabic"/>
          <w:rtl/>
        </w:rPr>
        <w:t>(</w:t>
      </w:r>
      <w:r w:rsidRPr="009E0726">
        <w:rPr>
          <w:rFonts w:ascii="Simplified Arabic"/>
          <w:rtl/>
        </w:rPr>
        <w:t>27</w:t>
      </w:r>
      <w:r w:rsidRPr="00CD4621">
        <w:rPr>
          <w:rtl/>
        </w:rPr>
        <w:t xml:space="preserve"> آذار/مارس -</w:t>
      </w:r>
      <w:r w:rsidRPr="008839E6">
        <w:rPr>
          <w:rFonts w:ascii="Simplified Arabic" w:hint="cs"/>
          <w:rtl/>
        </w:rPr>
        <w:t xml:space="preserve"> </w:t>
      </w:r>
      <w:r w:rsidRPr="009E0726">
        <w:rPr>
          <w:rFonts w:ascii="Simplified Arabic"/>
          <w:rtl/>
        </w:rPr>
        <w:t>6</w:t>
      </w:r>
      <w:r w:rsidRPr="00CD4621">
        <w:rPr>
          <w:rtl/>
        </w:rPr>
        <w:t xml:space="preserve"> نيسان/أبريل </w:t>
      </w:r>
      <w:r w:rsidRPr="009E0726">
        <w:rPr>
          <w:rFonts w:ascii="Simplified Arabic"/>
          <w:rtl/>
        </w:rPr>
        <w:t>2023</w:t>
      </w:r>
      <w:r w:rsidRPr="00CD4621">
        <w:rPr>
          <w:rFonts w:ascii="Simplified Arabic"/>
          <w:rtl/>
        </w:rPr>
        <w:t>)</w:t>
      </w:r>
      <w:r w:rsidRPr="00CD4621">
        <w:rPr>
          <w:rtl/>
        </w:rPr>
        <w:t xml:space="preserve">. </w:t>
      </w:r>
    </w:p>
  </w:footnote>
  <w:footnote w:id="2">
    <w:p w14:paraId="2FD99673" w14:textId="245D00F7" w:rsidR="00CD4621" w:rsidRPr="008839E6" w:rsidRDefault="00CD4621" w:rsidP="00CD4621">
      <w:pPr>
        <w:pStyle w:val="FootnoteText1"/>
        <w:textDirection w:val="tbRlV"/>
        <w:rPr>
          <w:lang w:val="ar-SA" w:eastAsia="zh-TW" w:bidi="en-GB"/>
        </w:rPr>
      </w:pPr>
      <w:r w:rsidRPr="00CD4621">
        <w:rPr>
          <w:rtl/>
        </w:rPr>
        <w:t>(</w:t>
      </w:r>
      <w:r w:rsidRPr="009E0726">
        <w:rPr>
          <w:rStyle w:val="FootnoteReference"/>
          <w:vertAlign w:val="baseline"/>
        </w:rPr>
        <w:footnoteRef/>
      </w:r>
      <w:r w:rsidRPr="008839E6">
        <w:rPr>
          <w:rStyle w:val="FootnoteReference"/>
          <w:vertAlign w:val="baseline"/>
          <w:rtl/>
        </w:rPr>
        <w:t>)</w:t>
      </w:r>
      <w:r w:rsidRPr="00CD4621">
        <w:rPr>
          <w:rtl/>
        </w:rPr>
        <w:tab/>
      </w:r>
      <w:hyperlink r:id="rId1" w:history="1">
        <w:r w:rsidRPr="008839E6">
          <w:rPr>
            <w:rStyle w:val="Hyperlink"/>
          </w:rPr>
          <w:t>CMW/C/MAR/</w:t>
        </w:r>
        <w:r w:rsidRPr="009E0726">
          <w:rPr>
            <w:rStyle w:val="Hyperlink"/>
          </w:rPr>
          <w:t>2</w:t>
        </w:r>
      </w:hyperlink>
      <w:r w:rsidRPr="008839E6">
        <w:rPr>
          <w:rFonts w:ascii="Simplified Arabic" w:hAnsi="Simplified Arabic"/>
          <w:rtl/>
        </w:rPr>
        <w:t>.</w:t>
      </w:r>
    </w:p>
  </w:footnote>
  <w:footnote w:id="3">
    <w:p w14:paraId="635E9B12" w14:textId="77777777" w:rsidR="00CD4621" w:rsidRPr="008839E6" w:rsidRDefault="00CD4621" w:rsidP="00CD4621">
      <w:pPr>
        <w:pStyle w:val="FootnoteText1"/>
        <w:textDirection w:val="tbRlV"/>
        <w:rPr>
          <w:lang w:val="ar-SA" w:eastAsia="zh-TW" w:bidi="en-GB"/>
        </w:rPr>
      </w:pPr>
      <w:r w:rsidRPr="008839E6">
        <w:rPr>
          <w:rtl/>
        </w:rPr>
        <w:t>(</w:t>
      </w:r>
      <w:r w:rsidRPr="009E0726">
        <w:rPr>
          <w:rStyle w:val="FootnoteReference"/>
          <w:vertAlign w:val="baseline"/>
        </w:rPr>
        <w:footnoteRef/>
      </w:r>
      <w:r w:rsidRPr="008839E6">
        <w:rPr>
          <w:rStyle w:val="FootnoteReference"/>
          <w:vertAlign w:val="baseline"/>
          <w:rtl/>
        </w:rPr>
        <w:t>)</w:t>
      </w:r>
      <w:r w:rsidRPr="008839E6">
        <w:rPr>
          <w:rtl/>
        </w:rPr>
        <w:tab/>
        <w:t xml:space="preserve">انظر </w:t>
      </w:r>
      <w:hyperlink r:id="rId2" w:history="1">
        <w:r w:rsidRPr="008839E6">
          <w:rPr>
            <w:rStyle w:val="Hyperlink"/>
          </w:rPr>
          <w:t>CMW/C/SR.</w:t>
        </w:r>
        <w:r w:rsidRPr="009E0726">
          <w:rPr>
            <w:rStyle w:val="Hyperlink"/>
          </w:rPr>
          <w:t>515</w:t>
        </w:r>
      </w:hyperlink>
      <w:r w:rsidRPr="008839E6">
        <w:rPr>
          <w:rtl/>
        </w:rPr>
        <w:t xml:space="preserve"> و</w:t>
      </w:r>
      <w:hyperlink r:id="rId3" w:history="1">
        <w:r w:rsidRPr="008839E6">
          <w:rPr>
            <w:rStyle w:val="Hyperlink"/>
          </w:rPr>
          <w:t>CMW/C/SR.</w:t>
        </w:r>
        <w:r w:rsidRPr="009E0726">
          <w:rPr>
            <w:rStyle w:val="Hyperlink"/>
          </w:rPr>
          <w:t>516</w:t>
        </w:r>
      </w:hyperlink>
      <w:r w:rsidRPr="008839E6">
        <w:rPr>
          <w:rFonts w:ascii="Simplified Arabic" w:hAnsi="Simplified Arabic"/>
          <w:rtl/>
        </w:rPr>
        <w:t xml:space="preserve">. </w:t>
      </w:r>
    </w:p>
  </w:footnote>
  <w:footnote w:id="4">
    <w:p w14:paraId="0F73AC64" w14:textId="594521FD" w:rsidR="00CD4621" w:rsidRPr="00CD4621" w:rsidRDefault="00CD4621" w:rsidP="00CD4621">
      <w:pPr>
        <w:pStyle w:val="FootnoteText1"/>
        <w:textDirection w:val="tbRlV"/>
        <w:rPr>
          <w:lang w:eastAsia="zh-TW"/>
        </w:rPr>
      </w:pPr>
      <w:r w:rsidRPr="008839E6">
        <w:rPr>
          <w:rtl/>
        </w:rPr>
        <w:t>(</w:t>
      </w:r>
      <w:r w:rsidRPr="009E0726">
        <w:rPr>
          <w:rStyle w:val="FootnoteReference"/>
          <w:vertAlign w:val="baseline"/>
        </w:rPr>
        <w:footnoteRef/>
      </w:r>
      <w:r w:rsidRPr="008839E6">
        <w:rPr>
          <w:rStyle w:val="FootnoteReference"/>
          <w:vertAlign w:val="baseline"/>
          <w:rtl/>
        </w:rPr>
        <w:t>)</w:t>
      </w:r>
      <w:r w:rsidRPr="008839E6">
        <w:rPr>
          <w:rtl/>
        </w:rPr>
        <w:tab/>
      </w:r>
      <w:hyperlink r:id="rId4" w:history="1">
        <w:r w:rsidRPr="008839E6">
          <w:rPr>
            <w:rStyle w:val="Hyperlink"/>
          </w:rPr>
          <w:t>CMW/C/MAR/QPR/</w:t>
        </w:r>
        <w:r w:rsidRPr="009E0726">
          <w:rPr>
            <w:rStyle w:val="Hyperlink"/>
          </w:rPr>
          <w:t>2</w:t>
        </w:r>
      </w:hyperlink>
      <w:r w:rsidRPr="008839E6">
        <w:rPr>
          <w:rFonts w:ascii="Simplified Arabic" w:hAnsi="Simplified Arabic"/>
          <w:rtl/>
        </w:rPr>
        <w:t>.</w:t>
      </w:r>
    </w:p>
  </w:footnote>
  <w:footnote w:id="5">
    <w:p w14:paraId="6DFD0EAF" w14:textId="77777777" w:rsidR="00CD4621" w:rsidRPr="00CD4621" w:rsidRDefault="00CD4621" w:rsidP="00CD4621">
      <w:pPr>
        <w:pStyle w:val="FootnoteText1"/>
        <w:textDirection w:val="tbRlV"/>
        <w:rPr>
          <w:lang w:val="ar-SA" w:eastAsia="zh-TW" w:bidi="en-GB"/>
        </w:rPr>
      </w:pPr>
      <w:r w:rsidRPr="00CD4621">
        <w:rPr>
          <w:rtl/>
        </w:rPr>
        <w:t>(</w:t>
      </w:r>
      <w:r w:rsidRPr="009E0726">
        <w:rPr>
          <w:rStyle w:val="FootnoteReference"/>
          <w:vertAlign w:val="baseline"/>
        </w:rPr>
        <w:footnoteRef/>
      </w:r>
      <w:r w:rsidRPr="008839E6">
        <w:rPr>
          <w:rStyle w:val="FootnoteReference"/>
          <w:vertAlign w:val="baseline"/>
          <w:rtl/>
        </w:rPr>
        <w:t>)</w:t>
      </w:r>
      <w:r w:rsidRPr="00CD4621">
        <w:rPr>
          <w:rtl/>
        </w:rPr>
        <w:tab/>
      </w:r>
      <w:hyperlink r:id="rId5" w:history="1">
        <w:r w:rsidRPr="00CD4621">
          <w:rPr>
            <w:rStyle w:val="Hyperlink"/>
          </w:rPr>
          <w:t>CMW/C/MAR/CO/</w:t>
        </w:r>
        <w:r w:rsidRPr="009E0726">
          <w:rPr>
            <w:rStyle w:val="Hyperlink"/>
          </w:rPr>
          <w:t>1</w:t>
        </w:r>
      </w:hyperlink>
      <w:r w:rsidRPr="00CD4621">
        <w:rPr>
          <w:rtl/>
        </w:rPr>
        <w:t xml:space="preserve">، الفقرة </w:t>
      </w:r>
      <w:r w:rsidRPr="009E0726">
        <w:rPr>
          <w:rFonts w:ascii="Simplified Arabic"/>
          <w:rtl/>
        </w:rPr>
        <w:t>10</w:t>
      </w:r>
      <w:r w:rsidRPr="00CD4621">
        <w:rPr>
          <w:rtl/>
        </w:rPr>
        <w:t xml:space="preserve">. </w:t>
      </w:r>
    </w:p>
  </w:footnote>
  <w:footnote w:id="6">
    <w:p w14:paraId="49855D57" w14:textId="77777777" w:rsidR="00CD4621" w:rsidRPr="00CD4621" w:rsidRDefault="00CD4621" w:rsidP="00CD4621">
      <w:pPr>
        <w:pStyle w:val="FootnoteText1"/>
        <w:textDirection w:val="tbRlV"/>
        <w:rPr>
          <w:lang w:val="ar-SA" w:eastAsia="zh-TW" w:bidi="en-GB"/>
        </w:rPr>
      </w:pPr>
      <w:r w:rsidRPr="00CD4621">
        <w:rPr>
          <w:rtl/>
        </w:rPr>
        <w:t>(</w:t>
      </w:r>
      <w:r w:rsidRPr="009E0726">
        <w:rPr>
          <w:rStyle w:val="FootnoteReference"/>
          <w:vertAlign w:val="baseline"/>
        </w:rPr>
        <w:footnoteRef/>
      </w:r>
      <w:r w:rsidRPr="008839E6">
        <w:rPr>
          <w:rStyle w:val="FootnoteReference"/>
          <w:vertAlign w:val="baseline"/>
          <w:rtl/>
        </w:rPr>
        <w:t>)</w:t>
      </w:r>
      <w:r w:rsidRPr="00CD4621">
        <w:rPr>
          <w:rtl/>
        </w:rPr>
        <w:tab/>
        <w:t xml:space="preserve">المرجع نفسه، الفقرة </w:t>
      </w:r>
      <w:r w:rsidRPr="009E0726">
        <w:rPr>
          <w:rFonts w:ascii="Simplified Arabic"/>
          <w:rtl/>
        </w:rPr>
        <w:t>12</w:t>
      </w:r>
      <w:r w:rsidRPr="00CD4621">
        <w:rPr>
          <w:rtl/>
        </w:rPr>
        <w:t xml:space="preserve">. </w:t>
      </w:r>
    </w:p>
  </w:footnote>
  <w:footnote w:id="7">
    <w:p w14:paraId="51D9A182" w14:textId="77777777" w:rsidR="00CD4621" w:rsidRPr="00CD4621" w:rsidRDefault="00CD4621" w:rsidP="00CD4621">
      <w:pPr>
        <w:pStyle w:val="FootnoteText1"/>
        <w:textDirection w:val="tbRlV"/>
        <w:rPr>
          <w:lang w:val="ar-SA" w:eastAsia="zh-TW" w:bidi="en-GB"/>
        </w:rPr>
      </w:pPr>
      <w:r w:rsidRPr="00CD4621">
        <w:rPr>
          <w:rtl/>
        </w:rPr>
        <w:t>(</w:t>
      </w:r>
      <w:r w:rsidRPr="009E0726">
        <w:rPr>
          <w:rStyle w:val="FootnoteReference"/>
          <w:vertAlign w:val="baseline"/>
        </w:rPr>
        <w:footnoteRef/>
      </w:r>
      <w:r w:rsidRPr="008839E6">
        <w:rPr>
          <w:rStyle w:val="FootnoteReference"/>
          <w:vertAlign w:val="baseline"/>
          <w:rtl/>
        </w:rPr>
        <w:t>)</w:t>
      </w:r>
      <w:r w:rsidRPr="00CD4621">
        <w:rPr>
          <w:rtl/>
        </w:rPr>
        <w:tab/>
        <w:t xml:space="preserve">المرجع نفسه، الفقرة </w:t>
      </w:r>
      <w:r w:rsidRPr="009E0726">
        <w:rPr>
          <w:rFonts w:ascii="Simplified Arabic"/>
          <w:rtl/>
        </w:rPr>
        <w:t>14</w:t>
      </w:r>
      <w:r w:rsidRPr="00CD4621">
        <w:rPr>
          <w:rtl/>
        </w:rPr>
        <w:t xml:space="preserve">. </w:t>
      </w:r>
    </w:p>
  </w:footnote>
  <w:footnote w:id="8">
    <w:p w14:paraId="43C2AF86" w14:textId="77777777" w:rsidR="00CD4621" w:rsidRPr="00CD4621" w:rsidRDefault="00CD4621" w:rsidP="00CD4621">
      <w:pPr>
        <w:pStyle w:val="FootnoteText1"/>
        <w:textDirection w:val="tbRlV"/>
        <w:rPr>
          <w:lang w:val="ar-SA" w:eastAsia="zh-TW" w:bidi="en-GB"/>
        </w:rPr>
      </w:pPr>
      <w:r w:rsidRPr="00CD4621">
        <w:rPr>
          <w:rtl/>
        </w:rPr>
        <w:t>(</w:t>
      </w:r>
      <w:r w:rsidRPr="009E0726">
        <w:rPr>
          <w:rStyle w:val="FootnoteReference"/>
          <w:vertAlign w:val="baseline"/>
        </w:rPr>
        <w:footnoteRef/>
      </w:r>
      <w:r w:rsidRPr="008839E6">
        <w:rPr>
          <w:rStyle w:val="FootnoteReference"/>
          <w:vertAlign w:val="baseline"/>
          <w:rtl/>
        </w:rPr>
        <w:t>)</w:t>
      </w:r>
      <w:r w:rsidRPr="00CD4621">
        <w:rPr>
          <w:rtl/>
        </w:rPr>
        <w:tab/>
        <w:t xml:space="preserve">المرجع نفسه، الفقرة </w:t>
      </w:r>
      <w:r w:rsidRPr="009E0726">
        <w:rPr>
          <w:rFonts w:ascii="Simplified Arabic"/>
          <w:rtl/>
        </w:rPr>
        <w:t>18</w:t>
      </w:r>
      <w:r w:rsidRPr="00CD4621">
        <w:rPr>
          <w:rtl/>
        </w:rPr>
        <w:t xml:space="preserve">. </w:t>
      </w:r>
    </w:p>
  </w:footnote>
  <w:footnote w:id="9">
    <w:p w14:paraId="58139C41" w14:textId="77777777" w:rsidR="00CD4621" w:rsidRPr="00CD4621" w:rsidRDefault="00CD4621" w:rsidP="00CD4621">
      <w:pPr>
        <w:pStyle w:val="FootnoteText1"/>
        <w:textDirection w:val="tbRlV"/>
        <w:rPr>
          <w:lang w:val="ar-SA" w:eastAsia="zh-TW" w:bidi="en-GB"/>
        </w:rPr>
      </w:pPr>
      <w:r w:rsidRPr="00CD4621">
        <w:rPr>
          <w:rtl/>
        </w:rPr>
        <w:t>(</w:t>
      </w:r>
      <w:r w:rsidRPr="009E0726">
        <w:rPr>
          <w:rStyle w:val="FootnoteReference"/>
          <w:vertAlign w:val="baseline"/>
        </w:rPr>
        <w:footnoteRef/>
      </w:r>
      <w:r w:rsidRPr="008839E6">
        <w:rPr>
          <w:rStyle w:val="FootnoteReference"/>
          <w:vertAlign w:val="baseline"/>
          <w:rtl/>
        </w:rPr>
        <w:t>)</w:t>
      </w:r>
      <w:r w:rsidRPr="00CD4621">
        <w:rPr>
          <w:rtl/>
        </w:rPr>
        <w:tab/>
        <w:t xml:space="preserve">المرجع نفسه، الفقرة </w:t>
      </w:r>
      <w:r w:rsidRPr="009E0726">
        <w:rPr>
          <w:rFonts w:ascii="Simplified Arabic"/>
          <w:rtl/>
        </w:rPr>
        <w:t>20</w:t>
      </w:r>
      <w:r w:rsidRPr="00CD4621">
        <w:rPr>
          <w:rtl/>
        </w:rPr>
        <w:t xml:space="preserve">. </w:t>
      </w:r>
    </w:p>
  </w:footnote>
  <w:footnote w:id="10">
    <w:p w14:paraId="2A5FA8C2" w14:textId="77777777" w:rsidR="00CD4621" w:rsidRPr="00CD4621" w:rsidRDefault="00CD4621" w:rsidP="00CD4621">
      <w:pPr>
        <w:pStyle w:val="FootnoteText1"/>
        <w:textDirection w:val="tbRlV"/>
        <w:rPr>
          <w:lang w:val="ar-SA" w:eastAsia="zh-TW" w:bidi="en-GB"/>
        </w:rPr>
      </w:pPr>
      <w:r w:rsidRPr="00CD4621">
        <w:rPr>
          <w:rtl/>
        </w:rPr>
        <w:t>(</w:t>
      </w:r>
      <w:r w:rsidRPr="009E0726">
        <w:rPr>
          <w:rStyle w:val="FootnoteReference"/>
          <w:vertAlign w:val="baseline"/>
        </w:rPr>
        <w:footnoteRef/>
      </w:r>
      <w:r w:rsidRPr="008839E6">
        <w:rPr>
          <w:rStyle w:val="FootnoteReference"/>
          <w:vertAlign w:val="baseline"/>
          <w:rtl/>
        </w:rPr>
        <w:t>)</w:t>
      </w:r>
      <w:r w:rsidRPr="00CD4621">
        <w:rPr>
          <w:rtl/>
        </w:rPr>
        <w:tab/>
        <w:t xml:space="preserve">المرجع نفسه، الفقرة </w:t>
      </w:r>
      <w:r w:rsidRPr="009E0726">
        <w:rPr>
          <w:rFonts w:ascii="Simplified Arabic"/>
          <w:rtl/>
        </w:rPr>
        <w:t>22</w:t>
      </w:r>
      <w:r w:rsidRPr="00CD4621">
        <w:rPr>
          <w:rtl/>
        </w:rPr>
        <w:t xml:space="preserve">. </w:t>
      </w:r>
    </w:p>
  </w:footnote>
  <w:footnote w:id="11">
    <w:p w14:paraId="67FD484F" w14:textId="77777777" w:rsidR="00CD4621" w:rsidRPr="00CD4621" w:rsidRDefault="00CD4621" w:rsidP="00CD4621">
      <w:pPr>
        <w:pStyle w:val="FootnoteText1"/>
        <w:textDirection w:val="tbRlV"/>
        <w:rPr>
          <w:lang w:val="ar-SA" w:eastAsia="zh-TW" w:bidi="en-GB"/>
        </w:rPr>
      </w:pPr>
      <w:r w:rsidRPr="00CD4621">
        <w:rPr>
          <w:rtl/>
        </w:rPr>
        <w:t>(</w:t>
      </w:r>
      <w:r w:rsidRPr="009E0726">
        <w:rPr>
          <w:rStyle w:val="FootnoteReference"/>
          <w:vertAlign w:val="baseline"/>
        </w:rPr>
        <w:footnoteRef/>
      </w:r>
      <w:r w:rsidRPr="008839E6">
        <w:rPr>
          <w:rStyle w:val="FootnoteReference"/>
          <w:vertAlign w:val="baseline"/>
          <w:rtl/>
        </w:rPr>
        <w:t>)</w:t>
      </w:r>
      <w:r w:rsidRPr="00CD4621">
        <w:rPr>
          <w:rtl/>
        </w:rPr>
        <w:tab/>
        <w:t xml:space="preserve">المرجع نفسه، الفقرة </w:t>
      </w:r>
      <w:r w:rsidRPr="009E0726">
        <w:rPr>
          <w:rFonts w:ascii="Simplified Arabic"/>
          <w:rtl/>
        </w:rPr>
        <w:t>40</w:t>
      </w:r>
      <w:r w:rsidRPr="00CD4621">
        <w:rPr>
          <w:rtl/>
        </w:rPr>
        <w:t xml:space="preserve">. </w:t>
      </w:r>
    </w:p>
  </w:footnote>
  <w:footnote w:id="12">
    <w:p w14:paraId="53053E8A" w14:textId="77777777" w:rsidR="00CD4621" w:rsidRPr="00CD4621" w:rsidRDefault="00CD4621" w:rsidP="00CD4621">
      <w:pPr>
        <w:pStyle w:val="FootnoteText1"/>
        <w:textDirection w:val="tbRlV"/>
        <w:rPr>
          <w:lang w:val="ar-SA" w:eastAsia="zh-TW" w:bidi="en-GB"/>
        </w:rPr>
      </w:pPr>
      <w:r w:rsidRPr="00CD4621">
        <w:rPr>
          <w:rtl/>
        </w:rPr>
        <w:t>(</w:t>
      </w:r>
      <w:r w:rsidRPr="009E0726">
        <w:rPr>
          <w:rStyle w:val="FootnoteReference"/>
          <w:vertAlign w:val="baseline"/>
        </w:rPr>
        <w:footnoteRef/>
      </w:r>
      <w:r w:rsidRPr="008839E6">
        <w:rPr>
          <w:rStyle w:val="FootnoteReference"/>
          <w:vertAlign w:val="baseline"/>
          <w:rtl/>
        </w:rPr>
        <w:t>)</w:t>
      </w:r>
      <w:r w:rsidRPr="00CD4621">
        <w:rPr>
          <w:rtl/>
        </w:rPr>
        <w:tab/>
        <w:t xml:space="preserve">المرجع نفسه، الفقرة </w:t>
      </w:r>
      <w:r w:rsidRPr="009E0726">
        <w:rPr>
          <w:rFonts w:ascii="Simplified Arabic"/>
          <w:rtl/>
        </w:rPr>
        <w:t>44</w:t>
      </w:r>
      <w:r w:rsidRPr="00CD4621">
        <w:rPr>
          <w:rtl/>
        </w:rPr>
        <w:t xml:space="preserve">. </w:t>
      </w:r>
    </w:p>
  </w:footnote>
  <w:footnote w:id="13">
    <w:p w14:paraId="6256FAF7" w14:textId="77777777" w:rsidR="00CD4621" w:rsidRPr="00CD4621" w:rsidRDefault="00CD4621" w:rsidP="00CD4621">
      <w:pPr>
        <w:pStyle w:val="FootnoteText1"/>
        <w:textDirection w:val="tbRlV"/>
        <w:rPr>
          <w:lang w:val="ar-SA" w:eastAsia="zh-TW" w:bidi="en-GB"/>
        </w:rPr>
      </w:pPr>
      <w:r w:rsidRPr="00CD4621">
        <w:rPr>
          <w:rtl/>
        </w:rPr>
        <w:t>(</w:t>
      </w:r>
      <w:r w:rsidRPr="009E0726">
        <w:rPr>
          <w:rStyle w:val="FootnoteReference"/>
          <w:vertAlign w:val="baseline"/>
        </w:rPr>
        <w:footnoteRef/>
      </w:r>
      <w:r w:rsidRPr="008839E6">
        <w:rPr>
          <w:rStyle w:val="FootnoteReference"/>
          <w:vertAlign w:val="baseline"/>
          <w:rtl/>
        </w:rPr>
        <w:t>)</w:t>
      </w:r>
      <w:r w:rsidRPr="00CD4621">
        <w:rPr>
          <w:rtl/>
        </w:rPr>
        <w:tab/>
        <w:t xml:space="preserve">المرجع نفسه، الفقرة </w:t>
      </w:r>
      <w:r w:rsidRPr="009E0726">
        <w:rPr>
          <w:rFonts w:ascii="Simplified Arabic"/>
          <w:rtl/>
        </w:rPr>
        <w:t>48</w:t>
      </w:r>
      <w:r w:rsidRPr="00CD4621">
        <w:rPr>
          <w:rtl/>
        </w:rPr>
        <w:t xml:space="preserve">. </w:t>
      </w:r>
    </w:p>
  </w:footnote>
  <w:footnote w:id="14">
    <w:p w14:paraId="5DED0CAC" w14:textId="667EE2B5" w:rsidR="00CD4621" w:rsidRPr="00CD4621" w:rsidRDefault="00CD4621" w:rsidP="00CD4621">
      <w:pPr>
        <w:pStyle w:val="FootnoteText1"/>
        <w:textDirection w:val="tbRlV"/>
        <w:rPr>
          <w:lang w:eastAsia="zh-TW" w:bidi="en-GB"/>
        </w:rPr>
      </w:pPr>
      <w:r w:rsidRPr="00CD4621">
        <w:rPr>
          <w:rtl/>
        </w:rPr>
        <w:t>(</w:t>
      </w:r>
      <w:r w:rsidRPr="009E0726">
        <w:rPr>
          <w:rStyle w:val="FootnoteReference"/>
          <w:vertAlign w:val="baseline"/>
        </w:rPr>
        <w:footnoteRef/>
      </w:r>
      <w:r w:rsidRPr="008839E6">
        <w:rPr>
          <w:rStyle w:val="FootnoteReference"/>
          <w:vertAlign w:val="baseline"/>
          <w:rtl/>
        </w:rPr>
        <w:t>)</w:t>
      </w:r>
      <w:r w:rsidRPr="00CD4621">
        <w:rPr>
          <w:rtl/>
        </w:rPr>
        <w:tab/>
      </w:r>
      <w:hyperlink r:id="rId6" w:history="1">
        <w:r w:rsidRPr="00CD4621">
          <w:rPr>
            <w:rStyle w:val="Hyperlink"/>
          </w:rPr>
          <w:t>E/</w:t>
        </w:r>
        <w:r w:rsidRPr="009E0726">
          <w:rPr>
            <w:rStyle w:val="Hyperlink"/>
          </w:rPr>
          <w:t>2002</w:t>
        </w:r>
        <w:r w:rsidRPr="00CD4621">
          <w:rPr>
            <w:rStyle w:val="Hyperlink"/>
          </w:rPr>
          <w:t>/</w:t>
        </w:r>
        <w:r w:rsidRPr="009E0726">
          <w:rPr>
            <w:rStyle w:val="Hyperlink"/>
          </w:rPr>
          <w:t>68</w:t>
        </w:r>
        <w:r w:rsidRPr="00CD4621">
          <w:rPr>
            <w:rStyle w:val="Hyperlink"/>
          </w:rPr>
          <w:t>/Add.</w:t>
        </w:r>
        <w:r w:rsidRPr="009E0726">
          <w:rPr>
            <w:rStyle w:val="Hyperlink"/>
          </w:rPr>
          <w:t>1</w:t>
        </w:r>
      </w:hyperlink>
      <w:r w:rsidRPr="00CD4621">
        <w:rPr>
          <w:rFonts w:ascii="Simplified Arabic" w:hAnsi="Simplified Arabic"/>
          <w:rtl/>
        </w:rPr>
        <w:t>.</w:t>
      </w:r>
    </w:p>
  </w:footnote>
  <w:footnote w:id="15">
    <w:p w14:paraId="666D592E" w14:textId="1763F652" w:rsidR="00CD4621" w:rsidRPr="00CD4621" w:rsidRDefault="00CD4621" w:rsidP="00CD4621">
      <w:pPr>
        <w:pStyle w:val="FootnoteText1"/>
        <w:textDirection w:val="tbRlV"/>
        <w:rPr>
          <w:lang w:val="ar-SA" w:eastAsia="zh-TW" w:bidi="en-GB"/>
        </w:rPr>
      </w:pPr>
      <w:r w:rsidRPr="00CD4621">
        <w:rPr>
          <w:rtl/>
        </w:rPr>
        <w:t>(</w:t>
      </w:r>
      <w:r w:rsidRPr="009E0726">
        <w:rPr>
          <w:rStyle w:val="FootnoteReference"/>
          <w:vertAlign w:val="baseline"/>
        </w:rPr>
        <w:footnoteRef/>
      </w:r>
      <w:r w:rsidRPr="008839E6">
        <w:rPr>
          <w:rStyle w:val="FootnoteReference"/>
          <w:vertAlign w:val="baseline"/>
          <w:rtl/>
        </w:rPr>
        <w:t>)</w:t>
      </w:r>
      <w:r w:rsidRPr="00CD4621">
        <w:rPr>
          <w:rtl/>
        </w:rPr>
        <w:tab/>
      </w:r>
      <w:hyperlink r:id="rId7" w:history="1">
        <w:r w:rsidRPr="00CD4621">
          <w:rPr>
            <w:rStyle w:val="Hyperlink"/>
          </w:rPr>
          <w:t>HRI/GEN.</w:t>
        </w:r>
        <w:r w:rsidRPr="009E0726">
          <w:rPr>
            <w:rStyle w:val="Hyperlink"/>
          </w:rPr>
          <w:t>2</w:t>
        </w:r>
        <w:r w:rsidRPr="00CD4621">
          <w:rPr>
            <w:rStyle w:val="Hyperlink"/>
          </w:rPr>
          <w:t>/Rev.</w:t>
        </w:r>
        <w:r w:rsidRPr="009E0726">
          <w:rPr>
            <w:rStyle w:val="Hyperlink"/>
          </w:rPr>
          <w:t>6</w:t>
        </w:r>
      </w:hyperlink>
      <w:r w:rsidRPr="00CD4621">
        <w:rPr>
          <w:rFonts w:ascii="Simplified Arabic" w:hAnsi="Simplified Arabic"/>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B52B8" w14:textId="33178727" w:rsidR="0066406F" w:rsidRPr="0066406F" w:rsidRDefault="0066406F" w:rsidP="0066406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30043">
      <w:t>CMW/C/MAR/CO/2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245EC" w14:textId="6A87BCFE" w:rsidR="0066406F" w:rsidRPr="0066406F" w:rsidRDefault="0066406F" w:rsidP="0066406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30043">
      <w:t>CMW/C/MAR/CO/2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684207710">
    <w:abstractNumId w:val="15"/>
  </w:num>
  <w:num w:numId="2" w16cid:durableId="890456309">
    <w:abstractNumId w:val="12"/>
  </w:num>
  <w:num w:numId="3" w16cid:durableId="668556872">
    <w:abstractNumId w:val="2"/>
  </w:num>
  <w:num w:numId="4" w16cid:durableId="109982362">
    <w:abstractNumId w:val="11"/>
  </w:num>
  <w:num w:numId="5" w16cid:durableId="524828141">
    <w:abstractNumId w:val="8"/>
  </w:num>
  <w:num w:numId="6" w16cid:durableId="1883250053">
    <w:abstractNumId w:val="5"/>
  </w:num>
  <w:num w:numId="7" w16cid:durableId="522088502">
    <w:abstractNumId w:val="17"/>
  </w:num>
  <w:num w:numId="8" w16cid:durableId="1917857503">
    <w:abstractNumId w:val="2"/>
  </w:num>
  <w:num w:numId="9" w16cid:durableId="1669483989">
    <w:abstractNumId w:val="11"/>
  </w:num>
  <w:num w:numId="10" w16cid:durableId="2002073299">
    <w:abstractNumId w:val="5"/>
  </w:num>
  <w:num w:numId="11" w16cid:durableId="2022198047">
    <w:abstractNumId w:val="17"/>
  </w:num>
  <w:num w:numId="12" w16cid:durableId="1087191633">
    <w:abstractNumId w:val="4"/>
  </w:num>
  <w:num w:numId="13" w16cid:durableId="270744434">
    <w:abstractNumId w:val="3"/>
  </w:num>
  <w:num w:numId="14" w16cid:durableId="584456544">
    <w:abstractNumId w:val="16"/>
  </w:num>
  <w:num w:numId="15" w16cid:durableId="1721830121">
    <w:abstractNumId w:val="13"/>
  </w:num>
  <w:num w:numId="16" w16cid:durableId="1661231896">
    <w:abstractNumId w:val="1"/>
  </w:num>
  <w:num w:numId="17" w16cid:durableId="1249921563">
    <w:abstractNumId w:val="14"/>
  </w:num>
  <w:num w:numId="18" w16cid:durableId="1486704719">
    <w:abstractNumId w:val="0"/>
  </w:num>
  <w:num w:numId="19" w16cid:durableId="637078509">
    <w:abstractNumId w:val="9"/>
  </w:num>
  <w:num w:numId="20" w16cid:durableId="1480345426">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5337345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7167672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858007611">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42183016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890651674">
    <w:abstractNumId w:val="7"/>
  </w:num>
  <w:num w:numId="26" w16cid:durableId="768310688">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46206950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5ED"/>
    <w:rsid w:val="00004B17"/>
    <w:rsid w:val="000076D5"/>
    <w:rsid w:val="0003439F"/>
    <w:rsid w:val="00043663"/>
    <w:rsid w:val="00044934"/>
    <w:rsid w:val="000505CF"/>
    <w:rsid w:val="000D701C"/>
    <w:rsid w:val="000E2A71"/>
    <w:rsid w:val="000E7731"/>
    <w:rsid w:val="00160263"/>
    <w:rsid w:val="00181F96"/>
    <w:rsid w:val="00194512"/>
    <w:rsid w:val="001A1371"/>
    <w:rsid w:val="001A72EE"/>
    <w:rsid w:val="001B346A"/>
    <w:rsid w:val="001D181F"/>
    <w:rsid w:val="001E1CAD"/>
    <w:rsid w:val="001E290D"/>
    <w:rsid w:val="001E45CF"/>
    <w:rsid w:val="002144FA"/>
    <w:rsid w:val="00233629"/>
    <w:rsid w:val="0023469A"/>
    <w:rsid w:val="002373E9"/>
    <w:rsid w:val="00243C8A"/>
    <w:rsid w:val="00266906"/>
    <w:rsid w:val="00267A0E"/>
    <w:rsid w:val="002901D9"/>
    <w:rsid w:val="002976C2"/>
    <w:rsid w:val="002B726E"/>
    <w:rsid w:val="002C05F6"/>
    <w:rsid w:val="002C52C5"/>
    <w:rsid w:val="002D2D42"/>
    <w:rsid w:val="002F1DD0"/>
    <w:rsid w:val="003260FF"/>
    <w:rsid w:val="00330043"/>
    <w:rsid w:val="00336B60"/>
    <w:rsid w:val="00343D95"/>
    <w:rsid w:val="0035017B"/>
    <w:rsid w:val="003622B5"/>
    <w:rsid w:val="00374341"/>
    <w:rsid w:val="00384225"/>
    <w:rsid w:val="003859AF"/>
    <w:rsid w:val="003B7FA5"/>
    <w:rsid w:val="003C0D31"/>
    <w:rsid w:val="003D1062"/>
    <w:rsid w:val="003D67AE"/>
    <w:rsid w:val="00420D7B"/>
    <w:rsid w:val="00450B21"/>
    <w:rsid w:val="00453B63"/>
    <w:rsid w:val="00455780"/>
    <w:rsid w:val="0045649E"/>
    <w:rsid w:val="00465585"/>
    <w:rsid w:val="004A14A6"/>
    <w:rsid w:val="004B0A1C"/>
    <w:rsid w:val="004D298E"/>
    <w:rsid w:val="00523BAE"/>
    <w:rsid w:val="0054472E"/>
    <w:rsid w:val="005540EB"/>
    <w:rsid w:val="005662A9"/>
    <w:rsid w:val="005739E6"/>
    <w:rsid w:val="005827D4"/>
    <w:rsid w:val="00587F77"/>
    <w:rsid w:val="0059622A"/>
    <w:rsid w:val="005C5878"/>
    <w:rsid w:val="005C7CEA"/>
    <w:rsid w:val="005D23D2"/>
    <w:rsid w:val="005D3C0B"/>
    <w:rsid w:val="005D5FAB"/>
    <w:rsid w:val="005E5217"/>
    <w:rsid w:val="005F016A"/>
    <w:rsid w:val="005F0FA4"/>
    <w:rsid w:val="005F30EE"/>
    <w:rsid w:val="0060473A"/>
    <w:rsid w:val="00656392"/>
    <w:rsid w:val="0066406F"/>
    <w:rsid w:val="0068781D"/>
    <w:rsid w:val="006959B0"/>
    <w:rsid w:val="006B3E27"/>
    <w:rsid w:val="006B6507"/>
    <w:rsid w:val="006C104C"/>
    <w:rsid w:val="00710F28"/>
    <w:rsid w:val="007275ED"/>
    <w:rsid w:val="00733704"/>
    <w:rsid w:val="00736A6F"/>
    <w:rsid w:val="0078071A"/>
    <w:rsid w:val="007D04A0"/>
    <w:rsid w:val="007F3270"/>
    <w:rsid w:val="00805C01"/>
    <w:rsid w:val="00834E8C"/>
    <w:rsid w:val="00852A9A"/>
    <w:rsid w:val="0086216C"/>
    <w:rsid w:val="008809C0"/>
    <w:rsid w:val="008839E6"/>
    <w:rsid w:val="008A3FED"/>
    <w:rsid w:val="008F49E1"/>
    <w:rsid w:val="0090370F"/>
    <w:rsid w:val="009269D2"/>
    <w:rsid w:val="00926A99"/>
    <w:rsid w:val="00942135"/>
    <w:rsid w:val="009521B0"/>
    <w:rsid w:val="00982D83"/>
    <w:rsid w:val="00994130"/>
    <w:rsid w:val="009951EE"/>
    <w:rsid w:val="009A7E9F"/>
    <w:rsid w:val="009E0726"/>
    <w:rsid w:val="009E5018"/>
    <w:rsid w:val="00A12B37"/>
    <w:rsid w:val="00A47A52"/>
    <w:rsid w:val="00AB6758"/>
    <w:rsid w:val="00AD39DF"/>
    <w:rsid w:val="00AF68B6"/>
    <w:rsid w:val="00AF7459"/>
    <w:rsid w:val="00B116DD"/>
    <w:rsid w:val="00B13763"/>
    <w:rsid w:val="00B3422A"/>
    <w:rsid w:val="00B477A4"/>
    <w:rsid w:val="00B54045"/>
    <w:rsid w:val="00B742C7"/>
    <w:rsid w:val="00C0600B"/>
    <w:rsid w:val="00C438D7"/>
    <w:rsid w:val="00C648DE"/>
    <w:rsid w:val="00C81B50"/>
    <w:rsid w:val="00C91CE0"/>
    <w:rsid w:val="00CB0C0D"/>
    <w:rsid w:val="00CB28F9"/>
    <w:rsid w:val="00CD1801"/>
    <w:rsid w:val="00CD4621"/>
    <w:rsid w:val="00CE510B"/>
    <w:rsid w:val="00CF43E6"/>
    <w:rsid w:val="00CF7EDE"/>
    <w:rsid w:val="00D10EF1"/>
    <w:rsid w:val="00D13E6D"/>
    <w:rsid w:val="00D330A2"/>
    <w:rsid w:val="00D42810"/>
    <w:rsid w:val="00D42EEC"/>
    <w:rsid w:val="00D914A7"/>
    <w:rsid w:val="00DC4EE6"/>
    <w:rsid w:val="00DD13C3"/>
    <w:rsid w:val="00DD596E"/>
    <w:rsid w:val="00DD621E"/>
    <w:rsid w:val="00DE2E00"/>
    <w:rsid w:val="00DE59CB"/>
    <w:rsid w:val="00DF0575"/>
    <w:rsid w:val="00E654FB"/>
    <w:rsid w:val="00E70E04"/>
    <w:rsid w:val="00E76499"/>
    <w:rsid w:val="00E849B7"/>
    <w:rsid w:val="00EC05A7"/>
    <w:rsid w:val="00EC4B6B"/>
    <w:rsid w:val="00EF1EE5"/>
    <w:rsid w:val="00F3001F"/>
    <w:rsid w:val="00F763B4"/>
    <w:rsid w:val="00F900C3"/>
    <w:rsid w:val="00FD2424"/>
    <w:rsid w:val="00FF2AB2"/>
    <w:rsid w:val="00FF6ECD"/>
    <w:rsid w:val="00FF787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4930FB6"/>
  <w15:docId w15:val="{482B424A-56D7-4DE5-B7CE-144A7935B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439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03439F"/>
    <w:pPr>
      <w:bidi w:val="0"/>
      <w:outlineLvl w:val="0"/>
    </w:pPr>
  </w:style>
  <w:style w:type="paragraph" w:styleId="Heading2">
    <w:name w:val="heading 2"/>
    <w:basedOn w:val="Normal"/>
    <w:next w:val="Normal"/>
    <w:link w:val="Heading2Char"/>
    <w:uiPriority w:val="9"/>
    <w:unhideWhenUsed/>
    <w:rsid w:val="0003439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03439F"/>
    <w:pPr>
      <w:keepNext/>
      <w:keepLines/>
      <w:spacing w:before="200"/>
      <w:outlineLvl w:val="2"/>
    </w:pPr>
    <w:rPr>
      <w:b/>
      <w:bCs/>
      <w:color w:val="4F81BD"/>
    </w:rPr>
  </w:style>
  <w:style w:type="paragraph" w:styleId="Heading4">
    <w:name w:val="heading 4"/>
    <w:basedOn w:val="Normal"/>
    <w:next w:val="Normal"/>
    <w:link w:val="Heading4Char"/>
    <w:uiPriority w:val="9"/>
    <w:unhideWhenUsed/>
    <w:rsid w:val="0003439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03439F"/>
    <w:pPr>
      <w:keepNext/>
      <w:keepLines/>
      <w:spacing w:before="200"/>
      <w:outlineLvl w:val="4"/>
    </w:pPr>
    <w:rPr>
      <w:color w:val="243F60"/>
    </w:rPr>
  </w:style>
  <w:style w:type="paragraph" w:styleId="Heading6">
    <w:name w:val="heading 6"/>
    <w:basedOn w:val="Normal"/>
    <w:next w:val="Normal"/>
    <w:link w:val="Heading6Char"/>
    <w:uiPriority w:val="9"/>
    <w:unhideWhenUsed/>
    <w:rsid w:val="0003439F"/>
    <w:pPr>
      <w:keepNext/>
      <w:keepLines/>
      <w:spacing w:before="200"/>
      <w:outlineLvl w:val="5"/>
    </w:pPr>
    <w:rPr>
      <w:i/>
      <w:iCs/>
      <w:color w:val="243F60"/>
    </w:rPr>
  </w:style>
  <w:style w:type="paragraph" w:styleId="Heading7">
    <w:name w:val="heading 7"/>
    <w:basedOn w:val="Normal"/>
    <w:next w:val="Normal"/>
    <w:link w:val="Heading7Char"/>
    <w:uiPriority w:val="9"/>
    <w:unhideWhenUsed/>
    <w:rsid w:val="0003439F"/>
    <w:pPr>
      <w:keepNext/>
      <w:keepLines/>
      <w:spacing w:before="200"/>
      <w:outlineLvl w:val="6"/>
    </w:pPr>
    <w:rPr>
      <w:i/>
      <w:iCs/>
      <w:color w:val="404040"/>
    </w:rPr>
  </w:style>
  <w:style w:type="paragraph" w:styleId="Heading8">
    <w:name w:val="heading 8"/>
    <w:basedOn w:val="Normal"/>
    <w:next w:val="Normal"/>
    <w:link w:val="Heading8Char"/>
    <w:uiPriority w:val="9"/>
    <w:unhideWhenUsed/>
    <w:rsid w:val="0003439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03439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03439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03439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03439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03439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03439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03439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03439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03439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03439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03439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03439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03439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03439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03439F"/>
    <w:pPr>
      <w:numPr>
        <w:numId w:val="5"/>
      </w:numPr>
      <w:bidi w:val="0"/>
    </w:pPr>
    <w:rPr>
      <w:lang w:val="en-US"/>
    </w:rPr>
  </w:style>
  <w:style w:type="paragraph" w:customStyle="1" w:styleId="Roman1GA">
    <w:name w:val="_Roman 1_GA"/>
    <w:basedOn w:val="Bullet1GA"/>
    <w:qFormat/>
    <w:rsid w:val="0003439F"/>
    <w:pPr>
      <w:numPr>
        <w:numId w:val="6"/>
      </w:numPr>
      <w:tabs>
        <w:tab w:val="clear" w:pos="2310"/>
        <w:tab w:val="left" w:pos="2486"/>
      </w:tabs>
      <w:ind w:left="2486" w:hanging="378"/>
    </w:pPr>
  </w:style>
  <w:style w:type="paragraph" w:customStyle="1" w:styleId="Roman2GA">
    <w:name w:val="_Roman 2_GA"/>
    <w:basedOn w:val="Bullet2GA"/>
    <w:qFormat/>
    <w:rsid w:val="0003439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03439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03439F"/>
    <w:rPr>
      <w:rFonts w:ascii="Times New Roman" w:eastAsia="PMingLiU" w:hAnsi="Times New Roman" w:cs="Simplified Arabic"/>
      <w:sz w:val="18"/>
      <w:szCs w:val="20"/>
      <w:lang w:val="en-GB"/>
    </w:rPr>
  </w:style>
  <w:style w:type="character" w:customStyle="1" w:styleId="EndtnoteReference">
    <w:name w:val="Endtnote Reference"/>
    <w:aliases w:val="1_GA"/>
    <w:qFormat/>
    <w:rsid w:val="0003439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03439F"/>
    <w:pPr>
      <w:suppressAutoHyphens/>
      <w:bidi w:val="0"/>
      <w:spacing w:line="240" w:lineRule="auto"/>
    </w:pPr>
    <w:rPr>
      <w:sz w:val="16"/>
      <w:lang w:val="en-GB"/>
    </w:rPr>
  </w:style>
  <w:style w:type="character" w:customStyle="1" w:styleId="FooterChar">
    <w:name w:val="Footer Char"/>
    <w:aliases w:val="3_GA Char,3_G Char"/>
    <w:link w:val="Footer"/>
    <w:rsid w:val="0003439F"/>
    <w:rPr>
      <w:rFonts w:ascii="Times New Roman" w:eastAsia="PMingLiU" w:hAnsi="Times New Roman" w:cs="Simplified Arabic"/>
      <w:sz w:val="16"/>
      <w:lang w:val="en-GB"/>
    </w:rPr>
  </w:style>
  <w:style w:type="paragraph" w:customStyle="1" w:styleId="FootnoteText1">
    <w:name w:val="Footnote Text1"/>
    <w:aliases w:val="5_GA"/>
    <w:basedOn w:val="Normal"/>
    <w:qFormat/>
    <w:rsid w:val="0003439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03439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03439F"/>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03439F"/>
    <w:rPr>
      <w:rFonts w:ascii="Times New Roman" w:eastAsia="PMingLiU" w:hAnsi="Times New Roman" w:cs="Simplified Arabic"/>
      <w:lang w:val="en-GB"/>
    </w:rPr>
  </w:style>
  <w:style w:type="character" w:styleId="PageNumber">
    <w:name w:val="page number"/>
    <w:aliases w:val="7_GA,7_G"/>
    <w:qFormat/>
    <w:rsid w:val="0003439F"/>
    <w:rPr>
      <w:rFonts w:ascii="Times New Roman Bold" w:hAnsi="Times New Roman Bold"/>
      <w:b/>
      <w:i w:val="0"/>
      <w:sz w:val="18"/>
      <w:szCs w:val="18"/>
    </w:rPr>
  </w:style>
  <w:style w:type="paragraph" w:customStyle="1" w:styleId="XXLargeGA">
    <w:name w:val="XXLarge_GA"/>
    <w:basedOn w:val="Normal"/>
    <w:next w:val="SingleTxtGA"/>
    <w:qFormat/>
    <w:rsid w:val="0003439F"/>
    <w:pPr>
      <w:suppressAutoHyphens/>
      <w:spacing w:line="820" w:lineRule="exact"/>
    </w:pPr>
    <w:rPr>
      <w:spacing w:val="-8"/>
      <w:w w:val="96"/>
      <w:sz w:val="57"/>
      <w:szCs w:val="86"/>
      <w:lang w:val="en-GB"/>
    </w:rPr>
  </w:style>
  <w:style w:type="character" w:customStyle="1" w:styleId="Heading2Char">
    <w:name w:val="Heading 2 Char"/>
    <w:link w:val="Heading2"/>
    <w:uiPriority w:val="9"/>
    <w:rsid w:val="0003439F"/>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03439F"/>
    <w:rPr>
      <w:rFonts w:ascii="Times New Roman" w:eastAsia="PMingLiU" w:hAnsi="Times New Roman" w:cs="Simplified Arabic"/>
      <w:b/>
      <w:bCs/>
      <w:color w:val="4F81BD"/>
      <w:sz w:val="20"/>
    </w:rPr>
  </w:style>
  <w:style w:type="character" w:customStyle="1" w:styleId="Heading4Char">
    <w:name w:val="Heading 4 Char"/>
    <w:link w:val="Heading4"/>
    <w:uiPriority w:val="9"/>
    <w:rsid w:val="0003439F"/>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03439F"/>
    <w:rPr>
      <w:rFonts w:ascii="Times New Roman" w:eastAsia="PMingLiU" w:hAnsi="Times New Roman" w:cs="Simplified Arabic"/>
      <w:color w:val="243F60"/>
      <w:sz w:val="20"/>
    </w:rPr>
  </w:style>
  <w:style w:type="character" w:customStyle="1" w:styleId="Heading6Char">
    <w:name w:val="Heading 6 Char"/>
    <w:link w:val="Heading6"/>
    <w:uiPriority w:val="9"/>
    <w:rsid w:val="0003439F"/>
    <w:rPr>
      <w:rFonts w:ascii="Times New Roman" w:eastAsia="PMingLiU" w:hAnsi="Times New Roman" w:cs="Simplified Arabic"/>
      <w:i/>
      <w:iCs/>
      <w:color w:val="243F60"/>
      <w:sz w:val="20"/>
    </w:rPr>
  </w:style>
  <w:style w:type="character" w:customStyle="1" w:styleId="Heading7Char">
    <w:name w:val="Heading 7 Char"/>
    <w:link w:val="Heading7"/>
    <w:uiPriority w:val="9"/>
    <w:rsid w:val="0003439F"/>
    <w:rPr>
      <w:rFonts w:ascii="Times New Roman" w:eastAsia="PMingLiU" w:hAnsi="Times New Roman" w:cs="Simplified Arabic"/>
      <w:i/>
      <w:iCs/>
      <w:color w:val="404040"/>
      <w:sz w:val="20"/>
    </w:rPr>
  </w:style>
  <w:style w:type="character" w:customStyle="1" w:styleId="Heading8Char">
    <w:name w:val="Heading 8 Char"/>
    <w:link w:val="Heading8"/>
    <w:uiPriority w:val="9"/>
    <w:rsid w:val="0003439F"/>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03439F"/>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03439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03439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03439F"/>
    <w:pPr>
      <w:numPr>
        <w:ilvl w:val="1"/>
      </w:numPr>
    </w:pPr>
    <w:rPr>
      <w:i/>
      <w:iCs/>
      <w:color w:val="4F81BD"/>
      <w:spacing w:val="15"/>
      <w:sz w:val="24"/>
      <w:szCs w:val="24"/>
    </w:rPr>
  </w:style>
  <w:style w:type="character" w:customStyle="1" w:styleId="SubtitleChar">
    <w:name w:val="Subtitle Char"/>
    <w:link w:val="Subtitle"/>
    <w:uiPriority w:val="11"/>
    <w:rsid w:val="0003439F"/>
    <w:rPr>
      <w:rFonts w:ascii="Times New Roman" w:eastAsia="PMingLiU" w:hAnsi="Times New Roman" w:cs="Simplified Arabic"/>
      <w:i/>
      <w:iCs/>
      <w:color w:val="4F81BD"/>
      <w:spacing w:val="15"/>
      <w:sz w:val="24"/>
      <w:szCs w:val="24"/>
    </w:rPr>
  </w:style>
  <w:style w:type="character" w:styleId="Strong">
    <w:name w:val="Strong"/>
    <w:uiPriority w:val="22"/>
    <w:rsid w:val="0003439F"/>
    <w:rPr>
      <w:b/>
      <w:bCs/>
    </w:rPr>
  </w:style>
  <w:style w:type="table" w:styleId="TableGrid">
    <w:name w:val="Table Grid"/>
    <w:basedOn w:val="TableNormal"/>
    <w:rsid w:val="0003439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03439F"/>
    <w:rPr>
      <w:color w:val="0000FF"/>
      <w:u w:val="none"/>
    </w:rPr>
  </w:style>
  <w:style w:type="paragraph" w:styleId="TOC1">
    <w:name w:val="toc 1"/>
    <w:basedOn w:val="Normal"/>
    <w:link w:val="TOC1Char"/>
    <w:autoRedefine/>
    <w:uiPriority w:val="39"/>
    <w:unhideWhenUsed/>
    <w:rsid w:val="0003439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03439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03439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03439F"/>
    <w:rPr>
      <w:rFonts w:eastAsia="DengXian"/>
      <w:color w:val="auto"/>
      <w:sz w:val="20"/>
      <w:szCs w:val="20"/>
      <w:u w:val="none"/>
      <w:lang w:eastAsia="zh-CN" w:bidi="ar-EG"/>
    </w:rPr>
  </w:style>
  <w:style w:type="paragraph" w:styleId="TOC4">
    <w:name w:val="toc 4"/>
    <w:basedOn w:val="Normal"/>
    <w:link w:val="TOC4Char"/>
    <w:autoRedefine/>
    <w:uiPriority w:val="39"/>
    <w:unhideWhenUsed/>
    <w:rsid w:val="0003439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03439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03439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03439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03439F"/>
    <w:rPr>
      <w:rFonts w:ascii="Times New Roman" w:eastAsia="PMingLiU" w:hAnsi="Times New Roman" w:cs="Simplified Arabic"/>
      <w:lang w:val="en-GB"/>
    </w:rPr>
  </w:style>
  <w:style w:type="character" w:customStyle="1" w:styleId="TOC1Char">
    <w:name w:val="TOC 1 Char"/>
    <w:basedOn w:val="DefaultParagraphFont"/>
    <w:link w:val="TOC1"/>
    <w:uiPriority w:val="39"/>
    <w:rsid w:val="0003439F"/>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03439F"/>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03439F"/>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03439F"/>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03439F"/>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03439F"/>
    <w:rPr>
      <w:rFonts w:ascii="Times New Roman" w:eastAsia="PMingLiU" w:hAnsi="Times New Roman" w:cs="Simplified Arabic"/>
      <w:sz w:val="20"/>
      <w:szCs w:val="20"/>
      <w:lang w:val="en-GB"/>
    </w:rPr>
  </w:style>
  <w:style w:type="paragraph" w:customStyle="1" w:styleId="NormalA">
    <w:name w:val="Normal_A"/>
    <w:basedOn w:val="Normal"/>
    <w:qFormat/>
    <w:rsid w:val="0003439F"/>
  </w:style>
  <w:style w:type="paragraph" w:customStyle="1" w:styleId="FootnoteGA">
    <w:name w:val="_Footnote_GA"/>
    <w:basedOn w:val="Normal"/>
    <w:qFormat/>
    <w:rsid w:val="0003439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03439F"/>
    <w:rPr>
      <w:sz w:val="44"/>
      <w:szCs w:val="44"/>
      <w:lang w:val="en-US" w:bidi="ar-DZ"/>
    </w:rPr>
  </w:style>
  <w:style w:type="paragraph" w:customStyle="1" w:styleId="FootnoteGA0">
    <w:name w:val="Footnote_GA"/>
    <w:basedOn w:val="Normal"/>
    <w:qFormat/>
    <w:rsid w:val="0003439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03439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03439F"/>
    <w:pPr>
      <w:spacing w:line="240" w:lineRule="exact"/>
    </w:pPr>
    <w:rPr>
      <w:spacing w:val="6"/>
      <w:w w:val="106"/>
      <w:sz w:val="14"/>
      <w:szCs w:val="21"/>
    </w:rPr>
  </w:style>
  <w:style w:type="paragraph" w:customStyle="1" w:styleId="Original">
    <w:name w:val="Original"/>
    <w:basedOn w:val="Normal"/>
    <w:next w:val="Normal"/>
    <w:qFormat/>
    <w:rsid w:val="0003439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03439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03439F"/>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622B5"/>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622B5"/>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622B5"/>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03439F"/>
    <w:rPr>
      <w:lang w:val="en-US" w:eastAsia="zh-TW"/>
    </w:rPr>
  </w:style>
  <w:style w:type="paragraph" w:customStyle="1" w:styleId="STitleMGA">
    <w:name w:val="S_Title_M_GA"/>
    <w:basedOn w:val="SMGA"/>
    <w:qFormat/>
    <w:rsid w:val="0003439F"/>
    <w:rPr>
      <w:lang w:eastAsia="zh-TW"/>
    </w:rPr>
  </w:style>
  <w:style w:type="paragraph" w:customStyle="1" w:styleId="STitleSGA">
    <w:name w:val="S_Title_S_GA"/>
    <w:basedOn w:val="SSGA"/>
    <w:qFormat/>
    <w:rsid w:val="0003439F"/>
    <w:rPr>
      <w:lang w:eastAsia="zh-TW"/>
    </w:rPr>
  </w:style>
  <w:style w:type="paragraph" w:customStyle="1" w:styleId="HChG">
    <w:name w:val="_ H _Ch_G"/>
    <w:basedOn w:val="Normal"/>
    <w:next w:val="Normal"/>
    <w:link w:val="HChGChar"/>
    <w:qFormat/>
    <w:rsid w:val="00CD4621"/>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imes New Roman" w:hAnsiTheme="minorHAnsi"/>
      <w:b/>
      <w:sz w:val="28"/>
      <w:szCs w:val="30"/>
      <w:lang w:val="fr-CH" w:eastAsia="zh-CN"/>
    </w:rPr>
  </w:style>
  <w:style w:type="paragraph" w:customStyle="1" w:styleId="H1G">
    <w:name w:val="_ H_1_G"/>
    <w:basedOn w:val="Normal"/>
    <w:next w:val="Normal"/>
    <w:link w:val="H1GChar"/>
    <w:qFormat/>
    <w:rsid w:val="00CD4621"/>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imes New Roman" w:hAnsiTheme="minorHAnsi"/>
      <w:b/>
      <w:sz w:val="24"/>
      <w:szCs w:val="30"/>
      <w:lang w:val="fr-CH" w:eastAsia="zh-CN"/>
    </w:rPr>
  </w:style>
  <w:style w:type="paragraph" w:customStyle="1" w:styleId="H23G">
    <w:name w:val="_ H_2/3_G"/>
    <w:basedOn w:val="Normal"/>
    <w:next w:val="Normal"/>
    <w:link w:val="H23GChar"/>
    <w:qFormat/>
    <w:rsid w:val="00CD4621"/>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imes New Roman" w:hAnsiTheme="minorHAnsi"/>
      <w:b/>
      <w:szCs w:val="30"/>
      <w:lang w:val="fr-CH" w:eastAsia="zh-CN"/>
    </w:rPr>
  </w:style>
  <w:style w:type="paragraph" w:customStyle="1" w:styleId="SingleTxtG">
    <w:name w:val="_ Single Txt_G"/>
    <w:basedOn w:val="Normal"/>
    <w:link w:val="SingleTxtGChar"/>
    <w:qFormat/>
    <w:rsid w:val="00CD4621"/>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imes New Roman" w:hAnsiTheme="minorHAnsi"/>
      <w:szCs w:val="30"/>
      <w:lang w:val="fr-CH" w:eastAsia="zh-CN"/>
    </w:rPr>
  </w:style>
  <w:style w:type="character" w:styleId="FootnoteReference">
    <w:name w:val="footnote reference"/>
    <w:aliases w:val="4_G"/>
    <w:basedOn w:val="DefaultParagraphFont"/>
    <w:uiPriority w:val="99"/>
    <w:qFormat/>
    <w:rsid w:val="00CD4621"/>
    <w:rPr>
      <w:rFonts w:ascii="Times New Roman" w:hAnsi="Times New Roman"/>
      <w:sz w:val="18"/>
      <w:vertAlign w:val="superscript"/>
    </w:rPr>
  </w:style>
  <w:style w:type="paragraph" w:styleId="FootnoteText">
    <w:name w:val="footnote text"/>
    <w:aliases w:val="5_G"/>
    <w:basedOn w:val="Normal"/>
    <w:link w:val="FootnoteTextChar"/>
    <w:qFormat/>
    <w:rsid w:val="00CD4621"/>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imes New Roman" w:hAnsiTheme="minorHAnsi" w:hint="cs"/>
      <w:sz w:val="18"/>
      <w:szCs w:val="30"/>
      <w:lang w:val="fr-CH" w:eastAsia="zh-CN"/>
    </w:rPr>
  </w:style>
  <w:style w:type="character" w:customStyle="1" w:styleId="FootnoteTextChar">
    <w:name w:val="Footnote Text Char"/>
    <w:aliases w:val="5_G Char"/>
    <w:basedOn w:val="DefaultParagraphFont"/>
    <w:link w:val="FootnoteText"/>
    <w:rsid w:val="00CD4621"/>
    <w:rPr>
      <w:rFonts w:ascii="Times New Roman" w:cs="Simplified Arabic"/>
      <w:sz w:val="18"/>
      <w:szCs w:val="30"/>
      <w:lang w:val="fr-CH" w:eastAsia="zh-CN"/>
    </w:rPr>
  </w:style>
  <w:style w:type="character" w:customStyle="1" w:styleId="HChGChar">
    <w:name w:val="_ H _Ch_G Char"/>
    <w:link w:val="HChG"/>
    <w:locked/>
    <w:rsid w:val="00CD4621"/>
    <w:rPr>
      <w:rFonts w:ascii="Times New Roman" w:cs="Simplified Arabic"/>
      <w:b/>
      <w:sz w:val="28"/>
      <w:szCs w:val="30"/>
      <w:lang w:val="fr-CH" w:eastAsia="zh-CN"/>
    </w:rPr>
  </w:style>
  <w:style w:type="character" w:customStyle="1" w:styleId="SingleTxtGChar">
    <w:name w:val="_ Single Txt_G Char"/>
    <w:link w:val="SingleTxtG"/>
    <w:rsid w:val="00CD4621"/>
    <w:rPr>
      <w:rFonts w:ascii="Times New Roman" w:cs="Simplified Arabic"/>
      <w:sz w:val="20"/>
      <w:szCs w:val="30"/>
      <w:lang w:val="fr-CH" w:eastAsia="zh-CN"/>
    </w:rPr>
  </w:style>
  <w:style w:type="character" w:customStyle="1" w:styleId="H1GChar">
    <w:name w:val="_ H_1_G Char"/>
    <w:link w:val="H1G"/>
    <w:locked/>
    <w:rsid w:val="00CD4621"/>
    <w:rPr>
      <w:rFonts w:ascii="Times New Roman" w:cs="Simplified Arabic"/>
      <w:b/>
      <w:sz w:val="24"/>
      <w:szCs w:val="30"/>
      <w:lang w:val="fr-CH" w:eastAsia="zh-CN"/>
    </w:rPr>
  </w:style>
  <w:style w:type="character" w:customStyle="1" w:styleId="H23GChar">
    <w:name w:val="_ H_2/3_G Char"/>
    <w:link w:val="H23G"/>
    <w:locked/>
    <w:rsid w:val="00CD4621"/>
    <w:rPr>
      <w:rFonts w:ascii="Times New Roman" w:cs="Simplified Arabic"/>
      <w:b/>
      <w:sz w:val="20"/>
      <w:szCs w:val="30"/>
      <w:lang w:val="fr-CH" w:eastAsia="zh-CN"/>
    </w:rPr>
  </w:style>
  <w:style w:type="character" w:styleId="UnresolvedMention">
    <w:name w:val="Unresolved Mention"/>
    <w:basedOn w:val="DefaultParagraphFont"/>
    <w:uiPriority w:val="99"/>
    <w:semiHidden/>
    <w:unhideWhenUsed/>
    <w:rsid w:val="00CD46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ar/A/RES/73/195"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MW/C/SR.516" TargetMode="External"/><Relationship Id="rId7" Type="http://schemas.openxmlformats.org/officeDocument/2006/relationships/hyperlink" Target="https://undocs.org/ar/HRI/GEN.2/Rev.6" TargetMode="External"/><Relationship Id="rId2" Type="http://schemas.openxmlformats.org/officeDocument/2006/relationships/hyperlink" Target="https://undocs.org/ar/CMW/C/SR.515" TargetMode="External"/><Relationship Id="rId1" Type="http://schemas.openxmlformats.org/officeDocument/2006/relationships/hyperlink" Target="https://undocs.org/ar/CMW/C/MAR/2" TargetMode="External"/><Relationship Id="rId6" Type="http://schemas.openxmlformats.org/officeDocument/2006/relationships/hyperlink" Target="https://undocs.org/ar/E/2002/68/Add.1" TargetMode="External"/><Relationship Id="rId5" Type="http://schemas.openxmlformats.org/officeDocument/2006/relationships/hyperlink" Target="https://undocs.org/ar/CMW/C/MAR/CO/1" TargetMode="External"/><Relationship Id="rId4" Type="http://schemas.openxmlformats.org/officeDocument/2006/relationships/hyperlink" Target="https://undocs.org/ar/CMW/C/MAR/QPR/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52B66-DF3D-4981-9CE5-36145E83C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4277</Words>
  <Characters>24383</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CMW/C/MAR/CO/2</vt:lpstr>
    </vt:vector>
  </TitlesOfParts>
  <Company>DCM</Company>
  <LinksUpToDate>false</LinksUpToDate>
  <CharactersWithSpaces>28603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CMW/C/MAR/CO/2</dc:title>
  <dc:subject>GE.2308786(A)</dc:subject>
  <dc:creator>Muntaha BUHNAM -  Said OUSSAR</dc:creator>
  <cp:keywords>GE. 2309750(A)</cp:keywords>
  <dc:description>General_x000d_
2023_x000d_
Arabic_x000d_
English</dc:description>
  <cp:lastModifiedBy>Eleonore Milo</cp:lastModifiedBy>
  <cp:revision>2</cp:revision>
  <cp:lastPrinted>2023-06-19T09:34:00Z</cp:lastPrinted>
  <dcterms:created xsi:type="dcterms:W3CDTF">2023-06-19T12:20:00Z</dcterms:created>
  <dcterms:modified xsi:type="dcterms:W3CDTF">2023-06-19T12:20:00Z</dcterms:modified>
</cp:coreProperties>
</file>