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E70" w:rsidRDefault="00C63E70" w:rsidP="00C63E70">
      <w:pPr>
        <w:spacing w:line="60" w:lineRule="exact"/>
        <w:rPr>
          <w:sz w:val="6"/>
        </w:rPr>
        <w:sectPr w:rsidR="00C63E70" w:rsidSect="00C63E7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Pr>
        <w:commentReference w:id="0"/>
      </w:r>
    </w:p>
    <w:p w:rsidR="00C63E70" w:rsidRDefault="00C63E70" w:rsidP="00C63E70">
      <w:pPr>
        <w:spacing w:line="60" w:lineRule="exact"/>
        <w:rPr>
          <w:rFonts w:hint="eastAsia"/>
          <w:sz w:val="6"/>
        </w:rPr>
      </w:pPr>
    </w:p>
    <w:p w:rsidR="00525391" w:rsidRDefault="00525391" w:rsidP="005253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消除对妇女歧视委员会</w:t>
      </w:r>
    </w:p>
    <w:p w:rsidR="00525391" w:rsidRDefault="00525391" w:rsidP="00525391">
      <w:pPr>
        <w:pStyle w:val="SingleTxt"/>
      </w:pPr>
    </w:p>
    <w:p w:rsidR="00525391" w:rsidRDefault="00525391" w:rsidP="0052539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4" w:right="1259" w:hanging="1264"/>
        <w:rPr>
          <w:rFonts w:hint="eastAsia"/>
        </w:rPr>
      </w:pPr>
      <w:r>
        <w:rPr>
          <w:rFonts w:ascii="Times New Roman"/>
        </w:rPr>
        <w:tab/>
      </w:r>
      <w:r>
        <w:rPr>
          <w:rFonts w:ascii="Times New Roman"/>
        </w:rPr>
        <w:tab/>
      </w:r>
      <w:r>
        <w:rPr>
          <w:rFonts w:hint="eastAsia"/>
        </w:rPr>
        <w:t>审议缔约国根据《消除对妇女一切形式歧视公约》第18条</w:t>
      </w:r>
      <w:r>
        <w:rPr>
          <w:rFonts w:ascii="Times New Roman"/>
        </w:rPr>
        <w:br/>
      </w:r>
      <w:r>
        <w:rPr>
          <w:rFonts w:hint="eastAsia"/>
        </w:rPr>
        <w:t>提交的报告</w:t>
      </w:r>
    </w:p>
    <w:p w:rsidR="00525391" w:rsidRDefault="00525391" w:rsidP="005253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4" w:right="1259" w:hanging="1264"/>
        <w:rPr>
          <w:rFonts w:hint="eastAsia"/>
        </w:rPr>
      </w:pPr>
      <w:r>
        <w:rPr>
          <w:rFonts w:ascii="SimSun" w:eastAsia="SimSun"/>
          <w:color w:val="auto"/>
          <w:sz w:val="21"/>
        </w:rPr>
        <w:tab/>
      </w:r>
      <w:r>
        <w:rPr>
          <w:rFonts w:ascii="SimSun" w:eastAsia="SimSun"/>
          <w:color w:val="auto"/>
          <w:sz w:val="21"/>
        </w:rPr>
        <w:tab/>
      </w:r>
      <w:r>
        <w:rPr>
          <w:rFonts w:hint="eastAsia"/>
        </w:rPr>
        <w:t>缔约国的第三次和第四次合并定期报告</w:t>
      </w:r>
    </w:p>
    <w:p w:rsidR="001E5ABA" w:rsidRDefault="00525391" w:rsidP="0052539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Pr>
          <w:rFonts w:ascii="Times New Roman"/>
        </w:rPr>
        <w:tab/>
      </w:r>
      <w:r>
        <w:rPr>
          <w:rFonts w:ascii="Times New Roman"/>
        </w:rPr>
        <w:tab/>
      </w:r>
      <w:r>
        <w:rPr>
          <w:rFonts w:hint="eastAsia"/>
        </w:rPr>
        <w:t>伯利兹</w:t>
      </w:r>
      <w:r w:rsidRPr="00525391">
        <w:rPr>
          <w:rFonts w:hint="eastAsia"/>
          <w:vertAlign w:val="superscript"/>
        </w:rPr>
        <w:t>*</w:t>
      </w:r>
    </w:p>
    <w:p w:rsidR="00525391" w:rsidRPr="00525391" w:rsidRDefault="00525391" w:rsidP="00525391">
      <w:pPr>
        <w:framePr w:w="9792" w:h="432" w:hSpace="180" w:wrap="around" w:hAnchor="page" w:x="1210" w:yAlign="bottom"/>
        <w:spacing w:line="100" w:lineRule="exact"/>
        <w:rPr>
          <w:sz w:val="10"/>
        </w:rPr>
      </w:pPr>
    </w:p>
    <w:p w:rsidR="00525391" w:rsidRPr="00525391" w:rsidRDefault="00525391" w:rsidP="00525391">
      <w:pPr>
        <w:framePr w:w="9792" w:h="432" w:hSpace="180" w:wrap="around" w:hAnchor="page" w:x="1210" w:yAlign="bottom"/>
        <w:spacing w:line="60" w:lineRule="exact"/>
        <w:rPr>
          <w:sz w:val="6"/>
        </w:rPr>
      </w:pPr>
      <w:r w:rsidRPr="00525391">
        <w:rPr>
          <w:noProof/>
          <w:sz w:val="6"/>
        </w:rPr>
        <w:pict>
          <v:line id="_x0000_s1026" style="position:absolute;z-index:1;mso-position-horizontal-relative:page" from="108pt,-1pt" to="180pt,-1pt" strokeweight=".25pt">
            <w10:wrap anchorx="page"/>
          </v:line>
        </w:pict>
      </w:r>
    </w:p>
    <w:p w:rsidR="00525391" w:rsidRPr="00525391" w:rsidRDefault="00525391" w:rsidP="00525391">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sz w:val="18"/>
        </w:rPr>
      </w:pPr>
      <w:r>
        <w:rPr>
          <w:sz w:val="18"/>
        </w:rPr>
        <w:tab/>
      </w:r>
      <w:r w:rsidRPr="00525391">
        <w:rPr>
          <w:rFonts w:ascii="Times New Roman"/>
          <w:szCs w:val="21"/>
          <w:vertAlign w:val="superscript"/>
        </w:rPr>
        <w:t>*</w:t>
      </w:r>
      <w:r>
        <w:rPr>
          <w:sz w:val="18"/>
        </w:rPr>
        <w:tab/>
      </w:r>
      <w:r w:rsidRPr="00525391">
        <w:rPr>
          <w:rFonts w:hint="eastAsia"/>
          <w:sz w:val="18"/>
        </w:rPr>
        <w:t>本报告未经正式编辑而印发。</w:t>
      </w:r>
    </w:p>
    <w:p w:rsidR="00525391" w:rsidRPr="00525391" w:rsidRDefault="00525391" w:rsidP="00525391">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sz w:val="18"/>
        </w:rPr>
        <w:tab/>
      </w:r>
      <w:r w:rsidRPr="00525391">
        <w:rPr>
          <w:rFonts w:hint="eastAsia"/>
          <w:sz w:val="18"/>
        </w:rPr>
        <w:t>关于伯利兹政府提交的初次和第二次合并定期报告，见CEDAW/C/BLZ/1-2，该报告由委员会第二十一届会议审议。</w:t>
      </w:r>
    </w:p>
    <w:p w:rsidR="00525391" w:rsidRDefault="00525391" w:rsidP="00525391">
      <w:pPr>
        <w:pStyle w:val="SingleTxt"/>
      </w:pPr>
    </w:p>
    <w:p w:rsidR="00373976" w:rsidRDefault="00525391" w:rsidP="00373976">
      <w:pPr>
        <w:spacing w:after="240" w:line="360" w:lineRule="exact"/>
        <w:jc w:val="center"/>
        <w:rPr>
          <w:rFonts w:eastAsia="SimHei"/>
          <w:color w:val="FF0000"/>
          <w:sz w:val="28"/>
          <w:szCs w:val="28"/>
        </w:rPr>
      </w:pPr>
      <w:r>
        <w:br w:type="page"/>
      </w:r>
      <w:r w:rsidR="00373976">
        <w:rPr>
          <w:rFonts w:eastAsia="SimHei" w:cs="SimHei" w:hint="eastAsia"/>
          <w:color w:val="FF0000"/>
          <w:sz w:val="28"/>
          <w:szCs w:val="28"/>
        </w:rPr>
        <w:t>目</w:t>
      </w:r>
      <w:r w:rsidR="00373976">
        <w:rPr>
          <w:rFonts w:eastAsia="SimHei"/>
          <w:color w:val="FF0000"/>
          <w:sz w:val="28"/>
          <w:szCs w:val="28"/>
        </w:rPr>
        <w:t xml:space="preserve"> </w:t>
      </w:r>
      <w:r w:rsidR="00373976">
        <w:rPr>
          <w:rFonts w:eastAsia="SimHei" w:cs="SimHei" w:hint="eastAsia"/>
          <w:color w:val="FF0000"/>
          <w:sz w:val="28"/>
          <w:szCs w:val="28"/>
        </w:rPr>
        <w:t>录</w:t>
      </w:r>
    </w:p>
    <w:p w:rsidR="00373976" w:rsidRDefault="00373976" w:rsidP="00373976">
      <w:pPr>
        <w:tabs>
          <w:tab w:val="center" w:leader="dot" w:pos="9120"/>
          <w:tab w:val="right" w:pos="9720"/>
        </w:tabs>
        <w:spacing w:after="120" w:line="360" w:lineRule="exact"/>
        <w:jc w:val="right"/>
        <w:rPr>
          <w:rFonts w:eastAsia="KaiTi_GB2312"/>
          <w:color w:val="0000FF"/>
        </w:rPr>
      </w:pPr>
      <w:r>
        <w:rPr>
          <w:rFonts w:eastAsia="KaiTi_GB2312" w:cs="KaiTi_GB2312" w:hint="eastAsia"/>
          <w:color w:val="0000FF"/>
        </w:rPr>
        <w:t>页次</w:t>
      </w:r>
    </w:p>
    <w:p w:rsidR="00373976" w:rsidRDefault="00373976" w:rsidP="00373976">
      <w:pPr>
        <w:pStyle w:val="Date"/>
        <w:tabs>
          <w:tab w:val="center" w:leader="dot" w:pos="9240"/>
          <w:tab w:val="right" w:pos="9840"/>
        </w:tabs>
        <w:spacing w:after="120" w:line="360" w:lineRule="exact"/>
      </w:pPr>
      <w:r>
        <w:rPr>
          <w:rFonts w:cs="SimSun" w:hint="eastAsia"/>
        </w:rPr>
        <w:t>导言</w:t>
      </w:r>
      <w:r>
        <w:tab/>
      </w:r>
      <w:r>
        <w:tab/>
        <w:t>4</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1</w:t>
      </w:r>
      <w:r>
        <w:rPr>
          <w:rFonts w:cs="SimSun" w:hint="eastAsia"/>
        </w:rPr>
        <w:t>条</w:t>
      </w:r>
      <w:r>
        <w:t xml:space="preserve"> </w:t>
      </w:r>
      <w:r>
        <w:tab/>
      </w:r>
      <w:r>
        <w:rPr>
          <w:rFonts w:cs="SimSun" w:hint="eastAsia"/>
        </w:rPr>
        <w:t>对妇女的歧视的定义</w:t>
      </w:r>
      <w:r>
        <w:tab/>
      </w:r>
      <w:r>
        <w:tab/>
        <w:t>8</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2</w:t>
      </w:r>
      <w:r>
        <w:rPr>
          <w:rFonts w:cs="SimSun" w:hint="eastAsia"/>
        </w:rPr>
        <w:t>条</w:t>
      </w:r>
      <w:r>
        <w:t xml:space="preserve"> </w:t>
      </w:r>
      <w:r>
        <w:tab/>
      </w:r>
      <w:r>
        <w:rPr>
          <w:rFonts w:cs="SimSun" w:hint="eastAsia"/>
        </w:rPr>
        <w:t>法律规定</w:t>
      </w:r>
      <w:r>
        <w:tab/>
      </w:r>
      <w:r>
        <w:tab/>
        <w:t>9</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3</w:t>
      </w:r>
      <w:r>
        <w:rPr>
          <w:rFonts w:cs="SimSun" w:hint="eastAsia"/>
        </w:rPr>
        <w:t>条</w:t>
      </w:r>
      <w:r>
        <w:t xml:space="preserve"> </w:t>
      </w:r>
      <w:r>
        <w:tab/>
      </w:r>
      <w:r>
        <w:rPr>
          <w:rFonts w:cs="SimSun" w:hint="eastAsia"/>
        </w:rPr>
        <w:t>妇女的发展与进步</w:t>
      </w:r>
      <w:r>
        <w:tab/>
      </w:r>
      <w:r>
        <w:tab/>
        <w:t>13</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4</w:t>
      </w:r>
      <w:r>
        <w:rPr>
          <w:rFonts w:cs="SimSun" w:hint="eastAsia"/>
        </w:rPr>
        <w:t>条</w:t>
      </w:r>
      <w:r>
        <w:t xml:space="preserve"> </w:t>
      </w:r>
      <w:r>
        <w:tab/>
      </w:r>
      <w:r>
        <w:rPr>
          <w:rFonts w:cs="SimSun" w:hint="eastAsia"/>
        </w:rPr>
        <w:t>加速实现男女平等</w:t>
      </w:r>
      <w:r>
        <w:tab/>
      </w:r>
      <w:r>
        <w:tab/>
        <w:t>14</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5</w:t>
      </w:r>
      <w:r>
        <w:rPr>
          <w:rFonts w:cs="SimSun" w:hint="eastAsia"/>
        </w:rPr>
        <w:t>条</w:t>
      </w:r>
      <w:r>
        <w:t xml:space="preserve"> </w:t>
      </w:r>
      <w:r>
        <w:tab/>
      </w:r>
      <w:r>
        <w:rPr>
          <w:rFonts w:cs="SimSun" w:hint="eastAsia"/>
        </w:rPr>
        <w:t>性别角色与陈规定型观念</w:t>
      </w:r>
      <w:r>
        <w:tab/>
      </w:r>
      <w:r>
        <w:tab/>
        <w:t>15</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6</w:t>
      </w:r>
      <w:r>
        <w:rPr>
          <w:rFonts w:cs="SimSun" w:hint="eastAsia"/>
        </w:rPr>
        <w:t>条</w:t>
      </w:r>
      <w:r>
        <w:t xml:space="preserve"> </w:t>
      </w:r>
      <w:r>
        <w:tab/>
      </w:r>
      <w:r>
        <w:rPr>
          <w:rFonts w:cs="SimSun" w:hint="eastAsia"/>
        </w:rPr>
        <w:t>对妇女的剥削</w:t>
      </w:r>
      <w:r>
        <w:tab/>
      </w:r>
      <w:r>
        <w:tab/>
        <w:t>17</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7</w:t>
      </w:r>
      <w:r>
        <w:rPr>
          <w:rFonts w:cs="SimSun" w:hint="eastAsia"/>
        </w:rPr>
        <w:t>条</w:t>
      </w:r>
      <w:r>
        <w:t xml:space="preserve"> </w:t>
      </w:r>
      <w:r>
        <w:tab/>
      </w:r>
      <w:r>
        <w:rPr>
          <w:rFonts w:cs="SimSun" w:hint="eastAsia"/>
        </w:rPr>
        <w:t>政治和公众事务</w:t>
      </w:r>
      <w:r>
        <w:tab/>
      </w:r>
      <w:r>
        <w:tab/>
        <w:t>19</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8</w:t>
      </w:r>
      <w:r>
        <w:rPr>
          <w:rFonts w:cs="SimSun" w:hint="eastAsia"/>
        </w:rPr>
        <w:t>条</w:t>
      </w:r>
      <w:r>
        <w:t xml:space="preserve"> </w:t>
      </w:r>
      <w:r>
        <w:tab/>
      </w:r>
      <w:r>
        <w:rPr>
          <w:rFonts w:cs="SimSun" w:hint="eastAsia"/>
        </w:rPr>
        <w:t>国际代表和参与</w:t>
      </w:r>
      <w:r>
        <w:tab/>
      </w:r>
      <w:r>
        <w:tab/>
        <w:t>21</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9</w:t>
      </w:r>
      <w:r>
        <w:rPr>
          <w:rFonts w:cs="SimSun" w:hint="eastAsia"/>
        </w:rPr>
        <w:t>条</w:t>
      </w:r>
      <w:r>
        <w:t xml:space="preserve"> </w:t>
      </w:r>
      <w:r>
        <w:tab/>
      </w:r>
      <w:r>
        <w:rPr>
          <w:rFonts w:cs="SimSun" w:hint="eastAsia"/>
        </w:rPr>
        <w:t>国籍</w:t>
      </w:r>
      <w:r>
        <w:tab/>
      </w:r>
      <w:r>
        <w:tab/>
        <w:t>22</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10</w:t>
      </w:r>
      <w:r>
        <w:rPr>
          <w:rFonts w:cs="SimSun" w:hint="eastAsia"/>
        </w:rPr>
        <w:t>条</w:t>
      </w:r>
      <w:r>
        <w:t xml:space="preserve"> </w:t>
      </w:r>
      <w:r>
        <w:rPr>
          <w:rFonts w:cs="SimSun" w:hint="eastAsia"/>
        </w:rPr>
        <w:t>教育</w:t>
      </w:r>
      <w:r>
        <w:tab/>
      </w:r>
      <w:r>
        <w:tab/>
        <w:t>23</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11</w:t>
      </w:r>
      <w:r>
        <w:rPr>
          <w:rFonts w:cs="SimSun" w:hint="eastAsia"/>
        </w:rPr>
        <w:t>条</w:t>
      </w:r>
      <w:r>
        <w:t xml:space="preserve"> </w:t>
      </w:r>
      <w:r>
        <w:rPr>
          <w:rFonts w:cs="SimSun" w:hint="eastAsia"/>
        </w:rPr>
        <w:t>就业</w:t>
      </w:r>
      <w:r>
        <w:tab/>
      </w:r>
      <w:r>
        <w:tab/>
        <w:t>30</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12</w:t>
      </w:r>
      <w:r>
        <w:rPr>
          <w:rFonts w:cs="SimSun" w:hint="eastAsia"/>
        </w:rPr>
        <w:t>条</w:t>
      </w:r>
      <w:r>
        <w:t xml:space="preserve"> </w:t>
      </w:r>
      <w:r>
        <w:rPr>
          <w:rFonts w:cs="SimSun" w:hint="eastAsia"/>
        </w:rPr>
        <w:t>保健方面的平等</w:t>
      </w:r>
      <w:r>
        <w:tab/>
      </w:r>
      <w:r>
        <w:tab/>
        <w:t>37</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13</w:t>
      </w:r>
      <w:r>
        <w:rPr>
          <w:rFonts w:cs="SimSun" w:hint="eastAsia"/>
        </w:rPr>
        <w:t>条</w:t>
      </w:r>
      <w:r>
        <w:t xml:space="preserve"> </w:t>
      </w:r>
      <w:r>
        <w:rPr>
          <w:rFonts w:cs="SimSun" w:hint="eastAsia"/>
        </w:rPr>
        <w:t>社会和经济利益</w:t>
      </w:r>
      <w:r>
        <w:tab/>
      </w:r>
      <w:r>
        <w:tab/>
        <w:t>51</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14</w:t>
      </w:r>
      <w:r>
        <w:rPr>
          <w:rFonts w:cs="SimSun" w:hint="eastAsia"/>
        </w:rPr>
        <w:t>条</w:t>
      </w:r>
      <w:r>
        <w:t xml:space="preserve"> </w:t>
      </w:r>
      <w:r>
        <w:rPr>
          <w:rFonts w:cs="SimSun" w:hint="eastAsia"/>
        </w:rPr>
        <w:t>农村妇女</w:t>
      </w:r>
      <w:r>
        <w:tab/>
      </w:r>
      <w:r>
        <w:tab/>
        <w:t>53</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15</w:t>
      </w:r>
      <w:r>
        <w:rPr>
          <w:rFonts w:cs="SimSun" w:hint="eastAsia"/>
        </w:rPr>
        <w:t>条</w:t>
      </w:r>
      <w:r>
        <w:t xml:space="preserve"> </w:t>
      </w:r>
      <w:r>
        <w:rPr>
          <w:rFonts w:cs="SimSun" w:hint="eastAsia"/>
        </w:rPr>
        <w:t>法律面前和公民事务中的平等</w:t>
      </w:r>
      <w:r>
        <w:tab/>
      </w:r>
      <w:r>
        <w:tab/>
        <w:t>56</w:t>
      </w:r>
    </w:p>
    <w:p w:rsidR="00373976" w:rsidRDefault="00373976" w:rsidP="00373976">
      <w:pPr>
        <w:pStyle w:val="Date"/>
        <w:tabs>
          <w:tab w:val="left" w:pos="840"/>
          <w:tab w:val="center" w:leader="dot" w:pos="9240"/>
          <w:tab w:val="right" w:pos="9840"/>
        </w:tabs>
        <w:spacing w:after="120" w:line="360" w:lineRule="exact"/>
      </w:pPr>
      <w:r>
        <w:rPr>
          <w:rFonts w:cs="SimSun" w:hint="eastAsia"/>
        </w:rPr>
        <w:t>第</w:t>
      </w:r>
      <w:r>
        <w:t>16</w:t>
      </w:r>
      <w:r>
        <w:rPr>
          <w:rFonts w:cs="SimSun" w:hint="eastAsia"/>
        </w:rPr>
        <w:t>条</w:t>
      </w:r>
      <w:r>
        <w:t xml:space="preserve"> </w:t>
      </w:r>
      <w:r>
        <w:rPr>
          <w:rFonts w:cs="SimSun" w:hint="eastAsia"/>
        </w:rPr>
        <w:t>婚姻和家庭法中的平等</w:t>
      </w:r>
      <w:r>
        <w:tab/>
      </w:r>
      <w:r>
        <w:tab/>
        <w:t>57</w:t>
      </w:r>
    </w:p>
    <w:p w:rsidR="00373976" w:rsidRDefault="00373976" w:rsidP="00373976">
      <w:pPr>
        <w:spacing w:after="240" w:line="360" w:lineRule="exact"/>
        <w:jc w:val="center"/>
        <w:rPr>
          <w:rFonts w:eastAsia="SimHei"/>
          <w:color w:val="FF0000"/>
          <w:sz w:val="24"/>
          <w:szCs w:val="24"/>
          <w:u w:val="single"/>
        </w:rPr>
      </w:pPr>
      <w:r>
        <w:br w:type="page"/>
      </w:r>
      <w:r>
        <w:rPr>
          <w:rFonts w:eastAsia="SimHei" w:cs="SimHei" w:hint="eastAsia"/>
          <w:color w:val="FF0000"/>
          <w:sz w:val="24"/>
          <w:szCs w:val="24"/>
          <w:u w:val="single"/>
        </w:rPr>
        <w:t>图表索引</w:t>
      </w:r>
    </w:p>
    <w:p w:rsidR="00373976" w:rsidRDefault="00373976" w:rsidP="00373976">
      <w:pPr>
        <w:tabs>
          <w:tab w:val="center" w:leader="dot" w:pos="9120"/>
          <w:tab w:val="right" w:pos="9720"/>
        </w:tabs>
        <w:spacing w:after="120" w:line="360" w:lineRule="exact"/>
        <w:jc w:val="right"/>
        <w:rPr>
          <w:rFonts w:eastAsia="KaiTi_GB2312"/>
          <w:color w:val="0000FF"/>
        </w:rPr>
      </w:pPr>
      <w:r>
        <w:rPr>
          <w:rFonts w:eastAsia="KaiTi_GB2312" w:cs="KaiTi_GB2312" w:hint="eastAsia"/>
          <w:color w:val="0000FF"/>
        </w:rPr>
        <w:t>页次</w:t>
      </w:r>
    </w:p>
    <w:p w:rsidR="00373976" w:rsidRDefault="00373976" w:rsidP="00373976">
      <w:pPr>
        <w:pStyle w:val="Date"/>
        <w:tabs>
          <w:tab w:val="left" w:pos="840"/>
          <w:tab w:val="center" w:leader="dot" w:pos="9240"/>
          <w:tab w:val="right" w:pos="9840"/>
        </w:tabs>
        <w:spacing w:after="120" w:line="360" w:lineRule="exact"/>
      </w:pPr>
      <w:r>
        <w:t xml:space="preserve">0.0    </w:t>
      </w:r>
      <w:r>
        <w:tab/>
      </w:r>
      <w:r>
        <w:rPr>
          <w:rFonts w:cs="SimSun" w:hint="eastAsia"/>
        </w:rPr>
        <w:t>人口的种族划分</w:t>
      </w:r>
      <w:r>
        <w:tab/>
      </w:r>
      <w:r>
        <w:tab/>
        <w:t>6</w:t>
      </w:r>
    </w:p>
    <w:p w:rsidR="00373976" w:rsidRDefault="00373976" w:rsidP="00373976">
      <w:pPr>
        <w:pStyle w:val="Date"/>
        <w:tabs>
          <w:tab w:val="left" w:pos="840"/>
          <w:tab w:val="center" w:leader="dot" w:pos="9240"/>
          <w:tab w:val="right" w:pos="9840"/>
        </w:tabs>
        <w:spacing w:after="120" w:line="360" w:lineRule="exact"/>
      </w:pPr>
      <w:r>
        <w:t xml:space="preserve">0.1   </w:t>
      </w:r>
      <w:r>
        <w:tab/>
        <w:t>1970-2000</w:t>
      </w:r>
      <w:r>
        <w:rPr>
          <w:rFonts w:cs="SimSun" w:hint="eastAsia"/>
        </w:rPr>
        <w:t>年城市与农村人口对比</w:t>
      </w:r>
      <w:r>
        <w:t xml:space="preserve"> </w:t>
      </w:r>
      <w:r>
        <w:tab/>
      </w:r>
      <w:r>
        <w:tab/>
        <w:t>7</w:t>
      </w:r>
    </w:p>
    <w:p w:rsidR="00373976" w:rsidRDefault="00373976" w:rsidP="00373976">
      <w:pPr>
        <w:pStyle w:val="Date"/>
        <w:tabs>
          <w:tab w:val="left" w:pos="840"/>
          <w:tab w:val="center" w:leader="dot" w:pos="9240"/>
          <w:tab w:val="right" w:pos="9840"/>
        </w:tabs>
        <w:spacing w:after="120" w:line="360" w:lineRule="exact"/>
      </w:pPr>
      <w:r>
        <w:t xml:space="preserve">10.0    </w:t>
      </w:r>
      <w:r>
        <w:tab/>
        <w:t>2001</w:t>
      </w:r>
      <w:r>
        <w:rPr>
          <w:rFonts w:cs="SimSun" w:hint="eastAsia"/>
        </w:rPr>
        <w:t>至</w:t>
      </w:r>
      <w:r>
        <w:t>2002</w:t>
      </w:r>
      <w:r>
        <w:rPr>
          <w:rFonts w:cs="SimSun" w:hint="eastAsia"/>
        </w:rPr>
        <w:t>年教育系统中按年龄分列的儿童入学比例</w:t>
      </w:r>
      <w:r>
        <w:tab/>
      </w:r>
      <w:r>
        <w:tab/>
        <w:t>24</w:t>
      </w:r>
    </w:p>
    <w:p w:rsidR="00373976" w:rsidRDefault="00373976" w:rsidP="00373976">
      <w:pPr>
        <w:pStyle w:val="Date"/>
        <w:tabs>
          <w:tab w:val="left" w:pos="840"/>
          <w:tab w:val="center" w:leader="dot" w:pos="9240"/>
          <w:tab w:val="right" w:pos="9840"/>
        </w:tabs>
        <w:spacing w:after="120" w:line="360" w:lineRule="exact"/>
      </w:pPr>
      <w:r>
        <w:t xml:space="preserve">10.1    </w:t>
      </w:r>
      <w:r>
        <w:tab/>
      </w:r>
      <w:r>
        <w:rPr>
          <w:rFonts w:cs="SimSun" w:hint="eastAsia"/>
        </w:rPr>
        <w:t>中学纯入学率（</w:t>
      </w:r>
      <w:r>
        <w:t xml:space="preserve"> 2001-2002</w:t>
      </w:r>
      <w:r>
        <w:rPr>
          <w:rFonts w:cs="SimSun" w:hint="eastAsia"/>
        </w:rPr>
        <w:t>年）</w:t>
      </w:r>
      <w:r>
        <w:tab/>
      </w:r>
      <w:r>
        <w:tab/>
        <w:t>24</w:t>
      </w:r>
    </w:p>
    <w:p w:rsidR="00373976" w:rsidRDefault="00373976" w:rsidP="00373976">
      <w:pPr>
        <w:pStyle w:val="Date"/>
        <w:tabs>
          <w:tab w:val="left" w:pos="840"/>
          <w:tab w:val="center" w:leader="dot" w:pos="9240"/>
          <w:tab w:val="right" w:pos="9840"/>
        </w:tabs>
        <w:spacing w:after="120" w:line="360" w:lineRule="exact"/>
      </w:pPr>
      <w:r>
        <w:t>10.2</w:t>
      </w:r>
      <w:r>
        <w:tab/>
        <w:t>1996</w:t>
      </w:r>
      <w:r>
        <w:rPr>
          <w:rFonts w:cs="SimSun" w:hint="eastAsia"/>
        </w:rPr>
        <w:t>年的识字率</w:t>
      </w:r>
      <w:r>
        <w:tab/>
      </w:r>
      <w:r>
        <w:tab/>
        <w:t>25</w:t>
      </w:r>
    </w:p>
    <w:p w:rsidR="00373976" w:rsidRDefault="00373976" w:rsidP="00373976">
      <w:pPr>
        <w:pStyle w:val="Date"/>
        <w:tabs>
          <w:tab w:val="left" w:pos="840"/>
          <w:tab w:val="center" w:leader="dot" w:pos="9240"/>
          <w:tab w:val="right" w:pos="9840"/>
        </w:tabs>
        <w:spacing w:after="120" w:line="360" w:lineRule="exact"/>
      </w:pPr>
      <w:r>
        <w:t>10.3    1996</w:t>
      </w:r>
      <w:r>
        <w:rPr>
          <w:rFonts w:cs="SimSun" w:hint="eastAsia"/>
        </w:rPr>
        <w:t>年按种族分列的识字率</w:t>
      </w:r>
      <w:r>
        <w:tab/>
      </w:r>
      <w:r>
        <w:tab/>
        <w:t>25</w:t>
      </w:r>
    </w:p>
    <w:p w:rsidR="00373976" w:rsidRDefault="00373976" w:rsidP="00373976">
      <w:pPr>
        <w:pStyle w:val="Date"/>
        <w:tabs>
          <w:tab w:val="left" w:pos="840"/>
          <w:tab w:val="center" w:leader="dot" w:pos="9240"/>
          <w:tab w:val="right" w:pos="9840"/>
        </w:tabs>
        <w:spacing w:after="120" w:line="360" w:lineRule="exact"/>
      </w:pPr>
      <w:r>
        <w:t>12.0</w:t>
      </w:r>
      <w:r>
        <w:tab/>
      </w:r>
      <w:r>
        <w:rPr>
          <w:rFonts w:cs="SimSun" w:hint="eastAsia"/>
        </w:rPr>
        <w:t>全国的医院</w:t>
      </w:r>
      <w:r>
        <w:tab/>
      </w:r>
      <w:r>
        <w:tab/>
        <w:t>37</w:t>
      </w:r>
    </w:p>
    <w:p w:rsidR="00373976" w:rsidRDefault="00373976" w:rsidP="00373976">
      <w:pPr>
        <w:pStyle w:val="Date"/>
        <w:tabs>
          <w:tab w:val="left" w:pos="840"/>
          <w:tab w:val="center" w:leader="dot" w:pos="9240"/>
          <w:tab w:val="right" w:pos="9840"/>
        </w:tabs>
        <w:spacing w:after="120" w:line="360" w:lineRule="exact"/>
      </w:pPr>
      <w:r>
        <w:t>12.1</w:t>
      </w:r>
      <w:r>
        <w:tab/>
        <w:t>1998-2001</w:t>
      </w:r>
      <w:r>
        <w:rPr>
          <w:rFonts w:cs="SimSun" w:hint="eastAsia"/>
        </w:rPr>
        <w:t>年注册的医务人员</w:t>
      </w:r>
      <w:r>
        <w:tab/>
      </w:r>
      <w:r>
        <w:tab/>
        <w:t>38</w:t>
      </w:r>
    </w:p>
    <w:p w:rsidR="00373976" w:rsidRDefault="00373976" w:rsidP="00373976">
      <w:pPr>
        <w:pStyle w:val="Date"/>
        <w:tabs>
          <w:tab w:val="left" w:pos="840"/>
          <w:tab w:val="center" w:leader="dot" w:pos="9240"/>
          <w:tab w:val="right" w:pos="9840"/>
        </w:tabs>
        <w:spacing w:after="120" w:line="360" w:lineRule="exact"/>
      </w:pPr>
      <w:r>
        <w:t xml:space="preserve">12.2   </w:t>
      </w:r>
      <w:r>
        <w:tab/>
        <w:t>2001</w:t>
      </w:r>
      <w:r>
        <w:rPr>
          <w:rFonts w:cs="SimSun" w:hint="eastAsia"/>
        </w:rPr>
        <w:t>年妇女的前</w:t>
      </w:r>
      <w:r>
        <w:t>10</w:t>
      </w:r>
      <w:r>
        <w:rPr>
          <w:rFonts w:cs="SimSun" w:hint="eastAsia"/>
        </w:rPr>
        <w:t>种死亡原因</w:t>
      </w:r>
      <w:r>
        <w:tab/>
      </w:r>
      <w:r>
        <w:tab/>
        <w:t>40</w:t>
      </w:r>
    </w:p>
    <w:p w:rsidR="00373976" w:rsidRDefault="00373976" w:rsidP="00373976">
      <w:pPr>
        <w:pStyle w:val="Date"/>
        <w:tabs>
          <w:tab w:val="left" w:pos="840"/>
          <w:tab w:val="center" w:leader="dot" w:pos="9240"/>
          <w:tab w:val="right" w:pos="9840"/>
        </w:tabs>
        <w:spacing w:after="120" w:line="360" w:lineRule="exact"/>
      </w:pPr>
      <w:r>
        <w:t>12.3</w:t>
      </w:r>
      <w:r>
        <w:tab/>
        <w:t>1997-2001</w:t>
      </w:r>
      <w:r>
        <w:rPr>
          <w:rFonts w:cs="SimSun" w:hint="eastAsia"/>
        </w:rPr>
        <w:t>年妇女的前</w:t>
      </w:r>
      <w:r>
        <w:t>10</w:t>
      </w:r>
      <w:r>
        <w:rPr>
          <w:rFonts w:cs="SimSun" w:hint="eastAsia"/>
        </w:rPr>
        <w:t>种住院病因</w:t>
      </w:r>
      <w:r>
        <w:tab/>
      </w:r>
      <w:r>
        <w:tab/>
        <w:t>41</w:t>
      </w:r>
    </w:p>
    <w:p w:rsidR="00373976" w:rsidRDefault="00373976" w:rsidP="00373976">
      <w:pPr>
        <w:pStyle w:val="Date"/>
        <w:tabs>
          <w:tab w:val="left" w:pos="840"/>
          <w:tab w:val="center" w:leader="dot" w:pos="9240"/>
          <w:tab w:val="right" w:pos="9840"/>
        </w:tabs>
        <w:spacing w:after="120" w:line="360" w:lineRule="exact"/>
      </w:pPr>
      <w:r>
        <w:t>12.4</w:t>
      </w:r>
      <w:r>
        <w:tab/>
        <w:t>1990-2000</w:t>
      </w:r>
      <w:r>
        <w:rPr>
          <w:rFonts w:cs="SimSun" w:hint="eastAsia"/>
        </w:rPr>
        <w:t>年每</w:t>
      </w:r>
      <w:r>
        <w:t>10 000</w:t>
      </w:r>
      <w:r>
        <w:rPr>
          <w:rFonts w:cs="SimSun" w:hint="eastAsia"/>
        </w:rPr>
        <w:t>名产妇的死亡率</w:t>
      </w:r>
      <w:r>
        <w:tab/>
      </w:r>
      <w:r>
        <w:tab/>
        <w:t>43</w:t>
      </w:r>
    </w:p>
    <w:p w:rsidR="00373976" w:rsidRDefault="00373976" w:rsidP="00373976">
      <w:pPr>
        <w:pStyle w:val="Date"/>
        <w:tabs>
          <w:tab w:val="left" w:pos="840"/>
          <w:tab w:val="center" w:leader="dot" w:pos="9240"/>
          <w:tab w:val="right" w:pos="9840"/>
        </w:tabs>
        <w:spacing w:after="120" w:line="360" w:lineRule="exact"/>
      </w:pPr>
      <w:r>
        <w:t>12.5</w:t>
      </w:r>
      <w:r>
        <w:tab/>
        <w:t>1987-2001</w:t>
      </w:r>
      <w:r>
        <w:rPr>
          <w:rFonts w:cs="SimSun" w:hint="eastAsia"/>
        </w:rPr>
        <w:t>年伯利兹全国各医院接纳的堕胎并发症患者人数</w:t>
      </w:r>
      <w:r>
        <w:tab/>
      </w:r>
      <w:r>
        <w:tab/>
        <w:t>45</w:t>
      </w:r>
    </w:p>
    <w:p w:rsidR="00373976" w:rsidRDefault="00373976" w:rsidP="00373976">
      <w:pPr>
        <w:pStyle w:val="Date"/>
        <w:tabs>
          <w:tab w:val="left" w:pos="840"/>
          <w:tab w:val="center" w:leader="dot" w:pos="9240"/>
          <w:tab w:val="right" w:pos="9840"/>
        </w:tabs>
        <w:spacing w:after="120" w:line="360" w:lineRule="exact"/>
      </w:pPr>
      <w:r>
        <w:t xml:space="preserve">12.6   </w:t>
      </w:r>
      <w:r>
        <w:tab/>
      </w:r>
      <w:r>
        <w:rPr>
          <w:rFonts w:cs="SimSun" w:hint="eastAsia"/>
        </w:rPr>
        <w:t>精神和行为失常住院病例</w:t>
      </w:r>
      <w:r>
        <w:tab/>
      </w:r>
      <w:r>
        <w:tab/>
        <w:t>47</w:t>
      </w:r>
    </w:p>
    <w:p w:rsidR="00373976" w:rsidRDefault="00373976" w:rsidP="00373976">
      <w:pPr>
        <w:pStyle w:val="Date"/>
        <w:tabs>
          <w:tab w:val="left" w:pos="840"/>
          <w:tab w:val="center" w:leader="dot" w:pos="9240"/>
          <w:tab w:val="right" w:pos="9840"/>
        </w:tabs>
        <w:spacing w:after="120" w:line="360" w:lineRule="exact"/>
      </w:pPr>
      <w:r>
        <w:t xml:space="preserve">14.0   </w:t>
      </w:r>
      <w:r>
        <w:tab/>
        <w:t>1991</w:t>
      </w:r>
      <w:r>
        <w:rPr>
          <w:rFonts w:cs="SimSun" w:hint="eastAsia"/>
        </w:rPr>
        <w:t>和</w:t>
      </w:r>
      <w:r>
        <w:t>2000</w:t>
      </w:r>
      <w:r>
        <w:rPr>
          <w:rFonts w:cs="SimSun" w:hint="eastAsia"/>
        </w:rPr>
        <w:t>年农村人口达到的教育水平</w:t>
      </w:r>
      <w:r>
        <w:tab/>
      </w:r>
      <w:r>
        <w:tab/>
        <w:t>55</w:t>
      </w:r>
    </w:p>
    <w:p w:rsidR="00373976" w:rsidRDefault="00373976" w:rsidP="00373976">
      <w:pPr>
        <w:spacing w:line="240" w:lineRule="exact"/>
        <w:jc w:val="center"/>
      </w:pPr>
      <w:r>
        <w:br w:type="page"/>
      </w:r>
    </w:p>
    <w:p w:rsidR="00373976" w:rsidRDefault="00373976" w:rsidP="00373976">
      <w:pPr>
        <w:spacing w:after="240" w:line="380" w:lineRule="exact"/>
        <w:jc w:val="center"/>
        <w:rPr>
          <w:rFonts w:eastAsia="SimHei"/>
          <w:color w:val="FF0000"/>
          <w:sz w:val="28"/>
          <w:szCs w:val="28"/>
        </w:rPr>
      </w:pPr>
      <w:r>
        <w:rPr>
          <w:rFonts w:eastAsia="SimHei" w:cs="SimHei" w:hint="eastAsia"/>
          <w:color w:val="FF0000"/>
          <w:sz w:val="28"/>
          <w:szCs w:val="28"/>
        </w:rPr>
        <w:t>第一部分</w:t>
      </w:r>
      <w:r>
        <w:rPr>
          <w:rFonts w:eastAsia="SimHei"/>
          <w:color w:val="FF0000"/>
          <w:sz w:val="28"/>
          <w:szCs w:val="28"/>
        </w:rPr>
        <w:br/>
      </w:r>
      <w:r>
        <w:rPr>
          <w:rFonts w:eastAsia="SimHei" w:cs="SimHei" w:hint="eastAsia"/>
          <w:color w:val="FF0000"/>
          <w:sz w:val="28"/>
          <w:szCs w:val="28"/>
        </w:rPr>
        <w:t>基本状况</w:t>
      </w:r>
    </w:p>
    <w:p w:rsidR="00373976" w:rsidRDefault="00373976" w:rsidP="00373976">
      <w:pPr>
        <w:pBdr>
          <w:top w:val="thinThickSmallGap" w:sz="24" w:space="1" w:color="auto"/>
        </w:pBdr>
        <w:spacing w:line="240" w:lineRule="exact"/>
        <w:jc w:val="center"/>
        <w:rPr>
          <w:rFonts w:eastAsia="SimHei"/>
          <w:color w:val="FF0000"/>
          <w:sz w:val="28"/>
          <w:szCs w:val="28"/>
        </w:rPr>
      </w:pPr>
    </w:p>
    <w:p w:rsidR="00373976" w:rsidRDefault="00373976" w:rsidP="00A45EB7">
      <w:pPr>
        <w:spacing w:after="180" w:line="380" w:lineRule="exact"/>
        <w:rPr>
          <w:rFonts w:eastAsia="SimHei"/>
          <w:color w:val="FF0000"/>
          <w:sz w:val="28"/>
          <w:szCs w:val="28"/>
        </w:rPr>
      </w:pPr>
      <w:r>
        <w:rPr>
          <w:rFonts w:eastAsia="SimHei" w:cs="SimHei" w:hint="eastAsia"/>
          <w:color w:val="FF0000"/>
          <w:sz w:val="28"/>
          <w:szCs w:val="28"/>
        </w:rPr>
        <w:t>导</w:t>
      </w:r>
      <w:r>
        <w:rPr>
          <w:rFonts w:eastAsia="SimHei"/>
          <w:color w:val="FF0000"/>
          <w:sz w:val="28"/>
          <w:szCs w:val="28"/>
        </w:rPr>
        <w:t xml:space="preserve"> </w:t>
      </w:r>
      <w:r>
        <w:rPr>
          <w:rFonts w:eastAsia="SimHei" w:cs="SimHei" w:hint="eastAsia"/>
          <w:color w:val="FF0000"/>
          <w:sz w:val="28"/>
          <w:szCs w:val="28"/>
        </w:rPr>
        <w:t>言</w:t>
      </w:r>
    </w:p>
    <w:p w:rsidR="00373976" w:rsidRDefault="00373976" w:rsidP="00A45EB7">
      <w:pPr>
        <w:pStyle w:val="H2"/>
        <w:spacing w:after="180" w:line="380" w:lineRule="exact"/>
        <w:rPr>
          <w:rFonts w:ascii="Times New Roman" w:cs="Times New Roman"/>
          <w:sz w:val="24"/>
          <w:szCs w:val="24"/>
          <w:lang w:val="en-US"/>
        </w:rPr>
      </w:pPr>
      <w:r>
        <w:rPr>
          <w:rFonts w:ascii="Times New Roman" w:hint="eastAsia"/>
          <w:sz w:val="24"/>
          <w:szCs w:val="24"/>
          <w:lang w:val="en-US"/>
        </w:rPr>
        <w:t>人口</w:t>
      </w:r>
    </w:p>
    <w:p w:rsidR="00373976" w:rsidRDefault="00373976" w:rsidP="00A45EB7">
      <w:pPr>
        <w:numPr>
          <w:ilvl w:val="0"/>
          <w:numId w:val="19"/>
        </w:numPr>
        <w:tabs>
          <w:tab w:val="clear" w:pos="360"/>
          <w:tab w:val="left" w:pos="525"/>
        </w:tabs>
        <w:spacing w:after="180" w:line="380" w:lineRule="exact"/>
        <w:ind w:left="0" w:firstLine="0"/>
        <w:jc w:val="both"/>
        <w:rPr>
          <w:spacing w:val="4"/>
          <w:lang w:val="de-DE"/>
        </w:rPr>
      </w:pPr>
      <w:r>
        <w:rPr>
          <w:spacing w:val="4"/>
          <w:lang w:val="de-DE"/>
        </w:rPr>
        <w:t>2002</w:t>
      </w:r>
      <w:r>
        <w:rPr>
          <w:rFonts w:cs="SimSun" w:hint="eastAsia"/>
          <w:spacing w:val="4"/>
        </w:rPr>
        <w:t>年伯利兹全国人口约为</w:t>
      </w:r>
      <w:r>
        <w:rPr>
          <w:spacing w:val="4"/>
          <w:lang w:val="de-DE"/>
        </w:rPr>
        <w:t>265 200</w:t>
      </w:r>
      <w:r>
        <w:rPr>
          <w:rFonts w:cs="SimSun" w:hint="eastAsia"/>
          <w:spacing w:val="4"/>
          <w:lang w:val="de-DE"/>
        </w:rPr>
        <w:t>人，自</w:t>
      </w:r>
      <w:r>
        <w:rPr>
          <w:spacing w:val="4"/>
          <w:lang w:val="de-DE"/>
        </w:rPr>
        <w:t>1991</w:t>
      </w:r>
      <w:r>
        <w:rPr>
          <w:rFonts w:cs="SimSun" w:hint="eastAsia"/>
          <w:spacing w:val="4"/>
          <w:lang w:val="de-DE"/>
        </w:rPr>
        <w:t>年起平均每年增长</w:t>
      </w:r>
      <w:r>
        <w:rPr>
          <w:spacing w:val="4"/>
          <w:lang w:val="de-DE"/>
        </w:rPr>
        <w:t>2.7%</w:t>
      </w:r>
      <w:r>
        <w:rPr>
          <w:rFonts w:cs="SimSun" w:hint="eastAsia"/>
          <w:spacing w:val="4"/>
          <w:lang w:val="de-DE"/>
        </w:rPr>
        <w:t>；其中妇女占</w:t>
      </w:r>
      <w:r>
        <w:rPr>
          <w:spacing w:val="4"/>
          <w:lang w:val="de-DE"/>
        </w:rPr>
        <w:t xml:space="preserve">49.7% </w:t>
      </w:r>
      <w:r>
        <w:rPr>
          <w:rFonts w:cs="SimSun" w:hint="eastAsia"/>
          <w:spacing w:val="4"/>
          <w:lang w:val="de-DE"/>
        </w:rPr>
        <w:t>，比</w:t>
      </w:r>
      <w:r>
        <w:rPr>
          <w:spacing w:val="4"/>
          <w:lang w:val="de-DE"/>
        </w:rPr>
        <w:t>1991</w:t>
      </w:r>
      <w:r>
        <w:rPr>
          <w:rFonts w:cs="SimSun" w:hint="eastAsia"/>
          <w:spacing w:val="4"/>
          <w:lang w:val="de-DE"/>
        </w:rPr>
        <w:t>年增长</w:t>
      </w:r>
      <w:r>
        <w:rPr>
          <w:spacing w:val="4"/>
          <w:lang w:val="de-DE"/>
        </w:rPr>
        <w:t>0.6%</w:t>
      </w:r>
      <w:r>
        <w:rPr>
          <w:rFonts w:cs="SimSun" w:hint="eastAsia"/>
          <w:spacing w:val="4"/>
          <w:lang w:val="de-DE"/>
        </w:rPr>
        <w:t>，</w:t>
      </w:r>
      <w:r>
        <w:rPr>
          <w:spacing w:val="4"/>
          <w:lang w:val="de-DE"/>
        </w:rPr>
        <w:t xml:space="preserve"> </w:t>
      </w:r>
      <w:r>
        <w:rPr>
          <w:rFonts w:cs="SimSun" w:hint="eastAsia"/>
          <w:spacing w:val="4"/>
          <w:lang w:val="de-DE"/>
        </w:rPr>
        <w:t>比</w:t>
      </w:r>
      <w:r>
        <w:rPr>
          <w:spacing w:val="4"/>
          <w:lang w:val="de-DE"/>
        </w:rPr>
        <w:t>1980</w:t>
      </w:r>
      <w:r>
        <w:rPr>
          <w:rFonts w:cs="SimSun" w:hint="eastAsia"/>
          <w:spacing w:val="4"/>
          <w:lang w:val="de-DE"/>
        </w:rPr>
        <w:t>年增长</w:t>
      </w:r>
      <w:r>
        <w:rPr>
          <w:spacing w:val="4"/>
          <w:lang w:val="de-DE"/>
        </w:rPr>
        <w:t>0.3%</w:t>
      </w:r>
      <w:r>
        <w:rPr>
          <w:rFonts w:cs="SimSun" w:hint="eastAsia"/>
          <w:spacing w:val="4"/>
          <w:lang w:val="de-DE"/>
        </w:rPr>
        <w:t>。</w:t>
      </w:r>
      <w:r>
        <w:rPr>
          <w:spacing w:val="4"/>
          <w:lang w:val="de-DE"/>
        </w:rPr>
        <w:t>2001</w:t>
      </w:r>
      <w:r>
        <w:rPr>
          <w:rFonts w:cs="SimSun" w:hint="eastAsia"/>
          <w:spacing w:val="4"/>
          <w:lang w:val="de-DE"/>
        </w:rPr>
        <w:t>年，</w:t>
      </w:r>
      <w:r>
        <w:rPr>
          <w:spacing w:val="4"/>
          <w:lang w:val="de-DE"/>
        </w:rPr>
        <w:t>19</w:t>
      </w:r>
      <w:r>
        <w:rPr>
          <w:rFonts w:cs="SimSun" w:hint="eastAsia"/>
          <w:spacing w:val="4"/>
          <w:lang w:val="de-DE"/>
        </w:rPr>
        <w:t>岁及</w:t>
      </w:r>
      <w:r>
        <w:rPr>
          <w:spacing w:val="4"/>
          <w:lang w:val="de-DE"/>
        </w:rPr>
        <w:t>19</w:t>
      </w:r>
      <w:r>
        <w:rPr>
          <w:rFonts w:cs="SimSun" w:hint="eastAsia"/>
          <w:spacing w:val="4"/>
          <w:lang w:val="de-DE"/>
        </w:rPr>
        <w:t>岁以下人口占总人口的</w:t>
      </w:r>
      <w:r>
        <w:rPr>
          <w:spacing w:val="4"/>
          <w:lang w:val="de-DE"/>
        </w:rPr>
        <w:t>52%</w:t>
      </w:r>
      <w:r>
        <w:rPr>
          <w:rFonts w:cs="SimSun" w:hint="eastAsia"/>
          <w:spacing w:val="4"/>
          <w:lang w:val="de-DE"/>
        </w:rPr>
        <w:t>，比</w:t>
      </w:r>
      <w:r>
        <w:rPr>
          <w:spacing w:val="4"/>
          <w:lang w:val="de-DE"/>
        </w:rPr>
        <w:t>1997</w:t>
      </w:r>
      <w:r>
        <w:rPr>
          <w:rFonts w:cs="SimSun" w:hint="eastAsia"/>
          <w:spacing w:val="4"/>
          <w:lang w:val="de-DE"/>
        </w:rPr>
        <w:t>年减少</w:t>
      </w:r>
      <w:r>
        <w:rPr>
          <w:spacing w:val="4"/>
          <w:lang w:val="de-DE"/>
        </w:rPr>
        <w:t>1.7%</w:t>
      </w:r>
      <w:r>
        <w:rPr>
          <w:rFonts w:cs="SimSun" w:hint="eastAsia"/>
          <w:spacing w:val="4"/>
          <w:lang w:val="de-DE"/>
        </w:rPr>
        <w:t>。</w:t>
      </w:r>
    </w:p>
    <w:p w:rsidR="00373976" w:rsidRDefault="00373976" w:rsidP="00A45EB7">
      <w:pPr>
        <w:numPr>
          <w:ilvl w:val="0"/>
          <w:numId w:val="19"/>
        </w:numPr>
        <w:tabs>
          <w:tab w:val="clear" w:pos="360"/>
          <w:tab w:val="left" w:pos="525"/>
        </w:tabs>
        <w:spacing w:after="180" w:line="380" w:lineRule="exact"/>
        <w:ind w:left="0" w:firstLine="0"/>
        <w:jc w:val="both"/>
      </w:pPr>
      <w:r>
        <w:rPr>
          <w:rFonts w:cs="SimSun" w:hint="eastAsia"/>
          <w:lang w:val="de-DE"/>
        </w:rPr>
        <w:t>最大的族群仍为梅斯蒂索人（西班牙和葡萄牙与美洲印第安人的混血儿），占</w:t>
      </w:r>
      <w:r>
        <w:rPr>
          <w:lang w:val="de-DE"/>
        </w:rPr>
        <w:t>48.7%</w:t>
      </w:r>
      <w:r>
        <w:rPr>
          <w:rFonts w:cs="SimSun" w:hint="eastAsia"/>
          <w:lang w:val="de-DE"/>
        </w:rPr>
        <w:t>，其中大多数居住在科罗萨尔、奥兰治沃克和卡约区。主要居住在</w:t>
      </w:r>
      <w:r>
        <w:rPr>
          <w:rFonts w:cs="SimSun" w:hint="eastAsia"/>
        </w:rPr>
        <w:t>伯利兹区的</w:t>
      </w:r>
      <w:r>
        <w:rPr>
          <w:rFonts w:cs="SimSun" w:hint="eastAsia"/>
          <w:lang w:val="de-DE"/>
        </w:rPr>
        <w:t>克里奥尔人（西裔土生白人）为第二大族群，占总人口的</w:t>
      </w:r>
      <w:r>
        <w:t>24.9%</w:t>
      </w:r>
      <w:r>
        <w:rPr>
          <w:rFonts w:cs="SimSun" w:hint="eastAsia"/>
        </w:rPr>
        <w:t>，比</w:t>
      </w:r>
      <w:r>
        <w:t>1991</w:t>
      </w:r>
      <w:r>
        <w:rPr>
          <w:rFonts w:cs="SimSun" w:hint="eastAsia"/>
        </w:rPr>
        <w:t>年减少</w:t>
      </w:r>
      <w:r>
        <w:t xml:space="preserve">4.9% </w:t>
      </w:r>
      <w:r>
        <w:rPr>
          <w:rFonts w:cs="SimSun" w:hint="eastAsia"/>
        </w:rPr>
        <w:t>（参见表</w:t>
      </w:r>
      <w:r>
        <w:t>0.0</w:t>
      </w:r>
      <w:r>
        <w:rPr>
          <w:rFonts w:cs="SimSun" w:hint="eastAsia"/>
        </w:rPr>
        <w:t>）。其他重要的族群，包括玛雅、加里那瓜人，分别集中在托莱多和斯坦克里克区。这些族群中男女人口比例相差最大的是加里那瓜人，妇女所占比例为</w:t>
      </w:r>
      <w:r>
        <w:t>52.4%</w:t>
      </w:r>
      <w:r>
        <w:rPr>
          <w:rFonts w:cs="SimSun" w:hint="eastAsia"/>
        </w:rPr>
        <w:t>。</w:t>
      </w:r>
    </w:p>
    <w:p w:rsidR="00373976" w:rsidRDefault="00373976" w:rsidP="00A45EB7">
      <w:pPr>
        <w:numPr>
          <w:ilvl w:val="0"/>
          <w:numId w:val="19"/>
        </w:numPr>
        <w:tabs>
          <w:tab w:val="clear" w:pos="360"/>
          <w:tab w:val="left" w:pos="525"/>
        </w:tabs>
        <w:spacing w:after="180" w:line="380" w:lineRule="exact"/>
        <w:ind w:left="0" w:firstLine="0"/>
        <w:jc w:val="both"/>
      </w:pPr>
      <w:r>
        <w:t>2000</w:t>
      </w:r>
      <w:r>
        <w:rPr>
          <w:rFonts w:cs="SimSun" w:hint="eastAsia"/>
        </w:rPr>
        <w:t>年全国人口普查的数据显示，伯利兹与其他发展中国家不同，</w:t>
      </w:r>
      <w:r>
        <w:t xml:space="preserve"> </w:t>
      </w:r>
      <w:r>
        <w:rPr>
          <w:rFonts w:cs="SimSun" w:hint="eastAsia"/>
        </w:rPr>
        <w:t>其城乡人口比例为城市减少农村增加，这是因为其他中美洲国家移民大量流入的结果，他们大部分都定居在农村地区。最近三次人口普查得出的城乡人口比例是：</w:t>
      </w:r>
      <w:r>
        <w:t>51%</w:t>
      </w:r>
      <w:r>
        <w:rPr>
          <w:rFonts w:cs="SimSun" w:hint="eastAsia"/>
        </w:rPr>
        <w:t>比</w:t>
      </w:r>
      <w:r>
        <w:t>49%</w:t>
      </w:r>
      <w:r>
        <w:rPr>
          <w:rFonts w:cs="SimSun" w:hint="eastAsia"/>
        </w:rPr>
        <w:t>、</w:t>
      </w:r>
      <w:r>
        <w:t>48%</w:t>
      </w:r>
      <w:r>
        <w:rPr>
          <w:rFonts w:cs="SimSun" w:hint="eastAsia"/>
        </w:rPr>
        <w:t>比</w:t>
      </w:r>
      <w:r>
        <w:t>52%</w:t>
      </w:r>
      <w:r>
        <w:rPr>
          <w:rFonts w:cs="SimSun" w:hint="eastAsia"/>
        </w:rPr>
        <w:t>和</w:t>
      </w:r>
      <w:r>
        <w:t>48%</w:t>
      </w:r>
      <w:r>
        <w:rPr>
          <w:rFonts w:cs="SimSun" w:hint="eastAsia"/>
        </w:rPr>
        <w:t>比</w:t>
      </w:r>
      <w:r>
        <w:t>52%</w:t>
      </w:r>
      <w:r>
        <w:rPr>
          <w:rFonts w:cs="SimSun" w:hint="eastAsia"/>
        </w:rPr>
        <w:t>，这表明需加强农村地区的工作，以便保证社会和经济发展的平衡（见表</w:t>
      </w:r>
      <w:r>
        <w:t xml:space="preserve"> 0.1</w:t>
      </w:r>
      <w:r>
        <w:rPr>
          <w:rFonts w:cs="SimSun" w:hint="eastAsia"/>
        </w:rPr>
        <w:t>）。</w:t>
      </w:r>
    </w:p>
    <w:p w:rsidR="00373976" w:rsidRDefault="00373976" w:rsidP="00A45EB7">
      <w:pPr>
        <w:numPr>
          <w:ilvl w:val="0"/>
          <w:numId w:val="19"/>
        </w:numPr>
        <w:tabs>
          <w:tab w:val="clear" w:pos="360"/>
          <w:tab w:val="left" w:pos="525"/>
        </w:tabs>
        <w:spacing w:after="180" w:line="380" w:lineRule="exact"/>
        <w:ind w:left="0" w:firstLine="0"/>
        <w:jc w:val="both"/>
      </w:pPr>
      <w:r>
        <w:rPr>
          <w:rFonts w:cs="SimSun" w:hint="eastAsia"/>
        </w:rPr>
        <w:t>由于伯利兹种族和文化的多样性以及人口分布的模式，各个行政区的妇女状况有很大的不同。</w:t>
      </w:r>
    </w:p>
    <w:p w:rsidR="00373976" w:rsidRDefault="00373976" w:rsidP="00A45EB7">
      <w:pPr>
        <w:numPr>
          <w:ilvl w:val="0"/>
          <w:numId w:val="19"/>
        </w:numPr>
        <w:tabs>
          <w:tab w:val="clear" w:pos="360"/>
          <w:tab w:val="left" w:pos="525"/>
        </w:tabs>
        <w:spacing w:after="180" w:line="380" w:lineRule="exact"/>
        <w:ind w:left="0" w:firstLine="0"/>
        <w:jc w:val="both"/>
      </w:pPr>
      <w:r>
        <w:t>2000</w:t>
      </w:r>
      <w:r>
        <w:rPr>
          <w:rFonts w:cs="SimSun" w:hint="eastAsia"/>
        </w:rPr>
        <w:t>年，育龄妇女（</w:t>
      </w:r>
      <w:r>
        <w:t>14-44</w:t>
      </w:r>
      <w:r>
        <w:rPr>
          <w:rFonts w:cs="SimSun" w:hint="eastAsia"/>
        </w:rPr>
        <w:t>岁）平均生</w:t>
      </w:r>
      <w:r>
        <w:t>3.7</w:t>
      </w:r>
      <w:r>
        <w:rPr>
          <w:rFonts w:cs="SimSun" w:hint="eastAsia"/>
        </w:rPr>
        <w:t>个子女，其中农村每名妇女的平均子女数（</w:t>
      </w:r>
      <w:r>
        <w:t>4.2</w:t>
      </w:r>
      <w:r>
        <w:rPr>
          <w:rFonts w:cs="SimSun" w:hint="eastAsia"/>
        </w:rPr>
        <w:t>个）高于城市妇女（</w:t>
      </w:r>
      <w:r>
        <w:t>3.1</w:t>
      </w:r>
      <w:r>
        <w:rPr>
          <w:rFonts w:cs="SimSun" w:hint="eastAsia"/>
        </w:rPr>
        <w:t>个）。</w:t>
      </w:r>
      <w:r>
        <w:rPr>
          <w:rStyle w:val="FootnoteReference"/>
        </w:rPr>
        <w:footnoteReference w:id="1"/>
      </w:r>
      <w:r>
        <w:rPr>
          <w:rFonts w:cs="SimSun" w:hint="eastAsia"/>
        </w:rPr>
        <w:t>这一数字比</w:t>
      </w:r>
      <w:r>
        <w:t>1991</w:t>
      </w:r>
      <w:r>
        <w:rPr>
          <w:rFonts w:cs="SimSun" w:hint="eastAsia"/>
        </w:rPr>
        <w:t>年所报告的每名育龄妇女</w:t>
      </w:r>
      <w:r>
        <w:t>4.5</w:t>
      </w:r>
      <w:r>
        <w:rPr>
          <w:rFonts w:cs="SimSun" w:hint="eastAsia"/>
        </w:rPr>
        <w:t>个子女的生育率有所下降。生育率下降最明显的是</w:t>
      </w:r>
      <w:r>
        <w:t>15-19</w:t>
      </w:r>
      <w:r>
        <w:rPr>
          <w:rFonts w:cs="SimSun" w:hint="eastAsia"/>
        </w:rPr>
        <w:t>岁的妇女，下降了</w:t>
      </w:r>
      <w:r>
        <w:t>31%</w:t>
      </w:r>
      <w:r>
        <w:rPr>
          <w:rFonts w:cs="SimSun" w:hint="eastAsia"/>
        </w:rPr>
        <w:t>。</w:t>
      </w:r>
      <w:r>
        <w:t>2001</w:t>
      </w:r>
      <w:r>
        <w:rPr>
          <w:rFonts w:cs="SimSun" w:hint="eastAsia"/>
        </w:rPr>
        <w:t>年记录的</w:t>
      </w:r>
      <w:r>
        <w:t>7 082</w:t>
      </w:r>
      <w:r>
        <w:rPr>
          <w:rFonts w:cs="SimSun" w:hint="eastAsia"/>
        </w:rPr>
        <w:t>个活胎中，未婚妇女生育的占</w:t>
      </w:r>
      <w:r>
        <w:t>58%</w:t>
      </w:r>
      <w:r>
        <w:rPr>
          <w:rFonts w:cs="SimSun" w:hint="eastAsia"/>
        </w:rPr>
        <w:t>，</w:t>
      </w:r>
      <w:r>
        <w:t>19</w:t>
      </w:r>
      <w:r>
        <w:rPr>
          <w:rFonts w:cs="SimSun" w:hint="eastAsia"/>
        </w:rPr>
        <w:t>岁以下妇女生育的占</w:t>
      </w:r>
      <w:r>
        <w:t>18.3%</w:t>
      </w:r>
      <w:r>
        <w:rPr>
          <w:rFonts w:cs="SimSun" w:hint="eastAsia"/>
        </w:rPr>
        <w:t>。</w:t>
      </w:r>
      <w:r>
        <w:rPr>
          <w:rStyle w:val="FootnoteReference"/>
        </w:rPr>
        <w:footnoteReference w:id="2"/>
      </w:r>
    </w:p>
    <w:p w:rsidR="00373976" w:rsidRDefault="00373976" w:rsidP="00373976">
      <w:pPr>
        <w:numPr>
          <w:ilvl w:val="0"/>
          <w:numId w:val="19"/>
        </w:numPr>
        <w:tabs>
          <w:tab w:val="clear" w:pos="360"/>
          <w:tab w:val="left" w:pos="525"/>
        </w:tabs>
        <w:spacing w:after="240" w:line="380" w:lineRule="exact"/>
        <w:ind w:left="0" w:firstLine="0"/>
        <w:jc w:val="both"/>
      </w:pPr>
      <w:r>
        <w:rPr>
          <w:rFonts w:cs="SimSun" w:hint="eastAsia"/>
        </w:rPr>
        <w:t>全国百分之二十四（</w:t>
      </w:r>
      <w:r>
        <w:t>24%</w:t>
      </w:r>
      <w:r>
        <w:rPr>
          <w:rFonts w:cs="SimSun" w:hint="eastAsia"/>
        </w:rPr>
        <w:t>）的家庭由女性担任户主。在</w:t>
      </w:r>
      <w:r>
        <w:rPr>
          <w:rFonts w:cs="SimSun" w:hint="eastAsia"/>
          <w:lang w:val="de-DE"/>
        </w:rPr>
        <w:t>克里奥尔人占多数的</w:t>
      </w:r>
      <w:r>
        <w:rPr>
          <w:rFonts w:cs="SimSun" w:hint="eastAsia"/>
        </w:rPr>
        <w:t>伯利兹区，户主为女性的家庭占</w:t>
      </w:r>
      <w:r>
        <w:t>36%</w:t>
      </w:r>
      <w:r>
        <w:rPr>
          <w:rFonts w:cs="SimSun" w:hint="eastAsia"/>
        </w:rPr>
        <w:t>，在奥兰治沃克区，这一数字下降为</w:t>
      </w:r>
      <w:r>
        <w:t>14%</w:t>
      </w:r>
      <w:r>
        <w:rPr>
          <w:rFonts w:cs="SimSun" w:hint="eastAsia"/>
        </w:rPr>
        <w:t>。</w:t>
      </w:r>
    </w:p>
    <w:p w:rsidR="00373976" w:rsidRDefault="00373976" w:rsidP="00A45EB7">
      <w:pPr>
        <w:numPr>
          <w:ilvl w:val="0"/>
          <w:numId w:val="19"/>
        </w:numPr>
        <w:tabs>
          <w:tab w:val="clear" w:pos="360"/>
          <w:tab w:val="left" w:pos="525"/>
        </w:tabs>
        <w:spacing w:after="180" w:line="360" w:lineRule="exact"/>
        <w:ind w:left="0" w:firstLine="0"/>
        <w:jc w:val="both"/>
      </w:pPr>
      <w:r>
        <w:rPr>
          <w:rFonts w:cs="SimSun" w:hint="eastAsia"/>
        </w:rPr>
        <w:t>总体上讲，伯利兹各族群中玛雅妇女生育的子女最多，克里奥尔妇女最少。随着教育水平的提高，每名妇女“不停生育”的子女数量在下降。未受过教育的妇女平均生</w:t>
      </w:r>
      <w:r>
        <w:t>4</w:t>
      </w:r>
      <w:r>
        <w:rPr>
          <w:rFonts w:cs="SimSun" w:hint="eastAsia"/>
        </w:rPr>
        <w:t>个子女，而完成高中学业的妇女平均只生育</w:t>
      </w:r>
      <w:r>
        <w:t>1.2</w:t>
      </w:r>
      <w:r>
        <w:rPr>
          <w:rFonts w:cs="SimSun" w:hint="eastAsia"/>
        </w:rPr>
        <w:t>个子女。</w:t>
      </w:r>
      <w:r>
        <w:rPr>
          <w:rStyle w:val="FootnoteReference"/>
        </w:rPr>
        <w:footnoteReference w:id="3"/>
      </w:r>
    </w:p>
    <w:p w:rsidR="00373976" w:rsidRDefault="00373976" w:rsidP="00A45EB7">
      <w:pPr>
        <w:numPr>
          <w:ilvl w:val="0"/>
          <w:numId w:val="19"/>
        </w:numPr>
        <w:tabs>
          <w:tab w:val="clear" w:pos="360"/>
          <w:tab w:val="left" w:pos="525"/>
        </w:tabs>
        <w:spacing w:after="180" w:line="360" w:lineRule="exact"/>
        <w:ind w:left="0" w:firstLine="0"/>
        <w:jc w:val="both"/>
      </w:pPr>
      <w:r>
        <w:rPr>
          <w:rFonts w:cs="SimSun" w:hint="eastAsia"/>
        </w:rPr>
        <w:t>为了寻找社会和经济机会，伯利兹人继续向外移民。移民数量最多的是年轻人和受过教育的人。从</w:t>
      </w:r>
      <w:r>
        <w:t>2001</w:t>
      </w:r>
      <w:r>
        <w:rPr>
          <w:rFonts w:cs="SimSun" w:hint="eastAsia"/>
        </w:rPr>
        <w:t>年全国人口普查的情况看，</w:t>
      </w:r>
      <w:r>
        <w:t>2 181</w:t>
      </w:r>
      <w:r>
        <w:rPr>
          <w:rFonts w:cs="SimSun" w:hint="eastAsia"/>
        </w:rPr>
        <w:t>名移民中有</w:t>
      </w:r>
      <w:r>
        <w:t>51%</w:t>
      </w:r>
      <w:r>
        <w:rPr>
          <w:rFonts w:cs="SimSun" w:hint="eastAsia"/>
        </w:rPr>
        <w:t>属于</w:t>
      </w:r>
      <w:r>
        <w:t>15-24</w:t>
      </w:r>
      <w:r>
        <w:rPr>
          <w:rFonts w:cs="SimSun" w:hint="eastAsia"/>
        </w:rPr>
        <w:t>岁的年龄段，</w:t>
      </w:r>
      <w:r>
        <w:t>20%</w:t>
      </w:r>
      <w:r>
        <w:rPr>
          <w:rFonts w:cs="SimSun" w:hint="eastAsia"/>
        </w:rPr>
        <w:t>在</w:t>
      </w:r>
      <w:r>
        <w:t>25-34</w:t>
      </w:r>
      <w:r>
        <w:rPr>
          <w:rFonts w:cs="SimSun" w:hint="eastAsia"/>
        </w:rPr>
        <w:t>岁之间。其中大多数为女性（</w:t>
      </w:r>
      <w:r>
        <w:t>55%</w:t>
      </w:r>
      <w:r>
        <w:rPr>
          <w:rFonts w:cs="SimSun" w:hint="eastAsia"/>
        </w:rPr>
        <w:t>）。城市地区的移民增长了</w:t>
      </w:r>
      <w:r>
        <w:t>3%</w:t>
      </w:r>
      <w:r>
        <w:rPr>
          <w:rFonts w:cs="SimSun" w:hint="eastAsia"/>
        </w:rPr>
        <w:t>，达到</w:t>
      </w:r>
      <w:r>
        <w:t>58%</w:t>
      </w:r>
      <w:r>
        <w:rPr>
          <w:rFonts w:cs="SimSun" w:hint="eastAsia"/>
        </w:rPr>
        <w:t>。从比例上看，斯坦克里克区的移民人数最多，占</w:t>
      </w:r>
      <w:r>
        <w:t>62%</w:t>
      </w:r>
      <w:r>
        <w:rPr>
          <w:rFonts w:cs="SimSun" w:hint="eastAsia"/>
        </w:rPr>
        <w:t>。美国仍然是接收移民最多的国家，据报告占</w:t>
      </w:r>
      <w:r>
        <w:t>84%</w:t>
      </w:r>
      <w:r>
        <w:rPr>
          <w:rFonts w:cs="SimSun" w:hint="eastAsia"/>
        </w:rPr>
        <w:t>。数据显示，移民中有相当数量的人（</w:t>
      </w:r>
      <w:r>
        <w:t>47%</w:t>
      </w:r>
      <w:r>
        <w:rPr>
          <w:rFonts w:cs="SimSun" w:hint="eastAsia"/>
        </w:rPr>
        <w:t>）在离开时完成了中等或更高的教育，在这点上，妇女和男子的差别不大。</w:t>
      </w:r>
      <w:r>
        <w:rPr>
          <w:rStyle w:val="FootnoteReference"/>
        </w:rPr>
        <w:footnoteReference w:id="4"/>
      </w:r>
    </w:p>
    <w:p w:rsidR="00373976" w:rsidRDefault="00373976" w:rsidP="00A45EB7">
      <w:pPr>
        <w:numPr>
          <w:ilvl w:val="0"/>
          <w:numId w:val="19"/>
        </w:numPr>
        <w:tabs>
          <w:tab w:val="clear" w:pos="360"/>
          <w:tab w:val="left" w:pos="525"/>
        </w:tabs>
        <w:spacing w:after="180" w:line="360" w:lineRule="exact"/>
        <w:ind w:left="0" w:firstLine="0"/>
        <w:jc w:val="both"/>
      </w:pPr>
      <w:r>
        <w:t>1991</w:t>
      </w:r>
      <w:r>
        <w:rPr>
          <w:rFonts w:cs="SimSun" w:hint="eastAsia"/>
        </w:rPr>
        <w:t>年至</w:t>
      </w:r>
      <w:r>
        <w:t>1997</w:t>
      </w:r>
      <w:r>
        <w:rPr>
          <w:rFonts w:cs="SimSun" w:hint="eastAsia"/>
        </w:rPr>
        <w:t>年间，移民至伯利兹的人中，妇女占了一半。这一数字在</w:t>
      </w:r>
      <w:r>
        <w:t>1998</w:t>
      </w:r>
      <w:r>
        <w:rPr>
          <w:rFonts w:cs="SimSun" w:hint="eastAsia"/>
        </w:rPr>
        <w:t>年降为</w:t>
      </w:r>
      <w:r>
        <w:t>46%</w:t>
      </w:r>
      <w:r>
        <w:rPr>
          <w:rFonts w:cs="SimSun" w:hint="eastAsia"/>
        </w:rPr>
        <w:t>，</w:t>
      </w:r>
      <w:r>
        <w:t>2000</w:t>
      </w:r>
      <w:r>
        <w:rPr>
          <w:rFonts w:cs="SimSun" w:hint="eastAsia"/>
        </w:rPr>
        <w:t>年进一步降为</w:t>
      </w:r>
      <w:r>
        <w:t>39%</w:t>
      </w:r>
      <w:r>
        <w:rPr>
          <w:rFonts w:cs="SimSun" w:hint="eastAsia"/>
        </w:rPr>
        <w:t>。</w:t>
      </w:r>
      <w:r>
        <w:rPr>
          <w:rStyle w:val="FootnoteReference"/>
        </w:rPr>
        <w:footnoteReference w:id="5"/>
      </w:r>
      <w:r>
        <w:rPr>
          <w:rFonts w:cs="SimSun" w:hint="eastAsia"/>
        </w:rPr>
        <w:t>外国出生人口中，中美洲移民占了</w:t>
      </w:r>
      <w:r>
        <w:t>76%</w:t>
      </w:r>
      <w:r>
        <w:rPr>
          <w:rFonts w:cs="SimSun" w:hint="eastAsia"/>
        </w:rPr>
        <w:t>，而墨西哥和美国共占</w:t>
      </w:r>
      <w:r>
        <w:t>12%</w:t>
      </w:r>
      <w:r>
        <w:rPr>
          <w:rFonts w:cs="SimSun" w:hint="eastAsia"/>
        </w:rPr>
        <w:t>。</w:t>
      </w:r>
      <w:r>
        <w:rPr>
          <w:rStyle w:val="FootnoteReference"/>
        </w:rPr>
        <w:footnoteReference w:id="6"/>
      </w:r>
    </w:p>
    <w:p w:rsidR="00373976" w:rsidRDefault="00373976" w:rsidP="00373976">
      <w:pPr>
        <w:numPr>
          <w:ilvl w:val="0"/>
          <w:numId w:val="19"/>
        </w:numPr>
        <w:tabs>
          <w:tab w:val="clear" w:pos="360"/>
          <w:tab w:val="left" w:pos="525"/>
        </w:tabs>
        <w:spacing w:after="240" w:line="360" w:lineRule="exact"/>
        <w:ind w:left="0" w:firstLine="0"/>
        <w:jc w:val="both"/>
      </w:pPr>
      <w:r>
        <w:rPr>
          <w:rFonts w:cs="SimSun" w:hint="eastAsia"/>
        </w:rPr>
        <w:t>有数据显示，</w:t>
      </w:r>
      <w:r>
        <w:t>15-35</w:t>
      </w:r>
      <w:r>
        <w:rPr>
          <w:rFonts w:cs="SimSun" w:hint="eastAsia"/>
        </w:rPr>
        <w:t>岁的迁入移民中，只有</w:t>
      </w:r>
      <w:r>
        <w:t>20%</w:t>
      </w:r>
      <w:r>
        <w:rPr>
          <w:rFonts w:cs="SimSun" w:hint="eastAsia"/>
        </w:rPr>
        <w:t>的人完成了中等或高等教育。由于移民人口学术和技术能力的降低，生产力可能会受到影响。</w:t>
      </w:r>
      <w:r>
        <w:rPr>
          <w:rStyle w:val="FootnoteReference"/>
        </w:rPr>
        <w:footnoteReference w:id="7"/>
      </w:r>
    </w:p>
    <w:p w:rsidR="00373976" w:rsidRDefault="00373976" w:rsidP="00A45EB7">
      <w:pPr>
        <w:pStyle w:val="H2"/>
        <w:spacing w:after="180" w:line="380" w:lineRule="exact"/>
        <w:rPr>
          <w:rFonts w:ascii="Times New Roman" w:cs="Times New Roman"/>
          <w:sz w:val="24"/>
          <w:szCs w:val="24"/>
          <w:lang w:val="en-US"/>
        </w:rPr>
      </w:pPr>
      <w:r>
        <w:rPr>
          <w:rFonts w:ascii="Times New Roman" w:hint="eastAsia"/>
          <w:sz w:val="24"/>
          <w:szCs w:val="24"/>
          <w:lang w:val="en-US"/>
        </w:rPr>
        <w:t>社会政治和经济结构</w:t>
      </w:r>
    </w:p>
    <w:p w:rsidR="00373976" w:rsidRDefault="00373976" w:rsidP="00A45EB7">
      <w:pPr>
        <w:numPr>
          <w:ilvl w:val="0"/>
          <w:numId w:val="19"/>
        </w:numPr>
        <w:tabs>
          <w:tab w:val="clear" w:pos="360"/>
          <w:tab w:val="left" w:pos="525"/>
        </w:tabs>
        <w:spacing w:after="180" w:line="360" w:lineRule="exact"/>
        <w:ind w:left="0" w:firstLine="0"/>
        <w:jc w:val="both"/>
      </w:pPr>
      <w:r>
        <w:rPr>
          <w:rFonts w:cs="SimSun" w:hint="eastAsia"/>
        </w:rPr>
        <w:t>在很大程度上，农业一直是伯利兹的经济支柱。不过，服务业，特别是旅游和金融服务业在公共和私营部门的种种努力下，已经迅速凸显出其重要地位。</w:t>
      </w:r>
      <w:r>
        <w:t>2001</w:t>
      </w:r>
      <w:r>
        <w:rPr>
          <w:rFonts w:cs="SimSun" w:hint="eastAsia"/>
        </w:rPr>
        <w:t>年，服务业占到国内生产总值（</w:t>
      </w:r>
      <w:r>
        <w:t>GDP</w:t>
      </w:r>
      <w:r>
        <w:rPr>
          <w:rFonts w:cs="SimSun" w:hint="eastAsia"/>
        </w:rPr>
        <w:t>）的</w:t>
      </w:r>
      <w:r>
        <w:t>59.5%</w:t>
      </w:r>
      <w:r>
        <w:rPr>
          <w:rFonts w:cs="SimSun" w:hint="eastAsia"/>
        </w:rPr>
        <w:t>。基础产业占</w:t>
      </w:r>
      <w:r>
        <w:t>16.8%</w:t>
      </w:r>
      <w:r>
        <w:rPr>
          <w:rFonts w:cs="SimSun" w:hint="eastAsia"/>
        </w:rPr>
        <w:t>，其中</w:t>
      </w:r>
      <w:r>
        <w:t>11.3%</w:t>
      </w:r>
      <w:r>
        <w:rPr>
          <w:rFonts w:cs="SimSun" w:hint="eastAsia"/>
        </w:rPr>
        <w:t>来自农业。尽管有了这一变化，但农业仍是出口换汇的基本来源，占整个出口收入的</w:t>
      </w:r>
      <w:r>
        <w:t>88.9%</w:t>
      </w:r>
      <w:r>
        <w:rPr>
          <w:rFonts w:cs="SimSun" w:hint="eastAsia"/>
        </w:rPr>
        <w:t>。</w:t>
      </w:r>
      <w:r>
        <w:t>2001</w:t>
      </w:r>
      <w:r>
        <w:rPr>
          <w:rFonts w:cs="SimSun" w:hint="eastAsia"/>
        </w:rPr>
        <w:t>年，柑橘取代蔗糖成为出口换汇最主要的产品，其次是蔗糖和香蕉。</w:t>
      </w:r>
    </w:p>
    <w:p w:rsidR="00373976" w:rsidRDefault="00373976" w:rsidP="00373976">
      <w:pPr>
        <w:numPr>
          <w:ilvl w:val="0"/>
          <w:numId w:val="19"/>
        </w:numPr>
        <w:tabs>
          <w:tab w:val="clear" w:pos="360"/>
          <w:tab w:val="left" w:pos="525"/>
        </w:tabs>
        <w:spacing w:after="240" w:line="360" w:lineRule="exact"/>
        <w:ind w:left="0" w:firstLine="0"/>
        <w:jc w:val="both"/>
      </w:pPr>
      <w:r>
        <w:rPr>
          <w:rFonts w:cs="SimSun" w:hint="eastAsia"/>
        </w:rPr>
        <w:t>实际</w:t>
      </w:r>
      <w:r>
        <w:t>GDP 1999</w:t>
      </w:r>
      <w:r>
        <w:rPr>
          <w:rFonts w:cs="SimSun" w:hint="eastAsia"/>
        </w:rPr>
        <w:t>年大约增长了</w:t>
      </w:r>
      <w:r>
        <w:t>8.3%</w:t>
      </w:r>
      <w:r>
        <w:rPr>
          <w:rFonts w:cs="SimSun" w:hint="eastAsia"/>
        </w:rPr>
        <w:t>，</w:t>
      </w:r>
      <w:r>
        <w:t>2000</w:t>
      </w:r>
      <w:r>
        <w:rPr>
          <w:rFonts w:cs="SimSun" w:hint="eastAsia"/>
        </w:rPr>
        <w:t>年为</w:t>
      </w:r>
      <w:r>
        <w:t>11.8%</w:t>
      </w:r>
      <w:r>
        <w:rPr>
          <w:rFonts w:cs="SimSun" w:hint="eastAsia"/>
        </w:rPr>
        <w:t>，</w:t>
      </w:r>
      <w:r>
        <w:t>2001</w:t>
      </w:r>
      <w:r>
        <w:rPr>
          <w:rFonts w:cs="SimSun" w:hint="eastAsia"/>
        </w:rPr>
        <w:t>年为</w:t>
      </w:r>
      <w:r>
        <w:t>5.4 %</w:t>
      </w:r>
      <w:r>
        <w:rPr>
          <w:rFonts w:cs="SimSun" w:hint="eastAsia"/>
        </w:rPr>
        <w:t>，</w:t>
      </w:r>
      <w:r>
        <w:t>2002</w:t>
      </w:r>
      <w:r>
        <w:rPr>
          <w:rFonts w:cs="SimSun" w:hint="eastAsia"/>
        </w:rPr>
        <w:t>年为</w:t>
      </w:r>
      <w:r>
        <w:t xml:space="preserve">3.7% </w:t>
      </w:r>
      <w:r>
        <w:rPr>
          <w:rFonts w:cs="SimSun" w:hint="eastAsia"/>
        </w:rPr>
        <w:t>。</w:t>
      </w:r>
      <w:r>
        <w:t>2001</w:t>
      </w:r>
      <w:r>
        <w:rPr>
          <w:rFonts w:cs="SimSun" w:hint="eastAsia"/>
        </w:rPr>
        <w:t>和</w:t>
      </w:r>
      <w:r>
        <w:t>2002</w:t>
      </w:r>
      <w:r>
        <w:rPr>
          <w:rFonts w:cs="SimSun" w:hint="eastAsia"/>
        </w:rPr>
        <w:t>年的下降是由于遭受了自然灾害以及全球经济总体下滑的影响。在同一时期，支付的外债从</w:t>
      </w:r>
      <w:r>
        <w:t>1999</w:t>
      </w:r>
      <w:r>
        <w:rPr>
          <w:rFonts w:cs="SimSun" w:hint="eastAsia"/>
        </w:rPr>
        <w:t>年的</w:t>
      </w:r>
      <w:r>
        <w:t>5.05</w:t>
      </w:r>
      <w:r>
        <w:rPr>
          <w:rFonts w:cs="SimSun" w:hint="eastAsia"/>
        </w:rPr>
        <w:t>亿美元翻番至</w:t>
      </w:r>
      <w:r>
        <w:t>2002</w:t>
      </w:r>
      <w:r>
        <w:rPr>
          <w:rFonts w:cs="SimSun" w:hint="eastAsia"/>
        </w:rPr>
        <w:t>年的</w:t>
      </w:r>
      <w:r>
        <w:t>11.372</w:t>
      </w:r>
      <w:r>
        <w:rPr>
          <w:rFonts w:cs="SimSun" w:hint="eastAsia"/>
        </w:rPr>
        <w:t>亿美元。外债偿付率也从</w:t>
      </w:r>
      <w:r>
        <w:t>1999</w:t>
      </w:r>
      <w:r>
        <w:rPr>
          <w:rFonts w:cs="SimSun" w:hint="eastAsia"/>
        </w:rPr>
        <w:t>年的</w:t>
      </w:r>
      <w:r>
        <w:t>8.1%</w:t>
      </w:r>
      <w:r>
        <w:rPr>
          <w:rFonts w:cs="SimSun" w:hint="eastAsia"/>
        </w:rPr>
        <w:t>增长到</w:t>
      </w:r>
      <w:r>
        <w:t>2002</w:t>
      </w:r>
      <w:r>
        <w:rPr>
          <w:rFonts w:cs="SimSun" w:hint="eastAsia"/>
        </w:rPr>
        <w:t>年的</w:t>
      </w:r>
      <w:r>
        <w:t>14.8%</w:t>
      </w:r>
      <w:r>
        <w:rPr>
          <w:rFonts w:cs="SimSun" w:hint="eastAsia"/>
        </w:rPr>
        <w:t>，未付债务占</w:t>
      </w:r>
      <w:r>
        <w:t>GDP</w:t>
      </w:r>
      <w:r>
        <w:rPr>
          <w:rFonts w:cs="SimSun" w:hint="eastAsia"/>
        </w:rPr>
        <w:t>的比率按市场价格从</w:t>
      </w:r>
      <w:r>
        <w:t>1999</w:t>
      </w:r>
      <w:r>
        <w:rPr>
          <w:rFonts w:cs="SimSun" w:hint="eastAsia"/>
        </w:rPr>
        <w:t>年的</w:t>
      </w:r>
      <w:r>
        <w:t>34.7%</w:t>
      </w:r>
      <w:r>
        <w:rPr>
          <w:rFonts w:cs="SimSun" w:hint="eastAsia"/>
        </w:rPr>
        <w:t>上升到</w:t>
      </w:r>
      <w:r>
        <w:t>2002</w:t>
      </w:r>
      <w:r>
        <w:rPr>
          <w:rFonts w:cs="SimSun" w:hint="eastAsia"/>
        </w:rPr>
        <w:t>年的</w:t>
      </w:r>
      <w:r>
        <w:t>63.8%</w:t>
      </w:r>
      <w:r>
        <w:rPr>
          <w:rFonts w:cs="SimSun" w:hint="eastAsia"/>
        </w:rPr>
        <w:t>。支付的国内债务从</w:t>
      </w:r>
      <w:r>
        <w:t>1999</w:t>
      </w:r>
      <w:r>
        <w:rPr>
          <w:rFonts w:cs="SimSun" w:hint="eastAsia"/>
        </w:rPr>
        <w:t>年的</w:t>
      </w:r>
      <w:r>
        <w:t>1.715</w:t>
      </w:r>
      <w:r>
        <w:rPr>
          <w:rFonts w:cs="SimSun" w:hint="eastAsia"/>
        </w:rPr>
        <w:t>亿美元增加到</w:t>
      </w:r>
      <w:r>
        <w:t>2002</w:t>
      </w:r>
      <w:r>
        <w:rPr>
          <w:rFonts w:cs="SimSun" w:hint="eastAsia"/>
        </w:rPr>
        <w:t>年的</w:t>
      </w:r>
      <w:r>
        <w:t>1.742</w:t>
      </w:r>
      <w:r>
        <w:rPr>
          <w:rFonts w:cs="SimSun" w:hint="eastAsia"/>
        </w:rPr>
        <w:t>亿美元。</w:t>
      </w:r>
      <w:r>
        <w:rPr>
          <w:rStyle w:val="FootnoteReference"/>
        </w:rPr>
        <w:footnoteReference w:id="8"/>
      </w:r>
    </w:p>
    <w:p w:rsidR="00373976" w:rsidRDefault="00373976" w:rsidP="00A45EB7">
      <w:pPr>
        <w:numPr>
          <w:ilvl w:val="0"/>
          <w:numId w:val="19"/>
        </w:numPr>
        <w:tabs>
          <w:tab w:val="clear" w:pos="360"/>
          <w:tab w:val="left" w:pos="525"/>
        </w:tabs>
        <w:spacing w:after="180" w:line="360" w:lineRule="exact"/>
        <w:ind w:left="0" w:firstLine="0"/>
        <w:jc w:val="both"/>
      </w:pPr>
      <w:r>
        <w:t>2002</w:t>
      </w:r>
      <w:r>
        <w:rPr>
          <w:rFonts w:cs="SimSun" w:hint="eastAsia"/>
        </w:rPr>
        <w:t>年的失业率为</w:t>
      </w:r>
      <w:r>
        <w:t>10%</w:t>
      </w:r>
      <w:r>
        <w:rPr>
          <w:rFonts w:cs="SimSun" w:hint="eastAsia"/>
        </w:rPr>
        <w:t>，比</w:t>
      </w:r>
      <w:r>
        <w:t>1999</w:t>
      </w:r>
      <w:r>
        <w:rPr>
          <w:rFonts w:cs="SimSun" w:hint="eastAsia"/>
        </w:rPr>
        <w:t>年总体下降了</w:t>
      </w:r>
      <w:r>
        <w:t>2.8%</w:t>
      </w:r>
      <w:r>
        <w:rPr>
          <w:rFonts w:cs="SimSun" w:hint="eastAsia"/>
        </w:rPr>
        <w:t>。不过，妇女的失业率为</w:t>
      </w:r>
      <w:r>
        <w:t>15.3%</w:t>
      </w:r>
      <w:r>
        <w:rPr>
          <w:rFonts w:cs="SimSun" w:hint="eastAsia"/>
        </w:rPr>
        <w:t>，仍是男子（</w:t>
      </w:r>
      <w:r>
        <w:t>7.5%</w:t>
      </w:r>
      <w:r>
        <w:rPr>
          <w:rFonts w:cs="SimSun" w:hint="eastAsia"/>
        </w:rPr>
        <w:t>）的二倍。</w:t>
      </w:r>
      <w:r>
        <w:t>2002</w:t>
      </w:r>
      <w:r>
        <w:rPr>
          <w:rFonts w:cs="SimSun" w:hint="eastAsia"/>
        </w:rPr>
        <w:t>年，劳动力的总体参与率为</w:t>
      </w:r>
      <w:r>
        <w:t>57.3%</w:t>
      </w:r>
      <w:r>
        <w:rPr>
          <w:rFonts w:cs="SimSun" w:hint="eastAsia"/>
        </w:rPr>
        <w:t>，但妇女只有</w:t>
      </w:r>
      <w:r>
        <w:t>36.8%</w:t>
      </w:r>
      <w:r>
        <w:rPr>
          <w:rFonts w:cs="SimSun" w:hint="eastAsia"/>
        </w:rPr>
        <w:t>，不到男子（</w:t>
      </w:r>
      <w:r>
        <w:t>78.6%</w:t>
      </w:r>
      <w:r>
        <w:rPr>
          <w:rFonts w:cs="SimSun" w:hint="eastAsia"/>
        </w:rPr>
        <w:t>）的一半。这表明妇女仍然面临着就业方面的不平等。</w:t>
      </w:r>
      <w:r>
        <w:rPr>
          <w:rStyle w:val="FootnoteReference"/>
        </w:rPr>
        <w:footnoteReference w:id="9"/>
      </w:r>
    </w:p>
    <w:p w:rsidR="00373976" w:rsidRDefault="00373976" w:rsidP="00373976">
      <w:pPr>
        <w:numPr>
          <w:ilvl w:val="0"/>
          <w:numId w:val="19"/>
        </w:numPr>
        <w:tabs>
          <w:tab w:val="clear" w:pos="360"/>
          <w:tab w:val="left" w:pos="525"/>
        </w:tabs>
        <w:spacing w:after="240" w:line="360" w:lineRule="exact"/>
        <w:ind w:left="0" w:firstLine="0"/>
        <w:jc w:val="both"/>
      </w:pPr>
      <w:r>
        <w:rPr>
          <w:rFonts w:cs="SimSun" w:hint="eastAsia"/>
        </w:rPr>
        <w:t>危地马拉仍声称对伯利兹</w:t>
      </w:r>
      <w:r>
        <w:t>50%</w:t>
      </w:r>
      <w:r>
        <w:rPr>
          <w:rFonts w:cs="SimSun" w:hint="eastAsia"/>
        </w:rPr>
        <w:t>的国土拥有主权。</w:t>
      </w:r>
      <w:r>
        <w:t>1999</w:t>
      </w:r>
      <w:r>
        <w:rPr>
          <w:rFonts w:cs="SimSun" w:hint="eastAsia"/>
        </w:rPr>
        <w:t>年至</w:t>
      </w:r>
      <w:r>
        <w:t>2000</w:t>
      </w:r>
      <w:r>
        <w:rPr>
          <w:rFonts w:cs="SimSun" w:hint="eastAsia"/>
        </w:rPr>
        <w:t>年间，一系列的边境事件和危地马拉再次做出的正式领土主张加剧了争端。为此，在美洲国家组织（美洲组织）的支持下，开始了正式和解进程。</w:t>
      </w:r>
      <w:r>
        <w:t>2002</w:t>
      </w:r>
      <w:r>
        <w:rPr>
          <w:rFonts w:cs="SimSun" w:hint="eastAsia"/>
        </w:rPr>
        <w:t>年</w:t>
      </w:r>
      <w:r>
        <w:t>9</w:t>
      </w:r>
      <w:r>
        <w:rPr>
          <w:rFonts w:cs="SimSun" w:hint="eastAsia"/>
        </w:rPr>
        <w:t>月，这一进程的协调员（每国各一名代表）提出了一系列结束领土争端的建议。在提出和接受建议后的</w:t>
      </w:r>
      <w:r>
        <w:t>75</w:t>
      </w:r>
      <w:r>
        <w:rPr>
          <w:rFonts w:cs="SimSun" w:hint="eastAsia"/>
        </w:rPr>
        <w:t>天，这些建议本应同时在两国进行全民公决。但危地马拉政府拒绝了这些建议，从而推迟了全民公决。两国目前正努力寻找解决问题的途径。</w:t>
      </w:r>
      <w:r>
        <w:t xml:space="preserve"> </w:t>
      </w:r>
    </w:p>
    <w:p w:rsidR="00373976" w:rsidRDefault="00373976" w:rsidP="00373976">
      <w:pPr>
        <w:rPr>
          <w:rFonts w:ascii="SimHei" w:eastAsia="SimHei"/>
          <w:color w:val="FF0000"/>
        </w:rPr>
      </w:pPr>
      <w:r>
        <w:rPr>
          <w:rFonts w:ascii="SimHei" w:eastAsia="SimHei" w:cs="SimHei" w:hint="eastAsia"/>
          <w:color w:val="FF0000"/>
        </w:rPr>
        <w:t>表</w:t>
      </w:r>
      <w:r>
        <w:rPr>
          <w:rFonts w:ascii="SimHei" w:eastAsia="SimHei" w:cs="SimHei"/>
          <w:color w:val="FF0000"/>
        </w:rPr>
        <w:t xml:space="preserve">0.0 </w:t>
      </w:r>
      <w:r>
        <w:rPr>
          <w:rFonts w:ascii="SimHei" w:eastAsia="SimHei" w:cs="SimHei" w:hint="eastAsia"/>
          <w:color w:val="FF0000"/>
        </w:rPr>
        <w:t>人口的种族划分</w:t>
      </w:r>
    </w:p>
    <w:p w:rsidR="00373976" w:rsidRDefault="00373976" w:rsidP="00A45EB7">
      <w:pPr>
        <w:spacing w:line="240" w:lineRule="auto"/>
        <w:jc w:val="center"/>
      </w:pPr>
      <w:r>
        <w:rPr>
          <w:rFonts w:hint="eastAsia"/>
        </w:rPr>
        <w:object w:dxaOrig="6914" w:dyaOrig="65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75pt;height:327.75pt" o:ole="">
            <v:imagedata r:id="rId14" o:title=""/>
          </v:shape>
          <o:OLEObject Type="Embed" ProgID="Excel.Chart.8" ShapeID="_x0000_i1025" DrawAspect="Content" ObjectID="_1394524468" r:id="rId15">
            <o:FieldCodes>\s</o:FieldCodes>
          </o:OLEObject>
        </w:object>
      </w:r>
    </w:p>
    <w:p w:rsidR="00373976" w:rsidRDefault="00373976" w:rsidP="00373976">
      <w:pPr>
        <w:rPr>
          <w:sz w:val="18"/>
          <w:szCs w:val="18"/>
        </w:rPr>
      </w:pPr>
      <w:r>
        <w:rPr>
          <w:rFonts w:eastAsia="KaiTi_GB2312" w:cs="KaiTi_GB2312" w:hint="eastAsia"/>
          <w:color w:val="0000FF"/>
          <w:sz w:val="18"/>
          <w:szCs w:val="18"/>
        </w:rPr>
        <w:t>资源来源</w:t>
      </w:r>
      <w:r>
        <w:rPr>
          <w:rFonts w:cs="SimSun" w:hint="eastAsia"/>
          <w:sz w:val="18"/>
          <w:szCs w:val="18"/>
        </w:rPr>
        <w:t>：</w:t>
      </w:r>
      <w:r>
        <w:rPr>
          <w:sz w:val="18"/>
          <w:szCs w:val="18"/>
        </w:rPr>
        <w:t>2000</w:t>
      </w:r>
      <w:r>
        <w:rPr>
          <w:rFonts w:cs="SimSun" w:hint="eastAsia"/>
          <w:sz w:val="18"/>
          <w:szCs w:val="18"/>
        </w:rPr>
        <w:t>年人口普查。</w:t>
      </w:r>
    </w:p>
    <w:p w:rsidR="00373976" w:rsidRDefault="00373976" w:rsidP="00373976"/>
    <w:p w:rsidR="00373976" w:rsidRDefault="00373976" w:rsidP="00373976">
      <w:pPr>
        <w:rPr>
          <w:rFonts w:ascii="SimHei" w:eastAsia="SimHei"/>
          <w:color w:val="FF0000"/>
        </w:rPr>
      </w:pPr>
      <w:r>
        <w:rPr>
          <w:rFonts w:ascii="SimHei" w:eastAsia="SimHei"/>
          <w:color w:val="FF0000"/>
        </w:rPr>
        <w:br w:type="page"/>
      </w:r>
      <w:r>
        <w:rPr>
          <w:rFonts w:ascii="SimHei" w:eastAsia="SimHei" w:cs="SimHei" w:hint="eastAsia"/>
          <w:color w:val="FF0000"/>
        </w:rPr>
        <w:t>表</w:t>
      </w:r>
      <w:r>
        <w:rPr>
          <w:rFonts w:ascii="SimHei" w:eastAsia="SimHei" w:cs="SimHei"/>
          <w:color w:val="FF0000"/>
        </w:rPr>
        <w:t>0.1 1970</w:t>
      </w:r>
      <w:r>
        <w:rPr>
          <w:rFonts w:ascii="SimHei" w:eastAsia="SimHei" w:cs="SimHei" w:hint="eastAsia"/>
          <w:color w:val="FF0000"/>
        </w:rPr>
        <w:t>－</w:t>
      </w:r>
      <w:r>
        <w:rPr>
          <w:rFonts w:ascii="SimHei" w:eastAsia="SimHei" w:cs="SimHei"/>
          <w:color w:val="FF0000"/>
        </w:rPr>
        <w:t>2000</w:t>
      </w:r>
      <w:r>
        <w:rPr>
          <w:rFonts w:ascii="SimHei" w:eastAsia="SimHei" w:cs="SimHei" w:hint="eastAsia"/>
          <w:color w:val="FF0000"/>
        </w:rPr>
        <w:t>年城市与农村人口对比</w:t>
      </w:r>
    </w:p>
    <w:p w:rsidR="00373976" w:rsidRDefault="00373976" w:rsidP="00373976"/>
    <w:p w:rsidR="00373976" w:rsidRDefault="00373976" w:rsidP="00964C51">
      <w:pPr>
        <w:spacing w:line="240" w:lineRule="auto"/>
      </w:pPr>
      <w:r>
        <w:rPr>
          <w:noProof/>
        </w:rPr>
        <w:pict>
          <v:shapetype id="_x0000_t202" coordsize="21600,21600" o:spt="202" path="m,l,21600r21600,l21600,xe">
            <v:stroke joinstyle="miter"/>
            <v:path gradientshapeok="t" o:connecttype="rect"/>
          </v:shapetype>
          <v:shape id="_x0000_s1027" type="#_x0000_t202" style="position:absolute;margin-left:7.35pt;margin-top:39.95pt;width:31.2pt;height:297.9pt;z-index:2" stroked="f">
            <v:textbox inset="0,,0">
              <w:txbxContent>
                <w:p w:rsidR="00B63B69" w:rsidRDefault="00B63B69" w:rsidP="00373976">
                  <w:pPr>
                    <w:spacing w:line="240" w:lineRule="exact"/>
                    <w:jc w:val="right"/>
                    <w:rPr>
                      <w:sz w:val="18"/>
                      <w:szCs w:val="18"/>
                    </w:rPr>
                  </w:pPr>
                  <w:r>
                    <w:rPr>
                      <w:sz w:val="18"/>
                      <w:szCs w:val="18"/>
                    </w:rPr>
                    <w:t>70 000</w:t>
                  </w:r>
                </w:p>
                <w:p w:rsidR="00B63B69" w:rsidRDefault="00B63B69" w:rsidP="00373976">
                  <w:pPr>
                    <w:spacing w:line="240" w:lineRule="exact"/>
                    <w:jc w:val="right"/>
                    <w:rPr>
                      <w:sz w:val="18"/>
                      <w:szCs w:val="18"/>
                    </w:rPr>
                  </w:pPr>
                </w:p>
                <w:p w:rsidR="00B63B69" w:rsidRDefault="00B63B69" w:rsidP="00373976">
                  <w:pPr>
                    <w:pStyle w:val="Header"/>
                    <w:tabs>
                      <w:tab w:val="clear" w:pos="4320"/>
                      <w:tab w:val="clear" w:pos="8640"/>
                    </w:tabs>
                    <w:spacing w:line="240" w:lineRule="exact"/>
                    <w:jc w:val="right"/>
                  </w:pPr>
                </w:p>
                <w:p w:rsidR="00B63B69" w:rsidRDefault="00B63B69" w:rsidP="00373976">
                  <w:pPr>
                    <w:spacing w:line="240" w:lineRule="exact"/>
                    <w:jc w:val="right"/>
                    <w:rPr>
                      <w:sz w:val="18"/>
                      <w:szCs w:val="18"/>
                    </w:rPr>
                  </w:pPr>
                  <w:r>
                    <w:rPr>
                      <w:sz w:val="18"/>
                      <w:szCs w:val="18"/>
                    </w:rPr>
                    <w:t>60 000</w:t>
                  </w: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r>
                    <w:rPr>
                      <w:sz w:val="18"/>
                      <w:szCs w:val="18"/>
                    </w:rPr>
                    <w:t>50 000</w:t>
                  </w:r>
                </w:p>
                <w:p w:rsidR="00B63B69" w:rsidRDefault="00B63B69" w:rsidP="00373976">
                  <w:pPr>
                    <w:pStyle w:val="Header"/>
                    <w:tabs>
                      <w:tab w:val="clear" w:pos="4320"/>
                      <w:tab w:val="clear" w:pos="8640"/>
                    </w:tabs>
                    <w:spacing w:line="254" w:lineRule="exact"/>
                    <w:jc w:val="right"/>
                  </w:pP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r>
                    <w:rPr>
                      <w:sz w:val="18"/>
                      <w:szCs w:val="18"/>
                    </w:rPr>
                    <w:t>40 000</w:t>
                  </w: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r>
                    <w:rPr>
                      <w:sz w:val="18"/>
                      <w:szCs w:val="18"/>
                    </w:rPr>
                    <w:t>30 000</w:t>
                  </w: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r>
                    <w:rPr>
                      <w:sz w:val="18"/>
                      <w:szCs w:val="18"/>
                    </w:rPr>
                    <w:t>20 000</w:t>
                  </w: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r>
                    <w:rPr>
                      <w:sz w:val="18"/>
                      <w:szCs w:val="18"/>
                    </w:rPr>
                    <w:t>10 000</w:t>
                  </w: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p>
                <w:p w:rsidR="00B63B69" w:rsidRDefault="00B63B69" w:rsidP="00373976">
                  <w:pPr>
                    <w:spacing w:line="254" w:lineRule="exact"/>
                    <w:jc w:val="right"/>
                    <w:rPr>
                      <w:sz w:val="18"/>
                      <w:szCs w:val="18"/>
                    </w:rPr>
                  </w:pPr>
                  <w:r>
                    <w:rPr>
                      <w:sz w:val="18"/>
                      <w:szCs w:val="18"/>
                    </w:rPr>
                    <w:t>0</w:t>
                  </w:r>
                </w:p>
              </w:txbxContent>
            </v:textbox>
          </v:shape>
        </w:pict>
      </w:r>
      <w:r>
        <w:rPr>
          <w:rFonts w:hint="eastAsia"/>
        </w:rPr>
        <w:object w:dxaOrig="9856" w:dyaOrig="7400">
          <v:shape id="_x0000_i1026" type="#_x0000_t75" style="width:492.75pt;height:369.75pt" o:ole="">
            <v:imagedata r:id="rId16" o:title=""/>
          </v:shape>
          <o:OLEObject Type="Embed" ProgID="Excel.Chart.8" ShapeID="_x0000_i1026" DrawAspect="Content" ObjectID="_1394524469" r:id="rId17">
            <o:FieldCodes>\s</o:FieldCodes>
          </o:OLEObject>
        </w:object>
      </w:r>
    </w:p>
    <w:p w:rsidR="00373976" w:rsidRDefault="00373976" w:rsidP="00373976">
      <w:pPr>
        <w:tabs>
          <w:tab w:val="left" w:pos="525"/>
        </w:tabs>
        <w:spacing w:after="240" w:line="360" w:lineRule="exact"/>
      </w:pPr>
    </w:p>
    <w:p w:rsidR="00373976" w:rsidRDefault="00373976" w:rsidP="00373976">
      <w:pPr>
        <w:spacing w:line="240" w:lineRule="exact"/>
        <w:jc w:val="center"/>
      </w:pPr>
      <w:r>
        <w:br w:type="page"/>
      </w:r>
    </w:p>
    <w:p w:rsidR="00373976" w:rsidRDefault="00373976" w:rsidP="00373976">
      <w:pPr>
        <w:spacing w:after="240" w:line="380" w:lineRule="exact"/>
        <w:jc w:val="center"/>
        <w:rPr>
          <w:rFonts w:eastAsia="SimHei"/>
          <w:color w:val="FF0000"/>
          <w:sz w:val="28"/>
          <w:szCs w:val="28"/>
        </w:rPr>
      </w:pPr>
      <w:r>
        <w:rPr>
          <w:rFonts w:eastAsia="SimHei" w:cs="SimHei" w:hint="eastAsia"/>
          <w:color w:val="FF0000"/>
          <w:sz w:val="28"/>
          <w:szCs w:val="28"/>
        </w:rPr>
        <w:t>第二部分</w:t>
      </w:r>
    </w:p>
    <w:p w:rsidR="00373976" w:rsidRDefault="00373976" w:rsidP="00373976">
      <w:pPr>
        <w:pBdr>
          <w:top w:val="thinThickSmallGap" w:sz="24" w:space="1" w:color="auto"/>
        </w:pBdr>
        <w:spacing w:line="240" w:lineRule="exact"/>
        <w:jc w:val="center"/>
        <w:rPr>
          <w:rFonts w:eastAsia="SimHei"/>
          <w:color w:val="FF0000"/>
          <w:sz w:val="28"/>
          <w:szCs w:val="28"/>
        </w:rPr>
      </w:pPr>
    </w:p>
    <w:p w:rsidR="00373976" w:rsidRDefault="00373976" w:rsidP="00373976">
      <w:pPr>
        <w:tabs>
          <w:tab w:val="left" w:pos="525"/>
        </w:tabs>
        <w:spacing w:after="120" w:line="400" w:lineRule="exact"/>
        <w:jc w:val="center"/>
        <w:rPr>
          <w:rFonts w:ascii="SimHei" w:eastAsia="SimHei"/>
          <w:color w:val="FF0000"/>
          <w:sz w:val="28"/>
          <w:szCs w:val="28"/>
        </w:rPr>
      </w:pPr>
      <w:r>
        <w:rPr>
          <w:rFonts w:ascii="SimHei" w:eastAsia="SimHei" w:cs="SimHei" w:hint="eastAsia"/>
          <w:color w:val="FF0000"/>
          <w:sz w:val="28"/>
          <w:szCs w:val="28"/>
        </w:rPr>
        <w:t>第</w:t>
      </w:r>
      <w:r>
        <w:rPr>
          <w:rFonts w:ascii="SimHei" w:eastAsia="SimHei" w:cs="SimHei"/>
          <w:color w:val="FF0000"/>
          <w:sz w:val="28"/>
          <w:szCs w:val="28"/>
        </w:rPr>
        <w:t>1</w:t>
      </w:r>
      <w:r>
        <w:rPr>
          <w:rFonts w:ascii="SimHei" w:eastAsia="SimHei" w:cs="SimHei" w:hint="eastAsia"/>
          <w:color w:val="FF0000"/>
          <w:sz w:val="28"/>
          <w:szCs w:val="28"/>
        </w:rPr>
        <w:t>条</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对妇女的歧视的定义</w:t>
      </w:r>
    </w:p>
    <w:p w:rsidR="00373976" w:rsidRDefault="00373976" w:rsidP="00373976">
      <w:pPr>
        <w:pBdr>
          <w:top w:val="single" w:sz="4" w:space="1" w:color="auto"/>
        </w:pBdr>
        <w:spacing w:line="240" w:lineRule="exact"/>
        <w:jc w:val="center"/>
        <w:rPr>
          <w:rFonts w:eastAsia="SimHei"/>
          <w:color w:val="FF0000"/>
          <w:sz w:val="28"/>
          <w:szCs w:val="28"/>
        </w:rPr>
      </w:pPr>
    </w:p>
    <w:p w:rsidR="00373976" w:rsidRDefault="00373976" w:rsidP="00373976">
      <w:pPr>
        <w:pBdr>
          <w:top w:val="single" w:sz="4" w:space="1" w:color="auto"/>
        </w:pBdr>
        <w:spacing w:line="360" w:lineRule="exact"/>
        <w:jc w:val="center"/>
        <w:rPr>
          <w:rFonts w:eastAsia="SimHei"/>
          <w:color w:val="FF0000"/>
          <w:sz w:val="28"/>
          <w:szCs w:val="28"/>
        </w:rPr>
      </w:pPr>
    </w:p>
    <w:p w:rsidR="00373976" w:rsidRDefault="00373976" w:rsidP="009B38FD">
      <w:pPr>
        <w:tabs>
          <w:tab w:val="left" w:pos="525"/>
        </w:tabs>
        <w:spacing w:after="240" w:line="360" w:lineRule="exact"/>
        <w:ind w:firstLineChars="200" w:firstLine="31680"/>
        <w:rPr>
          <w:rFonts w:eastAsia="KaiTi_GB2312"/>
          <w:b/>
          <w:bCs/>
          <w:color w:val="0000FF"/>
        </w:rPr>
      </w:pPr>
      <w:r>
        <w:rPr>
          <w:rFonts w:eastAsia="KaiTi_GB2312" w:cs="KaiTi_GB2312" w:hint="eastAsia"/>
          <w:b/>
          <w:bCs/>
          <w:color w:val="0000FF"/>
        </w:rPr>
        <w:t>为本公约的目的，“对妇女的歧视”一词是指基于性别而作的任何区别、排斥或限制，其影响或其目的均足以妨碍或否认妇女不论已婚、未婚在男女平等的基础上认识、享有或行使在政治、经济、社会、文化、公民或任何其他方面的人权和基本自由。</w:t>
      </w:r>
    </w:p>
    <w:p w:rsidR="00373976" w:rsidRDefault="00373976" w:rsidP="00373976">
      <w:pPr>
        <w:numPr>
          <w:ilvl w:val="0"/>
          <w:numId w:val="19"/>
        </w:numPr>
        <w:tabs>
          <w:tab w:val="clear" w:pos="360"/>
          <w:tab w:val="left" w:pos="525"/>
        </w:tabs>
        <w:spacing w:after="240" w:line="360" w:lineRule="exact"/>
        <w:ind w:left="0" w:firstLine="0"/>
        <w:jc w:val="both"/>
      </w:pPr>
      <w:r>
        <w:rPr>
          <w:rFonts w:cs="SimSun" w:hint="eastAsia"/>
        </w:rPr>
        <w:t>伯利兹《宪法》将“歧视”定义为：</w:t>
      </w:r>
    </w:p>
    <w:p w:rsidR="00373976" w:rsidRDefault="00373976" w:rsidP="009B38FD">
      <w:pPr>
        <w:tabs>
          <w:tab w:val="left" w:pos="525"/>
        </w:tabs>
        <w:spacing w:after="240" w:line="360" w:lineRule="exact"/>
        <w:ind w:leftChars="250" w:left="31680" w:firstLineChars="200" w:firstLine="31680"/>
        <w:rPr>
          <w:rFonts w:ascii="KaiTi_GB2312" w:eastAsia="KaiTi_GB2312"/>
          <w:color w:val="0000FF"/>
        </w:rPr>
      </w:pPr>
      <w:r>
        <w:rPr>
          <w:rFonts w:ascii="KaiTi_GB2312" w:eastAsia="KaiTi_GB2312"/>
          <w:color w:val="0000FF"/>
        </w:rPr>
        <w:t>“</w:t>
      </w:r>
      <w:r>
        <w:rPr>
          <w:rFonts w:ascii="KaiTi_GB2312" w:eastAsia="KaiTi_GB2312" w:cs="KaiTi_GB2312" w:hint="eastAsia"/>
          <w:color w:val="0000FF"/>
        </w:rPr>
        <w:t>对不同的人给予不同的待遇，全部或主要是因为各自不同的性别、种族、出生地、政治主张、肤色或宗教特征，使得具有其中一项特征的人因而遭遇到与具有其他特征的人所不同的障碍或限制，或享受具有其他特征的人所享受不到的特权或利益</w:t>
      </w:r>
      <w:r>
        <w:rPr>
          <w:rFonts w:ascii="KaiTi_GB2312" w:eastAsia="KaiTi_GB2312"/>
          <w:color w:val="0000FF"/>
        </w:rPr>
        <w:t>”</w:t>
      </w:r>
      <w:r>
        <w:rPr>
          <w:rFonts w:ascii="KaiTi_GB2312" w:eastAsia="KaiTi_GB2312" w:cs="KaiTi_GB2312" w:hint="eastAsia"/>
          <w:color w:val="0000FF"/>
        </w:rPr>
        <w:t>（</w:t>
      </w:r>
      <w:r>
        <w:rPr>
          <w:rFonts w:ascii="KaiTi_GB2312" w:eastAsia="KaiTi_GB2312" w:cs="KaiTi_GB2312"/>
          <w:color w:val="0000FF"/>
        </w:rPr>
        <w:t>16,3</w:t>
      </w:r>
      <w:r>
        <w:rPr>
          <w:rFonts w:ascii="KaiTi_GB2312" w:eastAsia="KaiTi_GB2312" w:cs="KaiTi_GB2312" w:hint="eastAsia"/>
          <w:color w:val="0000FF"/>
        </w:rPr>
        <w:t>）。</w:t>
      </w:r>
    </w:p>
    <w:p w:rsidR="00373976" w:rsidRDefault="00373976" w:rsidP="00373976">
      <w:pPr>
        <w:numPr>
          <w:ilvl w:val="0"/>
          <w:numId w:val="19"/>
        </w:numPr>
        <w:tabs>
          <w:tab w:val="clear" w:pos="360"/>
          <w:tab w:val="left" w:pos="525"/>
        </w:tabs>
        <w:spacing w:after="240" w:line="360" w:lineRule="exact"/>
        <w:ind w:left="0" w:firstLine="0"/>
        <w:jc w:val="both"/>
      </w:pPr>
      <w:r>
        <w:rPr>
          <w:rFonts w:cs="SimSun" w:hint="eastAsia"/>
        </w:rPr>
        <w:t>伯利兹《宪法》继续保护其公民不受基于种族、出生地、政治主张、肤色、宗教信仰或性别的歧视（第</w:t>
      </w:r>
      <w:r>
        <w:t>II</w:t>
      </w:r>
      <w:r>
        <w:rPr>
          <w:rFonts w:cs="SimSun" w:hint="eastAsia"/>
        </w:rPr>
        <w:t>章，</w:t>
      </w:r>
      <w:r>
        <w:t>3,16</w:t>
      </w:r>
      <w:r>
        <w:rPr>
          <w:rFonts w:cs="SimSun" w:hint="eastAsia"/>
        </w:rPr>
        <w:t>）。</w:t>
      </w:r>
    </w:p>
    <w:p w:rsidR="00373976" w:rsidRDefault="00373976" w:rsidP="00373976">
      <w:pPr>
        <w:numPr>
          <w:ilvl w:val="0"/>
          <w:numId w:val="19"/>
        </w:numPr>
        <w:tabs>
          <w:tab w:val="clear" w:pos="360"/>
          <w:tab w:val="left" w:pos="525"/>
        </w:tabs>
        <w:spacing w:after="240" w:line="360" w:lineRule="exact"/>
        <w:ind w:left="0" w:firstLine="0"/>
        <w:jc w:val="both"/>
      </w:pPr>
      <w:r>
        <w:rPr>
          <w:rFonts w:cs="SimSun" w:hint="eastAsia"/>
        </w:rPr>
        <w:t>除了这一条款外，伯利兹将《宪法》导言的有关文字修订为“保障性别平等”。这一修订使得妇女能够更加理直气壮地要求在与男子相同的基础上享有事实上的平等（</w:t>
      </w:r>
      <w:r>
        <w:t>2e</w:t>
      </w:r>
      <w:r>
        <w:rPr>
          <w:rFonts w:cs="SimSun" w:hint="eastAsia"/>
        </w:rPr>
        <w:t>）。这一修订是根据</w:t>
      </w:r>
      <w:r>
        <w:t>1999</w:t>
      </w:r>
      <w:r>
        <w:rPr>
          <w:rFonts w:cs="SimSun" w:hint="eastAsia"/>
        </w:rPr>
        <w:t>年成立的政治改革委员会的建议进行的。</w:t>
      </w:r>
    </w:p>
    <w:p w:rsidR="00373976" w:rsidRDefault="00373976" w:rsidP="00373976">
      <w:pPr>
        <w:numPr>
          <w:ilvl w:val="0"/>
          <w:numId w:val="19"/>
        </w:numPr>
        <w:tabs>
          <w:tab w:val="clear" w:pos="360"/>
          <w:tab w:val="left" w:pos="525"/>
        </w:tabs>
        <w:spacing w:after="240" w:line="360" w:lineRule="exact"/>
        <w:ind w:left="0" w:firstLine="0"/>
        <w:jc w:val="both"/>
      </w:pPr>
      <w:r>
        <w:rPr>
          <w:rFonts w:cs="SimSun" w:hint="eastAsia"/>
        </w:rPr>
        <w:t>此外，全国妇女委员会还制定了《国家性别政策》，其目的是为了实现性别公平和平等，具体方法是在健康、财富和就业机会、暴力产生条件、教育和技能培训以及权力和决策这五个优先的政策领域消除对妇女的歧视。</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olor w:val="FF0000"/>
          <w:sz w:val="28"/>
          <w:szCs w:val="28"/>
        </w:rPr>
        <w:br w:type="page"/>
      </w:r>
      <w:r>
        <w:rPr>
          <w:rFonts w:ascii="SimHei" w:eastAsia="SimHei" w:cs="SimHei" w:hint="eastAsia"/>
          <w:color w:val="FF0000"/>
          <w:sz w:val="28"/>
          <w:szCs w:val="28"/>
        </w:rPr>
        <w:t>第</w:t>
      </w:r>
      <w:r>
        <w:rPr>
          <w:rFonts w:ascii="SimHei" w:eastAsia="SimHei" w:cs="SimHei"/>
          <w:color w:val="FF0000"/>
          <w:sz w:val="28"/>
          <w:szCs w:val="28"/>
        </w:rPr>
        <w:t>2</w:t>
      </w:r>
      <w:r>
        <w:rPr>
          <w:rFonts w:ascii="SimHei" w:eastAsia="SimHei" w:cs="SimHei" w:hint="eastAsia"/>
          <w:color w:val="FF0000"/>
          <w:sz w:val="28"/>
          <w:szCs w:val="28"/>
        </w:rPr>
        <w:t>条</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法律规定</w:t>
      </w:r>
    </w:p>
    <w:p w:rsidR="00373976" w:rsidRDefault="00373976" w:rsidP="00373976">
      <w:pPr>
        <w:pBdr>
          <w:top w:val="single" w:sz="4" w:space="1" w:color="auto"/>
        </w:pBdr>
        <w:spacing w:line="240" w:lineRule="exact"/>
        <w:jc w:val="center"/>
        <w:rPr>
          <w:rFonts w:eastAsia="SimHei"/>
          <w:color w:val="FF0000"/>
          <w:sz w:val="28"/>
          <w:szCs w:val="28"/>
        </w:rPr>
      </w:pPr>
    </w:p>
    <w:p w:rsidR="00373976" w:rsidRDefault="00373976" w:rsidP="009B38FD">
      <w:pPr>
        <w:tabs>
          <w:tab w:val="left" w:pos="525"/>
        </w:tabs>
        <w:spacing w:after="240" w:line="350" w:lineRule="exact"/>
        <w:ind w:firstLineChars="200" w:firstLine="31680"/>
        <w:rPr>
          <w:rFonts w:eastAsia="KaiTi_GB2312"/>
          <w:b/>
          <w:bCs/>
          <w:color w:val="0000FF"/>
        </w:rPr>
      </w:pPr>
      <w:r>
        <w:rPr>
          <w:rFonts w:eastAsia="KaiTi_GB2312" w:cs="KaiTi_GB2312" w:hint="eastAsia"/>
          <w:b/>
          <w:bCs/>
          <w:color w:val="0000FF"/>
        </w:rPr>
        <w:t>缔约各国谴责对妇女一切形式的歧视，协议立即用一切适当办法，推行消除对妇女歧视的政策。为此目的，承担：</w:t>
      </w:r>
    </w:p>
    <w:p w:rsidR="00373976" w:rsidRDefault="00373976" w:rsidP="009B38FD">
      <w:pPr>
        <w:widowControl w:val="0"/>
        <w:numPr>
          <w:ilvl w:val="0"/>
          <w:numId w:val="46"/>
        </w:numPr>
        <w:tabs>
          <w:tab w:val="clear" w:pos="1017"/>
          <w:tab w:val="left" w:pos="1050"/>
        </w:tabs>
        <w:spacing w:after="240" w:line="350" w:lineRule="exact"/>
        <w:ind w:leftChars="250" w:left="31680" w:hangingChars="250" w:firstLine="31680"/>
        <w:jc w:val="both"/>
        <w:rPr>
          <w:rFonts w:eastAsia="KaiTi_GB2312"/>
          <w:b/>
          <w:bCs/>
          <w:color w:val="0000FF"/>
        </w:rPr>
      </w:pPr>
      <w:r>
        <w:rPr>
          <w:rFonts w:eastAsia="KaiTi_GB2312" w:cs="KaiTi_GB2312" w:hint="eastAsia"/>
          <w:b/>
          <w:bCs/>
          <w:color w:val="0000FF"/>
        </w:rPr>
        <w:t>男女平等的原则如尚未列入本国宪法或其他有关法律者，应将其列入，并以法律或其他适当方法，保证实现这项原则；</w:t>
      </w:r>
    </w:p>
    <w:p w:rsidR="00373976" w:rsidRDefault="00373976" w:rsidP="009B38FD">
      <w:pPr>
        <w:widowControl w:val="0"/>
        <w:numPr>
          <w:ilvl w:val="0"/>
          <w:numId w:val="46"/>
        </w:numPr>
        <w:tabs>
          <w:tab w:val="clear" w:pos="1017"/>
          <w:tab w:val="left" w:pos="1050"/>
        </w:tabs>
        <w:spacing w:after="240" w:line="350" w:lineRule="exact"/>
        <w:ind w:leftChars="250" w:left="31680" w:hangingChars="250" w:firstLine="31680"/>
        <w:jc w:val="both"/>
        <w:rPr>
          <w:rFonts w:eastAsia="KaiTi_GB2312"/>
          <w:b/>
          <w:bCs/>
          <w:color w:val="0000FF"/>
        </w:rPr>
      </w:pPr>
      <w:r>
        <w:rPr>
          <w:rFonts w:eastAsia="KaiTi_GB2312" w:cs="KaiTi_GB2312" w:hint="eastAsia"/>
          <w:b/>
          <w:bCs/>
          <w:color w:val="0000FF"/>
        </w:rPr>
        <w:t>采用适当立法和其他措施，包括适当时采取制裁，禁止对妇女的一切歧视；</w:t>
      </w:r>
    </w:p>
    <w:p w:rsidR="00373976" w:rsidRDefault="00373976" w:rsidP="009B38FD">
      <w:pPr>
        <w:widowControl w:val="0"/>
        <w:numPr>
          <w:ilvl w:val="0"/>
          <w:numId w:val="46"/>
        </w:numPr>
        <w:tabs>
          <w:tab w:val="clear" w:pos="1017"/>
          <w:tab w:val="left" w:pos="1050"/>
        </w:tabs>
        <w:spacing w:after="240" w:line="350" w:lineRule="exact"/>
        <w:ind w:leftChars="250" w:left="31680" w:hangingChars="250" w:firstLine="31680"/>
        <w:jc w:val="both"/>
        <w:rPr>
          <w:rFonts w:eastAsia="KaiTi_GB2312"/>
          <w:b/>
          <w:bCs/>
          <w:color w:val="0000FF"/>
        </w:rPr>
      </w:pPr>
      <w:r>
        <w:rPr>
          <w:rFonts w:eastAsia="KaiTi_GB2312" w:cs="KaiTi_GB2312" w:hint="eastAsia"/>
          <w:b/>
          <w:bCs/>
          <w:color w:val="0000FF"/>
        </w:rPr>
        <w:t>为妇女与男子平等的权利确立法律保护，通过各国的主管法庭及其他公共机构，保证切实保护妇女不受任何歧视；</w:t>
      </w:r>
      <w:r>
        <w:rPr>
          <w:rFonts w:eastAsia="KaiTi_GB2312"/>
          <w:b/>
          <w:bCs/>
          <w:color w:val="0000FF"/>
        </w:rPr>
        <w:t xml:space="preserve"> </w:t>
      </w:r>
    </w:p>
    <w:p w:rsidR="00373976" w:rsidRDefault="00373976" w:rsidP="009B38FD">
      <w:pPr>
        <w:widowControl w:val="0"/>
        <w:numPr>
          <w:ilvl w:val="0"/>
          <w:numId w:val="46"/>
        </w:numPr>
        <w:tabs>
          <w:tab w:val="clear" w:pos="1017"/>
          <w:tab w:val="left" w:pos="1050"/>
        </w:tabs>
        <w:spacing w:after="240" w:line="350" w:lineRule="exact"/>
        <w:ind w:leftChars="250" w:left="31680" w:hangingChars="250" w:firstLine="31680"/>
        <w:jc w:val="both"/>
        <w:rPr>
          <w:rFonts w:eastAsia="KaiTi_GB2312"/>
          <w:b/>
          <w:bCs/>
          <w:color w:val="0000FF"/>
        </w:rPr>
      </w:pPr>
      <w:r>
        <w:rPr>
          <w:rFonts w:eastAsia="KaiTi_GB2312" w:cs="KaiTi_GB2312" w:hint="eastAsia"/>
          <w:b/>
          <w:bCs/>
          <w:color w:val="0000FF"/>
        </w:rPr>
        <w:t>不采取任何歧视妇女的行为或做法，并保证公共当局和公共机构的行动都不违背这项义务；</w:t>
      </w:r>
    </w:p>
    <w:p w:rsidR="00373976" w:rsidRDefault="00373976" w:rsidP="009B38FD">
      <w:pPr>
        <w:widowControl w:val="0"/>
        <w:numPr>
          <w:ilvl w:val="0"/>
          <w:numId w:val="46"/>
        </w:numPr>
        <w:tabs>
          <w:tab w:val="clear" w:pos="1017"/>
          <w:tab w:val="left" w:pos="1050"/>
        </w:tabs>
        <w:spacing w:after="240" w:line="350" w:lineRule="exact"/>
        <w:ind w:leftChars="250" w:left="31680" w:hangingChars="250" w:firstLine="31680"/>
        <w:jc w:val="both"/>
        <w:rPr>
          <w:rFonts w:eastAsia="KaiTi_GB2312"/>
          <w:b/>
          <w:bCs/>
          <w:color w:val="0000FF"/>
        </w:rPr>
      </w:pPr>
      <w:r>
        <w:rPr>
          <w:rFonts w:eastAsia="KaiTi_GB2312" w:cs="KaiTi_GB2312" w:hint="eastAsia"/>
          <w:b/>
          <w:bCs/>
          <w:color w:val="0000FF"/>
        </w:rPr>
        <w:t>应采取一切适当措施，消除任何个人、组织或企业对妇女的歧视；</w:t>
      </w:r>
    </w:p>
    <w:p w:rsidR="00373976" w:rsidRDefault="00373976" w:rsidP="009B38FD">
      <w:pPr>
        <w:widowControl w:val="0"/>
        <w:numPr>
          <w:ilvl w:val="0"/>
          <w:numId w:val="46"/>
        </w:numPr>
        <w:tabs>
          <w:tab w:val="clear" w:pos="1017"/>
          <w:tab w:val="left" w:pos="1050"/>
        </w:tabs>
        <w:spacing w:after="240" w:line="350" w:lineRule="exact"/>
        <w:ind w:leftChars="250" w:left="31680" w:hangingChars="250" w:firstLine="31680"/>
        <w:jc w:val="both"/>
        <w:rPr>
          <w:rFonts w:eastAsia="KaiTi_GB2312"/>
          <w:b/>
          <w:bCs/>
          <w:color w:val="0000FF"/>
        </w:rPr>
      </w:pPr>
      <w:r>
        <w:rPr>
          <w:rFonts w:eastAsia="KaiTi_GB2312" w:cs="KaiTi_GB2312" w:hint="eastAsia"/>
          <w:b/>
          <w:bCs/>
          <w:color w:val="0000FF"/>
        </w:rPr>
        <w:t>应采取一切适当措施，包括制定法律，以修改或废除构成对妇女歧视的现行法律、规章、习俗和惯例；</w:t>
      </w:r>
    </w:p>
    <w:p w:rsidR="00373976" w:rsidRDefault="00373976" w:rsidP="009B38FD">
      <w:pPr>
        <w:widowControl w:val="0"/>
        <w:numPr>
          <w:ilvl w:val="0"/>
          <w:numId w:val="46"/>
        </w:numPr>
        <w:tabs>
          <w:tab w:val="clear" w:pos="1017"/>
          <w:tab w:val="left" w:pos="1050"/>
        </w:tabs>
        <w:spacing w:after="240" w:line="350" w:lineRule="exact"/>
        <w:ind w:leftChars="250" w:left="31680" w:hangingChars="250" w:firstLine="31680"/>
        <w:jc w:val="both"/>
        <w:rPr>
          <w:rFonts w:eastAsia="KaiTi_GB2312"/>
          <w:b/>
          <w:bCs/>
          <w:i/>
          <w:iCs/>
          <w:color w:val="0000FF"/>
        </w:rPr>
      </w:pPr>
      <w:r>
        <w:rPr>
          <w:rFonts w:eastAsia="KaiTi_GB2312" w:cs="KaiTi_GB2312" w:hint="eastAsia"/>
          <w:b/>
          <w:bCs/>
          <w:color w:val="0000FF"/>
        </w:rPr>
        <w:t>废止本国刑法内构成对妇女歧视的一切规定。</w:t>
      </w:r>
    </w:p>
    <w:p w:rsidR="00373976" w:rsidRDefault="00373976" w:rsidP="00373976">
      <w:pPr>
        <w:pStyle w:val="H2"/>
        <w:spacing w:line="350" w:lineRule="exact"/>
        <w:rPr>
          <w:rFonts w:ascii="Times New Roman" w:cs="Times New Roman"/>
          <w:sz w:val="24"/>
          <w:szCs w:val="24"/>
          <w:lang w:val="en-US"/>
        </w:rPr>
      </w:pPr>
      <w:r>
        <w:rPr>
          <w:rFonts w:ascii="Times New Roman" w:hint="eastAsia"/>
          <w:sz w:val="24"/>
          <w:szCs w:val="24"/>
          <w:lang w:val="en-US"/>
        </w:rPr>
        <w:t>法律改革</w:t>
      </w:r>
    </w:p>
    <w:p w:rsidR="00373976" w:rsidRDefault="00373976" w:rsidP="00373976">
      <w:pPr>
        <w:tabs>
          <w:tab w:val="left" w:pos="525"/>
        </w:tabs>
        <w:spacing w:after="240" w:line="350" w:lineRule="exact"/>
      </w:pPr>
      <w:r>
        <w:t xml:space="preserve">19. </w:t>
      </w:r>
      <w:r>
        <w:rPr>
          <w:rFonts w:cs="SimSun" w:hint="eastAsia"/>
        </w:rPr>
        <w:t>《证据法》第</w:t>
      </w:r>
      <w:r>
        <w:t>95</w:t>
      </w:r>
      <w:r>
        <w:rPr>
          <w:rFonts w:cs="SimSun" w:hint="eastAsia"/>
        </w:rPr>
        <w:t>章经过修订，保护强奸受害人在庭审时指证的权利：</w:t>
      </w:r>
    </w:p>
    <w:p w:rsidR="00373976" w:rsidRDefault="00373976" w:rsidP="009B38FD">
      <w:pPr>
        <w:tabs>
          <w:tab w:val="left" w:pos="525"/>
        </w:tabs>
        <w:spacing w:after="240" w:line="350" w:lineRule="exact"/>
        <w:ind w:leftChars="250" w:left="31680" w:firstLineChars="200" w:firstLine="31680"/>
        <w:rPr>
          <w:rFonts w:ascii="KaiTi_GB2312" w:eastAsia="KaiTi_GB2312"/>
          <w:color w:val="0000FF"/>
        </w:rPr>
      </w:pPr>
      <w:r>
        <w:rPr>
          <w:rFonts w:ascii="KaiTi_GB2312" w:eastAsia="KaiTi_GB2312" w:cs="KaiTi_GB2312"/>
          <w:color w:val="0000FF"/>
        </w:rPr>
        <w:t>74-</w:t>
      </w:r>
      <w:r>
        <w:rPr>
          <w:rFonts w:ascii="KaiTi_GB2312" w:eastAsia="KaiTi_GB2312" w:cs="KaiTi_GB2312" w:hint="eastAsia"/>
          <w:color w:val="0000FF"/>
        </w:rPr>
        <w:t>（</w:t>
      </w:r>
      <w:r>
        <w:rPr>
          <w:rFonts w:ascii="KaiTi_GB2312" w:eastAsia="KaiTi_GB2312" w:cs="KaiTi_GB2312"/>
          <w:color w:val="0000FF"/>
        </w:rPr>
        <w:t>1</w:t>
      </w:r>
      <w:r>
        <w:rPr>
          <w:rFonts w:ascii="KaiTi_GB2312" w:eastAsia="KaiTi_GB2312" w:cs="KaiTi_GB2312" w:hint="eastAsia"/>
          <w:color w:val="0000FF"/>
        </w:rPr>
        <w:t>）当一名男子因强奸或企图强奸遭到起诉时，除非得到法官的许可，否则受审被告或其代理人在庭审交叉盘问中不得进行有关原告与被告之外其他人的任何性经历的举证和提问。</w:t>
      </w:r>
    </w:p>
    <w:p w:rsidR="00373976" w:rsidRDefault="00373976" w:rsidP="00373976">
      <w:pPr>
        <w:tabs>
          <w:tab w:val="left" w:pos="525"/>
        </w:tabs>
        <w:spacing w:after="240" w:line="350" w:lineRule="exact"/>
      </w:pPr>
      <w:r>
        <w:t xml:space="preserve">20. </w:t>
      </w:r>
      <w:r>
        <w:tab/>
      </w:r>
      <w:r>
        <w:rPr>
          <w:rFonts w:cs="SimSun" w:hint="eastAsia"/>
        </w:rPr>
        <w:t>取消了对确认强奸犯罪证据的要求：</w:t>
      </w:r>
    </w:p>
    <w:p w:rsidR="00373976" w:rsidRDefault="00373976" w:rsidP="00373976">
      <w:pPr>
        <w:tabs>
          <w:tab w:val="left" w:pos="525"/>
        </w:tabs>
        <w:spacing w:after="240" w:line="350" w:lineRule="exact"/>
        <w:rPr>
          <w:rFonts w:ascii="KaiTi_GB2312" w:eastAsia="KaiTi_GB2312"/>
          <w:color w:val="0000FF"/>
        </w:rPr>
      </w:pPr>
      <w:r>
        <w:rPr>
          <w:rFonts w:ascii="KaiTi_GB2312" w:eastAsia="KaiTi_GB2312" w:cs="KaiTi_GB2312" w:hint="eastAsia"/>
          <w:color w:val="0000FF"/>
        </w:rPr>
        <w:t xml:space="preserve">　　　　</w:t>
      </w:r>
      <w:r w:rsidR="00964C51">
        <w:rPr>
          <w:rFonts w:ascii="Times New Roman" w:eastAsia="KaiTi_GB2312" w:cs="KaiTi_GB2312"/>
          <w:color w:val="0000FF"/>
        </w:rPr>
        <w:t xml:space="preserve"> </w:t>
      </w:r>
      <w:r>
        <w:rPr>
          <w:rFonts w:ascii="KaiTi_GB2312" w:eastAsia="KaiTi_GB2312" w:cs="KaiTi_GB2312"/>
          <w:color w:val="0000FF"/>
        </w:rPr>
        <w:t>92-</w:t>
      </w:r>
      <w:r>
        <w:rPr>
          <w:rFonts w:ascii="KaiTi_GB2312" w:eastAsia="KaiTi_GB2312" w:cs="KaiTi_GB2312" w:hint="eastAsia"/>
          <w:color w:val="0000FF"/>
        </w:rPr>
        <w:t>（</w:t>
      </w:r>
      <w:r>
        <w:rPr>
          <w:rFonts w:ascii="KaiTi_GB2312" w:eastAsia="KaiTi_GB2312" w:cs="KaiTi_GB2312"/>
          <w:color w:val="0000FF"/>
        </w:rPr>
        <w:t>3</w:t>
      </w:r>
      <w:r>
        <w:rPr>
          <w:rFonts w:ascii="KaiTi_GB2312" w:eastAsia="KaiTi_GB2312" w:cs="KaiTi_GB2312" w:hint="eastAsia"/>
          <w:color w:val="0000FF"/>
        </w:rPr>
        <w:t>）在法庭起诉中，如果</w:t>
      </w:r>
    </w:p>
    <w:p w:rsidR="00373976" w:rsidRDefault="00373976" w:rsidP="009B38FD">
      <w:pPr>
        <w:widowControl w:val="0"/>
        <w:numPr>
          <w:ilvl w:val="0"/>
          <w:numId w:val="26"/>
        </w:numPr>
        <w:tabs>
          <w:tab w:val="clear" w:pos="840"/>
          <w:tab w:val="left" w:pos="1050"/>
        </w:tabs>
        <w:adjustRightInd w:val="0"/>
        <w:spacing w:after="240" w:line="350" w:lineRule="exact"/>
        <w:ind w:leftChars="250" w:left="31680" w:hangingChars="250" w:firstLine="31680"/>
        <w:jc w:val="both"/>
        <w:textAlignment w:val="baseline"/>
        <w:rPr>
          <w:rFonts w:ascii="KaiTi_GB2312" w:eastAsia="KaiTi_GB2312"/>
          <w:color w:val="0000FF"/>
        </w:rPr>
      </w:pPr>
      <w:r>
        <w:rPr>
          <w:rFonts w:ascii="KaiTi_GB2312" w:eastAsia="KaiTi_GB2312" w:cs="KaiTi_GB2312" w:hint="eastAsia"/>
          <w:color w:val="0000FF"/>
        </w:rPr>
        <w:t>某人因强奸、企图强奸、奸淫幼女或其他性犯罪而遭到起诉，且起诉的惟一证据是被控已经实施或企图实施的犯罪的受害人；或</w:t>
      </w:r>
    </w:p>
    <w:p w:rsidR="00373976" w:rsidRDefault="00964C51" w:rsidP="009B38FD">
      <w:pPr>
        <w:widowControl w:val="0"/>
        <w:numPr>
          <w:ilvl w:val="0"/>
          <w:numId w:val="26"/>
        </w:numPr>
        <w:tabs>
          <w:tab w:val="clear" w:pos="840"/>
          <w:tab w:val="left" w:pos="1050"/>
        </w:tabs>
        <w:adjustRightInd w:val="0"/>
        <w:spacing w:after="240" w:line="350" w:lineRule="exact"/>
        <w:ind w:leftChars="250" w:left="31680" w:hangingChars="250" w:firstLine="31680"/>
        <w:jc w:val="both"/>
        <w:textAlignment w:val="baseline"/>
        <w:rPr>
          <w:rFonts w:ascii="KaiTi_GB2312" w:eastAsia="KaiTi_GB2312"/>
          <w:color w:val="0000FF"/>
        </w:rPr>
      </w:pPr>
      <w:r>
        <w:rPr>
          <w:rFonts w:ascii="KaiTi_GB2312" w:eastAsia="KaiTi_GB2312" w:cs="KaiTi_GB2312"/>
          <w:color w:val="0000FF"/>
        </w:rPr>
        <w:br w:type="page"/>
      </w:r>
      <w:r w:rsidR="00373976">
        <w:rPr>
          <w:rFonts w:ascii="KaiTi_GB2312" w:eastAsia="KaiTi_GB2312" w:cs="KaiTi_GB2312" w:hint="eastAsia"/>
          <w:color w:val="0000FF"/>
        </w:rPr>
        <w:t>被起诉嫌犯的同伙提供了起诉证据；</w:t>
      </w:r>
    </w:p>
    <w:p w:rsidR="00373976" w:rsidRDefault="00373976" w:rsidP="009B38FD">
      <w:pPr>
        <w:tabs>
          <w:tab w:val="left" w:pos="525"/>
        </w:tabs>
        <w:spacing w:after="240" w:line="350" w:lineRule="exact"/>
        <w:ind w:leftChars="250" w:left="31680" w:firstLineChars="200" w:firstLine="31680"/>
        <w:rPr>
          <w:rFonts w:ascii="KaiTi_GB2312" w:eastAsia="KaiTi_GB2312"/>
          <w:color w:val="0000FF"/>
        </w:rPr>
      </w:pPr>
      <w:r>
        <w:rPr>
          <w:rFonts w:ascii="KaiTi_GB2312" w:eastAsia="KaiTi_GB2312" w:cs="KaiTi_GB2312" w:hint="eastAsia"/>
          <w:color w:val="0000FF"/>
        </w:rPr>
        <w:t>则法官应在其认为适当的情况下，提醒陪审团在根据上述人的证据做出裁决时要特别谨慎，并解释特别谨慎的理由。</w:t>
      </w:r>
    </w:p>
    <w:p w:rsidR="00373976" w:rsidRDefault="00373976" w:rsidP="00373976">
      <w:pPr>
        <w:widowControl w:val="0"/>
        <w:numPr>
          <w:ilvl w:val="0"/>
          <w:numId w:val="22"/>
        </w:numPr>
        <w:tabs>
          <w:tab w:val="clear" w:pos="480"/>
          <w:tab w:val="left" w:pos="525"/>
        </w:tabs>
        <w:adjustRightInd w:val="0"/>
        <w:spacing w:after="240" w:line="350" w:lineRule="exact"/>
        <w:ind w:left="0" w:firstLine="0"/>
        <w:jc w:val="both"/>
        <w:textAlignment w:val="baseline"/>
      </w:pPr>
      <w:r>
        <w:rPr>
          <w:rFonts w:cs="SimSun" w:hint="eastAsia"/>
        </w:rPr>
        <w:t>虽然根据法律，对于奸淫幼女罪的审判需秘密进行，但对强奸罪的审判不一定要秘密进行。是否对强奸罪进行秘密审判将取决于法官的判断。</w:t>
      </w:r>
    </w:p>
    <w:p w:rsidR="00373976" w:rsidRDefault="00373976" w:rsidP="00373976">
      <w:pPr>
        <w:numPr>
          <w:ilvl w:val="0"/>
          <w:numId w:val="22"/>
        </w:numPr>
        <w:tabs>
          <w:tab w:val="clear" w:pos="480"/>
          <w:tab w:val="left" w:pos="525"/>
        </w:tabs>
        <w:spacing w:after="240" w:line="350" w:lineRule="exact"/>
        <w:ind w:left="0" w:firstLine="0"/>
        <w:jc w:val="both"/>
      </w:pPr>
      <w:r>
        <w:t>1999</w:t>
      </w:r>
      <w:r>
        <w:rPr>
          <w:rFonts w:cs="SimSun" w:hint="eastAsia"/>
        </w:rPr>
        <w:t>年，《刑法》经过修订，加重了对奸淫幼女罪的惩罚：</w:t>
      </w:r>
    </w:p>
    <w:p w:rsidR="00373976" w:rsidRDefault="00373976" w:rsidP="009B38FD">
      <w:pPr>
        <w:tabs>
          <w:tab w:val="left" w:pos="525"/>
        </w:tabs>
        <w:spacing w:after="240" w:line="350" w:lineRule="exact"/>
        <w:ind w:leftChars="250" w:left="31680" w:firstLineChars="200" w:firstLine="31680"/>
        <w:rPr>
          <w:rFonts w:ascii="KaiTi_GB2312" w:eastAsia="KaiTi_GB2312"/>
          <w:color w:val="0000FF"/>
        </w:rPr>
      </w:pPr>
      <w:r>
        <w:rPr>
          <w:rFonts w:ascii="KaiTi_GB2312" w:eastAsia="KaiTi_GB2312" w:cs="KaiTi_GB2312"/>
          <w:color w:val="0000FF"/>
        </w:rPr>
        <w:t>6</w:t>
      </w:r>
      <w:r>
        <w:rPr>
          <w:rFonts w:ascii="KaiTi_GB2312" w:eastAsia="KaiTi_GB2312" w:cs="KaiTi_GB2312" w:hint="eastAsia"/>
          <w:color w:val="0000FF"/>
        </w:rPr>
        <w:t>（</w:t>
      </w:r>
      <w:r>
        <w:rPr>
          <w:rFonts w:ascii="KaiTi_GB2312" w:eastAsia="KaiTi_GB2312" w:cs="KaiTi_GB2312"/>
          <w:color w:val="0000FF"/>
        </w:rPr>
        <w:t>1</w:t>
      </w:r>
      <w:r>
        <w:rPr>
          <w:rFonts w:ascii="KaiTi_GB2312" w:eastAsia="KaiTi_GB2312" w:cs="KaiTi_GB2312" w:hint="eastAsia"/>
          <w:color w:val="0000FF"/>
        </w:rPr>
        <w:t>）任何人与小于</w:t>
      </w:r>
      <w:r>
        <w:rPr>
          <w:rFonts w:ascii="KaiTi_GB2312" w:eastAsia="KaiTi_GB2312" w:cs="KaiTi_GB2312"/>
          <w:color w:val="0000FF"/>
        </w:rPr>
        <w:t>14</w:t>
      </w:r>
      <w:r>
        <w:rPr>
          <w:rFonts w:ascii="KaiTi_GB2312" w:eastAsia="KaiTi_GB2312" w:cs="KaiTi_GB2312" w:hint="eastAsia"/>
          <w:color w:val="0000FF"/>
        </w:rPr>
        <w:t>岁的女童发生性关系，无论是否得到她的同意，都将被判有罪，并判处</w:t>
      </w:r>
      <w:r>
        <w:rPr>
          <w:rFonts w:ascii="KaiTi_GB2312" w:eastAsia="KaiTi_GB2312" w:cs="KaiTi_GB2312"/>
          <w:color w:val="0000FF"/>
        </w:rPr>
        <w:t>12</w:t>
      </w:r>
      <w:r>
        <w:rPr>
          <w:rFonts w:ascii="KaiTi_GB2312" w:eastAsia="KaiTi_GB2312" w:cs="KaiTi_GB2312" w:hint="eastAsia"/>
          <w:color w:val="0000FF"/>
        </w:rPr>
        <w:t>年以上直至终身监禁。</w:t>
      </w:r>
    </w:p>
    <w:p w:rsidR="00373976" w:rsidRDefault="00373976" w:rsidP="009B38FD">
      <w:pPr>
        <w:tabs>
          <w:tab w:val="left" w:pos="525"/>
        </w:tabs>
        <w:spacing w:after="240" w:line="350" w:lineRule="exact"/>
        <w:ind w:leftChars="250" w:left="31680" w:firstLineChars="200" w:firstLine="31680"/>
        <w:rPr>
          <w:rFonts w:ascii="KaiTi_GB2312" w:eastAsia="KaiTi_GB2312"/>
          <w:color w:val="0000FF"/>
        </w:rPr>
      </w:pPr>
      <w:r>
        <w:rPr>
          <w:rFonts w:ascii="KaiTi_GB2312" w:eastAsia="KaiTi_GB2312" w:cs="KaiTi_GB2312" w:hint="eastAsia"/>
          <w:color w:val="0000FF"/>
        </w:rPr>
        <w:t>（</w:t>
      </w:r>
      <w:r>
        <w:rPr>
          <w:rFonts w:ascii="KaiTi_GB2312" w:eastAsia="KaiTi_GB2312" w:cs="KaiTi_GB2312"/>
          <w:color w:val="0000FF"/>
        </w:rPr>
        <w:t>2</w:t>
      </w:r>
      <w:r>
        <w:rPr>
          <w:rFonts w:ascii="KaiTi_GB2312" w:eastAsia="KaiTi_GB2312" w:cs="KaiTi_GB2312" w:hint="eastAsia"/>
          <w:color w:val="0000FF"/>
        </w:rPr>
        <w:t>）</w:t>
      </w:r>
      <w:r>
        <w:rPr>
          <w:rFonts w:ascii="KaiTi_GB2312" w:eastAsia="KaiTi_GB2312" w:cs="KaiTi_GB2312"/>
          <w:color w:val="0000FF"/>
        </w:rPr>
        <w:t xml:space="preserve"> </w:t>
      </w:r>
      <w:r>
        <w:rPr>
          <w:rFonts w:ascii="KaiTi_GB2312" w:eastAsia="KaiTi_GB2312" w:cs="KaiTi_GB2312" w:hint="eastAsia"/>
          <w:color w:val="0000FF"/>
        </w:rPr>
        <w:t>任何人</w:t>
      </w:r>
      <w:r>
        <w:rPr>
          <w:rFonts w:ascii="SimHei" w:eastAsia="SimHei"/>
          <w:color w:val="0000FF"/>
        </w:rPr>
        <w:t>——</w:t>
      </w:r>
    </w:p>
    <w:p w:rsidR="00373976" w:rsidRDefault="00373976" w:rsidP="00373976">
      <w:pPr>
        <w:pStyle w:val="BodyText2"/>
        <w:tabs>
          <w:tab w:val="left" w:pos="525"/>
        </w:tabs>
        <w:spacing w:after="240" w:line="350" w:lineRule="exact"/>
        <w:ind w:left="2040" w:hanging="465"/>
        <w:jc w:val="both"/>
        <w:rPr>
          <w:rFonts w:ascii="KaiTi_GB2312" w:eastAsia="KaiTi_GB2312"/>
          <w:i/>
          <w:iCs/>
          <w:color w:val="0000FF"/>
          <w:szCs w:val="21"/>
        </w:rPr>
      </w:pPr>
      <w:r>
        <w:rPr>
          <w:rFonts w:ascii="KaiTi_GB2312" w:eastAsia="KaiTi_GB2312" w:cs="KaiTi_GB2312"/>
          <w:color w:val="0000FF"/>
          <w:szCs w:val="21"/>
        </w:rPr>
        <w:t xml:space="preserve">a) </w:t>
      </w:r>
      <w:r>
        <w:rPr>
          <w:rFonts w:ascii="KaiTi_GB2312" w:eastAsia="KaiTi_GB2312" w:cs="KaiTi_GB2312"/>
          <w:color w:val="0000FF"/>
          <w:szCs w:val="21"/>
        </w:rPr>
        <w:tab/>
      </w:r>
      <w:r>
        <w:rPr>
          <w:rFonts w:ascii="KaiTi_GB2312" w:eastAsia="KaiTi_GB2312" w:cs="KaiTi_GB2312" w:hint="eastAsia"/>
          <w:color w:val="0000FF"/>
          <w:szCs w:val="21"/>
        </w:rPr>
        <w:t>与</w:t>
      </w:r>
      <w:r>
        <w:rPr>
          <w:rFonts w:ascii="KaiTi_GB2312" w:eastAsia="KaiTi_GB2312" w:cs="KaiTi_GB2312"/>
          <w:color w:val="0000FF"/>
          <w:szCs w:val="21"/>
        </w:rPr>
        <w:t>14</w:t>
      </w:r>
      <w:r>
        <w:rPr>
          <w:rFonts w:ascii="KaiTi_GB2312" w:eastAsia="KaiTi_GB2312" w:cs="KaiTi_GB2312" w:hint="eastAsia"/>
          <w:color w:val="0000FF"/>
          <w:szCs w:val="21"/>
        </w:rPr>
        <w:t>或</w:t>
      </w:r>
      <w:r>
        <w:rPr>
          <w:rFonts w:ascii="KaiTi_GB2312" w:eastAsia="KaiTi_GB2312" w:cs="KaiTi_GB2312"/>
          <w:color w:val="0000FF"/>
          <w:szCs w:val="21"/>
        </w:rPr>
        <w:t>14</w:t>
      </w:r>
      <w:r>
        <w:rPr>
          <w:rFonts w:ascii="KaiTi_GB2312" w:eastAsia="KaiTi_GB2312" w:cs="KaiTi_GB2312" w:hint="eastAsia"/>
          <w:color w:val="0000FF"/>
          <w:szCs w:val="21"/>
        </w:rPr>
        <w:t>岁以上但小于</w:t>
      </w:r>
      <w:r>
        <w:rPr>
          <w:rFonts w:ascii="KaiTi_GB2312" w:eastAsia="KaiTi_GB2312" w:cs="KaiTi_GB2312"/>
          <w:color w:val="0000FF"/>
          <w:szCs w:val="21"/>
        </w:rPr>
        <w:t>16</w:t>
      </w:r>
      <w:r>
        <w:rPr>
          <w:rFonts w:ascii="KaiTi_GB2312" w:eastAsia="KaiTi_GB2312" w:cs="KaiTi_GB2312" w:hint="eastAsia"/>
          <w:color w:val="0000FF"/>
          <w:szCs w:val="21"/>
        </w:rPr>
        <w:t>岁的女孩非法发生性关系，将被定有罪，并判处</w:t>
      </w:r>
      <w:r>
        <w:rPr>
          <w:rFonts w:ascii="KaiTi_GB2312" w:eastAsia="KaiTi_GB2312" w:cs="KaiTi_GB2312"/>
          <w:color w:val="0000FF"/>
          <w:szCs w:val="21"/>
        </w:rPr>
        <w:t>5</w:t>
      </w:r>
      <w:r>
        <w:rPr>
          <w:rFonts w:ascii="KaiTi_GB2312" w:eastAsia="KaiTi_GB2312" w:cs="KaiTi_GB2312" w:hint="eastAsia"/>
          <w:color w:val="0000FF"/>
          <w:szCs w:val="21"/>
        </w:rPr>
        <w:t>年以上</w:t>
      </w:r>
      <w:r>
        <w:rPr>
          <w:rFonts w:ascii="KaiTi_GB2312" w:eastAsia="KaiTi_GB2312" w:cs="KaiTi_GB2312"/>
          <w:color w:val="0000FF"/>
          <w:szCs w:val="21"/>
        </w:rPr>
        <w:t>10</w:t>
      </w:r>
      <w:r>
        <w:rPr>
          <w:rFonts w:ascii="KaiTi_GB2312" w:eastAsia="KaiTi_GB2312" w:cs="KaiTi_GB2312" w:hint="eastAsia"/>
          <w:color w:val="0000FF"/>
          <w:szCs w:val="21"/>
        </w:rPr>
        <w:t>年以下监禁。</w:t>
      </w:r>
    </w:p>
    <w:p w:rsidR="00373976" w:rsidRDefault="00373976" w:rsidP="00373976">
      <w:pPr>
        <w:numPr>
          <w:ilvl w:val="0"/>
          <w:numId w:val="22"/>
        </w:numPr>
        <w:tabs>
          <w:tab w:val="clear" w:pos="480"/>
          <w:tab w:val="left" w:pos="525"/>
        </w:tabs>
        <w:spacing w:after="240" w:line="350" w:lineRule="exact"/>
        <w:ind w:left="0" w:firstLine="0"/>
        <w:jc w:val="both"/>
      </w:pPr>
      <w:r>
        <w:rPr>
          <w:rFonts w:cs="SimSun" w:hint="eastAsia"/>
        </w:rPr>
        <w:t>但是，由于法律存在矛盾之处，结果导致了对青少年的性剥削。在父母同意的情况下，法定的结婚年龄是</w:t>
      </w:r>
      <w:r>
        <w:t>14</w:t>
      </w:r>
      <w:r>
        <w:rPr>
          <w:rFonts w:cs="SimSun" w:hint="eastAsia"/>
        </w:rPr>
        <w:t>岁。根据这一法律规定，一名年长的男子与一名小于</w:t>
      </w:r>
      <w:r>
        <w:t>16</w:t>
      </w:r>
      <w:r>
        <w:rPr>
          <w:rFonts w:cs="SimSun" w:hint="eastAsia"/>
        </w:rPr>
        <w:t>岁的女孩发生了性关系后，如果他得到女孩父母的同意而与其结婚，将可逃避奸淫幼女的法律起诉。</w:t>
      </w:r>
    </w:p>
    <w:p w:rsidR="00373976" w:rsidRDefault="00373976" w:rsidP="00373976">
      <w:pPr>
        <w:numPr>
          <w:ilvl w:val="0"/>
          <w:numId w:val="22"/>
        </w:numPr>
        <w:tabs>
          <w:tab w:val="clear" w:pos="480"/>
          <w:tab w:val="left" w:pos="525"/>
        </w:tabs>
        <w:spacing w:after="240" w:line="350" w:lineRule="exact"/>
        <w:ind w:left="0" w:firstLine="0"/>
        <w:jc w:val="both"/>
      </w:pPr>
      <w:r>
        <w:rPr>
          <w:rFonts w:cs="SimSun" w:hint="eastAsia"/>
        </w:rPr>
        <w:t>依据</w:t>
      </w:r>
      <w:r>
        <w:t>2002</w:t>
      </w:r>
      <w:r>
        <w:rPr>
          <w:rFonts w:cs="SimSun" w:hint="eastAsia"/>
        </w:rPr>
        <w:t>年通过的《性健康和生殖健康政策》，伯利兹政府承诺：</w:t>
      </w:r>
    </w:p>
    <w:p w:rsidR="00373976" w:rsidRDefault="00373976" w:rsidP="009B38FD">
      <w:pPr>
        <w:tabs>
          <w:tab w:val="left" w:pos="525"/>
        </w:tabs>
        <w:spacing w:after="240" w:line="350" w:lineRule="exact"/>
        <w:ind w:leftChars="250" w:left="31680" w:firstLineChars="200" w:firstLine="31680"/>
        <w:rPr>
          <w:rFonts w:ascii="KaiTi_GB2312" w:eastAsia="KaiTi_GB2312"/>
          <w:color w:val="0000FF"/>
        </w:rPr>
      </w:pPr>
      <w:r>
        <w:rPr>
          <w:rFonts w:ascii="KaiTi_GB2312" w:eastAsia="KaiTi_GB2312" w:cs="KaiTi_GB2312" w:hint="eastAsia"/>
          <w:color w:val="0000FF"/>
        </w:rPr>
        <w:t>“修订、颁布和严格执行法律，以采取预防性措施保护儿童、妇女、青少年和老年人，使其免受任何形式的暴力和虐待”。</w:t>
      </w:r>
    </w:p>
    <w:p w:rsidR="00373976" w:rsidRDefault="00373976" w:rsidP="00373976">
      <w:pPr>
        <w:pStyle w:val="Date"/>
        <w:widowControl/>
        <w:numPr>
          <w:ilvl w:val="0"/>
          <w:numId w:val="22"/>
        </w:numPr>
        <w:tabs>
          <w:tab w:val="clear" w:pos="480"/>
          <w:tab w:val="left" w:pos="525"/>
        </w:tabs>
        <w:adjustRightInd/>
        <w:spacing w:after="240" w:line="350" w:lineRule="exact"/>
        <w:ind w:left="0" w:firstLine="0"/>
        <w:textAlignment w:val="auto"/>
      </w:pPr>
      <w:r>
        <w:rPr>
          <w:rFonts w:cs="SimSun" w:hint="eastAsia"/>
        </w:rPr>
        <w:t>虽然法律保护妇女免受性骚扰，但妇女目前并未利用法律来正式报告在工作场所受到的性骚扰事件。她们往往向妇女组织倾诉受到性骚扰的遭遇，但并不愿意对雇主提出指控，因为她们害怕自己受到注意，难以再找到工作。现在的当务之急是让公众认识到什么是性骚扰，并且认识到有一部当他们认为自己在工作中受到性骚扰时能够加以利用的法律。为此，《性别政策》指出：</w:t>
      </w:r>
    </w:p>
    <w:p w:rsidR="00373976" w:rsidRDefault="00373976" w:rsidP="009B38FD">
      <w:pPr>
        <w:numPr>
          <w:ilvl w:val="0"/>
          <w:numId w:val="49"/>
        </w:numPr>
        <w:tabs>
          <w:tab w:val="clear" w:pos="840"/>
          <w:tab w:val="num" w:pos="945"/>
        </w:tabs>
        <w:spacing w:after="240" w:line="350" w:lineRule="exact"/>
        <w:ind w:leftChars="250" w:left="31680"/>
        <w:jc w:val="both"/>
        <w:rPr>
          <w:rFonts w:ascii="KaiTi_GB2312" w:eastAsia="KaiTi_GB2312"/>
          <w:color w:val="0000FF"/>
        </w:rPr>
      </w:pPr>
      <w:r>
        <w:rPr>
          <w:rFonts w:ascii="KaiTi_GB2312" w:eastAsia="KaiTi_GB2312" w:cs="KaiTi_GB2312" w:hint="eastAsia"/>
          <w:color w:val="0000FF"/>
        </w:rPr>
        <w:t>“将重新审核《防止性骚扰法》的充分性、可操作性及公众对它的认识，以便制定出适当的措施，要么修订该法律，对专业人员进行培训以确保法律的执行，要么加强公众对该法律各条款的认识。</w:t>
      </w:r>
    </w:p>
    <w:p w:rsidR="00373976" w:rsidRDefault="00373976" w:rsidP="009B38FD">
      <w:pPr>
        <w:numPr>
          <w:ilvl w:val="0"/>
          <w:numId w:val="49"/>
        </w:numPr>
        <w:tabs>
          <w:tab w:val="clear" w:pos="840"/>
          <w:tab w:val="num" w:pos="945"/>
        </w:tabs>
        <w:spacing w:after="240" w:line="350" w:lineRule="exact"/>
        <w:ind w:leftChars="250" w:left="31680"/>
        <w:jc w:val="both"/>
        <w:rPr>
          <w:rFonts w:ascii="KaiTi_GB2312" w:eastAsia="KaiTi_GB2312"/>
          <w:color w:val="0000FF"/>
        </w:rPr>
      </w:pPr>
      <w:r>
        <w:rPr>
          <w:rFonts w:ascii="KaiTi_GB2312" w:eastAsia="KaiTi_GB2312" w:cs="KaiTi_GB2312" w:hint="eastAsia"/>
          <w:color w:val="0000FF"/>
        </w:rPr>
        <w:t>劳动部、教育部和住房部将与妇女事务部通力协作，加强公众对性骚扰法律条款及投诉机制的认识，以保证不会产生不利的后果。</w:t>
      </w:r>
    </w:p>
    <w:p w:rsidR="00373976" w:rsidRDefault="00373976" w:rsidP="009B38FD">
      <w:pPr>
        <w:numPr>
          <w:ilvl w:val="0"/>
          <w:numId w:val="49"/>
        </w:numPr>
        <w:tabs>
          <w:tab w:val="clear" w:pos="840"/>
          <w:tab w:val="num" w:pos="945"/>
        </w:tabs>
        <w:spacing w:after="240" w:line="350" w:lineRule="exact"/>
        <w:ind w:leftChars="250" w:left="31680"/>
        <w:jc w:val="both"/>
        <w:rPr>
          <w:rFonts w:ascii="KaiTi_GB2312" w:eastAsia="KaiTi_GB2312"/>
          <w:color w:val="0000FF"/>
        </w:rPr>
      </w:pPr>
      <w:r>
        <w:rPr>
          <w:rFonts w:ascii="KaiTi_GB2312" w:eastAsia="KaiTi_GB2312" w:cs="KaiTi_GB2312" w:hint="eastAsia"/>
          <w:color w:val="0000FF"/>
        </w:rPr>
        <w:t>劳动部和教育部将与妇女事务部通力协作，编制工作场所性骚扰示范政策和内部投诉处理程序，并积极地向地方工作场所推广，其中包括私营部门和教会学校管理机构。</w:t>
      </w:r>
    </w:p>
    <w:p w:rsidR="00373976" w:rsidRDefault="00373976" w:rsidP="009B38FD">
      <w:pPr>
        <w:numPr>
          <w:ilvl w:val="0"/>
          <w:numId w:val="49"/>
        </w:numPr>
        <w:tabs>
          <w:tab w:val="clear" w:pos="840"/>
          <w:tab w:val="num" w:pos="945"/>
        </w:tabs>
        <w:spacing w:after="240" w:line="350" w:lineRule="exact"/>
        <w:ind w:leftChars="250" w:left="31680"/>
        <w:jc w:val="both"/>
        <w:rPr>
          <w:rFonts w:ascii="KaiTi_GB2312" w:eastAsia="KaiTi_GB2312"/>
          <w:color w:val="0000FF"/>
        </w:rPr>
      </w:pPr>
      <w:r>
        <w:rPr>
          <w:rFonts w:ascii="KaiTi_GB2312" w:eastAsia="KaiTi_GB2312" w:cs="KaiTi_GB2312" w:hint="eastAsia"/>
          <w:color w:val="0000FF"/>
        </w:rPr>
        <w:t>伯利兹政府将对推行强制报告性骚扰的法令所具备的优势进行评估。”</w:t>
      </w:r>
    </w:p>
    <w:p w:rsidR="00373976" w:rsidRDefault="00373976" w:rsidP="00373976">
      <w:pPr>
        <w:numPr>
          <w:ilvl w:val="0"/>
          <w:numId w:val="22"/>
        </w:numPr>
        <w:tabs>
          <w:tab w:val="clear" w:pos="480"/>
          <w:tab w:val="left" w:pos="525"/>
        </w:tabs>
        <w:spacing w:after="240" w:line="350" w:lineRule="exact"/>
        <w:ind w:left="0" w:firstLine="0"/>
        <w:jc w:val="both"/>
      </w:pPr>
      <w:r>
        <w:rPr>
          <w:rFonts w:cs="SimSun" w:hint="eastAsia"/>
        </w:rPr>
        <w:t>对《工资委员会法》进行了修订，以便通过法律手段，消除男子或妇女占主导地位的工作中设定的最低工资差别。</w:t>
      </w:r>
    </w:p>
    <w:p w:rsidR="00373976" w:rsidRDefault="00373976" w:rsidP="00373976">
      <w:pPr>
        <w:numPr>
          <w:ilvl w:val="0"/>
          <w:numId w:val="22"/>
        </w:numPr>
        <w:tabs>
          <w:tab w:val="clear" w:pos="480"/>
          <w:tab w:val="left" w:pos="525"/>
        </w:tabs>
        <w:spacing w:after="240" w:line="350" w:lineRule="exact"/>
        <w:ind w:left="0" w:firstLine="0"/>
        <w:jc w:val="both"/>
      </w:pPr>
      <w:r>
        <w:rPr>
          <w:rFonts w:cs="SimSun" w:hint="eastAsia"/>
        </w:rPr>
        <w:t>伯利兹废除了《已婚人员保护法》中所包含的歧视性规定，从而使法院在做出有关子女监护和抚养方面的裁定时不必再考虑母亲的私人生活。</w:t>
      </w:r>
    </w:p>
    <w:p w:rsidR="00373976" w:rsidRDefault="00373976" w:rsidP="00373976">
      <w:pPr>
        <w:numPr>
          <w:ilvl w:val="0"/>
          <w:numId w:val="22"/>
        </w:numPr>
        <w:tabs>
          <w:tab w:val="clear" w:pos="480"/>
          <w:tab w:val="left" w:pos="525"/>
        </w:tabs>
        <w:spacing w:after="240" w:line="350" w:lineRule="exact"/>
        <w:ind w:left="0" w:firstLine="0"/>
        <w:jc w:val="both"/>
      </w:pPr>
      <w:r>
        <w:rPr>
          <w:rFonts w:cs="SimSun" w:hint="eastAsia"/>
        </w:rPr>
        <w:t>伯利兹对《最高法院司法法》进行了修订，确保在分割婚姻财产时，将着重考虑照顾家庭和家庭责任的经济</w:t>
      </w:r>
      <w:r>
        <w:t>/</w:t>
      </w:r>
      <w:r>
        <w:rPr>
          <w:rFonts w:cs="SimSun" w:hint="eastAsia"/>
        </w:rPr>
        <w:t>货币价值。</w:t>
      </w:r>
    </w:p>
    <w:p w:rsidR="00373976" w:rsidRDefault="00373976" w:rsidP="00373976">
      <w:pPr>
        <w:numPr>
          <w:ilvl w:val="0"/>
          <w:numId w:val="22"/>
        </w:numPr>
        <w:tabs>
          <w:tab w:val="clear" w:pos="480"/>
          <w:tab w:val="left" w:pos="525"/>
        </w:tabs>
        <w:spacing w:after="240" w:line="350" w:lineRule="exact"/>
        <w:ind w:left="0" w:firstLine="0"/>
        <w:jc w:val="both"/>
      </w:pPr>
      <w:r>
        <w:rPr>
          <w:rFonts w:cs="SimSun" w:hint="eastAsia"/>
        </w:rPr>
        <w:t>《房地产管理法》经过修订，规定了同居双方的继承权。</w:t>
      </w:r>
    </w:p>
    <w:p w:rsidR="00373976" w:rsidRDefault="00373976" w:rsidP="00373976">
      <w:pPr>
        <w:numPr>
          <w:ilvl w:val="0"/>
          <w:numId w:val="22"/>
        </w:numPr>
        <w:tabs>
          <w:tab w:val="clear" w:pos="480"/>
          <w:tab w:val="left" w:pos="525"/>
        </w:tabs>
        <w:spacing w:after="240" w:line="350" w:lineRule="exact"/>
        <w:ind w:left="0" w:firstLine="0"/>
        <w:jc w:val="both"/>
      </w:pPr>
      <w:r>
        <w:rPr>
          <w:rFonts w:cs="SimSun" w:hint="eastAsia"/>
        </w:rPr>
        <w:t>伯利兹还通过了《禁止贩运人口法》，以处理一些人因移民身份或怀孕、残疾、酗酒或吸毒、未成年等原因而被迫劳动或服务所带来的日益严重的问题。该法还有效地执行了《关于预防、禁止和惩治贩运人口特别是妇女和儿童行为的补充议定书》。</w:t>
      </w:r>
    </w:p>
    <w:p w:rsidR="00373976" w:rsidRDefault="00373976" w:rsidP="00373976">
      <w:pPr>
        <w:numPr>
          <w:ilvl w:val="0"/>
          <w:numId w:val="22"/>
        </w:numPr>
        <w:tabs>
          <w:tab w:val="clear" w:pos="480"/>
          <w:tab w:val="left" w:pos="525"/>
        </w:tabs>
        <w:spacing w:after="240" w:line="350" w:lineRule="exact"/>
        <w:ind w:left="0" w:firstLine="0"/>
        <w:jc w:val="both"/>
      </w:pPr>
      <w:r>
        <w:rPr>
          <w:rFonts w:cs="SimSun" w:hint="eastAsia"/>
        </w:rPr>
        <w:t>伯利兹认识到，必须继续修订相关法律，以确保消除一切形式的性别歧视和对妇女的不平等待遇。如《国家性别政策》所述，人们发现，“旨在实现性别平等的政策和法律改革往往无法产生预期的结果，即它们在效果方面仍然是不公平的”。因此，在这方面，贯彻执行是取得实质性进展的关键。</w:t>
      </w:r>
    </w:p>
    <w:p w:rsidR="00373976" w:rsidRDefault="00373976" w:rsidP="00373976">
      <w:pPr>
        <w:numPr>
          <w:ilvl w:val="0"/>
          <w:numId w:val="22"/>
        </w:numPr>
        <w:tabs>
          <w:tab w:val="clear" w:pos="480"/>
          <w:tab w:val="left" w:pos="525"/>
        </w:tabs>
        <w:spacing w:after="240" w:line="350" w:lineRule="exact"/>
        <w:ind w:left="0" w:firstLine="0"/>
        <w:jc w:val="both"/>
      </w:pPr>
      <w:r>
        <w:t xml:space="preserve"> </w:t>
      </w:r>
      <w:r>
        <w:rPr>
          <w:rFonts w:cs="SimSun" w:hint="eastAsia"/>
        </w:rPr>
        <w:t>虽然已经通过了《家庭暴力法》，但世俗态度阻碍了该法律规定的有效应用和执行。一个实际的家庭暴力案件就证明了这一点：某地方法院的审判长拒绝向受虐待的妇女提供保护令，反而判决她“再给她的丈夫一个机会”。如果在社会保护和司法系统中没有改变歧视性观念和惯例的方案，法律改革仍将无法在消除对妇女的一切形式歧视方面起到举足轻重的作用。</w:t>
      </w:r>
    </w:p>
    <w:p w:rsidR="00373976" w:rsidRDefault="00373976" w:rsidP="00373976">
      <w:pPr>
        <w:numPr>
          <w:ilvl w:val="0"/>
          <w:numId w:val="22"/>
        </w:numPr>
        <w:tabs>
          <w:tab w:val="clear" w:pos="480"/>
          <w:tab w:val="left" w:pos="525"/>
        </w:tabs>
        <w:spacing w:after="240" w:line="350" w:lineRule="exact"/>
        <w:ind w:left="0" w:firstLine="0"/>
        <w:jc w:val="both"/>
        <w:rPr>
          <w:color w:val="000000"/>
        </w:rPr>
      </w:pPr>
      <w:r>
        <w:rPr>
          <w:rFonts w:cs="SimSun" w:hint="eastAsia"/>
        </w:rPr>
        <w:t>最近的一个案件表明必须认识到这一点。在这个案件中，一位女律师因穿着便裤而被禁止进入法庭。这一举动引起了法律方面的争议，促使司法部长迅速进行了干预，以保护妇女出庭时选择穿着便装的权利。这也使得律师协会为新的着装规范认可和批准了一项“行为指南”。这一“行为指南”正等待首席法官的签署，以便正式启动新的着装规范。</w:t>
      </w:r>
    </w:p>
    <w:p w:rsidR="00373976" w:rsidRDefault="00373976" w:rsidP="00373976">
      <w:pPr>
        <w:numPr>
          <w:ilvl w:val="0"/>
          <w:numId w:val="22"/>
        </w:numPr>
        <w:tabs>
          <w:tab w:val="clear" w:pos="480"/>
          <w:tab w:val="left" w:pos="525"/>
        </w:tabs>
        <w:spacing w:after="240" w:line="350" w:lineRule="exact"/>
        <w:ind w:left="0" w:firstLine="0"/>
        <w:jc w:val="both"/>
        <w:rPr>
          <w:color w:val="000000"/>
        </w:rPr>
      </w:pPr>
      <w:r>
        <w:rPr>
          <w:rFonts w:cs="SimSun" w:hint="eastAsia"/>
          <w:color w:val="000000"/>
        </w:rPr>
        <w:t>伯利兹政府修订了《宪法》，列入了关于“确保性别平等”的陈述。但还未对一同提出的其他建议做出决定，只有根据这些建议，消除实现性别公正和平等方面的文化、社会和结构障碍，这一修订才能有效。</w:t>
      </w:r>
    </w:p>
    <w:p w:rsidR="00373976" w:rsidRDefault="00373976" w:rsidP="00373976">
      <w:pPr>
        <w:numPr>
          <w:ilvl w:val="0"/>
          <w:numId w:val="22"/>
        </w:numPr>
        <w:tabs>
          <w:tab w:val="clear" w:pos="480"/>
          <w:tab w:val="left" w:pos="525"/>
        </w:tabs>
        <w:spacing w:after="240" w:line="340" w:lineRule="exact"/>
        <w:ind w:left="0" w:firstLine="0"/>
        <w:jc w:val="both"/>
        <w:rPr>
          <w:color w:val="000000"/>
        </w:rPr>
      </w:pPr>
      <w:r>
        <w:rPr>
          <w:rFonts w:cs="SimSun" w:hint="eastAsia"/>
          <w:color w:val="000000"/>
        </w:rPr>
        <w:t>这些由</w:t>
      </w:r>
      <w:r>
        <w:rPr>
          <w:rFonts w:cs="SimSun" w:hint="eastAsia"/>
        </w:rPr>
        <w:t>政治改革委员会</w:t>
      </w:r>
      <w:r>
        <w:rPr>
          <w:rFonts w:cs="SimSun" w:hint="eastAsia"/>
          <w:color w:val="000000"/>
        </w:rPr>
        <w:t>提出的建议包括：</w:t>
      </w:r>
      <w:r>
        <w:rPr>
          <w:color w:val="000000"/>
        </w:rPr>
        <w:t xml:space="preserve">a) </w:t>
      </w:r>
      <w:r>
        <w:rPr>
          <w:rFonts w:cs="SimSun" w:hint="eastAsia"/>
          <w:color w:val="000000"/>
        </w:rPr>
        <w:t>在《宪法》所有新的修正案和所有的新立法中，使用不带性别色彩的语言；</w:t>
      </w:r>
      <w:r>
        <w:rPr>
          <w:color w:val="000000"/>
        </w:rPr>
        <w:t xml:space="preserve">b) </w:t>
      </w:r>
      <w:r>
        <w:rPr>
          <w:rFonts w:cs="SimSun" w:hint="eastAsia"/>
          <w:color w:val="000000"/>
        </w:rPr>
        <w:t>为儿童保育提供支助，以保证妇女在与男子平等的基础上享有她们的基本自由和权利；</w:t>
      </w:r>
      <w:r>
        <w:rPr>
          <w:color w:val="000000"/>
        </w:rPr>
        <w:t xml:space="preserve">c) </w:t>
      </w:r>
      <w:r>
        <w:rPr>
          <w:rFonts w:cs="SimSun" w:hint="eastAsia"/>
          <w:color w:val="000000"/>
        </w:rPr>
        <w:t>将性别认识教育贯穿于整个学校教育体系；</w:t>
      </w:r>
      <w:r>
        <w:rPr>
          <w:color w:val="000000"/>
        </w:rPr>
        <w:t xml:space="preserve">d) </w:t>
      </w:r>
      <w:r>
        <w:rPr>
          <w:rFonts w:cs="SimSun" w:hint="eastAsia"/>
          <w:color w:val="000000"/>
        </w:rPr>
        <w:t>通过公共基金资助的机构，防止性别歧视。</w:t>
      </w:r>
    </w:p>
    <w:p w:rsidR="00373976" w:rsidRDefault="00373976" w:rsidP="00373976">
      <w:pPr>
        <w:pStyle w:val="H2"/>
        <w:spacing w:line="340" w:lineRule="exact"/>
        <w:rPr>
          <w:rFonts w:ascii="Times New Roman" w:cs="Times New Roman"/>
          <w:sz w:val="24"/>
          <w:szCs w:val="24"/>
          <w:lang w:val="en-US"/>
        </w:rPr>
      </w:pPr>
      <w:r>
        <w:rPr>
          <w:rFonts w:ascii="Times New Roman" w:hint="eastAsia"/>
          <w:sz w:val="24"/>
          <w:szCs w:val="24"/>
          <w:lang w:val="en-US"/>
        </w:rPr>
        <w:t>确保对妇女进行法律保护的机制</w:t>
      </w:r>
    </w:p>
    <w:p w:rsidR="00373976" w:rsidRDefault="00373976" w:rsidP="00373976">
      <w:pPr>
        <w:numPr>
          <w:ilvl w:val="0"/>
          <w:numId w:val="22"/>
        </w:numPr>
        <w:tabs>
          <w:tab w:val="clear" w:pos="480"/>
          <w:tab w:val="left" w:pos="525"/>
        </w:tabs>
        <w:spacing w:after="240" w:line="340" w:lineRule="exact"/>
        <w:ind w:left="0" w:firstLine="0"/>
        <w:jc w:val="both"/>
      </w:pPr>
      <w:r>
        <w:rPr>
          <w:rFonts w:cs="SimSun" w:hint="eastAsia"/>
        </w:rPr>
        <w:t>很显然，虽然有制定政策、推动变革和实施国家行动战略的机制存在，但用于评估各项政策和立法对妇女状况影响的措施仍显不足，并且缺乏对公约执行情况的监督。许多部门都对妇女状况进行了研究，但在广泛分发有关伯利兹妇女状况的报告，以及努力提高妇女地位的不同机构之间的信息交换方面仍做得不够。</w:t>
      </w:r>
    </w:p>
    <w:p w:rsidR="00373976" w:rsidRDefault="00373976" w:rsidP="00373976">
      <w:pPr>
        <w:numPr>
          <w:ilvl w:val="0"/>
          <w:numId w:val="22"/>
        </w:numPr>
        <w:tabs>
          <w:tab w:val="clear" w:pos="480"/>
          <w:tab w:val="left" w:pos="525"/>
        </w:tabs>
        <w:spacing w:after="240" w:line="340" w:lineRule="exact"/>
        <w:ind w:left="0" w:firstLine="0"/>
        <w:jc w:val="both"/>
      </w:pPr>
      <w:r>
        <w:rPr>
          <w:rFonts w:cs="SimSun" w:hint="eastAsia"/>
        </w:rPr>
        <w:t>妇女事务部通过它的政策部门，负责将性别观点</w:t>
      </w:r>
      <w:r>
        <w:rPr>
          <w:rFonts w:cs="SimSun" w:hint="eastAsia"/>
          <w:spacing w:val="2"/>
        </w:rPr>
        <w:t>纳入各级政府的主流。但由于缺乏财力和人力，影响了它所发挥的这一作用。不过，尽管有这些主要的限制，该部的关键人物仍在推动其他政府部门采取以政策为重点的措施。例如，卫生部就对《性健康和生殖健康政策》的制定进行了协调。</w:t>
      </w:r>
    </w:p>
    <w:p w:rsidR="00373976" w:rsidRDefault="00373976" w:rsidP="00373976">
      <w:pPr>
        <w:numPr>
          <w:ilvl w:val="0"/>
          <w:numId w:val="22"/>
        </w:numPr>
        <w:tabs>
          <w:tab w:val="clear" w:pos="480"/>
          <w:tab w:val="left" w:pos="525"/>
        </w:tabs>
        <w:spacing w:after="240" w:line="340" w:lineRule="exact"/>
        <w:ind w:left="0" w:firstLine="0"/>
        <w:jc w:val="both"/>
      </w:pPr>
      <w:r>
        <w:rPr>
          <w:rFonts w:cs="SimSun" w:hint="eastAsia"/>
        </w:rPr>
        <w:t>全国妇女委员会</w:t>
      </w:r>
      <w:r>
        <w:rPr>
          <w:rFonts w:eastAsia="STFangsong" w:cs="STFangsong" w:hint="eastAsia"/>
        </w:rPr>
        <w:t>（</w:t>
      </w:r>
      <w:r>
        <w:rPr>
          <w:rFonts w:eastAsia="STFangsong"/>
        </w:rPr>
        <w:t>NWC</w:t>
      </w:r>
      <w:r>
        <w:rPr>
          <w:rFonts w:eastAsia="STFangsong" w:cs="STFangsong" w:hint="eastAsia"/>
        </w:rPr>
        <w:t>）</w:t>
      </w:r>
      <w:r>
        <w:rPr>
          <w:rFonts w:cs="SimSun" w:hint="eastAsia"/>
        </w:rPr>
        <w:t>是一个由内阁任命的机构，负责就促进性别公正和平等方面的事项向政府提出建议。在过去的</w:t>
      </w:r>
      <w:r>
        <w:t>5</w:t>
      </w:r>
      <w:r>
        <w:rPr>
          <w:rFonts w:cs="SimSun" w:hint="eastAsia"/>
        </w:rPr>
        <w:t>年里，全国妇女委员会承担了监督《消除对妇女一切形式歧视公约》（《消除对妇女歧视公约》）的执行情况和确保制定的地方政策和法律符合该公约各项条款的职责。该委员会取得的一项重要成就是制定了《性别政策》，该《政策》随后于</w:t>
      </w:r>
      <w:r>
        <w:t>2002</w:t>
      </w:r>
      <w:r>
        <w:rPr>
          <w:rFonts w:cs="SimSun" w:hint="eastAsia"/>
        </w:rPr>
        <w:t>年得到内阁的批准。</w:t>
      </w:r>
    </w:p>
    <w:p w:rsidR="00373976" w:rsidRDefault="00373976" w:rsidP="00373976">
      <w:pPr>
        <w:numPr>
          <w:ilvl w:val="0"/>
          <w:numId w:val="22"/>
        </w:numPr>
        <w:tabs>
          <w:tab w:val="clear" w:pos="480"/>
          <w:tab w:val="left" w:pos="525"/>
        </w:tabs>
        <w:spacing w:after="240" w:line="340" w:lineRule="exact"/>
        <w:ind w:left="0" w:firstLine="0"/>
        <w:jc w:val="both"/>
      </w:pPr>
      <w:r>
        <w:rPr>
          <w:rFonts w:cs="SimSun" w:hint="eastAsia"/>
        </w:rPr>
        <w:t>《国家性别政策》在健康、财富和就业机会、暴力产生的条件、教育和技能培训、权力和决策、协调和实施等领域做出了</w:t>
      </w:r>
      <w:r>
        <w:t>215</w:t>
      </w:r>
      <w:r>
        <w:rPr>
          <w:rFonts w:cs="SimSun" w:hint="eastAsia"/>
        </w:rPr>
        <w:t>项承诺。值得一提的是，虽然财政部承诺拨出预算用于实施《性健康和生殖健康政策》，但在实施《国家性别政策》方面，并没有得到类似的财政承诺。</w:t>
      </w:r>
    </w:p>
    <w:p w:rsidR="00373976" w:rsidRDefault="00373976" w:rsidP="00373976">
      <w:pPr>
        <w:numPr>
          <w:ilvl w:val="0"/>
          <w:numId w:val="22"/>
        </w:numPr>
        <w:tabs>
          <w:tab w:val="clear" w:pos="480"/>
          <w:tab w:val="left" w:pos="525"/>
        </w:tabs>
        <w:spacing w:after="240" w:line="340" w:lineRule="exact"/>
        <w:ind w:left="0" w:firstLine="0"/>
        <w:jc w:val="both"/>
      </w:pPr>
      <w:r>
        <w:rPr>
          <w:rFonts w:cs="SimSun" w:hint="eastAsia"/>
        </w:rPr>
        <w:t>虽然全国妇女委员会的一些成员在政策制定和监督方面有很高的造诣，但委员会作为一个机构，历来缺乏对妇女权利的政治敏感性。这一弱点应归咎于委员的任命过程，因为任命时更多地看重政治派别而不是性别方面的专业知识。因此，要保持现有的政策一级的倡议，将取决于</w:t>
      </w:r>
      <w:r>
        <w:t>NWC</w:t>
      </w:r>
      <w:r>
        <w:rPr>
          <w:rFonts w:cs="SimSun" w:hint="eastAsia"/>
        </w:rPr>
        <w:t>能否成为一个更加独立的机构。</w:t>
      </w:r>
    </w:p>
    <w:p w:rsidR="00373976" w:rsidRDefault="00373976" w:rsidP="00373976">
      <w:pPr>
        <w:numPr>
          <w:ilvl w:val="0"/>
          <w:numId w:val="22"/>
        </w:numPr>
        <w:tabs>
          <w:tab w:val="clear" w:pos="480"/>
          <w:tab w:val="left" w:pos="525"/>
        </w:tabs>
        <w:spacing w:after="240" w:line="340" w:lineRule="exact"/>
        <w:ind w:left="0" w:firstLine="0"/>
        <w:jc w:val="both"/>
      </w:pPr>
      <w:r>
        <w:t>1999</w:t>
      </w:r>
      <w:r>
        <w:rPr>
          <w:rFonts w:cs="SimSun" w:hint="eastAsia"/>
        </w:rPr>
        <w:t>年，伯利兹政府成立了监察员办公室。但由于体制能力问题和缺乏清晰的战略来防止公民特别是妇女和儿童的人权受到侵犯或防止他们遭受基于性别的暴力，该办公室的作用非常有限。</w:t>
      </w:r>
    </w:p>
    <w:p w:rsidR="00373976" w:rsidRDefault="00373976" w:rsidP="00373976">
      <w:pPr>
        <w:numPr>
          <w:ilvl w:val="0"/>
          <w:numId w:val="22"/>
        </w:numPr>
        <w:tabs>
          <w:tab w:val="clear" w:pos="480"/>
          <w:tab w:val="left" w:pos="525"/>
        </w:tabs>
        <w:spacing w:after="240" w:line="340" w:lineRule="exact"/>
        <w:ind w:left="0" w:firstLine="0"/>
        <w:jc w:val="both"/>
        <w:rPr>
          <w:color w:val="FF6600"/>
        </w:rPr>
      </w:pPr>
      <w:r>
        <w:rPr>
          <w:rFonts w:cs="SimSun" w:hint="eastAsia"/>
        </w:rPr>
        <w:t>伯利兹的妇女组织在倡导完善政策以提高妇女地位方面发挥着至关重要的作用。举例来说，正是妇女组织：</w:t>
      </w:r>
      <w:r>
        <w:t xml:space="preserve">a) </w:t>
      </w:r>
      <w:r>
        <w:rPr>
          <w:rFonts w:cs="SimSun" w:hint="eastAsia"/>
        </w:rPr>
        <w:t>推动了《防止家庭暴力法》的通过；</w:t>
      </w:r>
      <w:r>
        <w:t>b)</w:t>
      </w:r>
      <w:r>
        <w:rPr>
          <w:rFonts w:cs="SimSun" w:hint="eastAsia"/>
        </w:rPr>
        <w:t>持续发起修订最低工资法，确保性别平等的运动。不过，其势头已不如</w:t>
      </w:r>
      <w:r>
        <w:t>1980</w:t>
      </w:r>
      <w:r>
        <w:rPr>
          <w:rFonts w:cs="SimSun" w:hint="eastAsia"/>
        </w:rPr>
        <w:t>年代和</w:t>
      </w:r>
      <w:r>
        <w:t>1990</w:t>
      </w:r>
      <w:r>
        <w:rPr>
          <w:rFonts w:cs="SimSun" w:hint="eastAsia"/>
        </w:rPr>
        <w:t>年代中期，过去</w:t>
      </w:r>
      <w:r>
        <w:t>5</w:t>
      </w:r>
      <w:r>
        <w:rPr>
          <w:rFonts w:cs="SimSun" w:hint="eastAsia"/>
        </w:rPr>
        <w:t>年里，妇女运动呈现出减弱的趋势。“伯利兹妇女与发展组织”、“伯利兹农村妇女协会”和“妇女反暴力运动”等几个重要的妇女组织如因缺乏财力来维持常设办公室和雇请人手开展工作，要么已经消亡，要么仅仅是勉强运作。</w:t>
      </w:r>
    </w:p>
    <w:p w:rsidR="00373976" w:rsidRDefault="00373976" w:rsidP="00373976">
      <w:pPr>
        <w:numPr>
          <w:ilvl w:val="0"/>
          <w:numId w:val="22"/>
        </w:numPr>
        <w:tabs>
          <w:tab w:val="clear" w:pos="480"/>
          <w:tab w:val="left" w:pos="525"/>
        </w:tabs>
        <w:spacing w:after="240" w:line="340" w:lineRule="exact"/>
        <w:ind w:left="0" w:firstLine="0"/>
        <w:jc w:val="both"/>
        <w:rPr>
          <w:color w:val="FF6600"/>
        </w:rPr>
      </w:pPr>
      <w:r>
        <w:rPr>
          <w:rFonts w:cs="SimSun" w:hint="eastAsia"/>
        </w:rPr>
        <w:t>就在伯利兹集中精力完善政策制定机制、提倡司法改革的同时，政府机构和妇女组织的整体能力问题导致了在衡量和评估各项政策和法律对妇女地位的影响方面缺乏机制和程序。</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第</w:t>
      </w:r>
      <w:r>
        <w:rPr>
          <w:rFonts w:ascii="SimHei" w:eastAsia="SimHei" w:cs="SimHei"/>
          <w:color w:val="FF0000"/>
          <w:sz w:val="28"/>
          <w:szCs w:val="28"/>
        </w:rPr>
        <w:t>3</w:t>
      </w:r>
      <w:r>
        <w:rPr>
          <w:rFonts w:ascii="SimHei" w:eastAsia="SimHei" w:cs="SimHei" w:hint="eastAsia"/>
          <w:color w:val="FF0000"/>
          <w:sz w:val="28"/>
          <w:szCs w:val="28"/>
        </w:rPr>
        <w:t>条</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妇女的发展与进步</w:t>
      </w:r>
    </w:p>
    <w:p w:rsidR="00373976" w:rsidRDefault="00373976" w:rsidP="00373976">
      <w:pPr>
        <w:pStyle w:val="Subtitle"/>
        <w:pBdr>
          <w:top w:val="single" w:sz="4" w:space="1" w:color="auto"/>
        </w:pBdr>
        <w:tabs>
          <w:tab w:val="left" w:pos="525"/>
        </w:tabs>
        <w:spacing w:line="360" w:lineRule="exact"/>
        <w:jc w:val="both"/>
        <w:rPr>
          <w:rFonts w:eastAsia="SimHei"/>
          <w:sz w:val="21"/>
          <w:szCs w:val="21"/>
          <w:lang w:eastAsia="zh-CN"/>
        </w:rPr>
      </w:pPr>
    </w:p>
    <w:p w:rsidR="00373976" w:rsidRDefault="00373976" w:rsidP="009B38FD">
      <w:pPr>
        <w:tabs>
          <w:tab w:val="left" w:pos="525"/>
        </w:tabs>
        <w:spacing w:after="240" w:line="360" w:lineRule="exact"/>
        <w:ind w:firstLineChars="250" w:firstLine="31680"/>
        <w:rPr>
          <w:rFonts w:ascii="KaiTi_GB2312" w:eastAsia="KaiTi_GB2312"/>
          <w:color w:val="0000FF"/>
        </w:rPr>
      </w:pPr>
      <w:r>
        <w:rPr>
          <w:rFonts w:ascii="KaiTi_GB2312" w:eastAsia="KaiTi_GB2312" w:cs="KaiTi_GB2312" w:hint="eastAsia"/>
          <w:color w:val="0000FF"/>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373976" w:rsidRDefault="00373976" w:rsidP="00373976">
      <w:pPr>
        <w:numPr>
          <w:ilvl w:val="0"/>
          <w:numId w:val="22"/>
        </w:numPr>
        <w:tabs>
          <w:tab w:val="clear" w:pos="480"/>
          <w:tab w:val="left" w:pos="525"/>
        </w:tabs>
        <w:spacing w:after="240" w:line="360" w:lineRule="exact"/>
        <w:ind w:left="0" w:firstLine="0"/>
        <w:jc w:val="both"/>
      </w:pPr>
      <w:r>
        <w:t>2000</w:t>
      </w:r>
      <w:r>
        <w:rPr>
          <w:rFonts w:cs="SimSun" w:hint="eastAsia"/>
        </w:rPr>
        <w:t>年，伯利兹成为国际劳工组织（劳工组织）以下公约的签署国：</w:t>
      </w:r>
    </w:p>
    <w:p w:rsidR="00373976" w:rsidRDefault="00373976" w:rsidP="00373976">
      <w:pPr>
        <w:numPr>
          <w:ilvl w:val="0"/>
          <w:numId w:val="48"/>
        </w:numPr>
        <w:tabs>
          <w:tab w:val="clear" w:pos="1440"/>
          <w:tab w:val="num" w:pos="960"/>
        </w:tabs>
        <w:spacing w:after="240" w:line="360" w:lineRule="exact"/>
        <w:ind w:left="960" w:hanging="435"/>
        <w:jc w:val="both"/>
      </w:pPr>
      <w:r>
        <w:rPr>
          <w:rFonts w:cs="SimSun" w:hint="eastAsia"/>
        </w:rPr>
        <w:t>劳工组织关于男女同工同酬的第</w:t>
      </w:r>
      <w:r>
        <w:t>100</w:t>
      </w:r>
      <w:r>
        <w:rPr>
          <w:rFonts w:cs="SimSun" w:hint="eastAsia"/>
        </w:rPr>
        <w:t>号公约，；</w:t>
      </w:r>
    </w:p>
    <w:p w:rsidR="00373976" w:rsidRDefault="00373976" w:rsidP="00373976">
      <w:pPr>
        <w:numPr>
          <w:ilvl w:val="0"/>
          <w:numId w:val="48"/>
        </w:numPr>
        <w:tabs>
          <w:tab w:val="clear" w:pos="1440"/>
          <w:tab w:val="num" w:pos="960"/>
        </w:tabs>
        <w:spacing w:after="240" w:line="360" w:lineRule="exact"/>
        <w:ind w:left="960" w:hanging="435"/>
        <w:jc w:val="both"/>
      </w:pPr>
      <w:r>
        <w:rPr>
          <w:rFonts w:cs="SimSun" w:hint="eastAsia"/>
        </w:rPr>
        <w:t>劳工组织关于产妇保护的第</w:t>
      </w:r>
      <w:r>
        <w:t>103</w:t>
      </w:r>
      <w:r>
        <w:rPr>
          <w:rFonts w:cs="SimSun" w:hint="eastAsia"/>
        </w:rPr>
        <w:t>号公约；</w:t>
      </w:r>
    </w:p>
    <w:p w:rsidR="00373976" w:rsidRDefault="00373976" w:rsidP="00373976">
      <w:pPr>
        <w:numPr>
          <w:ilvl w:val="0"/>
          <w:numId w:val="48"/>
        </w:numPr>
        <w:tabs>
          <w:tab w:val="clear" w:pos="1440"/>
          <w:tab w:val="num" w:pos="960"/>
        </w:tabs>
        <w:spacing w:after="240" w:line="360" w:lineRule="exact"/>
        <w:ind w:left="960" w:hanging="435"/>
        <w:jc w:val="both"/>
      </w:pPr>
      <w:r>
        <w:rPr>
          <w:rFonts w:cs="SimSun" w:hint="eastAsia"/>
        </w:rPr>
        <w:t>劳工组织关于就业和职业歧视的第</w:t>
      </w:r>
      <w:r>
        <w:t>111</w:t>
      </w:r>
      <w:r>
        <w:rPr>
          <w:rFonts w:cs="SimSun" w:hint="eastAsia"/>
        </w:rPr>
        <w:t>号公约；</w:t>
      </w:r>
    </w:p>
    <w:p w:rsidR="00373976" w:rsidRDefault="00373976" w:rsidP="00373976">
      <w:pPr>
        <w:numPr>
          <w:ilvl w:val="0"/>
          <w:numId w:val="48"/>
        </w:numPr>
        <w:tabs>
          <w:tab w:val="clear" w:pos="1440"/>
          <w:tab w:val="num" w:pos="960"/>
        </w:tabs>
        <w:spacing w:after="240" w:line="360" w:lineRule="exact"/>
        <w:ind w:left="960" w:hanging="435"/>
        <w:jc w:val="both"/>
      </w:pPr>
      <w:r>
        <w:rPr>
          <w:rFonts w:cs="SimSun" w:hint="eastAsia"/>
        </w:rPr>
        <w:t>劳工组织关于男女工人、有家庭负担的工人同等待遇的第</w:t>
      </w:r>
      <w:r>
        <w:t>156</w:t>
      </w:r>
      <w:r>
        <w:rPr>
          <w:rFonts w:cs="SimSun" w:hint="eastAsia"/>
        </w:rPr>
        <w:t>号公约。</w:t>
      </w:r>
    </w:p>
    <w:p w:rsidR="00373976" w:rsidRDefault="00373976" w:rsidP="00373976">
      <w:pPr>
        <w:numPr>
          <w:ilvl w:val="0"/>
          <w:numId w:val="22"/>
        </w:numPr>
        <w:tabs>
          <w:tab w:val="clear" w:pos="480"/>
          <w:tab w:val="left" w:pos="525"/>
        </w:tabs>
        <w:spacing w:after="240" w:line="360" w:lineRule="exact"/>
        <w:ind w:left="0" w:firstLine="0"/>
        <w:jc w:val="both"/>
      </w:pPr>
      <w:r>
        <w:t>2003</w:t>
      </w:r>
      <w:r>
        <w:rPr>
          <w:rFonts w:cs="SimSun" w:hint="eastAsia"/>
        </w:rPr>
        <w:t>年</w:t>
      </w:r>
      <w:r>
        <w:t>8</w:t>
      </w:r>
      <w:r>
        <w:rPr>
          <w:rFonts w:cs="SimSun" w:hint="eastAsia"/>
        </w:rPr>
        <w:t>月，伯利兹为实施劳工组织第</w:t>
      </w:r>
      <w:r>
        <w:t>100</w:t>
      </w:r>
      <w:r>
        <w:rPr>
          <w:rFonts w:cs="SimSun" w:hint="eastAsia"/>
        </w:rPr>
        <w:t>号公约，通过了《平等报酬法》。</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政府通过《性健康和生殖健康政策》，承诺：</w:t>
      </w:r>
    </w:p>
    <w:p w:rsidR="00373976" w:rsidRDefault="00373976" w:rsidP="009B38FD">
      <w:pPr>
        <w:numPr>
          <w:ilvl w:val="0"/>
          <w:numId w:val="47"/>
        </w:numPr>
        <w:tabs>
          <w:tab w:val="clear" w:pos="840"/>
          <w:tab w:val="num" w:pos="945"/>
        </w:tabs>
        <w:spacing w:after="240" w:line="350" w:lineRule="exact"/>
        <w:ind w:leftChars="250" w:left="31680"/>
        <w:jc w:val="both"/>
        <w:rPr>
          <w:rFonts w:ascii="KaiTi_GB2312" w:eastAsia="KaiTi_GB2312"/>
          <w:color w:val="0000FF"/>
        </w:rPr>
      </w:pPr>
      <w:r>
        <w:rPr>
          <w:rFonts w:ascii="KaiTi_GB2312" w:eastAsia="KaiTi_GB2312" w:cs="KaiTi_GB2312" w:hint="eastAsia"/>
          <w:color w:val="0000FF"/>
        </w:rPr>
        <w:t>保证妇女的人权，包括性权利和生殖权得到全面的尊重和保护，并使妇女了解这些权利。</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内阁于</w:t>
      </w:r>
      <w:r>
        <w:t>2002</w:t>
      </w:r>
      <w:r>
        <w:rPr>
          <w:rFonts w:cs="SimSun" w:hint="eastAsia"/>
        </w:rPr>
        <w:t>年通过和批准了《消除对妇女一切形式歧视公约任择议定书》。</w:t>
      </w:r>
    </w:p>
    <w:p w:rsidR="00373976" w:rsidRDefault="00373976" w:rsidP="00373976">
      <w:pPr>
        <w:numPr>
          <w:ilvl w:val="0"/>
          <w:numId w:val="22"/>
        </w:numPr>
        <w:tabs>
          <w:tab w:val="clear" w:pos="480"/>
          <w:tab w:val="left" w:pos="525"/>
        </w:tabs>
        <w:spacing w:after="240" w:line="360" w:lineRule="exact"/>
        <w:ind w:left="0" w:firstLine="0"/>
        <w:jc w:val="both"/>
      </w:pPr>
      <w:r>
        <w:t>2001</w:t>
      </w:r>
      <w:r>
        <w:rPr>
          <w:rFonts w:cs="SimSun" w:hint="eastAsia"/>
        </w:rPr>
        <w:t>年，通过了将有意传播艾滋病毒定为犯罪的法律，目前这一法律正在一项国家艾滋病毒</w:t>
      </w:r>
      <w:r>
        <w:t>/</w:t>
      </w:r>
      <w:r>
        <w:rPr>
          <w:rFonts w:cs="SimSun" w:hint="eastAsia"/>
        </w:rPr>
        <w:t>艾滋病政策和立法项目中进行审议。</w:t>
      </w:r>
    </w:p>
    <w:p w:rsidR="00373976" w:rsidRDefault="00373976" w:rsidP="00373976">
      <w:pPr>
        <w:tabs>
          <w:tab w:val="left" w:pos="525"/>
        </w:tabs>
        <w:spacing w:after="240" w:line="400" w:lineRule="exact"/>
        <w:jc w:val="center"/>
        <w:rPr>
          <w:rFonts w:ascii="SimHei" w:eastAsia="SimHei"/>
          <w:color w:val="FF0000"/>
          <w:sz w:val="28"/>
          <w:szCs w:val="28"/>
        </w:rPr>
      </w:pPr>
      <w:r>
        <w:br w:type="page"/>
      </w:r>
      <w:r>
        <w:rPr>
          <w:rFonts w:ascii="SimHei" w:eastAsia="SimHei" w:cs="SimHei" w:hint="eastAsia"/>
          <w:color w:val="FF0000"/>
          <w:sz w:val="28"/>
          <w:szCs w:val="28"/>
        </w:rPr>
        <w:t>第</w:t>
      </w:r>
      <w:r>
        <w:rPr>
          <w:rFonts w:ascii="SimHei" w:eastAsia="SimHei" w:cs="SimHei"/>
          <w:color w:val="FF0000"/>
          <w:sz w:val="28"/>
          <w:szCs w:val="28"/>
        </w:rPr>
        <w:t>4</w:t>
      </w:r>
      <w:r>
        <w:rPr>
          <w:rFonts w:ascii="SimHei" w:eastAsia="SimHei" w:cs="SimHei" w:hint="eastAsia"/>
          <w:color w:val="FF0000"/>
          <w:sz w:val="28"/>
          <w:szCs w:val="28"/>
        </w:rPr>
        <w:t>条</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加速实现男女平等</w:t>
      </w:r>
    </w:p>
    <w:p w:rsidR="00373976" w:rsidRDefault="00373976" w:rsidP="00373976">
      <w:pPr>
        <w:pStyle w:val="Subtitle"/>
        <w:pBdr>
          <w:top w:val="single" w:sz="4" w:space="1" w:color="auto"/>
        </w:pBdr>
        <w:tabs>
          <w:tab w:val="left" w:pos="525"/>
        </w:tabs>
        <w:spacing w:line="360" w:lineRule="exact"/>
        <w:jc w:val="both"/>
        <w:rPr>
          <w:rFonts w:eastAsia="SimHei"/>
          <w:sz w:val="21"/>
          <w:szCs w:val="21"/>
          <w:lang w:eastAsia="zh-CN"/>
        </w:rPr>
      </w:pPr>
    </w:p>
    <w:p w:rsidR="00373976" w:rsidRDefault="00373976" w:rsidP="009B38FD">
      <w:pPr>
        <w:tabs>
          <w:tab w:val="left" w:pos="525"/>
        </w:tabs>
        <w:spacing w:after="240" w:line="360" w:lineRule="exact"/>
        <w:ind w:firstLineChars="250" w:firstLine="31680"/>
        <w:rPr>
          <w:rFonts w:ascii="KaiTi_GB2312" w:eastAsia="KaiTi_GB2312"/>
          <w:b/>
          <w:bCs/>
          <w:color w:val="0000FF"/>
        </w:rPr>
      </w:pPr>
      <w:r>
        <w:rPr>
          <w:rFonts w:ascii="KaiTi_GB2312" w:eastAsia="KaiTi_GB2312" w:cs="KaiTi_GB2312" w:hint="eastAsia"/>
          <w:b/>
          <w:bCs/>
          <w:color w:val="0000FF"/>
        </w:rPr>
        <w:t>缔约各国为加速实现男女事实上的平等而采取的暂行特别措施，不得视为本公约所指的歧视，亦不得因此导致维持不平等或分别的标准；这些措施应在男女机会和待遇平等的目的达到之后，停止采用。</w:t>
      </w:r>
    </w:p>
    <w:p w:rsidR="00373976" w:rsidRDefault="00373976" w:rsidP="009B38FD">
      <w:pPr>
        <w:tabs>
          <w:tab w:val="left" w:pos="525"/>
        </w:tabs>
        <w:spacing w:after="240" w:line="360" w:lineRule="exact"/>
        <w:ind w:firstLineChars="250" w:firstLine="31680"/>
        <w:rPr>
          <w:rFonts w:ascii="KaiTi_GB2312" w:eastAsia="KaiTi_GB2312"/>
          <w:color w:val="0000FF"/>
        </w:rPr>
      </w:pPr>
      <w:r>
        <w:rPr>
          <w:rFonts w:ascii="KaiTi_GB2312" w:eastAsia="KaiTi_GB2312" w:cs="KaiTi_GB2312" w:hint="eastAsia"/>
          <w:b/>
          <w:bCs/>
          <w:color w:val="0000FF"/>
        </w:rPr>
        <w:t>缔约各国为保护母性而采取的特别措施，包括本公约所列各项措施，不得视为歧视。</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目前还没有旨在加速实现妇女事实上的平等的官方政策，尽管这一问题在政治改革委员会一级和</w:t>
      </w:r>
      <w:r>
        <w:t xml:space="preserve"> </w:t>
      </w:r>
      <w:r>
        <w:rPr>
          <w:rFonts w:cs="SimSun" w:hint="eastAsia"/>
        </w:rPr>
        <w:t>“关于从政妇女的研究：寻找担任领导的机会”中进行过讨论。</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关于妇女政治领导能力的研究曾提出建议，妇女组织和政党应在妇女中就建立女候选人配额制发起辩论。但在落实这一建议方面还没有取得进展。</w:t>
      </w:r>
      <w:r>
        <w:t xml:space="preserve"> </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事实上，政治改革委员会</w:t>
      </w:r>
      <w:r>
        <w:t>2000</w:t>
      </w:r>
      <w:r>
        <w:rPr>
          <w:rFonts w:cs="SimSun" w:hint="eastAsia"/>
        </w:rPr>
        <w:t>年的报告建议，不能在公共机构的妇女任命中实施配额制。这一建议是基于委员会成员的下列反对意见提出的：</w:t>
      </w:r>
    </w:p>
    <w:p w:rsidR="00373976" w:rsidRDefault="00373976" w:rsidP="009B38FD">
      <w:pPr>
        <w:tabs>
          <w:tab w:val="left" w:pos="525"/>
        </w:tabs>
        <w:spacing w:after="240" w:line="360" w:lineRule="exact"/>
        <w:ind w:leftChars="250" w:left="31680" w:firstLineChars="200" w:firstLine="31680"/>
        <w:rPr>
          <w:rFonts w:ascii="KaiTi_GB2312" w:eastAsia="KaiTi_GB2312" w:cs="KaiTi_GB2312"/>
          <w:color w:val="0000FF"/>
        </w:rPr>
      </w:pPr>
      <w:r>
        <w:rPr>
          <w:rFonts w:ascii="KaiTi_GB2312" w:eastAsia="KaiTi_GB2312" w:cs="KaiTi_GB2312" w:hint="eastAsia"/>
          <w:color w:val="0000FF"/>
        </w:rPr>
        <w:t>“只在社会某个部门合法实施配额制将引起其他团体也要求配额；这一措施不合乎《宪法》；应当采用身体特征标准，而不仅仅是注重能力和经验”。</w:t>
      </w:r>
      <w:r>
        <w:rPr>
          <w:rFonts w:ascii="KaiTi_GB2312" w:eastAsia="KaiTi_GB2312" w:cs="KaiTi_GB2312"/>
          <w:color w:val="0000FF"/>
        </w:rPr>
        <w:t xml:space="preserve"> </w:t>
      </w:r>
    </w:p>
    <w:p w:rsidR="00373976" w:rsidRDefault="00373976" w:rsidP="009B38FD">
      <w:pPr>
        <w:tabs>
          <w:tab w:val="left" w:pos="525"/>
        </w:tabs>
        <w:spacing w:after="240" w:line="360" w:lineRule="exact"/>
        <w:ind w:firstLineChars="250" w:firstLine="31680"/>
      </w:pPr>
      <w:r>
        <w:rPr>
          <w:rFonts w:cs="SimSun" w:hint="eastAsia"/>
        </w:rPr>
        <w:t>此外，一些委员会成员认为：</w:t>
      </w:r>
    </w:p>
    <w:p w:rsidR="00373976" w:rsidRDefault="00373976" w:rsidP="009B38FD">
      <w:pPr>
        <w:tabs>
          <w:tab w:val="left" w:pos="525"/>
        </w:tabs>
        <w:spacing w:after="240" w:line="360" w:lineRule="exact"/>
        <w:ind w:leftChars="250" w:left="31680" w:firstLineChars="200" w:firstLine="31680"/>
        <w:rPr>
          <w:i/>
          <w:iCs/>
        </w:rPr>
      </w:pPr>
      <w:r>
        <w:rPr>
          <w:rFonts w:ascii="KaiTi_GB2312" w:eastAsia="KaiTi_GB2312" w:cs="KaiTi_GB2312" w:hint="eastAsia"/>
          <w:color w:val="0000FF"/>
        </w:rPr>
        <w:t>“妇女自身已经获得了许多，因此不再需要特权。还有一些人认为缺乏女性领导人的是各个政党，因此最好在各政党内讨论这个问题”。</w:t>
      </w:r>
    </w:p>
    <w:p w:rsidR="00373976" w:rsidRDefault="00373976" w:rsidP="00373976">
      <w:pPr>
        <w:tabs>
          <w:tab w:val="left" w:pos="525"/>
        </w:tabs>
        <w:spacing w:after="240" w:line="400" w:lineRule="exact"/>
        <w:jc w:val="center"/>
        <w:rPr>
          <w:rFonts w:ascii="SimHei" w:eastAsia="SimHei"/>
          <w:color w:val="FF0000"/>
          <w:sz w:val="28"/>
          <w:szCs w:val="28"/>
        </w:rPr>
      </w:pPr>
      <w:r>
        <w:br w:type="column"/>
      </w:r>
      <w:r>
        <w:rPr>
          <w:rFonts w:ascii="SimHei" w:eastAsia="SimHei" w:cs="SimHei" w:hint="eastAsia"/>
          <w:color w:val="FF0000"/>
          <w:sz w:val="28"/>
          <w:szCs w:val="28"/>
        </w:rPr>
        <w:t>第</w:t>
      </w:r>
      <w:r>
        <w:rPr>
          <w:rFonts w:ascii="SimHei" w:eastAsia="SimHei" w:cs="SimHei"/>
          <w:color w:val="FF0000"/>
          <w:sz w:val="28"/>
          <w:szCs w:val="28"/>
        </w:rPr>
        <w:t>5</w:t>
      </w:r>
      <w:r>
        <w:rPr>
          <w:rFonts w:ascii="SimHei" w:eastAsia="SimHei" w:cs="SimHei" w:hint="eastAsia"/>
          <w:color w:val="FF0000"/>
          <w:sz w:val="28"/>
          <w:szCs w:val="28"/>
        </w:rPr>
        <w:t>条</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性别角色与陈规定型观念</w:t>
      </w:r>
    </w:p>
    <w:p w:rsidR="00373976" w:rsidRDefault="00373976" w:rsidP="00964C51">
      <w:pPr>
        <w:pStyle w:val="Subtitle"/>
        <w:pBdr>
          <w:top w:val="single" w:sz="4" w:space="1" w:color="auto"/>
        </w:pBdr>
        <w:tabs>
          <w:tab w:val="left" w:pos="525"/>
        </w:tabs>
        <w:spacing w:line="200" w:lineRule="exact"/>
        <w:jc w:val="both"/>
        <w:rPr>
          <w:rFonts w:eastAsia="SimHei"/>
          <w:sz w:val="21"/>
          <w:szCs w:val="21"/>
          <w:lang w:eastAsia="zh-CN"/>
        </w:rPr>
      </w:pPr>
    </w:p>
    <w:p w:rsidR="00373976" w:rsidRDefault="00373976" w:rsidP="009B38FD">
      <w:pPr>
        <w:tabs>
          <w:tab w:val="left" w:pos="525"/>
        </w:tabs>
        <w:spacing w:after="180" w:line="360" w:lineRule="exact"/>
        <w:ind w:firstLineChars="250" w:firstLine="31680"/>
        <w:rPr>
          <w:rFonts w:ascii="KaiTi_GB2312" w:eastAsia="KaiTi_GB2312"/>
          <w:b/>
          <w:bCs/>
          <w:color w:val="0000FF"/>
        </w:rPr>
      </w:pPr>
      <w:r>
        <w:rPr>
          <w:rFonts w:ascii="KaiTi_GB2312" w:eastAsia="KaiTi_GB2312" w:cs="KaiTi_GB2312" w:hint="eastAsia"/>
          <w:b/>
          <w:bCs/>
          <w:color w:val="0000FF"/>
        </w:rPr>
        <w:t>缔约各国应采取一切适当措施：</w:t>
      </w:r>
    </w:p>
    <w:p w:rsidR="00373976" w:rsidRDefault="00373976" w:rsidP="009B38FD">
      <w:pPr>
        <w:widowControl w:val="0"/>
        <w:numPr>
          <w:ilvl w:val="1"/>
          <w:numId w:val="27"/>
        </w:numPr>
        <w:tabs>
          <w:tab w:val="clear" w:pos="780"/>
          <w:tab w:val="left" w:pos="1050"/>
        </w:tabs>
        <w:spacing w:after="180" w:line="360" w:lineRule="exact"/>
        <w:ind w:leftChars="250" w:left="31680" w:hangingChars="250" w:firstLine="31680"/>
        <w:jc w:val="both"/>
        <w:rPr>
          <w:rFonts w:ascii="KaiTi_GB2312" w:eastAsia="KaiTi_GB2312"/>
          <w:b/>
          <w:bCs/>
          <w:color w:val="0000FF"/>
        </w:rPr>
      </w:pPr>
      <w:r>
        <w:rPr>
          <w:rFonts w:ascii="KaiTi_GB2312" w:eastAsia="KaiTi_GB2312" w:cs="KaiTi_GB2312" w:hint="eastAsia"/>
          <w:b/>
          <w:bCs/>
          <w:color w:val="0000FF"/>
        </w:rPr>
        <w:t>改变男女的社会和文化行为模式，以消除基于性别而分尊卑观念或基于男女定型任务的偏见、习俗和一切其他做法；</w:t>
      </w:r>
    </w:p>
    <w:p w:rsidR="00373976" w:rsidRDefault="00373976" w:rsidP="009B38FD">
      <w:pPr>
        <w:widowControl w:val="0"/>
        <w:numPr>
          <w:ilvl w:val="1"/>
          <w:numId w:val="27"/>
        </w:numPr>
        <w:tabs>
          <w:tab w:val="clear" w:pos="780"/>
          <w:tab w:val="left" w:pos="1050"/>
        </w:tabs>
        <w:spacing w:after="180" w:line="360" w:lineRule="exact"/>
        <w:ind w:leftChars="250" w:left="31680" w:hangingChars="250" w:firstLine="31680"/>
        <w:jc w:val="both"/>
        <w:rPr>
          <w:rFonts w:ascii="KaiTi_GB2312" w:eastAsia="KaiTi_GB2312"/>
          <w:b/>
          <w:bCs/>
          <w:color w:val="0000FF"/>
        </w:rPr>
      </w:pPr>
      <w:r>
        <w:rPr>
          <w:rFonts w:ascii="KaiTi_GB2312" w:eastAsia="KaiTi_GB2312" w:cs="KaiTi_GB2312" w:hint="eastAsia"/>
          <w:b/>
          <w:bCs/>
          <w:color w:val="0000FF"/>
        </w:rPr>
        <w:t>保证家庭教育应包括正确了解母性的社会功能和确认教养子女是父母的共同责任，但了解到在任何情况下应首先考虑子女的利益。</w:t>
      </w:r>
    </w:p>
    <w:p w:rsidR="00373976" w:rsidRDefault="00373976" w:rsidP="00964C51">
      <w:pPr>
        <w:numPr>
          <w:ilvl w:val="0"/>
          <w:numId w:val="22"/>
        </w:numPr>
        <w:tabs>
          <w:tab w:val="clear" w:pos="480"/>
          <w:tab w:val="left" w:pos="525"/>
        </w:tabs>
        <w:spacing w:after="180" w:line="360" w:lineRule="exact"/>
        <w:ind w:left="0" w:firstLine="0"/>
        <w:jc w:val="both"/>
      </w:pPr>
      <w:r>
        <w:rPr>
          <w:rFonts w:cs="SimSun" w:hint="eastAsia"/>
        </w:rPr>
        <w:t>虽然社会变革使得妇女有越来越多的机会来打破确定妇女在社会中角色的传统思维模式，但性别陈规定型观念仍然影响着伯利兹大多数男女的经济、社会、政治和文化生活。为伯利兹妇女事务网络成员组织编写的《伯利兹背景下的性别定义指南》指出：社会</w:t>
      </w:r>
    </w:p>
    <w:p w:rsidR="00373976" w:rsidRDefault="00373976" w:rsidP="009B38FD">
      <w:pPr>
        <w:tabs>
          <w:tab w:val="left" w:pos="525"/>
        </w:tabs>
        <w:spacing w:after="180" w:line="360" w:lineRule="exact"/>
        <w:ind w:leftChars="250" w:left="31680" w:firstLineChars="200" w:firstLine="31680"/>
        <w:rPr>
          <w:rFonts w:ascii="KaiTi_GB2312" w:eastAsia="KaiTi_GB2312"/>
          <w:color w:val="0000FF"/>
        </w:rPr>
      </w:pPr>
      <w:r>
        <w:rPr>
          <w:rFonts w:ascii="KaiTi_GB2312" w:eastAsia="KaiTi_GB2312"/>
          <w:color w:val="0000FF"/>
        </w:rPr>
        <w:t>“</w:t>
      </w:r>
      <w:r>
        <w:rPr>
          <w:rFonts w:ascii="KaiTi_GB2312" w:eastAsia="KaiTi_GB2312" w:cs="KaiTi_GB2312" w:hint="eastAsia"/>
          <w:color w:val="0000FF"/>
        </w:rPr>
        <w:t>传统上指定妇女从事家务，而男子在外从事有偿工作供养家庭。</w:t>
      </w:r>
      <w:r>
        <w:rPr>
          <w:rFonts w:cs="SimSun" w:hint="eastAsia"/>
        </w:rPr>
        <w:t>此外，</w:t>
      </w:r>
      <w:r>
        <w:rPr>
          <w:rFonts w:ascii="KaiTi_GB2312" w:eastAsia="KaiTi_GB2312" w:cs="KaiTi_GB2312" w:hint="eastAsia"/>
          <w:color w:val="0000FF"/>
        </w:rPr>
        <w:t>无论是基于圣经教义还是文化模式，社会结构长期保持着男性统治女性的状况。</w:t>
      </w:r>
      <w:r>
        <w:rPr>
          <w:rFonts w:cs="SimSun" w:hint="eastAsia"/>
        </w:rPr>
        <w:t>在政治生活中，</w:t>
      </w:r>
      <w:r>
        <w:rPr>
          <w:rFonts w:ascii="KaiTi_GB2312" w:eastAsia="KaiTi_GB2312" w:cs="KaiTi_GB2312" w:hint="eastAsia"/>
          <w:color w:val="0000FF"/>
        </w:rPr>
        <w:t>社会传统上支持男子参与统治和政治，并维持着他们决策者的地位。</w:t>
      </w:r>
      <w:r>
        <w:rPr>
          <w:rFonts w:cs="SimSun" w:hint="eastAsia"/>
        </w:rPr>
        <w:t>在文化上，</w:t>
      </w:r>
      <w:r>
        <w:rPr>
          <w:rFonts w:ascii="KaiTi_GB2312" w:eastAsia="KaiTi_GB2312" w:cs="KaiTi_GB2312" w:hint="eastAsia"/>
          <w:color w:val="0000FF"/>
        </w:rPr>
        <w:t>社会认为男子是强者，更具支配性和富有活力，而妇女娇柔、顺从和软弱</w:t>
      </w:r>
      <w:r>
        <w:rPr>
          <w:rFonts w:ascii="KaiTi_GB2312" w:eastAsia="KaiTi_GB2312"/>
          <w:color w:val="0000FF"/>
        </w:rPr>
        <w:t>”</w:t>
      </w:r>
      <w:r>
        <w:rPr>
          <w:rFonts w:ascii="KaiTi_GB2312" w:eastAsia="KaiTi_GB2312" w:cs="KaiTi_GB2312" w:hint="eastAsia"/>
          <w:color w:val="0000FF"/>
        </w:rPr>
        <w:t>。</w:t>
      </w:r>
      <w:r>
        <w:rPr>
          <w:rStyle w:val="FootnoteReference"/>
          <w:rFonts w:ascii="KaiTi_GB2312" w:eastAsia="KaiTi_GB2312"/>
          <w:color w:val="0000FF"/>
        </w:rPr>
        <w:footnoteReference w:id="10"/>
      </w:r>
    </w:p>
    <w:p w:rsidR="00373976" w:rsidRDefault="00373976" w:rsidP="00964C51">
      <w:pPr>
        <w:numPr>
          <w:ilvl w:val="0"/>
          <w:numId w:val="22"/>
        </w:numPr>
        <w:tabs>
          <w:tab w:val="clear" w:pos="480"/>
          <w:tab w:val="left" w:pos="525"/>
        </w:tabs>
        <w:spacing w:after="180" w:line="360" w:lineRule="exact"/>
        <w:ind w:left="0" w:firstLine="0"/>
        <w:jc w:val="both"/>
      </w:pPr>
      <w:r>
        <w:rPr>
          <w:i/>
          <w:iCs/>
        </w:rPr>
        <w:t xml:space="preserve"> </w:t>
      </w:r>
      <w:r>
        <w:rPr>
          <w:rFonts w:cs="SimSun" w:hint="eastAsia"/>
        </w:rPr>
        <w:t>该文件还指出，近期发生的社会变化表明，同男子相比，妇女对性别陈规定型观念的挑战更容易令人接受。</w:t>
      </w:r>
    </w:p>
    <w:p w:rsidR="00373976" w:rsidRDefault="00373976" w:rsidP="009B38FD">
      <w:pPr>
        <w:tabs>
          <w:tab w:val="left" w:pos="525"/>
        </w:tabs>
        <w:spacing w:after="180" w:line="360" w:lineRule="exact"/>
        <w:ind w:leftChars="250" w:left="31680" w:firstLineChars="200" w:firstLine="31680"/>
        <w:rPr>
          <w:rFonts w:ascii="KaiTi_GB2312" w:eastAsia="KaiTi_GB2312" w:cs="KaiTi_GB2312"/>
          <w:color w:val="0000FF"/>
        </w:rPr>
      </w:pPr>
      <w:r>
        <w:rPr>
          <w:rFonts w:ascii="KaiTi_GB2312" w:eastAsia="KaiTi_GB2312" w:cs="KaiTi_GB2312" w:hint="eastAsia"/>
          <w:color w:val="0000FF"/>
        </w:rPr>
        <w:t>“虽然社会认可妇女外出工作来协助男子承担其</w:t>
      </w:r>
      <w:r>
        <w:rPr>
          <w:rFonts w:ascii="KaiTi_GB2312" w:eastAsia="KaiTi_GB2312"/>
          <w:color w:val="0000FF"/>
        </w:rPr>
        <w:t>‘</w:t>
      </w:r>
      <w:r>
        <w:rPr>
          <w:rFonts w:ascii="KaiTi_GB2312" w:eastAsia="KaiTi_GB2312" w:cs="KaiTi_GB2312" w:hint="eastAsia"/>
          <w:color w:val="0000FF"/>
        </w:rPr>
        <w:t>责任</w:t>
      </w:r>
      <w:r>
        <w:rPr>
          <w:rFonts w:ascii="KaiTi_GB2312" w:eastAsia="KaiTi_GB2312"/>
          <w:color w:val="0000FF"/>
        </w:rPr>
        <w:t>’</w:t>
      </w:r>
      <w:r>
        <w:rPr>
          <w:rFonts w:ascii="KaiTi_GB2312" w:eastAsia="KaiTi_GB2312" w:cs="KaiTi_GB2312" w:hint="eastAsia"/>
          <w:color w:val="0000FF"/>
        </w:rPr>
        <w:t>，但还不能接受完全相反的角色转换，即男人在家做家务和照顾子女。这样的男人会遭到许多猜疑，并将受到朋友和家人的嘲笑”。</w:t>
      </w:r>
      <w:r>
        <w:rPr>
          <w:rStyle w:val="FootnoteReference"/>
          <w:rFonts w:ascii="KaiTi_GB2312" w:eastAsia="KaiTi_GB2312"/>
          <w:color w:val="0000FF"/>
        </w:rPr>
        <w:footnoteReference w:id="11"/>
      </w:r>
      <w:r>
        <w:rPr>
          <w:rFonts w:cs="SimSun" w:hint="eastAsia"/>
        </w:rPr>
        <w:t>伯利兹不同文化中的性别陈规定型观念也有所不同：“</w:t>
      </w:r>
      <w:r>
        <w:rPr>
          <w:rFonts w:ascii="KaiTi_GB2312" w:eastAsia="KaiTi_GB2312" w:cs="KaiTi_GB2312" w:hint="eastAsia"/>
          <w:color w:val="0000FF"/>
        </w:rPr>
        <w:t>如果一个男人呆在家里照顾子女，那么他在克里奥尔社区受到的诋毁要比在梅斯蒂索人当中轻。”</w:t>
      </w:r>
      <w:r>
        <w:rPr>
          <w:rStyle w:val="FootnoteReference"/>
          <w:rFonts w:ascii="KaiTi_GB2312" w:eastAsia="KaiTi_GB2312"/>
          <w:color w:val="0000FF"/>
        </w:rPr>
        <w:footnoteReference w:id="12"/>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妇女事务部认识到，在社会上提高妇女地位的主要障碍之一是年轻女性的社会生活方式。在伯利兹，许多妇女仍缺乏自信，造成她们不愿或无力挑战传统的性别陈规定型观念或担任领导职务。出于这一原因，并且为了落实《北京行动纲要》，妇女事务部致力于将性别观点纳入所有政府政策和计划的主流</w:t>
      </w:r>
      <w:r>
        <w:t>——</w:t>
      </w:r>
      <w:r>
        <w:rPr>
          <w:rFonts w:cs="SimSun" w:hint="eastAsia"/>
        </w:rPr>
        <w:t>这也是该部的一个主要目标。为推动这一进程，妇女事务部成立了一个两性平等参与委员会（</w:t>
      </w:r>
      <w:r>
        <w:t>GIC</w:t>
      </w:r>
      <w:r>
        <w:rPr>
          <w:rFonts w:cs="SimSun" w:hint="eastAsia"/>
        </w:rPr>
        <w:t>），它的代表来自政府和非政府部门。每一个部委都受邀指定一名两性平等问题协调人参与将性别观点纳入主流的进程。</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通过两性平等参与委员会，制定和实施了一项重大传播战略，以增强公众对将性别观点纳入主流的认识。这项传播战略的一个活动重点是展示传统的性别角色和陈规定性观念是如何长期导致性别不平等的。</w:t>
      </w:r>
    </w:p>
    <w:p w:rsidR="00373976" w:rsidRDefault="00373976" w:rsidP="00373976">
      <w:pPr>
        <w:numPr>
          <w:ilvl w:val="0"/>
          <w:numId w:val="22"/>
        </w:numPr>
        <w:tabs>
          <w:tab w:val="clear" w:pos="480"/>
          <w:tab w:val="left" w:pos="525"/>
        </w:tabs>
        <w:spacing w:after="240" w:line="360" w:lineRule="exact"/>
        <w:ind w:left="0" w:firstLine="0"/>
        <w:jc w:val="both"/>
        <w:rPr>
          <w:color w:val="000000"/>
        </w:rPr>
      </w:pPr>
      <w:r>
        <w:rPr>
          <w:rFonts w:cs="SimSun" w:hint="eastAsia"/>
        </w:rPr>
        <w:t>除了这一传播战略外，两性平等参与委员会还编写了《性别培训手册》，用于增强政府官员将性别观点纳入其工作的能力，无论他们在哪个部门工作。</w:t>
      </w:r>
    </w:p>
    <w:p w:rsidR="00373976" w:rsidRDefault="00373976" w:rsidP="00373976">
      <w:pPr>
        <w:numPr>
          <w:ilvl w:val="0"/>
          <w:numId w:val="22"/>
        </w:numPr>
        <w:tabs>
          <w:tab w:val="clear" w:pos="480"/>
          <w:tab w:val="left" w:pos="525"/>
        </w:tabs>
        <w:spacing w:after="240" w:line="360" w:lineRule="exact"/>
        <w:ind w:left="0" w:firstLine="0"/>
        <w:jc w:val="both"/>
        <w:rPr>
          <w:color w:val="000000"/>
        </w:rPr>
      </w:pPr>
      <w:r>
        <w:rPr>
          <w:rFonts w:cs="SimSun" w:hint="eastAsia"/>
          <w:color w:val="000000"/>
        </w:rPr>
        <w:t>此外，妇女事务部还编撰了一份《小学教师指南》，</w:t>
      </w:r>
      <w:r>
        <w:rPr>
          <w:rStyle w:val="FootnoteReference"/>
          <w:color w:val="000000"/>
        </w:rPr>
        <w:footnoteReference w:id="13"/>
      </w:r>
      <w:r>
        <w:rPr>
          <w:rFonts w:cs="SimSun" w:hint="eastAsia"/>
          <w:color w:val="000000"/>
        </w:rPr>
        <w:t>该指南的目的是让教师：</w:t>
      </w:r>
    </w:p>
    <w:p w:rsidR="00373976" w:rsidRDefault="00373976" w:rsidP="009B38FD">
      <w:pPr>
        <w:numPr>
          <w:ilvl w:val="0"/>
          <w:numId w:val="47"/>
        </w:numPr>
        <w:tabs>
          <w:tab w:val="clear" w:pos="840"/>
          <w:tab w:val="num" w:pos="945"/>
        </w:tabs>
        <w:spacing w:after="240" w:line="360" w:lineRule="exact"/>
        <w:ind w:leftChars="250" w:left="31680"/>
        <w:jc w:val="both"/>
        <w:rPr>
          <w:color w:val="000000"/>
        </w:rPr>
      </w:pPr>
      <w:r>
        <w:rPr>
          <w:rFonts w:cs="SimSun" w:hint="eastAsia"/>
          <w:color w:val="000000"/>
        </w:rPr>
        <w:t>认识到自己担负的学生社会、情感和认识发展培育者的角色；</w:t>
      </w:r>
    </w:p>
    <w:p w:rsidR="00373976" w:rsidRDefault="00373976" w:rsidP="009B38FD">
      <w:pPr>
        <w:numPr>
          <w:ilvl w:val="0"/>
          <w:numId w:val="47"/>
        </w:numPr>
        <w:tabs>
          <w:tab w:val="clear" w:pos="840"/>
          <w:tab w:val="num" w:pos="945"/>
        </w:tabs>
        <w:spacing w:after="240" w:line="360" w:lineRule="exact"/>
        <w:ind w:leftChars="250" w:left="31680"/>
        <w:jc w:val="both"/>
        <w:rPr>
          <w:color w:val="000000"/>
        </w:rPr>
      </w:pPr>
      <w:r>
        <w:rPr>
          <w:rFonts w:cs="SimSun" w:hint="eastAsia"/>
          <w:color w:val="000000"/>
        </w:rPr>
        <w:t>认识到在课堂创造一个有助于实现两性平等和增强自信的环境的必要性；</w:t>
      </w:r>
    </w:p>
    <w:p w:rsidR="00373976" w:rsidRDefault="00373976" w:rsidP="009B38FD">
      <w:pPr>
        <w:numPr>
          <w:ilvl w:val="0"/>
          <w:numId w:val="47"/>
        </w:numPr>
        <w:tabs>
          <w:tab w:val="clear" w:pos="840"/>
          <w:tab w:val="num" w:pos="945"/>
        </w:tabs>
        <w:spacing w:after="240" w:line="360" w:lineRule="exact"/>
        <w:ind w:leftChars="250" w:left="31680"/>
        <w:jc w:val="both"/>
        <w:rPr>
          <w:color w:val="000000"/>
        </w:rPr>
      </w:pPr>
      <w:r>
        <w:rPr>
          <w:rFonts w:cs="SimSun" w:hint="eastAsia"/>
          <w:color w:val="000000"/>
        </w:rPr>
        <w:t>具备在授课和所有与学校有关的活动中，采用和推广对性别问题有敏感认识的方法所需的知识和技巧；</w:t>
      </w:r>
    </w:p>
    <w:p w:rsidR="00373976" w:rsidRDefault="00373976" w:rsidP="009B38FD">
      <w:pPr>
        <w:numPr>
          <w:ilvl w:val="0"/>
          <w:numId w:val="47"/>
        </w:numPr>
        <w:tabs>
          <w:tab w:val="clear" w:pos="840"/>
          <w:tab w:val="num" w:pos="945"/>
        </w:tabs>
        <w:spacing w:after="240" w:line="360" w:lineRule="exact"/>
        <w:ind w:leftChars="250" w:left="31680"/>
        <w:jc w:val="both"/>
        <w:rPr>
          <w:color w:val="000000"/>
        </w:rPr>
      </w:pPr>
      <w:r>
        <w:rPr>
          <w:rFonts w:cs="SimSun" w:hint="eastAsia"/>
          <w:color w:val="000000"/>
        </w:rPr>
        <w:t>具备发现学生缺乏自信的迹象及促进和建立学生自信心所需的知识和技巧；</w:t>
      </w:r>
    </w:p>
    <w:p w:rsidR="00373976" w:rsidRDefault="00373976" w:rsidP="009B38FD">
      <w:pPr>
        <w:numPr>
          <w:ilvl w:val="0"/>
          <w:numId w:val="47"/>
        </w:numPr>
        <w:tabs>
          <w:tab w:val="clear" w:pos="840"/>
          <w:tab w:val="num" w:pos="945"/>
        </w:tabs>
        <w:spacing w:after="240" w:line="360" w:lineRule="exact"/>
        <w:ind w:leftChars="250" w:left="31680"/>
        <w:jc w:val="both"/>
        <w:rPr>
          <w:color w:val="000000"/>
        </w:rPr>
      </w:pPr>
      <w:r>
        <w:rPr>
          <w:rFonts w:cs="SimSun" w:hint="eastAsia"/>
          <w:color w:val="000000"/>
        </w:rPr>
        <w:t>拥有识别和消除性别陈规定型观念和歧视的基本手段；</w:t>
      </w:r>
    </w:p>
    <w:p w:rsidR="00373976" w:rsidRDefault="00373976" w:rsidP="009B38FD">
      <w:pPr>
        <w:numPr>
          <w:ilvl w:val="0"/>
          <w:numId w:val="47"/>
        </w:numPr>
        <w:tabs>
          <w:tab w:val="clear" w:pos="840"/>
          <w:tab w:val="num" w:pos="945"/>
        </w:tabs>
        <w:spacing w:after="240" w:line="360" w:lineRule="exact"/>
        <w:ind w:leftChars="250" w:left="31680"/>
        <w:jc w:val="both"/>
      </w:pPr>
      <w:r>
        <w:rPr>
          <w:rFonts w:cs="SimSun" w:hint="eastAsia"/>
          <w:color w:val="000000"/>
        </w:rPr>
        <w:t>开展能够在课堂激发有关性别和自信问题讨论的活动。</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增强社区和父母能力方案（</w:t>
      </w:r>
      <w:r>
        <w:t>COMPAR</w:t>
      </w:r>
      <w:r>
        <w:rPr>
          <w:rFonts w:cs="SimSun" w:hint="eastAsia"/>
        </w:rPr>
        <w:t>）认识到，能够增强父母能力和促进社区发展的首要战略之一是消除传统的性别角色和陈规定型观念。为此，将性别和发展内容纳入了这个正在全国实施的方案。</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同样，家庭和儿童全国委员会（</w:t>
      </w:r>
      <w:r>
        <w:t>NCFC</w:t>
      </w:r>
      <w:r>
        <w:rPr>
          <w:rFonts w:cs="SimSun" w:hint="eastAsia"/>
        </w:rPr>
        <w:t>）保证在其《幼儿发展综合政策》草案和《全国儿童和青少年行动计划》中关注性别角色和陈规定型观念问题。该《政策》和《计划》有望于</w:t>
      </w:r>
      <w:r>
        <w:t>2004</w:t>
      </w:r>
      <w:r>
        <w:rPr>
          <w:rFonts w:cs="SimSun" w:hint="eastAsia"/>
        </w:rPr>
        <w:t>年获得批准。</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伯利兹还参与了一项关于媒体中的性别角色和陈规定型观念的区域项目。该项目于</w:t>
      </w:r>
      <w:r>
        <w:t>2001</w:t>
      </w:r>
      <w:r>
        <w:rPr>
          <w:rFonts w:cs="SimSun" w:hint="eastAsia"/>
        </w:rPr>
        <w:t>年开始实施，已经完成了“性别和媒体培训需要评估”，以及针对媒体人员的“性别培训方案”。</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虽然采取了这些举措，但由于各方案的资源不足，严重依赖捐助资金，从而影响到它们的效果和持久性。在有些情况下，只能依靠国外的财政承诺来实施方案，结果导致方案要么终止，要么缩小规模。</w:t>
      </w:r>
    </w:p>
    <w:p w:rsidR="00373976" w:rsidRDefault="00373976" w:rsidP="00373976">
      <w:pPr>
        <w:tabs>
          <w:tab w:val="left" w:pos="525"/>
        </w:tabs>
        <w:spacing w:after="240" w:line="400" w:lineRule="exact"/>
        <w:jc w:val="center"/>
        <w:rPr>
          <w:rFonts w:ascii="SimHei" w:eastAsia="SimHei"/>
          <w:color w:val="FF0000"/>
          <w:sz w:val="28"/>
          <w:szCs w:val="28"/>
        </w:rPr>
      </w:pPr>
      <w:r>
        <w:br w:type="page"/>
      </w:r>
      <w:r>
        <w:rPr>
          <w:rFonts w:ascii="SimHei" w:eastAsia="SimHei" w:cs="SimHei" w:hint="eastAsia"/>
          <w:color w:val="FF0000"/>
          <w:sz w:val="28"/>
          <w:szCs w:val="28"/>
        </w:rPr>
        <w:t>第</w:t>
      </w:r>
      <w:r>
        <w:rPr>
          <w:rFonts w:ascii="SimHei" w:eastAsia="SimHei" w:cs="SimHei"/>
          <w:color w:val="FF0000"/>
          <w:sz w:val="28"/>
          <w:szCs w:val="28"/>
        </w:rPr>
        <w:t>6</w:t>
      </w:r>
      <w:r>
        <w:rPr>
          <w:rFonts w:ascii="SimHei" w:eastAsia="SimHei" w:cs="SimHei" w:hint="eastAsia"/>
          <w:color w:val="FF0000"/>
          <w:sz w:val="28"/>
          <w:szCs w:val="28"/>
        </w:rPr>
        <w:t>条</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对妇女的剥削</w:t>
      </w:r>
    </w:p>
    <w:p w:rsidR="00373976" w:rsidRDefault="00373976" w:rsidP="00964C51">
      <w:pPr>
        <w:pStyle w:val="Subtitle"/>
        <w:pBdr>
          <w:top w:val="single" w:sz="4" w:space="1" w:color="auto"/>
        </w:pBdr>
        <w:tabs>
          <w:tab w:val="left" w:pos="525"/>
        </w:tabs>
        <w:spacing w:line="200" w:lineRule="exact"/>
        <w:jc w:val="both"/>
        <w:rPr>
          <w:rFonts w:eastAsia="SimHei"/>
          <w:sz w:val="21"/>
          <w:szCs w:val="21"/>
          <w:lang w:eastAsia="zh-CN"/>
        </w:rPr>
      </w:pPr>
    </w:p>
    <w:p w:rsidR="00373976" w:rsidRDefault="00373976" w:rsidP="009B38FD">
      <w:pPr>
        <w:tabs>
          <w:tab w:val="left" w:pos="525"/>
        </w:tabs>
        <w:spacing w:after="180" w:line="360" w:lineRule="exact"/>
        <w:ind w:firstLineChars="250" w:firstLine="31680"/>
        <w:rPr>
          <w:rFonts w:ascii="KaiTi_GB2312" w:eastAsia="KaiTi_GB2312"/>
          <w:b/>
          <w:bCs/>
          <w:color w:val="0000FF"/>
        </w:rPr>
      </w:pPr>
      <w:r>
        <w:rPr>
          <w:rFonts w:ascii="KaiTi_GB2312" w:eastAsia="KaiTi_GB2312" w:cs="KaiTi_GB2312" w:hint="eastAsia"/>
          <w:b/>
          <w:bCs/>
          <w:color w:val="0000FF"/>
        </w:rPr>
        <w:t>缔约各国应采取一切适当措施，包括制定法律，以禁止一切形式贩卖妇女和强迫妇女卖淫对她们进行剥削的行为。</w:t>
      </w:r>
    </w:p>
    <w:p w:rsidR="00373976" w:rsidRDefault="00373976" w:rsidP="00964C51">
      <w:pPr>
        <w:pStyle w:val="H2"/>
        <w:spacing w:after="180" w:line="350" w:lineRule="exact"/>
        <w:rPr>
          <w:rFonts w:ascii="Times New Roman" w:cs="Times New Roman"/>
          <w:sz w:val="24"/>
          <w:szCs w:val="24"/>
          <w:lang w:val="en-US"/>
        </w:rPr>
      </w:pPr>
      <w:r>
        <w:rPr>
          <w:rFonts w:ascii="Times New Roman" w:hint="eastAsia"/>
          <w:sz w:val="24"/>
          <w:szCs w:val="24"/>
          <w:lang w:val="en-US"/>
        </w:rPr>
        <w:t>商业性工作者</w:t>
      </w:r>
    </w:p>
    <w:p w:rsidR="00373976" w:rsidRDefault="00373976" w:rsidP="00964C51">
      <w:pPr>
        <w:numPr>
          <w:ilvl w:val="0"/>
          <w:numId w:val="22"/>
        </w:numPr>
        <w:tabs>
          <w:tab w:val="clear" w:pos="480"/>
          <w:tab w:val="left" w:pos="525"/>
        </w:tabs>
        <w:spacing w:after="180" w:line="360" w:lineRule="exact"/>
        <w:ind w:left="0" w:firstLine="0"/>
        <w:jc w:val="both"/>
      </w:pPr>
      <w:r>
        <w:rPr>
          <w:rFonts w:cs="SimSun" w:hint="eastAsia"/>
        </w:rPr>
        <w:t>伯利兹法律不认为卖淫本身是犯罪行为，但禁止在街头和公共场所拉皮条和闲逛揽客。这样的闲逛犯罪以轻罪论处，将被判</w:t>
      </w:r>
      <w:r>
        <w:t>200.00</w:t>
      </w:r>
      <w:r>
        <w:rPr>
          <w:rFonts w:cs="SimSun" w:hint="eastAsia"/>
        </w:rPr>
        <w:t>伯利兹元的罚款或</w:t>
      </w:r>
      <w:r>
        <w:t>2</w:t>
      </w:r>
      <w:r>
        <w:rPr>
          <w:rFonts w:cs="SimSun" w:hint="eastAsia"/>
        </w:rPr>
        <w:t>个月以下监禁。不过，有些法律禁止开设妓院。拥有或促使将房产用于开设妓院目的的人员将被判有罪，如果是初犯，将处以</w:t>
      </w:r>
      <w:r>
        <w:t>500.00</w:t>
      </w:r>
      <w:r>
        <w:rPr>
          <w:rFonts w:cs="SimSun" w:hint="eastAsia"/>
        </w:rPr>
        <w:t>伯利兹元的罚款或</w:t>
      </w:r>
      <w:r>
        <w:t>6</w:t>
      </w:r>
      <w:r>
        <w:rPr>
          <w:rFonts w:cs="SimSun" w:hint="eastAsia"/>
        </w:rPr>
        <w:t>个月以下的监禁；第二次或以后的再次犯罪，将处以</w:t>
      </w:r>
      <w:r>
        <w:t>1 000.00</w:t>
      </w:r>
      <w:r>
        <w:rPr>
          <w:rFonts w:cs="SimSun" w:hint="eastAsia"/>
        </w:rPr>
        <w:t>伯利兹元的罚款或</w:t>
      </w:r>
      <w:r>
        <w:t>12</w:t>
      </w:r>
      <w:r>
        <w:rPr>
          <w:rFonts w:cs="SimSun" w:hint="eastAsia"/>
        </w:rPr>
        <w:t>个月以下的监禁。</w:t>
      </w:r>
    </w:p>
    <w:p w:rsidR="00373976" w:rsidRDefault="00373976" w:rsidP="00964C51">
      <w:pPr>
        <w:numPr>
          <w:ilvl w:val="0"/>
          <w:numId w:val="22"/>
        </w:numPr>
        <w:tabs>
          <w:tab w:val="clear" w:pos="480"/>
          <w:tab w:val="left" w:pos="525"/>
        </w:tabs>
        <w:spacing w:after="180" w:line="360" w:lineRule="exact"/>
        <w:ind w:left="0" w:firstLine="0"/>
        <w:jc w:val="both"/>
      </w:pPr>
      <w:r>
        <w:rPr>
          <w:rFonts w:cs="SimSun" w:hint="eastAsia"/>
        </w:rPr>
        <w:t>在伯利兹，性交易仍然具有严密的组织性，并且是在有名的旅馆和酒吧进行的。虽然定期对这些场所实施突袭检查，但总的来说，法律并没有得到贯彻执行。在突袭中被捕的商业性工作者仍然因为在伯利兹非法居住和就业而被控有罪，而不是因为她们真正从事的职业。</w:t>
      </w:r>
    </w:p>
    <w:p w:rsidR="00373976" w:rsidRDefault="00373976" w:rsidP="00964C51">
      <w:pPr>
        <w:numPr>
          <w:ilvl w:val="0"/>
          <w:numId w:val="22"/>
        </w:numPr>
        <w:tabs>
          <w:tab w:val="clear" w:pos="480"/>
          <w:tab w:val="left" w:pos="525"/>
        </w:tabs>
        <w:spacing w:after="180" w:line="360" w:lineRule="exact"/>
        <w:ind w:left="0" w:firstLine="0"/>
        <w:jc w:val="both"/>
      </w:pPr>
      <w:r>
        <w:t>2001</w:t>
      </w:r>
      <w:r>
        <w:rPr>
          <w:rFonts w:cs="SimSun" w:hint="eastAsia"/>
        </w:rPr>
        <w:t>年只报告了</w:t>
      </w:r>
      <w:r>
        <w:t>2</w:t>
      </w:r>
      <w:r>
        <w:rPr>
          <w:rFonts w:cs="SimSun" w:hint="eastAsia"/>
        </w:rPr>
        <w:t>起为女性拉皮条的事件，其中一起被判有罪。另有</w:t>
      </w:r>
      <w:r>
        <w:t>4</w:t>
      </w:r>
      <w:r>
        <w:rPr>
          <w:rFonts w:cs="SimSun" w:hint="eastAsia"/>
        </w:rPr>
        <w:t>起拉皮条事件被报告，但没有一起被定罪。</w:t>
      </w:r>
      <w:r>
        <w:rPr>
          <w:rStyle w:val="FootnoteReference"/>
        </w:rPr>
        <w:footnoteReference w:id="14"/>
      </w:r>
    </w:p>
    <w:p w:rsidR="00373976" w:rsidRDefault="00373976" w:rsidP="00964C51">
      <w:pPr>
        <w:numPr>
          <w:ilvl w:val="0"/>
          <w:numId w:val="22"/>
        </w:numPr>
        <w:tabs>
          <w:tab w:val="clear" w:pos="480"/>
          <w:tab w:val="left" w:pos="525"/>
        </w:tabs>
        <w:spacing w:after="180" w:line="360" w:lineRule="exact"/>
        <w:ind w:left="0" w:firstLine="0"/>
        <w:jc w:val="both"/>
      </w:pPr>
      <w:r>
        <w:rPr>
          <w:rFonts w:cs="SimSun" w:hint="eastAsia"/>
        </w:rPr>
        <w:t>由于商业性工作的争议性本质，在伯利兹很少进行有关妓女状况的研究，也缺乏商业性产业近期趋势方面的信息。</w:t>
      </w:r>
    </w:p>
    <w:p w:rsidR="00373976" w:rsidRDefault="00373976" w:rsidP="00964C51">
      <w:pPr>
        <w:numPr>
          <w:ilvl w:val="0"/>
          <w:numId w:val="22"/>
        </w:numPr>
        <w:tabs>
          <w:tab w:val="clear" w:pos="480"/>
          <w:tab w:val="left" w:pos="525"/>
        </w:tabs>
        <w:spacing w:after="180" w:line="360" w:lineRule="exact"/>
        <w:ind w:left="0" w:firstLine="0"/>
        <w:jc w:val="both"/>
      </w:pPr>
      <w:r>
        <w:t>1998</w:t>
      </w:r>
      <w:r>
        <w:rPr>
          <w:rFonts w:cs="SimSun" w:hint="eastAsia"/>
        </w:rPr>
        <w:t>年进行的一项研究描述了对妇女进行性剥削的不同方式，随着地区和种族的不同，其方式也多种多样。在伯利兹，从事性工作的主要是拉丁美洲</w:t>
      </w:r>
      <w:r>
        <w:t>/</w:t>
      </w:r>
      <w:r>
        <w:rPr>
          <w:rFonts w:cs="SimSun" w:hint="eastAsia"/>
        </w:rPr>
        <w:t>梅斯蒂索移民，而在克里奥尔人、亚洲人、东印第安人和玛雅人中还未见达到与西班牙裔相同的水平。</w:t>
      </w:r>
      <w:r>
        <w:rPr>
          <w:rStyle w:val="FootnoteReference"/>
        </w:rPr>
        <w:footnoteReference w:id="15"/>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许多伯利兹妇女参与了“情人”互配，即一名妇女与男子（通常已婚）建立性关系，而为了换得她的忠心和忠贞不二，该男子将抚养她的子女。以这种方式，一名男子将有几名“情人”，她们在经济上依附于他，而他与这些妇女有一种“社会化的性关系”。</w:t>
      </w:r>
      <w:r>
        <w:rPr>
          <w:rStyle w:val="FootnoteReference"/>
        </w:rPr>
        <w:footnoteReference w:id="16"/>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伯利兹城的商业性工作与其他被调查地区相比，更为秘密和隐蔽。</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伯利兹的商业性工作者通常都受聘在酒吧做招待。其中大部分是中美洲邻国的无证件经济移民。这些非法移民需要工作来资助在本国的家庭和子女。由于其工作的秘密性质，性工作者容易受到并且确实受到酒吧老板、移民官员和警官以及卫生保健提供者的剥削。特别是酒吧老板，他们会扣留这些妇女的旅行证件，作为对她们施加压力和控制的手段。</w:t>
      </w:r>
      <w:r>
        <w:rPr>
          <w:rStyle w:val="FootnoteReference"/>
        </w:rPr>
        <w:footnoteReference w:id="17"/>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据酒吧老板所述，总的来说，在商业性工作的顾客中，伯利兹人最多。不过，在一些以旅游业为主的地区，顾客多是美国人或英国人。在移民工人集中的其他地区，危地马拉人和洪都拉斯人占顾客中的一半以上。</w:t>
      </w:r>
      <w:r>
        <w:rPr>
          <w:rStyle w:val="FootnoteReference"/>
        </w:rPr>
        <w:footnoteReference w:id="18"/>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从这些信息可以看出，急需进行一项更具针对性的研究，以了解旅游业对性工作的影响。</w:t>
      </w:r>
    </w:p>
    <w:p w:rsidR="00373976" w:rsidRDefault="00373976" w:rsidP="00373976">
      <w:pPr>
        <w:numPr>
          <w:ilvl w:val="0"/>
          <w:numId w:val="22"/>
        </w:numPr>
        <w:tabs>
          <w:tab w:val="clear" w:pos="480"/>
          <w:tab w:val="left" w:pos="525"/>
        </w:tabs>
        <w:spacing w:after="240" w:line="360" w:lineRule="exact"/>
        <w:ind w:left="0" w:firstLine="0"/>
        <w:jc w:val="both"/>
        <w:rPr>
          <w:rFonts w:eastAsia="KaiTi_GB2312"/>
          <w:color w:val="0000FF"/>
        </w:rPr>
      </w:pPr>
      <w:r>
        <w:rPr>
          <w:rFonts w:cs="SimSun" w:hint="eastAsia"/>
        </w:rPr>
        <w:t>根据《国家性别政策》，</w:t>
      </w:r>
      <w:r>
        <w:rPr>
          <w:rFonts w:eastAsia="KaiTi_GB2312" w:cs="KaiTi_GB2312" w:hint="eastAsia"/>
          <w:color w:val="0000FF"/>
        </w:rPr>
        <w:t>将对《刑法》及其他法律进行重新审核，以便做出修正，给男女商业性工作者和顾客以平等的待遇。</w:t>
      </w:r>
    </w:p>
    <w:p w:rsidR="00373976" w:rsidRDefault="00373976" w:rsidP="00373976">
      <w:pPr>
        <w:pStyle w:val="H2"/>
        <w:spacing w:line="350" w:lineRule="exact"/>
        <w:rPr>
          <w:rFonts w:ascii="Times New Roman" w:cs="Times New Roman"/>
          <w:sz w:val="24"/>
          <w:szCs w:val="24"/>
          <w:lang w:val="en-US"/>
        </w:rPr>
      </w:pPr>
      <w:r>
        <w:rPr>
          <w:rFonts w:ascii="Times New Roman" w:hint="eastAsia"/>
          <w:sz w:val="24"/>
          <w:szCs w:val="24"/>
          <w:lang w:val="en-US"/>
        </w:rPr>
        <w:t>贩运人口</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伯利兹是尼加拉瓜、洪都拉斯、萨尔瓦多和危地马拉贩运人口网络的目的国。伯利兹卷入的贩运形式包括犯罪分子的诱拐、同乡的压力和招聘人员、中介或酒吧</w:t>
      </w:r>
      <w:r>
        <w:t>/</w:t>
      </w:r>
      <w:r>
        <w:rPr>
          <w:rFonts w:cs="SimSun" w:hint="eastAsia"/>
        </w:rPr>
        <w:t>妓院老板所做的欺骗性</w:t>
      </w:r>
      <w:r>
        <w:t>/</w:t>
      </w:r>
      <w:r>
        <w:rPr>
          <w:rFonts w:cs="SimSun" w:hint="eastAsia"/>
        </w:rPr>
        <w:t>虚假就业承诺。</w:t>
      </w:r>
      <w:r>
        <w:rPr>
          <w:rStyle w:val="FootnoteReference"/>
        </w:rPr>
        <w:footnoteReference w:id="19"/>
      </w:r>
    </w:p>
    <w:p w:rsidR="00373976" w:rsidRDefault="00373976" w:rsidP="00373976">
      <w:pPr>
        <w:numPr>
          <w:ilvl w:val="0"/>
          <w:numId w:val="22"/>
        </w:numPr>
        <w:tabs>
          <w:tab w:val="clear" w:pos="480"/>
          <w:tab w:val="left" w:pos="525"/>
        </w:tabs>
        <w:spacing w:after="240" w:line="360" w:lineRule="exact"/>
        <w:ind w:left="0" w:firstLine="0"/>
        <w:jc w:val="both"/>
      </w:pPr>
      <w:r>
        <w:t>2003</w:t>
      </w:r>
      <w:r>
        <w:rPr>
          <w:rFonts w:cs="SimSun" w:hint="eastAsia"/>
        </w:rPr>
        <w:t>年，伯利兹通过了《禁止贩运人口法》。</w:t>
      </w:r>
      <w:r>
        <w:rPr>
          <w:rStyle w:val="FootnoteReference"/>
        </w:rPr>
        <w:footnoteReference w:id="20"/>
      </w:r>
      <w:r>
        <w:rPr>
          <w:rFonts w:cs="SimSun" w:hint="eastAsia"/>
        </w:rPr>
        <w:t>社会服务工作者认为该法在向受害人提供救济和服务方面内容广泛而详尽。</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政府成立了一个贩运人口问题工作队，负责保证制定相关的公众认识和培训方案，并保证运用跨机构的方法来处理贩运案件。</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现正筹备一项于</w:t>
      </w:r>
      <w:r>
        <w:t>2004</w:t>
      </w:r>
      <w:r>
        <w:rPr>
          <w:rFonts w:cs="SimSun" w:hint="eastAsia"/>
        </w:rPr>
        <w:t>年进行的贩运人口研究。</w:t>
      </w:r>
    </w:p>
    <w:p w:rsidR="00373976" w:rsidRDefault="00373976" w:rsidP="00373976">
      <w:pPr>
        <w:tabs>
          <w:tab w:val="left" w:pos="525"/>
        </w:tabs>
        <w:spacing w:after="240" w:line="400" w:lineRule="exact"/>
        <w:jc w:val="center"/>
        <w:rPr>
          <w:rFonts w:ascii="SimHei" w:eastAsia="SimHei"/>
          <w:color w:val="FF0000"/>
          <w:sz w:val="28"/>
          <w:szCs w:val="28"/>
        </w:rPr>
      </w:pPr>
      <w:r>
        <w:br w:type="page"/>
      </w:r>
      <w:r>
        <w:rPr>
          <w:rFonts w:ascii="SimHei" w:eastAsia="SimHei" w:cs="SimHei" w:hint="eastAsia"/>
          <w:color w:val="FF0000"/>
          <w:sz w:val="28"/>
          <w:szCs w:val="28"/>
        </w:rPr>
        <w:t>第</w:t>
      </w:r>
      <w:r>
        <w:rPr>
          <w:rFonts w:ascii="SimHei" w:eastAsia="SimHei" w:cs="SimHei"/>
          <w:color w:val="FF0000"/>
          <w:sz w:val="28"/>
          <w:szCs w:val="28"/>
        </w:rPr>
        <w:t>7</w:t>
      </w:r>
      <w:r>
        <w:rPr>
          <w:rFonts w:ascii="SimHei" w:eastAsia="SimHei" w:cs="SimHei" w:hint="eastAsia"/>
          <w:color w:val="FF0000"/>
          <w:sz w:val="28"/>
          <w:szCs w:val="28"/>
        </w:rPr>
        <w:t>条</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政治和公众事务</w:t>
      </w:r>
    </w:p>
    <w:p w:rsidR="00373976" w:rsidRDefault="00373976" w:rsidP="00373976">
      <w:pPr>
        <w:pStyle w:val="Subtitle"/>
        <w:pBdr>
          <w:top w:val="single" w:sz="4" w:space="1" w:color="auto"/>
        </w:pBdr>
        <w:tabs>
          <w:tab w:val="left" w:pos="525"/>
        </w:tabs>
        <w:spacing w:line="360" w:lineRule="exact"/>
        <w:jc w:val="both"/>
        <w:rPr>
          <w:rFonts w:eastAsia="SimHei"/>
          <w:sz w:val="21"/>
          <w:szCs w:val="21"/>
          <w:lang w:eastAsia="zh-CN"/>
        </w:rPr>
      </w:pPr>
    </w:p>
    <w:p w:rsidR="00373976" w:rsidRDefault="00373976" w:rsidP="009B38FD">
      <w:pPr>
        <w:pStyle w:val="BodyTextIndent3"/>
        <w:tabs>
          <w:tab w:val="left" w:pos="525"/>
        </w:tabs>
        <w:spacing w:after="240" w:line="380" w:lineRule="exact"/>
        <w:ind w:left="0" w:firstLineChars="250" w:firstLine="31680"/>
        <w:rPr>
          <w:rFonts w:ascii="KaiTi_GB2312" w:eastAsia="KaiTi_GB2312"/>
          <w:b/>
          <w:bCs/>
          <w:color w:val="0000FF"/>
        </w:rPr>
      </w:pPr>
      <w:r>
        <w:rPr>
          <w:rFonts w:ascii="KaiTi_GB2312" w:eastAsia="KaiTi_GB2312" w:cs="KaiTi_GB2312" w:hint="eastAsia"/>
          <w:b/>
          <w:bCs/>
          <w:color w:val="0000FF"/>
        </w:rPr>
        <w:t>缔约各国应采取一切适当措施，消除在本国政治和公众事务中对妇女的歧视，特别应保证妇女在与男子平等的条件下：</w:t>
      </w:r>
    </w:p>
    <w:p w:rsidR="00373976" w:rsidRDefault="00373976" w:rsidP="009B38FD">
      <w:pPr>
        <w:pStyle w:val="BodyTextIndent3"/>
        <w:widowControl w:val="0"/>
        <w:numPr>
          <w:ilvl w:val="0"/>
          <w:numId w:val="28"/>
        </w:numPr>
        <w:tabs>
          <w:tab w:val="clear" w:pos="1890"/>
          <w:tab w:val="left" w:pos="960"/>
        </w:tabs>
        <w:spacing w:after="240" w:line="380" w:lineRule="exact"/>
        <w:ind w:leftChars="200" w:left="31680" w:hangingChars="250" w:firstLine="31680"/>
        <w:jc w:val="both"/>
        <w:rPr>
          <w:rFonts w:ascii="KaiTi_GB2312" w:eastAsia="KaiTi_GB2312"/>
          <w:b/>
          <w:bCs/>
          <w:color w:val="0000FF"/>
        </w:rPr>
      </w:pPr>
      <w:r>
        <w:rPr>
          <w:rFonts w:ascii="KaiTi_GB2312" w:eastAsia="KaiTi_GB2312" w:cs="KaiTi_GB2312" w:hint="eastAsia"/>
          <w:b/>
          <w:bCs/>
          <w:color w:val="0000FF"/>
        </w:rPr>
        <w:t>在一切选举和公民投票中有选举权，并在一切民选机构有被选举权；</w:t>
      </w:r>
    </w:p>
    <w:p w:rsidR="00373976" w:rsidRDefault="00373976" w:rsidP="009B38FD">
      <w:pPr>
        <w:pStyle w:val="BodyTextIndent3"/>
        <w:widowControl w:val="0"/>
        <w:numPr>
          <w:ilvl w:val="0"/>
          <w:numId w:val="28"/>
        </w:numPr>
        <w:tabs>
          <w:tab w:val="clear" w:pos="1890"/>
          <w:tab w:val="left" w:pos="960"/>
        </w:tabs>
        <w:spacing w:after="240" w:line="380" w:lineRule="exact"/>
        <w:ind w:leftChars="200" w:left="31680" w:hangingChars="250" w:firstLine="31680"/>
        <w:jc w:val="both"/>
        <w:rPr>
          <w:rFonts w:ascii="KaiTi_GB2312" w:eastAsia="KaiTi_GB2312"/>
          <w:b/>
          <w:bCs/>
          <w:color w:val="0000FF"/>
        </w:rPr>
      </w:pPr>
      <w:r>
        <w:rPr>
          <w:rFonts w:ascii="KaiTi_GB2312" w:eastAsia="KaiTi_GB2312" w:cs="KaiTi_GB2312" w:hint="eastAsia"/>
          <w:b/>
          <w:bCs/>
          <w:color w:val="0000FF"/>
        </w:rPr>
        <w:t>参加政府政策的制订及其执行，并担任各级政府公职，执行一切公务；</w:t>
      </w:r>
    </w:p>
    <w:p w:rsidR="00373976" w:rsidRDefault="00373976" w:rsidP="009B38FD">
      <w:pPr>
        <w:pStyle w:val="BodyTextIndent3"/>
        <w:widowControl w:val="0"/>
        <w:numPr>
          <w:ilvl w:val="0"/>
          <w:numId w:val="28"/>
        </w:numPr>
        <w:tabs>
          <w:tab w:val="clear" w:pos="1890"/>
          <w:tab w:val="left" w:pos="960"/>
        </w:tabs>
        <w:spacing w:after="240" w:line="380" w:lineRule="exact"/>
        <w:ind w:leftChars="200" w:left="31680" w:hangingChars="250" w:firstLine="31680"/>
        <w:jc w:val="both"/>
        <w:rPr>
          <w:rFonts w:ascii="KaiTi_GB2312" w:eastAsia="KaiTi_GB2312"/>
          <w:b/>
          <w:bCs/>
          <w:color w:val="0000FF"/>
        </w:rPr>
      </w:pPr>
      <w:r>
        <w:rPr>
          <w:rFonts w:ascii="KaiTi_GB2312" w:eastAsia="KaiTi_GB2312" w:cs="KaiTi_GB2312" w:hint="eastAsia"/>
          <w:b/>
          <w:bCs/>
          <w:color w:val="0000FF"/>
        </w:rPr>
        <w:t>参加有关本国公众和政治事务的非政府组织和协会。</w:t>
      </w:r>
    </w:p>
    <w:p w:rsidR="00373976" w:rsidRDefault="00373976" w:rsidP="00373976">
      <w:pPr>
        <w:numPr>
          <w:ilvl w:val="0"/>
          <w:numId w:val="22"/>
        </w:numPr>
        <w:tabs>
          <w:tab w:val="clear" w:pos="480"/>
          <w:tab w:val="left" w:pos="525"/>
        </w:tabs>
        <w:spacing w:after="240" w:line="380" w:lineRule="exact"/>
        <w:ind w:left="0" w:firstLine="0"/>
        <w:jc w:val="both"/>
      </w:pPr>
      <w:r>
        <w:rPr>
          <w:rFonts w:cs="SimSun" w:hint="eastAsia"/>
        </w:rPr>
        <w:t>政府在</w:t>
      </w:r>
      <w:r>
        <w:t>1998</w:t>
      </w:r>
      <w:r>
        <w:rPr>
          <w:rFonts w:cs="SimSun" w:hint="eastAsia"/>
        </w:rPr>
        <w:t>年做出承诺，将任命妇女担任公共服务部门和其他法定机构中至少</w:t>
      </w:r>
      <w:r>
        <w:t>30%</w:t>
      </w:r>
      <w:r>
        <w:rPr>
          <w:rFonts w:cs="SimSun" w:hint="eastAsia"/>
        </w:rPr>
        <w:t>的领导岗位。这一政策使得目前妇女在法定机构中占据着多数的决策岗位，并且占部门领导的</w:t>
      </w:r>
      <w:r>
        <w:t>30%</w:t>
      </w:r>
      <w:r>
        <w:rPr>
          <w:rFonts w:cs="SimSun" w:hint="eastAsia"/>
        </w:rPr>
        <w:t>。该政策还使得更多的妇女在公共服务部门中被任命为首席执行官（尽管从总体上看，目前</w:t>
      </w:r>
      <w:r>
        <w:t>15</w:t>
      </w:r>
      <w:r>
        <w:rPr>
          <w:rFonts w:cs="SimSun" w:hint="eastAsia"/>
        </w:rPr>
        <w:t>个这样的岗位中只有</w:t>
      </w:r>
      <w:r>
        <w:t>5</w:t>
      </w:r>
      <w:r>
        <w:rPr>
          <w:rFonts w:cs="SimSun" w:hint="eastAsia"/>
        </w:rPr>
        <w:t>个由妇女担任）。众议院的最近两任发言人都是妇女。</w:t>
      </w:r>
    </w:p>
    <w:p w:rsidR="00373976" w:rsidRDefault="00373976" w:rsidP="00373976">
      <w:pPr>
        <w:numPr>
          <w:ilvl w:val="0"/>
          <w:numId w:val="22"/>
        </w:numPr>
        <w:tabs>
          <w:tab w:val="clear" w:pos="480"/>
          <w:tab w:val="left" w:pos="525"/>
        </w:tabs>
        <w:spacing w:after="240" w:line="380" w:lineRule="exact"/>
        <w:ind w:left="0" w:firstLine="0"/>
        <w:jc w:val="both"/>
      </w:pPr>
      <w:r>
        <w:rPr>
          <w:rFonts w:cs="SimSun" w:hint="eastAsia"/>
        </w:rPr>
        <w:t>伯利兹所有登记选民中有</w:t>
      </w:r>
      <w:r>
        <w:t>49.32%</w:t>
      </w:r>
      <w:r>
        <w:rPr>
          <w:rFonts w:cs="SimSun" w:hint="eastAsia"/>
        </w:rPr>
        <w:t>为妇女。</w:t>
      </w:r>
      <w:r>
        <w:rPr>
          <w:rStyle w:val="FootnoteReference"/>
        </w:rPr>
        <w:footnoteReference w:id="21"/>
      </w:r>
      <w:r>
        <w:rPr>
          <w:rFonts w:cs="SimSun" w:hint="eastAsia"/>
        </w:rPr>
        <w:t>不过，她们在政治决策最高级别中的任职人数仍严重偏低。众议院的</w:t>
      </w:r>
      <w:r>
        <w:t>29</w:t>
      </w:r>
      <w:r>
        <w:rPr>
          <w:rFonts w:cs="SimSun" w:hint="eastAsia"/>
        </w:rPr>
        <w:t>名议员中只有一名妇女（上次报告时期有</w:t>
      </w:r>
      <w:r>
        <w:t>2</w:t>
      </w:r>
      <w:r>
        <w:rPr>
          <w:rFonts w:cs="SimSun" w:hint="eastAsia"/>
        </w:rPr>
        <w:t>名妇女）；</w:t>
      </w:r>
      <w:r>
        <w:t>13</w:t>
      </w:r>
      <w:r>
        <w:rPr>
          <w:rFonts w:cs="SimSun" w:hint="eastAsia"/>
        </w:rPr>
        <w:t>名内阁部长中也只有一名妇女；</w:t>
      </w:r>
      <w:r>
        <w:t>13</w:t>
      </w:r>
      <w:r>
        <w:rPr>
          <w:rFonts w:cs="SimSun" w:hint="eastAsia"/>
        </w:rPr>
        <w:t>名参议员中，只有</w:t>
      </w:r>
      <w:r>
        <w:t>3</w:t>
      </w:r>
      <w:r>
        <w:rPr>
          <w:rFonts w:cs="SimSun" w:hint="eastAsia"/>
        </w:rPr>
        <w:t>名是妇女。</w:t>
      </w:r>
    </w:p>
    <w:p w:rsidR="00373976" w:rsidRDefault="00373976" w:rsidP="00373976">
      <w:pPr>
        <w:numPr>
          <w:ilvl w:val="0"/>
          <w:numId w:val="22"/>
        </w:numPr>
        <w:tabs>
          <w:tab w:val="clear" w:pos="480"/>
          <w:tab w:val="left" w:pos="525"/>
        </w:tabs>
        <w:spacing w:after="240" w:line="380" w:lineRule="exact"/>
        <w:ind w:left="0" w:firstLine="0"/>
        <w:jc w:val="both"/>
      </w:pPr>
      <w:r>
        <w:rPr>
          <w:rFonts w:cs="SimSun" w:hint="eastAsia"/>
        </w:rPr>
        <w:t>内阁部长中的这名妇女最初被任命为国防和国家紧急事务部部长，后被重新任命为人类发展部部长。以前的女部长传统上也是担任这一职务。</w:t>
      </w:r>
    </w:p>
    <w:p w:rsidR="00373976" w:rsidRDefault="00373976" w:rsidP="00373976">
      <w:pPr>
        <w:numPr>
          <w:ilvl w:val="0"/>
          <w:numId w:val="22"/>
        </w:numPr>
        <w:tabs>
          <w:tab w:val="clear" w:pos="480"/>
          <w:tab w:val="left" w:pos="525"/>
        </w:tabs>
        <w:spacing w:after="240" w:line="380" w:lineRule="exact"/>
        <w:ind w:left="0" w:firstLine="0"/>
        <w:jc w:val="both"/>
      </w:pPr>
      <w:r>
        <w:rPr>
          <w:rFonts w:cs="SimSun" w:hint="eastAsia"/>
        </w:rPr>
        <w:t>反对党在其影子内阁中任命了一名女部长，即国家安全部部长。</w:t>
      </w:r>
    </w:p>
    <w:p w:rsidR="00373976" w:rsidRDefault="00373976" w:rsidP="00373976">
      <w:pPr>
        <w:numPr>
          <w:ilvl w:val="0"/>
          <w:numId w:val="22"/>
        </w:numPr>
        <w:tabs>
          <w:tab w:val="clear" w:pos="480"/>
          <w:tab w:val="left" w:pos="525"/>
        </w:tabs>
        <w:spacing w:after="240" w:line="380" w:lineRule="exact"/>
        <w:ind w:left="0" w:firstLine="0"/>
        <w:jc w:val="both"/>
      </w:pPr>
      <w:r>
        <w:rPr>
          <w:rFonts w:cs="SimSun" w:hint="eastAsia"/>
        </w:rPr>
        <w:t>虽然有更多的妇女参加市政选举，但地方政府机构中仍是男性占支配地位。有</w:t>
      </w:r>
      <w:r>
        <w:t>142</w:t>
      </w:r>
      <w:r>
        <w:rPr>
          <w:rFonts w:cs="SimSun" w:hint="eastAsia"/>
        </w:rPr>
        <w:t>名候选人参加</w:t>
      </w:r>
      <w:r>
        <w:t>2003</w:t>
      </w:r>
      <w:r>
        <w:rPr>
          <w:rFonts w:cs="SimSun" w:hint="eastAsia"/>
        </w:rPr>
        <w:t>年的市政选举，其中大约</w:t>
      </w:r>
      <w:r>
        <w:t>25%</w:t>
      </w:r>
      <w:r>
        <w:rPr>
          <w:rFonts w:cs="SimSun" w:hint="eastAsia"/>
        </w:rPr>
        <w:t>（</w:t>
      </w:r>
      <w:r>
        <w:t>36</w:t>
      </w:r>
      <w:r>
        <w:rPr>
          <w:rFonts w:cs="SimSun" w:hint="eastAsia"/>
        </w:rPr>
        <w:t>人）为妇女。在这</w:t>
      </w:r>
      <w:r>
        <w:t>36</w:t>
      </w:r>
      <w:r>
        <w:rPr>
          <w:rFonts w:cs="SimSun" w:hint="eastAsia"/>
        </w:rPr>
        <w:t>名妇女中，有</w:t>
      </w:r>
      <w:r>
        <w:t>22</w:t>
      </w:r>
      <w:r>
        <w:rPr>
          <w:rFonts w:cs="SimSun" w:hint="eastAsia"/>
        </w:rPr>
        <w:t>人（占</w:t>
      </w:r>
      <w:r>
        <w:t>61%</w:t>
      </w:r>
      <w:r>
        <w:rPr>
          <w:rFonts w:cs="SimSun" w:hint="eastAsia"/>
        </w:rPr>
        <w:t>）当选。其中有一名妇女成为</w:t>
      </w:r>
      <w:r>
        <w:t>9</w:t>
      </w:r>
      <w:r>
        <w:rPr>
          <w:rFonts w:cs="SimSun" w:hint="eastAsia"/>
        </w:rPr>
        <w:t>名市长之一（</w:t>
      </w:r>
      <w:r>
        <w:t>11%</w:t>
      </w:r>
      <w:r>
        <w:rPr>
          <w:rFonts w:cs="SimSun" w:hint="eastAsia"/>
        </w:rPr>
        <w:t>）。</w:t>
      </w:r>
      <w:r>
        <w:rPr>
          <w:rStyle w:val="FootnoteReference"/>
        </w:rPr>
        <w:footnoteReference w:id="22"/>
      </w:r>
    </w:p>
    <w:p w:rsidR="00373976" w:rsidRDefault="00373976" w:rsidP="00373976">
      <w:pPr>
        <w:numPr>
          <w:ilvl w:val="0"/>
          <w:numId w:val="22"/>
        </w:numPr>
        <w:tabs>
          <w:tab w:val="clear" w:pos="480"/>
          <w:tab w:val="left" w:pos="525"/>
        </w:tabs>
        <w:spacing w:after="240" w:line="360" w:lineRule="exact"/>
        <w:ind w:left="0" w:firstLine="0"/>
        <w:jc w:val="both"/>
        <w:rPr>
          <w:color w:val="993300"/>
        </w:rPr>
      </w:pPr>
      <w:r>
        <w:rPr>
          <w:rFonts w:cs="SimSun" w:hint="eastAsia"/>
        </w:rPr>
        <w:t>全国的村议会中有</w:t>
      </w:r>
      <w:r>
        <w:t>190</w:t>
      </w:r>
      <w:r>
        <w:rPr>
          <w:rFonts w:cs="SimSun" w:hint="eastAsia"/>
        </w:rPr>
        <w:t>名村议长，其中只有</w:t>
      </w:r>
      <w:r>
        <w:t>11</w:t>
      </w:r>
      <w:r>
        <w:rPr>
          <w:rFonts w:cs="SimSun" w:hint="eastAsia"/>
        </w:rPr>
        <w:t>名是妇女。另外，每有一名妇女在村议会中当选，就有</w:t>
      </w:r>
      <w:r>
        <w:t>3</w:t>
      </w:r>
      <w:r>
        <w:rPr>
          <w:rFonts w:cs="SimSun" w:hint="eastAsia"/>
        </w:rPr>
        <w:t>名或更多的男子当选。</w:t>
      </w:r>
      <w:r>
        <w:rPr>
          <w:rStyle w:val="FootnoteReference"/>
        </w:rPr>
        <w:footnoteReference w:id="23"/>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在司法系统内，</w:t>
      </w:r>
      <w:r>
        <w:t>16</w:t>
      </w:r>
      <w:r>
        <w:rPr>
          <w:rFonts w:cs="SimSun" w:hint="eastAsia"/>
        </w:rPr>
        <w:t>名地方法官中有</w:t>
      </w:r>
      <w:r>
        <w:t>7</w:t>
      </w:r>
      <w:r>
        <w:rPr>
          <w:rFonts w:cs="SimSun" w:hint="eastAsia"/>
        </w:rPr>
        <w:t>名妇女。</w:t>
      </w:r>
      <w:r>
        <w:rPr>
          <w:rStyle w:val="FootnoteReference"/>
        </w:rPr>
        <w:footnoteReference w:id="24"/>
      </w:r>
      <w:r>
        <w:rPr>
          <w:rFonts w:cs="SimSun" w:hint="eastAsia"/>
        </w:rPr>
        <w:t>在最高和上诉法院一级，还从没有妇女被任命。在治安官体制，</w:t>
      </w:r>
      <w:r>
        <w:rPr>
          <w:rStyle w:val="FootnoteReference"/>
        </w:rPr>
        <w:footnoteReference w:id="25"/>
      </w:r>
      <w:r>
        <w:rPr>
          <w:rFonts w:cs="SimSun" w:hint="eastAsia"/>
        </w:rPr>
        <w:t>也就是伯利兹南部土著玛雅社区行使司法和领导职能的体制中，也从没有妇女当选。</w:t>
      </w:r>
    </w:p>
    <w:p w:rsidR="00373976" w:rsidRDefault="00373976" w:rsidP="00373976">
      <w:pPr>
        <w:numPr>
          <w:ilvl w:val="0"/>
          <w:numId w:val="22"/>
        </w:numPr>
        <w:tabs>
          <w:tab w:val="clear" w:pos="480"/>
          <w:tab w:val="left" w:pos="525"/>
        </w:tabs>
        <w:spacing w:after="240" w:line="360" w:lineRule="exact"/>
        <w:ind w:left="0" w:firstLine="0"/>
        <w:jc w:val="both"/>
      </w:pPr>
      <w:r>
        <w:t>1999</w:t>
      </w:r>
      <w:r>
        <w:rPr>
          <w:rFonts w:cs="SimSun" w:hint="eastAsia"/>
        </w:rPr>
        <w:t>年，全国妇女委员会开展了一项有关妇女与政治的研究。</w:t>
      </w:r>
      <w:r>
        <w:rPr>
          <w:rStyle w:val="FootnoteReference"/>
        </w:rPr>
        <w:footnoteReference w:id="26"/>
      </w:r>
      <w:r>
        <w:t xml:space="preserve"> </w:t>
      </w:r>
      <w:r>
        <w:rPr>
          <w:rFonts w:cs="SimSun" w:hint="eastAsia"/>
        </w:rPr>
        <w:t>这项研究显示，妇女总的来说对成为领导者很有兴趣，她们在以社区为基础的团体、民间社会及以宗教为基础的组织中担任着较多的决策职位。不过该研究指出，妇女对于参加政治公职的选举还犹豫不决。根据在全国范围对妇女进行的访谈调查，这种踌躇更多的是受到结构和文化屏障的影响，而不是缺乏兴趣。妇女最为关注的屏障是：</w:t>
      </w:r>
      <w:r>
        <w:t>a)</w:t>
      </w:r>
      <w:r>
        <w:rPr>
          <w:rFonts w:cs="SimSun" w:hint="eastAsia"/>
        </w:rPr>
        <w:t>竞选运动缺乏经济资助；</w:t>
      </w:r>
      <w:r>
        <w:t>b)</w:t>
      </w:r>
      <w:r>
        <w:rPr>
          <w:rFonts w:cs="SimSun" w:hint="eastAsia"/>
        </w:rPr>
        <w:t>缺乏家庭的支持，没有时间参与政治；</w:t>
      </w:r>
      <w:r>
        <w:t>c)</w:t>
      </w:r>
      <w:r>
        <w:rPr>
          <w:rFonts w:cs="SimSun" w:hint="eastAsia"/>
        </w:rPr>
        <w:t>根深蒂固的依附文化控制着伯利兹的政治体系；以及</w:t>
      </w:r>
      <w:r>
        <w:t xml:space="preserve">d) </w:t>
      </w:r>
      <w:r>
        <w:rPr>
          <w:rFonts w:cs="SimSun" w:hint="eastAsia"/>
        </w:rPr>
        <w:t>竞选过程中广泛存在着对人的诽谤。</w:t>
      </w:r>
    </w:p>
    <w:p w:rsidR="00373976" w:rsidRDefault="00373976" w:rsidP="00373976">
      <w:pPr>
        <w:numPr>
          <w:ilvl w:val="0"/>
          <w:numId w:val="22"/>
        </w:numPr>
        <w:tabs>
          <w:tab w:val="clear" w:pos="480"/>
          <w:tab w:val="left" w:pos="525"/>
        </w:tabs>
        <w:spacing w:after="240" w:line="360" w:lineRule="exact"/>
        <w:ind w:left="0" w:firstLine="0"/>
        <w:jc w:val="both"/>
        <w:rPr>
          <w:color w:val="993300"/>
        </w:rPr>
      </w:pPr>
      <w:r>
        <w:rPr>
          <w:rFonts w:cs="SimSun" w:hint="eastAsia"/>
        </w:rPr>
        <w:t>在</w:t>
      </w:r>
      <w:r>
        <w:t>2003</w:t>
      </w:r>
      <w:r>
        <w:rPr>
          <w:rFonts w:cs="SimSun" w:hint="eastAsia"/>
        </w:rPr>
        <w:t>年的全国大选中，各政党纷纷寻找妇女候选人来参加政治公职竞选，从而印证了上述研究结果。尽管各政党为吸收妇女成为政治候选人做出了很大的努力，但响应的妇女人数并未因此而增加。这表明，有必要制定一个清晰的战略来消除限制妇女参政的障碍。特别是需要重点落实有关财政资助、公民认识教育和竞选培训、建立更多的妇女支持制度和确定妇女参政配额的建议。</w:t>
      </w:r>
    </w:p>
    <w:p w:rsidR="00373976" w:rsidRDefault="00373976" w:rsidP="00373976">
      <w:pPr>
        <w:numPr>
          <w:ilvl w:val="0"/>
          <w:numId w:val="22"/>
        </w:numPr>
        <w:tabs>
          <w:tab w:val="clear" w:pos="480"/>
          <w:tab w:val="left" w:pos="525"/>
        </w:tabs>
        <w:spacing w:after="240" w:line="360" w:lineRule="exact"/>
        <w:ind w:left="0" w:firstLine="0"/>
        <w:jc w:val="both"/>
        <w:rPr>
          <w:color w:val="993300"/>
        </w:rPr>
      </w:pPr>
      <w:r>
        <w:rPr>
          <w:rFonts w:cs="SimSun" w:hint="eastAsia"/>
        </w:rPr>
        <w:t>政府已经邀请包括妇女组织在内的民间社会组织，参与公共部门的理事会和委员会。但由于妇女组织目前体制上的弱点，妨碍了她们在制定明确方案、实现性别公正和平等方面的有效参与。</w:t>
      </w:r>
    </w:p>
    <w:p w:rsidR="00373976" w:rsidRDefault="00373976" w:rsidP="00373976">
      <w:pPr>
        <w:tabs>
          <w:tab w:val="left" w:pos="525"/>
        </w:tabs>
        <w:spacing w:after="240" w:line="400" w:lineRule="exact"/>
        <w:jc w:val="center"/>
        <w:rPr>
          <w:rFonts w:ascii="SimHei" w:eastAsia="SimHei"/>
          <w:color w:val="FF0000"/>
          <w:sz w:val="28"/>
          <w:szCs w:val="28"/>
        </w:rPr>
      </w:pPr>
      <w:r>
        <w:br w:type="page"/>
      </w:r>
      <w:r>
        <w:rPr>
          <w:rFonts w:ascii="SimHei" w:eastAsia="SimHei" w:cs="SimHei" w:hint="eastAsia"/>
          <w:color w:val="FF0000"/>
          <w:sz w:val="28"/>
          <w:szCs w:val="28"/>
        </w:rPr>
        <w:t>第</w:t>
      </w:r>
      <w:r>
        <w:rPr>
          <w:rFonts w:ascii="SimHei" w:eastAsia="SimHei" w:cs="SimHei"/>
          <w:color w:val="FF0000"/>
          <w:sz w:val="28"/>
          <w:szCs w:val="28"/>
        </w:rPr>
        <w:t>8</w:t>
      </w:r>
      <w:r>
        <w:rPr>
          <w:rFonts w:ascii="SimHei" w:eastAsia="SimHei" w:cs="SimHei" w:hint="eastAsia"/>
          <w:color w:val="FF0000"/>
          <w:sz w:val="28"/>
          <w:szCs w:val="28"/>
        </w:rPr>
        <w:t>条</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国际代表和参与</w:t>
      </w:r>
    </w:p>
    <w:p w:rsidR="00373976" w:rsidRDefault="00373976" w:rsidP="00373976">
      <w:pPr>
        <w:pStyle w:val="Subtitle"/>
        <w:pBdr>
          <w:top w:val="single" w:sz="4" w:space="1" w:color="auto"/>
        </w:pBdr>
        <w:tabs>
          <w:tab w:val="left" w:pos="525"/>
        </w:tabs>
        <w:spacing w:line="360" w:lineRule="exact"/>
        <w:jc w:val="both"/>
        <w:rPr>
          <w:rFonts w:eastAsia="SimHei"/>
          <w:sz w:val="21"/>
          <w:szCs w:val="21"/>
          <w:lang w:eastAsia="zh-CN"/>
        </w:rPr>
      </w:pPr>
    </w:p>
    <w:p w:rsidR="00373976" w:rsidRDefault="00373976" w:rsidP="009B38FD">
      <w:pPr>
        <w:tabs>
          <w:tab w:val="left" w:pos="525"/>
        </w:tabs>
        <w:spacing w:after="240" w:line="360" w:lineRule="exact"/>
        <w:ind w:firstLineChars="250" w:firstLine="31680"/>
        <w:rPr>
          <w:rFonts w:eastAsia="STXinwei"/>
          <w:b/>
          <w:bCs/>
          <w:i/>
          <w:iCs/>
        </w:rPr>
      </w:pPr>
      <w:r>
        <w:rPr>
          <w:rFonts w:ascii="KaiTi_GB2312" w:eastAsia="KaiTi_GB2312" w:cs="KaiTi_GB2312" w:hint="eastAsia"/>
          <w:b/>
          <w:bCs/>
          <w:color w:val="0000FF"/>
        </w:rPr>
        <w:t>缔约各国应采取一切适当措施，保证妇女在与男子平等不受任何歧视的条件下，有机会在国际上代表本国政府参加各国际组织的工作。</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伯利兹仍在继续努力寻找一个和平解决与危地马拉争端的方案。在任命组成谈判小组的</w:t>
      </w:r>
      <w:r>
        <w:t>9</w:t>
      </w:r>
      <w:r>
        <w:rPr>
          <w:rFonts w:cs="SimSun" w:hint="eastAsia"/>
        </w:rPr>
        <w:t>名高级代表中，有</w:t>
      </w:r>
      <w:r>
        <w:t>2</w:t>
      </w:r>
      <w:r>
        <w:rPr>
          <w:rFonts w:cs="SimSun" w:hint="eastAsia"/>
        </w:rPr>
        <w:t>名是妇女，其中一名是反对党的代表，另一名妇女是政府驻美国大使和驻美洲国家组织代表。</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伯利兹的</w:t>
      </w:r>
      <w:r>
        <w:t>9</w:t>
      </w:r>
      <w:r>
        <w:rPr>
          <w:rFonts w:cs="SimSun" w:hint="eastAsia"/>
        </w:rPr>
        <w:t>名驻外大使中，有</w:t>
      </w:r>
      <w:r>
        <w:t>3</w:t>
      </w:r>
      <w:r>
        <w:rPr>
          <w:rFonts w:cs="SimSun" w:hint="eastAsia"/>
        </w:rPr>
        <w:t>名是妇女。不过，受雇于外交部的技术级雇员中，妇女占大多数。</w:t>
      </w:r>
    </w:p>
    <w:p w:rsidR="00373976" w:rsidRDefault="00373976" w:rsidP="00373976">
      <w:pPr>
        <w:numPr>
          <w:ilvl w:val="0"/>
          <w:numId w:val="22"/>
        </w:numPr>
        <w:tabs>
          <w:tab w:val="clear" w:pos="480"/>
          <w:tab w:val="left" w:pos="525"/>
        </w:tabs>
        <w:spacing w:after="240" w:line="360" w:lineRule="exact"/>
        <w:ind w:left="0" w:firstLine="0"/>
        <w:jc w:val="both"/>
      </w:pPr>
      <w:r>
        <w:rPr>
          <w:rFonts w:cs="SimSun" w:hint="eastAsia"/>
        </w:rPr>
        <w:t>在</w:t>
      </w:r>
      <w:r>
        <w:t>1998</w:t>
      </w:r>
      <w:r>
        <w:rPr>
          <w:rFonts w:cs="SimSun" w:hint="eastAsia"/>
        </w:rPr>
        <w:t>和</w:t>
      </w:r>
      <w:r>
        <w:t>2003</w:t>
      </w:r>
      <w:r>
        <w:rPr>
          <w:rFonts w:cs="SimSun" w:hint="eastAsia"/>
        </w:rPr>
        <w:t>年赢得伯利兹大选的政党制定了一个“妇女议程”，列举了她们一旦当选将致力解决的事项。最新的</w:t>
      </w:r>
      <w:r>
        <w:t>2003-2008</w:t>
      </w:r>
      <w:r>
        <w:rPr>
          <w:rFonts w:cs="SimSun" w:hint="eastAsia"/>
        </w:rPr>
        <w:t>年期间妇女议程承诺，伯利兹政府将：</w:t>
      </w:r>
    </w:p>
    <w:p w:rsidR="00373976" w:rsidRDefault="00373976" w:rsidP="009B38FD">
      <w:pPr>
        <w:numPr>
          <w:ilvl w:val="0"/>
          <w:numId w:val="49"/>
        </w:numPr>
        <w:tabs>
          <w:tab w:val="clear" w:pos="840"/>
          <w:tab w:val="num" w:pos="945"/>
        </w:tabs>
        <w:spacing w:after="240" w:line="350" w:lineRule="exact"/>
        <w:ind w:leftChars="250" w:left="31680"/>
        <w:jc w:val="both"/>
        <w:rPr>
          <w:rFonts w:ascii="KaiTi_GB2312" w:eastAsia="KaiTi_GB2312"/>
          <w:color w:val="0000FF"/>
        </w:rPr>
      </w:pPr>
      <w:r>
        <w:rPr>
          <w:rFonts w:ascii="KaiTi_GB2312" w:eastAsia="KaiTi_GB2312" w:cs="KaiTi_GB2312" w:hint="eastAsia"/>
          <w:color w:val="0000FF"/>
        </w:rPr>
        <w:t>“继续落实《国家性别政策》提出的建议；</w:t>
      </w:r>
    </w:p>
    <w:p w:rsidR="00373976" w:rsidRDefault="00373976" w:rsidP="009B38FD">
      <w:pPr>
        <w:numPr>
          <w:ilvl w:val="0"/>
          <w:numId w:val="49"/>
        </w:numPr>
        <w:tabs>
          <w:tab w:val="clear" w:pos="840"/>
          <w:tab w:val="num" w:pos="945"/>
        </w:tabs>
        <w:spacing w:after="240" w:line="350" w:lineRule="exact"/>
        <w:ind w:leftChars="250" w:left="31680"/>
        <w:jc w:val="both"/>
        <w:rPr>
          <w:rFonts w:ascii="KaiTi_GB2312" w:eastAsia="KaiTi_GB2312"/>
          <w:color w:val="0000FF"/>
        </w:rPr>
      </w:pPr>
      <w:r>
        <w:rPr>
          <w:rFonts w:ascii="KaiTi_GB2312" w:eastAsia="KaiTi_GB2312" w:cs="KaiTi_GB2312" w:hint="eastAsia"/>
          <w:color w:val="0000FF"/>
        </w:rPr>
        <w:t>在发展规划中加强对性别问题的认识；</w:t>
      </w:r>
    </w:p>
    <w:p w:rsidR="00373976" w:rsidRDefault="00373976" w:rsidP="009B38FD">
      <w:pPr>
        <w:numPr>
          <w:ilvl w:val="0"/>
          <w:numId w:val="49"/>
        </w:numPr>
        <w:tabs>
          <w:tab w:val="clear" w:pos="840"/>
          <w:tab w:val="num" w:pos="945"/>
        </w:tabs>
        <w:spacing w:after="240" w:line="350" w:lineRule="exact"/>
        <w:ind w:leftChars="250" w:left="31680"/>
        <w:jc w:val="both"/>
        <w:rPr>
          <w:rFonts w:ascii="KaiTi_GB2312" w:eastAsia="KaiTi_GB2312"/>
          <w:color w:val="0000FF"/>
        </w:rPr>
      </w:pPr>
      <w:r>
        <w:rPr>
          <w:rFonts w:ascii="KaiTi_GB2312" w:eastAsia="KaiTi_GB2312" w:cs="KaiTi_GB2312" w:hint="eastAsia"/>
          <w:color w:val="0000FF"/>
        </w:rPr>
        <w:t>通过男女在日常生活的各个方面必须公平和相互尊重的教育，继续提高性别意识；</w:t>
      </w:r>
    </w:p>
    <w:p w:rsidR="00373976" w:rsidRDefault="00373976" w:rsidP="009B38FD">
      <w:pPr>
        <w:numPr>
          <w:ilvl w:val="0"/>
          <w:numId w:val="49"/>
        </w:numPr>
        <w:tabs>
          <w:tab w:val="clear" w:pos="840"/>
          <w:tab w:val="num" w:pos="945"/>
        </w:tabs>
        <w:spacing w:after="240" w:line="350" w:lineRule="exact"/>
        <w:ind w:leftChars="250" w:left="31680"/>
        <w:jc w:val="both"/>
        <w:rPr>
          <w:i/>
          <w:iCs/>
          <w:color w:val="0000FF"/>
        </w:rPr>
      </w:pPr>
      <w:r>
        <w:rPr>
          <w:rFonts w:ascii="KaiTi_GB2312" w:eastAsia="KaiTi_GB2312" w:cs="KaiTi_GB2312" w:hint="eastAsia"/>
          <w:color w:val="0000FF"/>
        </w:rPr>
        <w:t>确保旨在制止基于性别的暴力的方案得到预算分配”。</w:t>
      </w:r>
    </w:p>
    <w:p w:rsidR="00373976" w:rsidRDefault="00373976" w:rsidP="009B38FD">
      <w:pPr>
        <w:tabs>
          <w:tab w:val="left" w:pos="525"/>
        </w:tabs>
        <w:spacing w:after="240" w:line="360" w:lineRule="exact"/>
        <w:ind w:firstLineChars="250" w:firstLine="31680"/>
      </w:pPr>
      <w:r>
        <w:rPr>
          <w:rFonts w:cs="SimSun" w:hint="eastAsia"/>
        </w:rPr>
        <w:t>该政党还在妇女的健康和社会服务、经济发展、法律保护、教育、住房和政治参与等方面做出了具体的承诺。</w:t>
      </w:r>
    </w:p>
    <w:p w:rsidR="00373976" w:rsidRDefault="00373976" w:rsidP="00373976">
      <w:pPr>
        <w:tabs>
          <w:tab w:val="left" w:pos="525"/>
        </w:tabs>
        <w:spacing w:after="240" w:line="400" w:lineRule="exact"/>
        <w:jc w:val="center"/>
        <w:rPr>
          <w:rFonts w:ascii="SimHei" w:eastAsia="SimHei"/>
          <w:color w:val="FF0000"/>
          <w:sz w:val="28"/>
          <w:szCs w:val="28"/>
        </w:rPr>
      </w:pPr>
      <w:r>
        <w:br w:type="page"/>
      </w:r>
      <w:r>
        <w:rPr>
          <w:rFonts w:ascii="SimHei" w:eastAsia="SimHei" w:cs="SimHei" w:hint="eastAsia"/>
          <w:color w:val="FF0000"/>
          <w:sz w:val="28"/>
          <w:szCs w:val="28"/>
        </w:rPr>
        <w:t>第</w:t>
      </w:r>
      <w:r>
        <w:rPr>
          <w:rFonts w:ascii="SimHei" w:eastAsia="SimHei" w:cs="SimHei"/>
          <w:color w:val="FF0000"/>
          <w:sz w:val="28"/>
          <w:szCs w:val="28"/>
        </w:rPr>
        <w:t>9</w:t>
      </w:r>
      <w:r>
        <w:rPr>
          <w:rFonts w:ascii="SimHei" w:eastAsia="SimHei" w:cs="SimHei" w:hint="eastAsia"/>
          <w:color w:val="FF0000"/>
          <w:sz w:val="28"/>
          <w:szCs w:val="28"/>
        </w:rPr>
        <w:t>条</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国</w:t>
      </w:r>
      <w:r>
        <w:rPr>
          <w:rFonts w:ascii="SimHei" w:eastAsia="SimHei" w:cs="SimHei"/>
          <w:color w:val="FF0000"/>
          <w:sz w:val="28"/>
          <w:szCs w:val="28"/>
        </w:rPr>
        <w:t xml:space="preserve"> </w:t>
      </w:r>
      <w:r>
        <w:rPr>
          <w:rFonts w:ascii="SimHei" w:eastAsia="SimHei" w:cs="SimHei" w:hint="eastAsia"/>
          <w:color w:val="FF0000"/>
          <w:sz w:val="28"/>
          <w:szCs w:val="28"/>
        </w:rPr>
        <w:t>籍</w:t>
      </w:r>
    </w:p>
    <w:p w:rsidR="00373976" w:rsidRDefault="00373976" w:rsidP="00373976">
      <w:pPr>
        <w:pStyle w:val="Subtitle"/>
        <w:pBdr>
          <w:top w:val="single" w:sz="4" w:space="1" w:color="auto"/>
        </w:pBdr>
        <w:tabs>
          <w:tab w:val="left" w:pos="525"/>
        </w:tabs>
        <w:spacing w:line="360" w:lineRule="exact"/>
        <w:jc w:val="both"/>
        <w:rPr>
          <w:rFonts w:eastAsia="SimHei"/>
          <w:sz w:val="21"/>
          <w:szCs w:val="21"/>
          <w:lang w:eastAsia="zh-CN"/>
        </w:rPr>
      </w:pPr>
    </w:p>
    <w:p w:rsidR="00373976" w:rsidRDefault="00373976" w:rsidP="009B38FD">
      <w:pPr>
        <w:tabs>
          <w:tab w:val="left" w:pos="525"/>
        </w:tabs>
        <w:spacing w:after="240" w:line="360" w:lineRule="exact"/>
        <w:ind w:firstLineChars="250" w:firstLine="31680"/>
        <w:rPr>
          <w:rFonts w:ascii="KaiTi_GB2312" w:eastAsia="KaiTi_GB2312"/>
          <w:b/>
          <w:bCs/>
          <w:color w:val="0000FF"/>
        </w:rPr>
      </w:pPr>
      <w:r>
        <w:rPr>
          <w:rFonts w:ascii="KaiTi_GB2312" w:eastAsia="KaiTi_GB2312" w:cs="KaiTi_GB2312" w:hint="eastAsia"/>
          <w:b/>
          <w:bCs/>
          <w:color w:val="0000FF"/>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373976" w:rsidRDefault="00373976" w:rsidP="009B38FD">
      <w:pPr>
        <w:tabs>
          <w:tab w:val="left" w:pos="525"/>
        </w:tabs>
        <w:spacing w:after="240" w:line="360" w:lineRule="exact"/>
        <w:ind w:firstLineChars="250" w:firstLine="31680"/>
        <w:rPr>
          <w:rFonts w:eastAsia="STXinwei"/>
          <w:b/>
          <w:bCs/>
          <w:i/>
          <w:iCs/>
        </w:rPr>
      </w:pPr>
      <w:r>
        <w:rPr>
          <w:rFonts w:ascii="KaiTi_GB2312" w:eastAsia="KaiTi_GB2312" w:cs="KaiTi_GB2312" w:hint="eastAsia"/>
          <w:b/>
          <w:bCs/>
          <w:color w:val="0000FF"/>
        </w:rPr>
        <w:t>缔约各国在关于子女的国籍方面，应给予妇女与男子平等的权利。</w:t>
      </w:r>
    </w:p>
    <w:p w:rsidR="00373976" w:rsidRDefault="00373976" w:rsidP="00373976">
      <w:pPr>
        <w:widowControl w:val="0"/>
        <w:numPr>
          <w:ilvl w:val="1"/>
          <w:numId w:val="29"/>
        </w:numPr>
        <w:tabs>
          <w:tab w:val="clear" w:pos="0"/>
          <w:tab w:val="left" w:pos="525"/>
        </w:tabs>
        <w:autoSpaceDE w:val="0"/>
        <w:autoSpaceDN w:val="0"/>
        <w:adjustRightInd w:val="0"/>
        <w:spacing w:after="240" w:line="360" w:lineRule="exact"/>
        <w:ind w:left="0" w:firstLine="0"/>
        <w:jc w:val="both"/>
        <w:textAlignment w:val="baseline"/>
      </w:pPr>
      <w:r>
        <w:rPr>
          <w:rFonts w:cs="SimSun" w:hint="eastAsia"/>
        </w:rPr>
        <w:t>伯利兹《宪法》在获得和保持伯利兹国籍方面继续给予妇女平等的权利。</w:t>
      </w:r>
    </w:p>
    <w:p w:rsidR="00373976" w:rsidRDefault="00373976" w:rsidP="00373976">
      <w:pPr>
        <w:widowControl w:val="0"/>
        <w:numPr>
          <w:ilvl w:val="1"/>
          <w:numId w:val="29"/>
        </w:numPr>
        <w:tabs>
          <w:tab w:val="clear" w:pos="0"/>
          <w:tab w:val="left" w:pos="525"/>
        </w:tabs>
        <w:autoSpaceDE w:val="0"/>
        <w:autoSpaceDN w:val="0"/>
        <w:adjustRightInd w:val="0"/>
        <w:spacing w:after="240" w:line="360" w:lineRule="exact"/>
        <w:ind w:left="0" w:firstLine="0"/>
        <w:jc w:val="both"/>
        <w:textAlignment w:val="baseline"/>
      </w:pPr>
      <w:r>
        <w:rPr>
          <w:rFonts w:cs="SimSun" w:hint="eastAsia"/>
        </w:rPr>
        <w:t>在子女的国籍方面，伯利兹《宪法》继续给予妇女平等的权利。</w:t>
      </w:r>
    </w:p>
    <w:p w:rsidR="00373976" w:rsidRDefault="00373976" w:rsidP="00373976">
      <w:pPr>
        <w:tabs>
          <w:tab w:val="left" w:pos="525"/>
        </w:tabs>
        <w:autoSpaceDE w:val="0"/>
        <w:autoSpaceDN w:val="0"/>
        <w:spacing w:after="240" w:line="360" w:lineRule="exact"/>
        <w:jc w:val="center"/>
        <w:rPr>
          <w:rFonts w:ascii="SimHei" w:eastAsia="SimHei"/>
          <w:color w:val="FF0000"/>
          <w:sz w:val="28"/>
          <w:szCs w:val="28"/>
        </w:rPr>
      </w:pPr>
      <w:r>
        <w:br w:type="page"/>
      </w:r>
      <w:r>
        <w:rPr>
          <w:rFonts w:ascii="SimHei" w:eastAsia="SimHei" w:cs="SimHei" w:hint="eastAsia"/>
          <w:color w:val="FF0000"/>
          <w:sz w:val="28"/>
          <w:szCs w:val="28"/>
        </w:rPr>
        <w:t>第</w:t>
      </w:r>
      <w:r>
        <w:rPr>
          <w:rFonts w:ascii="SimHei" w:eastAsia="SimHei" w:cs="SimHei"/>
          <w:color w:val="FF0000"/>
          <w:sz w:val="28"/>
          <w:szCs w:val="28"/>
        </w:rPr>
        <w:t>10</w:t>
      </w:r>
      <w:r>
        <w:rPr>
          <w:rFonts w:ascii="SimHei" w:eastAsia="SimHei" w:cs="SimHei" w:hint="eastAsia"/>
          <w:color w:val="FF0000"/>
          <w:sz w:val="28"/>
          <w:szCs w:val="28"/>
        </w:rPr>
        <w:t>条</w:t>
      </w:r>
    </w:p>
    <w:p w:rsidR="00373976" w:rsidRDefault="00373976" w:rsidP="00373976">
      <w:pPr>
        <w:tabs>
          <w:tab w:val="left" w:pos="525"/>
        </w:tabs>
        <w:spacing w:after="240" w:line="400" w:lineRule="exact"/>
        <w:jc w:val="center"/>
        <w:rPr>
          <w:rFonts w:ascii="SimHei" w:eastAsia="SimHei"/>
          <w:color w:val="FF0000"/>
          <w:sz w:val="28"/>
          <w:szCs w:val="28"/>
        </w:rPr>
      </w:pPr>
      <w:r>
        <w:rPr>
          <w:rFonts w:ascii="SimHei" w:eastAsia="SimHei" w:cs="SimHei" w:hint="eastAsia"/>
          <w:color w:val="FF0000"/>
          <w:sz w:val="28"/>
          <w:szCs w:val="28"/>
        </w:rPr>
        <w:t>教</w:t>
      </w:r>
      <w:r>
        <w:rPr>
          <w:rFonts w:ascii="SimHei" w:eastAsia="SimHei" w:cs="SimHei"/>
          <w:color w:val="FF0000"/>
          <w:sz w:val="28"/>
          <w:szCs w:val="28"/>
        </w:rPr>
        <w:t xml:space="preserve"> </w:t>
      </w:r>
      <w:r>
        <w:rPr>
          <w:rFonts w:ascii="SimHei" w:eastAsia="SimHei" w:cs="SimHei" w:hint="eastAsia"/>
          <w:color w:val="FF0000"/>
          <w:sz w:val="28"/>
          <w:szCs w:val="28"/>
        </w:rPr>
        <w:t>育</w:t>
      </w:r>
    </w:p>
    <w:p w:rsidR="00373976" w:rsidRDefault="00373976" w:rsidP="00373976">
      <w:pPr>
        <w:pStyle w:val="Subtitle"/>
        <w:pBdr>
          <w:top w:val="single" w:sz="4" w:space="1" w:color="auto"/>
        </w:pBdr>
        <w:tabs>
          <w:tab w:val="left" w:pos="525"/>
        </w:tabs>
        <w:spacing w:line="360" w:lineRule="exact"/>
        <w:jc w:val="both"/>
        <w:rPr>
          <w:rFonts w:eastAsia="SimHei"/>
          <w:sz w:val="21"/>
          <w:szCs w:val="21"/>
          <w:lang w:eastAsia="zh-CN"/>
        </w:rPr>
      </w:pPr>
    </w:p>
    <w:p w:rsidR="00373976" w:rsidRDefault="00373976" w:rsidP="009B38FD">
      <w:pPr>
        <w:tabs>
          <w:tab w:val="left" w:pos="525"/>
        </w:tabs>
        <w:spacing w:after="240" w:line="360" w:lineRule="exact"/>
        <w:ind w:firstLineChars="250" w:firstLine="31680"/>
        <w:rPr>
          <w:rFonts w:ascii="KaiTi_GB2312" w:eastAsia="KaiTi_GB2312"/>
          <w:b/>
          <w:bCs/>
          <w:color w:val="0000FF"/>
        </w:rPr>
      </w:pPr>
      <w:r>
        <w:rPr>
          <w:rFonts w:ascii="KaiTi_GB2312" w:eastAsia="KaiTi_GB2312" w:cs="KaiTi_GB2312" w:hint="eastAsia"/>
          <w:b/>
          <w:bCs/>
          <w:color w:val="0000FF"/>
        </w:rPr>
        <w:t>缔约各国应采取一切适当措施以消除对妇女的歧视，并保证妇女在教育方面享有与男子平等的权利，特别是在男女平等的基础上保证：</w:t>
      </w:r>
    </w:p>
    <w:p w:rsidR="00373976" w:rsidRDefault="00373976" w:rsidP="009B38FD">
      <w:pPr>
        <w:widowControl w:val="0"/>
        <w:numPr>
          <w:ilvl w:val="0"/>
          <w:numId w:val="30"/>
        </w:numPr>
        <w:tabs>
          <w:tab w:val="clear" w:pos="1835"/>
          <w:tab w:val="left" w:pos="1155"/>
        </w:tabs>
        <w:spacing w:after="240" w:line="360" w:lineRule="exact"/>
        <w:ind w:leftChars="250" w:left="31680" w:hangingChars="300" w:firstLine="31680"/>
        <w:jc w:val="both"/>
        <w:rPr>
          <w:rFonts w:ascii="KaiTi_GB2312" w:eastAsia="KaiTi_GB2312"/>
          <w:b/>
          <w:bCs/>
          <w:color w:val="0000FF"/>
        </w:rPr>
      </w:pPr>
      <w:r>
        <w:rPr>
          <w:rFonts w:ascii="KaiTi_GB2312" w:eastAsia="KaiTi_GB2312" w:cs="KaiTi_GB2312" w:hint="eastAsia"/>
          <w:b/>
          <w:bCs/>
          <w:color w:val="0000FF"/>
        </w:rPr>
        <w:t>在各类教育机构，不论其在农村或城市，职业和行业辅导、学习的机会和文凭的取得，条件相同。在学前教育、普通教育、技术、专业和高等技术教育以及各种职业训练方面，都应保证这种平等；</w:t>
      </w:r>
    </w:p>
    <w:p w:rsidR="00373976" w:rsidRDefault="00373976" w:rsidP="009B38FD">
      <w:pPr>
        <w:widowControl w:val="0"/>
        <w:numPr>
          <w:ilvl w:val="0"/>
          <w:numId w:val="30"/>
        </w:numPr>
        <w:tabs>
          <w:tab w:val="clear" w:pos="1835"/>
          <w:tab w:val="left" w:pos="1155"/>
        </w:tabs>
        <w:spacing w:after="240" w:line="360" w:lineRule="exact"/>
        <w:ind w:leftChars="250" w:left="31680" w:hangingChars="300" w:firstLine="31680"/>
        <w:jc w:val="both"/>
        <w:rPr>
          <w:rFonts w:ascii="KaiTi_GB2312" w:eastAsia="KaiTi_GB2312"/>
          <w:b/>
          <w:bCs/>
          <w:color w:val="0000FF"/>
        </w:rPr>
      </w:pPr>
      <w:r>
        <w:rPr>
          <w:rFonts w:ascii="KaiTi_GB2312" w:eastAsia="KaiTi_GB2312" w:cs="KaiTi_GB2312" w:hint="eastAsia"/>
          <w:b/>
          <w:bCs/>
          <w:color w:val="0000FF"/>
        </w:rPr>
        <w:t>课程、考试、师资的标准、校舍和设备的质量一律相同；</w:t>
      </w:r>
    </w:p>
    <w:p w:rsidR="00373976" w:rsidRDefault="00373976" w:rsidP="009B38FD">
      <w:pPr>
        <w:widowControl w:val="0"/>
        <w:numPr>
          <w:ilvl w:val="0"/>
          <w:numId w:val="30"/>
        </w:numPr>
        <w:tabs>
          <w:tab w:val="clear" w:pos="1835"/>
          <w:tab w:val="left" w:pos="1155"/>
        </w:tabs>
        <w:spacing w:after="240" w:line="360" w:lineRule="exact"/>
        <w:ind w:leftChars="250" w:left="31680" w:hangingChars="300" w:firstLine="31680"/>
        <w:jc w:val="both"/>
        <w:rPr>
          <w:rFonts w:ascii="KaiTi_GB2312" w:eastAsia="KaiTi_GB2312"/>
          <w:b/>
          <w:bCs/>
          <w:color w:val="0000FF"/>
        </w:rPr>
      </w:pPr>
      <w:r>
        <w:rPr>
          <w:rFonts w:ascii="KaiTi_GB2312" w:eastAsia="KaiTi_GB2312" w:cs="KaiTi_GB2312" w:hint="eastAsia"/>
          <w:b/>
          <w:bCs/>
          <w:color w:val="0000FF"/>
        </w:rPr>
        <w:t>为消除在各级和各种方式的教育中对男女任务的任何定型观念，应鼓励实行男女同校和其他有助于实现这个目的的教育形式，并特别应修订教科书和课程以及相应地修改教学方法；</w:t>
      </w:r>
    </w:p>
    <w:p w:rsidR="00373976" w:rsidRDefault="00373976" w:rsidP="009B38FD">
      <w:pPr>
        <w:widowControl w:val="0"/>
        <w:numPr>
          <w:ilvl w:val="0"/>
          <w:numId w:val="30"/>
        </w:numPr>
        <w:tabs>
          <w:tab w:val="clear" w:pos="1835"/>
          <w:tab w:val="left" w:pos="1155"/>
        </w:tabs>
        <w:spacing w:after="240" w:line="360" w:lineRule="exact"/>
        <w:ind w:leftChars="250" w:left="31680" w:hangingChars="300" w:firstLine="31680"/>
        <w:jc w:val="both"/>
        <w:rPr>
          <w:rFonts w:ascii="KaiTi_GB2312" w:eastAsia="KaiTi_GB2312"/>
          <w:b/>
          <w:bCs/>
          <w:color w:val="0000FF"/>
        </w:rPr>
      </w:pPr>
      <w:r>
        <w:rPr>
          <w:rFonts w:ascii="KaiTi_GB2312" w:eastAsia="KaiTi_GB2312" w:cs="KaiTi_GB2312" w:hint="eastAsia"/>
          <w:b/>
          <w:bCs/>
          <w:color w:val="0000FF"/>
        </w:rPr>
        <w:t>领受奖学金和其他研究补助金的机会相同；</w:t>
      </w:r>
    </w:p>
    <w:p w:rsidR="00373976" w:rsidRDefault="00373976" w:rsidP="009B38FD">
      <w:pPr>
        <w:widowControl w:val="0"/>
        <w:numPr>
          <w:ilvl w:val="0"/>
          <w:numId w:val="30"/>
        </w:numPr>
        <w:tabs>
          <w:tab w:val="clear" w:pos="1835"/>
          <w:tab w:val="left" w:pos="1155"/>
        </w:tabs>
        <w:spacing w:after="240" w:line="360" w:lineRule="exact"/>
        <w:ind w:leftChars="250" w:left="31680" w:hangingChars="300" w:firstLine="31680"/>
        <w:jc w:val="both"/>
        <w:rPr>
          <w:rFonts w:ascii="KaiTi_GB2312" w:eastAsia="KaiTi_GB2312"/>
          <w:b/>
          <w:bCs/>
          <w:color w:val="0000FF"/>
        </w:rPr>
      </w:pPr>
      <w:r>
        <w:rPr>
          <w:rFonts w:ascii="KaiTi_GB2312" w:eastAsia="KaiTi_GB2312" w:cs="KaiTi_GB2312" w:hint="eastAsia"/>
          <w:b/>
          <w:bCs/>
          <w:color w:val="0000FF"/>
        </w:rPr>
        <w:t>接受成人教育、包括成人识字和实用识字教育的机会相同，特别是为了尽早缩短男女之间存在的教育水平上的一切差距；</w:t>
      </w:r>
    </w:p>
    <w:p w:rsidR="00373976" w:rsidRDefault="00373976" w:rsidP="009B38FD">
      <w:pPr>
        <w:widowControl w:val="0"/>
        <w:numPr>
          <w:ilvl w:val="0"/>
          <w:numId w:val="30"/>
        </w:numPr>
        <w:tabs>
          <w:tab w:val="clear" w:pos="1835"/>
          <w:tab w:val="left" w:pos="1155"/>
        </w:tabs>
        <w:spacing w:after="240" w:line="360" w:lineRule="exact"/>
        <w:ind w:leftChars="250" w:left="31680" w:hangingChars="300" w:firstLine="31680"/>
        <w:jc w:val="both"/>
        <w:rPr>
          <w:rFonts w:ascii="KaiTi_GB2312" w:eastAsia="KaiTi_GB2312"/>
          <w:b/>
          <w:bCs/>
          <w:color w:val="0000FF"/>
        </w:rPr>
      </w:pPr>
      <w:r>
        <w:rPr>
          <w:rFonts w:ascii="KaiTi_GB2312" w:eastAsia="KaiTi_GB2312" w:cs="KaiTi_GB2312" w:hint="eastAsia"/>
          <w:b/>
          <w:bCs/>
          <w:color w:val="0000FF"/>
        </w:rPr>
        <w:t>减少女生退学率，并为离校过早的少女和妇女办理种种方案；</w:t>
      </w:r>
    </w:p>
    <w:p w:rsidR="00373976" w:rsidRDefault="00373976" w:rsidP="009B38FD">
      <w:pPr>
        <w:widowControl w:val="0"/>
        <w:numPr>
          <w:ilvl w:val="0"/>
          <w:numId w:val="30"/>
        </w:numPr>
        <w:tabs>
          <w:tab w:val="clear" w:pos="1835"/>
          <w:tab w:val="left" w:pos="1155"/>
        </w:tabs>
        <w:spacing w:after="240" w:line="360" w:lineRule="exact"/>
        <w:ind w:leftChars="250" w:left="31680" w:hangingChars="300" w:firstLine="31680"/>
        <w:jc w:val="both"/>
        <w:rPr>
          <w:rFonts w:ascii="KaiTi_GB2312" w:eastAsia="KaiTi_GB2312"/>
          <w:b/>
          <w:bCs/>
          <w:color w:val="0000FF"/>
        </w:rPr>
      </w:pPr>
      <w:r>
        <w:rPr>
          <w:rFonts w:ascii="KaiTi_GB2312" w:eastAsia="KaiTi_GB2312" w:cs="KaiTi_GB2312" w:hint="eastAsia"/>
          <w:b/>
          <w:bCs/>
          <w:color w:val="0000FF"/>
        </w:rPr>
        <w:t>积极参加运动和体育的机会相同；</w:t>
      </w:r>
    </w:p>
    <w:p w:rsidR="00373976" w:rsidRDefault="00373976" w:rsidP="00373976">
      <w:pPr>
        <w:tabs>
          <w:tab w:val="left" w:pos="1155"/>
        </w:tabs>
        <w:spacing w:after="240" w:line="360" w:lineRule="exact"/>
        <w:ind w:left="525"/>
        <w:rPr>
          <w:rFonts w:eastAsia="STXinwei"/>
          <w:b/>
          <w:bCs/>
          <w:color w:val="0000FF"/>
        </w:rPr>
      </w:pPr>
      <w:r>
        <w:rPr>
          <w:rFonts w:ascii="KaiTi_GB2312" w:eastAsia="KaiTi_GB2312" w:cs="KaiTi_GB2312" w:hint="eastAsia"/>
          <w:b/>
          <w:bCs/>
          <w:color w:val="0000FF"/>
        </w:rPr>
        <w:t>（</w:t>
      </w:r>
      <w:r>
        <w:rPr>
          <w:rFonts w:ascii="KaiTi_GB2312" w:eastAsia="KaiTi_GB2312" w:cs="KaiTi_GB2312"/>
          <w:b/>
          <w:bCs/>
          <w:color w:val="0000FF"/>
        </w:rPr>
        <w:t>h</w:t>
      </w:r>
      <w:r>
        <w:rPr>
          <w:rFonts w:ascii="KaiTi_GB2312" w:eastAsia="KaiTi_GB2312" w:cs="KaiTi_GB2312" w:hint="eastAsia"/>
          <w:b/>
          <w:bCs/>
          <w:color w:val="0000FF"/>
        </w:rPr>
        <w:t>）有接受特殊教育性辅导的机会，以保障家庭健康和幸福，包括关于计划生育的知识和辅导在内。</w:t>
      </w:r>
    </w:p>
    <w:p w:rsidR="00373976" w:rsidRDefault="00373976" w:rsidP="00373976">
      <w:pPr>
        <w:numPr>
          <w:ilvl w:val="1"/>
          <w:numId w:val="30"/>
        </w:numPr>
        <w:tabs>
          <w:tab w:val="clear" w:pos="397"/>
          <w:tab w:val="left" w:pos="525"/>
        </w:tabs>
        <w:spacing w:after="240" w:line="360" w:lineRule="exact"/>
        <w:ind w:left="0" w:firstLine="0"/>
        <w:jc w:val="both"/>
        <w:rPr>
          <w:color w:val="000000"/>
        </w:rPr>
      </w:pPr>
      <w:r>
        <w:rPr>
          <w:rFonts w:cs="SimSun" w:hint="eastAsia"/>
        </w:rPr>
        <w:t>伯利兹继续实行教会和国家相结合的教育体制，教会负责管理一些学校，政府分别支付小学和中学教师</w:t>
      </w:r>
      <w:r>
        <w:t>100%</w:t>
      </w:r>
      <w:r>
        <w:rPr>
          <w:rFonts w:cs="SimSun" w:hint="eastAsia"/>
        </w:rPr>
        <w:t>和</w:t>
      </w:r>
      <w:r>
        <w:t>70%</w:t>
      </w:r>
      <w:r>
        <w:rPr>
          <w:rFonts w:cs="SimSun" w:hint="eastAsia"/>
        </w:rPr>
        <w:t>的工资。但对学前教育的教师工资没有类似的资助安排。</w:t>
      </w:r>
    </w:p>
    <w:p w:rsidR="00373976" w:rsidRDefault="00373976" w:rsidP="00373976">
      <w:pPr>
        <w:numPr>
          <w:ilvl w:val="1"/>
          <w:numId w:val="30"/>
        </w:numPr>
        <w:tabs>
          <w:tab w:val="clear" w:pos="397"/>
          <w:tab w:val="left" w:pos="525"/>
        </w:tabs>
        <w:spacing w:after="240" w:line="360" w:lineRule="exact"/>
        <w:ind w:left="0" w:firstLine="0"/>
        <w:jc w:val="both"/>
        <w:rPr>
          <w:color w:val="000000"/>
        </w:rPr>
      </w:pPr>
      <w:r>
        <w:rPr>
          <w:rFonts w:cs="SimSun" w:hint="eastAsia"/>
          <w:color w:val="000000"/>
        </w:rPr>
        <w:t>学前教育的入学率总体较低，每年约为</w:t>
      </w:r>
      <w:r>
        <w:rPr>
          <w:color w:val="000000"/>
        </w:rPr>
        <w:t>25%</w:t>
      </w:r>
      <w:r>
        <w:rPr>
          <w:rFonts w:cs="SimSun" w:hint="eastAsia"/>
          <w:color w:val="000000"/>
        </w:rPr>
        <w:t>，男孩和女孩的比例相当。经济承受力和设施缺乏的问题，特别是在农村地区，限制了学前教育的入学率。定于</w:t>
      </w:r>
      <w:r>
        <w:rPr>
          <w:color w:val="000000"/>
        </w:rPr>
        <w:t>2004</w:t>
      </w:r>
      <w:r>
        <w:rPr>
          <w:rFonts w:cs="SimSun" w:hint="eastAsia"/>
          <w:color w:val="000000"/>
        </w:rPr>
        <w:t>年完成的《幼儿发展综合政策》及《儿童和青少年国家行动方案》着重强调了这一问题。</w:t>
      </w:r>
    </w:p>
    <w:p w:rsidR="00373976" w:rsidRDefault="00373976" w:rsidP="00373976">
      <w:pPr>
        <w:numPr>
          <w:ilvl w:val="1"/>
          <w:numId w:val="30"/>
        </w:numPr>
        <w:tabs>
          <w:tab w:val="clear" w:pos="397"/>
          <w:tab w:val="left" w:pos="525"/>
        </w:tabs>
        <w:spacing w:after="240" w:line="360" w:lineRule="exact"/>
        <w:ind w:left="0" w:firstLine="0"/>
        <w:jc w:val="both"/>
        <w:rPr>
          <w:color w:val="000000"/>
        </w:rPr>
      </w:pPr>
      <w:r>
        <w:rPr>
          <w:rFonts w:cs="SimSun" w:hint="eastAsia"/>
          <w:color w:val="000000"/>
        </w:rPr>
        <w:t>法律要求</w:t>
      </w:r>
      <w:r>
        <w:rPr>
          <w:color w:val="000000"/>
        </w:rPr>
        <w:t>14</w:t>
      </w:r>
      <w:r>
        <w:rPr>
          <w:rFonts w:cs="SimSun" w:hint="eastAsia"/>
          <w:color w:val="000000"/>
        </w:rPr>
        <w:t>岁之前的儿童必须上学。不过，教育统计摘要显示，</w:t>
      </w:r>
      <w:r>
        <w:rPr>
          <w:color w:val="000000"/>
        </w:rPr>
        <w:t>2002</w:t>
      </w:r>
      <w:r>
        <w:rPr>
          <w:rFonts w:cs="SimSun" w:hint="eastAsia"/>
          <w:color w:val="000000"/>
        </w:rPr>
        <w:t>年有大约</w:t>
      </w:r>
      <w:r>
        <w:rPr>
          <w:color w:val="000000"/>
        </w:rPr>
        <w:t>25%</w:t>
      </w:r>
      <w:r>
        <w:rPr>
          <w:rFonts w:cs="SimSun" w:hint="eastAsia"/>
          <w:color w:val="000000"/>
        </w:rPr>
        <w:t>的</w:t>
      </w:r>
      <w:r>
        <w:rPr>
          <w:color w:val="000000"/>
        </w:rPr>
        <w:t>14</w:t>
      </w:r>
      <w:r>
        <w:rPr>
          <w:rFonts w:cs="SimSun" w:hint="eastAsia"/>
          <w:color w:val="000000"/>
        </w:rPr>
        <w:t>岁儿童没有注册入学，其中女孩占半数多一点（</w:t>
      </w:r>
      <w:r>
        <w:rPr>
          <w:color w:val="000000"/>
        </w:rPr>
        <w:t>2%</w:t>
      </w:r>
      <w:r>
        <w:rPr>
          <w:rFonts w:cs="SimSun" w:hint="eastAsia"/>
          <w:color w:val="000000"/>
        </w:rPr>
        <w:t>）（见表</w:t>
      </w:r>
      <w:r>
        <w:rPr>
          <w:color w:val="000000"/>
        </w:rPr>
        <w:t>10.0</w:t>
      </w:r>
      <w:r>
        <w:rPr>
          <w:rFonts w:cs="SimSun" w:hint="eastAsia"/>
          <w:color w:val="000000"/>
        </w:rPr>
        <w:t>）。</w:t>
      </w:r>
    </w:p>
    <w:p w:rsidR="00373976" w:rsidRDefault="00373976" w:rsidP="00373976">
      <w:pPr>
        <w:tabs>
          <w:tab w:val="left" w:pos="525"/>
        </w:tabs>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10.0 2001</w:t>
      </w:r>
      <w:r>
        <w:rPr>
          <w:rFonts w:ascii="SimHei" w:eastAsia="SimHei" w:cs="SimHei" w:hint="eastAsia"/>
          <w:color w:val="FF0000"/>
        </w:rPr>
        <w:t>至</w:t>
      </w:r>
      <w:r>
        <w:rPr>
          <w:rFonts w:ascii="SimHei" w:eastAsia="SimHei" w:cs="SimHei"/>
          <w:color w:val="FF0000"/>
        </w:rPr>
        <w:t>2002</w:t>
      </w:r>
      <w:r>
        <w:rPr>
          <w:rFonts w:ascii="SimHei" w:eastAsia="SimHei" w:cs="SimHei" w:hint="eastAsia"/>
          <w:color w:val="FF0000"/>
        </w:rPr>
        <w:t>年教育系统中按年龄分列的儿童入学比例</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0"/>
        <w:gridCol w:w="2800"/>
        <w:gridCol w:w="2800"/>
      </w:tblGrid>
      <w:tr w:rsidR="00373976">
        <w:tblPrEx>
          <w:tblCellMar>
            <w:top w:w="0" w:type="dxa"/>
            <w:bottom w:w="0" w:type="dxa"/>
          </w:tblCellMar>
        </w:tblPrEx>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rPr>
                <w:rFonts w:ascii="SimHei" w:eastAsia="SimHei"/>
                <w:color w:val="FF0000"/>
              </w:rPr>
            </w:pPr>
            <w:r>
              <w:rPr>
                <w:rFonts w:ascii="SimHei" w:eastAsia="SimHei" w:cs="SimHei" w:hint="eastAsia"/>
                <w:color w:val="FF0000"/>
              </w:rPr>
              <w:t>性别</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jc w:val="center"/>
              <w:rPr>
                <w:rFonts w:ascii="SimHei" w:eastAsia="SimHei"/>
                <w:b/>
                <w:bCs/>
                <w:color w:val="FF0000"/>
              </w:rPr>
            </w:pPr>
            <w:r>
              <w:rPr>
                <w:rFonts w:ascii="SimHei" w:eastAsia="SimHei" w:cs="SimHei"/>
                <w:b/>
                <w:bCs/>
                <w:color w:val="FF0000"/>
              </w:rPr>
              <w:t xml:space="preserve">12 </w:t>
            </w:r>
            <w:r>
              <w:rPr>
                <w:rFonts w:ascii="SimHei" w:eastAsia="SimHei" w:cs="SimHei" w:hint="eastAsia"/>
                <w:b/>
                <w:bCs/>
                <w:color w:val="FF0000"/>
              </w:rPr>
              <w:t>岁</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jc w:val="center"/>
              <w:rPr>
                <w:rFonts w:ascii="SimHei" w:eastAsia="SimHei"/>
                <w:b/>
                <w:bCs/>
                <w:color w:val="FF0000"/>
              </w:rPr>
            </w:pPr>
            <w:r>
              <w:rPr>
                <w:rFonts w:ascii="SimHei" w:eastAsia="SimHei" w:cs="SimHei"/>
                <w:b/>
                <w:bCs/>
                <w:color w:val="FF0000"/>
              </w:rPr>
              <w:t xml:space="preserve">14 </w:t>
            </w:r>
            <w:r>
              <w:rPr>
                <w:rFonts w:ascii="SimHei" w:eastAsia="SimHei" w:cs="SimHei" w:hint="eastAsia"/>
                <w:b/>
                <w:bCs/>
                <w:color w:val="FF0000"/>
              </w:rPr>
              <w:t>岁</w:t>
            </w:r>
          </w:p>
        </w:tc>
      </w:tr>
      <w:tr w:rsidR="00373976">
        <w:tblPrEx>
          <w:tblCellMar>
            <w:top w:w="0" w:type="dxa"/>
            <w:bottom w:w="0" w:type="dxa"/>
          </w:tblCellMar>
        </w:tblPrEx>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pStyle w:val="H2"/>
              <w:spacing w:afterLines="50" w:after="156" w:line="312" w:lineRule="atLeast"/>
              <w:rPr>
                <w:rFonts w:ascii="Times New Roman" w:cs="Times New Roman"/>
                <w:lang w:val="en-US"/>
              </w:rPr>
            </w:pPr>
            <w:r>
              <w:rPr>
                <w:rFonts w:ascii="Times New Roman" w:hint="eastAsia"/>
                <w:lang w:val="en-US"/>
              </w:rPr>
              <w:t>男</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pStyle w:val="Date"/>
              <w:spacing w:afterLines="50" w:after="156"/>
              <w:jc w:val="center"/>
            </w:pPr>
            <w:r>
              <w:t>97.2%</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jc w:val="center"/>
            </w:pPr>
            <w:r>
              <w:t>75.2%</w:t>
            </w:r>
          </w:p>
        </w:tc>
      </w:tr>
      <w:tr w:rsidR="00373976">
        <w:tblPrEx>
          <w:tblCellMar>
            <w:top w:w="0" w:type="dxa"/>
            <w:bottom w:w="0" w:type="dxa"/>
          </w:tblCellMar>
        </w:tblPrEx>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pStyle w:val="H2"/>
              <w:spacing w:afterLines="50" w:after="156" w:line="312" w:lineRule="atLeast"/>
              <w:rPr>
                <w:rFonts w:ascii="Times New Roman" w:cs="Times New Roman"/>
                <w:lang w:val="en-US"/>
              </w:rPr>
            </w:pPr>
            <w:r>
              <w:rPr>
                <w:rFonts w:ascii="Times New Roman" w:hint="eastAsia"/>
                <w:lang w:val="en-US"/>
              </w:rPr>
              <w:t>女</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jc w:val="center"/>
            </w:pPr>
            <w:r>
              <w:t>94.6%</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jc w:val="center"/>
            </w:pPr>
            <w:r>
              <w:t>73.3%</w:t>
            </w:r>
          </w:p>
        </w:tc>
      </w:tr>
      <w:tr w:rsidR="00373976">
        <w:tblPrEx>
          <w:tblCellMar>
            <w:top w:w="0" w:type="dxa"/>
            <w:bottom w:w="0" w:type="dxa"/>
          </w:tblCellMar>
        </w:tblPrEx>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rPr>
                <w:rFonts w:eastAsia="SimHei"/>
                <w:color w:val="FF0000"/>
              </w:rPr>
            </w:pPr>
            <w:r>
              <w:rPr>
                <w:rFonts w:eastAsia="SimHei" w:cs="SimHei" w:hint="eastAsia"/>
                <w:color w:val="FF0000"/>
              </w:rPr>
              <w:t>总数</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jc w:val="center"/>
            </w:pPr>
            <w:r>
              <w:t>95.9%</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jc w:val="center"/>
            </w:pPr>
            <w:r>
              <w:t>74.2%</w:t>
            </w:r>
          </w:p>
        </w:tc>
      </w:tr>
    </w:tbl>
    <w:p w:rsidR="00373976" w:rsidRDefault="00373976" w:rsidP="00373976">
      <w:pPr>
        <w:pStyle w:val="50"/>
        <w:tabs>
          <w:tab w:val="left" w:pos="525"/>
        </w:tabs>
        <w:adjustRightInd w:val="0"/>
        <w:spacing w:beforeLines="0" w:before="0" w:afterLines="0" w:after="0" w:line="360" w:lineRule="exact"/>
        <w:textAlignment w:val="baseline"/>
        <w:rPr>
          <w:kern w:val="0"/>
        </w:rPr>
      </w:pPr>
    </w:p>
    <w:p w:rsidR="00373976" w:rsidRDefault="00373976" w:rsidP="00373976">
      <w:pPr>
        <w:numPr>
          <w:ilvl w:val="1"/>
          <w:numId w:val="30"/>
        </w:numPr>
        <w:tabs>
          <w:tab w:val="clear" w:pos="397"/>
          <w:tab w:val="left" w:pos="525"/>
        </w:tabs>
        <w:spacing w:after="240" w:line="360" w:lineRule="exact"/>
        <w:ind w:left="0" w:firstLine="0"/>
        <w:jc w:val="both"/>
        <w:rPr>
          <w:color w:val="000000"/>
        </w:rPr>
      </w:pPr>
      <w:r>
        <w:rPr>
          <w:rFonts w:cs="SimSun" w:hint="eastAsia"/>
          <w:color w:val="000000"/>
        </w:rPr>
        <w:t>注册上中学的女孩多于男孩，但这两种性别儿童的入学率都不到</w:t>
      </w:r>
      <w:r>
        <w:rPr>
          <w:color w:val="000000"/>
        </w:rPr>
        <w:t>50%</w:t>
      </w:r>
      <w:r>
        <w:rPr>
          <w:rFonts w:cs="SimSun" w:hint="eastAsia"/>
          <w:color w:val="000000"/>
        </w:rPr>
        <w:t>（请参见表</w:t>
      </w:r>
      <w:r>
        <w:rPr>
          <w:color w:val="000000"/>
        </w:rPr>
        <w:t>10.1</w:t>
      </w:r>
      <w:r>
        <w:rPr>
          <w:rFonts w:cs="SimSun" w:hint="eastAsia"/>
          <w:color w:val="000000"/>
        </w:rPr>
        <w:t>）。造成男女生中学入学率不同的一个原因是男孩的退学率高，特别是在高中的一年级和二年级。在过去，男女生中学入学率低的主要原因是中学缺乏足够的校舍，不过最近的研究发现，个人支付的中学教育费用过高是另一个主要因素。</w:t>
      </w:r>
      <w:r>
        <w:rPr>
          <w:rStyle w:val="FootnoteReference"/>
          <w:color w:val="000000"/>
        </w:rPr>
        <w:footnoteReference w:id="27"/>
      </w:r>
    </w:p>
    <w:p w:rsidR="00373976" w:rsidRDefault="00373976" w:rsidP="00373976">
      <w:pPr>
        <w:tabs>
          <w:tab w:val="left" w:pos="525"/>
        </w:tabs>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 xml:space="preserve">10.1 </w:t>
      </w:r>
      <w:r>
        <w:rPr>
          <w:rFonts w:ascii="SimHei" w:eastAsia="SimHei" w:cs="SimHei" w:hint="eastAsia"/>
          <w:color w:val="FF0000"/>
        </w:rPr>
        <w:t xml:space="preserve">　中学纯入学率（</w:t>
      </w:r>
      <w:r>
        <w:rPr>
          <w:rFonts w:ascii="SimHei" w:eastAsia="SimHei" w:cs="SimHei"/>
          <w:color w:val="FF0000"/>
        </w:rPr>
        <w:t>2001-2002</w:t>
      </w:r>
      <w:r>
        <w:rPr>
          <w:rFonts w:ascii="SimHei" w:eastAsia="SimHei" w:cs="SimHei" w:hint="eastAsia"/>
          <w:color w:val="FF0000"/>
        </w:rPr>
        <w:t>年）</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0"/>
        <w:gridCol w:w="2800"/>
      </w:tblGrid>
      <w:tr w:rsidR="00373976">
        <w:tblPrEx>
          <w:tblCellMar>
            <w:top w:w="0" w:type="dxa"/>
            <w:bottom w:w="0" w:type="dxa"/>
          </w:tblCellMar>
        </w:tblPrEx>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rPr>
                <w:rFonts w:eastAsia="SimHei"/>
                <w:color w:val="FF0000"/>
              </w:rPr>
            </w:pPr>
            <w:r>
              <w:rPr>
                <w:rFonts w:eastAsia="SimHei" w:cs="SimHei" w:hint="eastAsia"/>
                <w:color w:val="FF0000"/>
              </w:rPr>
              <w:t>性别</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rPr>
                <w:rFonts w:eastAsia="SimHei"/>
                <w:color w:val="FF0000"/>
              </w:rPr>
            </w:pPr>
            <w:r>
              <w:rPr>
                <w:rFonts w:eastAsia="SimHei" w:cs="SimHei" w:hint="eastAsia"/>
                <w:color w:val="FF0000"/>
              </w:rPr>
              <w:t>入学率</w:t>
            </w:r>
          </w:p>
        </w:tc>
      </w:tr>
      <w:tr w:rsidR="00373976">
        <w:tblPrEx>
          <w:tblCellMar>
            <w:top w:w="0" w:type="dxa"/>
            <w:bottom w:w="0" w:type="dxa"/>
          </w:tblCellMar>
        </w:tblPrEx>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rPr>
                <w:rFonts w:eastAsia="SimHei"/>
                <w:color w:val="FF0000"/>
              </w:rPr>
            </w:pPr>
            <w:r>
              <w:rPr>
                <w:rFonts w:eastAsia="SimHei" w:cs="SimHei" w:hint="eastAsia"/>
                <w:color w:val="FF0000"/>
              </w:rPr>
              <w:t>男生</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42.5%</w:t>
            </w:r>
          </w:p>
        </w:tc>
      </w:tr>
      <w:tr w:rsidR="00373976">
        <w:tblPrEx>
          <w:tblCellMar>
            <w:top w:w="0" w:type="dxa"/>
            <w:bottom w:w="0" w:type="dxa"/>
          </w:tblCellMar>
        </w:tblPrEx>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rPr>
                <w:rFonts w:eastAsia="SimHei"/>
                <w:color w:val="FF0000"/>
              </w:rPr>
            </w:pPr>
            <w:r>
              <w:rPr>
                <w:rFonts w:eastAsia="SimHei" w:cs="SimHei" w:hint="eastAsia"/>
                <w:color w:val="FF0000"/>
              </w:rPr>
              <w:t>女生</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47.6%</w:t>
            </w:r>
          </w:p>
        </w:tc>
      </w:tr>
      <w:tr w:rsidR="00373976">
        <w:tblPrEx>
          <w:tblCellMar>
            <w:top w:w="0" w:type="dxa"/>
            <w:bottom w:w="0" w:type="dxa"/>
          </w:tblCellMar>
        </w:tblPrEx>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spacing w:afterLines="50" w:after="156"/>
              <w:rPr>
                <w:rFonts w:eastAsia="SimHei"/>
                <w:color w:val="FF0000"/>
              </w:rPr>
            </w:pPr>
            <w:r>
              <w:rPr>
                <w:rFonts w:eastAsia="SimHei" w:cs="SimHei" w:hint="eastAsia"/>
                <w:color w:val="FF0000"/>
              </w:rPr>
              <w:t>总数</w:t>
            </w:r>
          </w:p>
        </w:tc>
        <w:tc>
          <w:tcPr>
            <w:tcW w:w="280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45%</w:t>
            </w:r>
          </w:p>
        </w:tc>
      </w:tr>
    </w:tbl>
    <w:p w:rsidR="00373976" w:rsidRDefault="00373976" w:rsidP="00373976">
      <w:pPr>
        <w:pStyle w:val="50"/>
        <w:tabs>
          <w:tab w:val="left" w:pos="525"/>
        </w:tabs>
        <w:adjustRightInd w:val="0"/>
        <w:spacing w:beforeLines="0" w:before="0" w:afterLines="0" w:after="0" w:line="360" w:lineRule="exact"/>
        <w:textAlignment w:val="baseline"/>
        <w:rPr>
          <w:b w:val="0"/>
          <w:bCs w:val="0"/>
        </w:rPr>
      </w:pPr>
    </w:p>
    <w:p w:rsidR="00373976" w:rsidRDefault="00373976" w:rsidP="00373976">
      <w:pPr>
        <w:numPr>
          <w:ilvl w:val="1"/>
          <w:numId w:val="30"/>
        </w:numPr>
        <w:tabs>
          <w:tab w:val="clear" w:pos="397"/>
          <w:tab w:val="left" w:pos="525"/>
        </w:tabs>
        <w:spacing w:after="240" w:line="360" w:lineRule="exact"/>
        <w:ind w:left="0" w:firstLine="0"/>
        <w:jc w:val="both"/>
        <w:rPr>
          <w:color w:val="000000"/>
        </w:rPr>
      </w:pPr>
      <w:r>
        <w:rPr>
          <w:rFonts w:cs="SimSun" w:hint="eastAsia"/>
          <w:color w:val="000000"/>
        </w:rPr>
        <w:t>过去，玛雅女孩在达到青春期的年龄时就退学。但这一习俗正逐步改变，现有不断增多的玛雅女孩进入中学学习。</w:t>
      </w:r>
    </w:p>
    <w:p w:rsidR="00373976" w:rsidRDefault="00373976" w:rsidP="00373976">
      <w:pPr>
        <w:numPr>
          <w:ilvl w:val="1"/>
          <w:numId w:val="30"/>
        </w:numPr>
        <w:tabs>
          <w:tab w:val="clear" w:pos="397"/>
          <w:tab w:val="left" w:pos="525"/>
        </w:tabs>
        <w:spacing w:after="240" w:line="360" w:lineRule="exact"/>
        <w:ind w:left="0" w:firstLine="0"/>
        <w:jc w:val="both"/>
        <w:rPr>
          <w:i/>
          <w:iCs/>
        </w:rPr>
      </w:pPr>
      <w:r>
        <w:rPr>
          <w:rFonts w:cs="SimSun" w:hint="eastAsia"/>
          <w:color w:val="000000"/>
        </w:rPr>
        <w:t>虽然在专科学校上学的男生和女生数量相当，但女生仍集中在传统的专业。比如，男生在职业、技术和农业学校的人数仍大大超过女生，而女生则在护理和师范教育课程中占有优势。</w:t>
      </w:r>
    </w:p>
    <w:p w:rsidR="00373976" w:rsidRDefault="00373976" w:rsidP="00373976">
      <w:pPr>
        <w:numPr>
          <w:ilvl w:val="1"/>
          <w:numId w:val="30"/>
        </w:numPr>
        <w:tabs>
          <w:tab w:val="clear" w:pos="397"/>
          <w:tab w:val="left" w:pos="525"/>
        </w:tabs>
        <w:spacing w:after="240" w:line="360" w:lineRule="exact"/>
        <w:ind w:left="0" w:firstLine="0"/>
        <w:jc w:val="both"/>
        <w:rPr>
          <w:i/>
          <w:iCs/>
        </w:rPr>
      </w:pPr>
      <w:r>
        <w:rPr>
          <w:rFonts w:cs="SimSun" w:hint="eastAsia"/>
        </w:rPr>
        <w:t>此外，一项研究报告指出：</w:t>
      </w:r>
    </w:p>
    <w:p w:rsidR="00373976" w:rsidRDefault="00373976" w:rsidP="009B38FD">
      <w:pPr>
        <w:tabs>
          <w:tab w:val="left" w:pos="525"/>
        </w:tabs>
        <w:spacing w:after="180" w:line="360" w:lineRule="exact"/>
        <w:ind w:leftChars="250" w:left="31680" w:firstLineChars="200" w:firstLine="31680"/>
        <w:rPr>
          <w:rFonts w:ascii="KaiTi_GB2312" w:eastAsia="KaiTi_GB2312"/>
          <w:color w:val="0000FF"/>
        </w:rPr>
      </w:pPr>
      <w:r>
        <w:rPr>
          <w:rFonts w:ascii="KaiTi_GB2312" w:eastAsia="KaiTi_GB2312"/>
          <w:color w:val="0000FF"/>
        </w:rPr>
        <w:t>“</w:t>
      </w:r>
      <w:r>
        <w:rPr>
          <w:rFonts w:ascii="KaiTi_GB2312" w:eastAsia="KaiTi_GB2312" w:cs="KaiTi_GB2312" w:hint="eastAsia"/>
          <w:color w:val="0000FF"/>
        </w:rPr>
        <w:t>可以看出，虽然在伯利兹大学学习的男女生人数大致相同，但男生往往比女生小。这意味着年岁大的女生很可能是在外工作了一些年后又回到学校学习。这些女生应该是在先前的某个时间完成了高中学业，获得了工作经验，并在此过程中变得更加自信而且制定了更加明确的职业目标。这也意味着男生有机会在较小的年龄就可完成高等教育，从而比女生更快升到令人羡慕的决策性职位。</w:t>
      </w:r>
      <w:r>
        <w:rPr>
          <w:rFonts w:ascii="KaiTi_GB2312" w:eastAsia="KaiTi_GB2312"/>
          <w:color w:val="0000FF"/>
        </w:rPr>
        <w:t>”</w:t>
      </w:r>
      <w:r>
        <w:rPr>
          <w:rStyle w:val="FootnoteReference"/>
          <w:rFonts w:ascii="KaiTi_GB2312" w:eastAsia="KaiTi_GB2312"/>
          <w:color w:val="0000FF"/>
        </w:rPr>
        <w:footnoteReference w:id="28"/>
      </w:r>
    </w:p>
    <w:p w:rsidR="00373976" w:rsidRDefault="00373976" w:rsidP="00964C51">
      <w:pPr>
        <w:numPr>
          <w:ilvl w:val="2"/>
          <w:numId w:val="30"/>
        </w:numPr>
        <w:tabs>
          <w:tab w:val="clear" w:pos="340"/>
          <w:tab w:val="left" w:pos="525"/>
        </w:tabs>
        <w:spacing w:after="180" w:line="360" w:lineRule="exact"/>
        <w:ind w:left="0" w:firstLine="0"/>
        <w:jc w:val="both"/>
        <w:rPr>
          <w:color w:val="000000"/>
        </w:rPr>
      </w:pPr>
      <w:r>
        <w:rPr>
          <w:rFonts w:cs="SimSun" w:hint="eastAsia"/>
        </w:rPr>
        <w:t>教育部批准的奖学金中有</w:t>
      </w:r>
      <w:r>
        <w:t>59%</w:t>
      </w:r>
      <w:r>
        <w:rPr>
          <w:rFonts w:cs="SimSun" w:hint="eastAsia"/>
        </w:rPr>
        <w:t>授予了妇女。</w:t>
      </w:r>
    </w:p>
    <w:p w:rsidR="00373976" w:rsidRDefault="00373976" w:rsidP="00373976">
      <w:pPr>
        <w:numPr>
          <w:ilvl w:val="0"/>
          <w:numId w:val="31"/>
        </w:numPr>
        <w:tabs>
          <w:tab w:val="clear" w:pos="340"/>
          <w:tab w:val="left" w:pos="525"/>
        </w:tabs>
        <w:spacing w:after="240" w:line="360" w:lineRule="exact"/>
        <w:ind w:left="0" w:firstLine="0"/>
        <w:jc w:val="both"/>
      </w:pPr>
      <w:r>
        <w:rPr>
          <w:rFonts w:cs="SimSun" w:hint="eastAsia"/>
          <w:color w:val="000000"/>
        </w:rPr>
        <w:t>以</w:t>
      </w:r>
      <w:r>
        <w:rPr>
          <w:color w:val="000000"/>
        </w:rPr>
        <w:t>1996</w:t>
      </w:r>
      <w:r>
        <w:rPr>
          <w:rFonts w:cs="SimSun" w:hint="eastAsia"/>
          <w:color w:val="000000"/>
        </w:rPr>
        <w:t>年的一项调查</w:t>
      </w:r>
      <w:r>
        <w:rPr>
          <w:rStyle w:val="FootnoteReference"/>
          <w:color w:val="000000"/>
        </w:rPr>
        <w:footnoteReference w:id="29"/>
      </w:r>
      <w:r>
        <w:rPr>
          <w:rFonts w:cs="SimSun" w:hint="eastAsia"/>
          <w:color w:val="000000"/>
        </w:rPr>
        <w:t>为基础的</w:t>
      </w:r>
      <w:r>
        <w:rPr>
          <w:color w:val="000000"/>
        </w:rPr>
        <w:t>1998</w:t>
      </w:r>
      <w:r>
        <w:rPr>
          <w:rFonts w:cs="SimSun" w:hint="eastAsia"/>
          <w:color w:val="000000"/>
        </w:rPr>
        <w:t>年数据表明，识字率基本上保持不变，全国为</w:t>
      </w:r>
      <w:r>
        <w:rPr>
          <w:color w:val="000000"/>
        </w:rPr>
        <w:t>75.5%</w:t>
      </w:r>
      <w:r>
        <w:rPr>
          <w:rFonts w:cs="SimSun" w:hint="eastAsia"/>
          <w:color w:val="000000"/>
        </w:rPr>
        <w:t>，</w:t>
      </w:r>
      <w:r>
        <w:rPr>
          <w:rStyle w:val="FootnoteReference"/>
          <w:color w:val="000000"/>
        </w:rPr>
        <w:footnoteReference w:id="30"/>
      </w:r>
      <w:r>
        <w:rPr>
          <w:rFonts w:cs="SimSun" w:hint="eastAsia"/>
          <w:color w:val="000000"/>
        </w:rPr>
        <w:t>但在玛雅人口中还不到</w:t>
      </w:r>
      <w:r>
        <w:rPr>
          <w:color w:val="000000"/>
        </w:rPr>
        <w:t>50%</w:t>
      </w:r>
      <w:r>
        <w:rPr>
          <w:rFonts w:cs="SimSun" w:hint="eastAsia"/>
          <w:color w:val="000000"/>
        </w:rPr>
        <w:t>（请参见表</w:t>
      </w:r>
      <w:r>
        <w:rPr>
          <w:color w:val="000000"/>
        </w:rPr>
        <w:t>10.2</w:t>
      </w:r>
      <w:r>
        <w:rPr>
          <w:rFonts w:cs="SimSun" w:hint="eastAsia"/>
          <w:color w:val="000000"/>
        </w:rPr>
        <w:t>和</w:t>
      </w:r>
      <w:r>
        <w:rPr>
          <w:color w:val="000000"/>
        </w:rPr>
        <w:t>10.3</w:t>
      </w:r>
      <w:r>
        <w:rPr>
          <w:rFonts w:cs="SimSun" w:hint="eastAsia"/>
          <w:color w:val="000000"/>
        </w:rPr>
        <w:t>）。</w:t>
      </w:r>
    </w:p>
    <w:p w:rsidR="00373976" w:rsidRDefault="00373976" w:rsidP="00373976">
      <w:pPr>
        <w:tabs>
          <w:tab w:val="left" w:pos="525"/>
        </w:tabs>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10.2 1996</w:t>
      </w:r>
      <w:r>
        <w:rPr>
          <w:rFonts w:ascii="SimHei" w:eastAsia="SimHei" w:cs="SimHei" w:hint="eastAsia"/>
          <w:color w:val="FF0000"/>
        </w:rPr>
        <w:t>年的识字率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0"/>
        <w:gridCol w:w="2070"/>
        <w:gridCol w:w="2070"/>
        <w:gridCol w:w="2070"/>
      </w:tblGrid>
      <w:tr w:rsidR="00373976">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rPr>
                <w:rFonts w:eastAsia="SimHei"/>
                <w:color w:val="FF0000"/>
              </w:rPr>
            </w:pPr>
            <w:r>
              <w:rPr>
                <w:rFonts w:eastAsia="SimHei" w:cs="SimHei" w:hint="eastAsia"/>
                <w:color w:val="FF0000"/>
              </w:rPr>
              <w:t>性别</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rPr>
                <w:rFonts w:eastAsia="SimHei"/>
                <w:color w:val="FF0000"/>
              </w:rPr>
            </w:pPr>
            <w:r>
              <w:rPr>
                <w:rFonts w:eastAsia="SimHei" w:cs="SimHei" w:hint="eastAsia"/>
                <w:color w:val="FF0000"/>
              </w:rPr>
              <w:t>文盲</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rPr>
                <w:rFonts w:eastAsia="SimHei"/>
                <w:color w:val="FF0000"/>
              </w:rPr>
            </w:pPr>
            <w:r>
              <w:rPr>
                <w:rFonts w:eastAsia="SimHei" w:cs="SimHei" w:hint="eastAsia"/>
                <w:color w:val="FF0000"/>
              </w:rPr>
              <w:t>半文盲</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rPr>
                <w:rFonts w:eastAsia="SimHei"/>
                <w:color w:val="FF0000"/>
              </w:rPr>
            </w:pPr>
            <w:r>
              <w:rPr>
                <w:rFonts w:eastAsia="SimHei" w:cs="SimHei" w:hint="eastAsia"/>
                <w:color w:val="FF0000"/>
              </w:rPr>
              <w:t>有读写能力</w:t>
            </w:r>
          </w:p>
        </w:tc>
      </w:tr>
      <w:tr w:rsidR="00373976">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pPr>
            <w:r>
              <w:rPr>
                <w:rFonts w:cs="SimSun" w:hint="eastAsia"/>
              </w:rPr>
              <w:t>总数</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pStyle w:val="Date"/>
              <w:tabs>
                <w:tab w:val="left" w:pos="525"/>
              </w:tabs>
              <w:spacing w:after="120" w:line="300" w:lineRule="exact"/>
              <w:jc w:val="center"/>
            </w:pPr>
            <w:r>
              <w:t>7.6%</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pPr>
            <w:r>
              <w:t>17.3%</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pPr>
            <w:r>
              <w:t>75.1%</w:t>
            </w:r>
          </w:p>
        </w:tc>
      </w:tr>
      <w:tr w:rsidR="00373976">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pPr>
            <w:r>
              <w:rPr>
                <w:rFonts w:cs="SimSun" w:hint="eastAsia"/>
              </w:rPr>
              <w:t>男子</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pPr>
            <w:r>
              <w:t>7.4%</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pPr>
            <w:r>
              <w:t>17.6%</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pPr>
            <w:r>
              <w:t>74.9%</w:t>
            </w:r>
          </w:p>
        </w:tc>
      </w:tr>
      <w:tr w:rsidR="00373976">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pPr>
            <w:r>
              <w:rPr>
                <w:rFonts w:cs="SimSun" w:hint="eastAsia"/>
              </w:rPr>
              <w:t>妇女</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pPr>
            <w:r>
              <w:t>7.8%</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pPr>
            <w:r>
              <w:t>16.9%</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964C51">
            <w:pPr>
              <w:tabs>
                <w:tab w:val="left" w:pos="525"/>
              </w:tabs>
              <w:spacing w:after="120" w:line="300" w:lineRule="exact"/>
              <w:jc w:val="center"/>
            </w:pPr>
            <w:r>
              <w:t>75.3%</w:t>
            </w:r>
          </w:p>
        </w:tc>
      </w:tr>
    </w:tbl>
    <w:p w:rsidR="00373976" w:rsidRDefault="00373976" w:rsidP="00373976">
      <w:pPr>
        <w:pStyle w:val="50"/>
        <w:tabs>
          <w:tab w:val="left" w:pos="525"/>
        </w:tabs>
        <w:adjustRightInd w:val="0"/>
        <w:spacing w:beforeLines="0" w:before="0" w:afterLines="0" w:after="0" w:line="360" w:lineRule="exact"/>
        <w:textAlignment w:val="baseline"/>
        <w:rPr>
          <w:kern w:val="0"/>
        </w:rPr>
      </w:pPr>
    </w:p>
    <w:p w:rsidR="00373976" w:rsidRDefault="00373976" w:rsidP="00373976">
      <w:pPr>
        <w:tabs>
          <w:tab w:val="left" w:pos="525"/>
        </w:tabs>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10.3</w:t>
      </w:r>
      <w:r>
        <w:rPr>
          <w:rFonts w:ascii="SimHei" w:eastAsia="SimHei" w:cs="SimHei" w:hint="eastAsia"/>
          <w:color w:val="FF0000"/>
        </w:rPr>
        <w:t xml:space="preserve">　</w:t>
      </w:r>
      <w:r>
        <w:rPr>
          <w:rFonts w:ascii="SimHei" w:eastAsia="SimHei" w:cs="SimHei"/>
          <w:color w:val="FF0000"/>
        </w:rPr>
        <w:t>1996</w:t>
      </w:r>
      <w:r>
        <w:rPr>
          <w:rFonts w:ascii="SimHei" w:eastAsia="SimHei" w:cs="SimHei" w:hint="eastAsia"/>
          <w:color w:val="FF0000"/>
        </w:rPr>
        <w:t>年按种族分列的识字率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0"/>
        <w:gridCol w:w="2070"/>
        <w:gridCol w:w="2070"/>
        <w:gridCol w:w="2070"/>
      </w:tblGrid>
      <w:tr w:rsidR="00373976">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rPr>
                <w:rFonts w:eastAsia="SimHei"/>
                <w:color w:val="FF0000"/>
              </w:rPr>
            </w:pPr>
            <w:r>
              <w:rPr>
                <w:rFonts w:eastAsia="SimHei" w:cs="SimHei" w:hint="eastAsia"/>
                <w:color w:val="FF0000"/>
              </w:rPr>
              <w:t>种族</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rPr>
                <w:rFonts w:eastAsia="SimHei"/>
                <w:color w:val="FF0000"/>
              </w:rPr>
            </w:pPr>
            <w:r>
              <w:rPr>
                <w:rFonts w:eastAsia="SimHei" w:cs="SimHei" w:hint="eastAsia"/>
                <w:color w:val="FF0000"/>
              </w:rPr>
              <w:t>总数</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rPr>
                <w:rFonts w:eastAsia="SimHei"/>
                <w:color w:val="FF0000"/>
              </w:rPr>
            </w:pPr>
            <w:r>
              <w:rPr>
                <w:rFonts w:eastAsia="SimHei" w:cs="SimHei" w:hint="eastAsia"/>
                <w:color w:val="FF0000"/>
              </w:rPr>
              <w:t>男子</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rPr>
                <w:rFonts w:eastAsia="SimHei"/>
                <w:color w:val="FF0000"/>
              </w:rPr>
            </w:pPr>
            <w:r>
              <w:rPr>
                <w:rFonts w:eastAsia="SimHei" w:cs="SimHei" w:hint="eastAsia"/>
                <w:color w:val="FF0000"/>
              </w:rPr>
              <w:t>妇女</w:t>
            </w:r>
          </w:p>
        </w:tc>
      </w:tr>
      <w:tr w:rsidR="00373976">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pStyle w:val="Date"/>
              <w:tabs>
                <w:tab w:val="left" w:pos="525"/>
              </w:tabs>
              <w:spacing w:after="120" w:line="360" w:lineRule="exact"/>
            </w:pPr>
            <w:r>
              <w:rPr>
                <w:rFonts w:cs="SimSun" w:hint="eastAsia"/>
              </w:rPr>
              <w:t>克里奥尔</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91.3%</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90.6%</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92%</w:t>
            </w:r>
          </w:p>
        </w:tc>
      </w:tr>
      <w:tr w:rsidR="00373976">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加里福那</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89.6%</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89.5%</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89.8%</w:t>
            </w:r>
          </w:p>
        </w:tc>
      </w:tr>
      <w:tr w:rsidR="00373976">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玛雅</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47.7%</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52.1%</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63.7%</w:t>
            </w:r>
          </w:p>
        </w:tc>
      </w:tr>
      <w:tr w:rsidR="00373976">
        <w:tblPrEx>
          <w:tblCellMar>
            <w:top w:w="0" w:type="dxa"/>
            <w:bottom w:w="0" w:type="dxa"/>
          </w:tblCellMar>
        </w:tblPrEx>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梅斯蒂索</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64%</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64.4%</w:t>
            </w:r>
          </w:p>
        </w:tc>
        <w:tc>
          <w:tcPr>
            <w:tcW w:w="207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jc w:val="center"/>
            </w:pPr>
            <w:r>
              <w:t>63.7%</w:t>
            </w:r>
          </w:p>
        </w:tc>
      </w:tr>
    </w:tbl>
    <w:p w:rsidR="00373976" w:rsidRDefault="00373976" w:rsidP="00373976">
      <w:pPr>
        <w:pStyle w:val="H2"/>
        <w:tabs>
          <w:tab w:val="left" w:pos="525"/>
        </w:tabs>
        <w:spacing w:after="0"/>
        <w:rPr>
          <w:rFonts w:cs="Times New Roman"/>
          <w:lang w:val="en-US"/>
        </w:rPr>
      </w:pPr>
    </w:p>
    <w:p w:rsidR="00373976" w:rsidRDefault="00373976" w:rsidP="00964C51">
      <w:pPr>
        <w:tabs>
          <w:tab w:val="left" w:pos="525"/>
        </w:tabs>
        <w:spacing w:after="180" w:line="360" w:lineRule="exact"/>
        <w:rPr>
          <w:rFonts w:ascii="SimHei" w:eastAsia="SimHei"/>
          <w:color w:val="FF0000"/>
          <w:sz w:val="24"/>
          <w:szCs w:val="24"/>
        </w:rPr>
      </w:pPr>
      <w:r>
        <w:rPr>
          <w:rFonts w:ascii="SimHei" w:eastAsia="SimHei" w:cs="SimHei" w:hint="eastAsia"/>
          <w:color w:val="FF0000"/>
          <w:sz w:val="24"/>
          <w:szCs w:val="24"/>
        </w:rPr>
        <w:t>对少女和妇女的歧视</w:t>
      </w:r>
    </w:p>
    <w:p w:rsidR="00373976" w:rsidRDefault="00373976" w:rsidP="00964C51">
      <w:pPr>
        <w:widowControl w:val="0"/>
        <w:numPr>
          <w:ilvl w:val="0"/>
          <w:numId w:val="32"/>
        </w:numPr>
        <w:tabs>
          <w:tab w:val="clear" w:pos="0"/>
          <w:tab w:val="left" w:pos="525"/>
        </w:tabs>
        <w:adjustRightInd w:val="0"/>
        <w:spacing w:after="180" w:line="380" w:lineRule="exact"/>
        <w:ind w:left="0" w:firstLine="0"/>
        <w:jc w:val="both"/>
        <w:textAlignment w:val="baseline"/>
      </w:pPr>
      <w:r>
        <w:rPr>
          <w:rFonts w:cs="SimSun" w:hint="eastAsia"/>
        </w:rPr>
        <w:t>伯利兹已经对消除对妇女歧视委员会关于教育系统中对少女和妇女歧视行为的意见做出回应，并开展了以下工作：教育部在其《教育条例》中收入了涉及性别偏见的条款；妇女事务部进行了一项在教育系统中有关解雇未婚怀孕的教师和开除怀孕学生等歧视行为的研究。全国妇女委员会也在其《国家性别政策》中强调了这些问题，该《政策》于</w:t>
      </w:r>
      <w:r>
        <w:t>2003</w:t>
      </w:r>
      <w:r>
        <w:rPr>
          <w:rFonts w:cs="SimSun" w:hint="eastAsia"/>
        </w:rPr>
        <w:t>年得到内阁的批准。《教育条例》和《国家性别政策》的规定将在一起歧视未婚怀孕教师的法律案件中得到检验。该案件定于</w:t>
      </w:r>
      <w:r>
        <w:t>2004</w:t>
      </w:r>
      <w:r>
        <w:rPr>
          <w:rFonts w:cs="SimSun" w:hint="eastAsia"/>
        </w:rPr>
        <w:t>年初开庭审理。</w:t>
      </w:r>
      <w:r>
        <w:rPr>
          <w:rStyle w:val="FootnoteReference"/>
          <w:color w:val="000000"/>
        </w:rPr>
        <w:footnoteReference w:id="31"/>
      </w:r>
    </w:p>
    <w:p w:rsidR="00373976" w:rsidRDefault="00373976" w:rsidP="00964C51">
      <w:pPr>
        <w:widowControl w:val="0"/>
        <w:numPr>
          <w:ilvl w:val="0"/>
          <w:numId w:val="32"/>
        </w:numPr>
        <w:tabs>
          <w:tab w:val="clear" w:pos="0"/>
          <w:tab w:val="left" w:pos="525"/>
        </w:tabs>
        <w:adjustRightInd w:val="0"/>
        <w:spacing w:after="180" w:line="380" w:lineRule="exact"/>
        <w:ind w:left="0" w:firstLine="0"/>
        <w:jc w:val="both"/>
        <w:textAlignment w:val="baseline"/>
      </w:pPr>
      <w:r>
        <w:rPr>
          <w:rFonts w:cs="SimSun" w:hint="eastAsia"/>
        </w:rPr>
        <w:t>《教育条例》第</w:t>
      </w:r>
      <w:r>
        <w:t>112</w:t>
      </w:r>
      <w:r>
        <w:rPr>
          <w:rFonts w:cs="SimSun" w:hint="eastAsia"/>
        </w:rPr>
        <w:t>节题为“性别和特殊需求的敏感性”。这一节规定，“教育系统要确保男女平等地接受各级教育”。</w:t>
      </w:r>
    </w:p>
    <w:p w:rsidR="00373976" w:rsidRDefault="00373976" w:rsidP="00964C51">
      <w:pPr>
        <w:widowControl w:val="0"/>
        <w:numPr>
          <w:ilvl w:val="0"/>
          <w:numId w:val="32"/>
        </w:numPr>
        <w:tabs>
          <w:tab w:val="clear" w:pos="0"/>
          <w:tab w:val="left" w:pos="525"/>
        </w:tabs>
        <w:adjustRightInd w:val="0"/>
        <w:spacing w:after="180" w:line="380" w:lineRule="exact"/>
        <w:ind w:left="0" w:firstLine="0"/>
        <w:jc w:val="both"/>
        <w:textAlignment w:val="baseline"/>
      </w:pPr>
      <w:r>
        <w:rPr>
          <w:rFonts w:cs="SimSun" w:hint="eastAsia"/>
        </w:rPr>
        <w:t>题为“性别和其他偏见”的第</w:t>
      </w:r>
      <w:r>
        <w:t>114</w:t>
      </w:r>
      <w:r>
        <w:rPr>
          <w:rFonts w:cs="SimSun" w:hint="eastAsia"/>
        </w:rPr>
        <w:t>节规定：</w:t>
      </w:r>
    </w:p>
    <w:p w:rsidR="00373976" w:rsidRDefault="00373976" w:rsidP="009B38FD">
      <w:pPr>
        <w:tabs>
          <w:tab w:val="left" w:pos="1050"/>
        </w:tabs>
        <w:spacing w:after="180" w:line="380" w:lineRule="exact"/>
        <w:ind w:leftChars="250" w:left="31680" w:hangingChars="250" w:firstLine="31680"/>
        <w:rPr>
          <w:rFonts w:ascii="KaiTi_GB2312" w:eastAsia="KaiTi_GB2312"/>
          <w:color w:val="0000FF"/>
        </w:rPr>
      </w:pPr>
      <w:r>
        <w:rPr>
          <w:rFonts w:ascii="KaiTi_GB2312" w:eastAsia="KaiTi_GB2312" w:cs="KaiTi_GB2312"/>
          <w:color w:val="0000FF"/>
        </w:rPr>
        <w:t>1</w:t>
      </w:r>
      <w:r>
        <w:rPr>
          <w:rFonts w:ascii="KaiTi_GB2312" w:eastAsia="KaiTi_GB2312" w:cs="KaiTi_GB2312" w:hint="eastAsia"/>
          <w:color w:val="0000FF"/>
        </w:rPr>
        <w:t>）</w:t>
      </w:r>
      <w:r>
        <w:rPr>
          <w:rFonts w:ascii="KaiTi_GB2312" w:eastAsia="KaiTi_GB2312"/>
          <w:color w:val="0000FF"/>
        </w:rPr>
        <w:tab/>
      </w:r>
      <w:r>
        <w:rPr>
          <w:rFonts w:ascii="KaiTi_GB2312" w:eastAsia="KaiTi_GB2312" w:cs="KaiTi_GB2312" w:hint="eastAsia"/>
          <w:color w:val="0000FF"/>
        </w:rPr>
        <w:t>男女同校的学校不得有违反法律和本条例或与教育目标相抵触的性别和其他偏见。禁止学校参与带有此类偏见的活动和采用带有此类偏见的体制。</w:t>
      </w:r>
    </w:p>
    <w:p w:rsidR="00373976" w:rsidRDefault="00373976" w:rsidP="009B38FD">
      <w:pPr>
        <w:tabs>
          <w:tab w:val="left" w:pos="1050"/>
        </w:tabs>
        <w:spacing w:after="180" w:line="380" w:lineRule="exact"/>
        <w:ind w:leftChars="250" w:left="31680" w:hangingChars="250" w:firstLine="31680"/>
        <w:rPr>
          <w:rFonts w:ascii="KaiTi_GB2312" w:eastAsia="KaiTi_GB2312"/>
          <w:color w:val="0000FF"/>
        </w:rPr>
      </w:pPr>
      <w:r>
        <w:rPr>
          <w:rFonts w:ascii="KaiTi_GB2312" w:eastAsia="KaiTi_GB2312" w:cs="KaiTi_GB2312"/>
          <w:color w:val="0000FF"/>
        </w:rPr>
        <w:t>2</w:t>
      </w:r>
      <w:r>
        <w:rPr>
          <w:rFonts w:ascii="KaiTi_GB2312" w:eastAsia="KaiTi_GB2312" w:cs="KaiTi_GB2312" w:hint="eastAsia"/>
          <w:color w:val="0000FF"/>
        </w:rPr>
        <w:t>）</w:t>
      </w:r>
      <w:r>
        <w:rPr>
          <w:rFonts w:ascii="KaiTi_GB2312" w:eastAsia="KaiTi_GB2312"/>
          <w:color w:val="0000FF"/>
        </w:rPr>
        <w:tab/>
      </w:r>
      <w:r>
        <w:rPr>
          <w:rFonts w:ascii="KaiTi_GB2312" w:eastAsia="KaiTi_GB2312" w:cs="KaiTi_GB2312" w:hint="eastAsia"/>
          <w:color w:val="0000FF"/>
        </w:rPr>
        <w:t>禁止教师有意显示出此类偏见，他们应在教学内容和教学方式中，以及课本和其他参考资料中设法避免表示偏见。</w:t>
      </w:r>
    </w:p>
    <w:p w:rsidR="00373976" w:rsidRDefault="00373976" w:rsidP="00964C51">
      <w:pPr>
        <w:widowControl w:val="0"/>
        <w:numPr>
          <w:ilvl w:val="2"/>
          <w:numId w:val="32"/>
        </w:numPr>
        <w:tabs>
          <w:tab w:val="clear" w:pos="0"/>
          <w:tab w:val="left" w:pos="525"/>
        </w:tabs>
        <w:adjustRightInd w:val="0"/>
        <w:spacing w:after="180" w:line="380" w:lineRule="exact"/>
        <w:ind w:left="0" w:firstLine="0"/>
        <w:jc w:val="both"/>
        <w:textAlignment w:val="baseline"/>
      </w:pPr>
      <w:r>
        <w:rPr>
          <w:rFonts w:cs="SimSun" w:hint="eastAsia"/>
        </w:rPr>
        <w:t>题为“保护不受骚扰、虐待和有害影响”的第</w:t>
      </w:r>
      <w:r>
        <w:t>115</w:t>
      </w:r>
      <w:r>
        <w:rPr>
          <w:rFonts w:cs="SimSun" w:hint="eastAsia"/>
        </w:rPr>
        <w:t>节规定：</w:t>
      </w:r>
    </w:p>
    <w:p w:rsidR="00373976" w:rsidRDefault="00373976" w:rsidP="009B38FD">
      <w:pPr>
        <w:tabs>
          <w:tab w:val="left" w:pos="1050"/>
        </w:tabs>
        <w:spacing w:after="180" w:line="380" w:lineRule="exact"/>
        <w:ind w:leftChars="250" w:left="31680" w:hangingChars="250" w:firstLine="31680"/>
        <w:rPr>
          <w:rFonts w:ascii="KaiTi_GB2312" w:eastAsia="KaiTi_GB2312"/>
          <w:color w:val="0000FF"/>
        </w:rPr>
      </w:pPr>
      <w:r>
        <w:rPr>
          <w:rFonts w:ascii="KaiTi_GB2312" w:eastAsia="KaiTi_GB2312" w:cs="KaiTi_GB2312"/>
          <w:color w:val="0000FF"/>
        </w:rPr>
        <w:t>1</w:t>
      </w:r>
      <w:r>
        <w:rPr>
          <w:rFonts w:ascii="KaiTi_GB2312" w:eastAsia="KaiTi_GB2312" w:cs="KaiTi_GB2312" w:hint="eastAsia"/>
          <w:color w:val="0000FF"/>
        </w:rPr>
        <w:t>）</w:t>
      </w:r>
      <w:r>
        <w:rPr>
          <w:rFonts w:ascii="KaiTi_GB2312" w:eastAsia="KaiTi_GB2312"/>
          <w:color w:val="0000FF"/>
        </w:rPr>
        <w:tab/>
      </w:r>
      <w:r>
        <w:rPr>
          <w:rFonts w:ascii="KaiTi_GB2312" w:eastAsia="KaiTi_GB2312" w:cs="KaiTi_GB2312" w:hint="eastAsia"/>
          <w:color w:val="0000FF"/>
        </w:rPr>
        <w:t>学校应保持一种没有强迫的氛围，在这种氛围里学生可自由地参加学校的活动、从事个人感兴趣的事情、发表个人意见，并受到为人诚实的鼓励。</w:t>
      </w:r>
    </w:p>
    <w:p w:rsidR="00373976" w:rsidRDefault="00373976" w:rsidP="009B38FD">
      <w:pPr>
        <w:tabs>
          <w:tab w:val="left" w:pos="1050"/>
        </w:tabs>
        <w:spacing w:after="180" w:line="380" w:lineRule="exact"/>
        <w:ind w:leftChars="250" w:left="31680" w:hangingChars="250" w:firstLine="31680"/>
        <w:rPr>
          <w:rFonts w:ascii="KaiTi_GB2312" w:eastAsia="KaiTi_GB2312"/>
          <w:color w:val="0000FF"/>
        </w:rPr>
      </w:pPr>
      <w:r>
        <w:rPr>
          <w:rFonts w:ascii="KaiTi_GB2312" w:eastAsia="KaiTi_GB2312" w:cs="KaiTi_GB2312"/>
          <w:color w:val="0000FF"/>
        </w:rPr>
        <w:t>2</w:t>
      </w:r>
      <w:r>
        <w:rPr>
          <w:rFonts w:ascii="KaiTi_GB2312" w:eastAsia="KaiTi_GB2312" w:cs="KaiTi_GB2312" w:hint="eastAsia"/>
          <w:color w:val="0000FF"/>
        </w:rPr>
        <w:t>）</w:t>
      </w:r>
      <w:r>
        <w:rPr>
          <w:rFonts w:ascii="KaiTi_GB2312" w:eastAsia="KaiTi_GB2312"/>
          <w:color w:val="0000FF"/>
        </w:rPr>
        <w:tab/>
      </w:r>
      <w:r>
        <w:rPr>
          <w:rFonts w:ascii="KaiTi_GB2312" w:eastAsia="KaiTi_GB2312" w:cs="KaiTi_GB2312" w:hint="eastAsia"/>
          <w:color w:val="0000FF"/>
        </w:rPr>
        <w:t>教育部要制定规章，管理当局、校长和副校长应执行规章，以保护学生不会受到性骚扰以及身体或精神上的虐待。</w:t>
      </w:r>
    </w:p>
    <w:p w:rsidR="00373976" w:rsidRDefault="00373976" w:rsidP="00964C51">
      <w:pPr>
        <w:widowControl w:val="0"/>
        <w:numPr>
          <w:ilvl w:val="2"/>
          <w:numId w:val="32"/>
        </w:numPr>
        <w:tabs>
          <w:tab w:val="clear" w:pos="0"/>
          <w:tab w:val="left" w:pos="525"/>
        </w:tabs>
        <w:adjustRightInd w:val="0"/>
        <w:spacing w:after="180" w:line="380" w:lineRule="exact"/>
        <w:ind w:left="0" w:firstLine="0"/>
        <w:jc w:val="both"/>
        <w:textAlignment w:val="baseline"/>
      </w:pPr>
      <w:r>
        <w:rPr>
          <w:rFonts w:cs="SimSun" w:hint="eastAsia"/>
        </w:rPr>
        <w:t>题为“行为守则和工作条例”的第</w:t>
      </w:r>
      <w:r>
        <w:t>92</w:t>
      </w:r>
      <w:r>
        <w:rPr>
          <w:rFonts w:cs="SimSun" w:hint="eastAsia"/>
        </w:rPr>
        <w:t>节规定：</w:t>
      </w:r>
    </w:p>
    <w:p w:rsidR="00373976" w:rsidRDefault="00373976" w:rsidP="009B38FD">
      <w:pPr>
        <w:tabs>
          <w:tab w:val="left" w:pos="1050"/>
        </w:tabs>
        <w:spacing w:after="180" w:line="380" w:lineRule="exact"/>
        <w:ind w:leftChars="250" w:left="31680" w:hangingChars="250" w:firstLine="31680"/>
        <w:rPr>
          <w:rFonts w:ascii="KaiTi_GB2312" w:eastAsia="KaiTi_GB2312"/>
          <w:color w:val="0000FF"/>
        </w:rPr>
      </w:pPr>
      <w:r>
        <w:rPr>
          <w:rFonts w:ascii="KaiTi_GB2312" w:eastAsia="KaiTi_GB2312" w:cs="KaiTi_GB2312"/>
          <w:color w:val="0000FF"/>
        </w:rPr>
        <w:t>1</w:t>
      </w:r>
      <w:r>
        <w:rPr>
          <w:rFonts w:ascii="KaiTi_GB2312" w:eastAsia="KaiTi_GB2312" w:cs="KaiTi_GB2312" w:hint="eastAsia"/>
          <w:color w:val="0000FF"/>
        </w:rPr>
        <w:t>）</w:t>
      </w:r>
      <w:r>
        <w:rPr>
          <w:rFonts w:ascii="KaiTi_GB2312" w:eastAsia="KaiTi_GB2312"/>
          <w:color w:val="0000FF"/>
        </w:rPr>
        <w:tab/>
      </w:r>
      <w:r>
        <w:rPr>
          <w:rFonts w:ascii="KaiTi_GB2312" w:eastAsia="KaiTi_GB2312" w:cs="KaiTi_GB2312" w:hint="eastAsia"/>
          <w:color w:val="0000FF"/>
        </w:rPr>
        <w:t>管理当局有权规定和执行管理教职员工着装和行为的规章，但这类规章必须（除其他事项外）：</w:t>
      </w:r>
    </w:p>
    <w:p w:rsidR="00373976" w:rsidRDefault="00373976" w:rsidP="009B38FD">
      <w:pPr>
        <w:tabs>
          <w:tab w:val="left" w:pos="1050"/>
        </w:tabs>
        <w:spacing w:after="180" w:line="380" w:lineRule="exact"/>
        <w:ind w:leftChars="250" w:left="31680" w:hangingChars="250" w:firstLine="31680"/>
        <w:rPr>
          <w:rFonts w:ascii="KaiTi_GB2312" w:eastAsia="KaiTi_GB2312"/>
          <w:color w:val="0000FF"/>
        </w:rPr>
      </w:pPr>
      <w:r>
        <w:rPr>
          <w:rFonts w:ascii="KaiTi_GB2312" w:eastAsia="KaiTi_GB2312"/>
          <w:color w:val="0000FF"/>
        </w:rPr>
        <w:tab/>
      </w:r>
      <w:r>
        <w:rPr>
          <w:rFonts w:ascii="KaiTi_GB2312" w:eastAsia="KaiTi_GB2312" w:cs="KaiTi_GB2312"/>
          <w:color w:val="0000FF"/>
        </w:rPr>
        <w:t xml:space="preserve">c) </w:t>
      </w:r>
      <w:r>
        <w:rPr>
          <w:rFonts w:ascii="KaiTi_GB2312" w:eastAsia="KaiTi_GB2312" w:cs="KaiTi_GB2312"/>
          <w:color w:val="0000FF"/>
        </w:rPr>
        <w:tab/>
      </w:r>
      <w:r>
        <w:rPr>
          <w:rFonts w:ascii="KaiTi_GB2312" w:eastAsia="KaiTi_GB2312" w:cs="KaiTi_GB2312" w:hint="eastAsia"/>
          <w:color w:val="0000FF"/>
        </w:rPr>
        <w:t>叙述清楚并以书面方式让教职员工明确了解，而且</w:t>
      </w:r>
    </w:p>
    <w:p w:rsidR="00373976" w:rsidRDefault="00373976" w:rsidP="009B38FD">
      <w:pPr>
        <w:tabs>
          <w:tab w:val="left" w:pos="1050"/>
        </w:tabs>
        <w:spacing w:after="180" w:line="380" w:lineRule="exact"/>
        <w:ind w:leftChars="250" w:left="31680" w:hangingChars="250" w:firstLine="31680"/>
        <w:rPr>
          <w:rFonts w:ascii="KaiTi_GB2312" w:eastAsia="KaiTi_GB2312"/>
          <w:color w:val="0000FF"/>
        </w:rPr>
      </w:pPr>
      <w:r>
        <w:rPr>
          <w:rFonts w:ascii="KaiTi_GB2312" w:eastAsia="KaiTi_GB2312"/>
          <w:color w:val="0000FF"/>
        </w:rPr>
        <w:tab/>
      </w:r>
      <w:r>
        <w:rPr>
          <w:rFonts w:ascii="KaiTi_GB2312" w:eastAsia="KaiTi_GB2312" w:cs="KaiTi_GB2312"/>
          <w:color w:val="0000FF"/>
        </w:rPr>
        <w:t xml:space="preserve">d) </w:t>
      </w:r>
      <w:r>
        <w:rPr>
          <w:rFonts w:ascii="KaiTi_GB2312" w:eastAsia="KaiTi_GB2312" w:cs="KaiTi_GB2312"/>
          <w:color w:val="0000FF"/>
        </w:rPr>
        <w:tab/>
      </w:r>
      <w:r>
        <w:rPr>
          <w:rFonts w:ascii="KaiTi_GB2312" w:eastAsia="KaiTi_GB2312" w:cs="KaiTi_GB2312" w:hint="eastAsia"/>
          <w:color w:val="0000FF"/>
        </w:rPr>
        <w:t>不会伤害当事人的基本权利。</w:t>
      </w:r>
    </w:p>
    <w:p w:rsidR="00373976" w:rsidRDefault="00373976" w:rsidP="00964C51">
      <w:pPr>
        <w:widowControl w:val="0"/>
        <w:numPr>
          <w:ilvl w:val="0"/>
          <w:numId w:val="33"/>
        </w:numPr>
        <w:tabs>
          <w:tab w:val="clear" w:pos="120"/>
          <w:tab w:val="left" w:pos="525"/>
        </w:tabs>
        <w:adjustRightInd w:val="0"/>
        <w:spacing w:after="180" w:line="380" w:lineRule="exact"/>
        <w:ind w:left="0" w:firstLine="0"/>
        <w:jc w:val="both"/>
        <w:textAlignment w:val="baseline"/>
        <w:rPr>
          <w:color w:val="000000"/>
        </w:rPr>
      </w:pPr>
      <w:r>
        <w:rPr>
          <w:rFonts w:cs="SimSun" w:hint="eastAsia"/>
        </w:rPr>
        <w:t>然而，学校管理当局仍普遍歧视未婚先孕的教师和怀孕少女。为了获得更有力的证据，妇女事务部授权在教育系统对歧视行为进行了一次调查。</w:t>
      </w:r>
    </w:p>
    <w:p w:rsidR="00373976" w:rsidRDefault="00373976" w:rsidP="00373976">
      <w:pPr>
        <w:widowControl w:val="0"/>
        <w:numPr>
          <w:ilvl w:val="0"/>
          <w:numId w:val="33"/>
        </w:numPr>
        <w:tabs>
          <w:tab w:val="clear" w:pos="120"/>
          <w:tab w:val="left" w:pos="525"/>
        </w:tabs>
        <w:adjustRightInd w:val="0"/>
        <w:spacing w:after="240" w:line="360" w:lineRule="exact"/>
        <w:ind w:left="0" w:firstLine="0"/>
        <w:jc w:val="both"/>
        <w:textAlignment w:val="baseline"/>
        <w:rPr>
          <w:color w:val="000000"/>
        </w:rPr>
      </w:pPr>
      <w:r>
        <w:rPr>
          <w:rFonts w:cs="SimSun" w:hint="eastAsia"/>
          <w:color w:val="000000"/>
          <w:lang w:val="zh-CN"/>
        </w:rPr>
        <w:t>调查发现：</w:t>
      </w:r>
    </w:p>
    <w:p w:rsidR="00373976" w:rsidRDefault="00373976" w:rsidP="009B38FD">
      <w:pPr>
        <w:tabs>
          <w:tab w:val="left" w:pos="525"/>
        </w:tabs>
        <w:spacing w:after="240" w:line="360" w:lineRule="exact"/>
        <w:ind w:leftChars="250" w:left="31680" w:firstLineChars="200" w:firstLine="31680"/>
        <w:rPr>
          <w:rFonts w:ascii="KaiTi_GB2312" w:eastAsia="KaiTi_GB2312"/>
          <w:color w:val="0000FF"/>
          <w:lang w:val="zh-CN"/>
        </w:rPr>
      </w:pPr>
      <w:r>
        <w:rPr>
          <w:rFonts w:ascii="KaiTi_GB2312" w:eastAsia="KaiTi_GB2312"/>
          <w:color w:val="0000FF"/>
          <w:lang w:val="zh-CN"/>
        </w:rPr>
        <w:t>“</w:t>
      </w:r>
      <w:r>
        <w:rPr>
          <w:rFonts w:ascii="KaiTi_GB2312" w:eastAsia="KaiTi_GB2312" w:cs="KaiTi_GB2312" w:hint="eastAsia"/>
          <w:color w:val="0000FF"/>
          <w:lang w:val="zh-CN"/>
        </w:rPr>
        <w:t>一些高中已经修改了它们的政策，以便为年轻的母亲提供通融，使她们能够完成高中教育。大部分（但不是全部）高中将允许三年级和四年级的学生在生育后继续她们的学业。许多学校都会要求年轻女孩在报告怀孕后立即退学或者在看出怀孕后退学。学校将要求年轻的母亲离开学校并在一年后申请重新入学，</w:t>
      </w:r>
      <w:r>
        <w:rPr>
          <w:rFonts w:ascii="KaiTi_GB2312" w:eastAsia="KaiTi_GB2312" w:cs="KaiTi_GB2312" w:hint="eastAsia"/>
          <w:color w:val="0000FF"/>
        </w:rPr>
        <w:t>但</w:t>
      </w:r>
      <w:r>
        <w:rPr>
          <w:rFonts w:ascii="KaiTi_GB2312" w:eastAsia="KaiTi_GB2312" w:cs="KaiTi_GB2312" w:hint="eastAsia"/>
          <w:color w:val="0000FF"/>
          <w:lang w:val="zh-CN"/>
        </w:rPr>
        <w:t>重新入学并不</w:t>
      </w:r>
      <w:r>
        <w:rPr>
          <w:rFonts w:ascii="KaiTi_GB2312" w:eastAsia="KaiTi_GB2312" w:cs="KaiTi_GB2312" w:hint="eastAsia"/>
          <w:color w:val="0000FF"/>
        </w:rPr>
        <w:t>自动</w:t>
      </w:r>
      <w:r>
        <w:rPr>
          <w:rFonts w:ascii="KaiTi_GB2312" w:eastAsia="KaiTi_GB2312" w:cs="KaiTi_GB2312" w:hint="eastAsia"/>
          <w:color w:val="0000FF"/>
          <w:lang w:val="zh-CN"/>
        </w:rPr>
        <w:t>成立，这将取决于该学生的家长或监护人是否同意承担抚养新生儿的全部责任，以便年轻母亲能够完成她的学业。为了避免出现更多的怀孕，对于第二次怀孕的学生，将立即予以开除。</w:t>
      </w:r>
      <w:r>
        <w:rPr>
          <w:rFonts w:ascii="KaiTi_GB2312" w:eastAsia="KaiTi_GB2312"/>
          <w:color w:val="0000FF"/>
          <w:lang w:val="zh-CN"/>
        </w:rPr>
        <w:t>”</w:t>
      </w:r>
      <w:r>
        <w:rPr>
          <w:rStyle w:val="FootnoteReference"/>
          <w:rFonts w:ascii="KaiTi_GB2312" w:eastAsia="KaiTi_GB2312"/>
          <w:color w:val="0000FF"/>
        </w:rPr>
        <w:footnoteReference w:id="32"/>
      </w:r>
    </w:p>
    <w:p w:rsidR="00373976" w:rsidRDefault="00373976" w:rsidP="00373976">
      <w:pPr>
        <w:widowControl w:val="0"/>
        <w:numPr>
          <w:ilvl w:val="1"/>
          <w:numId w:val="33"/>
        </w:numPr>
        <w:tabs>
          <w:tab w:val="clear" w:pos="0"/>
          <w:tab w:val="left" w:pos="525"/>
        </w:tabs>
        <w:autoSpaceDE w:val="0"/>
        <w:autoSpaceDN w:val="0"/>
        <w:adjustRightInd w:val="0"/>
        <w:spacing w:after="240" w:line="360" w:lineRule="exact"/>
        <w:ind w:left="0" w:firstLine="0"/>
        <w:jc w:val="both"/>
        <w:rPr>
          <w:color w:val="000000"/>
        </w:rPr>
      </w:pPr>
      <w:r>
        <w:rPr>
          <w:rFonts w:cs="SimSun" w:hint="eastAsia"/>
          <w:color w:val="000000"/>
          <w:lang w:val="zh-CN"/>
        </w:rPr>
        <w:t>只有两所学校表明它们的政策允许所有怀孕的女孩重返学校，包括高中一、二年级的学生，但所有这样的学生一旦显露出怀孕痕迹，即被要求离开学校。有一所学校为年轻的母亲开设了育儿课。各行政区的学校也在这一问题上改变了政策。它们已经制定了允许那些希望完成高中教育的年轻母亲继续学业的政策，现在则允许希望完成教育的已婚妇女入学。</w:t>
      </w:r>
      <w:r>
        <w:rPr>
          <w:rStyle w:val="FootnoteReference"/>
          <w:color w:val="000000"/>
        </w:rPr>
        <w:footnoteReference w:id="33"/>
      </w:r>
    </w:p>
    <w:p w:rsidR="00373976" w:rsidRDefault="00373976" w:rsidP="00373976">
      <w:pPr>
        <w:widowControl w:val="0"/>
        <w:numPr>
          <w:ilvl w:val="1"/>
          <w:numId w:val="33"/>
        </w:numPr>
        <w:tabs>
          <w:tab w:val="clear" w:pos="0"/>
          <w:tab w:val="left" w:pos="525"/>
        </w:tabs>
        <w:autoSpaceDE w:val="0"/>
        <w:autoSpaceDN w:val="0"/>
        <w:adjustRightInd w:val="0"/>
        <w:spacing w:after="240" w:line="360" w:lineRule="exact"/>
        <w:ind w:left="0" w:firstLine="0"/>
        <w:jc w:val="both"/>
        <w:rPr>
          <w:color w:val="000000"/>
        </w:rPr>
      </w:pPr>
      <w:r>
        <w:rPr>
          <w:rFonts w:cs="SimSun" w:hint="eastAsia"/>
          <w:color w:val="000000"/>
          <w:lang w:val="zh-CN"/>
        </w:rPr>
        <w:t>同一项调查还发现，大部分少女怀孕的事例都发生在高中时期，但也有小学校长指出，小学中也有女孩（最低为四年级）怀孕并被要求退学的事例。这类情况不如中学那样普遍，但几乎全部都是年龄大的男子使年轻女孩怀孕。人们普遍认为，在有些情况下，男子的年龄是女孩的两倍，他们与女孩的关系得到了女孩父母的认可，以便获得经济上的利益。</w:t>
      </w:r>
      <w:r>
        <w:rPr>
          <w:rStyle w:val="FootnoteReference"/>
          <w:color w:val="000000"/>
          <w:lang w:val="zh-CN"/>
        </w:rPr>
        <w:footnoteReference w:id="34"/>
      </w:r>
    </w:p>
    <w:p w:rsidR="00373976" w:rsidRDefault="00373976" w:rsidP="00373976">
      <w:pPr>
        <w:widowControl w:val="0"/>
        <w:numPr>
          <w:ilvl w:val="1"/>
          <w:numId w:val="33"/>
        </w:numPr>
        <w:tabs>
          <w:tab w:val="clear" w:pos="0"/>
          <w:tab w:val="left" w:pos="525"/>
        </w:tabs>
        <w:autoSpaceDE w:val="0"/>
        <w:autoSpaceDN w:val="0"/>
        <w:adjustRightInd w:val="0"/>
        <w:spacing w:after="240" w:line="360" w:lineRule="exact"/>
        <w:ind w:left="0" w:firstLine="0"/>
        <w:jc w:val="both"/>
        <w:rPr>
          <w:color w:val="000000"/>
        </w:rPr>
      </w:pPr>
      <w:r>
        <w:rPr>
          <w:rFonts w:cs="SimSun" w:hint="eastAsia"/>
          <w:color w:val="000000"/>
          <w:lang w:val="zh-CN"/>
        </w:rPr>
        <w:t>关于开除怀孕学生的问题，《国家性别政策》承诺政府将：</w:t>
      </w:r>
    </w:p>
    <w:p w:rsidR="00373976" w:rsidRDefault="00373976" w:rsidP="009B38FD">
      <w:pPr>
        <w:tabs>
          <w:tab w:val="left" w:pos="1050"/>
        </w:tabs>
        <w:spacing w:after="240" w:line="360" w:lineRule="exact"/>
        <w:ind w:leftChars="250" w:left="31680" w:hangingChars="250" w:firstLine="31680"/>
        <w:rPr>
          <w:rFonts w:ascii="KaiTi_GB2312" w:eastAsia="KaiTi_GB2312"/>
          <w:color w:val="0000FF"/>
        </w:rPr>
      </w:pPr>
      <w:r>
        <w:rPr>
          <w:rFonts w:ascii="KaiTi_GB2312" w:eastAsia="KaiTi_GB2312" w:cs="KaiTi_GB2312"/>
          <w:color w:val="0000FF"/>
        </w:rPr>
        <w:t>1)</w:t>
      </w:r>
      <w:r>
        <w:rPr>
          <w:rFonts w:ascii="KaiTi_GB2312" w:eastAsia="KaiTi_GB2312" w:cs="KaiTi_GB2312"/>
          <w:color w:val="0000FF"/>
        </w:rPr>
        <w:tab/>
      </w:r>
      <w:r>
        <w:rPr>
          <w:rFonts w:ascii="KaiTi_GB2312" w:eastAsia="KaiTi_GB2312" w:cs="KaiTi_GB2312" w:hint="eastAsia"/>
          <w:color w:val="0000FF"/>
        </w:rPr>
        <w:t>制定、通过和执行全国统一禁令</w:t>
      </w:r>
      <w:r>
        <w:rPr>
          <w:rFonts w:ascii="SimHei" w:eastAsia="SimHei"/>
          <w:color w:val="0000FF"/>
        </w:rPr>
        <w:t>——</w:t>
      </w:r>
      <w:r>
        <w:rPr>
          <w:rFonts w:ascii="KaiTi_GB2312" w:eastAsia="KaiTi_GB2312" w:cs="KaiTi_GB2312" w:hint="eastAsia"/>
          <w:color w:val="0000FF"/>
        </w:rPr>
        <w:t>包括在必要时修订《教育法》，禁止因怀孕或堕胎（后者属于《刑法》规定的问题</w:t>
      </w:r>
      <w:r>
        <w:rPr>
          <w:rFonts w:ascii="KaiTi_GB2312" w:eastAsia="KaiTi_GB2312" w:cs="KaiTi_GB2312"/>
          <w:color w:val="0000FF"/>
        </w:rPr>
        <w:t xml:space="preserve"> </w:t>
      </w:r>
      <w:r>
        <w:rPr>
          <w:rFonts w:ascii="KaiTi_GB2312" w:eastAsia="KaiTi_GB2312" w:cs="KaiTi_GB2312" w:hint="eastAsia"/>
          <w:color w:val="0000FF"/>
        </w:rPr>
        <w:t>）而开除女生、中止其学业或强迫其退学。</w:t>
      </w:r>
    </w:p>
    <w:p w:rsidR="00373976" w:rsidRDefault="00373976" w:rsidP="009B38FD">
      <w:pPr>
        <w:tabs>
          <w:tab w:val="left" w:pos="1050"/>
        </w:tabs>
        <w:spacing w:after="240" w:line="360" w:lineRule="exact"/>
        <w:ind w:leftChars="250" w:left="31680" w:hangingChars="250" w:firstLine="31680"/>
        <w:rPr>
          <w:rFonts w:ascii="KaiTi_GB2312" w:eastAsia="KaiTi_GB2312"/>
          <w:color w:val="0000FF"/>
        </w:rPr>
      </w:pPr>
      <w:r>
        <w:rPr>
          <w:rFonts w:ascii="KaiTi_GB2312" w:eastAsia="KaiTi_GB2312" w:cs="KaiTi_GB2312"/>
          <w:color w:val="0000FF"/>
        </w:rPr>
        <w:t xml:space="preserve">2) </w:t>
      </w:r>
      <w:r>
        <w:rPr>
          <w:rFonts w:ascii="KaiTi_GB2312" w:eastAsia="KaiTi_GB2312" w:cs="KaiTi_GB2312"/>
          <w:color w:val="0000FF"/>
        </w:rPr>
        <w:tab/>
      </w:r>
      <w:r>
        <w:rPr>
          <w:rFonts w:ascii="KaiTi_GB2312" w:eastAsia="KaiTi_GB2312" w:cs="KaiTi_GB2312" w:hint="eastAsia"/>
          <w:color w:val="0000FF"/>
        </w:rPr>
        <w:t>应保证因怀孕选择退学的学生在其认为适当时返回学校的权利。</w:t>
      </w:r>
    </w:p>
    <w:p w:rsidR="00373976" w:rsidRDefault="00373976" w:rsidP="009B38FD">
      <w:pPr>
        <w:tabs>
          <w:tab w:val="left" w:pos="1050"/>
        </w:tabs>
        <w:spacing w:after="240" w:line="360" w:lineRule="exact"/>
        <w:ind w:leftChars="250" w:left="31680" w:hangingChars="250" w:firstLine="31680"/>
        <w:rPr>
          <w:rFonts w:ascii="KaiTi_GB2312" w:eastAsia="KaiTi_GB2312"/>
          <w:color w:val="0000FF"/>
        </w:rPr>
      </w:pPr>
      <w:r>
        <w:rPr>
          <w:rFonts w:ascii="KaiTi_GB2312" w:eastAsia="KaiTi_GB2312" w:cs="KaiTi_GB2312"/>
          <w:color w:val="0000FF"/>
        </w:rPr>
        <w:t xml:space="preserve">3) </w:t>
      </w:r>
      <w:r>
        <w:rPr>
          <w:rFonts w:ascii="KaiTi_GB2312" w:eastAsia="KaiTi_GB2312" w:cs="KaiTi_GB2312"/>
          <w:color w:val="0000FF"/>
        </w:rPr>
        <w:tab/>
        <w:t>MEYS</w:t>
      </w:r>
      <w:r>
        <w:rPr>
          <w:rFonts w:ascii="KaiTi_GB2312" w:eastAsia="KaiTi_GB2312" w:cs="KaiTi_GB2312" w:hint="eastAsia"/>
          <w:color w:val="0000FF"/>
        </w:rPr>
        <w:t>和妇女事务部将合作确定适当的措施，对怀孕学生和年少母亲特别是那些处于义务教育年龄的女孩给予支持，使她们能够继续或恢复学业。</w:t>
      </w:r>
    </w:p>
    <w:p w:rsidR="00373976" w:rsidRDefault="00373976" w:rsidP="009B38FD">
      <w:pPr>
        <w:tabs>
          <w:tab w:val="left" w:pos="1050"/>
        </w:tabs>
        <w:spacing w:after="240" w:line="360" w:lineRule="exact"/>
        <w:ind w:leftChars="250" w:left="31680" w:hangingChars="250" w:firstLine="31680"/>
        <w:rPr>
          <w:rFonts w:ascii="KaiTi_GB2312" w:eastAsia="KaiTi_GB2312"/>
          <w:color w:val="0000FF"/>
        </w:rPr>
      </w:pPr>
      <w:r>
        <w:rPr>
          <w:rFonts w:ascii="KaiTi_GB2312" w:eastAsia="KaiTi_GB2312" w:cs="KaiTi_GB2312"/>
          <w:color w:val="0000FF"/>
        </w:rPr>
        <w:t xml:space="preserve">4) </w:t>
      </w:r>
      <w:r>
        <w:rPr>
          <w:rFonts w:ascii="KaiTi_GB2312" w:eastAsia="KaiTi_GB2312" w:cs="KaiTi_GB2312"/>
          <w:color w:val="0000FF"/>
        </w:rPr>
        <w:tab/>
      </w:r>
      <w:r>
        <w:rPr>
          <w:rFonts w:ascii="KaiTi_GB2312" w:eastAsia="KaiTi_GB2312" w:cs="KaiTi_GB2312" w:hint="eastAsia"/>
          <w:color w:val="0000FF"/>
        </w:rPr>
        <w:t>对于明确向希望返回正规教育（此类教育认识到政府干预的社会经济“投资”效益）的怀孕少女和少女母亲提供帮助的非政府组织（如</w:t>
      </w:r>
      <w:r>
        <w:rPr>
          <w:rFonts w:ascii="KaiTi_GB2312" w:eastAsia="KaiTi_GB2312" w:cs="KaiTi_GB2312"/>
          <w:color w:val="0000FF"/>
        </w:rPr>
        <w:t>YES</w:t>
      </w:r>
      <w:r>
        <w:rPr>
          <w:rFonts w:ascii="KaiTi_GB2312" w:eastAsia="KaiTi_GB2312" w:cs="KaiTi_GB2312" w:hint="eastAsia"/>
          <w:color w:val="0000FF"/>
        </w:rPr>
        <w:t>和</w:t>
      </w:r>
      <w:r>
        <w:rPr>
          <w:rFonts w:ascii="KaiTi_GB2312" w:eastAsia="KaiTi_GB2312" w:cs="KaiTi_GB2312"/>
          <w:color w:val="0000FF"/>
        </w:rPr>
        <w:t>YWCA</w:t>
      </w:r>
      <w:r>
        <w:rPr>
          <w:rFonts w:ascii="KaiTi_GB2312" w:eastAsia="KaiTi_GB2312" w:cs="KaiTi_GB2312" w:hint="eastAsia"/>
          <w:color w:val="0000FF"/>
        </w:rPr>
        <w:t>），</w:t>
      </w:r>
      <w:r>
        <w:rPr>
          <w:rFonts w:ascii="KaiTi_GB2312" w:eastAsia="KaiTi_GB2312" w:cs="KaiTi_GB2312"/>
          <w:color w:val="0000FF"/>
        </w:rPr>
        <w:t>MEYS</w:t>
      </w:r>
      <w:r>
        <w:rPr>
          <w:rFonts w:ascii="KaiTi_GB2312" w:eastAsia="KaiTi_GB2312" w:cs="KaiTi_GB2312" w:hint="eastAsia"/>
          <w:color w:val="0000FF"/>
        </w:rPr>
        <w:t>和妇女事务部应审查目前伯利兹政府对这些组织的支持，并制定一项政府连续资助这些非政府组织的适当政策。</w:t>
      </w:r>
    </w:p>
    <w:p w:rsidR="00373976" w:rsidRDefault="00373976" w:rsidP="00964C51">
      <w:pPr>
        <w:widowControl w:val="0"/>
        <w:numPr>
          <w:ilvl w:val="0"/>
          <w:numId w:val="40"/>
        </w:numPr>
        <w:tabs>
          <w:tab w:val="clear" w:pos="120"/>
          <w:tab w:val="left" w:pos="525"/>
        </w:tabs>
        <w:autoSpaceDE w:val="0"/>
        <w:autoSpaceDN w:val="0"/>
        <w:adjustRightInd w:val="0"/>
        <w:spacing w:after="180" w:line="360" w:lineRule="exact"/>
        <w:ind w:left="0" w:firstLine="0"/>
        <w:jc w:val="both"/>
        <w:textAlignment w:val="baseline"/>
        <w:rPr>
          <w:b/>
          <w:bCs/>
          <w:color w:val="000000"/>
        </w:rPr>
      </w:pPr>
      <w:r>
        <w:rPr>
          <w:rFonts w:cs="SimSun" w:hint="eastAsia"/>
        </w:rPr>
        <w:t>作为政府工作的补充，伯利兹妇女事务网络（其成员包括妇女事务部和全国妇女委员会）组织了一个政策讨论会，以便发起运动，提倡在教育系统中消除对怀孕学生和未婚先孕教师的歧视。此项运动的活动之一是向一名教师或学生提供支助，使其在法庭上向歧视行为提出法律挑战。</w:t>
      </w:r>
    </w:p>
    <w:p w:rsidR="00373976" w:rsidRDefault="00373976" w:rsidP="00964C51">
      <w:pPr>
        <w:widowControl w:val="0"/>
        <w:numPr>
          <w:ilvl w:val="0"/>
          <w:numId w:val="40"/>
        </w:numPr>
        <w:tabs>
          <w:tab w:val="clear" w:pos="120"/>
          <w:tab w:val="left" w:pos="525"/>
        </w:tabs>
        <w:autoSpaceDE w:val="0"/>
        <w:autoSpaceDN w:val="0"/>
        <w:adjustRightInd w:val="0"/>
        <w:spacing w:after="180" w:line="360" w:lineRule="exact"/>
        <w:ind w:left="0" w:firstLine="0"/>
        <w:jc w:val="both"/>
        <w:textAlignment w:val="baseline"/>
        <w:rPr>
          <w:b/>
          <w:bCs/>
          <w:color w:val="000000"/>
        </w:rPr>
      </w:pPr>
      <w:r>
        <w:rPr>
          <w:rFonts w:cs="SimSun" w:hint="eastAsia"/>
          <w:lang w:val="zh-CN"/>
        </w:rPr>
        <w:t>随着这项倡导运动的开展，一名最近因未婚先孕而受到歧视的教师自愿将她的案件提交法院再审。全国妇女委员会承担了该倡议的领导义务，并向这名教师提供了帮助，确保政府遵守《国家性别政策》中向判例案件提供财政支持的规定。庭审定于</w:t>
      </w:r>
      <w:r>
        <w:rPr>
          <w:lang w:val="zh-CN"/>
        </w:rPr>
        <w:t>2004</w:t>
      </w:r>
      <w:r>
        <w:rPr>
          <w:rFonts w:cs="SimSun" w:hint="eastAsia"/>
          <w:lang w:val="zh-CN"/>
        </w:rPr>
        <w:t>年初进行。</w:t>
      </w:r>
      <w:r>
        <w:rPr>
          <w:rStyle w:val="FootnoteReference"/>
          <w:lang w:val="zh-CN"/>
        </w:rPr>
        <w:footnoteReference w:id="35"/>
      </w:r>
      <w:r>
        <w:rPr>
          <w:rFonts w:cs="SimSun" w:hint="eastAsia"/>
          <w:lang w:val="zh-CN"/>
        </w:rPr>
        <w:t>在开除怀孕学生方面，还没有出现类似的案例。</w:t>
      </w:r>
    </w:p>
    <w:p w:rsidR="00373976" w:rsidRDefault="00373976" w:rsidP="00964C51">
      <w:pPr>
        <w:tabs>
          <w:tab w:val="left" w:pos="525"/>
        </w:tabs>
        <w:spacing w:after="180" w:line="360" w:lineRule="exact"/>
        <w:rPr>
          <w:rFonts w:ascii="SimHei" w:eastAsia="SimHei"/>
          <w:color w:val="FF0000"/>
          <w:sz w:val="24"/>
          <w:szCs w:val="24"/>
        </w:rPr>
      </w:pPr>
      <w:r>
        <w:rPr>
          <w:rFonts w:ascii="SimHei" w:eastAsia="SimHei" w:cs="SimHei" w:hint="eastAsia"/>
          <w:color w:val="FF0000"/>
          <w:sz w:val="24"/>
          <w:szCs w:val="24"/>
        </w:rPr>
        <w:t>性别、性和家庭生活教育</w:t>
      </w:r>
    </w:p>
    <w:p w:rsidR="00373976" w:rsidRDefault="00373976" w:rsidP="00964C51">
      <w:pPr>
        <w:widowControl w:val="0"/>
        <w:numPr>
          <w:ilvl w:val="1"/>
          <w:numId w:val="40"/>
        </w:numPr>
        <w:tabs>
          <w:tab w:val="clear" w:pos="540"/>
          <w:tab w:val="left" w:pos="525"/>
        </w:tabs>
        <w:autoSpaceDE w:val="0"/>
        <w:autoSpaceDN w:val="0"/>
        <w:adjustRightInd w:val="0"/>
        <w:spacing w:after="180" w:line="360" w:lineRule="exact"/>
        <w:ind w:left="0" w:firstLine="0"/>
        <w:jc w:val="both"/>
        <w:rPr>
          <w:color w:val="000000"/>
        </w:rPr>
      </w:pPr>
      <w:r>
        <w:rPr>
          <w:rFonts w:cs="SimSun" w:hint="eastAsia"/>
          <w:color w:val="000000"/>
          <w:lang w:val="zh-CN"/>
        </w:rPr>
        <w:t>为了解决伯利兹少女怀孕率高和</w:t>
      </w:r>
      <w:r>
        <w:rPr>
          <w:rFonts w:cs="SimSun" w:hint="eastAsia"/>
          <w:color w:val="000000"/>
        </w:rPr>
        <w:t>艾滋病毒</w:t>
      </w:r>
      <w:r>
        <w:rPr>
          <w:color w:val="000000"/>
        </w:rPr>
        <w:t>/</w:t>
      </w:r>
      <w:r>
        <w:rPr>
          <w:rFonts w:cs="SimSun" w:hint="eastAsia"/>
          <w:color w:val="000000"/>
        </w:rPr>
        <w:t>艾滋病</w:t>
      </w:r>
      <w:r>
        <w:rPr>
          <w:rFonts w:cs="SimSun" w:hint="eastAsia"/>
          <w:color w:val="000000"/>
          <w:lang w:val="zh-CN"/>
        </w:rPr>
        <w:t>日益流行的问题，政府通过教育部和卫生部制定了相关的政策和机制来保证将性别问题、性和家庭生活教育纳入小学和中学的课程。不过，在教会和国家相结合的教育系统中，仍面临着实施方面的挑战。</w:t>
      </w:r>
    </w:p>
    <w:p w:rsidR="00373976" w:rsidRDefault="00373976" w:rsidP="00964C51">
      <w:pPr>
        <w:widowControl w:val="0"/>
        <w:numPr>
          <w:ilvl w:val="1"/>
          <w:numId w:val="40"/>
        </w:numPr>
        <w:tabs>
          <w:tab w:val="clear" w:pos="540"/>
          <w:tab w:val="left" w:pos="525"/>
        </w:tabs>
        <w:autoSpaceDE w:val="0"/>
        <w:autoSpaceDN w:val="0"/>
        <w:adjustRightInd w:val="0"/>
        <w:spacing w:after="180" w:line="360" w:lineRule="exact"/>
        <w:ind w:left="0" w:firstLine="0"/>
        <w:jc w:val="both"/>
        <w:rPr>
          <w:color w:val="000000"/>
        </w:rPr>
      </w:pPr>
      <w:r>
        <w:rPr>
          <w:rFonts w:cs="SimSun" w:hint="eastAsia"/>
          <w:color w:val="000000"/>
          <w:lang w:val="zh-CN"/>
        </w:rPr>
        <w:t>《性健康和生殖健康政策》承诺，政府将：</w:t>
      </w:r>
    </w:p>
    <w:p w:rsidR="00373976" w:rsidRDefault="00373976" w:rsidP="009B38FD">
      <w:pPr>
        <w:tabs>
          <w:tab w:val="left" w:pos="525"/>
        </w:tabs>
        <w:spacing w:after="180" w:line="360" w:lineRule="exact"/>
        <w:ind w:leftChars="250" w:left="31680" w:firstLineChars="200" w:firstLine="31680"/>
        <w:rPr>
          <w:rFonts w:ascii="KaiTi_GB2312" w:eastAsia="KaiTi_GB2312"/>
          <w:color w:val="0000FF"/>
        </w:rPr>
      </w:pPr>
      <w:r>
        <w:rPr>
          <w:rFonts w:ascii="KaiTi_GB2312" w:eastAsia="KaiTi_GB2312"/>
          <w:color w:val="0000FF"/>
        </w:rPr>
        <w:t>“</w:t>
      </w:r>
      <w:r>
        <w:rPr>
          <w:rFonts w:ascii="KaiTi_GB2312" w:eastAsia="KaiTi_GB2312" w:cs="KaiTi_GB2312" w:hint="eastAsia"/>
          <w:color w:val="0000FF"/>
        </w:rPr>
        <w:t>加强和调整</w:t>
      </w:r>
      <w:r>
        <w:rPr>
          <w:rFonts w:ascii="KaiTi_GB2312" w:eastAsia="KaiTi_GB2312" w:cs="KaiTi_GB2312" w:hint="eastAsia"/>
          <w:color w:val="0000FF"/>
          <w:lang w:val="zh-CN"/>
        </w:rPr>
        <w:t>有益健康的教育</w:t>
      </w:r>
      <w:r>
        <w:rPr>
          <w:rFonts w:ascii="KaiTi_GB2312" w:eastAsia="KaiTi_GB2312" w:cs="KaiTi_GB2312" w:hint="eastAsia"/>
          <w:color w:val="0000FF"/>
        </w:rPr>
        <w:t>，包括通过有资格的人员，在</w:t>
      </w:r>
      <w:r>
        <w:rPr>
          <w:rFonts w:ascii="KaiTi_GB2312" w:eastAsia="KaiTi_GB2312" w:cs="KaiTi_GB2312" w:hint="eastAsia"/>
          <w:color w:val="0000FF"/>
          <w:lang w:val="zh-CN"/>
        </w:rPr>
        <w:t>学校和公共医疗服务机构提供性健康和生殖健康教育</w:t>
      </w:r>
      <w:r>
        <w:rPr>
          <w:rFonts w:ascii="KaiTi_GB2312" w:eastAsia="KaiTi_GB2312" w:cs="KaiTi_GB2312" w:hint="eastAsia"/>
          <w:color w:val="0000FF"/>
        </w:rPr>
        <w:t>，包括</w:t>
      </w:r>
      <w:r>
        <w:rPr>
          <w:rFonts w:ascii="KaiTi_GB2312" w:eastAsia="KaiTi_GB2312" w:cs="KaiTi_GB2312" w:hint="eastAsia"/>
          <w:color w:val="0000FF"/>
          <w:lang w:val="zh-CN"/>
        </w:rPr>
        <w:t>初级保健方案，</w:t>
      </w:r>
      <w:r>
        <w:rPr>
          <w:rFonts w:ascii="KaiTi_GB2312" w:eastAsia="KaiTi_GB2312" w:cs="KaiTi_GB2312" w:hint="eastAsia"/>
          <w:color w:val="0000FF"/>
        </w:rPr>
        <w:t>以满足男子、妇女、女孩和男孩身心健康的需要。</w:t>
      </w:r>
      <w:r>
        <w:rPr>
          <w:rFonts w:ascii="KaiTi_GB2312" w:eastAsia="KaiTi_GB2312"/>
          <w:color w:val="0000FF"/>
        </w:rPr>
        <w:t>”</w:t>
      </w:r>
    </w:p>
    <w:p w:rsidR="00373976" w:rsidRDefault="00373976" w:rsidP="009B38FD">
      <w:pPr>
        <w:tabs>
          <w:tab w:val="left" w:pos="525"/>
        </w:tabs>
        <w:autoSpaceDE w:val="0"/>
        <w:autoSpaceDN w:val="0"/>
        <w:spacing w:after="180" w:line="360" w:lineRule="exact"/>
        <w:ind w:left="31680" w:hangingChars="171" w:firstLine="31680"/>
        <w:rPr>
          <w:color w:val="000000"/>
        </w:rPr>
      </w:pPr>
      <w:r>
        <w:rPr>
          <w:color w:val="000000"/>
        </w:rPr>
        <w:t>115</w:t>
      </w:r>
      <w:r>
        <w:rPr>
          <w:rFonts w:cs="SimSun" w:hint="eastAsia"/>
          <w:color w:val="000000"/>
        </w:rPr>
        <w:t>．《教育法》授予高级教育官员以下权力：</w:t>
      </w:r>
    </w:p>
    <w:p w:rsidR="00373976" w:rsidRDefault="00373976" w:rsidP="009B38FD">
      <w:pPr>
        <w:tabs>
          <w:tab w:val="left" w:pos="1050"/>
        </w:tabs>
        <w:spacing w:after="180" w:line="360" w:lineRule="exact"/>
        <w:ind w:leftChars="250" w:left="31680" w:hangingChars="250" w:firstLine="31680"/>
        <w:rPr>
          <w:rFonts w:ascii="KaiTi_GB2312" w:eastAsia="KaiTi_GB2312"/>
          <w:color w:val="0000FF"/>
        </w:rPr>
      </w:pPr>
      <w:r>
        <w:rPr>
          <w:rFonts w:ascii="KaiTi_GB2312" w:eastAsia="KaiTi_GB2312" w:cs="KaiTi_GB2312"/>
          <w:color w:val="0000FF"/>
        </w:rPr>
        <w:t xml:space="preserve">a) </w:t>
      </w:r>
      <w:r>
        <w:rPr>
          <w:rFonts w:ascii="KaiTi_GB2312" w:eastAsia="KaiTi_GB2312" w:cs="KaiTi_GB2312"/>
          <w:color w:val="0000FF"/>
        </w:rPr>
        <w:tab/>
      </w:r>
      <w:r>
        <w:rPr>
          <w:rFonts w:ascii="KaiTi_GB2312" w:eastAsia="KaiTi_GB2312" w:cs="KaiTi_GB2312" w:hint="eastAsia"/>
          <w:color w:val="0000FF"/>
        </w:rPr>
        <w:t>规定学习范围；</w:t>
      </w:r>
    </w:p>
    <w:p w:rsidR="00373976" w:rsidRDefault="00373976" w:rsidP="009B38FD">
      <w:pPr>
        <w:tabs>
          <w:tab w:val="left" w:pos="1050"/>
        </w:tabs>
        <w:spacing w:after="180" w:line="360" w:lineRule="exact"/>
        <w:ind w:leftChars="250" w:left="31680" w:hangingChars="250" w:firstLine="31680"/>
        <w:rPr>
          <w:rFonts w:ascii="KaiTi_GB2312" w:eastAsia="KaiTi_GB2312"/>
          <w:color w:val="0000FF"/>
        </w:rPr>
      </w:pPr>
      <w:r>
        <w:rPr>
          <w:rFonts w:ascii="KaiTi_GB2312" w:eastAsia="KaiTi_GB2312" w:cs="KaiTi_GB2312"/>
          <w:color w:val="0000FF"/>
        </w:rPr>
        <w:t xml:space="preserve">b) </w:t>
      </w:r>
      <w:r>
        <w:rPr>
          <w:rFonts w:ascii="KaiTi_GB2312" w:eastAsia="KaiTi_GB2312" w:cs="KaiTi_GB2312"/>
          <w:color w:val="0000FF"/>
        </w:rPr>
        <w:tab/>
      </w:r>
      <w:r>
        <w:rPr>
          <w:rFonts w:ascii="KaiTi_GB2312" w:eastAsia="KaiTi_GB2312" w:cs="KaiTi_GB2312" w:hint="eastAsia"/>
          <w:color w:val="0000FF"/>
        </w:rPr>
        <w:t>颁布课程指南和要求据此制定学习课程；</w:t>
      </w:r>
    </w:p>
    <w:p w:rsidR="00373976" w:rsidRDefault="00373976" w:rsidP="009B38FD">
      <w:pPr>
        <w:tabs>
          <w:tab w:val="left" w:pos="1050"/>
        </w:tabs>
        <w:spacing w:after="180" w:line="360" w:lineRule="exact"/>
        <w:ind w:leftChars="250" w:left="31680" w:hangingChars="250" w:firstLine="31680"/>
        <w:rPr>
          <w:rFonts w:ascii="KaiTi_GB2312" w:eastAsia="KaiTi_GB2312"/>
          <w:color w:val="0000FF"/>
        </w:rPr>
      </w:pPr>
      <w:r>
        <w:rPr>
          <w:rFonts w:ascii="KaiTi_GB2312" w:eastAsia="KaiTi_GB2312" w:cs="KaiTi_GB2312"/>
          <w:color w:val="0000FF"/>
        </w:rPr>
        <w:t xml:space="preserve">c) </w:t>
      </w:r>
      <w:r>
        <w:rPr>
          <w:rFonts w:ascii="KaiTi_GB2312" w:eastAsia="KaiTi_GB2312" w:cs="KaiTi_GB2312"/>
          <w:color w:val="0000FF"/>
        </w:rPr>
        <w:tab/>
      </w:r>
      <w:r>
        <w:rPr>
          <w:rFonts w:ascii="KaiTi_GB2312" w:eastAsia="KaiTi_GB2312" w:cs="KaiTi_GB2312" w:hint="eastAsia"/>
          <w:color w:val="0000FF"/>
        </w:rPr>
        <w:t>批准或许可相关学校的管理当局批准用以替代或增加规定学习范围的其他学习范围。</w:t>
      </w:r>
      <w:r>
        <w:rPr>
          <w:vertAlign w:val="superscript"/>
        </w:rPr>
        <w:footnoteReference w:id="36"/>
      </w:r>
    </w:p>
    <w:p w:rsidR="00373976" w:rsidRDefault="00373976" w:rsidP="009B38FD">
      <w:pPr>
        <w:numPr>
          <w:ilvl w:val="0"/>
          <w:numId w:val="34"/>
        </w:numPr>
        <w:tabs>
          <w:tab w:val="clear" w:pos="240"/>
          <w:tab w:val="left" w:pos="525"/>
        </w:tabs>
        <w:spacing w:after="180" w:line="360" w:lineRule="exact"/>
        <w:ind w:leftChars="-11" w:left="31680" w:firstLine="0"/>
        <w:jc w:val="both"/>
        <w:rPr>
          <w:color w:val="000000"/>
        </w:rPr>
      </w:pPr>
      <w:r>
        <w:rPr>
          <w:color w:val="000000"/>
        </w:rPr>
        <w:t>2000</w:t>
      </w:r>
      <w:r>
        <w:rPr>
          <w:rFonts w:cs="SimSun" w:hint="eastAsia"/>
          <w:color w:val="000000"/>
        </w:rPr>
        <w:t>年，为了实行《教育法》，制定了《教育条例》。《教育条例》第</w:t>
      </w:r>
      <w:r>
        <w:rPr>
          <w:color w:val="000000"/>
        </w:rPr>
        <w:t>116</w:t>
      </w:r>
      <w:r>
        <w:rPr>
          <w:rFonts w:cs="SimSun" w:hint="eastAsia"/>
          <w:color w:val="000000"/>
        </w:rPr>
        <w:t>节要求教育部：</w:t>
      </w:r>
    </w:p>
    <w:p w:rsidR="00373976" w:rsidRDefault="00373976" w:rsidP="009B38FD">
      <w:pPr>
        <w:tabs>
          <w:tab w:val="left" w:pos="525"/>
        </w:tabs>
        <w:spacing w:after="180" w:line="360" w:lineRule="exact"/>
        <w:ind w:leftChars="250" w:left="31680" w:firstLineChars="200" w:firstLine="31680"/>
        <w:rPr>
          <w:rFonts w:ascii="KaiTi_GB2312" w:eastAsia="KaiTi_GB2312"/>
          <w:color w:val="0000FF"/>
        </w:rPr>
      </w:pPr>
      <w:r>
        <w:rPr>
          <w:rFonts w:ascii="KaiTi_GB2312" w:eastAsia="KaiTi_GB2312" w:cs="KaiTi_GB2312" w:hint="eastAsia"/>
          <w:color w:val="0000FF"/>
        </w:rPr>
        <w:t>“设立和公布国家教育目标并制定相应的学前教育中心、小学和中学或机构的全国性课程，详细列明它们的学习成果以及课程的组织和结构。”</w:t>
      </w:r>
    </w:p>
    <w:p w:rsidR="00373976" w:rsidRDefault="00373976" w:rsidP="00373976">
      <w:pPr>
        <w:numPr>
          <w:ilvl w:val="0"/>
          <w:numId w:val="41"/>
        </w:numPr>
        <w:tabs>
          <w:tab w:val="clear" w:pos="0"/>
          <w:tab w:val="left" w:pos="525"/>
        </w:tabs>
        <w:spacing w:after="240" w:line="360" w:lineRule="exact"/>
        <w:ind w:left="0" w:firstLine="0"/>
        <w:jc w:val="both"/>
        <w:rPr>
          <w:color w:val="000000"/>
        </w:rPr>
      </w:pPr>
      <w:r>
        <w:rPr>
          <w:rFonts w:cs="SimSun" w:hint="eastAsia"/>
          <w:color w:val="000000"/>
        </w:rPr>
        <w:t>相应的全国性课程要求在实现国家目标和取得学习成果的过程中，以及在使用的教材里，将性别的公平和平等问题纳入主流并加以重视。</w:t>
      </w:r>
    </w:p>
    <w:p w:rsidR="00373976" w:rsidRDefault="00373976" w:rsidP="00373976">
      <w:pPr>
        <w:numPr>
          <w:ilvl w:val="0"/>
          <w:numId w:val="41"/>
        </w:numPr>
        <w:tabs>
          <w:tab w:val="clear" w:pos="0"/>
          <w:tab w:val="left" w:pos="525"/>
        </w:tabs>
        <w:spacing w:after="240" w:line="360" w:lineRule="exact"/>
        <w:ind w:left="0" w:firstLine="0"/>
        <w:jc w:val="both"/>
        <w:rPr>
          <w:color w:val="000000"/>
        </w:rPr>
      </w:pPr>
      <w:r>
        <w:rPr>
          <w:rFonts w:cs="SimSun" w:hint="eastAsia"/>
          <w:color w:val="000000"/>
        </w:rPr>
        <w:t>全国性课程的一项更为明确的目标是增进有关健康生活方式的知识和实践。为此制定了一项学校健康和体育方案（</w:t>
      </w:r>
      <w:r>
        <w:rPr>
          <w:color w:val="000000"/>
        </w:rPr>
        <w:t>SHAPES</w:t>
      </w:r>
      <w:r>
        <w:rPr>
          <w:rFonts w:cs="SimSun" w:hint="eastAsia"/>
          <w:color w:val="000000"/>
        </w:rPr>
        <w:t>），以保证全国性课程中的这部分内容得以执行。其中包括性教育、计划生育、对性别问题的认识和性传播疾病</w:t>
      </w:r>
      <w:r>
        <w:rPr>
          <w:color w:val="000000"/>
        </w:rPr>
        <w:t>/</w:t>
      </w:r>
      <w:r>
        <w:rPr>
          <w:rFonts w:cs="SimSun" w:hint="eastAsia"/>
          <w:color w:val="000000"/>
        </w:rPr>
        <w:t>艾滋病毒</w:t>
      </w:r>
      <w:r>
        <w:rPr>
          <w:color w:val="000000"/>
        </w:rPr>
        <w:t>/</w:t>
      </w:r>
      <w:r>
        <w:rPr>
          <w:rFonts w:cs="SimSun" w:hint="eastAsia"/>
          <w:color w:val="000000"/>
        </w:rPr>
        <w:t>艾滋病问题，</w:t>
      </w:r>
      <w:r>
        <w:rPr>
          <w:rStyle w:val="FootnoteReference"/>
          <w:color w:val="000000"/>
        </w:rPr>
        <w:footnoteReference w:id="37"/>
      </w:r>
      <w:r>
        <w:rPr>
          <w:rFonts w:cs="SimSun" w:hint="eastAsia"/>
          <w:color w:val="000000"/>
        </w:rPr>
        <w:t>另外还包括男女生的体育和运动。</w:t>
      </w:r>
    </w:p>
    <w:p w:rsidR="00373976" w:rsidRDefault="00373976" w:rsidP="00373976">
      <w:pPr>
        <w:numPr>
          <w:ilvl w:val="0"/>
          <w:numId w:val="41"/>
        </w:numPr>
        <w:tabs>
          <w:tab w:val="clear" w:pos="0"/>
          <w:tab w:val="left" w:pos="525"/>
        </w:tabs>
        <w:spacing w:after="240" w:line="360" w:lineRule="exact"/>
        <w:ind w:left="0" w:firstLine="0"/>
        <w:jc w:val="both"/>
        <w:rPr>
          <w:color w:val="000000"/>
        </w:rPr>
      </w:pPr>
      <w:r>
        <w:rPr>
          <w:rFonts w:cs="SimSun" w:hint="eastAsia"/>
          <w:color w:val="000000"/>
        </w:rPr>
        <w:t>来自所有教会和国家共同管理学校的管理者参加了旨在提高对艾滋病毒</w:t>
      </w:r>
      <w:r>
        <w:rPr>
          <w:color w:val="000000"/>
        </w:rPr>
        <w:t>/</w:t>
      </w:r>
      <w:r>
        <w:rPr>
          <w:rFonts w:cs="SimSun" w:hint="eastAsia"/>
          <w:color w:val="000000"/>
        </w:rPr>
        <w:t>艾滋病认识的会议和讨论，这是从宗教角度回应该流行病的一个步骤。在这种情况下，需要强调的一个主要问题是，一些教派在讲授禁欲的同时，却不愿讲授避孕套的使用和其他计划生育方法。一方面，人们普遍认识到提倡禁欲在计划生育和预防艾滋病中所起的重要作用，另一方面，又有人担心不向学生提供一切可以选择的方案会剥夺他们的知情权。</w:t>
      </w:r>
    </w:p>
    <w:p w:rsidR="00373976" w:rsidRDefault="00373976" w:rsidP="00373976">
      <w:pPr>
        <w:numPr>
          <w:ilvl w:val="0"/>
          <w:numId w:val="41"/>
        </w:numPr>
        <w:tabs>
          <w:tab w:val="clear" w:pos="0"/>
          <w:tab w:val="left" w:pos="525"/>
        </w:tabs>
        <w:spacing w:after="240" w:line="360" w:lineRule="exact"/>
        <w:ind w:left="0" w:firstLine="0"/>
        <w:jc w:val="both"/>
      </w:pPr>
      <w:r>
        <w:rPr>
          <w:rFonts w:cs="SimSun" w:hint="eastAsia"/>
        </w:rPr>
        <w:t>由于部分教派在这些问题上的立场，有些教师报告说，他们在向学生讲授性特征教育、计划生育和艾滋病毒</w:t>
      </w:r>
      <w:r>
        <w:t>/</w:t>
      </w:r>
      <w:r>
        <w:rPr>
          <w:rFonts w:cs="SimSun" w:hint="eastAsia"/>
        </w:rPr>
        <w:t>艾滋病信息时感觉不自在。有时，教师会邀请伯利兹家庭生活协会（</w:t>
      </w:r>
      <w:r>
        <w:t>BFLA</w:t>
      </w:r>
      <w:r>
        <w:rPr>
          <w:rFonts w:cs="SimSun" w:hint="eastAsia"/>
        </w:rPr>
        <w:t>）或健康教育和社区参与局（</w:t>
      </w:r>
      <w:r>
        <w:t>HECOPAB</w:t>
      </w:r>
      <w:r>
        <w:rPr>
          <w:rFonts w:cs="SimSun" w:hint="eastAsia"/>
        </w:rPr>
        <w:t>）来讲授这些课程。有时，这些专题会被跳过或讲解不充分。</w:t>
      </w:r>
    </w:p>
    <w:p w:rsidR="00373976" w:rsidRDefault="00373976" w:rsidP="00373976">
      <w:pPr>
        <w:numPr>
          <w:ilvl w:val="0"/>
          <w:numId w:val="41"/>
        </w:numPr>
        <w:tabs>
          <w:tab w:val="clear" w:pos="0"/>
          <w:tab w:val="left" w:pos="525"/>
        </w:tabs>
        <w:spacing w:after="240" w:line="360" w:lineRule="exact"/>
        <w:ind w:left="0" w:firstLine="0"/>
        <w:jc w:val="both"/>
      </w:pPr>
      <w:r>
        <w:rPr>
          <w:rFonts w:cs="SimSun" w:hint="eastAsia"/>
          <w:color w:val="000000"/>
        </w:rPr>
        <w:t>此外，在较多的农村玛雅社区中，父母反对：</w:t>
      </w:r>
      <w:r>
        <w:rPr>
          <w:color w:val="000000"/>
        </w:rPr>
        <w:t xml:space="preserve"> a) </w:t>
      </w:r>
      <w:r>
        <w:rPr>
          <w:rFonts w:cs="SimSun" w:hint="eastAsia"/>
          <w:color w:val="000000"/>
        </w:rPr>
        <w:t>女孩参与体育活动</w:t>
      </w:r>
      <w:r>
        <w:rPr>
          <w:color w:val="000000"/>
        </w:rPr>
        <w:t xml:space="preserve"> b) </w:t>
      </w:r>
      <w:r>
        <w:rPr>
          <w:rFonts w:cs="SimSun" w:hint="eastAsia"/>
          <w:color w:val="000000"/>
        </w:rPr>
        <w:t>讲授性生殖和艾滋病毒</w:t>
      </w:r>
      <w:r>
        <w:rPr>
          <w:color w:val="000000"/>
        </w:rPr>
        <w:t>/</w:t>
      </w:r>
      <w:r>
        <w:rPr>
          <w:rFonts w:cs="SimSun" w:hint="eastAsia"/>
          <w:color w:val="000000"/>
        </w:rPr>
        <w:t>艾滋病知识。在这种情况下，教师们减少了其授课内容，而不管是否达到了《教育法》和《性健康和生殖健康政策》提出的要求。</w:t>
      </w:r>
    </w:p>
    <w:p w:rsidR="00373976" w:rsidRDefault="00373976" w:rsidP="00373976">
      <w:pPr>
        <w:numPr>
          <w:ilvl w:val="0"/>
          <w:numId w:val="41"/>
        </w:numPr>
        <w:tabs>
          <w:tab w:val="clear" w:pos="0"/>
          <w:tab w:val="left" w:pos="525"/>
        </w:tabs>
        <w:spacing w:after="240" w:line="360" w:lineRule="exact"/>
        <w:ind w:left="0" w:firstLine="0"/>
        <w:jc w:val="both"/>
      </w:pPr>
      <w:r>
        <w:rPr>
          <w:rFonts w:cs="SimSun" w:hint="eastAsia"/>
        </w:rPr>
        <w:t>教育监督资金的普遍缺乏以及近来</w:t>
      </w:r>
      <w:r>
        <w:rPr>
          <w:rFonts w:cs="SimSun" w:hint="eastAsia"/>
          <w:color w:val="000000"/>
        </w:rPr>
        <w:t>学校健康和体育方案</w:t>
      </w:r>
      <w:r>
        <w:rPr>
          <w:rFonts w:cs="SimSun" w:hint="eastAsia"/>
        </w:rPr>
        <w:t>的缩减，使得在评估学校遵守《教育法》及《性健康和生殖健康政策》各项规定的情况方面出现了困难。</w:t>
      </w:r>
    </w:p>
    <w:p w:rsidR="00373976" w:rsidRDefault="00373976" w:rsidP="00373976">
      <w:pPr>
        <w:tabs>
          <w:tab w:val="left" w:pos="525"/>
        </w:tabs>
        <w:spacing w:after="240" w:line="360" w:lineRule="exact"/>
      </w:pPr>
    </w:p>
    <w:p w:rsidR="00373976" w:rsidRDefault="00373976" w:rsidP="00373976">
      <w:pPr>
        <w:tabs>
          <w:tab w:val="left" w:pos="525"/>
        </w:tabs>
        <w:spacing w:after="240" w:line="360" w:lineRule="exact"/>
      </w:pPr>
    </w:p>
    <w:p w:rsidR="00373976" w:rsidRDefault="00373976" w:rsidP="00373976">
      <w:pPr>
        <w:tabs>
          <w:tab w:val="left" w:pos="525"/>
        </w:tabs>
        <w:spacing w:after="240" w:line="360" w:lineRule="exact"/>
        <w:jc w:val="center"/>
        <w:rPr>
          <w:rFonts w:ascii="SimHei" w:eastAsia="SimHei"/>
          <w:color w:val="FF0000"/>
          <w:sz w:val="28"/>
          <w:szCs w:val="28"/>
        </w:rPr>
      </w:pPr>
      <w:r>
        <w:br w:type="column"/>
      </w:r>
      <w:r>
        <w:rPr>
          <w:rFonts w:ascii="SimHei" w:eastAsia="SimHei" w:cs="SimHei" w:hint="eastAsia"/>
          <w:color w:val="FF0000"/>
          <w:sz w:val="28"/>
          <w:szCs w:val="28"/>
        </w:rPr>
        <w:t>第</w:t>
      </w:r>
      <w:r>
        <w:rPr>
          <w:rFonts w:ascii="SimHei" w:eastAsia="SimHei" w:cs="SimHei"/>
          <w:color w:val="FF0000"/>
          <w:sz w:val="28"/>
          <w:szCs w:val="28"/>
        </w:rPr>
        <w:t>11</w:t>
      </w:r>
      <w:r>
        <w:rPr>
          <w:rFonts w:ascii="SimHei" w:eastAsia="SimHei" w:cs="SimHei" w:hint="eastAsia"/>
          <w:color w:val="FF0000"/>
          <w:sz w:val="28"/>
          <w:szCs w:val="28"/>
        </w:rPr>
        <w:t>条</w:t>
      </w:r>
    </w:p>
    <w:p w:rsidR="00373976" w:rsidRDefault="00373976" w:rsidP="00373976">
      <w:pPr>
        <w:spacing w:after="240" w:line="400" w:lineRule="exact"/>
        <w:jc w:val="center"/>
        <w:rPr>
          <w:rFonts w:ascii="SimHei" w:eastAsia="SimHei"/>
          <w:color w:val="FF0000"/>
          <w:sz w:val="28"/>
          <w:szCs w:val="28"/>
        </w:rPr>
      </w:pPr>
      <w:r>
        <w:rPr>
          <w:rFonts w:ascii="SimHei" w:eastAsia="SimHei" w:cs="SimHei" w:hint="eastAsia"/>
          <w:color w:val="FF0000"/>
          <w:sz w:val="28"/>
          <w:szCs w:val="28"/>
        </w:rPr>
        <w:t>就</w:t>
      </w:r>
      <w:r>
        <w:rPr>
          <w:rFonts w:ascii="SimHei" w:eastAsia="SimHei" w:cs="SimHei"/>
          <w:color w:val="FF0000"/>
          <w:sz w:val="28"/>
          <w:szCs w:val="28"/>
        </w:rPr>
        <w:t xml:space="preserve"> </w:t>
      </w:r>
      <w:r>
        <w:rPr>
          <w:rFonts w:ascii="SimHei" w:eastAsia="SimHei" w:cs="SimHei" w:hint="eastAsia"/>
          <w:color w:val="FF0000"/>
          <w:sz w:val="28"/>
          <w:szCs w:val="28"/>
        </w:rPr>
        <w:t>业</w:t>
      </w:r>
    </w:p>
    <w:p w:rsidR="00373976" w:rsidRDefault="00373976" w:rsidP="00373976">
      <w:pPr>
        <w:pStyle w:val="Subtitle"/>
        <w:pBdr>
          <w:top w:val="single" w:sz="4" w:space="1" w:color="auto"/>
        </w:pBdr>
        <w:tabs>
          <w:tab w:val="left" w:pos="525"/>
        </w:tabs>
        <w:spacing w:line="360" w:lineRule="exact"/>
        <w:jc w:val="both"/>
        <w:rPr>
          <w:rFonts w:eastAsia="SimHei"/>
          <w:sz w:val="21"/>
          <w:szCs w:val="21"/>
          <w:lang w:eastAsia="zh-CN"/>
        </w:rPr>
      </w:pPr>
    </w:p>
    <w:p w:rsidR="00373976" w:rsidRDefault="00373976" w:rsidP="009B38FD">
      <w:pPr>
        <w:pStyle w:val="Normalvovlecen"/>
        <w:widowControl/>
        <w:tabs>
          <w:tab w:val="left" w:pos="525"/>
        </w:tabs>
        <w:spacing w:after="240" w:line="360" w:lineRule="exact"/>
        <w:ind w:firstLineChars="25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缔约各国应采取一切适当措施，消除在就业方面对妇女的歧视，以保证她们在男女平等的基础上享有相同权利，特别是：</w:t>
      </w:r>
    </w:p>
    <w:p w:rsidR="00373976" w:rsidRDefault="00373976" w:rsidP="009B38FD">
      <w:pPr>
        <w:pStyle w:val="Normalvovlecen"/>
        <w:widowControl/>
        <w:numPr>
          <w:ilvl w:val="1"/>
          <w:numId w:val="35"/>
        </w:numPr>
        <w:tabs>
          <w:tab w:val="clear" w:pos="780"/>
          <w:tab w:val="left" w:pos="1050"/>
        </w:tabs>
        <w:spacing w:after="240" w:line="360" w:lineRule="exact"/>
        <w:ind w:leftChars="250" w:left="31680" w:hangingChars="25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人人有不可剥夺的工作权利；</w:t>
      </w:r>
    </w:p>
    <w:p w:rsidR="00373976" w:rsidRDefault="00373976" w:rsidP="009B38FD">
      <w:pPr>
        <w:pStyle w:val="Normalvovlecen"/>
        <w:widowControl/>
        <w:numPr>
          <w:ilvl w:val="1"/>
          <w:numId w:val="35"/>
        </w:numPr>
        <w:tabs>
          <w:tab w:val="clear" w:pos="780"/>
          <w:tab w:val="left" w:pos="1050"/>
        </w:tabs>
        <w:spacing w:after="240" w:line="360" w:lineRule="exact"/>
        <w:ind w:leftChars="250" w:left="31680" w:hangingChars="25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享有相同就业机会的权利，包括在就业方面相同的甄选标准；</w:t>
      </w:r>
    </w:p>
    <w:p w:rsidR="00373976" w:rsidRDefault="00373976" w:rsidP="009B38FD">
      <w:pPr>
        <w:pStyle w:val="Normalvovlecen"/>
        <w:widowControl/>
        <w:numPr>
          <w:ilvl w:val="1"/>
          <w:numId w:val="35"/>
        </w:numPr>
        <w:tabs>
          <w:tab w:val="clear" w:pos="780"/>
          <w:tab w:val="left" w:pos="1050"/>
        </w:tabs>
        <w:spacing w:after="240" w:line="360" w:lineRule="exact"/>
        <w:ind w:leftChars="250" w:left="31680" w:hangingChars="25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享有自由选择专业和职业，提升和工作保障，一切服务福利和条件，接受职业训练和再训练，包括实习训练、高等职业训练和经常训练的权利；</w:t>
      </w:r>
    </w:p>
    <w:p w:rsidR="00373976" w:rsidRDefault="00373976" w:rsidP="009B38FD">
      <w:pPr>
        <w:pStyle w:val="Normalvovlecen"/>
        <w:widowControl/>
        <w:numPr>
          <w:ilvl w:val="1"/>
          <w:numId w:val="35"/>
        </w:numPr>
        <w:tabs>
          <w:tab w:val="clear" w:pos="780"/>
          <w:tab w:val="left" w:pos="1050"/>
        </w:tabs>
        <w:spacing w:after="240" w:line="360" w:lineRule="exact"/>
        <w:ind w:leftChars="250" w:left="31680" w:hangingChars="25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同样价值的工作享有同等报酬包括福利和享有平等待遇的权利，在评定工作的表现方面，享有平等待遇的权利；</w:t>
      </w:r>
    </w:p>
    <w:p w:rsidR="00373976" w:rsidRDefault="00373976" w:rsidP="009B38FD">
      <w:pPr>
        <w:pStyle w:val="Normalvovlecen"/>
        <w:widowControl/>
        <w:numPr>
          <w:ilvl w:val="1"/>
          <w:numId w:val="35"/>
        </w:numPr>
        <w:tabs>
          <w:tab w:val="clear" w:pos="780"/>
          <w:tab w:val="left" w:pos="1050"/>
        </w:tabs>
        <w:spacing w:after="240" w:line="360" w:lineRule="exact"/>
        <w:ind w:leftChars="250" w:left="31680" w:hangingChars="25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享有社会保障的权利，特别是在退休、失业、疾病、残废和老年或在其他丧失工作能力的情况下，以及享有带薪假的权利；</w:t>
      </w:r>
    </w:p>
    <w:p w:rsidR="00373976" w:rsidRDefault="00373976" w:rsidP="009B38FD">
      <w:pPr>
        <w:pStyle w:val="Normalvovlecen"/>
        <w:widowControl/>
        <w:numPr>
          <w:ilvl w:val="1"/>
          <w:numId w:val="35"/>
        </w:numPr>
        <w:tabs>
          <w:tab w:val="clear" w:pos="780"/>
          <w:tab w:val="left" w:pos="1050"/>
        </w:tabs>
        <w:spacing w:after="240" w:line="360" w:lineRule="exact"/>
        <w:ind w:leftChars="250" w:left="31680" w:hangingChars="25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在工作条件中享有健康和安全保障，包括保障生育机能的权利。</w:t>
      </w:r>
    </w:p>
    <w:p w:rsidR="00373976" w:rsidRDefault="00373976" w:rsidP="009B38FD">
      <w:pPr>
        <w:pStyle w:val="Normalvovlecen"/>
        <w:widowControl/>
        <w:tabs>
          <w:tab w:val="left" w:pos="1050"/>
        </w:tabs>
        <w:spacing w:after="240" w:line="360" w:lineRule="exact"/>
        <w:ind w:leftChars="250" w:left="31680" w:hangingChars="25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缔约各国为使妇女不致因结婚或生育而受歧视，又为保障其有效的工作权利起见，应采取适当措施：</w:t>
      </w:r>
    </w:p>
    <w:p w:rsidR="00373976" w:rsidRDefault="00373976" w:rsidP="009B38FD">
      <w:pPr>
        <w:pStyle w:val="Normalvovlecen"/>
        <w:widowControl/>
        <w:tabs>
          <w:tab w:val="left" w:pos="1050"/>
        </w:tabs>
        <w:spacing w:after="240" w:line="360" w:lineRule="exact"/>
        <w:ind w:leftChars="200" w:left="31680" w:hangingChars="30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w:t>
      </w:r>
      <w:r>
        <w:rPr>
          <w:rFonts w:ascii="KaiTi_GB2312" w:eastAsia="KaiTi_GB2312" w:hAnsi="Times New Roman" w:cs="KaiTi_GB2312"/>
          <w:b/>
          <w:bCs/>
          <w:color w:val="0000FF"/>
          <w:sz w:val="21"/>
          <w:szCs w:val="21"/>
          <w:lang w:eastAsia="zh-CN"/>
        </w:rPr>
        <w:t>a</w:t>
      </w:r>
      <w:r>
        <w:rPr>
          <w:rFonts w:ascii="KaiTi_GB2312" w:eastAsia="KaiTi_GB2312" w:hAnsi="Times New Roman" w:cs="KaiTi_GB2312" w:hint="eastAsia"/>
          <w:b/>
          <w:bCs/>
          <w:color w:val="0000FF"/>
          <w:sz w:val="21"/>
          <w:szCs w:val="21"/>
          <w:lang w:eastAsia="zh-CN"/>
        </w:rPr>
        <w:t>）</w:t>
      </w:r>
      <w:r>
        <w:rPr>
          <w:rFonts w:ascii="KaiTi_GB2312" w:eastAsia="KaiTi_GB2312" w:hAnsi="Times New Roman" w:cs="Times New Roman"/>
          <w:b/>
          <w:bCs/>
          <w:color w:val="0000FF"/>
          <w:sz w:val="21"/>
          <w:szCs w:val="21"/>
          <w:lang w:eastAsia="zh-CN"/>
        </w:rPr>
        <w:tab/>
      </w:r>
      <w:r>
        <w:rPr>
          <w:rFonts w:ascii="KaiTi_GB2312" w:eastAsia="KaiTi_GB2312" w:hAnsi="Times New Roman" w:cs="KaiTi_GB2312" w:hint="eastAsia"/>
          <w:b/>
          <w:bCs/>
          <w:color w:val="0000FF"/>
          <w:sz w:val="21"/>
          <w:szCs w:val="21"/>
          <w:lang w:eastAsia="zh-CN"/>
        </w:rPr>
        <w:t>禁止以怀孕或产假为理由予以解雇，以及以婚姻状况为理由予以解雇的歧视，违反规定者得受处分；</w:t>
      </w:r>
    </w:p>
    <w:p w:rsidR="00373976" w:rsidRDefault="00373976" w:rsidP="009B38FD">
      <w:pPr>
        <w:pStyle w:val="Normalvovlecen"/>
        <w:widowControl/>
        <w:tabs>
          <w:tab w:val="left" w:pos="1050"/>
        </w:tabs>
        <w:spacing w:after="240" w:line="360" w:lineRule="exact"/>
        <w:ind w:leftChars="200" w:left="31680" w:hangingChars="30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w:t>
      </w:r>
      <w:r>
        <w:rPr>
          <w:rFonts w:ascii="KaiTi_GB2312" w:eastAsia="KaiTi_GB2312" w:hAnsi="Times New Roman" w:cs="KaiTi_GB2312"/>
          <w:b/>
          <w:bCs/>
          <w:color w:val="0000FF"/>
          <w:sz w:val="21"/>
          <w:szCs w:val="21"/>
          <w:lang w:eastAsia="zh-CN"/>
        </w:rPr>
        <w:t>b</w:t>
      </w:r>
      <w:r>
        <w:rPr>
          <w:rFonts w:ascii="KaiTi_GB2312" w:eastAsia="KaiTi_GB2312" w:hAnsi="Times New Roman" w:cs="KaiTi_GB2312" w:hint="eastAsia"/>
          <w:b/>
          <w:bCs/>
          <w:color w:val="0000FF"/>
          <w:sz w:val="21"/>
          <w:szCs w:val="21"/>
          <w:lang w:eastAsia="zh-CN"/>
        </w:rPr>
        <w:t>）</w:t>
      </w:r>
      <w:r>
        <w:rPr>
          <w:rFonts w:ascii="KaiTi_GB2312" w:eastAsia="KaiTi_GB2312" w:hAnsi="Times New Roman" w:cs="Times New Roman"/>
          <w:b/>
          <w:bCs/>
          <w:color w:val="0000FF"/>
          <w:sz w:val="21"/>
          <w:szCs w:val="21"/>
          <w:lang w:eastAsia="zh-CN"/>
        </w:rPr>
        <w:tab/>
      </w:r>
      <w:r>
        <w:rPr>
          <w:rFonts w:ascii="KaiTi_GB2312" w:eastAsia="KaiTi_GB2312" w:hAnsi="Times New Roman" w:cs="KaiTi_GB2312" w:hint="eastAsia"/>
          <w:b/>
          <w:bCs/>
          <w:color w:val="0000FF"/>
          <w:sz w:val="21"/>
          <w:szCs w:val="21"/>
          <w:lang w:eastAsia="zh-CN"/>
        </w:rPr>
        <w:t>实施带薪产假或具有同等社会福利的产假，不丧失原有工作、年资或社会津贴；</w:t>
      </w:r>
    </w:p>
    <w:p w:rsidR="00373976" w:rsidRDefault="00373976" w:rsidP="009B38FD">
      <w:pPr>
        <w:pStyle w:val="Normalvovlecen"/>
        <w:widowControl/>
        <w:tabs>
          <w:tab w:val="left" w:pos="1050"/>
        </w:tabs>
        <w:spacing w:after="240" w:line="360" w:lineRule="exact"/>
        <w:ind w:leftChars="200" w:left="31680" w:hangingChars="30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w:t>
      </w:r>
      <w:r>
        <w:rPr>
          <w:rFonts w:ascii="KaiTi_GB2312" w:eastAsia="KaiTi_GB2312" w:hAnsi="Times New Roman" w:cs="KaiTi_GB2312"/>
          <w:b/>
          <w:bCs/>
          <w:color w:val="0000FF"/>
          <w:sz w:val="21"/>
          <w:szCs w:val="21"/>
          <w:lang w:eastAsia="zh-CN"/>
        </w:rPr>
        <w:t>c</w:t>
      </w:r>
      <w:r>
        <w:rPr>
          <w:rFonts w:ascii="KaiTi_GB2312" w:eastAsia="KaiTi_GB2312" w:hAnsi="Times New Roman" w:cs="KaiTi_GB2312" w:hint="eastAsia"/>
          <w:b/>
          <w:bCs/>
          <w:color w:val="0000FF"/>
          <w:sz w:val="21"/>
          <w:szCs w:val="21"/>
          <w:lang w:eastAsia="zh-CN"/>
        </w:rPr>
        <w:t>）</w:t>
      </w:r>
      <w:r>
        <w:rPr>
          <w:rFonts w:ascii="KaiTi_GB2312" w:eastAsia="KaiTi_GB2312" w:hAnsi="Times New Roman" w:cs="Times New Roman"/>
          <w:b/>
          <w:bCs/>
          <w:color w:val="0000FF"/>
          <w:sz w:val="21"/>
          <w:szCs w:val="21"/>
          <w:lang w:eastAsia="zh-CN"/>
        </w:rPr>
        <w:tab/>
      </w:r>
      <w:r>
        <w:rPr>
          <w:rFonts w:ascii="KaiTi_GB2312" w:eastAsia="KaiTi_GB2312" w:hAnsi="Times New Roman" w:cs="KaiTi_GB2312" w:hint="eastAsia"/>
          <w:b/>
          <w:bCs/>
          <w:color w:val="0000FF"/>
          <w:sz w:val="21"/>
          <w:szCs w:val="21"/>
          <w:lang w:eastAsia="zh-CN"/>
        </w:rPr>
        <w:t>鼓励提供必要的辅助性社会服务，特别是通过促进建立和发展托儿设施系统，使父母得以兼顾家庭义务和工作责任并参与公共事务；以及</w:t>
      </w:r>
    </w:p>
    <w:p w:rsidR="00373976" w:rsidRDefault="00373976" w:rsidP="009B38FD">
      <w:pPr>
        <w:pStyle w:val="Normalvovlecen"/>
        <w:widowControl/>
        <w:tabs>
          <w:tab w:val="left" w:pos="1050"/>
        </w:tabs>
        <w:spacing w:after="240" w:line="360" w:lineRule="exact"/>
        <w:ind w:leftChars="200" w:left="31680" w:hangingChars="300" w:firstLine="31680"/>
        <w:jc w:val="both"/>
        <w:rPr>
          <w:rFonts w:ascii="KaiTi_GB2312" w:eastAsia="KaiTi_GB2312" w:hAnsi="Times New Roman" w:cs="Times New Roman"/>
          <w:b/>
          <w:bCs/>
          <w:color w:val="0000FF"/>
          <w:sz w:val="21"/>
          <w:szCs w:val="21"/>
          <w:lang w:eastAsia="zh-CN"/>
        </w:rPr>
      </w:pPr>
      <w:r>
        <w:rPr>
          <w:rFonts w:ascii="KaiTi_GB2312" w:eastAsia="KaiTi_GB2312" w:hAnsi="Times New Roman" w:cs="KaiTi_GB2312" w:hint="eastAsia"/>
          <w:b/>
          <w:bCs/>
          <w:color w:val="0000FF"/>
          <w:sz w:val="21"/>
          <w:szCs w:val="21"/>
          <w:lang w:eastAsia="zh-CN"/>
        </w:rPr>
        <w:t>（</w:t>
      </w:r>
      <w:r>
        <w:rPr>
          <w:rFonts w:ascii="KaiTi_GB2312" w:eastAsia="KaiTi_GB2312" w:hAnsi="Times New Roman" w:cs="KaiTi_GB2312"/>
          <w:b/>
          <w:bCs/>
          <w:color w:val="0000FF"/>
          <w:sz w:val="21"/>
          <w:szCs w:val="21"/>
          <w:lang w:eastAsia="zh-CN"/>
        </w:rPr>
        <w:t>d</w:t>
      </w:r>
      <w:r>
        <w:rPr>
          <w:rFonts w:ascii="KaiTi_GB2312" w:eastAsia="KaiTi_GB2312" w:hAnsi="Times New Roman" w:cs="KaiTi_GB2312" w:hint="eastAsia"/>
          <w:b/>
          <w:bCs/>
          <w:color w:val="0000FF"/>
          <w:sz w:val="21"/>
          <w:szCs w:val="21"/>
          <w:lang w:eastAsia="zh-CN"/>
        </w:rPr>
        <w:t>）</w:t>
      </w:r>
      <w:r>
        <w:rPr>
          <w:rFonts w:ascii="KaiTi_GB2312" w:eastAsia="KaiTi_GB2312" w:hAnsi="Times New Roman" w:cs="Times New Roman"/>
          <w:b/>
          <w:bCs/>
          <w:color w:val="0000FF"/>
          <w:sz w:val="21"/>
          <w:szCs w:val="21"/>
          <w:lang w:eastAsia="zh-CN"/>
        </w:rPr>
        <w:tab/>
      </w:r>
      <w:r>
        <w:rPr>
          <w:rFonts w:ascii="KaiTi_GB2312" w:eastAsia="KaiTi_GB2312" w:hAnsi="Times New Roman" w:cs="KaiTi_GB2312" w:hint="eastAsia"/>
          <w:b/>
          <w:bCs/>
          <w:color w:val="0000FF"/>
          <w:sz w:val="21"/>
          <w:szCs w:val="21"/>
          <w:lang w:eastAsia="zh-CN"/>
        </w:rPr>
        <w:t>对于怀孕期间从事确实有害于健康的工作的妇女，给予特别保护。</w:t>
      </w:r>
    </w:p>
    <w:p w:rsidR="00373976" w:rsidRDefault="00373976" w:rsidP="009B38FD">
      <w:pPr>
        <w:tabs>
          <w:tab w:val="left" w:pos="525"/>
        </w:tabs>
        <w:autoSpaceDE w:val="0"/>
        <w:autoSpaceDN w:val="0"/>
        <w:spacing w:after="240" w:line="360" w:lineRule="exact"/>
        <w:ind w:firstLineChars="200" w:firstLine="31680"/>
        <w:rPr>
          <w:rFonts w:eastAsia="STXinwei"/>
          <w:b/>
          <w:bCs/>
          <w:u w:val="single"/>
        </w:rPr>
      </w:pPr>
      <w:r>
        <w:rPr>
          <w:rFonts w:ascii="KaiTi_GB2312" w:eastAsia="KaiTi_GB2312" w:cs="KaiTi_GB2312" w:hint="eastAsia"/>
          <w:b/>
          <w:bCs/>
          <w:color w:val="0000FF"/>
        </w:rPr>
        <w:t>应参照科技知识，定期审查与本条所包涵的内容有关的保护性法律，必要时应加以修订、废止或推广</w:t>
      </w:r>
      <w:r>
        <w:rPr>
          <w:rFonts w:ascii="KaiTi_GB2312" w:eastAsia="KaiTi_GB2312" w:cs="KaiTi_GB2312" w:hint="eastAsia"/>
          <w:color w:val="0000FF"/>
        </w:rPr>
        <w:t>。</w:t>
      </w:r>
    </w:p>
    <w:p w:rsidR="00373976" w:rsidRDefault="00373976" w:rsidP="00373976">
      <w:pPr>
        <w:tabs>
          <w:tab w:val="left" w:pos="525"/>
        </w:tabs>
        <w:autoSpaceDE w:val="0"/>
        <w:autoSpaceDN w:val="0"/>
        <w:spacing w:after="240" w:line="360" w:lineRule="exact"/>
        <w:rPr>
          <w:rFonts w:eastAsia="SimHei"/>
          <w:color w:val="FF0000"/>
          <w:sz w:val="24"/>
          <w:szCs w:val="24"/>
          <w:lang w:val="zh-CN"/>
        </w:rPr>
      </w:pPr>
    </w:p>
    <w:p w:rsidR="00373976" w:rsidRDefault="00373976" w:rsidP="007E3D9B">
      <w:pPr>
        <w:tabs>
          <w:tab w:val="left" w:pos="525"/>
        </w:tabs>
        <w:autoSpaceDE w:val="0"/>
        <w:autoSpaceDN w:val="0"/>
        <w:spacing w:after="180" w:line="360" w:lineRule="exact"/>
        <w:rPr>
          <w:rFonts w:eastAsia="SimHei"/>
          <w:color w:val="FF0000"/>
          <w:sz w:val="24"/>
          <w:szCs w:val="24"/>
          <w:lang w:val="zh-CN"/>
        </w:rPr>
      </w:pPr>
      <w:r>
        <w:rPr>
          <w:rFonts w:eastAsia="SimHei" w:cs="SimHei" w:hint="eastAsia"/>
          <w:color w:val="FF0000"/>
          <w:sz w:val="24"/>
          <w:szCs w:val="24"/>
          <w:lang w:val="zh-CN"/>
        </w:rPr>
        <w:t>劳动力的参与</w:t>
      </w:r>
    </w:p>
    <w:p w:rsidR="00373976" w:rsidRDefault="00373976" w:rsidP="007E3D9B">
      <w:pPr>
        <w:widowControl w:val="0"/>
        <w:numPr>
          <w:ilvl w:val="0"/>
          <w:numId w:val="42"/>
        </w:numPr>
        <w:tabs>
          <w:tab w:val="clear" w:pos="0"/>
          <w:tab w:val="left" w:pos="525"/>
        </w:tabs>
        <w:autoSpaceDE w:val="0"/>
        <w:autoSpaceDN w:val="0"/>
        <w:adjustRightInd w:val="0"/>
        <w:spacing w:after="180" w:line="360" w:lineRule="exact"/>
        <w:ind w:left="0" w:firstLine="0"/>
        <w:jc w:val="both"/>
      </w:pPr>
      <w:r>
        <w:rPr>
          <w:rFonts w:cs="SimSun" w:hint="eastAsia"/>
          <w:lang w:val="zh-CN"/>
        </w:rPr>
        <w:t>妇女的劳动力参与率增加到</w:t>
      </w:r>
      <w:r>
        <w:rPr>
          <w:lang w:val="zh-CN"/>
        </w:rPr>
        <w:t>43.2%</w:t>
      </w:r>
      <w:r>
        <w:rPr>
          <w:rFonts w:cs="SimSun" w:hint="eastAsia"/>
          <w:lang w:val="zh-CN"/>
        </w:rPr>
        <w:t>，自</w:t>
      </w:r>
      <w:r>
        <w:rPr>
          <w:lang w:val="zh-CN"/>
        </w:rPr>
        <w:t>1999</w:t>
      </w:r>
      <w:r>
        <w:rPr>
          <w:rFonts w:cs="SimSun" w:hint="eastAsia"/>
          <w:lang w:val="zh-CN"/>
        </w:rPr>
        <w:t>年以来略有上升。</w:t>
      </w:r>
      <w:r>
        <w:rPr>
          <w:rStyle w:val="FootnoteReference"/>
        </w:rPr>
        <w:footnoteReference w:id="38"/>
      </w:r>
      <w:r>
        <w:rPr>
          <w:rFonts w:cs="SimSun" w:hint="eastAsia"/>
          <w:lang w:val="zh-CN"/>
        </w:rPr>
        <w:t>伯利兹妇女缺乏足够的就业机会。所有行政区的失业率都在双位数，而</w:t>
      </w:r>
      <w:r>
        <w:rPr>
          <w:rFonts w:cs="SimSun" w:hint="eastAsia"/>
        </w:rPr>
        <w:t>托莱多</w:t>
      </w:r>
      <w:r>
        <w:rPr>
          <w:rFonts w:cs="SimSun" w:hint="eastAsia"/>
          <w:lang w:val="zh-CN"/>
        </w:rPr>
        <w:t>区更是有近一半的妇女劳动力失业，</w:t>
      </w:r>
      <w:r>
        <w:rPr>
          <w:rFonts w:cs="SimSun" w:hint="eastAsia"/>
        </w:rPr>
        <w:t>科罗萨尔</w:t>
      </w:r>
      <w:r>
        <w:rPr>
          <w:rFonts w:cs="SimSun" w:hint="eastAsia"/>
          <w:lang w:val="zh-CN"/>
        </w:rPr>
        <w:t>和</w:t>
      </w:r>
      <w:r>
        <w:rPr>
          <w:rFonts w:cs="SimSun" w:hint="eastAsia"/>
        </w:rPr>
        <w:t>奥兰治沃克</w:t>
      </w:r>
      <w:r>
        <w:rPr>
          <w:rFonts w:cs="SimSun" w:hint="eastAsia"/>
          <w:lang w:val="zh-CN"/>
        </w:rPr>
        <w:t>区的失业率达到了近</w:t>
      </w:r>
      <w:r>
        <w:rPr>
          <w:lang w:val="zh-CN"/>
        </w:rPr>
        <w:t>40%</w:t>
      </w:r>
      <w:r>
        <w:rPr>
          <w:rFonts w:cs="SimSun" w:hint="eastAsia"/>
          <w:lang w:val="zh-CN"/>
        </w:rPr>
        <w:t>。</w:t>
      </w:r>
      <w:r>
        <w:rPr>
          <w:rStyle w:val="FootnoteReference"/>
          <w:lang w:val="zh-CN"/>
        </w:rPr>
        <w:footnoteReference w:id="39"/>
      </w:r>
    </w:p>
    <w:p w:rsidR="00373976" w:rsidRDefault="00373976" w:rsidP="007E3D9B">
      <w:pPr>
        <w:widowControl w:val="0"/>
        <w:numPr>
          <w:ilvl w:val="0"/>
          <w:numId w:val="42"/>
        </w:numPr>
        <w:tabs>
          <w:tab w:val="clear" w:pos="0"/>
          <w:tab w:val="left" w:pos="525"/>
        </w:tabs>
        <w:autoSpaceDE w:val="0"/>
        <w:autoSpaceDN w:val="0"/>
        <w:adjustRightInd w:val="0"/>
        <w:spacing w:after="180" w:line="360" w:lineRule="exact"/>
        <w:ind w:left="0" w:firstLine="0"/>
        <w:jc w:val="both"/>
      </w:pPr>
      <w:r>
        <w:rPr>
          <w:rFonts w:cs="SimSun" w:hint="eastAsia"/>
          <w:lang w:val="zh-CN"/>
        </w:rPr>
        <w:t>统计数据显示，雇主可能会对妇女提出更为苛刻的资格要求。虽然有更多的妇女完成了中等或更高的教育，但这并不意味着劳动大军中的妇女能够降低失业率或担任更高的职位。</w:t>
      </w:r>
      <w:r>
        <w:rPr>
          <w:lang w:val="zh-CN"/>
        </w:rPr>
        <w:t>2000</w:t>
      </w:r>
      <w:r>
        <w:rPr>
          <w:rFonts w:cs="SimSun" w:hint="eastAsia"/>
          <w:lang w:val="zh-CN"/>
        </w:rPr>
        <w:t>年劳动力调查的初步数据显示，有四分之一的失业妇女至少具备中等教育程度，而在失业男子中，只有</w:t>
      </w:r>
      <w:r>
        <w:rPr>
          <w:lang w:val="zh-CN"/>
        </w:rPr>
        <w:t>16%</w:t>
      </w:r>
      <w:r>
        <w:rPr>
          <w:rFonts w:cs="SimSun" w:hint="eastAsia"/>
          <w:lang w:val="zh-CN"/>
        </w:rPr>
        <w:t>的人达到这一水平。</w:t>
      </w:r>
    </w:p>
    <w:p w:rsidR="00373976" w:rsidRDefault="00373976" w:rsidP="007E3D9B">
      <w:pPr>
        <w:widowControl w:val="0"/>
        <w:numPr>
          <w:ilvl w:val="0"/>
          <w:numId w:val="42"/>
        </w:numPr>
        <w:tabs>
          <w:tab w:val="clear" w:pos="0"/>
          <w:tab w:val="left" w:pos="525"/>
        </w:tabs>
        <w:autoSpaceDE w:val="0"/>
        <w:autoSpaceDN w:val="0"/>
        <w:adjustRightInd w:val="0"/>
        <w:spacing w:after="180" w:line="360" w:lineRule="exact"/>
        <w:ind w:left="0" w:firstLine="0"/>
        <w:jc w:val="both"/>
      </w:pPr>
      <w:r>
        <w:rPr>
          <w:rFonts w:cs="SimSun" w:hint="eastAsia"/>
          <w:lang w:val="zh-CN"/>
        </w:rPr>
        <w:t>此外，非劳动力妇女中，</w:t>
      </w:r>
      <w:r>
        <w:rPr>
          <w:lang w:val="zh-CN"/>
        </w:rPr>
        <w:t>40.5%</w:t>
      </w:r>
      <w:r>
        <w:rPr>
          <w:rFonts w:cs="SimSun" w:hint="eastAsia"/>
          <w:lang w:val="zh-CN"/>
        </w:rPr>
        <w:t>由家庭成员或监护人供养，</w:t>
      </w:r>
      <w:r>
        <w:rPr>
          <w:lang w:val="zh-CN"/>
        </w:rPr>
        <w:t>53.8%</w:t>
      </w:r>
      <w:r>
        <w:rPr>
          <w:rFonts w:cs="SimSun" w:hint="eastAsia"/>
          <w:lang w:val="zh-CN"/>
        </w:rPr>
        <w:t>由她们的丈夫供养。这说明妇女的经济依赖程度较高。</w:t>
      </w:r>
    </w:p>
    <w:p w:rsidR="00373976" w:rsidRDefault="00373976" w:rsidP="007E3D9B">
      <w:pPr>
        <w:widowControl w:val="0"/>
        <w:numPr>
          <w:ilvl w:val="0"/>
          <w:numId w:val="42"/>
        </w:numPr>
        <w:tabs>
          <w:tab w:val="clear" w:pos="0"/>
          <w:tab w:val="left" w:pos="525"/>
        </w:tabs>
        <w:autoSpaceDE w:val="0"/>
        <w:autoSpaceDN w:val="0"/>
        <w:adjustRightInd w:val="0"/>
        <w:spacing w:after="180" w:line="360" w:lineRule="exact"/>
        <w:ind w:left="0" w:firstLine="0"/>
        <w:jc w:val="both"/>
      </w:pPr>
      <w:r>
        <w:rPr>
          <w:lang w:val="zh-CN"/>
        </w:rPr>
        <w:t>1999</w:t>
      </w:r>
      <w:r>
        <w:rPr>
          <w:rFonts w:cs="SimSun" w:hint="eastAsia"/>
          <w:lang w:val="zh-CN"/>
        </w:rPr>
        <w:t>年伯利兹《国家人类发展报告》指出，男子和妇女的平均月收入分别为</w:t>
      </w:r>
      <w:r>
        <w:t xml:space="preserve"> 804.00 </w:t>
      </w:r>
      <w:r>
        <w:rPr>
          <w:rFonts w:cs="SimSun" w:hint="eastAsia"/>
        </w:rPr>
        <w:t>伯利兹元</w:t>
      </w:r>
      <w:r>
        <w:rPr>
          <w:rFonts w:cs="SimSun" w:hint="eastAsia"/>
          <w:lang w:val="zh-CN"/>
        </w:rPr>
        <w:t>和</w:t>
      </w:r>
      <w:r>
        <w:t xml:space="preserve"> 750.00</w:t>
      </w:r>
      <w:r>
        <w:rPr>
          <w:rFonts w:cs="SimSun" w:hint="eastAsia"/>
        </w:rPr>
        <w:t>伯利兹元。</w:t>
      </w:r>
      <w:r>
        <w:rPr>
          <w:rStyle w:val="FootnoteReference"/>
        </w:rPr>
        <w:footnoteReference w:id="40"/>
      </w:r>
    </w:p>
    <w:p w:rsidR="00373976" w:rsidRDefault="00373976" w:rsidP="007E3D9B">
      <w:pPr>
        <w:widowControl w:val="0"/>
        <w:numPr>
          <w:ilvl w:val="0"/>
          <w:numId w:val="42"/>
        </w:numPr>
        <w:tabs>
          <w:tab w:val="clear" w:pos="0"/>
          <w:tab w:val="left" w:pos="525"/>
        </w:tabs>
        <w:autoSpaceDE w:val="0"/>
        <w:autoSpaceDN w:val="0"/>
        <w:adjustRightInd w:val="0"/>
        <w:spacing w:after="180" w:line="360" w:lineRule="exact"/>
        <w:ind w:left="0" w:firstLine="0"/>
        <w:jc w:val="both"/>
      </w:pPr>
      <w:r>
        <w:rPr>
          <w:rFonts w:cs="SimSun" w:hint="eastAsia"/>
          <w:lang w:val="zh-CN"/>
        </w:rPr>
        <w:t>《关于将性别问题纳入预算过程的顾问报告》发现，公共服务部门中的女性化程度很高。不过，在公共服务部门中，妇女大多担任办事员和低收入的职位：</w:t>
      </w:r>
    </w:p>
    <w:p w:rsidR="00373976" w:rsidRDefault="00373976" w:rsidP="009B38FD">
      <w:pPr>
        <w:tabs>
          <w:tab w:val="left" w:pos="525"/>
        </w:tabs>
        <w:spacing w:after="180" w:line="360" w:lineRule="exact"/>
        <w:ind w:leftChars="250" w:left="31680" w:firstLineChars="200" w:firstLine="31680"/>
        <w:rPr>
          <w:rFonts w:ascii="KaiTi_GB2312" w:eastAsia="KaiTi_GB2312" w:hAnsi="STKaiti"/>
          <w:color w:val="0000FF"/>
        </w:rPr>
      </w:pPr>
      <w:r>
        <w:rPr>
          <w:rFonts w:ascii="KaiTi_GB2312" w:eastAsia="KaiTi_GB2312" w:hAnsi="STKaiti" w:cs="KaiTi_GB2312" w:hint="eastAsia"/>
          <w:color w:val="0000FF"/>
        </w:rPr>
        <w:t>“</w:t>
      </w:r>
      <w:r>
        <w:rPr>
          <w:rFonts w:ascii="KaiTi_GB2312" w:eastAsia="KaiTi_GB2312" w:hAnsi="STKaiti" w:cs="KaiTi_GB2312" w:hint="eastAsia"/>
          <w:color w:val="0000FF"/>
          <w:lang w:val="zh-CN"/>
        </w:rPr>
        <w:t>在</w:t>
      </w:r>
      <w:r>
        <w:rPr>
          <w:rFonts w:ascii="KaiTi_GB2312" w:eastAsia="KaiTi_GB2312" w:hAnsi="STKaiti" w:cs="KaiTi_GB2312"/>
          <w:color w:val="0000FF"/>
          <w:lang w:val="zh-CN"/>
        </w:rPr>
        <w:t>16</w:t>
      </w:r>
      <w:r>
        <w:rPr>
          <w:rFonts w:ascii="KaiTi_GB2312" w:eastAsia="KaiTi_GB2312" w:hAnsi="STKaiti" w:cs="KaiTi_GB2312" w:hint="eastAsia"/>
          <w:color w:val="0000FF"/>
          <w:lang w:val="zh-CN"/>
        </w:rPr>
        <w:t>个部委中，领取诸如薪水、工资、津贴、社会保障、旅行补贴和生活费等个人薪酬的男子人数多于妇女。在公共服务部门的中低级岗位中，为妇女创造了大量从事服务性工作的就业机会。这类工作大多是秘书、职员和办公室助理以及专业性的老师（初级教育）和护理职业。</w:t>
      </w:r>
      <w:r>
        <w:rPr>
          <w:rFonts w:ascii="KaiTi_GB2312" w:eastAsia="KaiTi_GB2312" w:hAnsi="STKaiti" w:cs="KaiTi_GB2312" w:hint="eastAsia"/>
          <w:color w:val="0000FF"/>
        </w:rPr>
        <w:t>”</w:t>
      </w:r>
    </w:p>
    <w:p w:rsidR="00373976" w:rsidRDefault="00373976" w:rsidP="007E3D9B">
      <w:pPr>
        <w:widowControl w:val="0"/>
        <w:numPr>
          <w:ilvl w:val="0"/>
          <w:numId w:val="37"/>
        </w:numPr>
        <w:tabs>
          <w:tab w:val="clear" w:pos="510"/>
          <w:tab w:val="left" w:pos="525"/>
        </w:tabs>
        <w:autoSpaceDE w:val="0"/>
        <w:autoSpaceDN w:val="0"/>
        <w:adjustRightInd w:val="0"/>
        <w:spacing w:after="180" w:line="360" w:lineRule="exact"/>
        <w:ind w:left="0" w:firstLine="0"/>
        <w:jc w:val="both"/>
      </w:pPr>
      <w:r>
        <w:rPr>
          <w:lang w:val="zh-CN"/>
        </w:rPr>
        <w:t>2000</w:t>
      </w:r>
      <w:r>
        <w:rPr>
          <w:rFonts w:cs="SimSun" w:hint="eastAsia"/>
          <w:lang w:val="zh-CN"/>
        </w:rPr>
        <w:t>年劳动力调查的初步数据显示，妇女占办公室职员的</w:t>
      </w:r>
      <w:r>
        <w:rPr>
          <w:lang w:val="zh-CN"/>
        </w:rPr>
        <w:t>70.5%</w:t>
      </w:r>
      <w:r>
        <w:rPr>
          <w:rFonts w:cs="SimSun" w:hint="eastAsia"/>
          <w:lang w:val="zh-CN"/>
        </w:rPr>
        <w:t>、服务人员的</w:t>
      </w:r>
      <w:r>
        <w:rPr>
          <w:lang w:val="zh-CN"/>
        </w:rPr>
        <w:t>52%</w:t>
      </w:r>
      <w:r>
        <w:rPr>
          <w:rFonts w:cs="SimSun" w:hint="eastAsia"/>
          <w:lang w:val="zh-CN"/>
        </w:rPr>
        <w:t>、管理人员的</w:t>
      </w:r>
      <w:r>
        <w:rPr>
          <w:lang w:val="zh-CN"/>
        </w:rPr>
        <w:t>32%</w:t>
      </w:r>
      <w:r>
        <w:rPr>
          <w:rFonts w:cs="SimSun" w:hint="eastAsia"/>
          <w:lang w:val="zh-CN"/>
        </w:rPr>
        <w:t>和手艺人的</w:t>
      </w:r>
      <w:r>
        <w:rPr>
          <w:lang w:val="zh-CN"/>
        </w:rPr>
        <w:t>13%</w:t>
      </w:r>
      <w:r>
        <w:rPr>
          <w:rFonts w:cs="SimSun" w:hint="eastAsia"/>
          <w:lang w:val="zh-CN"/>
        </w:rPr>
        <w:t>。农学家和种植园主中，妇女所占的比例也很低。</w:t>
      </w:r>
      <w:r>
        <w:rPr>
          <w:rStyle w:val="FootnoteReference"/>
          <w:lang w:val="zh-CN"/>
        </w:rPr>
        <w:footnoteReference w:id="41"/>
      </w:r>
    </w:p>
    <w:p w:rsidR="00373976" w:rsidRDefault="00373976" w:rsidP="007E3D9B">
      <w:pPr>
        <w:widowControl w:val="0"/>
        <w:numPr>
          <w:ilvl w:val="0"/>
          <w:numId w:val="37"/>
        </w:numPr>
        <w:tabs>
          <w:tab w:val="clear" w:pos="510"/>
          <w:tab w:val="left" w:pos="525"/>
        </w:tabs>
        <w:autoSpaceDE w:val="0"/>
        <w:autoSpaceDN w:val="0"/>
        <w:adjustRightInd w:val="0"/>
        <w:spacing w:after="180" w:line="360" w:lineRule="exact"/>
        <w:ind w:left="0" w:firstLine="0"/>
        <w:jc w:val="both"/>
      </w:pPr>
      <w:r>
        <w:rPr>
          <w:rFonts w:cs="SimSun" w:hint="eastAsia"/>
          <w:lang w:val="zh-CN"/>
        </w:rPr>
        <w:t>一项旨在帮助妇女克服经济发展障碍的项目确定了影响妇女取得经济成功的四个主要障碍：</w:t>
      </w:r>
      <w:r>
        <w:rPr>
          <w:rStyle w:val="FootnoteReference"/>
        </w:rPr>
        <w:footnoteReference w:id="42"/>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除传统职业和商业机会之外，缺乏其他选择机会；</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缺乏组织发展和领导技能；</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在处理涉及个人发展和人与人之间的关系问题上存在困难；</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在制定微型企业的有效市场战略方面存在问题。</w:t>
      </w:r>
    </w:p>
    <w:p w:rsidR="00373976" w:rsidRDefault="00373976" w:rsidP="007E3D9B">
      <w:pPr>
        <w:tabs>
          <w:tab w:val="left" w:pos="525"/>
        </w:tabs>
        <w:autoSpaceDE w:val="0"/>
        <w:autoSpaceDN w:val="0"/>
        <w:spacing w:after="180" w:line="360" w:lineRule="exact"/>
        <w:rPr>
          <w:rFonts w:eastAsia="SimHei"/>
          <w:color w:val="FF0000"/>
          <w:sz w:val="24"/>
          <w:szCs w:val="24"/>
          <w:lang w:val="zh-CN"/>
        </w:rPr>
      </w:pPr>
      <w:r>
        <w:rPr>
          <w:rFonts w:eastAsia="SimHei" w:cs="SimHei" w:hint="eastAsia"/>
          <w:color w:val="FF0000"/>
          <w:sz w:val="24"/>
          <w:szCs w:val="24"/>
          <w:lang w:val="zh-CN"/>
        </w:rPr>
        <w:t>非传统的培训方案</w:t>
      </w:r>
    </w:p>
    <w:p w:rsidR="00373976" w:rsidRDefault="00373976" w:rsidP="007E3D9B">
      <w:pPr>
        <w:widowControl w:val="0"/>
        <w:numPr>
          <w:ilvl w:val="2"/>
          <w:numId w:val="36"/>
        </w:numPr>
        <w:tabs>
          <w:tab w:val="clear" w:pos="397"/>
          <w:tab w:val="left" w:pos="525"/>
        </w:tabs>
        <w:autoSpaceDE w:val="0"/>
        <w:autoSpaceDN w:val="0"/>
        <w:adjustRightInd w:val="0"/>
        <w:spacing w:after="180" w:line="360" w:lineRule="exact"/>
        <w:ind w:left="0" w:firstLine="0"/>
        <w:jc w:val="both"/>
      </w:pPr>
      <w:r>
        <w:rPr>
          <w:lang w:val="zh-CN"/>
        </w:rPr>
        <w:t>1998</w:t>
      </w:r>
      <w:r>
        <w:rPr>
          <w:rFonts w:cs="SimSun" w:hint="eastAsia"/>
          <w:lang w:val="zh-CN"/>
        </w:rPr>
        <w:t>至</w:t>
      </w:r>
      <w:r>
        <w:rPr>
          <w:lang w:val="zh-CN"/>
        </w:rPr>
        <w:t>2002</w:t>
      </w:r>
      <w:r>
        <w:rPr>
          <w:rFonts w:cs="SimSun" w:hint="eastAsia"/>
          <w:lang w:val="zh-CN"/>
        </w:rPr>
        <w:t>年间，就业培训中心（</w:t>
      </w:r>
      <w:r>
        <w:rPr>
          <w:lang w:val="zh-CN"/>
        </w:rPr>
        <w:t>CET</w:t>
      </w:r>
      <w:r>
        <w:rPr>
          <w:rFonts w:cs="SimSun" w:hint="eastAsia"/>
          <w:lang w:val="zh-CN"/>
        </w:rPr>
        <w:t>）实施了一个项目，对妇女进行非传统职业的培训。该项目由美洲开发银行和教育部共同资助，其目标群体是收入低而且受教育程度有限、没有就业技能的妇女。培训内容包括建筑、汽车维护、橱柜</w:t>
      </w:r>
      <w:r>
        <w:rPr>
          <w:lang w:val="zh-CN"/>
        </w:rPr>
        <w:t>/</w:t>
      </w:r>
      <w:r>
        <w:rPr>
          <w:rFonts w:cs="SimSun" w:hint="eastAsia"/>
          <w:lang w:val="zh-CN"/>
        </w:rPr>
        <w:t>家具制作、计算机修理和产业技能。</w:t>
      </w:r>
    </w:p>
    <w:p w:rsidR="00373976" w:rsidRDefault="00373976" w:rsidP="007E3D9B">
      <w:pPr>
        <w:widowControl w:val="0"/>
        <w:numPr>
          <w:ilvl w:val="2"/>
          <w:numId w:val="36"/>
        </w:numPr>
        <w:tabs>
          <w:tab w:val="clear" w:pos="397"/>
          <w:tab w:val="left" w:pos="525"/>
        </w:tabs>
        <w:autoSpaceDE w:val="0"/>
        <w:autoSpaceDN w:val="0"/>
        <w:adjustRightInd w:val="0"/>
        <w:spacing w:after="180" w:line="360" w:lineRule="exact"/>
        <w:ind w:left="0" w:firstLine="0"/>
        <w:jc w:val="both"/>
      </w:pPr>
      <w:r>
        <w:rPr>
          <w:rFonts w:cs="SimSun" w:hint="eastAsia"/>
        </w:rPr>
        <w:t>尽管做出了对妇女进行非传统领域培训（如上所述）的努力，但这种培训并没有转化为就业问题上的公正和平等。比如，虽然私营部门承诺雇用美洲开发银行所资助的方案的毕业生，但很多部门都没有实现它们的诺言。实施培训方案后，雇用率仍然很低，只有</w:t>
      </w:r>
      <w:r>
        <w:t>6%</w:t>
      </w:r>
      <w:r>
        <w:rPr>
          <w:rFonts w:cs="SimSun" w:hint="eastAsia"/>
        </w:rPr>
        <w:t>，总体就业率为</w:t>
      </w:r>
      <w:r>
        <w:t>23%</w:t>
      </w:r>
      <w:r>
        <w:rPr>
          <w:rFonts w:cs="SimSun" w:hint="eastAsia"/>
        </w:rPr>
        <w:t>。</w:t>
      </w:r>
      <w:r>
        <w:rPr>
          <w:rStyle w:val="FootnoteReference"/>
        </w:rPr>
        <w:footnoteReference w:id="43"/>
      </w:r>
    </w:p>
    <w:p w:rsidR="00373976" w:rsidRDefault="00373976" w:rsidP="007E3D9B">
      <w:pPr>
        <w:widowControl w:val="0"/>
        <w:numPr>
          <w:ilvl w:val="2"/>
          <w:numId w:val="36"/>
        </w:numPr>
        <w:tabs>
          <w:tab w:val="clear" w:pos="397"/>
          <w:tab w:val="left" w:pos="525"/>
        </w:tabs>
        <w:autoSpaceDE w:val="0"/>
        <w:autoSpaceDN w:val="0"/>
        <w:adjustRightInd w:val="0"/>
        <w:spacing w:after="180" w:line="360" w:lineRule="exact"/>
        <w:ind w:left="0" w:firstLine="0"/>
        <w:jc w:val="both"/>
      </w:pPr>
      <w:r>
        <w:rPr>
          <w:rFonts w:cs="SimSun" w:hint="eastAsia"/>
        </w:rPr>
        <w:t>在该方案的执行过程中，影响妇女参与方案的障碍包括：目标群体自信心差、缺少动机、文化信仰和陈规戒律、认为培训对她们生活品质的改变不起任何作用，以及缺乏丈夫的支持，尽管最后一个问题比预期的要小。</w:t>
      </w:r>
      <w:r>
        <w:rPr>
          <w:rStyle w:val="FootnoteReference"/>
        </w:rPr>
        <w:footnoteReference w:id="44"/>
      </w:r>
      <w:r>
        <w:rPr>
          <w:rFonts w:cs="SimSun" w:hint="eastAsia"/>
        </w:rPr>
        <w:t>《劳动法》还提到了另一个障碍，该障碍限制了妇女参与以学徒和职业培训为目的的夜间活动。</w:t>
      </w:r>
    </w:p>
    <w:p w:rsidR="00373976" w:rsidRDefault="00373976" w:rsidP="007E3D9B">
      <w:pPr>
        <w:widowControl w:val="0"/>
        <w:numPr>
          <w:ilvl w:val="2"/>
          <w:numId w:val="36"/>
        </w:numPr>
        <w:tabs>
          <w:tab w:val="clear" w:pos="397"/>
          <w:tab w:val="left" w:pos="525"/>
        </w:tabs>
        <w:autoSpaceDE w:val="0"/>
        <w:autoSpaceDN w:val="0"/>
        <w:adjustRightInd w:val="0"/>
        <w:spacing w:after="180" w:line="360" w:lineRule="exact"/>
        <w:ind w:left="0" w:firstLine="0"/>
        <w:jc w:val="both"/>
      </w:pPr>
      <w:r>
        <w:rPr>
          <w:rFonts w:cs="SimSun" w:hint="eastAsia"/>
        </w:rPr>
        <w:t>此外，《国家性别政策》报告说，在非传统培训方案中，由于传统的性别角色、缺乏支助服务（如儿童保育），以及学习上的财务支出等因素，结果造成男生多于女生。</w:t>
      </w:r>
    </w:p>
    <w:p w:rsidR="00373976" w:rsidRDefault="00373976" w:rsidP="007E3D9B">
      <w:pPr>
        <w:widowControl w:val="0"/>
        <w:numPr>
          <w:ilvl w:val="2"/>
          <w:numId w:val="36"/>
        </w:numPr>
        <w:tabs>
          <w:tab w:val="clear" w:pos="397"/>
          <w:tab w:val="left" w:pos="525"/>
        </w:tabs>
        <w:autoSpaceDE w:val="0"/>
        <w:autoSpaceDN w:val="0"/>
        <w:adjustRightInd w:val="0"/>
        <w:spacing w:after="180" w:line="360" w:lineRule="exact"/>
        <w:ind w:left="0" w:firstLine="0"/>
        <w:jc w:val="both"/>
      </w:pPr>
      <w:r>
        <w:rPr>
          <w:rFonts w:cs="SimSun" w:hint="eastAsia"/>
        </w:rPr>
        <w:t>人民统一党</w:t>
      </w:r>
      <w:r>
        <w:t>2003-2008</w:t>
      </w:r>
      <w:r>
        <w:rPr>
          <w:rFonts w:cs="SimSun" w:hint="eastAsia"/>
        </w:rPr>
        <w:t>年妇女议程指出，该党将通过下列行动培养女企业家：</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提供技术支持以保证微型和小型企业的发展与成长；</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通过就业培训中心和其他教育机构，在计算机技术和企业管理方面继续提供非传统的和技术性的培训；</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在全国范围内组织更多的职业培训。</w:t>
      </w:r>
      <w:r>
        <w:rPr>
          <w:vertAlign w:val="superscript"/>
        </w:rPr>
        <w:footnoteReference w:id="45"/>
      </w:r>
    </w:p>
    <w:p w:rsidR="00373976" w:rsidRDefault="00373976" w:rsidP="007E3D9B">
      <w:pPr>
        <w:numPr>
          <w:ilvl w:val="1"/>
          <w:numId w:val="23"/>
        </w:numPr>
        <w:tabs>
          <w:tab w:val="clear" w:pos="397"/>
          <w:tab w:val="left" w:pos="525"/>
        </w:tabs>
        <w:spacing w:after="180" w:line="360" w:lineRule="exact"/>
        <w:ind w:left="0" w:firstLine="0"/>
        <w:jc w:val="both"/>
      </w:pPr>
      <w:r>
        <w:rPr>
          <w:rFonts w:cs="SimSun" w:hint="eastAsia"/>
        </w:rPr>
        <w:t>《国家性别政策》也声明：</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将确定各种不同因素（如地域、儿童保育服务、管理或招聘惯例等）妨碍在非传统教学中改善两性公平的程度，以便使伯利兹政府能够制定克服这些障碍的战略和资源安排。</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将重新审查《劳动法》中关于以学徒和职业培训为目的安排男子从事夜间职业的规定（</w:t>
      </w:r>
      <w:r>
        <w:rPr>
          <w:rFonts w:ascii="KaiTi_GB2312" w:eastAsia="KaiTi_GB2312" w:cs="KaiTi_GB2312"/>
          <w:color w:val="0000FF"/>
        </w:rPr>
        <w:t>S162, 2</w:t>
      </w:r>
      <w:r>
        <w:rPr>
          <w:rFonts w:ascii="KaiTi_GB2312" w:eastAsia="KaiTi_GB2312" w:cs="KaiTi_GB2312" w:hint="eastAsia"/>
          <w:color w:val="0000FF"/>
        </w:rPr>
        <w:t>），以确定该规定是否歧视妇女和是否有碍妇女参加非传统培训。</w:t>
      </w:r>
    </w:p>
    <w:p w:rsidR="00373976" w:rsidRDefault="00373976" w:rsidP="008529D2">
      <w:pPr>
        <w:tabs>
          <w:tab w:val="left" w:pos="525"/>
        </w:tabs>
        <w:autoSpaceDE w:val="0"/>
        <w:autoSpaceDN w:val="0"/>
        <w:spacing w:after="180" w:line="360" w:lineRule="exact"/>
        <w:rPr>
          <w:rFonts w:eastAsia="SimHei"/>
          <w:color w:val="FF0000"/>
          <w:sz w:val="24"/>
          <w:szCs w:val="24"/>
          <w:lang w:val="zh-CN"/>
        </w:rPr>
      </w:pPr>
      <w:r>
        <w:rPr>
          <w:rFonts w:eastAsia="SimHei" w:cs="SimHei" w:hint="eastAsia"/>
          <w:color w:val="FF0000"/>
          <w:sz w:val="24"/>
          <w:szCs w:val="24"/>
          <w:lang w:val="zh-CN"/>
        </w:rPr>
        <w:t>最低工资</w:t>
      </w:r>
    </w:p>
    <w:p w:rsidR="00373976" w:rsidRDefault="00373976" w:rsidP="008529D2">
      <w:pPr>
        <w:numPr>
          <w:ilvl w:val="0"/>
          <w:numId w:val="38"/>
        </w:numPr>
        <w:tabs>
          <w:tab w:val="clear" w:pos="517"/>
          <w:tab w:val="left" w:pos="525"/>
        </w:tabs>
        <w:spacing w:after="180" w:line="360" w:lineRule="exact"/>
        <w:ind w:left="0" w:firstLine="0"/>
        <w:jc w:val="both"/>
      </w:pPr>
      <w:r>
        <w:rPr>
          <w:rFonts w:cs="SimSun" w:hint="eastAsia"/>
        </w:rPr>
        <w:t>按照消除对妇女歧视委员会针对伯利兹的初次和第二次报告所提的建议，伯利兹已经通过立法，设立了同等条件下的最低工资，从而消除了男女工作最低工资的不平等。不过，在男子占优势的工作中，工资仍比妇女占优势的工作要高。</w:t>
      </w:r>
    </w:p>
    <w:p w:rsidR="00373976" w:rsidRDefault="00373976" w:rsidP="008529D2">
      <w:pPr>
        <w:numPr>
          <w:ilvl w:val="0"/>
          <w:numId w:val="38"/>
        </w:numPr>
        <w:tabs>
          <w:tab w:val="clear" w:pos="517"/>
          <w:tab w:val="left" w:pos="525"/>
        </w:tabs>
        <w:spacing w:after="180" w:line="360" w:lineRule="exact"/>
        <w:ind w:left="0" w:firstLine="0"/>
        <w:jc w:val="both"/>
      </w:pPr>
      <w:r>
        <w:rPr>
          <w:rFonts w:cs="SimSun" w:hint="eastAsia"/>
        </w:rPr>
        <w:t>虽然有劳动部作为一个监督机构来保证执行最低工资要求，但由于人力和财力有限，妨碍了它充分完成这一任务，特别是在妇女占弱势的行业。其中包括大规模的农业生产行业以及制造业。</w:t>
      </w:r>
    </w:p>
    <w:p w:rsidR="00373976" w:rsidRDefault="00373976" w:rsidP="008529D2">
      <w:pPr>
        <w:tabs>
          <w:tab w:val="left" w:pos="525"/>
        </w:tabs>
        <w:autoSpaceDE w:val="0"/>
        <w:autoSpaceDN w:val="0"/>
        <w:spacing w:after="180" w:line="360" w:lineRule="exact"/>
        <w:rPr>
          <w:rFonts w:eastAsia="SimHei"/>
          <w:color w:val="FF0000"/>
          <w:sz w:val="24"/>
          <w:szCs w:val="24"/>
          <w:lang w:val="zh-CN"/>
        </w:rPr>
      </w:pPr>
      <w:r>
        <w:rPr>
          <w:rFonts w:eastAsia="SimHei" w:cs="SimHei" w:hint="eastAsia"/>
          <w:color w:val="FF0000"/>
          <w:sz w:val="24"/>
          <w:szCs w:val="24"/>
          <w:lang w:val="zh-CN"/>
        </w:rPr>
        <w:t>产妇保护</w:t>
      </w:r>
    </w:p>
    <w:p w:rsidR="00373976" w:rsidRDefault="00373976" w:rsidP="008529D2">
      <w:pPr>
        <w:numPr>
          <w:ilvl w:val="0"/>
          <w:numId w:val="39"/>
        </w:numPr>
        <w:tabs>
          <w:tab w:val="clear" w:pos="397"/>
          <w:tab w:val="left" w:pos="525"/>
        </w:tabs>
        <w:spacing w:after="180" w:line="360" w:lineRule="exact"/>
        <w:ind w:left="0" w:firstLine="0"/>
        <w:jc w:val="both"/>
      </w:pPr>
      <w:r>
        <w:rPr>
          <w:rFonts w:cs="SimSun" w:hint="eastAsia"/>
        </w:rPr>
        <w:t>产假是法定假日。法律要求，妇女须休</w:t>
      </w:r>
      <w:r>
        <w:t>12</w:t>
      </w:r>
      <w:r>
        <w:rPr>
          <w:rFonts w:cs="SimSun" w:hint="eastAsia"/>
        </w:rPr>
        <w:t>周的产假，其中至少有</w:t>
      </w:r>
      <w:r>
        <w:t>6</w:t>
      </w:r>
      <w:r>
        <w:rPr>
          <w:rFonts w:cs="SimSun" w:hint="eastAsia"/>
        </w:rPr>
        <w:t>周须在分娩以后休。</w:t>
      </w:r>
    </w:p>
    <w:p w:rsidR="00373976" w:rsidRDefault="00373976" w:rsidP="008529D2">
      <w:pPr>
        <w:numPr>
          <w:ilvl w:val="0"/>
          <w:numId w:val="39"/>
        </w:numPr>
        <w:tabs>
          <w:tab w:val="clear" w:pos="397"/>
          <w:tab w:val="left" w:pos="525"/>
        </w:tabs>
        <w:spacing w:after="180" w:line="360" w:lineRule="exact"/>
        <w:ind w:left="0" w:firstLine="0"/>
        <w:jc w:val="both"/>
      </w:pPr>
      <w:r>
        <w:rPr>
          <w:rFonts w:cs="SimSun" w:hint="eastAsia"/>
        </w:rPr>
        <w:t>不过，尽管法律要求雇主允许妇女休产假，但他们并没有法律义务发放这期间的工资。产假期间惟一合法的财政来源是社会保障部。在大多数情况下，妇女（通过社会保障）可得到的资金大大少于正常的工资。由于这一原因，大部分的妇女都选择在她们应该休产假的期间继续工作。</w:t>
      </w:r>
    </w:p>
    <w:p w:rsidR="00373976" w:rsidRDefault="00373976" w:rsidP="008529D2">
      <w:pPr>
        <w:numPr>
          <w:ilvl w:val="0"/>
          <w:numId w:val="39"/>
        </w:numPr>
        <w:tabs>
          <w:tab w:val="clear" w:pos="397"/>
          <w:tab w:val="left" w:pos="525"/>
        </w:tabs>
        <w:spacing w:after="180" w:line="360" w:lineRule="exact"/>
        <w:ind w:left="0" w:firstLine="0"/>
        <w:jc w:val="both"/>
      </w:pPr>
      <w:r>
        <w:rPr>
          <w:rFonts w:cs="SimSun" w:hint="eastAsia"/>
        </w:rPr>
        <w:t>有资格获得社会保障部补贴的只是那些在怀孕前至少已工作一年的妇女，不管她在此之前向社会保障基金缴纳了多少款项。</w:t>
      </w:r>
    </w:p>
    <w:p w:rsidR="00373976" w:rsidRDefault="00373976" w:rsidP="008529D2">
      <w:pPr>
        <w:numPr>
          <w:ilvl w:val="0"/>
          <w:numId w:val="39"/>
        </w:numPr>
        <w:tabs>
          <w:tab w:val="clear" w:pos="397"/>
          <w:tab w:val="left" w:pos="525"/>
        </w:tabs>
        <w:spacing w:after="180" w:line="360" w:lineRule="exact"/>
        <w:ind w:left="0" w:firstLine="0"/>
        <w:jc w:val="both"/>
      </w:pPr>
      <w:r>
        <w:rPr>
          <w:rFonts w:cs="SimSun" w:hint="eastAsia"/>
        </w:rPr>
        <w:t>对那些有资格领取产假现金补贴的妇女，现已增加了缴款数额，同时也提高了现金补贴数额。</w:t>
      </w:r>
    </w:p>
    <w:p w:rsidR="00373976" w:rsidRDefault="00373976" w:rsidP="008529D2">
      <w:pPr>
        <w:tabs>
          <w:tab w:val="left" w:pos="525"/>
        </w:tabs>
        <w:autoSpaceDE w:val="0"/>
        <w:autoSpaceDN w:val="0"/>
        <w:spacing w:after="180" w:line="360" w:lineRule="exact"/>
        <w:rPr>
          <w:rFonts w:eastAsia="SimHei"/>
          <w:color w:val="FF0000"/>
          <w:sz w:val="24"/>
          <w:szCs w:val="24"/>
          <w:lang w:val="zh-CN"/>
        </w:rPr>
      </w:pPr>
      <w:r>
        <w:rPr>
          <w:rFonts w:eastAsia="SimHei" w:cs="SimHei" w:hint="eastAsia"/>
          <w:color w:val="FF0000"/>
          <w:sz w:val="24"/>
          <w:szCs w:val="24"/>
          <w:lang w:val="zh-CN"/>
        </w:rPr>
        <w:t>雇主的歧视性做法</w:t>
      </w:r>
    </w:p>
    <w:p w:rsidR="00373976" w:rsidRDefault="00373976" w:rsidP="008529D2">
      <w:pPr>
        <w:widowControl w:val="0"/>
        <w:numPr>
          <w:ilvl w:val="0"/>
          <w:numId w:val="39"/>
        </w:numPr>
        <w:tabs>
          <w:tab w:val="clear" w:pos="397"/>
          <w:tab w:val="left" w:pos="525"/>
        </w:tabs>
        <w:autoSpaceDE w:val="0"/>
        <w:autoSpaceDN w:val="0"/>
        <w:adjustRightInd w:val="0"/>
        <w:spacing w:after="180" w:line="360" w:lineRule="exact"/>
        <w:ind w:left="0" w:firstLine="0"/>
        <w:jc w:val="both"/>
      </w:pPr>
      <w:r>
        <w:rPr>
          <w:rFonts w:cs="SimSun" w:hint="eastAsia"/>
        </w:rPr>
        <w:t>《关于伯利兹性别和发展的形势分析》发现，被一些机构，特别是小型企业雇用的妇女，很有可能因为怀孕而被迫在得不到工资的情况下离开，或升迁受到影响，甚至被解雇。这样的组织希望“保护”自身不会因雇用孕妇而增加成本，因此一旦她显现出怀孕，甚至更早，在了解到她怀孕时，就立即将她解雇。其他更知名的机构，包括政府在内，也不支付由于怀孕并发症而休假的假期工资，不过，它们会准许孕妇休法定产假。</w:t>
      </w:r>
      <w:r>
        <w:rPr>
          <w:rStyle w:val="FootnoteReference"/>
        </w:rPr>
        <w:footnoteReference w:id="46"/>
      </w:r>
    </w:p>
    <w:p w:rsidR="00373976" w:rsidRDefault="00373976" w:rsidP="008529D2">
      <w:pPr>
        <w:widowControl w:val="0"/>
        <w:numPr>
          <w:ilvl w:val="0"/>
          <w:numId w:val="39"/>
        </w:numPr>
        <w:tabs>
          <w:tab w:val="clear" w:pos="397"/>
          <w:tab w:val="left" w:pos="525"/>
        </w:tabs>
        <w:autoSpaceDE w:val="0"/>
        <w:autoSpaceDN w:val="0"/>
        <w:adjustRightInd w:val="0"/>
        <w:spacing w:after="180" w:line="360" w:lineRule="exact"/>
        <w:ind w:left="0" w:firstLine="0"/>
        <w:jc w:val="both"/>
      </w:pPr>
      <w:r>
        <w:rPr>
          <w:rFonts w:cs="SimSun" w:hint="eastAsia"/>
        </w:rPr>
        <w:t>教育系统仍存在对怀孕妇女的严重歧视。一项对教育系统歧视性行为和做法的调查发现，所采用的政策取决于教师是小学教师还是中学教师。下列文字描述了针对小学教师采取的非官方政策：</w:t>
      </w:r>
      <w:r>
        <w:rPr>
          <w:rStyle w:val="FootnoteReference"/>
        </w:rPr>
        <w:footnoteReference w:id="47"/>
      </w:r>
    </w:p>
    <w:p w:rsidR="00373976" w:rsidRDefault="00373976" w:rsidP="009B38FD">
      <w:pPr>
        <w:tabs>
          <w:tab w:val="left" w:pos="525"/>
        </w:tabs>
        <w:spacing w:after="240" w:line="360" w:lineRule="exact"/>
        <w:ind w:leftChars="250" w:left="31680" w:firstLineChars="200" w:firstLine="31680"/>
        <w:rPr>
          <w:rFonts w:ascii="KaiTi_GB2312" w:eastAsia="KaiTi_GB2312" w:hAnsi="STKaiti"/>
          <w:color w:val="0000FF"/>
        </w:rPr>
      </w:pPr>
      <w:r>
        <w:rPr>
          <w:rFonts w:ascii="KaiTi_GB2312" w:eastAsia="KaiTi_GB2312" w:hAnsi="STKaiti" w:cs="KaiTi_GB2312" w:hint="eastAsia"/>
          <w:color w:val="0000FF"/>
        </w:rPr>
        <w:t>“除了英国圣公教派管理的学校，其他学校的非官方政策对未婚教师怀孕的处理是不宽容的。未婚教师怀孕后将被施以“纪律处罚”，包括：</w:t>
      </w:r>
      <w:r>
        <w:rPr>
          <w:rFonts w:ascii="KaiTi_GB2312" w:eastAsia="KaiTi_GB2312" w:hAnsi="STKaiti" w:cs="KaiTi_GB2312"/>
          <w:color w:val="0000FF"/>
        </w:rPr>
        <w:t>(1)</w:t>
      </w:r>
      <w:r>
        <w:rPr>
          <w:rFonts w:ascii="KaiTi_GB2312" w:eastAsia="KaiTi_GB2312" w:hAnsi="STKaiti" w:cs="KaiTi_GB2312" w:hint="eastAsia"/>
          <w:color w:val="0000FF"/>
        </w:rPr>
        <w:t>停止该教师的工作；</w:t>
      </w:r>
      <w:r>
        <w:rPr>
          <w:rFonts w:ascii="KaiTi_GB2312" w:eastAsia="KaiTi_GB2312" w:hAnsi="STKaiti" w:cs="KaiTi_GB2312"/>
          <w:color w:val="0000FF"/>
        </w:rPr>
        <w:t xml:space="preserve">(2) </w:t>
      </w:r>
      <w:r>
        <w:rPr>
          <w:rFonts w:ascii="KaiTi_GB2312" w:eastAsia="KaiTi_GB2312" w:hAnsi="STKaiti" w:cs="KaiTi_GB2312" w:hint="eastAsia"/>
          <w:color w:val="0000FF"/>
        </w:rPr>
        <w:t>休假三到六个月，不付工资。在进行“纪律处罚”之前，学校会劝告教师结婚。如果不结婚，管理部门将采取第二种方案。大部分教师在怀孕显现前被要求离开学校，并被告知生育后再返回课堂。不过，大多数受到“纪律处罚”的教师发现，离校后再返回她们的工作岗位非常困难。管理部门声称，如果男教师在结婚之前成为一个孩子的父亲，也将面临类似的处罚。目前还没有发现这样的案例。”</w:t>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pPr>
      <w:r>
        <w:rPr>
          <w:rFonts w:cs="SimSun" w:hint="eastAsia"/>
        </w:rPr>
        <w:t>影响中学教师的政策因学校而不同。有些高中容忍单身母亲，但她们受到结婚的压力，如不结婚将不允许再次怀孕。新教会主持管理的学校保持着零宽容的歧视政策，未婚先孕的教师将立即被解聘。</w:t>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rPr>
          <w:i/>
          <w:iCs/>
          <w:color w:val="000000"/>
        </w:rPr>
      </w:pPr>
      <w:r>
        <w:rPr>
          <w:rFonts w:cs="SimSun" w:hint="eastAsia"/>
        </w:rPr>
        <w:t>一些在这种情况下遭解雇的教师转向全国教师联合会寻求帮助，但该组织很难深入全面地解决这一问题。不过，全国教师联合会近期已配合全国妇女委员会向一名未婚教师提供帮助，该教师决定对因其怀孕而解雇她的雇主（天主教学校管理人员）提起法律诉讼。</w:t>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rPr>
          <w:i/>
          <w:iCs/>
          <w:color w:val="000000"/>
        </w:rPr>
      </w:pPr>
      <w:r>
        <w:rPr>
          <w:rFonts w:cs="SimSun" w:hint="eastAsia"/>
          <w:color w:val="000000"/>
        </w:rPr>
        <w:t>关于解雇未婚先孕教师的问题，《国家性别政策》承诺，政府</w:t>
      </w:r>
      <w:r>
        <w:rPr>
          <w:rFonts w:cs="SimSun" w:hint="eastAsia"/>
        </w:rPr>
        <w:t>将</w:t>
      </w:r>
      <w:r>
        <w:rPr>
          <w:rFonts w:cs="SimSun" w:hint="eastAsia"/>
          <w:color w:val="000000"/>
        </w:rPr>
        <w:t>保证：</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“教育主管官员在全国教育系统制定和公布聘用教师的条件和条款，其中应规定出怀孕（无论婚姻状况如何）将不会自动导致暂停、终止聘用或纪律处罚，并保证尊重法定的产假权利；</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《教育条例》对于道德恶劣的纪律处罚规定（</w:t>
      </w:r>
      <w:r>
        <w:rPr>
          <w:rFonts w:ascii="KaiTi_GB2312" w:eastAsia="KaiTi_GB2312" w:cs="KaiTi_GB2312"/>
          <w:color w:val="0000FF"/>
        </w:rPr>
        <w:t xml:space="preserve">ss.92. 1g </w:t>
      </w:r>
      <w:r>
        <w:rPr>
          <w:rFonts w:ascii="KaiTi_GB2312" w:eastAsia="KaiTi_GB2312" w:cs="KaiTi_GB2312" w:hint="eastAsia"/>
          <w:color w:val="0000FF"/>
        </w:rPr>
        <w:t>和</w:t>
      </w:r>
      <w:r>
        <w:rPr>
          <w:rFonts w:ascii="KaiTi_GB2312" w:eastAsia="KaiTi_GB2312" w:cs="KaiTi_GB2312"/>
          <w:color w:val="0000FF"/>
        </w:rPr>
        <w:t xml:space="preserve"> 139 f</w:t>
      </w:r>
      <w:r>
        <w:rPr>
          <w:rFonts w:ascii="KaiTi_GB2312" w:eastAsia="KaiTi_GB2312" w:cs="KaiTi_GB2312" w:hint="eastAsia"/>
          <w:color w:val="0000FF"/>
        </w:rPr>
        <w:t>）需要澄清，它们看来只是对女教职员工的个人行为进行主观处罚，并且只反映了学校当局的道德评判标准，而不是教师的就业权利；</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关于每三年一次的学校检查，《教育条例》</w:t>
      </w:r>
      <w:r>
        <w:rPr>
          <w:rFonts w:ascii="KaiTi_GB2312" w:eastAsia="KaiTi_GB2312" w:cs="KaiTi_GB2312"/>
          <w:color w:val="0000FF"/>
        </w:rPr>
        <w:t>S51</w:t>
      </w:r>
      <w:r>
        <w:rPr>
          <w:rFonts w:ascii="KaiTi_GB2312" w:eastAsia="KaiTi_GB2312" w:cs="KaiTi_GB2312" w:hint="eastAsia"/>
          <w:color w:val="0000FF"/>
        </w:rPr>
        <w:t>应规定，应在检查报告中具体说明学校对教职工和学生怀孕的处理方法，并对学校报告中涉及的性别问题进行年度汇总（第</w:t>
      </w:r>
      <w:r>
        <w:rPr>
          <w:rFonts w:ascii="KaiTi_GB2312" w:eastAsia="KaiTi_GB2312" w:cs="KaiTi_GB2312"/>
          <w:color w:val="0000FF"/>
        </w:rPr>
        <w:t>g</w:t>
      </w:r>
      <w:r>
        <w:rPr>
          <w:rFonts w:ascii="KaiTi_GB2312" w:eastAsia="KaiTi_GB2312" w:cs="KaiTi_GB2312" w:hint="eastAsia"/>
          <w:color w:val="0000FF"/>
        </w:rPr>
        <w:t>分段），送往妇女事务部供其参考。</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如果学校当局在一名教师怀孕或随后的生育期间对她进行处罚，而她希望继续执教，政府将对该学校征收相当于她一整年的工资款项，作为政府对这名教师的投资和进行额外教师培训再投资的经济补偿；</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s="KaiTi_GB2312"/>
          <w:color w:val="0000FF"/>
        </w:rPr>
      </w:pPr>
      <w:r>
        <w:rPr>
          <w:rFonts w:ascii="KaiTi_GB2312" w:eastAsia="KaiTi_GB2312" w:cs="KaiTi_GB2312" w:hint="eastAsia"/>
          <w:color w:val="0000FF"/>
        </w:rPr>
        <w:t>如果一名因怀孕而受到学校当局处罚的教师决定要求司法审查，政府应向其支付法律诉讼费用的</w:t>
      </w:r>
      <w:r>
        <w:rPr>
          <w:rFonts w:ascii="KaiTi_GB2312" w:eastAsia="KaiTi_GB2312" w:cs="KaiTi_GB2312"/>
          <w:color w:val="0000FF"/>
        </w:rPr>
        <w:t>50%</w:t>
      </w:r>
      <w:r>
        <w:rPr>
          <w:rFonts w:ascii="KaiTi_GB2312" w:eastAsia="KaiTi_GB2312" w:cs="KaiTi_GB2312" w:hint="eastAsia"/>
          <w:color w:val="0000FF"/>
        </w:rPr>
        <w:t>，以确立一个适用于整个教育部门的判例”。</w:t>
      </w:r>
      <w:r>
        <w:rPr>
          <w:rFonts w:ascii="KaiTi_GB2312" w:eastAsia="KaiTi_GB2312" w:cs="KaiTi_GB2312"/>
          <w:color w:val="0000FF"/>
        </w:rPr>
        <w:t xml:space="preserve"> </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《国家性别政策》承认妇女在其他就业领域仍然因怀孕而受到歧视，该政策也声明：</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伯利兹政府将支持妇女团体更明确地告知妇女她们的劳动权利，特别是她们在怀孕时享有的权利，以及她们对歧视和不公正待遇进行正式投诉的权利；</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olor w:val="0000FF"/>
        </w:rPr>
        <w:t>“</w:t>
      </w:r>
      <w:r>
        <w:rPr>
          <w:rFonts w:ascii="KaiTi_GB2312" w:eastAsia="KaiTi_GB2312" w:cs="KaiTi_GB2312" w:hint="eastAsia"/>
          <w:color w:val="0000FF"/>
        </w:rPr>
        <w:t>劳动部将严格追查关于妇女因怀孕而被解雇的投诉</w:t>
      </w:r>
      <w:r>
        <w:rPr>
          <w:rFonts w:ascii="KaiTi_GB2312" w:eastAsia="KaiTi_GB2312"/>
          <w:color w:val="0000FF"/>
        </w:rPr>
        <w:t>”</w:t>
      </w:r>
      <w:r>
        <w:rPr>
          <w:rFonts w:ascii="KaiTi_GB2312" w:eastAsia="KaiTi_GB2312" w:cs="KaiTi_GB2312" w:hint="eastAsia"/>
          <w:color w:val="0000FF"/>
        </w:rPr>
        <w:t>。</w:t>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pPr>
      <w:r>
        <w:rPr>
          <w:rFonts w:cs="SimSun" w:hint="eastAsia"/>
        </w:rPr>
        <w:t>《性健康和生殖健康政策》承诺政府将：</w:t>
      </w:r>
    </w:p>
    <w:p w:rsidR="00373976" w:rsidRDefault="00373976" w:rsidP="009B38FD">
      <w:pPr>
        <w:tabs>
          <w:tab w:val="left" w:pos="525"/>
        </w:tabs>
        <w:spacing w:after="240" w:line="360" w:lineRule="exact"/>
        <w:ind w:leftChars="250" w:left="31680" w:firstLineChars="200" w:firstLine="31680"/>
        <w:rPr>
          <w:rFonts w:ascii="KaiTi_GB2312" w:eastAsia="KaiTi_GB2312" w:hAnsi="STKaiti"/>
          <w:color w:val="0000FF"/>
        </w:rPr>
      </w:pPr>
      <w:r>
        <w:rPr>
          <w:rFonts w:ascii="KaiTi_GB2312" w:eastAsia="KaiTi_GB2312" w:hAnsi="?a????¨¬? Western" w:cs="?a????¨¬? Western"/>
          <w:color w:val="0000FF"/>
        </w:rPr>
        <w:t>“</w:t>
      </w:r>
      <w:r>
        <w:rPr>
          <w:rFonts w:ascii="KaiTi_GB2312" w:eastAsia="KaiTi_GB2312" w:hAnsi="STKaiti" w:cs="KaiTi_GB2312" w:hint="eastAsia"/>
          <w:color w:val="0000FF"/>
        </w:rPr>
        <w:t>消除针对妇女的基于孕产和生殖角色的歧视，包括雇主的习惯做法，如要求提供采取避孕措施的证据或因怀孕、产假或哺乳而拒绝雇用或解雇</w:t>
      </w:r>
      <w:r>
        <w:rPr>
          <w:rFonts w:ascii="KaiTi_GB2312" w:eastAsia="KaiTi_GB2312" w:hAnsi="?a????¨¬? Western" w:cs="?a????¨¬? Western"/>
          <w:color w:val="0000FF"/>
        </w:rPr>
        <w:t>”</w:t>
      </w:r>
      <w:r>
        <w:rPr>
          <w:rFonts w:ascii="KaiTi_GB2312" w:eastAsia="KaiTi_GB2312" w:hAnsi="STKaiti" w:cs="KaiTi_GB2312" w:hint="eastAsia"/>
          <w:color w:val="0000FF"/>
        </w:rPr>
        <w:t>。</w:t>
      </w:r>
    </w:p>
    <w:p w:rsidR="00373976" w:rsidRDefault="00373976" w:rsidP="00373976">
      <w:pPr>
        <w:tabs>
          <w:tab w:val="left" w:pos="525"/>
        </w:tabs>
        <w:autoSpaceDE w:val="0"/>
        <w:autoSpaceDN w:val="0"/>
        <w:spacing w:after="240" w:line="360" w:lineRule="exact"/>
        <w:rPr>
          <w:rFonts w:eastAsia="SimHei"/>
          <w:color w:val="FF0000"/>
          <w:sz w:val="24"/>
          <w:szCs w:val="24"/>
          <w:lang w:val="zh-CN"/>
        </w:rPr>
      </w:pPr>
      <w:r>
        <w:rPr>
          <w:rFonts w:eastAsia="SimHei" w:cs="SimHei" w:hint="eastAsia"/>
          <w:color w:val="FF0000"/>
          <w:sz w:val="24"/>
          <w:szCs w:val="24"/>
          <w:lang w:val="zh-CN"/>
        </w:rPr>
        <w:t>儿童保育支助</w:t>
      </w:r>
      <w:r>
        <w:rPr>
          <w:rFonts w:eastAsia="SimHei"/>
          <w:color w:val="FF0000"/>
          <w:sz w:val="24"/>
          <w:szCs w:val="24"/>
          <w:vertAlign w:val="superscript"/>
          <w:lang w:val="zh-CN"/>
        </w:rPr>
        <w:footnoteReference w:id="48"/>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pPr>
      <w:r>
        <w:rPr>
          <w:rFonts w:cs="SimSun" w:hint="eastAsia"/>
        </w:rPr>
        <w:t>伯利兹仍主要依靠非正式的日托人员，如保姆、邻居或家庭成员等为上班的父母照顾孩子。</w:t>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pPr>
      <w:r>
        <w:rPr>
          <w:rFonts w:cs="SimSun" w:hint="eastAsia"/>
        </w:rPr>
        <w:t>目前全国共有</w:t>
      </w:r>
      <w:r>
        <w:t>11</w:t>
      </w:r>
      <w:r>
        <w:rPr>
          <w:rFonts w:cs="SimSun" w:hint="eastAsia"/>
        </w:rPr>
        <w:t>家官方的儿童保育中心，其中有</w:t>
      </w:r>
      <w:r>
        <w:t>10</w:t>
      </w:r>
      <w:r>
        <w:rPr>
          <w:rFonts w:cs="SimSun" w:hint="eastAsia"/>
        </w:rPr>
        <w:t>家在伯利兹区，在这</w:t>
      </w:r>
      <w:r>
        <w:t>10</w:t>
      </w:r>
      <w:r>
        <w:rPr>
          <w:rFonts w:cs="SimSun" w:hint="eastAsia"/>
        </w:rPr>
        <w:t>家中，有</w:t>
      </w:r>
      <w:r>
        <w:t>9</w:t>
      </w:r>
      <w:r>
        <w:rPr>
          <w:rFonts w:cs="SimSun" w:hint="eastAsia"/>
        </w:rPr>
        <w:t>家位于伯利兹城。奥兰治沃克、科罗萨尔、托莱多和卡约区还没有官方的儿童保育中心。</w:t>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pPr>
      <w:r>
        <w:rPr>
          <w:rFonts w:cs="SimSun" w:hint="eastAsia"/>
        </w:rPr>
        <w:t>随着年轻母亲日益增多，家庭成员如祖母因为仍要上班而无法照顾孩子，对儿童保育中心的需求日益增长。</w:t>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pPr>
      <w:r>
        <w:rPr>
          <w:rFonts w:cs="SimSun" w:hint="eastAsia"/>
        </w:rPr>
        <w:t>目前，社区儿童保育中心由地区代表（当选的政治家）给予补助，而且大部分按周收取费用，平均每周</w:t>
      </w:r>
      <w:r>
        <w:t>20</w:t>
      </w:r>
      <w:r>
        <w:rPr>
          <w:rFonts w:cs="SimSun" w:hint="eastAsia"/>
        </w:rPr>
        <w:t>至</w:t>
      </w:r>
      <w:r>
        <w:t>25</w:t>
      </w:r>
      <w:r>
        <w:rPr>
          <w:rFonts w:cs="SimSun" w:hint="eastAsia"/>
        </w:rPr>
        <w:t>伯利兹元（即</w:t>
      </w:r>
      <w:r>
        <w:t>10</w:t>
      </w:r>
      <w:r>
        <w:rPr>
          <w:rFonts w:cs="SimSun" w:hint="eastAsia"/>
        </w:rPr>
        <w:t>至</w:t>
      </w:r>
      <w:r>
        <w:t>12.5</w:t>
      </w:r>
      <w:r>
        <w:rPr>
          <w:rFonts w:cs="SimSun" w:hint="eastAsia"/>
        </w:rPr>
        <w:t>美元）。人们无力支付周费的日托机构往往达不到标准。</w:t>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rPr>
          <w:color w:val="000000"/>
        </w:rPr>
      </w:pPr>
      <w:r>
        <w:rPr>
          <w:rFonts w:cs="SimSun" w:hint="eastAsia"/>
        </w:rPr>
        <w:t>尽管</w:t>
      </w:r>
      <w:r>
        <w:t>1998</w:t>
      </w:r>
      <w:r>
        <w:rPr>
          <w:rFonts w:cs="SimSun" w:hint="eastAsia"/>
        </w:rPr>
        <w:t>年就通过了确立儿童保育中心最低经营要求的法律，但对中心的监督是最近才开始的。</w:t>
      </w:r>
      <w:r>
        <w:t>2002</w:t>
      </w:r>
      <w:r>
        <w:rPr>
          <w:rFonts w:cs="SimSun" w:hint="eastAsia"/>
        </w:rPr>
        <w:t>年间建立了一套机制来监督各项条例的执行情况，包括对保育员与儿童比例的最低要求、规划、自然环境，以及公共和个人健康问题等。这些条例没有规定要确保保育员具备儿童发育方面的资格和</w:t>
      </w:r>
      <w:r>
        <w:t>/</w:t>
      </w:r>
      <w:r>
        <w:rPr>
          <w:rFonts w:cs="SimSun" w:hint="eastAsia"/>
        </w:rPr>
        <w:t>或经验。</w:t>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pPr>
      <w:r>
        <w:rPr>
          <w:rFonts w:cs="SimSun" w:hint="eastAsia"/>
        </w:rPr>
        <w:t>作为全国共同关心日托中心人才资源问题的积极响应，年轻妇女基督教协会（</w:t>
      </w:r>
      <w:r>
        <w:t>YWCA</w:t>
      </w:r>
      <w:r>
        <w:rPr>
          <w:rFonts w:cs="SimSun" w:hint="eastAsia"/>
        </w:rPr>
        <w:t>）在全国范围内为儿童保育人员举办了短期培训班。该协会取得的成就有着特殊的基础，这有赖于他们吸引投资的能力。</w:t>
      </w:r>
    </w:p>
    <w:p w:rsidR="00373976" w:rsidRDefault="00373976" w:rsidP="00373976">
      <w:pPr>
        <w:widowControl w:val="0"/>
        <w:numPr>
          <w:ilvl w:val="0"/>
          <w:numId w:val="39"/>
        </w:numPr>
        <w:tabs>
          <w:tab w:val="clear" w:pos="397"/>
          <w:tab w:val="left" w:pos="525"/>
        </w:tabs>
        <w:autoSpaceDE w:val="0"/>
        <w:autoSpaceDN w:val="0"/>
        <w:adjustRightInd w:val="0"/>
        <w:spacing w:after="240" w:line="360" w:lineRule="exact"/>
        <w:ind w:left="0" w:firstLine="0"/>
        <w:jc w:val="both"/>
      </w:pPr>
      <w:r>
        <w:t>2002</w:t>
      </w:r>
      <w:r>
        <w:rPr>
          <w:rFonts w:cs="SimSun" w:hint="eastAsia"/>
        </w:rPr>
        <w:t>年通过的《国家性别政策》要求政府：</w:t>
      </w:r>
    </w:p>
    <w:p w:rsidR="00373976" w:rsidRDefault="00373976" w:rsidP="009B38FD">
      <w:pPr>
        <w:tabs>
          <w:tab w:val="left" w:pos="525"/>
        </w:tabs>
        <w:spacing w:after="240" w:line="360" w:lineRule="exact"/>
        <w:ind w:leftChars="250" w:left="31680" w:firstLineChars="200" w:firstLine="31680"/>
        <w:rPr>
          <w:rFonts w:ascii="KaiTi_GB2312" w:eastAsia="KaiTi_GB2312" w:hAnsi="STKaiti"/>
          <w:color w:val="0000FF"/>
        </w:rPr>
      </w:pPr>
      <w:r>
        <w:rPr>
          <w:rFonts w:ascii="KaiTi_GB2312" w:eastAsia="KaiTi_GB2312" w:hAnsi="?a????¨¬? Western" w:cs="?a????¨¬? Western"/>
          <w:color w:val="0000FF"/>
        </w:rPr>
        <w:t>“</w:t>
      </w:r>
      <w:r>
        <w:rPr>
          <w:rFonts w:ascii="KaiTi_GB2312" w:eastAsia="KaiTi_GB2312" w:hAnsi="STKaiti" w:cs="KaiTi_GB2312" w:hint="eastAsia"/>
          <w:color w:val="0000FF"/>
        </w:rPr>
        <w:t>制定一个方案，在可收回投资的原则下为公务员建立工作场所的儿童保育服务机构，并向低收入雇员提供补贴，首先在贝尔莫潘和伯利兹城进行初步试验</w:t>
      </w:r>
      <w:r>
        <w:rPr>
          <w:rFonts w:ascii="KaiTi_GB2312" w:eastAsia="KaiTi_GB2312" w:hAnsi="?a????¨¬? Western" w:cs="?a????¨¬? Western"/>
          <w:color w:val="0000FF"/>
        </w:rPr>
        <w:t>”</w:t>
      </w:r>
      <w:r>
        <w:rPr>
          <w:rFonts w:ascii="KaiTi_GB2312" w:eastAsia="KaiTi_GB2312" w:hAnsi="STKaiti" w:cs="KaiTi_GB2312" w:hint="eastAsia"/>
          <w:color w:val="0000FF"/>
        </w:rPr>
        <w:t>。它还进一步要求儿童发展组织“制定一项行动计划，在管理规范的中心以注重需求、方便和承受力为前提，扩大现有的儿童保育场所。</w:t>
      </w:r>
      <w:r>
        <w:rPr>
          <w:rFonts w:ascii="KaiTi_GB2312" w:eastAsia="KaiTi_GB2312" w:hAnsi="?a????¨¬? Western" w:cs="?a????¨¬? Western"/>
          <w:color w:val="0000FF"/>
        </w:rPr>
        <w:t>”</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对于在公共服务机构内加强儿童保育支助的建议，还未采取行动。但初级儿童发展组织（家庭和儿童全国委员会及其成员）已经在《幼儿发展综合政策》（</w:t>
      </w:r>
      <w:r>
        <w:t>IECD</w:t>
      </w:r>
      <w:r>
        <w:rPr>
          <w:rFonts w:cs="SimSun" w:hint="eastAsia"/>
        </w:rPr>
        <w:t>）草案及《儿童和青少年全国行动计划》（</w:t>
      </w:r>
      <w:r>
        <w:t>NPA</w:t>
      </w:r>
      <w:r>
        <w:rPr>
          <w:rFonts w:cs="SimSun" w:hint="eastAsia"/>
        </w:rPr>
        <w:t>）草案中纳入了儿童保育支助服务的特别规定。但在这两个政策和计划通过之前，这些规定还不能转化成促进妇女就业平等和公平的具体行动。</w:t>
      </w:r>
    </w:p>
    <w:p w:rsidR="00373976" w:rsidRDefault="00373976" w:rsidP="00373976">
      <w:pPr>
        <w:tabs>
          <w:tab w:val="left" w:pos="525"/>
        </w:tabs>
        <w:spacing w:after="240" w:line="360" w:lineRule="exact"/>
      </w:pPr>
    </w:p>
    <w:p w:rsidR="00373976" w:rsidRDefault="00373976" w:rsidP="00373976">
      <w:pPr>
        <w:tabs>
          <w:tab w:val="left" w:pos="525"/>
        </w:tabs>
        <w:spacing w:after="240" w:line="360" w:lineRule="exact"/>
        <w:jc w:val="center"/>
        <w:rPr>
          <w:rFonts w:ascii="SimHei" w:eastAsia="SimHei"/>
          <w:color w:val="FF0000"/>
          <w:sz w:val="28"/>
          <w:szCs w:val="28"/>
        </w:rPr>
      </w:pPr>
      <w:r>
        <w:br w:type="page"/>
      </w:r>
      <w:r>
        <w:rPr>
          <w:rFonts w:ascii="SimHei" w:eastAsia="SimHei" w:cs="SimHei" w:hint="eastAsia"/>
          <w:color w:val="FF0000"/>
          <w:sz w:val="28"/>
          <w:szCs w:val="28"/>
        </w:rPr>
        <w:t>第</w:t>
      </w:r>
      <w:r>
        <w:rPr>
          <w:rFonts w:ascii="SimHei" w:eastAsia="SimHei" w:cs="SimHei"/>
          <w:color w:val="FF0000"/>
          <w:sz w:val="28"/>
          <w:szCs w:val="28"/>
        </w:rPr>
        <w:t>12</w:t>
      </w:r>
      <w:r>
        <w:rPr>
          <w:rFonts w:ascii="SimHei" w:eastAsia="SimHei" w:cs="SimHei" w:hint="eastAsia"/>
          <w:color w:val="FF0000"/>
          <w:sz w:val="28"/>
          <w:szCs w:val="28"/>
        </w:rPr>
        <w:t>条</w:t>
      </w:r>
    </w:p>
    <w:p w:rsidR="00373976" w:rsidRDefault="00373976" w:rsidP="00373976">
      <w:pPr>
        <w:tabs>
          <w:tab w:val="left" w:pos="525"/>
        </w:tabs>
        <w:spacing w:after="240" w:line="360" w:lineRule="exact"/>
        <w:jc w:val="center"/>
        <w:rPr>
          <w:rFonts w:ascii="SimHei" w:eastAsia="SimHei"/>
          <w:color w:val="FF0000"/>
          <w:sz w:val="28"/>
          <w:szCs w:val="28"/>
        </w:rPr>
      </w:pPr>
      <w:r>
        <w:rPr>
          <w:rFonts w:ascii="SimHei" w:eastAsia="SimHei" w:cs="SimHei" w:hint="eastAsia"/>
          <w:color w:val="FF0000"/>
          <w:sz w:val="28"/>
          <w:szCs w:val="28"/>
        </w:rPr>
        <w:t>保健方面的平等</w:t>
      </w:r>
    </w:p>
    <w:p w:rsidR="00373976" w:rsidRDefault="00373976" w:rsidP="001101F1">
      <w:pPr>
        <w:pStyle w:val="Subtitle"/>
        <w:pBdr>
          <w:top w:val="single" w:sz="4" w:space="1" w:color="auto"/>
        </w:pBdr>
        <w:tabs>
          <w:tab w:val="left" w:pos="525"/>
        </w:tabs>
        <w:spacing w:line="200" w:lineRule="exact"/>
        <w:jc w:val="both"/>
        <w:rPr>
          <w:rFonts w:eastAsia="SimHei"/>
          <w:sz w:val="21"/>
          <w:szCs w:val="21"/>
          <w:lang w:eastAsia="zh-CN"/>
        </w:rPr>
      </w:pPr>
    </w:p>
    <w:p w:rsidR="00373976" w:rsidRDefault="00373976" w:rsidP="009B38FD">
      <w:pPr>
        <w:pStyle w:val="Normalvovlecen"/>
        <w:widowControl/>
        <w:tabs>
          <w:tab w:val="left" w:pos="525"/>
        </w:tabs>
        <w:spacing w:after="180" w:line="360" w:lineRule="exact"/>
        <w:ind w:firstLineChars="250" w:firstLine="31680"/>
        <w:jc w:val="both"/>
        <w:rPr>
          <w:rFonts w:ascii="KaiTi_GB2312" w:eastAsia="KaiTi_GB2312" w:hAnsi="STKaiti" w:cs="Times New Roman"/>
          <w:b/>
          <w:bCs/>
          <w:color w:val="0000FF"/>
          <w:kern w:val="2"/>
          <w:sz w:val="21"/>
          <w:szCs w:val="21"/>
          <w:lang w:eastAsia="zh-CN"/>
        </w:rPr>
      </w:pPr>
      <w:r>
        <w:rPr>
          <w:rFonts w:ascii="KaiTi_GB2312" w:eastAsia="KaiTi_GB2312" w:hAnsi="STKaiti" w:cs="KaiTi_GB2312" w:hint="eastAsia"/>
          <w:b/>
          <w:bCs/>
          <w:color w:val="0000FF"/>
          <w:kern w:val="2"/>
          <w:sz w:val="21"/>
          <w:szCs w:val="21"/>
          <w:lang w:eastAsia="zh-CN"/>
        </w:rPr>
        <w:t>缔约各国应采取一切适当措施以消除在保健方面对妇女的歧视，保证她们在男女平等的基础上取得各种保健服务，包括有关计划生育的保健服务。</w:t>
      </w:r>
    </w:p>
    <w:p w:rsidR="00373976" w:rsidRDefault="00373976" w:rsidP="009B38FD">
      <w:pPr>
        <w:pStyle w:val="Normalvovlecen"/>
        <w:widowControl/>
        <w:tabs>
          <w:tab w:val="left" w:pos="525"/>
        </w:tabs>
        <w:spacing w:after="180" w:line="360" w:lineRule="exact"/>
        <w:ind w:firstLineChars="250" w:firstLine="31680"/>
        <w:jc w:val="both"/>
        <w:rPr>
          <w:rFonts w:ascii="Times New Roman" w:hAnsi="Times New Roman" w:cs="Times New Roman"/>
          <w:b/>
          <w:bCs/>
          <w:i/>
          <w:iCs/>
          <w:kern w:val="2"/>
          <w:sz w:val="21"/>
          <w:szCs w:val="21"/>
          <w:lang w:eastAsia="zh-CN"/>
        </w:rPr>
      </w:pPr>
      <w:r>
        <w:rPr>
          <w:rFonts w:ascii="KaiTi_GB2312" w:eastAsia="KaiTi_GB2312" w:hAnsi="STKaiti" w:cs="KaiTi_GB2312" w:hint="eastAsia"/>
          <w:b/>
          <w:bCs/>
          <w:color w:val="0000FF"/>
          <w:kern w:val="2"/>
          <w:sz w:val="21"/>
          <w:szCs w:val="21"/>
          <w:lang w:eastAsia="zh-CN"/>
        </w:rPr>
        <w:t>尽管有本条第</w:t>
      </w:r>
      <w:r>
        <w:rPr>
          <w:rFonts w:ascii="KaiTi_GB2312" w:eastAsia="KaiTi_GB2312" w:hAnsi="STKaiti" w:cs="KaiTi_GB2312"/>
          <w:b/>
          <w:bCs/>
          <w:color w:val="0000FF"/>
          <w:kern w:val="2"/>
          <w:sz w:val="21"/>
          <w:szCs w:val="21"/>
          <w:lang w:eastAsia="zh-CN"/>
        </w:rPr>
        <w:t>1</w:t>
      </w:r>
      <w:r>
        <w:rPr>
          <w:rFonts w:ascii="KaiTi_GB2312" w:eastAsia="KaiTi_GB2312" w:hAnsi="STKaiti" w:cs="KaiTi_GB2312" w:hint="eastAsia"/>
          <w:b/>
          <w:bCs/>
          <w:color w:val="0000FF"/>
          <w:kern w:val="2"/>
          <w:sz w:val="21"/>
          <w:szCs w:val="21"/>
          <w:lang w:eastAsia="zh-CN"/>
        </w:rPr>
        <w:t>款的规定，缔约各国应保证为妇女提供有关怀孕、分娩和产后期间的适当服务，于必要时给予免费服务，并保证在怀孕和哺乳期间得到充分营养。</w:t>
      </w:r>
    </w:p>
    <w:p w:rsidR="00373976" w:rsidRDefault="00373976" w:rsidP="001101F1">
      <w:pPr>
        <w:tabs>
          <w:tab w:val="left" w:pos="525"/>
        </w:tabs>
        <w:autoSpaceDE w:val="0"/>
        <w:autoSpaceDN w:val="0"/>
        <w:spacing w:after="180" w:line="360" w:lineRule="exact"/>
        <w:rPr>
          <w:rFonts w:eastAsia="SimHei"/>
          <w:color w:val="FF0000"/>
          <w:sz w:val="24"/>
          <w:szCs w:val="24"/>
          <w:lang w:val="zh-CN"/>
        </w:rPr>
      </w:pPr>
      <w:r>
        <w:rPr>
          <w:rFonts w:eastAsia="SimHei" w:cs="SimHei" w:hint="eastAsia"/>
          <w:color w:val="FF0000"/>
          <w:sz w:val="24"/>
          <w:szCs w:val="24"/>
          <w:lang w:val="zh-CN"/>
        </w:rPr>
        <w:t>保健服务和设施</w:t>
      </w:r>
    </w:p>
    <w:p w:rsidR="00373976" w:rsidRDefault="00373976" w:rsidP="001101F1">
      <w:pPr>
        <w:numPr>
          <w:ilvl w:val="0"/>
          <w:numId w:val="39"/>
        </w:numPr>
        <w:tabs>
          <w:tab w:val="clear" w:pos="397"/>
          <w:tab w:val="left" w:pos="525"/>
        </w:tabs>
        <w:spacing w:after="180" w:line="360" w:lineRule="exact"/>
        <w:ind w:left="0" w:firstLine="0"/>
        <w:jc w:val="both"/>
      </w:pPr>
      <w:r>
        <w:rPr>
          <w:rFonts w:cs="SimSun" w:hint="eastAsia"/>
        </w:rPr>
        <w:t>近年来政府对卫生部门进行了改革，提倡私立和公共卫生保健机构之间的联合。虽然政府仍是服务的主要提供者，但权力的日趋分散使得私立部门迅速成长。私立保健机构主要限于提供流动服务，但正在快速扩展。一些二级保健主要针对孕产妇病例和手术。目前还未制定规范私立的营利和非营利性卫生保健机构的措施。私立机构的医生可以使用公共卫生设施，但公共机构在对患者的急救中并不求助私立机构。</w:t>
      </w:r>
      <w:r>
        <w:rPr>
          <w:rStyle w:val="FootnoteReference"/>
        </w:rPr>
        <w:footnoteReference w:id="49"/>
      </w:r>
    </w:p>
    <w:p w:rsidR="00373976" w:rsidRDefault="00373976" w:rsidP="001101F1">
      <w:pPr>
        <w:numPr>
          <w:ilvl w:val="0"/>
          <w:numId w:val="39"/>
        </w:numPr>
        <w:tabs>
          <w:tab w:val="clear" w:pos="397"/>
          <w:tab w:val="left" w:pos="525"/>
        </w:tabs>
        <w:spacing w:after="180" w:line="360" w:lineRule="exact"/>
        <w:ind w:left="0" w:firstLine="0"/>
        <w:jc w:val="both"/>
      </w:pPr>
      <w:r>
        <w:rPr>
          <w:rFonts w:cs="SimSun" w:hint="eastAsia"/>
        </w:rPr>
        <w:t>表</w:t>
      </w:r>
      <w:r>
        <w:t xml:space="preserve">12.0 </w:t>
      </w:r>
      <w:r>
        <w:rPr>
          <w:rFonts w:cs="SimSun" w:hint="eastAsia"/>
        </w:rPr>
        <w:t>列出了伯利兹的医院数量。在</w:t>
      </w:r>
      <w:r>
        <w:t>8</w:t>
      </w:r>
      <w:r>
        <w:rPr>
          <w:rFonts w:cs="SimSun" w:hint="eastAsia"/>
        </w:rPr>
        <w:t>家公立医院中，</w:t>
      </w:r>
      <w:r>
        <w:t>3</w:t>
      </w:r>
      <w:r>
        <w:rPr>
          <w:rFonts w:cs="SimSun" w:hint="eastAsia"/>
        </w:rPr>
        <w:t>家是地区医院，提供广泛的二级保健及常规的初级保健。另有</w:t>
      </w:r>
      <w:r>
        <w:t>3</w:t>
      </w:r>
      <w:r>
        <w:rPr>
          <w:rFonts w:cs="SimSun" w:hint="eastAsia"/>
        </w:rPr>
        <w:t>家是社区医院或者叫初级设施，在行政区一级提供最基本的二级保健。</w:t>
      </w:r>
    </w:p>
    <w:p w:rsidR="00373976" w:rsidRDefault="00373976" w:rsidP="00373976">
      <w:pPr>
        <w:numPr>
          <w:ilvl w:val="0"/>
          <w:numId w:val="39"/>
        </w:numPr>
        <w:tabs>
          <w:tab w:val="clear" w:pos="397"/>
          <w:tab w:val="left" w:pos="525"/>
        </w:tabs>
        <w:spacing w:after="240" w:line="360" w:lineRule="exact"/>
        <w:ind w:left="0" w:firstLine="0"/>
        <w:jc w:val="both"/>
        <w:rPr>
          <w:b/>
          <w:bCs/>
        </w:rPr>
      </w:pPr>
      <w:r>
        <w:rPr>
          <w:rFonts w:cs="SimSun" w:hint="eastAsia"/>
        </w:rPr>
        <w:t>有一家医院（卡尔·赫斯那纪念医院）是国家转诊医院和伯利兹区总医院，另一家为国家精神病医院。除牙买加莫纳校园的西印度群岛大学医院外，与邻国没有建立标准的转诊机制。</w:t>
      </w:r>
    </w:p>
    <w:p w:rsidR="00373976" w:rsidRDefault="00373976" w:rsidP="00373976">
      <w:pPr>
        <w:tabs>
          <w:tab w:val="left" w:pos="525"/>
        </w:tabs>
        <w:autoSpaceDE w:val="0"/>
        <w:autoSpaceDN w:val="0"/>
        <w:spacing w:after="240" w:line="360" w:lineRule="exact"/>
        <w:rPr>
          <w:rFonts w:eastAsia="SimHei"/>
          <w:color w:val="FF0000"/>
          <w:lang w:val="zh-CN"/>
        </w:rPr>
      </w:pPr>
      <w:r>
        <w:rPr>
          <w:rFonts w:eastAsia="SimHei" w:cs="SimHei" w:hint="eastAsia"/>
          <w:color w:val="FF0000"/>
          <w:lang w:val="zh-CN"/>
        </w:rPr>
        <w:t>表</w:t>
      </w:r>
      <w:r>
        <w:rPr>
          <w:rFonts w:eastAsia="SimHei"/>
          <w:color w:val="FF0000"/>
          <w:lang w:val="zh-CN"/>
        </w:rPr>
        <w:t xml:space="preserve">12.0 </w:t>
      </w:r>
      <w:r>
        <w:rPr>
          <w:rFonts w:eastAsia="SimHei" w:cs="SimHei" w:hint="eastAsia"/>
          <w:color w:val="FF0000"/>
          <w:lang w:val="zh-CN"/>
        </w:rPr>
        <w:t>全国的医院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6"/>
        <w:gridCol w:w="5099"/>
      </w:tblGrid>
      <w:tr w:rsidR="00373976">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伯利兹区</w:t>
            </w:r>
          </w:p>
        </w:tc>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t>2</w:t>
            </w:r>
            <w:r>
              <w:rPr>
                <w:rFonts w:cs="SimSun" w:hint="eastAsia"/>
              </w:rPr>
              <w:t>家私立医院、</w:t>
            </w:r>
            <w:r>
              <w:t>1</w:t>
            </w:r>
            <w:r>
              <w:rPr>
                <w:rFonts w:cs="SimSun" w:hint="eastAsia"/>
              </w:rPr>
              <w:t>家公立精神病院、</w:t>
            </w:r>
            <w:r>
              <w:t>1</w:t>
            </w:r>
            <w:r>
              <w:rPr>
                <w:rFonts w:cs="SimSun" w:hint="eastAsia"/>
              </w:rPr>
              <w:t>家公立转诊医院</w:t>
            </w:r>
          </w:p>
        </w:tc>
      </w:tr>
      <w:tr w:rsidR="00373976">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卡约区</w:t>
            </w:r>
          </w:p>
        </w:tc>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t xml:space="preserve">1 </w:t>
            </w:r>
            <w:r>
              <w:rPr>
                <w:rFonts w:cs="SimSun" w:hint="eastAsia"/>
              </w:rPr>
              <w:t>家私立、</w:t>
            </w:r>
            <w:r>
              <w:t>1</w:t>
            </w:r>
            <w:r>
              <w:rPr>
                <w:rFonts w:cs="SimSun" w:hint="eastAsia"/>
              </w:rPr>
              <w:t>家公立</w:t>
            </w:r>
          </w:p>
        </w:tc>
      </w:tr>
      <w:tr w:rsidR="00373976">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贝尔莫潘区</w:t>
            </w:r>
          </w:p>
        </w:tc>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t xml:space="preserve">1 </w:t>
            </w:r>
            <w:r>
              <w:rPr>
                <w:rFonts w:cs="SimSun" w:hint="eastAsia"/>
              </w:rPr>
              <w:t>家公立</w:t>
            </w:r>
          </w:p>
        </w:tc>
      </w:tr>
      <w:tr w:rsidR="00373976">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科罗萨尔区</w:t>
            </w:r>
          </w:p>
        </w:tc>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t>1</w:t>
            </w:r>
            <w:r>
              <w:rPr>
                <w:rFonts w:cs="SimSun" w:hint="eastAsia"/>
              </w:rPr>
              <w:t>家公立</w:t>
            </w:r>
          </w:p>
        </w:tc>
      </w:tr>
      <w:tr w:rsidR="00373976">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奥兰治沃克区</w:t>
            </w:r>
          </w:p>
        </w:tc>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t>1</w:t>
            </w:r>
            <w:r>
              <w:rPr>
                <w:rFonts w:cs="SimSun" w:hint="eastAsia"/>
              </w:rPr>
              <w:t>家公立</w:t>
            </w:r>
          </w:p>
        </w:tc>
      </w:tr>
      <w:tr w:rsidR="00373976">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斯坦克里克区</w:t>
            </w:r>
          </w:p>
        </w:tc>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t>1</w:t>
            </w:r>
            <w:r>
              <w:rPr>
                <w:rFonts w:cs="SimSun" w:hint="eastAsia"/>
              </w:rPr>
              <w:t>家公立</w:t>
            </w:r>
          </w:p>
        </w:tc>
      </w:tr>
      <w:tr w:rsidR="00373976">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托莱多区</w:t>
            </w:r>
          </w:p>
        </w:tc>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t>1</w:t>
            </w:r>
            <w:r>
              <w:rPr>
                <w:rFonts w:cs="SimSun" w:hint="eastAsia"/>
              </w:rPr>
              <w:t>家公立</w:t>
            </w:r>
          </w:p>
        </w:tc>
      </w:tr>
      <w:tr w:rsidR="00373976">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rPr>
                <w:rFonts w:cs="SimSun" w:hint="eastAsia"/>
              </w:rPr>
              <w:t>总数</w:t>
            </w:r>
          </w:p>
        </w:tc>
        <w:tc>
          <w:tcPr>
            <w:tcW w:w="0" w:type="auto"/>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20" w:line="360" w:lineRule="exact"/>
            </w:pPr>
            <w:r>
              <w:t xml:space="preserve">11 </w:t>
            </w:r>
            <w:r>
              <w:rPr>
                <w:rFonts w:cs="SimSun" w:hint="eastAsia"/>
              </w:rPr>
              <w:t>家医院</w:t>
            </w:r>
          </w:p>
        </w:tc>
      </w:tr>
    </w:tbl>
    <w:p w:rsidR="00373976" w:rsidRDefault="00373976" w:rsidP="009B38FD">
      <w:pPr>
        <w:pStyle w:val="FootnoteText"/>
        <w:tabs>
          <w:tab w:val="left" w:pos="525"/>
        </w:tabs>
        <w:spacing w:after="180" w:line="340" w:lineRule="exact"/>
        <w:ind w:leftChars="343" w:left="31680" w:firstLineChars="490" w:firstLine="31680"/>
        <w:jc w:val="both"/>
      </w:pPr>
      <w:r>
        <w:rPr>
          <w:rFonts w:eastAsia="KaiTi_GB2312" w:cs="KaiTi_GB2312" w:hint="eastAsia"/>
          <w:color w:val="0000FF"/>
        </w:rPr>
        <w:t>资料来源</w:t>
      </w:r>
      <w:r>
        <w:rPr>
          <w:rFonts w:eastAsia="KaiTi_GB2312" w:cs="KaiTi_GB2312" w:hint="eastAsia"/>
        </w:rPr>
        <w:t>：</w:t>
      </w:r>
      <w:r>
        <w:rPr>
          <w:rFonts w:cs="SimSun" w:hint="eastAsia"/>
        </w:rPr>
        <w:t>卫生部。</w:t>
      </w:r>
    </w:p>
    <w:p w:rsidR="00373976" w:rsidRDefault="00373976" w:rsidP="001101F1">
      <w:pPr>
        <w:numPr>
          <w:ilvl w:val="0"/>
          <w:numId w:val="39"/>
        </w:numPr>
        <w:tabs>
          <w:tab w:val="clear" w:pos="397"/>
          <w:tab w:val="left" w:pos="525"/>
        </w:tabs>
        <w:spacing w:after="180" w:line="340" w:lineRule="exact"/>
        <w:ind w:left="0" w:firstLine="0"/>
        <w:jc w:val="both"/>
      </w:pPr>
      <w:r>
        <w:rPr>
          <w:rFonts w:cs="SimSun" w:hint="eastAsia"/>
        </w:rPr>
        <w:t>全国范围内的其他卫生基础设施包括</w:t>
      </w:r>
      <w:r>
        <w:t>42</w:t>
      </w:r>
      <w:r>
        <w:rPr>
          <w:rFonts w:cs="SimSun" w:hint="eastAsia"/>
        </w:rPr>
        <w:t>个医疗中心和</w:t>
      </w:r>
      <w:r>
        <w:t>56</w:t>
      </w:r>
      <w:r>
        <w:rPr>
          <w:rFonts w:cs="SimSun" w:hint="eastAsia"/>
        </w:rPr>
        <w:t>个乡村卫生站。此类医疗中心提供产前和产后保健、免疫服务和</w:t>
      </w:r>
      <w:r>
        <w:t>5</w:t>
      </w:r>
      <w:r>
        <w:rPr>
          <w:rFonts w:cs="SimSun" w:hint="eastAsia"/>
        </w:rPr>
        <w:t>岁以下儿童的发育监测和营养。专家诊所为高血压、糖尿病和肺结核、性病及艾滋病患者提供治疗、推荐转诊、后续跟踪等服务。每一个中心可服务</w:t>
      </w:r>
      <w:r>
        <w:t>2 000</w:t>
      </w:r>
      <w:r>
        <w:rPr>
          <w:rFonts w:cs="SimSun" w:hint="eastAsia"/>
        </w:rPr>
        <w:t>到</w:t>
      </w:r>
      <w:r>
        <w:t>4 000</w:t>
      </w:r>
      <w:r>
        <w:rPr>
          <w:rFonts w:cs="SimSun" w:hint="eastAsia"/>
        </w:rPr>
        <w:t>人。中心还通过流动诊所提供推广服务，每六个星期到较小和偏远的村落巡诊一次。</w:t>
      </w:r>
      <w:r>
        <w:rPr>
          <w:rStyle w:val="FootnoteReference"/>
        </w:rPr>
        <w:footnoteReference w:id="50"/>
      </w:r>
      <w:r>
        <w:rPr>
          <w:rFonts w:cs="SimSun" w:hint="eastAsia"/>
        </w:rPr>
        <w:t>看护助理在中心以外工作，有些是经过培训的传统接生员（</w:t>
      </w:r>
      <w:r>
        <w:t>TTBA</w:t>
      </w:r>
      <w:r>
        <w:rPr>
          <w:rFonts w:cs="SimSun" w:hint="eastAsia"/>
        </w:rPr>
        <w:t>），有些作为</w:t>
      </w:r>
      <w:r>
        <w:t>TTBA</w:t>
      </w:r>
      <w:r>
        <w:rPr>
          <w:rFonts w:cs="SimSun" w:hint="eastAsia"/>
        </w:rPr>
        <w:t>的助手在乡村一级服务。看护助理和传统接生员经常得不到基本的供给。流动诊所的大部分工作是妇幼保健服务。</w:t>
      </w:r>
    </w:p>
    <w:p w:rsidR="00373976" w:rsidRDefault="00373976" w:rsidP="001101F1">
      <w:pPr>
        <w:numPr>
          <w:ilvl w:val="0"/>
          <w:numId w:val="39"/>
        </w:numPr>
        <w:tabs>
          <w:tab w:val="clear" w:pos="397"/>
          <w:tab w:val="left" w:pos="525"/>
        </w:tabs>
        <w:spacing w:after="180" w:line="340" w:lineRule="exact"/>
        <w:ind w:left="0" w:firstLine="0"/>
        <w:jc w:val="both"/>
      </w:pPr>
      <w:r>
        <w:rPr>
          <w:rFonts w:cs="SimSun" w:hint="eastAsia"/>
        </w:rPr>
        <w:t>非营利性组织也参与到流动的卫生保健服务当中。伯利兹应急队（</w:t>
      </w:r>
      <w:r>
        <w:t>BERT</w:t>
      </w:r>
      <w:r>
        <w:rPr>
          <w:rFonts w:cs="SimSun" w:hint="eastAsia"/>
        </w:rPr>
        <w:t>）是一个非营利性组织，在全国范围内提供紧急运输服务。</w:t>
      </w:r>
    </w:p>
    <w:p w:rsidR="00373976" w:rsidRDefault="00373976" w:rsidP="001101F1">
      <w:pPr>
        <w:numPr>
          <w:ilvl w:val="0"/>
          <w:numId w:val="39"/>
        </w:numPr>
        <w:tabs>
          <w:tab w:val="clear" w:pos="397"/>
          <w:tab w:val="left" w:pos="525"/>
        </w:tabs>
        <w:spacing w:after="180" w:line="340" w:lineRule="exact"/>
        <w:ind w:left="0" w:firstLine="0"/>
        <w:jc w:val="both"/>
      </w:pPr>
      <w:r>
        <w:rPr>
          <w:rFonts w:cs="SimSun" w:hint="eastAsia"/>
        </w:rPr>
        <w:t>农村和城市医疗专业人员的分布很不平衡，有一半多的医务人员受雇于首都的伯利兹区。</w:t>
      </w:r>
      <w:r>
        <w:rPr>
          <w:rStyle w:val="FootnoteReference"/>
        </w:rPr>
        <w:footnoteReference w:id="51"/>
      </w:r>
      <w:r>
        <w:rPr>
          <w:rFonts w:cs="SimSun" w:hint="eastAsia"/>
        </w:rPr>
        <w:t>私立部门的参与对缓解这一矛盾的作用有限，因为大部分营利性私立诊所也都位于城市地区。</w:t>
      </w:r>
      <w:r>
        <w:t>1999</w:t>
      </w:r>
      <w:r>
        <w:rPr>
          <w:rFonts w:cs="SimSun" w:hint="eastAsia"/>
        </w:rPr>
        <w:t>年与古巴和尼日利亚政府达成的技术合作协议减轻了这种不平衡状况，根据这些协议，向农村地区派驻了医疗人员，其中大部分是全科医生。这也增加了人均医生数量，如表</w:t>
      </w:r>
      <w:r>
        <w:t>12.1</w:t>
      </w:r>
      <w:r>
        <w:rPr>
          <w:rFonts w:cs="SimSun" w:hint="eastAsia"/>
        </w:rPr>
        <w:t>所示，同时也可能是母婴死亡率下降的一个因素。护士和社区保健助理的数量在过去的</w:t>
      </w:r>
      <w:r>
        <w:t>4</w:t>
      </w:r>
      <w:r>
        <w:rPr>
          <w:rFonts w:cs="SimSun" w:hint="eastAsia"/>
        </w:rPr>
        <w:t>年中也有所增加。</w:t>
      </w:r>
    </w:p>
    <w:p w:rsidR="00373976" w:rsidRDefault="00373976" w:rsidP="00373976">
      <w:pPr>
        <w:tabs>
          <w:tab w:val="left" w:pos="525"/>
        </w:tabs>
        <w:autoSpaceDE w:val="0"/>
        <w:autoSpaceDN w:val="0"/>
        <w:spacing w:after="240" w:line="360" w:lineRule="exact"/>
        <w:rPr>
          <w:rFonts w:eastAsia="SimHei"/>
          <w:color w:val="FF0000"/>
          <w:lang w:val="zh-CN"/>
        </w:rPr>
      </w:pPr>
      <w:r>
        <w:rPr>
          <w:rFonts w:eastAsia="SimHei" w:cs="SimHei" w:hint="eastAsia"/>
          <w:color w:val="FF0000"/>
          <w:lang w:val="zh-CN"/>
        </w:rPr>
        <w:t>表</w:t>
      </w:r>
      <w:r>
        <w:rPr>
          <w:rFonts w:eastAsia="SimHei"/>
          <w:color w:val="FF0000"/>
          <w:lang w:val="zh-CN"/>
        </w:rPr>
        <w:t>12.1</w:t>
      </w:r>
      <w:r>
        <w:rPr>
          <w:rFonts w:eastAsia="SimHei" w:cs="SimHei" w:hint="eastAsia"/>
          <w:color w:val="FF0000"/>
          <w:lang w:val="zh-CN"/>
        </w:rPr>
        <w:t xml:space="preserve">　</w:t>
      </w:r>
      <w:r>
        <w:rPr>
          <w:rFonts w:eastAsia="SimHei"/>
          <w:color w:val="FF0000"/>
          <w:lang w:val="zh-CN"/>
        </w:rPr>
        <w:t>1998-2001</w:t>
      </w:r>
      <w:r>
        <w:rPr>
          <w:rFonts w:eastAsia="SimHei" w:cs="SimHei" w:hint="eastAsia"/>
          <w:color w:val="FF0000"/>
          <w:lang w:val="zh-CN"/>
        </w:rPr>
        <w:t>年注册的医务人员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6"/>
        <w:gridCol w:w="970"/>
        <w:gridCol w:w="971"/>
        <w:gridCol w:w="971"/>
        <w:gridCol w:w="971"/>
      </w:tblGrid>
      <w:tr w:rsidR="00373976">
        <w:trPr>
          <w:jc w:val="center"/>
        </w:trPr>
        <w:tc>
          <w:tcPr>
            <w:tcW w:w="5926"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rPr>
                <w:rFonts w:ascii="SimHei" w:eastAsia="SimHei"/>
                <w:color w:val="FF0000"/>
              </w:rPr>
            </w:pPr>
            <w:r>
              <w:rPr>
                <w:rFonts w:ascii="SimHei" w:eastAsia="SimHei" w:cs="SimHei" w:hint="eastAsia"/>
                <w:color w:val="FF0000"/>
              </w:rPr>
              <w:t>职业</w:t>
            </w:r>
          </w:p>
        </w:tc>
        <w:tc>
          <w:tcPr>
            <w:tcW w:w="970"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rPr>
                <w:rFonts w:ascii="SimHei" w:eastAsia="SimHei"/>
                <w:color w:val="FF0000"/>
              </w:rPr>
            </w:pPr>
            <w:r>
              <w:rPr>
                <w:rFonts w:ascii="SimHei" w:eastAsia="SimHei" w:cs="SimHei"/>
                <w:color w:val="FF0000"/>
              </w:rPr>
              <w:t>1998</w:t>
            </w:r>
            <w:r>
              <w:rPr>
                <w:rFonts w:ascii="SimHei" w:eastAsia="SimHei" w:cs="SimHei" w:hint="eastAsia"/>
                <w:color w:val="FF0000"/>
              </w:rPr>
              <w:t>年</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rPr>
                <w:rFonts w:ascii="SimHei" w:eastAsia="SimHei"/>
                <w:color w:val="FF0000"/>
              </w:rPr>
            </w:pPr>
            <w:r>
              <w:rPr>
                <w:rFonts w:ascii="SimHei" w:eastAsia="SimHei" w:cs="SimHei"/>
                <w:color w:val="FF0000"/>
              </w:rPr>
              <w:t>1999</w:t>
            </w:r>
            <w:r>
              <w:rPr>
                <w:rFonts w:ascii="SimHei" w:eastAsia="SimHei" w:cs="SimHei" w:hint="eastAsia"/>
                <w:color w:val="FF0000"/>
              </w:rPr>
              <w:t>年</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rPr>
                <w:rFonts w:ascii="SimHei" w:eastAsia="SimHei"/>
                <w:color w:val="FF0000"/>
              </w:rPr>
            </w:pPr>
            <w:r>
              <w:rPr>
                <w:rFonts w:ascii="SimHei" w:eastAsia="SimHei" w:cs="SimHei"/>
                <w:color w:val="FF0000"/>
              </w:rPr>
              <w:t>2000</w:t>
            </w:r>
            <w:r>
              <w:rPr>
                <w:rFonts w:ascii="SimHei" w:eastAsia="SimHei" w:cs="SimHei" w:hint="eastAsia"/>
                <w:color w:val="FF0000"/>
              </w:rPr>
              <w:t>年</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rPr>
                <w:rFonts w:ascii="SimHei" w:eastAsia="SimHei"/>
                <w:color w:val="FF0000"/>
              </w:rPr>
            </w:pPr>
            <w:r>
              <w:rPr>
                <w:rFonts w:ascii="SimHei" w:eastAsia="SimHei" w:cs="SimHei"/>
                <w:color w:val="FF0000"/>
              </w:rPr>
              <w:t>2001</w:t>
            </w:r>
            <w:r>
              <w:rPr>
                <w:rFonts w:ascii="SimHei" w:eastAsia="SimHei" w:cs="SimHei" w:hint="eastAsia"/>
                <w:color w:val="FF0000"/>
              </w:rPr>
              <w:t>年</w:t>
            </w:r>
          </w:p>
        </w:tc>
      </w:tr>
      <w:tr w:rsidR="00373976">
        <w:trPr>
          <w:jc w:val="center"/>
        </w:trPr>
        <w:tc>
          <w:tcPr>
            <w:tcW w:w="5926"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pPr>
            <w:r>
              <w:rPr>
                <w:rFonts w:cs="SimSun" w:hint="eastAsia"/>
              </w:rPr>
              <w:t>每</w:t>
            </w:r>
            <w:r>
              <w:t>10 000</w:t>
            </w:r>
            <w:r>
              <w:rPr>
                <w:rFonts w:cs="SimSun" w:hint="eastAsia"/>
              </w:rPr>
              <w:t>人医生数</w:t>
            </w:r>
          </w:p>
        </w:tc>
        <w:tc>
          <w:tcPr>
            <w:tcW w:w="970"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8.2</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10.3</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10.0</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9.8</w:t>
            </w:r>
          </w:p>
        </w:tc>
      </w:tr>
      <w:tr w:rsidR="00373976">
        <w:trPr>
          <w:jc w:val="center"/>
        </w:trPr>
        <w:tc>
          <w:tcPr>
            <w:tcW w:w="5926"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pPr>
            <w:r>
              <w:rPr>
                <w:rFonts w:cs="SimSun" w:hint="eastAsia"/>
              </w:rPr>
              <w:t>每</w:t>
            </w:r>
            <w:r>
              <w:t>10 000</w:t>
            </w:r>
            <w:r>
              <w:rPr>
                <w:rFonts w:cs="SimSun" w:hint="eastAsia"/>
              </w:rPr>
              <w:t>人牙科医生数</w:t>
            </w:r>
          </w:p>
        </w:tc>
        <w:tc>
          <w:tcPr>
            <w:tcW w:w="970"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1.1</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1.2</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1.3</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1.3</w:t>
            </w:r>
          </w:p>
        </w:tc>
      </w:tr>
      <w:tr w:rsidR="00373976">
        <w:trPr>
          <w:jc w:val="center"/>
        </w:trPr>
        <w:tc>
          <w:tcPr>
            <w:tcW w:w="5926"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pPr>
            <w:r>
              <w:rPr>
                <w:rFonts w:cs="SimSun" w:hint="eastAsia"/>
              </w:rPr>
              <w:t>每</w:t>
            </w:r>
            <w:r>
              <w:t xml:space="preserve">10 000 </w:t>
            </w:r>
            <w:r>
              <w:rPr>
                <w:rFonts w:cs="SimSun" w:hint="eastAsia"/>
              </w:rPr>
              <w:t>人护士数</w:t>
            </w:r>
          </w:p>
        </w:tc>
        <w:tc>
          <w:tcPr>
            <w:tcW w:w="970"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15.0</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15.8</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16.6</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16.2</w:t>
            </w:r>
          </w:p>
        </w:tc>
      </w:tr>
      <w:tr w:rsidR="00373976">
        <w:trPr>
          <w:jc w:val="center"/>
        </w:trPr>
        <w:tc>
          <w:tcPr>
            <w:tcW w:w="5926"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pPr>
            <w:r>
              <w:rPr>
                <w:rFonts w:cs="SimSun" w:hint="eastAsia"/>
              </w:rPr>
              <w:t>每</w:t>
            </w:r>
            <w:r>
              <w:t>10 000</w:t>
            </w:r>
            <w:r>
              <w:rPr>
                <w:rFonts w:cs="SimSun" w:hint="eastAsia"/>
              </w:rPr>
              <w:t>人社区保健助理数</w:t>
            </w:r>
          </w:p>
        </w:tc>
        <w:tc>
          <w:tcPr>
            <w:tcW w:w="970"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7.5</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8.3</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8.1</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8.0</w:t>
            </w:r>
          </w:p>
        </w:tc>
      </w:tr>
      <w:tr w:rsidR="00373976">
        <w:trPr>
          <w:jc w:val="center"/>
        </w:trPr>
        <w:tc>
          <w:tcPr>
            <w:tcW w:w="5926"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pPr>
            <w:r>
              <w:rPr>
                <w:rFonts w:cs="SimSun" w:hint="eastAsia"/>
              </w:rPr>
              <w:t>每</w:t>
            </w:r>
            <w:r>
              <w:t>10 000</w:t>
            </w:r>
            <w:r>
              <w:rPr>
                <w:rFonts w:cs="SimSun" w:hint="eastAsia"/>
              </w:rPr>
              <w:t>人药剂师数</w:t>
            </w:r>
          </w:p>
        </w:tc>
        <w:tc>
          <w:tcPr>
            <w:tcW w:w="970"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2.9</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2.8</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2.8</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2.8</w:t>
            </w:r>
          </w:p>
        </w:tc>
      </w:tr>
      <w:tr w:rsidR="00373976">
        <w:trPr>
          <w:jc w:val="center"/>
        </w:trPr>
        <w:tc>
          <w:tcPr>
            <w:tcW w:w="5926"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pPr>
            <w:r>
              <w:rPr>
                <w:rFonts w:cs="SimSun" w:hint="eastAsia"/>
              </w:rPr>
              <w:t>每</w:t>
            </w:r>
            <w:r>
              <w:t xml:space="preserve">10 000 </w:t>
            </w:r>
            <w:r>
              <w:rPr>
                <w:rFonts w:cs="SimSun" w:hint="eastAsia"/>
              </w:rPr>
              <w:t>人社会工作者数</w:t>
            </w:r>
          </w:p>
        </w:tc>
        <w:tc>
          <w:tcPr>
            <w:tcW w:w="970"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1.0</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1.0</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1.0</w:t>
            </w:r>
          </w:p>
        </w:tc>
        <w:tc>
          <w:tcPr>
            <w:tcW w:w="971" w:type="dxa"/>
            <w:tcBorders>
              <w:top w:val="single" w:sz="4" w:space="0" w:color="auto"/>
              <w:left w:val="single" w:sz="4" w:space="0" w:color="auto"/>
              <w:bottom w:val="single" w:sz="4" w:space="0" w:color="auto"/>
              <w:right w:val="single" w:sz="4" w:space="0" w:color="auto"/>
            </w:tcBorders>
          </w:tcPr>
          <w:p w:rsidR="00373976" w:rsidRDefault="00373976" w:rsidP="001101F1">
            <w:pPr>
              <w:tabs>
                <w:tab w:val="left" w:pos="525"/>
              </w:tabs>
              <w:spacing w:after="120"/>
              <w:jc w:val="center"/>
            </w:pPr>
            <w:r>
              <w:t>1.4</w:t>
            </w:r>
          </w:p>
        </w:tc>
      </w:tr>
    </w:tbl>
    <w:p w:rsidR="00373976" w:rsidRDefault="00373976" w:rsidP="009B38FD">
      <w:pPr>
        <w:tabs>
          <w:tab w:val="left" w:pos="525"/>
        </w:tabs>
        <w:spacing w:after="240" w:line="360" w:lineRule="exact"/>
        <w:ind w:leftChars="-172" w:left="31680" w:hangingChars="171" w:firstLine="31680"/>
        <w:rPr>
          <w:sz w:val="18"/>
          <w:szCs w:val="18"/>
        </w:rPr>
      </w:pPr>
      <w:r>
        <w:tab/>
      </w:r>
      <w:r>
        <w:rPr>
          <w:rFonts w:eastAsia="KaiTi_GB2312" w:cs="KaiTi_GB2312" w:hint="eastAsia"/>
          <w:color w:val="0000FF"/>
          <w:sz w:val="18"/>
          <w:szCs w:val="18"/>
        </w:rPr>
        <w:t>资料来源</w:t>
      </w:r>
      <w:r>
        <w:rPr>
          <w:rFonts w:cs="SimSun" w:hint="eastAsia"/>
          <w:sz w:val="18"/>
          <w:szCs w:val="18"/>
        </w:rPr>
        <w:t>：卫生部国家卫生信息和监督局。</w:t>
      </w:r>
    </w:p>
    <w:p w:rsidR="00373976" w:rsidRDefault="00373976" w:rsidP="001101F1">
      <w:pPr>
        <w:numPr>
          <w:ilvl w:val="0"/>
          <w:numId w:val="39"/>
        </w:numPr>
        <w:tabs>
          <w:tab w:val="clear" w:pos="397"/>
          <w:tab w:val="left" w:pos="525"/>
        </w:tabs>
        <w:spacing w:after="180" w:line="340" w:lineRule="exact"/>
        <w:ind w:left="0" w:firstLine="0"/>
        <w:jc w:val="both"/>
      </w:pPr>
      <w:r>
        <w:rPr>
          <w:rFonts w:cs="SimSun" w:hint="eastAsia"/>
        </w:rPr>
        <w:t>卫生部在泛美卫生组织的协助下建立了一个国家卫生信息和监督系统（</w:t>
      </w:r>
      <w:r>
        <w:t>NHIS</w:t>
      </w:r>
      <w:r>
        <w:rPr>
          <w:rFonts w:cs="SimSun" w:hint="eastAsia"/>
        </w:rPr>
        <w:t>），其目标是便于关键的保健服务人员和社区成员获取最新信息。该系统将利用一个辐射面广的卫生信息系统来增加偏远地区医务人员获得远程继续教育的机会。它的最基本的功能是在以事实为依据的决策过程中，对各类保健单位（医院、医疗中心和其他相关的保健方案）给予支持，以便为伯利兹人民提供优质的保健服务。该系统提供的服务包括搜集、整理、分析和传播以前无法得到或不够准确的卫生信息和重要的统计数据。它还作为资源中心为学生、医务人员和其他相关的保健方案提供服务。关于艾滋病毒</w:t>
      </w:r>
      <w:r>
        <w:t>/</w:t>
      </w:r>
      <w:r>
        <w:rPr>
          <w:rFonts w:cs="SimSun" w:hint="eastAsia"/>
        </w:rPr>
        <w:t>艾滋病、家庭暴力的周、月和年度报告及入</w:t>
      </w:r>
      <w:r>
        <w:t xml:space="preserve">    </w:t>
      </w:r>
      <w:r>
        <w:rPr>
          <w:rFonts w:cs="SimSun" w:hint="eastAsia"/>
        </w:rPr>
        <w:t>院</w:t>
      </w:r>
      <w:r>
        <w:t>/</w:t>
      </w:r>
      <w:r>
        <w:rPr>
          <w:rFonts w:cs="SimSun" w:hint="eastAsia"/>
        </w:rPr>
        <w:t>出院报告均可从该系统查阅。</w:t>
      </w:r>
      <w:r>
        <w:rPr>
          <w:rStyle w:val="FootnoteReference"/>
        </w:rPr>
        <w:footnoteReference w:id="52"/>
      </w:r>
    </w:p>
    <w:p w:rsidR="00373976" w:rsidRDefault="00373976" w:rsidP="001101F1">
      <w:pPr>
        <w:numPr>
          <w:ilvl w:val="0"/>
          <w:numId w:val="39"/>
        </w:numPr>
        <w:tabs>
          <w:tab w:val="clear" w:pos="397"/>
          <w:tab w:val="left" w:pos="525"/>
        </w:tabs>
        <w:spacing w:after="180" w:line="340" w:lineRule="exact"/>
        <w:ind w:left="0" w:firstLine="0"/>
        <w:jc w:val="both"/>
      </w:pPr>
      <w:r>
        <w:rPr>
          <w:rFonts w:cs="SimSun" w:hint="eastAsia"/>
        </w:rPr>
        <w:t>《社会保障法》最近经过修订，允许实行国家健康保险（</w:t>
      </w:r>
      <w:r>
        <w:t>NHI</w:t>
      </w:r>
      <w:r>
        <w:rPr>
          <w:rFonts w:cs="SimSun" w:hint="eastAsia"/>
        </w:rPr>
        <w:t>），目的是使该保险成为政府惟一的保健出资方。不过在伯利兹区南部实施的一个</w:t>
      </w:r>
      <w:r>
        <w:t>NHI</w:t>
      </w:r>
      <w:r>
        <w:rPr>
          <w:rFonts w:cs="SimSun" w:hint="eastAsia"/>
        </w:rPr>
        <w:t>示范项目中，对保健服务提供者的一项评估发现，这一地区的剖腹产数量增加到生育数量的</w:t>
      </w:r>
      <w:r>
        <w:t>40%</w:t>
      </w:r>
      <w:r>
        <w:rPr>
          <w:rFonts w:cs="SimSun" w:hint="eastAsia"/>
        </w:rPr>
        <w:t>，这表明在大范围实施以前还需要做进一步的改进。</w:t>
      </w:r>
      <w:r>
        <w:rPr>
          <w:rStyle w:val="FootnoteReference"/>
        </w:rPr>
        <w:footnoteReference w:id="53"/>
      </w:r>
    </w:p>
    <w:p w:rsidR="00373976" w:rsidRDefault="00373976" w:rsidP="001101F1">
      <w:pPr>
        <w:tabs>
          <w:tab w:val="left" w:pos="525"/>
        </w:tabs>
        <w:autoSpaceDE w:val="0"/>
        <w:autoSpaceDN w:val="0"/>
        <w:spacing w:after="180" w:line="340" w:lineRule="exact"/>
        <w:rPr>
          <w:rFonts w:eastAsia="SimHei"/>
          <w:color w:val="FF0000"/>
          <w:sz w:val="24"/>
          <w:szCs w:val="24"/>
          <w:lang w:val="zh-CN"/>
        </w:rPr>
      </w:pPr>
      <w:r>
        <w:rPr>
          <w:rFonts w:eastAsia="SimHei" w:cs="SimHei" w:hint="eastAsia"/>
          <w:color w:val="FF0000"/>
          <w:sz w:val="24"/>
          <w:szCs w:val="24"/>
          <w:lang w:val="zh-CN"/>
        </w:rPr>
        <w:t>计划生育服务</w:t>
      </w:r>
    </w:p>
    <w:p w:rsidR="00373976" w:rsidRDefault="00373976" w:rsidP="001101F1">
      <w:pPr>
        <w:numPr>
          <w:ilvl w:val="0"/>
          <w:numId w:val="39"/>
        </w:numPr>
        <w:tabs>
          <w:tab w:val="clear" w:pos="397"/>
          <w:tab w:val="left" w:pos="525"/>
        </w:tabs>
        <w:spacing w:after="180" w:line="340" w:lineRule="exact"/>
        <w:ind w:left="0" w:firstLine="0"/>
        <w:jc w:val="both"/>
      </w:pPr>
      <w:r>
        <w:rPr>
          <w:rFonts w:cs="SimSun" w:hint="eastAsia"/>
        </w:rPr>
        <w:t>伯利兹家庭生活协会（</w:t>
      </w:r>
      <w:r>
        <w:t>BFLA</w:t>
      </w:r>
      <w:r>
        <w:rPr>
          <w:rFonts w:cs="SimSun" w:hint="eastAsia"/>
        </w:rPr>
        <w:t>）是计划生育服务的主要提供者。在农村地区，卫生部的计划生育服务仅限于咨询，使得妇女只能通过其他组织寻求此类服务。</w:t>
      </w:r>
    </w:p>
    <w:p w:rsidR="00373976" w:rsidRDefault="00373976" w:rsidP="001101F1">
      <w:pPr>
        <w:numPr>
          <w:ilvl w:val="0"/>
          <w:numId w:val="39"/>
        </w:numPr>
        <w:tabs>
          <w:tab w:val="clear" w:pos="397"/>
          <w:tab w:val="left" w:pos="525"/>
        </w:tabs>
        <w:spacing w:after="180" w:line="340" w:lineRule="exact"/>
        <w:ind w:left="0" w:firstLine="0"/>
        <w:jc w:val="both"/>
      </w:pPr>
      <w:r>
        <w:rPr>
          <w:rFonts w:cs="SimSun" w:hint="eastAsia"/>
        </w:rPr>
        <w:t>伯利兹家庭生活协会最初提供的计划生育服务只集中于婴儿的生育间隔，而它现在已扩大了服务范围，包括性别关系、家庭决策的协商技巧、使用避孕套来防止性传播疾病（包括艾滋病毒</w:t>
      </w:r>
      <w:r>
        <w:t>/</w:t>
      </w:r>
      <w:r>
        <w:rPr>
          <w:rFonts w:cs="SimSun" w:hint="eastAsia"/>
        </w:rPr>
        <w:t>艾滋病）、家庭暴力咨询、养育子女的技能和癌症检查等。</w:t>
      </w:r>
      <w:r>
        <w:rPr>
          <w:rStyle w:val="FootnoteReference"/>
        </w:rPr>
        <w:footnoteReference w:id="54"/>
      </w:r>
    </w:p>
    <w:p w:rsidR="00373976" w:rsidRPr="001101F1" w:rsidRDefault="00373976" w:rsidP="001101F1">
      <w:pPr>
        <w:numPr>
          <w:ilvl w:val="0"/>
          <w:numId w:val="39"/>
        </w:numPr>
        <w:tabs>
          <w:tab w:val="clear" w:pos="397"/>
          <w:tab w:val="left" w:pos="525"/>
        </w:tabs>
        <w:spacing w:after="180" w:line="340" w:lineRule="exact"/>
        <w:ind w:left="0" w:firstLine="0"/>
        <w:jc w:val="both"/>
        <w:rPr>
          <w:spacing w:val="2"/>
          <w:szCs w:val="21"/>
        </w:rPr>
      </w:pPr>
      <w:r>
        <w:rPr>
          <w:rFonts w:cs="SimSun" w:hint="eastAsia"/>
        </w:rPr>
        <w:t>家庭健康调查发现，在伯利兹，对避孕知识的总体了解水平相当高。在被调查的妇女中，都知道口服避孕药的人数最多（</w:t>
      </w:r>
      <w:r>
        <w:t>92%</w:t>
      </w:r>
      <w:r>
        <w:rPr>
          <w:rFonts w:cs="SimSun" w:hint="eastAsia"/>
        </w:rPr>
        <w:t>），其次是注射药剂（</w:t>
      </w:r>
      <w:r>
        <w:t>88%</w:t>
      </w:r>
      <w:r>
        <w:rPr>
          <w:rFonts w:cs="SimSun" w:hint="eastAsia"/>
        </w:rPr>
        <w:t>）和避孕套（</w:t>
      </w:r>
      <w:r>
        <w:t>85%</w:t>
      </w:r>
      <w:r>
        <w:rPr>
          <w:rFonts w:cs="SimSun" w:hint="eastAsia"/>
        </w:rPr>
        <w:t>）。对避孕知识了解最少的是玛雅妇女，其中</w:t>
      </w:r>
      <w:r>
        <w:t>69.9%</w:t>
      </w:r>
      <w:r>
        <w:rPr>
          <w:rFonts w:cs="SimSun" w:hint="eastAsia"/>
        </w:rPr>
        <w:t>知道口服避孕药、</w:t>
      </w:r>
      <w:r>
        <w:t>42.8%</w:t>
      </w:r>
      <w:r>
        <w:rPr>
          <w:rFonts w:cs="SimSun" w:hint="eastAsia"/>
        </w:rPr>
        <w:t>知道避孕套、</w:t>
      </w:r>
      <w:r>
        <w:t>69.1%</w:t>
      </w:r>
      <w:r>
        <w:rPr>
          <w:rFonts w:cs="SimSun" w:hint="eastAsia"/>
        </w:rPr>
        <w:t>知道注射药剂法；</w:t>
      </w:r>
      <w:r>
        <w:rPr>
          <w:rStyle w:val="FootnoteReference"/>
        </w:rPr>
        <w:footnoteReference w:id="55"/>
      </w:r>
      <w:r>
        <w:rPr>
          <w:rFonts w:cs="SimSun" w:hint="eastAsia"/>
        </w:rPr>
        <w:t>有</w:t>
      </w:r>
      <w:r>
        <w:t>8%</w:t>
      </w:r>
      <w:r>
        <w:rPr>
          <w:rFonts w:cs="SimSun" w:hint="eastAsia"/>
        </w:rPr>
        <w:t>的玛雅妇女甚至连一种避孕</w:t>
      </w:r>
      <w:r w:rsidRPr="001101F1">
        <w:rPr>
          <w:rFonts w:cs="SimSun" w:hint="eastAsia"/>
          <w:spacing w:val="2"/>
          <w:szCs w:val="21"/>
        </w:rPr>
        <w:t>方法都不知道。公立诊所在</w:t>
      </w:r>
      <w:r w:rsidRPr="001101F1">
        <w:rPr>
          <w:spacing w:val="2"/>
          <w:szCs w:val="21"/>
        </w:rPr>
        <w:t>2002</w:t>
      </w:r>
      <w:r w:rsidRPr="001101F1">
        <w:rPr>
          <w:rFonts w:cs="SimSun" w:hint="eastAsia"/>
          <w:spacing w:val="2"/>
          <w:szCs w:val="21"/>
        </w:rPr>
        <w:t>年</w:t>
      </w:r>
      <w:r w:rsidRPr="001101F1">
        <w:rPr>
          <w:spacing w:val="2"/>
          <w:szCs w:val="21"/>
        </w:rPr>
        <w:t>8</w:t>
      </w:r>
      <w:r w:rsidRPr="001101F1">
        <w:rPr>
          <w:rFonts w:cs="SimSun" w:hint="eastAsia"/>
          <w:spacing w:val="2"/>
          <w:szCs w:val="21"/>
        </w:rPr>
        <w:t>月前提供输卵管结扎和注射药剂的服务，但在那之后提供此项服务的方案就停止了，近期还没有再次实施此类方案的可能。妇女现在要想避孕，必须向伯利兹家庭生活协会或私立部门求助。计划生育服务是国家健康保险一揽子保险的组成部分，卫生部已经拟订了草案，但还有待公布。</w:t>
      </w:r>
      <w:r w:rsidRPr="001101F1">
        <w:rPr>
          <w:rStyle w:val="FootnoteReference"/>
          <w:spacing w:val="2"/>
          <w:szCs w:val="21"/>
        </w:rPr>
        <w:footnoteReference w:id="56"/>
      </w:r>
    </w:p>
    <w:p w:rsidR="00373976" w:rsidRDefault="00373976" w:rsidP="00373976">
      <w:pPr>
        <w:numPr>
          <w:ilvl w:val="0"/>
          <w:numId w:val="39"/>
        </w:numPr>
        <w:tabs>
          <w:tab w:val="clear" w:pos="397"/>
          <w:tab w:val="left" w:pos="525"/>
        </w:tabs>
        <w:spacing w:after="240" w:line="380" w:lineRule="exact"/>
        <w:ind w:left="0" w:firstLine="0"/>
        <w:jc w:val="both"/>
      </w:pPr>
      <w:r>
        <w:rPr>
          <w:rFonts w:cs="SimSun" w:hint="eastAsia"/>
        </w:rPr>
        <w:t>家庭健康调查还发现，需要、知道却没有得到计划生育服务的妇女占</w:t>
      </w:r>
      <w:r>
        <w:t>15%</w:t>
      </w:r>
      <w:r>
        <w:rPr>
          <w:rFonts w:cs="SimSun" w:hint="eastAsia"/>
        </w:rPr>
        <w:t>。这一比例自卫生部不再提供避孕服务以来似乎又有增长。</w:t>
      </w:r>
      <w:r>
        <w:t>1999</w:t>
      </w:r>
      <w:r>
        <w:rPr>
          <w:rFonts w:cs="SimSun" w:hint="eastAsia"/>
        </w:rPr>
        <w:t>年有</w:t>
      </w:r>
      <w:r>
        <w:t>25%</w:t>
      </w:r>
      <w:r>
        <w:rPr>
          <w:rFonts w:cs="SimSun" w:hint="eastAsia"/>
        </w:rPr>
        <w:t>的怀孕据报是计划外怀孕，正式婚姻和同居关系中有</w:t>
      </w:r>
      <w:r>
        <w:t>56%</w:t>
      </w:r>
      <w:r>
        <w:rPr>
          <w:rFonts w:cs="SimSun" w:hint="eastAsia"/>
        </w:rPr>
        <w:t>的妇女采取避孕措施。在家庭生活和性教育方面，提到的最多的是伯利兹家庭生活协会（</w:t>
      </w:r>
      <w:r>
        <w:t>47%</w:t>
      </w:r>
      <w:r>
        <w:rPr>
          <w:rFonts w:cs="SimSun" w:hint="eastAsia"/>
        </w:rPr>
        <w:t>）和政府设施（</w:t>
      </w:r>
      <w:r>
        <w:t>20%</w:t>
      </w:r>
      <w:r>
        <w:rPr>
          <w:rFonts w:cs="SimSun" w:hint="eastAsia"/>
        </w:rPr>
        <w:t>）；</w:t>
      </w:r>
      <w:r>
        <w:t>56.9%</w:t>
      </w:r>
      <w:r>
        <w:rPr>
          <w:rFonts w:cs="SimSun" w:hint="eastAsia"/>
        </w:rPr>
        <w:t>的受访者未曾受到过有关家庭生活和性方面的教育；</w:t>
      </w:r>
      <w:r>
        <w:t>30.3%</w:t>
      </w:r>
      <w:r>
        <w:rPr>
          <w:rFonts w:cs="SimSun" w:hint="eastAsia"/>
        </w:rPr>
        <w:t>的妇女不知道哪里可以得到有关性和避孕的信息；</w:t>
      </w:r>
      <w:r>
        <w:t>30.8%</w:t>
      </w:r>
      <w:r>
        <w:rPr>
          <w:rFonts w:cs="SimSun" w:hint="eastAsia"/>
        </w:rPr>
        <w:t>不知道哪里可以得到有关性传播疾病的信息；</w:t>
      </w:r>
      <w:r>
        <w:t>32.4%</w:t>
      </w:r>
      <w:r>
        <w:rPr>
          <w:rFonts w:cs="SimSun" w:hint="eastAsia"/>
        </w:rPr>
        <w:t>不知道哪里可以得到有关艾滋病毒</w:t>
      </w:r>
      <w:r>
        <w:t>/</w:t>
      </w:r>
      <w:r>
        <w:rPr>
          <w:rFonts w:cs="SimSun" w:hint="eastAsia"/>
        </w:rPr>
        <w:t>艾滋病的信息。</w:t>
      </w:r>
    </w:p>
    <w:p w:rsidR="00373976" w:rsidRDefault="00373976" w:rsidP="00373976">
      <w:pPr>
        <w:numPr>
          <w:ilvl w:val="0"/>
          <w:numId w:val="39"/>
        </w:numPr>
        <w:tabs>
          <w:tab w:val="clear" w:pos="397"/>
          <w:tab w:val="left" w:pos="525"/>
        </w:tabs>
        <w:spacing w:after="240" w:line="380" w:lineRule="exact"/>
        <w:ind w:left="0" w:firstLine="0"/>
        <w:jc w:val="both"/>
      </w:pPr>
      <w:r>
        <w:rPr>
          <w:rFonts w:cs="SimSun" w:hint="eastAsia"/>
        </w:rPr>
        <w:t>有事例表明，医生常劝说妇女不要做输卵管结扎并拒绝为年轻妇女开避孕药具。农村妇女比城市妇女更容易碰到此类及其他享用权的问题。目前还不知道有多少使用避孕药具的妇女没有正确使用，药房提供的口服避孕药也往往没有口头说明。</w:t>
      </w:r>
      <w:r>
        <w:rPr>
          <w:rStyle w:val="FootnoteReference"/>
        </w:rPr>
        <w:footnoteReference w:id="57"/>
      </w:r>
    </w:p>
    <w:p w:rsidR="00373976" w:rsidRDefault="00373976" w:rsidP="00373976">
      <w:pPr>
        <w:tabs>
          <w:tab w:val="left" w:pos="525"/>
        </w:tabs>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12.2 2001</w:t>
      </w:r>
      <w:r>
        <w:rPr>
          <w:rFonts w:ascii="SimHei" w:eastAsia="SimHei" w:cs="SimHei" w:hint="eastAsia"/>
          <w:color w:val="FF0000"/>
        </w:rPr>
        <w:t>年妇女的前</w:t>
      </w:r>
      <w:r>
        <w:rPr>
          <w:rFonts w:ascii="SimHei" w:eastAsia="SimHei" w:cs="SimHei"/>
          <w:color w:val="FF0000"/>
        </w:rPr>
        <w:t>10</w:t>
      </w:r>
      <w:r>
        <w:rPr>
          <w:rFonts w:ascii="SimHei" w:eastAsia="SimHei" w:cs="SimHei" w:hint="eastAsia"/>
          <w:color w:val="FF0000"/>
        </w:rPr>
        <w:t>种死亡原因</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75"/>
        <w:gridCol w:w="1074"/>
        <w:gridCol w:w="1075"/>
        <w:gridCol w:w="1075"/>
      </w:tblGrid>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rPr>
                <w:rFonts w:eastAsia="SimHei"/>
                <w:color w:val="FF0000"/>
              </w:rPr>
            </w:pPr>
            <w:r>
              <w:rPr>
                <w:rFonts w:eastAsia="SimHei" w:cs="SimHei" w:hint="eastAsia"/>
                <w:color w:val="FF0000"/>
              </w:rPr>
              <w:t>原因</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rPr>
                <w:rFonts w:eastAsia="SimHei"/>
                <w:color w:val="FF0000"/>
              </w:rPr>
            </w:pPr>
            <w:r>
              <w:rPr>
                <w:rFonts w:eastAsia="SimHei" w:cs="SimHei" w:hint="eastAsia"/>
                <w:color w:val="FF0000"/>
              </w:rPr>
              <w:t>位次</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rPr>
                <w:rFonts w:eastAsia="SimHei"/>
                <w:color w:val="FF0000"/>
              </w:rPr>
            </w:pPr>
            <w:r>
              <w:rPr>
                <w:rFonts w:eastAsia="SimHei" w:cs="SimHei" w:hint="eastAsia"/>
                <w:color w:val="FF0000"/>
              </w:rPr>
              <w:t>总数</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rPr>
                <w:rFonts w:eastAsia="SimHei"/>
                <w:color w:val="FF0000"/>
              </w:rPr>
            </w:pPr>
            <w:r>
              <w:rPr>
                <w:rFonts w:eastAsia="SimHei" w:cs="SimHei" w:hint="eastAsia"/>
                <w:color w:val="FF0000"/>
              </w:rPr>
              <w:t>比例</w:t>
            </w:r>
          </w:p>
        </w:tc>
      </w:tr>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pStyle w:val="Date"/>
              <w:tabs>
                <w:tab w:val="left" w:pos="525"/>
              </w:tabs>
              <w:spacing w:after="180" w:line="360" w:lineRule="exact"/>
            </w:pPr>
            <w:r>
              <w:rPr>
                <w:rFonts w:cs="SimSun" w:hint="eastAsia"/>
              </w:rPr>
              <w:t>糖尿病</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pStyle w:val="Date"/>
              <w:tabs>
                <w:tab w:val="left" w:pos="525"/>
              </w:tabs>
              <w:spacing w:after="180" w:line="360" w:lineRule="exact"/>
              <w:jc w:val="center"/>
            </w:pPr>
            <w:r>
              <w:t>1</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44</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8.8%</w:t>
            </w:r>
          </w:p>
        </w:tc>
      </w:tr>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pPr>
            <w:r>
              <w:rPr>
                <w:rFonts w:cs="SimSun" w:hint="eastAsia"/>
              </w:rPr>
              <w:t>肺循环疾病和其他形式的心脏病</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2</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37</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7.4%</w:t>
            </w:r>
          </w:p>
        </w:tc>
      </w:tr>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pPr>
            <w:r>
              <w:rPr>
                <w:rFonts w:cs="SimSun" w:hint="eastAsia"/>
              </w:rPr>
              <w:t>高血压</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3</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35</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7.0%</w:t>
            </w:r>
          </w:p>
        </w:tc>
      </w:tr>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pPr>
            <w:r>
              <w:rPr>
                <w:rFonts w:cs="SimSun" w:hint="eastAsia"/>
              </w:rPr>
              <w:t>脑血管疾病</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4</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35</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7.0%</w:t>
            </w:r>
          </w:p>
        </w:tc>
      </w:tr>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pPr>
            <w:r>
              <w:rPr>
                <w:rFonts w:cs="SimSun" w:hint="eastAsia"/>
              </w:rPr>
              <w:t>局部缺血心脏病</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5</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30</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6.0%</w:t>
            </w:r>
          </w:p>
        </w:tc>
      </w:tr>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pPr>
            <w:r>
              <w:rPr>
                <w:rFonts w:cs="SimSun" w:hint="eastAsia"/>
              </w:rPr>
              <w:t>急性呼吸道疾病</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6</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30</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6.0%</w:t>
            </w:r>
          </w:p>
        </w:tc>
      </w:tr>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pPr>
            <w:r>
              <w:rPr>
                <w:rFonts w:cs="SimSun" w:hint="eastAsia"/>
              </w:rPr>
              <w:t>子宫、子宫颈、躯体和未指明的恶性肿瘤</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7</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20</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4.0%</w:t>
            </w:r>
          </w:p>
        </w:tc>
      </w:tr>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pPr>
            <w:r>
              <w:rPr>
                <w:rFonts w:cs="SimSun" w:hint="eastAsia"/>
              </w:rPr>
              <w:t>交通事故</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8</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16</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3.2%</w:t>
            </w:r>
          </w:p>
        </w:tc>
      </w:tr>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pPr>
            <w:r>
              <w:rPr>
                <w:rFonts w:cs="SimSun" w:hint="eastAsia"/>
              </w:rPr>
              <w:t>其他恶性肿瘤</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9</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14</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2.8%</w:t>
            </w:r>
          </w:p>
        </w:tc>
      </w:tr>
      <w:tr w:rsidR="00373976">
        <w:tblPrEx>
          <w:tblCellMar>
            <w:top w:w="0" w:type="dxa"/>
            <w:bottom w:w="0" w:type="dxa"/>
          </w:tblCellMar>
        </w:tblPrEx>
        <w:trPr>
          <w:jc w:val="center"/>
        </w:trPr>
        <w:tc>
          <w:tcPr>
            <w:tcW w:w="65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pPr>
            <w:r>
              <w:rPr>
                <w:rFonts w:cs="SimSun" w:hint="eastAsia"/>
              </w:rPr>
              <w:t>泌尿系统疾病</w:t>
            </w:r>
          </w:p>
        </w:tc>
        <w:tc>
          <w:tcPr>
            <w:tcW w:w="1074"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10</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13</w:t>
            </w:r>
          </w:p>
        </w:tc>
        <w:tc>
          <w:tcPr>
            <w:tcW w:w="1075"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180" w:line="360" w:lineRule="exact"/>
              <w:jc w:val="center"/>
            </w:pPr>
            <w:r>
              <w:t>2.6%</w:t>
            </w:r>
          </w:p>
        </w:tc>
      </w:tr>
    </w:tbl>
    <w:p w:rsidR="00373976" w:rsidRDefault="00373976" w:rsidP="00373976">
      <w:pPr>
        <w:pStyle w:val="FootnoteText"/>
        <w:tabs>
          <w:tab w:val="left" w:pos="525"/>
        </w:tabs>
        <w:spacing w:after="240" w:line="360" w:lineRule="exact"/>
        <w:jc w:val="both"/>
      </w:pPr>
      <w:r>
        <w:rPr>
          <w:rFonts w:eastAsia="KaiTi_GB2312" w:cs="KaiTi_GB2312" w:hint="eastAsia"/>
          <w:color w:val="0000FF"/>
        </w:rPr>
        <w:t>资料来源</w:t>
      </w:r>
      <w:r>
        <w:rPr>
          <w:rFonts w:eastAsia="KaiTi_GB2312" w:cs="KaiTi_GB2312" w:hint="eastAsia"/>
        </w:rPr>
        <w:t>：</w:t>
      </w:r>
      <w:r>
        <w:rPr>
          <w:rFonts w:cs="SimSun" w:hint="eastAsia"/>
        </w:rPr>
        <w:t>国家卫生信息和监督局。</w:t>
      </w:r>
    </w:p>
    <w:p w:rsidR="00373976" w:rsidRDefault="00373976" w:rsidP="00373976">
      <w:pPr>
        <w:tabs>
          <w:tab w:val="left" w:pos="525"/>
        </w:tabs>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12.3</w:t>
      </w:r>
      <w:r>
        <w:rPr>
          <w:rFonts w:ascii="SimHei" w:eastAsia="SimHei" w:cs="SimHei" w:hint="eastAsia"/>
          <w:color w:val="FF0000"/>
        </w:rPr>
        <w:t xml:space="preserve">　</w:t>
      </w:r>
      <w:r>
        <w:rPr>
          <w:rFonts w:ascii="SimHei" w:eastAsia="SimHei" w:cs="SimHei"/>
          <w:color w:val="FF0000"/>
        </w:rPr>
        <w:t>1997-2001</w:t>
      </w:r>
      <w:r>
        <w:rPr>
          <w:rFonts w:ascii="SimHei" w:eastAsia="SimHei" w:cs="SimHei" w:hint="eastAsia"/>
          <w:color w:val="FF0000"/>
        </w:rPr>
        <w:t>年妇女的前</w:t>
      </w:r>
      <w:r>
        <w:rPr>
          <w:rFonts w:ascii="SimHei" w:eastAsia="SimHei" w:cs="SimHei"/>
          <w:color w:val="FF0000"/>
        </w:rPr>
        <w:t>10</w:t>
      </w:r>
      <w:r>
        <w:rPr>
          <w:rFonts w:ascii="SimHei" w:eastAsia="SimHei" w:cs="SimHei" w:hint="eastAsia"/>
          <w:color w:val="FF0000"/>
        </w:rPr>
        <w:t>种住院病因</w:t>
      </w:r>
    </w:p>
    <w:tbl>
      <w:tblPr>
        <w:tblW w:w="98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1113"/>
        <w:gridCol w:w="1113"/>
        <w:gridCol w:w="1113"/>
        <w:gridCol w:w="1113"/>
        <w:gridCol w:w="1113"/>
      </w:tblGrid>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rPr>
                <w:rFonts w:ascii="SimHei" w:eastAsia="SimHei"/>
                <w:color w:val="FF0000"/>
              </w:rPr>
            </w:pPr>
            <w:r>
              <w:rPr>
                <w:rFonts w:ascii="SimHei" w:eastAsia="SimHei" w:cs="SimHei" w:hint="eastAsia"/>
                <w:color w:val="FF0000"/>
              </w:rPr>
              <w:t>病因</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jc w:val="center"/>
              <w:rPr>
                <w:rFonts w:ascii="SimHei" w:eastAsia="SimHei"/>
                <w:color w:val="FF0000"/>
              </w:rPr>
            </w:pPr>
            <w:r>
              <w:rPr>
                <w:rFonts w:ascii="SimHei" w:eastAsia="SimHei" w:cs="SimHei"/>
                <w:color w:val="FF0000"/>
              </w:rPr>
              <w:t>1997</w:t>
            </w:r>
            <w:r>
              <w:rPr>
                <w:rFonts w:ascii="SimHei" w:eastAsia="SimHei" w:cs="SimHei" w:hint="eastAsia"/>
                <w:color w:val="FF0000"/>
              </w:rPr>
              <w:t>年</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jc w:val="center"/>
              <w:rPr>
                <w:rFonts w:ascii="SimHei" w:eastAsia="SimHei"/>
                <w:color w:val="FF0000"/>
              </w:rPr>
            </w:pPr>
            <w:r>
              <w:rPr>
                <w:rFonts w:ascii="SimHei" w:eastAsia="SimHei" w:cs="SimHei"/>
                <w:color w:val="FF0000"/>
              </w:rPr>
              <w:t>1998</w:t>
            </w:r>
            <w:r>
              <w:rPr>
                <w:rFonts w:ascii="SimHei" w:eastAsia="SimHei" w:cs="SimHei" w:hint="eastAsia"/>
                <w:color w:val="FF0000"/>
              </w:rPr>
              <w:t>年</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jc w:val="center"/>
              <w:rPr>
                <w:rFonts w:ascii="SimHei" w:eastAsia="SimHei"/>
                <w:color w:val="FF0000"/>
              </w:rPr>
            </w:pPr>
            <w:r>
              <w:rPr>
                <w:rFonts w:ascii="SimHei" w:eastAsia="SimHei" w:cs="SimHei"/>
                <w:color w:val="FF0000"/>
              </w:rPr>
              <w:t>1999</w:t>
            </w:r>
            <w:r>
              <w:rPr>
                <w:rFonts w:ascii="SimHei" w:eastAsia="SimHei" w:cs="SimHei" w:hint="eastAsia"/>
                <w:color w:val="FF0000"/>
              </w:rPr>
              <w:t>年</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jc w:val="center"/>
              <w:rPr>
                <w:rFonts w:ascii="SimHei" w:eastAsia="SimHei"/>
                <w:color w:val="FF0000"/>
              </w:rPr>
            </w:pPr>
            <w:r>
              <w:rPr>
                <w:rFonts w:ascii="SimHei" w:eastAsia="SimHei" w:cs="SimHei"/>
                <w:color w:val="FF0000"/>
              </w:rPr>
              <w:t>2000</w:t>
            </w:r>
            <w:r>
              <w:rPr>
                <w:rFonts w:ascii="SimHei" w:eastAsia="SimHei" w:cs="SimHei" w:hint="eastAsia"/>
                <w:color w:val="FF0000"/>
              </w:rPr>
              <w:t>年</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jc w:val="center"/>
              <w:rPr>
                <w:rFonts w:ascii="SimHei" w:eastAsia="SimHei"/>
                <w:color w:val="FF0000"/>
              </w:rPr>
            </w:pPr>
            <w:r>
              <w:rPr>
                <w:rFonts w:ascii="SimHei" w:eastAsia="SimHei" w:cs="SimHei"/>
                <w:color w:val="FF0000"/>
              </w:rPr>
              <w:t>2001</w:t>
            </w:r>
            <w:r>
              <w:rPr>
                <w:rFonts w:ascii="SimHei" w:eastAsia="SimHei" w:cs="SimHei" w:hint="eastAsia"/>
                <w:color w:val="FF0000"/>
              </w:rPr>
              <w:t>年</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pPr>
            <w:r>
              <w:rPr>
                <w:rFonts w:cs="SimSun" w:hint="eastAsia"/>
              </w:rPr>
              <w:t>怀孕、生育、产后期并发症</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6 038</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6 097</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6 331</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6 444</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5 860</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pStyle w:val="Date"/>
              <w:tabs>
                <w:tab w:val="left" w:pos="525"/>
              </w:tabs>
              <w:spacing w:after="120" w:line="320" w:lineRule="exact"/>
            </w:pPr>
            <w:r>
              <w:rPr>
                <w:rFonts w:cs="SimSun" w:hint="eastAsia"/>
              </w:rPr>
              <w:t>受伤、中毒和外因造成的其他一些后果</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1 127</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1 183</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1 101</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618</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1 133</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pPr>
            <w:r>
              <w:rPr>
                <w:rFonts w:cs="SimSun" w:hint="eastAsia"/>
              </w:rPr>
              <w:t>急性呼吸道感染</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782</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819</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800</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923</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895</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pPr>
            <w:r>
              <w:rPr>
                <w:rFonts w:cs="SimSun" w:hint="eastAsia"/>
              </w:rPr>
              <w:t>肠道传染病</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751</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802</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523</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454</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508</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pPr>
            <w:r>
              <w:rPr>
                <w:rFonts w:cs="SimSun" w:hint="eastAsia"/>
              </w:rPr>
              <w:t>支气管炎、慢性和未指明的肺气肿和哮喘</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632</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493</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384</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228</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320</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pPr>
            <w:r>
              <w:rPr>
                <w:rFonts w:cs="SimSun" w:hint="eastAsia"/>
              </w:rPr>
              <w:t>泌尿系统疾病</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462</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392</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396</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378</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386</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pPr>
            <w:r>
              <w:rPr>
                <w:rFonts w:cs="SimSun" w:hint="eastAsia"/>
              </w:rPr>
              <w:t>消化系统其他部位的疾病</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466</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473</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489</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488</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522</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pPr>
            <w:r>
              <w:rPr>
                <w:rFonts w:cs="SimSun" w:hint="eastAsia"/>
              </w:rPr>
              <w:t>阑尾炎、腹腔疝气和肠梗阻</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380</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336</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347</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462</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412</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pPr>
            <w:r>
              <w:rPr>
                <w:rFonts w:cs="SimSun" w:hint="eastAsia"/>
              </w:rPr>
              <w:t>围产期的其他病症</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282</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366</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409</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350</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rPr>
                <w:rFonts w:cs="SimSun" w:hint="eastAsia"/>
              </w:rPr>
              <w:t>不详</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pPr>
            <w:r>
              <w:rPr>
                <w:rFonts w:cs="SimSun" w:hint="eastAsia"/>
              </w:rPr>
              <w:t>糖尿病</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267</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306</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319</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360</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366</w:t>
            </w:r>
          </w:p>
        </w:tc>
      </w:tr>
      <w:tr w:rsidR="00373976">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tcPr>
          <w:p w:rsidR="00373976" w:rsidRDefault="00373976" w:rsidP="0068095F">
            <w:pPr>
              <w:tabs>
                <w:tab w:val="left" w:pos="525"/>
              </w:tabs>
              <w:spacing w:after="120"/>
            </w:pPr>
            <w:r>
              <w:rPr>
                <w:rFonts w:cs="SimSun" w:hint="eastAsia"/>
              </w:rPr>
              <w:t>营养不良和贫血</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247</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t>255</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rPr>
                <w:rFonts w:cs="SimSun" w:hint="eastAsia"/>
              </w:rPr>
              <w:t>不详</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rPr>
                <w:rFonts w:cs="SimSun" w:hint="eastAsia"/>
              </w:rPr>
              <w:t>不详</w:t>
            </w:r>
          </w:p>
        </w:tc>
        <w:tc>
          <w:tcPr>
            <w:tcW w:w="1113" w:type="dxa"/>
            <w:tcBorders>
              <w:top w:val="single" w:sz="4" w:space="0" w:color="auto"/>
              <w:left w:val="single" w:sz="4" w:space="0" w:color="auto"/>
              <w:bottom w:val="single" w:sz="4" w:space="0" w:color="auto"/>
              <w:right w:val="single" w:sz="4" w:space="0" w:color="auto"/>
            </w:tcBorders>
          </w:tcPr>
          <w:p w:rsidR="00373976" w:rsidRDefault="00373976" w:rsidP="009B38FD">
            <w:pPr>
              <w:tabs>
                <w:tab w:val="left" w:pos="525"/>
              </w:tabs>
              <w:spacing w:after="120"/>
              <w:ind w:rightChars="100" w:right="31680"/>
              <w:jc w:val="right"/>
            </w:pPr>
            <w:r>
              <w:rPr>
                <w:rFonts w:cs="SimSun" w:hint="eastAsia"/>
              </w:rPr>
              <w:t>不详</w:t>
            </w:r>
          </w:p>
        </w:tc>
      </w:tr>
    </w:tbl>
    <w:p w:rsidR="00373976" w:rsidRDefault="00373976" w:rsidP="00373976">
      <w:pPr>
        <w:pStyle w:val="FootnoteText"/>
        <w:tabs>
          <w:tab w:val="left" w:pos="525"/>
        </w:tabs>
        <w:spacing w:after="240" w:line="360" w:lineRule="exact"/>
        <w:jc w:val="both"/>
      </w:pPr>
      <w:r>
        <w:rPr>
          <w:rFonts w:eastAsia="KaiTi_GB2312" w:cs="KaiTi_GB2312" w:hint="eastAsia"/>
          <w:color w:val="0000FF"/>
        </w:rPr>
        <w:t>资料来源</w:t>
      </w:r>
      <w:r>
        <w:rPr>
          <w:rFonts w:cs="SimSun" w:hint="eastAsia"/>
        </w:rPr>
        <w:t>：卫生部全国卫生信息调查。</w:t>
      </w:r>
    </w:p>
    <w:p w:rsidR="00373976" w:rsidRDefault="00373976" w:rsidP="00373976">
      <w:pPr>
        <w:tabs>
          <w:tab w:val="left" w:pos="525"/>
        </w:tabs>
        <w:autoSpaceDE w:val="0"/>
        <w:autoSpaceDN w:val="0"/>
        <w:spacing w:after="240" w:line="380" w:lineRule="exact"/>
        <w:rPr>
          <w:rFonts w:eastAsia="SimHei"/>
          <w:color w:val="FF0000"/>
          <w:sz w:val="24"/>
          <w:szCs w:val="24"/>
          <w:lang w:val="zh-CN"/>
        </w:rPr>
      </w:pPr>
      <w:r>
        <w:rPr>
          <w:rFonts w:eastAsia="SimHei" w:cs="SimHei" w:hint="eastAsia"/>
          <w:color w:val="FF0000"/>
          <w:sz w:val="24"/>
          <w:szCs w:val="24"/>
          <w:lang w:val="zh-CN"/>
        </w:rPr>
        <w:t>少女怀孕</w:t>
      </w:r>
    </w:p>
    <w:p w:rsidR="00373976" w:rsidRDefault="00373976" w:rsidP="0068095F">
      <w:pPr>
        <w:numPr>
          <w:ilvl w:val="0"/>
          <w:numId w:val="39"/>
        </w:numPr>
        <w:tabs>
          <w:tab w:val="clear" w:pos="397"/>
          <w:tab w:val="left" w:pos="525"/>
        </w:tabs>
        <w:spacing w:after="180" w:line="360" w:lineRule="exact"/>
        <w:ind w:left="0" w:firstLine="0"/>
        <w:jc w:val="both"/>
      </w:pPr>
      <w:r>
        <w:rPr>
          <w:rFonts w:cs="SimSun" w:hint="eastAsia"/>
        </w:rPr>
        <w:t>尽管伯利兹的少女怀孕率在</w:t>
      </w:r>
      <w:r>
        <w:t>1991</w:t>
      </w:r>
      <w:r>
        <w:rPr>
          <w:rFonts w:cs="SimSun" w:hint="eastAsia"/>
        </w:rPr>
        <w:t>年至</w:t>
      </w:r>
      <w:r>
        <w:t>1999</w:t>
      </w:r>
      <w:r>
        <w:rPr>
          <w:rFonts w:cs="SimSun" w:hint="eastAsia"/>
        </w:rPr>
        <w:t>年间下降了</w:t>
      </w:r>
      <w:r>
        <w:t>31%</w:t>
      </w:r>
      <w:r>
        <w:rPr>
          <w:rFonts w:cs="SimSun" w:hint="eastAsia"/>
        </w:rPr>
        <w:t>，</w:t>
      </w:r>
      <w:r>
        <w:rPr>
          <w:rStyle w:val="FootnoteReference"/>
        </w:rPr>
        <w:footnoteReference w:id="58"/>
      </w:r>
      <w:r>
        <w:rPr>
          <w:rFonts w:cs="SimSun" w:hint="eastAsia"/>
        </w:rPr>
        <w:t>但每五名生育妇女中仍有一名是青少年，即占所有生育妇女的</w:t>
      </w:r>
      <w:r>
        <w:t>20%</w:t>
      </w:r>
      <w:r>
        <w:rPr>
          <w:rFonts w:cs="SimSun" w:hint="eastAsia"/>
        </w:rPr>
        <w:t>。</w:t>
      </w:r>
      <w:r>
        <w:rPr>
          <w:rStyle w:val="FootnoteReference"/>
        </w:rPr>
        <w:footnoteReference w:id="59"/>
      </w:r>
    </w:p>
    <w:p w:rsidR="00373976" w:rsidRDefault="00373976" w:rsidP="0068095F">
      <w:pPr>
        <w:numPr>
          <w:ilvl w:val="0"/>
          <w:numId w:val="39"/>
        </w:numPr>
        <w:tabs>
          <w:tab w:val="clear" w:pos="397"/>
          <w:tab w:val="left" w:pos="525"/>
        </w:tabs>
        <w:spacing w:after="180" w:line="360" w:lineRule="exact"/>
        <w:ind w:left="0" w:firstLine="0"/>
        <w:jc w:val="both"/>
      </w:pPr>
      <w:r>
        <w:t>15</w:t>
      </w:r>
      <w:r>
        <w:rPr>
          <w:rFonts w:cs="SimSun" w:hint="eastAsia"/>
        </w:rPr>
        <w:t>至</w:t>
      </w:r>
      <w:r>
        <w:t>19</w:t>
      </w:r>
      <w:r>
        <w:rPr>
          <w:rFonts w:cs="SimSun" w:hint="eastAsia"/>
        </w:rPr>
        <w:t>岁少女怀孕数量的下降也许是计划生育教育和使用避孕药具的结果，但性行为过早这种趋势令人担心。</w:t>
      </w:r>
      <w:r>
        <w:t>15</w:t>
      </w:r>
      <w:r>
        <w:rPr>
          <w:rFonts w:cs="SimSun" w:hint="eastAsia"/>
        </w:rPr>
        <w:t>至</w:t>
      </w:r>
      <w:r>
        <w:t>19</w:t>
      </w:r>
      <w:r>
        <w:rPr>
          <w:rFonts w:cs="SimSun" w:hint="eastAsia"/>
        </w:rPr>
        <w:t>岁少女中，初次性行为的平均年龄是</w:t>
      </w:r>
      <w:r>
        <w:t>15.6</w:t>
      </w:r>
      <w:r>
        <w:rPr>
          <w:rFonts w:cs="SimSun" w:hint="eastAsia"/>
        </w:rPr>
        <w:t>岁，而</w:t>
      </w:r>
      <w:r>
        <w:t>40</w:t>
      </w:r>
      <w:r>
        <w:rPr>
          <w:rFonts w:cs="SimSun" w:hint="eastAsia"/>
        </w:rPr>
        <w:t>至</w:t>
      </w:r>
      <w:r>
        <w:t>44</w:t>
      </w:r>
      <w:r>
        <w:rPr>
          <w:rFonts w:cs="SimSun" w:hint="eastAsia"/>
        </w:rPr>
        <w:t>岁的妇女中，初次性行为的平均年龄是</w:t>
      </w:r>
      <w:r>
        <w:t>18</w:t>
      </w:r>
      <w:r>
        <w:rPr>
          <w:rFonts w:cs="SimSun" w:hint="eastAsia"/>
        </w:rPr>
        <w:t>岁。</w:t>
      </w:r>
      <w:r>
        <w:rPr>
          <w:rStyle w:val="FootnoteReference"/>
        </w:rPr>
        <w:footnoteReference w:id="60"/>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据公共保健护士报告，除了更多地使用避孕药具，年轻妇女还将肛交作为避孕的一种方法。这引起了对妇女感染性传播疾病（包括艾滋病毒）的可能性增加的担忧。</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伯利兹家庭生活协会（</w:t>
      </w:r>
      <w:r>
        <w:t>BFLA</w:t>
      </w:r>
      <w:r>
        <w:rPr>
          <w:rFonts w:cs="SimSun" w:hint="eastAsia"/>
        </w:rPr>
        <w:t>）仍是对青少年开展家庭生活教育（包括预防艾滋病）的主要组织。该协会以青少年为对象，主要通过非正式培训和教育活动，在城市和农村地区对他们开展工作。除了伯利兹家庭生活协会，健康教育和社区参与局（</w:t>
      </w:r>
      <w:r>
        <w:t>HECOPAB</w:t>
      </w:r>
      <w:r>
        <w:rPr>
          <w:rFonts w:cs="SimSun" w:hint="eastAsia"/>
        </w:rPr>
        <w:t>）在课堂上向青少年提供教育课程，特别是在那些宗教信仰反对将避孕措施作为一种计划生育方式的学校里。</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《性健康和生殖健康政策》确认有必要对青少年健康问题给予特别关注。该政策包含了</w:t>
      </w:r>
      <w:r>
        <w:t>11</w:t>
      </w:r>
      <w:r>
        <w:rPr>
          <w:rFonts w:cs="SimSun" w:hint="eastAsia"/>
        </w:rPr>
        <w:t>项承诺，其目的是：保护青少年获得性健康和生殖健康信息和服务的权利；消除对年轻孕妇的歧视；保证孕妇返回学校的权利；为青少年提供咨询和心理保健服务；增强提供上述服务的能力。</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尽管该《政策》的目标是确保向青少年提供全面的卫生保健服务，包括“校内校外”的性健康和生殖健康信息，但教会对中小学教育的影响太大，障碍了这项规定的贯彻。</w:t>
      </w:r>
    </w:p>
    <w:p w:rsidR="00373976" w:rsidRDefault="00373976" w:rsidP="00373976">
      <w:pPr>
        <w:numPr>
          <w:ilvl w:val="0"/>
          <w:numId w:val="39"/>
        </w:numPr>
        <w:tabs>
          <w:tab w:val="clear" w:pos="397"/>
          <w:tab w:val="left" w:pos="525"/>
        </w:tabs>
        <w:spacing w:after="240" w:line="360" w:lineRule="exact"/>
        <w:ind w:left="0" w:firstLine="0"/>
        <w:jc w:val="both"/>
        <w:rPr>
          <w:u w:val="single"/>
        </w:rPr>
      </w:pPr>
      <w:r>
        <w:rPr>
          <w:rFonts w:cs="SimSun" w:hint="eastAsia"/>
        </w:rPr>
        <w:t>为了更好地实施《性健康和生殖健康政策》，</w:t>
      </w:r>
      <w:r>
        <w:t>2004</w:t>
      </w:r>
      <w:r>
        <w:rPr>
          <w:rFonts w:cs="SimSun" w:hint="eastAsia"/>
        </w:rPr>
        <w:t>年将制定一项明确的“健康和家庭生活教育”政策和课程。同样可以预见，在教会和国家相结合的教育体制中，要落实这一课程中计划生育方面的内容，还会遇到挑战。</w:t>
      </w:r>
    </w:p>
    <w:p w:rsidR="00373976" w:rsidRDefault="00373976" w:rsidP="00373976">
      <w:pPr>
        <w:tabs>
          <w:tab w:val="left" w:pos="525"/>
        </w:tabs>
        <w:autoSpaceDE w:val="0"/>
        <w:autoSpaceDN w:val="0"/>
        <w:spacing w:after="240" w:line="380" w:lineRule="exact"/>
        <w:rPr>
          <w:rFonts w:eastAsia="SimHei"/>
          <w:color w:val="FF0000"/>
          <w:sz w:val="24"/>
          <w:szCs w:val="24"/>
          <w:lang w:val="zh-CN"/>
        </w:rPr>
      </w:pPr>
      <w:r>
        <w:rPr>
          <w:rFonts w:eastAsia="SimHei" w:cs="SimHei" w:hint="eastAsia"/>
          <w:color w:val="FF0000"/>
          <w:sz w:val="24"/>
          <w:szCs w:val="24"/>
          <w:lang w:val="zh-CN"/>
        </w:rPr>
        <w:t>产妇保健</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泛美卫生组织最近的一项研究发现，尽管近期对卫生部门进行了结构调整，</w:t>
      </w:r>
      <w:r>
        <w:rPr>
          <w:rFonts w:ascii="KaiTi_GB2312" w:eastAsia="KaiTi_GB2312" w:hAnsi="STKaiti" w:cs="KaiTi_GB2312" w:hint="eastAsia"/>
          <w:color w:val="0000FF"/>
        </w:rPr>
        <w:t>“但仍没有包括明确的孕妇保健模式，在所有的卫生改革文件中也没有对这些需求给予特殊的关注</w:t>
      </w:r>
      <w:r>
        <w:rPr>
          <w:rFonts w:ascii="KaiTi_GB2312" w:eastAsia="KaiTi_GB2312" w:hAnsi="?a????¨¬? Western" w:cs="?a????¨¬? Western"/>
          <w:color w:val="0000FF"/>
        </w:rPr>
        <w:t>”</w:t>
      </w:r>
      <w:r>
        <w:rPr>
          <w:rFonts w:ascii="KaiTi_GB2312" w:eastAsia="KaiTi_GB2312" w:hAnsi="STKaiti" w:cs="KaiTi_GB2312" w:hint="eastAsia"/>
          <w:color w:val="0000FF"/>
        </w:rPr>
        <w:t>。</w:t>
      </w:r>
      <w:r>
        <w:rPr>
          <w:rStyle w:val="FootnoteReference"/>
        </w:rPr>
        <w:footnoteReference w:id="61"/>
      </w:r>
      <w:r>
        <w:t xml:space="preserve"> </w:t>
      </w:r>
      <w:r>
        <w:rPr>
          <w:rFonts w:cs="SimSun" w:hint="eastAsia"/>
        </w:rPr>
        <w:t>虽然在伯利兹的产妇死亡报告方面有所改进，但仍存在着漏报的问题。对死亡和生育总数的漏报可能高达</w:t>
      </w:r>
      <w:r>
        <w:t>30%</w:t>
      </w:r>
      <w:r>
        <w:rPr>
          <w:rFonts w:cs="SimSun" w:hint="eastAsia"/>
        </w:rPr>
        <w:t>。</w:t>
      </w:r>
      <w:r>
        <w:rPr>
          <w:rStyle w:val="FootnoteReference"/>
        </w:rPr>
        <w:footnoteReference w:id="62"/>
      </w:r>
      <w:r>
        <w:rPr>
          <w:rFonts w:cs="SimSun" w:hint="eastAsia"/>
        </w:rPr>
        <w:t>产妇死亡报告中的不一致可从表</w:t>
      </w:r>
      <w:r>
        <w:t>12.4</w:t>
      </w:r>
      <w:r>
        <w:rPr>
          <w:rFonts w:cs="SimSun" w:hint="eastAsia"/>
        </w:rPr>
        <w:t>中看出，在该表中，不同的信息来源给出了不同的比率。</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研究发现，近期的改革所创立的卫生保健组织模式也许对妇女并不适用，对国家来说，其支出也超出了基本所需。这项研究对日益发展的私营部门表示担忧，因为它们也许会将利润目标瞄向妇女保健。研究发现：</w:t>
      </w:r>
    </w:p>
    <w:p w:rsidR="00373976" w:rsidRDefault="00373976" w:rsidP="009B38FD">
      <w:pPr>
        <w:pStyle w:val="BodyText2"/>
        <w:tabs>
          <w:tab w:val="left" w:pos="525"/>
        </w:tabs>
        <w:spacing w:after="240" w:line="360" w:lineRule="exact"/>
        <w:ind w:leftChars="250" w:left="31680" w:firstLineChars="200" w:firstLine="31680"/>
        <w:jc w:val="both"/>
        <w:rPr>
          <w:rFonts w:ascii="KaiTi_GB2312" w:eastAsia="KaiTi_GB2312" w:hAnsi="STKaiti"/>
          <w:color w:val="0000FF"/>
          <w:szCs w:val="21"/>
        </w:rPr>
      </w:pPr>
      <w:r>
        <w:rPr>
          <w:rFonts w:ascii="KaiTi_GB2312" w:eastAsia="KaiTi_GB2312" w:hAnsi="STKaiti" w:cs="KaiTi_GB2312" w:hint="eastAsia"/>
          <w:color w:val="0000FF"/>
          <w:szCs w:val="21"/>
        </w:rPr>
        <w:t>“尽管</w:t>
      </w:r>
      <w:r>
        <w:rPr>
          <w:rFonts w:hAnsi="SimSun" w:cs="SimSun" w:hint="eastAsia"/>
          <w:color w:val="0000FF"/>
          <w:szCs w:val="21"/>
        </w:rPr>
        <w:t>……</w:t>
      </w:r>
      <w:r>
        <w:rPr>
          <w:rFonts w:ascii="KaiTi_GB2312" w:eastAsia="KaiTi_GB2312" w:hAnsi="STKaiti" w:cs="KaiTi_GB2312" w:hint="eastAsia"/>
          <w:color w:val="0000FF"/>
          <w:szCs w:val="21"/>
        </w:rPr>
        <w:t>妇女事务部和全国妇女委员会在过去的十年里十分关注比较广泛的妇女健康问题，但卫生部主要把精力放在以婴儿为中心的妇幼保健方法上</w:t>
      </w:r>
      <w:r>
        <w:rPr>
          <w:rFonts w:hAnsi="SimSun" w:cs="SimSun" w:hint="eastAsia"/>
          <w:color w:val="0000FF"/>
          <w:szCs w:val="21"/>
        </w:rPr>
        <w:t>……</w:t>
      </w:r>
      <w:r>
        <w:rPr>
          <w:rFonts w:ascii="KaiTi_GB2312" w:eastAsia="KaiTi_GB2312" w:hAnsi="STKaiti" w:cs="KaiTi_GB2312" w:hint="eastAsia"/>
          <w:color w:val="0000FF"/>
          <w:szCs w:val="21"/>
        </w:rPr>
        <w:t>。至少接受一次产前保健服务的妇女人数相当多，入院生产率也相当高。但有些妇女享受产前护理的时间太晚，或没有进行足够的产前检查，产后护理的水平也不足</w:t>
      </w:r>
      <w:r>
        <w:rPr>
          <w:rFonts w:hAnsi="SimSun" w:cs="SimSun" w:hint="eastAsia"/>
          <w:color w:val="0000FF"/>
          <w:szCs w:val="21"/>
        </w:rPr>
        <w:t>……</w:t>
      </w:r>
      <w:r>
        <w:rPr>
          <w:rFonts w:ascii="KaiTi_GB2312" w:eastAsia="KaiTi_GB2312" w:hAnsi="STKaiti" w:cs="KaiTi_GB2312" w:hint="eastAsia"/>
          <w:color w:val="0000FF"/>
          <w:szCs w:val="21"/>
        </w:rPr>
        <w:t>。产前产后保健的质量因缺乏标准、存档工作差及跟踪不够而受到影响。对高危患者来说，后果尤其严重。尽管卫生保健服务分区管理，但还没有明显的迹象表明对特殊的群体采取了特别的措施来保证她们得到这些服务。没有待产室；社区一级和保健服务设施中的安全孕产教育还很薄弱；在农村地区采取避孕措施的人数有限，可选的避孕方法也不多。”</w:t>
      </w:r>
      <w:r>
        <w:rPr>
          <w:rStyle w:val="FootnoteReference"/>
          <w:rFonts w:ascii="KaiTi_GB2312" w:eastAsia="KaiTi_GB2312" w:hAnsi="STKaiti"/>
          <w:color w:val="0000FF"/>
          <w:szCs w:val="21"/>
        </w:rPr>
        <w:footnoteReference w:id="63"/>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与怀孕有关的死亡原因包括：缺乏孕期风险方面的信息、避孕措施不足、归档系统不完善造成护理不连续、因缺乏高危病患转诊诊所而延误治疗、在不安全的条件下终止妊娠和害怕到医院治疗并发症、延误寻求助产的时机、没有运输工具和待产室数量不够、紧急转诊系统不完善、延误入院治疗、紧急产科护理质量差、产后跟踪服务薄弱，以及长期以来认为死亡是妇女（特别是贫困的农村妇女）命该如此的观念等。</w:t>
      </w:r>
      <w:r>
        <w:rPr>
          <w:rStyle w:val="FootnoteReference"/>
        </w:rPr>
        <w:footnoteReference w:id="64"/>
      </w:r>
    </w:p>
    <w:p w:rsidR="00373976" w:rsidRDefault="00373976" w:rsidP="00373976">
      <w:pPr>
        <w:pStyle w:val="BodyText2"/>
        <w:tabs>
          <w:tab w:val="left" w:pos="525"/>
        </w:tabs>
        <w:spacing w:after="240" w:line="360" w:lineRule="exact"/>
        <w:jc w:val="both"/>
        <w:rPr>
          <w:rFonts w:ascii="SimHei"/>
          <w:color w:val="FF0000"/>
          <w:szCs w:val="21"/>
        </w:rPr>
      </w:pPr>
      <w:r>
        <w:rPr>
          <w:rFonts w:ascii="SimHei" w:cs="SimHei" w:hint="eastAsia"/>
          <w:color w:val="FF0000"/>
          <w:szCs w:val="21"/>
        </w:rPr>
        <w:t>表</w:t>
      </w:r>
      <w:r>
        <w:rPr>
          <w:rFonts w:ascii="SimHei" w:cs="SimHei"/>
          <w:color w:val="FF0000"/>
          <w:szCs w:val="21"/>
        </w:rPr>
        <w:t>12.4</w:t>
      </w:r>
      <w:r>
        <w:rPr>
          <w:rFonts w:ascii="SimHei" w:cs="SimHei" w:hint="eastAsia"/>
          <w:color w:val="FF0000"/>
          <w:szCs w:val="21"/>
        </w:rPr>
        <w:t xml:space="preserve">　</w:t>
      </w:r>
      <w:r>
        <w:rPr>
          <w:rFonts w:ascii="SimHei" w:cs="SimHei"/>
          <w:color w:val="FF0000"/>
          <w:szCs w:val="21"/>
        </w:rPr>
        <w:t>1990-2000</w:t>
      </w:r>
      <w:r>
        <w:rPr>
          <w:rFonts w:ascii="SimHei" w:cs="SimHei" w:hint="eastAsia"/>
          <w:color w:val="FF0000"/>
          <w:szCs w:val="21"/>
        </w:rPr>
        <w:t>年每</w:t>
      </w:r>
      <w:r>
        <w:rPr>
          <w:rFonts w:ascii="SimHei" w:cs="SimHei"/>
          <w:color w:val="FF0000"/>
          <w:szCs w:val="21"/>
        </w:rPr>
        <w:t>100 000</w:t>
      </w:r>
      <w:r>
        <w:rPr>
          <w:rFonts w:ascii="SimHei" w:cs="SimHei" w:hint="eastAsia"/>
          <w:color w:val="FF0000"/>
          <w:szCs w:val="21"/>
        </w:rPr>
        <w:t>名产妇的死亡率：不同资料来源</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0"/>
        <w:gridCol w:w="2184"/>
        <w:gridCol w:w="2185"/>
        <w:gridCol w:w="2185"/>
        <w:gridCol w:w="2185"/>
      </w:tblGrid>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rFonts w:ascii="SimHei"/>
                <w:color w:val="FF0000"/>
                <w:szCs w:val="21"/>
              </w:rPr>
            </w:pPr>
          </w:p>
          <w:p w:rsidR="00373976" w:rsidRDefault="00373976" w:rsidP="00373976">
            <w:pPr>
              <w:pStyle w:val="BodyText2"/>
              <w:tabs>
                <w:tab w:val="left" w:pos="525"/>
              </w:tabs>
              <w:spacing w:after="120" w:line="360" w:lineRule="exact"/>
              <w:jc w:val="both"/>
              <w:rPr>
                <w:rFonts w:ascii="SimHei"/>
                <w:color w:val="FF0000"/>
                <w:szCs w:val="21"/>
              </w:rPr>
            </w:pPr>
            <w:r>
              <w:rPr>
                <w:rFonts w:ascii="SimHei" w:cs="SimHei" w:hint="eastAsia"/>
                <w:color w:val="FF0000"/>
                <w:szCs w:val="21"/>
              </w:rPr>
              <w:t>年份</w:t>
            </w:r>
          </w:p>
        </w:tc>
        <w:tc>
          <w:tcPr>
            <w:tcW w:w="2184" w:type="dxa"/>
            <w:tcBorders>
              <w:top w:val="single" w:sz="4" w:space="0" w:color="auto"/>
              <w:left w:val="single" w:sz="4" w:space="0" w:color="auto"/>
              <w:bottom w:val="single" w:sz="4" w:space="0" w:color="auto"/>
              <w:right w:val="single" w:sz="4" w:space="0" w:color="auto"/>
            </w:tcBorders>
            <w:vAlign w:val="center"/>
          </w:tcPr>
          <w:p w:rsidR="00373976" w:rsidRDefault="00373976" w:rsidP="00373976">
            <w:pPr>
              <w:pStyle w:val="BodyText2"/>
              <w:tabs>
                <w:tab w:val="left" w:pos="525"/>
              </w:tabs>
              <w:spacing w:after="120" w:line="360" w:lineRule="exact"/>
              <w:jc w:val="center"/>
              <w:rPr>
                <w:rFonts w:ascii="SimHei"/>
                <w:color w:val="FF0000"/>
                <w:szCs w:val="21"/>
              </w:rPr>
            </w:pPr>
            <w:r>
              <w:rPr>
                <w:rFonts w:ascii="SimHei" w:cs="SimHei"/>
                <w:color w:val="FF0000"/>
                <w:szCs w:val="21"/>
              </w:rPr>
              <w:t>MCH</w:t>
            </w:r>
            <w:r>
              <w:rPr>
                <w:rFonts w:ascii="SimHei" w:cs="SimHei" w:hint="eastAsia"/>
                <w:color w:val="FF0000"/>
                <w:szCs w:val="21"/>
              </w:rPr>
              <w:t>的报告和表格</w:t>
            </w:r>
          </w:p>
        </w:tc>
        <w:tc>
          <w:tcPr>
            <w:tcW w:w="2185" w:type="dxa"/>
            <w:tcBorders>
              <w:top w:val="single" w:sz="4" w:space="0" w:color="auto"/>
              <w:left w:val="single" w:sz="4" w:space="0" w:color="auto"/>
              <w:bottom w:val="single" w:sz="4" w:space="0" w:color="auto"/>
              <w:right w:val="single" w:sz="4" w:space="0" w:color="auto"/>
            </w:tcBorders>
            <w:vAlign w:val="center"/>
          </w:tcPr>
          <w:p w:rsidR="00373976" w:rsidRDefault="00373976" w:rsidP="00373976">
            <w:pPr>
              <w:pStyle w:val="BodyText2"/>
              <w:tabs>
                <w:tab w:val="left" w:pos="525"/>
              </w:tabs>
              <w:spacing w:after="120" w:line="360" w:lineRule="exact"/>
              <w:jc w:val="center"/>
              <w:rPr>
                <w:rFonts w:ascii="SimHei"/>
                <w:color w:val="FF0000"/>
                <w:szCs w:val="21"/>
              </w:rPr>
            </w:pPr>
            <w:r>
              <w:rPr>
                <w:rFonts w:ascii="SimHei" w:cs="SimHei" w:hint="eastAsia"/>
                <w:color w:val="FF0000"/>
                <w:szCs w:val="21"/>
              </w:rPr>
              <w:t>卫生系统服务概况</w:t>
            </w:r>
          </w:p>
          <w:p w:rsidR="00373976" w:rsidRDefault="00373976" w:rsidP="00373976">
            <w:pPr>
              <w:pStyle w:val="BodyText2"/>
              <w:tabs>
                <w:tab w:val="left" w:pos="525"/>
              </w:tabs>
              <w:spacing w:after="120" w:line="360" w:lineRule="exact"/>
              <w:jc w:val="center"/>
              <w:rPr>
                <w:rFonts w:ascii="SimHei"/>
                <w:color w:val="FF0000"/>
                <w:szCs w:val="21"/>
              </w:rPr>
            </w:pPr>
            <w:r>
              <w:rPr>
                <w:rFonts w:ascii="SimHei" w:cs="SimHei" w:hint="eastAsia"/>
                <w:color w:val="FF0000"/>
                <w:szCs w:val="21"/>
              </w:rPr>
              <w:t>泛美卫生组织</w:t>
            </w:r>
          </w:p>
          <w:p w:rsidR="00373976" w:rsidRDefault="00373976" w:rsidP="00373976">
            <w:pPr>
              <w:pStyle w:val="BodyText2"/>
              <w:tabs>
                <w:tab w:val="left" w:pos="525"/>
              </w:tabs>
              <w:spacing w:after="120" w:line="360" w:lineRule="exact"/>
              <w:jc w:val="center"/>
              <w:rPr>
                <w:rFonts w:ascii="SimHei"/>
                <w:color w:val="FF0000"/>
                <w:szCs w:val="21"/>
              </w:rPr>
            </w:pPr>
            <w:r>
              <w:rPr>
                <w:rFonts w:ascii="SimHei" w:cs="SimHei" w:hint="eastAsia"/>
                <w:color w:val="FF0000"/>
                <w:szCs w:val="21"/>
              </w:rPr>
              <w:t>伯利兹（中央统计局）</w:t>
            </w:r>
          </w:p>
        </w:tc>
        <w:tc>
          <w:tcPr>
            <w:tcW w:w="2185" w:type="dxa"/>
            <w:tcBorders>
              <w:top w:val="single" w:sz="4" w:space="0" w:color="auto"/>
              <w:left w:val="single" w:sz="4" w:space="0" w:color="auto"/>
              <w:bottom w:val="single" w:sz="4" w:space="0" w:color="auto"/>
              <w:right w:val="single" w:sz="4" w:space="0" w:color="auto"/>
            </w:tcBorders>
            <w:vAlign w:val="center"/>
          </w:tcPr>
          <w:p w:rsidR="00373976" w:rsidRDefault="00373976" w:rsidP="00373976">
            <w:pPr>
              <w:pStyle w:val="BodyText2"/>
              <w:tabs>
                <w:tab w:val="left" w:pos="525"/>
              </w:tabs>
              <w:spacing w:after="120" w:line="360" w:lineRule="exact"/>
              <w:jc w:val="center"/>
              <w:rPr>
                <w:rFonts w:ascii="SimHei"/>
                <w:color w:val="FF0000"/>
                <w:szCs w:val="21"/>
              </w:rPr>
            </w:pPr>
            <w:r>
              <w:rPr>
                <w:rFonts w:ascii="SimHei" w:cs="SimHei" w:hint="eastAsia"/>
                <w:color w:val="FF0000"/>
                <w:szCs w:val="21"/>
              </w:rPr>
              <w:t>美洲国家卫生报告</w:t>
            </w:r>
          </w:p>
          <w:p w:rsidR="00373976" w:rsidRDefault="00373976" w:rsidP="00373976">
            <w:pPr>
              <w:pStyle w:val="BodyText2"/>
              <w:tabs>
                <w:tab w:val="left" w:pos="525"/>
              </w:tabs>
              <w:spacing w:after="120" w:line="360" w:lineRule="exact"/>
              <w:jc w:val="center"/>
              <w:rPr>
                <w:rFonts w:ascii="SimHei"/>
                <w:color w:val="FF0000"/>
                <w:szCs w:val="21"/>
              </w:rPr>
            </w:pPr>
            <w:r>
              <w:rPr>
                <w:rFonts w:ascii="SimHei" w:cs="SimHei" w:hint="eastAsia"/>
                <w:color w:val="FF0000"/>
                <w:szCs w:val="21"/>
              </w:rPr>
              <w:t>伯利兹部分</w:t>
            </w:r>
          </w:p>
        </w:tc>
        <w:tc>
          <w:tcPr>
            <w:tcW w:w="2185" w:type="dxa"/>
            <w:tcBorders>
              <w:top w:val="single" w:sz="4" w:space="0" w:color="auto"/>
              <w:left w:val="single" w:sz="4" w:space="0" w:color="auto"/>
              <w:bottom w:val="single" w:sz="4" w:space="0" w:color="auto"/>
              <w:right w:val="single" w:sz="4" w:space="0" w:color="auto"/>
            </w:tcBorders>
            <w:vAlign w:val="center"/>
          </w:tcPr>
          <w:p w:rsidR="00373976" w:rsidRDefault="00373976" w:rsidP="00373976">
            <w:pPr>
              <w:pStyle w:val="BodyText2"/>
              <w:tabs>
                <w:tab w:val="left" w:pos="525"/>
              </w:tabs>
              <w:spacing w:after="120" w:line="360" w:lineRule="exact"/>
              <w:jc w:val="center"/>
              <w:rPr>
                <w:rFonts w:ascii="SimHei"/>
                <w:color w:val="FF0000"/>
                <w:szCs w:val="21"/>
              </w:rPr>
            </w:pPr>
            <w:r>
              <w:rPr>
                <w:rFonts w:ascii="SimHei" w:cs="SimHei" w:hint="eastAsia"/>
                <w:color w:val="FF0000"/>
                <w:szCs w:val="21"/>
              </w:rPr>
              <w:t>基本指标</w:t>
            </w:r>
          </w:p>
          <w:p w:rsidR="00373976" w:rsidRDefault="00373976" w:rsidP="00373976">
            <w:pPr>
              <w:pStyle w:val="BodyText2"/>
              <w:tabs>
                <w:tab w:val="left" w:pos="525"/>
              </w:tabs>
              <w:spacing w:after="120" w:line="360" w:lineRule="exact"/>
              <w:jc w:val="center"/>
              <w:rPr>
                <w:rFonts w:ascii="SimHei"/>
                <w:color w:val="FF0000"/>
                <w:szCs w:val="21"/>
              </w:rPr>
            </w:pPr>
            <w:r>
              <w:rPr>
                <w:rFonts w:ascii="SimHei" w:cs="SimHei" w:hint="eastAsia"/>
                <w:color w:val="FF0000"/>
                <w:szCs w:val="21"/>
              </w:rPr>
              <w:t>美洲国家的保健</w:t>
            </w: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1990</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194</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1991</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147</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1992</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100.9</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1993</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161</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154.8</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1994</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113</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118.9</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1995</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82</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1996</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139</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59.9</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111</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1997</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100</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40.8</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100</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142.8 (1999</w:t>
            </w:r>
            <w:r>
              <w:rPr>
                <w:rFonts w:cs="SimSun" w:hint="eastAsia"/>
                <w:szCs w:val="21"/>
              </w:rPr>
              <w:t>年报告</w:t>
            </w:r>
            <w:r>
              <w:rPr>
                <w:szCs w:val="21"/>
              </w:rPr>
              <w:t>)</w:t>
            </w: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1998</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134</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167.1</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150</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150</w:t>
            </w: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1999</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42.2</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42.2</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42</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p>
        </w:tc>
      </w:tr>
      <w:tr w:rsidR="00373976">
        <w:tblPrEx>
          <w:tblCellMar>
            <w:top w:w="0" w:type="dxa"/>
            <w:bottom w:w="0" w:type="dxa"/>
          </w:tblCellMar>
        </w:tblPrEx>
        <w:trPr>
          <w:jc w:val="center"/>
        </w:trPr>
        <w:tc>
          <w:tcPr>
            <w:tcW w:w="1050"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2000</w:t>
            </w:r>
          </w:p>
        </w:tc>
        <w:tc>
          <w:tcPr>
            <w:tcW w:w="2184"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68</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54.8</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82</w:t>
            </w:r>
          </w:p>
        </w:tc>
        <w:tc>
          <w:tcPr>
            <w:tcW w:w="2185" w:type="dxa"/>
            <w:tcBorders>
              <w:top w:val="single" w:sz="4" w:space="0" w:color="auto"/>
              <w:left w:val="single" w:sz="4" w:space="0" w:color="auto"/>
              <w:bottom w:val="single" w:sz="4" w:space="0" w:color="auto"/>
              <w:right w:val="single" w:sz="4" w:space="0" w:color="auto"/>
            </w:tcBorders>
          </w:tcPr>
          <w:p w:rsidR="00373976" w:rsidRDefault="00373976" w:rsidP="00373976">
            <w:pPr>
              <w:pStyle w:val="BodyText2"/>
              <w:tabs>
                <w:tab w:val="left" w:pos="525"/>
              </w:tabs>
              <w:spacing w:after="120" w:line="360" w:lineRule="exact"/>
              <w:jc w:val="both"/>
              <w:rPr>
                <w:szCs w:val="21"/>
              </w:rPr>
            </w:pPr>
            <w:r>
              <w:rPr>
                <w:szCs w:val="21"/>
              </w:rPr>
              <w:t>82.3</w:t>
            </w:r>
          </w:p>
        </w:tc>
      </w:tr>
    </w:tbl>
    <w:p w:rsidR="00373976" w:rsidRDefault="00373976" w:rsidP="00373976">
      <w:pPr>
        <w:pStyle w:val="FootnoteText"/>
        <w:tabs>
          <w:tab w:val="left" w:pos="525"/>
        </w:tabs>
        <w:spacing w:after="240" w:line="360" w:lineRule="exact"/>
        <w:jc w:val="both"/>
      </w:pPr>
      <w:r>
        <w:rPr>
          <w:rFonts w:eastAsia="KaiTi_GB2312" w:cs="KaiTi_GB2312" w:hint="eastAsia"/>
          <w:color w:val="0000FF"/>
        </w:rPr>
        <w:t>资料来源</w:t>
      </w:r>
      <w:r>
        <w:rPr>
          <w:rFonts w:cs="SimSun" w:hint="eastAsia"/>
        </w:rPr>
        <w:t>：《安全孕产：伯利兹妇女的生死问题》。</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伯利兹政府在《性健康和生殖健康政策》中承诺：</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通过加强安全孕产综合方案，增加人力资源、基础设施和运输方面的投入，降低产妇的死亡率和发病率。</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在向所有人口提供初级和二级卫生保健的前提下，作为全面生殖健康的一部分，特别向弱势群体提供安全孕产服务，包括计划生育在内。</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将有怀孕困难的母亲列为最优先考虑的对象，改进方法，使她们得到更全面的计划生育信息和服务。</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建立监督机制，对降低母婴死亡率和发病率的工作进行评估，以保证实施和完善旨在提高生活质量的各种方案。</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自这一《政策》通过后，卫生部已采取措施在伯利兹全面落实安全孕产倡议。目前该倡议中只有选定部分的内容得到了落实。</w:t>
      </w:r>
    </w:p>
    <w:p w:rsidR="00373976" w:rsidRDefault="00373976" w:rsidP="00373976">
      <w:pPr>
        <w:tabs>
          <w:tab w:val="left" w:pos="525"/>
        </w:tabs>
        <w:autoSpaceDE w:val="0"/>
        <w:autoSpaceDN w:val="0"/>
        <w:spacing w:after="240" w:line="380" w:lineRule="exact"/>
        <w:rPr>
          <w:rFonts w:eastAsia="SimHei"/>
          <w:color w:val="FF0000"/>
          <w:sz w:val="24"/>
          <w:szCs w:val="24"/>
          <w:lang w:val="zh-CN"/>
        </w:rPr>
      </w:pPr>
      <w:r>
        <w:rPr>
          <w:rFonts w:eastAsia="SimHei" w:cs="SimHei" w:hint="eastAsia"/>
          <w:color w:val="FF0000"/>
          <w:sz w:val="24"/>
          <w:szCs w:val="24"/>
          <w:lang w:val="zh-CN"/>
        </w:rPr>
        <w:t>母乳喂养实践</w:t>
      </w:r>
    </w:p>
    <w:p w:rsidR="00373976" w:rsidRDefault="00373976" w:rsidP="00373976">
      <w:pPr>
        <w:numPr>
          <w:ilvl w:val="0"/>
          <w:numId w:val="39"/>
        </w:numPr>
        <w:tabs>
          <w:tab w:val="clear" w:pos="397"/>
          <w:tab w:val="left" w:pos="525"/>
        </w:tabs>
        <w:spacing w:after="240" w:line="360" w:lineRule="exact"/>
        <w:ind w:left="0" w:firstLine="0"/>
        <w:jc w:val="both"/>
      </w:pPr>
      <w:r>
        <w:t>1998</w:t>
      </w:r>
      <w:r>
        <w:rPr>
          <w:rFonts w:cs="SimSun" w:hint="eastAsia"/>
        </w:rPr>
        <w:t>年通过了《全国母乳喂养政策》，为落实该政策的规定，特制定了一项《国家行动计划》。但这一计划还未得到执行。</w:t>
      </w:r>
    </w:p>
    <w:p w:rsidR="00373976" w:rsidRDefault="00373976" w:rsidP="00373976">
      <w:pPr>
        <w:numPr>
          <w:ilvl w:val="0"/>
          <w:numId w:val="39"/>
        </w:numPr>
        <w:tabs>
          <w:tab w:val="clear" w:pos="397"/>
          <w:tab w:val="left" w:pos="525"/>
        </w:tabs>
        <w:spacing w:after="240" w:line="360" w:lineRule="exact"/>
        <w:ind w:left="0" w:firstLine="0"/>
        <w:jc w:val="both"/>
      </w:pPr>
      <w:r>
        <w:t>1999</w:t>
      </w:r>
      <w:r>
        <w:rPr>
          <w:rFonts w:cs="SimSun" w:hint="eastAsia"/>
        </w:rPr>
        <w:t>年进行的家庭健康调查发现，城市的母乳喂养率略低于农村地区，尽管在城市地区更易获得母乳喂养方面的信息。在生活比较舒适的家庭，母乳喂养率也有所下降。与文化习俗、母亲工作和产假规定有关的问题也是导致这种状况的因素。</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《国家性别政策》要求在行政区一级落实母乳喂养政策，并制定提高公众认识和教育的方案，以消除各种不实的说法，给出母乳喂养营养丰富的事实。该政策还指出：</w:t>
      </w:r>
    </w:p>
    <w:p w:rsidR="00373976" w:rsidRDefault="00373976" w:rsidP="009B38FD">
      <w:pPr>
        <w:pStyle w:val="BodyText2"/>
        <w:tabs>
          <w:tab w:val="left" w:pos="525"/>
        </w:tabs>
        <w:spacing w:after="240" w:line="360" w:lineRule="exact"/>
        <w:ind w:leftChars="250" w:left="31680" w:firstLineChars="200" w:firstLine="31680"/>
        <w:jc w:val="both"/>
        <w:rPr>
          <w:rFonts w:ascii="KaiTi_GB2312" w:eastAsia="KaiTi_GB2312"/>
          <w:color w:val="0000FF"/>
          <w:szCs w:val="21"/>
        </w:rPr>
      </w:pPr>
      <w:r>
        <w:rPr>
          <w:rFonts w:ascii="KaiTi_GB2312" w:eastAsia="KaiTi_GB2312" w:cs="KaiTi_GB2312" w:hint="eastAsia"/>
          <w:color w:val="0000FF"/>
          <w:szCs w:val="21"/>
        </w:rPr>
        <w:t>“卫生部和劳动部将联合推介挤取母乳的优点（包括在工作场所），以便使在职妇女能够继续以母乳喂养婴儿。为配合这一工作，卫生部和劳动部还将联合采取措施改善工作场所的条件，使雇员能够挤取和存贮母乳，也</w:t>
      </w:r>
      <w:r>
        <w:rPr>
          <w:rFonts w:ascii="KaiTi_GB2312" w:eastAsia="KaiTi_GB2312" w:hAnsi="STKaiti" w:cs="KaiTi_GB2312" w:hint="eastAsia"/>
          <w:color w:val="0000FF"/>
          <w:szCs w:val="21"/>
        </w:rPr>
        <w:t>可以</w:t>
      </w:r>
      <w:r>
        <w:rPr>
          <w:rFonts w:ascii="KaiTi_GB2312" w:eastAsia="KaiTi_GB2312" w:cs="KaiTi_GB2312" w:hint="eastAsia"/>
          <w:color w:val="0000FF"/>
          <w:szCs w:val="21"/>
        </w:rPr>
        <w:t>哺乳她们的婴儿。”</w:t>
      </w:r>
    </w:p>
    <w:p w:rsidR="00373976" w:rsidRDefault="00373976" w:rsidP="00373976">
      <w:pPr>
        <w:tabs>
          <w:tab w:val="left" w:pos="525"/>
        </w:tabs>
        <w:autoSpaceDE w:val="0"/>
        <w:autoSpaceDN w:val="0"/>
        <w:spacing w:after="240" w:line="380" w:lineRule="exact"/>
        <w:rPr>
          <w:rFonts w:eastAsia="SimHei"/>
          <w:color w:val="FF0000"/>
          <w:sz w:val="24"/>
          <w:szCs w:val="24"/>
          <w:lang w:val="zh-CN"/>
        </w:rPr>
      </w:pPr>
      <w:r>
        <w:rPr>
          <w:rFonts w:eastAsia="SimHei" w:cs="SimHei" w:hint="eastAsia"/>
          <w:color w:val="FF0000"/>
          <w:sz w:val="24"/>
          <w:szCs w:val="24"/>
          <w:lang w:val="zh-CN"/>
        </w:rPr>
        <w:t>堕胎</w:t>
      </w:r>
    </w:p>
    <w:p w:rsidR="00373976" w:rsidRDefault="00373976" w:rsidP="00482A56">
      <w:pPr>
        <w:numPr>
          <w:ilvl w:val="0"/>
          <w:numId w:val="39"/>
        </w:numPr>
        <w:tabs>
          <w:tab w:val="clear" w:pos="397"/>
          <w:tab w:val="left" w:pos="525"/>
        </w:tabs>
        <w:spacing w:after="180" w:line="360" w:lineRule="exact"/>
        <w:ind w:left="0" w:firstLine="0"/>
        <w:jc w:val="both"/>
      </w:pPr>
      <w:r>
        <w:rPr>
          <w:rFonts w:cs="SimSun" w:hint="eastAsia"/>
        </w:rPr>
        <w:t>堕胎仍然是一种犯罪行为，尽管接受调查的医生和妇女中还没有人遭到有关堕胎的犯罪指控。由于堕胎是非法行为，妇女往往转向秘密堕胎或到危地马拉、墨西哥或美国等国家堕胎。</w:t>
      </w:r>
      <w:r>
        <w:t>2001</w:t>
      </w:r>
      <w:r>
        <w:rPr>
          <w:rFonts w:cs="SimSun" w:hint="eastAsia"/>
        </w:rPr>
        <w:t>年，入住卡尔·赫斯那纪念医院妇产科病房的妇女中，大约</w:t>
      </w:r>
      <w:r>
        <w:t>70%</w:t>
      </w:r>
      <w:r>
        <w:rPr>
          <w:rFonts w:cs="SimSun" w:hint="eastAsia"/>
        </w:rPr>
        <w:t>都与中止妊娠的结果有关。尽管对流产的定义并不区分引产和自然流产，但护理人员认为这些妇女入院大都是因为人工流产并发症。</w:t>
      </w:r>
      <w:r>
        <w:rPr>
          <w:rStyle w:val="FootnoteReference"/>
        </w:rPr>
        <w:footnoteReference w:id="65"/>
      </w:r>
      <w:r>
        <w:t xml:space="preserve"> (</w:t>
      </w:r>
      <w:r>
        <w:rPr>
          <w:rFonts w:cs="SimSun" w:hint="eastAsia"/>
        </w:rPr>
        <w:t>参见表</w:t>
      </w:r>
      <w:r>
        <w:t>12.5)</w:t>
      </w:r>
    </w:p>
    <w:p w:rsidR="00373976" w:rsidRDefault="00373976" w:rsidP="00482A56">
      <w:pPr>
        <w:numPr>
          <w:ilvl w:val="0"/>
          <w:numId w:val="39"/>
        </w:numPr>
        <w:tabs>
          <w:tab w:val="clear" w:pos="397"/>
          <w:tab w:val="left" w:pos="525"/>
        </w:tabs>
        <w:spacing w:after="180" w:line="360" w:lineRule="exact"/>
        <w:ind w:left="0" w:firstLine="0"/>
        <w:jc w:val="both"/>
      </w:pPr>
      <w:r>
        <w:rPr>
          <w:rFonts w:cs="SimSun" w:hint="eastAsia"/>
        </w:rPr>
        <w:t>《国家性别政策》包括以下承诺：</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向意外怀孕的妇女提供秘密和富有同情心的咨询，以及有关各种选择方案的可靠信息。这将使妇女能够在不受外界影响的情况下做出明智的决定。</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向在怀孕期间患有并发症并导致失去胎儿的妇女提供咨询、信息和服务，包括术后并发症服务。</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在与有关权威人士磋商后，政府将启动程序，对含有非法堕胎妇女处罚措施的所有法律进行审查。</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通过国家卫生信息系统整理的统计数据将区分意外流产和人工流产。</w:t>
      </w:r>
    </w:p>
    <w:p w:rsidR="00373976" w:rsidRDefault="00373976" w:rsidP="00482A56">
      <w:pPr>
        <w:numPr>
          <w:ilvl w:val="0"/>
          <w:numId w:val="39"/>
        </w:numPr>
        <w:tabs>
          <w:tab w:val="clear" w:pos="397"/>
          <w:tab w:val="left" w:pos="525"/>
        </w:tabs>
        <w:spacing w:after="180" w:line="360" w:lineRule="exact"/>
        <w:ind w:left="0" w:firstLine="0"/>
        <w:jc w:val="both"/>
      </w:pPr>
      <w:r>
        <w:rPr>
          <w:rFonts w:cs="SimSun" w:hint="eastAsia"/>
        </w:rPr>
        <w:t>《性健康和生殖健康政策》还要求伯利兹政府：</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废除含有惩罚性条款、限制妇女和夫妻双方为了保持妊娠而寻求咨询的法律；废除含有惩罚性条款、禁止那些非法堕胎人员寻求咨询和心理保健的法律。但决不能提倡以堕胎作为一种计划生育的方式。</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向意外怀孕的妇女提供富有同情心的咨询和可靠的信息。</w:t>
      </w:r>
    </w:p>
    <w:p w:rsidR="00373976" w:rsidRDefault="00373976" w:rsidP="00373976">
      <w:pPr>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12.5 1987-2001</w:t>
      </w:r>
      <w:r>
        <w:rPr>
          <w:rFonts w:ascii="SimHei" w:eastAsia="SimHei" w:cs="SimHei" w:hint="eastAsia"/>
          <w:color w:val="FF0000"/>
        </w:rPr>
        <w:t>年伯利兹全国各医院接纳的堕胎并发症患者人数</w:t>
      </w:r>
    </w:p>
    <w:p w:rsidR="00373976" w:rsidRDefault="00373976" w:rsidP="00373976">
      <w:pPr>
        <w:tabs>
          <w:tab w:val="left" w:pos="525"/>
        </w:tabs>
        <w:spacing w:after="240" w:line="240" w:lineRule="auto"/>
        <w:jc w:val="center"/>
      </w:pPr>
      <w:r>
        <w:rPr>
          <w:noProof/>
        </w:rPr>
        <w:pict>
          <v:shape id="_x0000_s1028" type="#_x0000_t202" style="position:absolute;left:0;text-align:left;margin-left:42pt;margin-top:7.6pt;width:36pt;height:150.8pt;z-index:3" stroked="f">
            <v:textbox inset=",,.5mm">
              <w:txbxContent>
                <w:p w:rsidR="00B63B69" w:rsidRDefault="00B63B69" w:rsidP="00373976">
                  <w:pPr>
                    <w:spacing w:afterLines="50" w:after="156" w:line="280" w:lineRule="exact"/>
                    <w:jc w:val="right"/>
                    <w:rPr>
                      <w:sz w:val="18"/>
                      <w:szCs w:val="18"/>
                    </w:rPr>
                  </w:pPr>
                  <w:r>
                    <w:rPr>
                      <w:sz w:val="18"/>
                      <w:szCs w:val="18"/>
                    </w:rPr>
                    <w:t>1 200</w:t>
                  </w:r>
                </w:p>
                <w:p w:rsidR="00B63B69" w:rsidRDefault="00B63B69" w:rsidP="00373976">
                  <w:pPr>
                    <w:spacing w:afterLines="50" w:after="156" w:line="280" w:lineRule="exact"/>
                    <w:jc w:val="right"/>
                    <w:rPr>
                      <w:sz w:val="18"/>
                      <w:szCs w:val="18"/>
                    </w:rPr>
                  </w:pPr>
                  <w:r>
                    <w:rPr>
                      <w:sz w:val="18"/>
                      <w:szCs w:val="18"/>
                    </w:rPr>
                    <w:t>1 000</w:t>
                  </w:r>
                </w:p>
                <w:p w:rsidR="00B63B69" w:rsidRDefault="00B63B69" w:rsidP="00373976">
                  <w:pPr>
                    <w:spacing w:afterLines="50" w:after="156" w:line="280" w:lineRule="exact"/>
                    <w:jc w:val="right"/>
                    <w:rPr>
                      <w:sz w:val="18"/>
                      <w:szCs w:val="18"/>
                    </w:rPr>
                  </w:pPr>
                  <w:r>
                    <w:rPr>
                      <w:sz w:val="18"/>
                      <w:szCs w:val="18"/>
                    </w:rPr>
                    <w:t>800</w:t>
                  </w:r>
                </w:p>
                <w:p w:rsidR="00B63B69" w:rsidRDefault="00B63B69" w:rsidP="00373976">
                  <w:pPr>
                    <w:spacing w:afterLines="50" w:after="156" w:line="280" w:lineRule="exact"/>
                    <w:jc w:val="right"/>
                    <w:rPr>
                      <w:sz w:val="18"/>
                      <w:szCs w:val="18"/>
                    </w:rPr>
                  </w:pPr>
                  <w:r>
                    <w:rPr>
                      <w:sz w:val="18"/>
                      <w:szCs w:val="18"/>
                    </w:rPr>
                    <w:t>600</w:t>
                  </w:r>
                </w:p>
                <w:p w:rsidR="00B63B69" w:rsidRDefault="00B63B69" w:rsidP="00373976">
                  <w:pPr>
                    <w:spacing w:afterLines="50" w:after="156" w:line="280" w:lineRule="exact"/>
                    <w:jc w:val="right"/>
                    <w:rPr>
                      <w:sz w:val="18"/>
                      <w:szCs w:val="18"/>
                    </w:rPr>
                  </w:pPr>
                  <w:r>
                    <w:rPr>
                      <w:sz w:val="18"/>
                      <w:szCs w:val="18"/>
                    </w:rPr>
                    <w:t>400</w:t>
                  </w:r>
                </w:p>
                <w:p w:rsidR="00B63B69" w:rsidRDefault="00B63B69" w:rsidP="00373976">
                  <w:pPr>
                    <w:spacing w:afterLines="50" w:after="156" w:line="280" w:lineRule="exact"/>
                    <w:jc w:val="right"/>
                    <w:rPr>
                      <w:sz w:val="18"/>
                      <w:szCs w:val="18"/>
                    </w:rPr>
                  </w:pPr>
                  <w:r>
                    <w:rPr>
                      <w:sz w:val="18"/>
                      <w:szCs w:val="18"/>
                    </w:rPr>
                    <w:t>200</w:t>
                  </w:r>
                </w:p>
                <w:p w:rsidR="00B63B69" w:rsidRDefault="00B63B69" w:rsidP="00373976">
                  <w:pPr>
                    <w:spacing w:afterLines="50" w:after="156" w:line="280" w:lineRule="exact"/>
                    <w:jc w:val="right"/>
                    <w:rPr>
                      <w:sz w:val="18"/>
                      <w:szCs w:val="18"/>
                    </w:rPr>
                  </w:pPr>
                  <w:r>
                    <w:rPr>
                      <w:sz w:val="18"/>
                      <w:szCs w:val="18"/>
                    </w:rPr>
                    <w:t>0</w:t>
                  </w:r>
                </w:p>
              </w:txbxContent>
            </v:textbox>
          </v:shape>
        </w:pict>
      </w:r>
      <w:r>
        <w:rPr>
          <w:rFonts w:hint="eastAsia"/>
        </w:rPr>
        <w:object w:dxaOrig="8642" w:dyaOrig="3375">
          <v:shape id="_x0000_i1027" type="#_x0000_t75" style="width:6in;height:168.75pt" o:ole="">
            <v:imagedata r:id="rId18" o:title=""/>
          </v:shape>
          <o:OLEObject Type="Embed" ProgID="Excel.Chart.8" ShapeID="_x0000_i1027" DrawAspect="Content" ObjectID="_1394524470" r:id="rId19">
            <o:FieldCodes>\s</o:FieldCodes>
          </o:OLEObject>
        </w:object>
      </w:r>
    </w:p>
    <w:p w:rsidR="00373976" w:rsidRDefault="00373976" w:rsidP="00373976">
      <w:pPr>
        <w:tabs>
          <w:tab w:val="left" w:pos="525"/>
        </w:tabs>
        <w:spacing w:after="240" w:line="360" w:lineRule="exact"/>
        <w:rPr>
          <w:sz w:val="18"/>
          <w:szCs w:val="18"/>
        </w:rPr>
      </w:pPr>
      <w:r>
        <w:t xml:space="preserve">      </w:t>
      </w:r>
      <w:r>
        <w:rPr>
          <w:rFonts w:eastAsia="KaiTi_GB2312" w:cs="KaiTi_GB2312" w:hint="eastAsia"/>
          <w:color w:val="0000FF"/>
          <w:sz w:val="18"/>
          <w:szCs w:val="18"/>
        </w:rPr>
        <w:t>资料来源</w:t>
      </w:r>
      <w:r>
        <w:rPr>
          <w:rFonts w:cs="SimSun" w:hint="eastAsia"/>
          <w:sz w:val="18"/>
          <w:szCs w:val="18"/>
        </w:rPr>
        <w:t>：</w:t>
      </w:r>
      <w:r>
        <w:rPr>
          <w:sz w:val="18"/>
          <w:szCs w:val="18"/>
        </w:rPr>
        <w:t>1999</w:t>
      </w:r>
      <w:r>
        <w:rPr>
          <w:rFonts w:cs="SimSun" w:hint="eastAsia"/>
          <w:sz w:val="18"/>
          <w:szCs w:val="18"/>
        </w:rPr>
        <w:t>年统计数据摘要及卫生部国家卫生信息系统。</w:t>
      </w:r>
    </w:p>
    <w:p w:rsidR="00373976" w:rsidRDefault="00373976" w:rsidP="00373976">
      <w:pPr>
        <w:tabs>
          <w:tab w:val="left" w:pos="525"/>
        </w:tabs>
        <w:autoSpaceDE w:val="0"/>
        <w:autoSpaceDN w:val="0"/>
        <w:spacing w:after="240" w:line="380" w:lineRule="exact"/>
        <w:rPr>
          <w:rFonts w:eastAsia="SimHei"/>
          <w:color w:val="FF0000"/>
          <w:sz w:val="24"/>
          <w:szCs w:val="24"/>
          <w:lang w:val="zh-CN"/>
        </w:rPr>
      </w:pPr>
      <w:r>
        <w:rPr>
          <w:rFonts w:eastAsia="SimHei" w:cs="SimHei" w:hint="eastAsia"/>
          <w:color w:val="FF0000"/>
          <w:sz w:val="24"/>
          <w:szCs w:val="24"/>
          <w:lang w:val="zh-CN"/>
        </w:rPr>
        <w:t>艾滋病毒</w:t>
      </w:r>
      <w:r>
        <w:rPr>
          <w:rFonts w:eastAsia="SimHei"/>
          <w:color w:val="FF0000"/>
          <w:sz w:val="24"/>
          <w:szCs w:val="24"/>
          <w:lang w:val="zh-CN"/>
        </w:rPr>
        <w:t>/</w:t>
      </w:r>
      <w:r>
        <w:rPr>
          <w:rFonts w:eastAsia="SimHei" w:cs="SimHei" w:hint="eastAsia"/>
          <w:color w:val="FF0000"/>
          <w:sz w:val="24"/>
          <w:szCs w:val="24"/>
          <w:lang w:val="zh-CN"/>
        </w:rPr>
        <w:t>艾滋病</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伯利兹人均感染艾滋病毒</w:t>
      </w:r>
      <w:r>
        <w:t>/</w:t>
      </w:r>
      <w:r>
        <w:rPr>
          <w:rFonts w:cs="SimSun" w:hint="eastAsia"/>
        </w:rPr>
        <w:t>艾滋病的比率在中美洲最高，在美洲排第四，在世界排第三十四位。</w:t>
      </w:r>
      <w:r>
        <w:t>2001</w:t>
      </w:r>
      <w:r>
        <w:rPr>
          <w:rFonts w:cs="SimSun" w:hint="eastAsia"/>
        </w:rPr>
        <w:t>年底的数据显示，每</w:t>
      </w:r>
      <w:r>
        <w:t>1 000</w:t>
      </w:r>
      <w:r>
        <w:rPr>
          <w:rFonts w:cs="SimSun" w:hint="eastAsia"/>
        </w:rPr>
        <w:t>人中就有</w:t>
      </w:r>
      <w:r>
        <w:t>1.3</w:t>
      </w:r>
      <w:r>
        <w:rPr>
          <w:rFonts w:cs="SimSun" w:hint="eastAsia"/>
        </w:rPr>
        <w:t>人被感染。这一比率在</w:t>
      </w:r>
      <w:r>
        <w:t>15</w:t>
      </w:r>
      <w:r>
        <w:rPr>
          <w:rFonts w:cs="SimSun" w:hint="eastAsia"/>
        </w:rPr>
        <w:t>至</w:t>
      </w:r>
      <w:r>
        <w:t>44</w:t>
      </w:r>
      <w:r>
        <w:rPr>
          <w:rFonts w:cs="SimSun" w:hint="eastAsia"/>
        </w:rPr>
        <w:t>岁的人群当中更高，即每千人中有</w:t>
      </w:r>
      <w:r>
        <w:t>2.3</w:t>
      </w:r>
      <w:r>
        <w:rPr>
          <w:rFonts w:cs="SimSun" w:hint="eastAsia"/>
        </w:rPr>
        <w:t>人。</w:t>
      </w:r>
      <w:r>
        <w:rPr>
          <w:rStyle w:val="FootnoteReference"/>
        </w:rPr>
        <w:footnoteReference w:id="66"/>
      </w:r>
      <w:r>
        <w:t>71%</w:t>
      </w:r>
      <w:r>
        <w:rPr>
          <w:rFonts w:cs="SimSun" w:hint="eastAsia"/>
        </w:rPr>
        <w:t>的传播是通过异性恋接触；</w:t>
      </w:r>
      <w:r>
        <w:t>15%</w:t>
      </w:r>
      <w:r>
        <w:rPr>
          <w:rFonts w:cs="SimSun" w:hint="eastAsia"/>
        </w:rPr>
        <w:t>通过男性双性恋接触；</w:t>
      </w:r>
      <w:r>
        <w:t>7%</w:t>
      </w:r>
      <w:r>
        <w:rPr>
          <w:rFonts w:cs="SimSun" w:hint="eastAsia"/>
        </w:rPr>
        <w:t>通过同性恋接触；</w:t>
      </w:r>
      <w:r>
        <w:t>6%</w:t>
      </w:r>
      <w:r>
        <w:rPr>
          <w:rFonts w:cs="SimSun" w:hint="eastAsia"/>
        </w:rPr>
        <w:t>的新病例是母婴传播（请参见下文“母婴传播方案”）。</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预防艾滋病的最大挑战之一是需要改变传统的认识和行为模式。</w:t>
      </w:r>
      <w:r>
        <w:t>1999</w:t>
      </w:r>
      <w:r>
        <w:rPr>
          <w:rFonts w:cs="SimSun" w:hint="eastAsia"/>
        </w:rPr>
        <w:t>年的家庭健康调查显示，</w:t>
      </w:r>
      <w:r>
        <w:t>61.9%</w:t>
      </w:r>
      <w:r>
        <w:rPr>
          <w:rFonts w:cs="SimSun" w:hint="eastAsia"/>
        </w:rPr>
        <w:t>的妇女认为她们没有感染艾滋病毒</w:t>
      </w:r>
      <w:r>
        <w:t>/</w:t>
      </w:r>
      <w:r>
        <w:rPr>
          <w:rFonts w:cs="SimSun" w:hint="eastAsia"/>
        </w:rPr>
        <w:t>艾滋病的风险，只有</w:t>
      </w:r>
      <w:r>
        <w:t>45%</w:t>
      </w:r>
      <w:r>
        <w:rPr>
          <w:rFonts w:cs="SimSun" w:hint="eastAsia"/>
        </w:rPr>
        <w:t>的妇女使用过避孕套。</w:t>
      </w:r>
      <w:r>
        <w:t xml:space="preserve"> </w:t>
      </w:r>
      <w:r>
        <w:rPr>
          <w:rFonts w:cs="SimSun" w:hint="eastAsia"/>
        </w:rPr>
        <w:t>该调查进一步显示，</w:t>
      </w:r>
      <w:r>
        <w:t>67.6%</w:t>
      </w:r>
      <w:r>
        <w:rPr>
          <w:rFonts w:cs="SimSun" w:hint="eastAsia"/>
        </w:rPr>
        <w:t>的妇女从未提出让她们的男伴使用避孕套，</w:t>
      </w:r>
      <w:r>
        <w:t>56.8%</w:t>
      </w:r>
      <w:r>
        <w:rPr>
          <w:rFonts w:cs="SimSun" w:hint="eastAsia"/>
        </w:rPr>
        <w:t>的妇女甚至不允许男伴使用避孕套。使用避孕套的妇女主要是为了避免意外怀孕（</w:t>
      </w:r>
      <w:r>
        <w:t>84.3%</w:t>
      </w:r>
      <w:r>
        <w:rPr>
          <w:rFonts w:cs="SimSun" w:hint="eastAsia"/>
        </w:rPr>
        <w:t>），只有</w:t>
      </w:r>
      <w:r>
        <w:t>37.9%</w:t>
      </w:r>
      <w:r>
        <w:rPr>
          <w:rFonts w:cs="SimSun" w:hint="eastAsia"/>
        </w:rPr>
        <w:t>的使用者说这样做是为了预防艾滋病毒</w:t>
      </w:r>
      <w:r>
        <w:t>/</w:t>
      </w:r>
      <w:r>
        <w:rPr>
          <w:rFonts w:cs="SimSun" w:hint="eastAsia"/>
        </w:rPr>
        <w:t>艾滋病。</w:t>
      </w:r>
      <w:r>
        <w:rPr>
          <w:rStyle w:val="FootnoteReference"/>
        </w:rPr>
        <w:footnoteReference w:id="67"/>
      </w:r>
    </w:p>
    <w:p w:rsidR="00373976" w:rsidRDefault="00373976" w:rsidP="00373976">
      <w:pPr>
        <w:numPr>
          <w:ilvl w:val="0"/>
          <w:numId w:val="39"/>
        </w:numPr>
        <w:tabs>
          <w:tab w:val="clear" w:pos="397"/>
          <w:tab w:val="left" w:pos="525"/>
        </w:tabs>
        <w:spacing w:after="240" w:line="360" w:lineRule="exact"/>
        <w:ind w:left="0" w:firstLine="0"/>
        <w:jc w:val="both"/>
        <w:rPr>
          <w:u w:val="single"/>
        </w:rPr>
      </w:pPr>
      <w:r>
        <w:t xml:space="preserve"> 2000</w:t>
      </w:r>
      <w:r>
        <w:rPr>
          <w:rFonts w:cs="SimSun" w:hint="eastAsia"/>
        </w:rPr>
        <w:t>年，政府任命了一个跨部门的全国预防艾滋病委员会（</w:t>
      </w:r>
      <w:r>
        <w:t>NAC</w:t>
      </w:r>
      <w:r>
        <w:rPr>
          <w:rFonts w:cs="SimSun" w:hint="eastAsia"/>
        </w:rPr>
        <w:t>）。</w:t>
      </w:r>
      <w:r>
        <w:t>2003</w:t>
      </w:r>
      <w:r>
        <w:rPr>
          <w:rFonts w:cs="SimSun" w:hint="eastAsia"/>
        </w:rPr>
        <w:t>年，该委员会成为一个法定的机构，直接在总理办公室下工作。该委员会的成员来自政府和非政府机构，以及宗教组织、基于社区的地区级委员会和国际发展共同体。</w:t>
      </w:r>
    </w:p>
    <w:p w:rsidR="00373976" w:rsidRDefault="00373976" w:rsidP="00373976">
      <w:pPr>
        <w:numPr>
          <w:ilvl w:val="0"/>
          <w:numId w:val="39"/>
        </w:numPr>
        <w:tabs>
          <w:tab w:val="clear" w:pos="397"/>
          <w:tab w:val="left" w:pos="525"/>
        </w:tabs>
        <w:spacing w:after="240" w:line="360" w:lineRule="exact"/>
        <w:ind w:left="0" w:firstLine="0"/>
        <w:jc w:val="both"/>
        <w:rPr>
          <w:u w:val="single"/>
        </w:rPr>
      </w:pPr>
      <w:r>
        <w:rPr>
          <w:rFonts w:cs="SimSun" w:hint="eastAsia"/>
        </w:rPr>
        <w:t>该委员会的法定任务是进行跨部门协调、制定政策，以及宣传和监督。它目前正在接受全球防治艾滋病、疟疾和肺结核基金的一笔捐助。这一全球基金项目关注的重点领域之一是在妇女和青少年，特别是少女当中减少艾滋病毒的威胁。具体来说，该项目在这方面的目标是“使处于社会边缘地位的妇女能够增强性协商和使用防护方法的技能，以减少她们感染艾滋病的可能性”。</w:t>
      </w:r>
      <w:r>
        <w:rPr>
          <w:rStyle w:val="FootnoteReference"/>
        </w:rPr>
        <w:footnoteReference w:id="68"/>
      </w:r>
    </w:p>
    <w:p w:rsidR="00373976" w:rsidRDefault="00373976" w:rsidP="00373976">
      <w:pPr>
        <w:numPr>
          <w:ilvl w:val="0"/>
          <w:numId w:val="39"/>
        </w:numPr>
        <w:tabs>
          <w:tab w:val="clear" w:pos="397"/>
          <w:tab w:val="left" w:pos="525"/>
        </w:tabs>
        <w:spacing w:after="240" w:line="360" w:lineRule="exact"/>
        <w:ind w:left="0" w:firstLine="0"/>
        <w:jc w:val="both"/>
        <w:rPr>
          <w:u w:val="single"/>
        </w:rPr>
      </w:pPr>
      <w:r>
        <w:rPr>
          <w:rFonts w:cs="SimSun" w:hint="eastAsia"/>
        </w:rPr>
        <w:t>该项目还注重加强行动，通过培训同侪咨询人员，向处于社会最边缘的青年妇女提供教育和支持体系，以防止艾滋病毒在青年妇女中的传播。与此同时，伯利兹社区一级的艾滋病毒</w:t>
      </w:r>
      <w:r>
        <w:t>/</w:t>
      </w:r>
      <w:r>
        <w:rPr>
          <w:rFonts w:cs="SimSun" w:hint="eastAsia"/>
        </w:rPr>
        <w:t>艾滋病委员会之一，丹格里加艾滋病协会利用其他资源已经开始实施他们的增强妇女能力的方案。</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该全球基金项目还将辅助以妇女为对象的其他现行方案，如防止母婴传播方案（</w:t>
      </w:r>
      <w:r>
        <w:t>PMTCT</w:t>
      </w:r>
      <w:r>
        <w:rPr>
          <w:rFonts w:cs="SimSun" w:hint="eastAsia"/>
        </w:rPr>
        <w:t>）和联合国人口基金（人口基金）艾滋病毒</w:t>
      </w:r>
      <w:r>
        <w:t>/</w:t>
      </w:r>
      <w:r>
        <w:rPr>
          <w:rFonts w:cs="SimSun" w:hint="eastAsia"/>
        </w:rPr>
        <w:t>艾滋病青少年教育方案。</w:t>
      </w:r>
    </w:p>
    <w:p w:rsidR="00373976" w:rsidRDefault="00373976" w:rsidP="00482A56">
      <w:pPr>
        <w:numPr>
          <w:ilvl w:val="0"/>
          <w:numId w:val="39"/>
        </w:numPr>
        <w:tabs>
          <w:tab w:val="clear" w:pos="397"/>
          <w:tab w:val="left" w:pos="525"/>
        </w:tabs>
        <w:spacing w:after="180" w:line="360" w:lineRule="exact"/>
        <w:ind w:left="0" w:firstLine="0"/>
        <w:jc w:val="both"/>
      </w:pPr>
      <w:r>
        <w:rPr>
          <w:rFonts w:cs="SimSun" w:hint="eastAsia"/>
        </w:rPr>
        <w:t>另一个易受感染并且需要公开强调的群体是商业性工作者。最近一项研究发现，对这一人群提供性传播疾病预防信息的工作严重不足。它指出：</w:t>
      </w:r>
      <w:r>
        <w:rPr>
          <w:rFonts w:ascii="KaiTi_GB2312" w:eastAsia="KaiTi_GB2312" w:hAnsi="STKaiti" w:cs="KaiTi_GB2312" w:hint="eastAsia"/>
          <w:color w:val="0000FF"/>
        </w:rPr>
        <w:t>“在一次性传播疾病研讨会上，两个自愿将避孕套套在假阴茎上的年轻姑娘竟然没能够正确套上，尽管她们从事性工作均已超过一年”</w:t>
      </w:r>
      <w:r>
        <w:rPr>
          <w:rFonts w:cs="SimSun" w:hint="eastAsia"/>
        </w:rPr>
        <w:t>。</w:t>
      </w:r>
      <w:r>
        <w:rPr>
          <w:rStyle w:val="FootnoteReference"/>
          <w:rFonts w:ascii="KaiTi_GB2312" w:eastAsia="KaiTi_GB2312"/>
          <w:color w:val="0000FF"/>
        </w:rPr>
        <w:footnoteReference w:id="69"/>
      </w:r>
      <w:r>
        <w:rPr>
          <w:rFonts w:cs="SimSun" w:hint="eastAsia"/>
        </w:rPr>
        <w:t>公共卫生护士正付出极大的努力来弥补这一缺陷，她们进入酒吧和妓院开展性传播疾病和艾滋病预防教育活动。《国家性别政策》规定，要在商业性工作者中实施一项全国性体检方案。</w:t>
      </w:r>
    </w:p>
    <w:p w:rsidR="00373976" w:rsidRDefault="00373976" w:rsidP="00482A56">
      <w:pPr>
        <w:numPr>
          <w:ilvl w:val="0"/>
          <w:numId w:val="39"/>
        </w:numPr>
        <w:tabs>
          <w:tab w:val="clear" w:pos="397"/>
          <w:tab w:val="left" w:pos="525"/>
        </w:tabs>
        <w:spacing w:after="180" w:line="360" w:lineRule="exact"/>
        <w:ind w:left="0" w:firstLine="0"/>
        <w:jc w:val="both"/>
      </w:pPr>
      <w:r>
        <w:rPr>
          <w:rFonts w:cs="SimSun" w:hint="eastAsia"/>
        </w:rPr>
        <w:t>除了以预防为目的的方案外，反艾滋病联盟（</w:t>
      </w:r>
      <w:r>
        <w:t>AAA</w:t>
      </w:r>
      <w:r>
        <w:rPr>
          <w:rFonts w:cs="SimSun" w:hint="eastAsia"/>
        </w:rPr>
        <w:t>）建立了一个艾滋病毒</w:t>
      </w:r>
      <w:r>
        <w:t>/</w:t>
      </w:r>
      <w:r>
        <w:rPr>
          <w:rFonts w:cs="SimSun" w:hint="eastAsia"/>
        </w:rPr>
        <w:t>艾滋病感染者（</w:t>
      </w:r>
      <w:r>
        <w:t>PLWHA</w:t>
      </w:r>
      <w:r>
        <w:rPr>
          <w:rFonts w:cs="SimSun" w:hint="eastAsia"/>
        </w:rPr>
        <w:t>）支援小组，包括妇女在内。该联盟还成功促使在监狱犯人中建立了另一个</w:t>
      </w:r>
      <w:r>
        <w:t>PLWHA</w:t>
      </w:r>
      <w:r>
        <w:rPr>
          <w:rFonts w:cs="SimSun" w:hint="eastAsia"/>
        </w:rPr>
        <w:t>支援小组，同样也包括妇女。某个伯利兹艾滋病毒</w:t>
      </w:r>
      <w:r>
        <w:t>/</w:t>
      </w:r>
      <w:r>
        <w:rPr>
          <w:rFonts w:cs="SimSun" w:hint="eastAsia"/>
        </w:rPr>
        <w:t>艾滋病地区委员会正在组建第三个这样的小组。</w:t>
      </w:r>
    </w:p>
    <w:p w:rsidR="00373976" w:rsidRDefault="00373976" w:rsidP="00482A56">
      <w:pPr>
        <w:numPr>
          <w:ilvl w:val="0"/>
          <w:numId w:val="39"/>
        </w:numPr>
        <w:tabs>
          <w:tab w:val="clear" w:pos="397"/>
          <w:tab w:val="left" w:pos="525"/>
        </w:tabs>
        <w:spacing w:after="180" w:line="360" w:lineRule="exact"/>
        <w:ind w:left="0" w:firstLine="0"/>
        <w:jc w:val="both"/>
      </w:pPr>
      <w:r>
        <w:rPr>
          <w:rFonts w:cs="SimSun" w:hint="eastAsia"/>
        </w:rPr>
        <w:t>反艾滋病联盟、卫生部和全国艾滋病委员会的其他成员所做的努力已经产生了效果，妇女正得到抗艾滋病毒治疗和机会感染药物治疗。</w:t>
      </w:r>
    </w:p>
    <w:p w:rsidR="00373976" w:rsidRDefault="00373976" w:rsidP="00482A56">
      <w:pPr>
        <w:numPr>
          <w:ilvl w:val="0"/>
          <w:numId w:val="39"/>
        </w:numPr>
        <w:tabs>
          <w:tab w:val="clear" w:pos="397"/>
          <w:tab w:val="left" w:pos="525"/>
        </w:tabs>
        <w:spacing w:after="180" w:line="360" w:lineRule="exact"/>
        <w:ind w:left="0" w:firstLine="0"/>
        <w:jc w:val="both"/>
      </w:pPr>
      <w:r>
        <w:rPr>
          <w:rFonts w:cs="SimSun" w:hint="eastAsia"/>
        </w:rPr>
        <w:t>迄今为止，还没有针对艾滋病毒</w:t>
      </w:r>
      <w:r>
        <w:t>/</w:t>
      </w:r>
      <w:r>
        <w:rPr>
          <w:rFonts w:cs="SimSun" w:hint="eastAsia"/>
        </w:rPr>
        <w:t>艾滋病感染者需要的全面的精神健康或安全网方案。</w:t>
      </w:r>
    </w:p>
    <w:p w:rsidR="00373976" w:rsidRDefault="00373976" w:rsidP="00482A56">
      <w:pPr>
        <w:numPr>
          <w:ilvl w:val="0"/>
          <w:numId w:val="39"/>
        </w:numPr>
        <w:tabs>
          <w:tab w:val="clear" w:pos="397"/>
          <w:tab w:val="left" w:pos="525"/>
        </w:tabs>
        <w:spacing w:after="180" w:line="360" w:lineRule="exact"/>
        <w:ind w:left="0" w:firstLine="0"/>
        <w:jc w:val="both"/>
      </w:pPr>
      <w:r>
        <w:rPr>
          <w:rFonts w:cs="SimSun" w:hint="eastAsia"/>
        </w:rPr>
        <w:t>定于</w:t>
      </w:r>
      <w:r>
        <w:t>2004</w:t>
      </w:r>
      <w:r>
        <w:rPr>
          <w:rFonts w:cs="SimSun" w:hint="eastAsia"/>
        </w:rPr>
        <w:t>年底完成的全国艾滋病委员会政策和立法项目将涉及与性别有关的问题。</w:t>
      </w:r>
    </w:p>
    <w:p w:rsidR="00373976" w:rsidRDefault="00373976" w:rsidP="00482A56">
      <w:pPr>
        <w:tabs>
          <w:tab w:val="left" w:pos="525"/>
        </w:tabs>
        <w:autoSpaceDE w:val="0"/>
        <w:autoSpaceDN w:val="0"/>
        <w:spacing w:after="180" w:line="380" w:lineRule="exact"/>
        <w:rPr>
          <w:rFonts w:eastAsia="SimHei"/>
          <w:color w:val="FF0000"/>
          <w:sz w:val="24"/>
          <w:szCs w:val="24"/>
          <w:lang w:val="zh-CN"/>
        </w:rPr>
      </w:pPr>
      <w:r>
        <w:rPr>
          <w:rFonts w:eastAsia="SimHei" w:cs="SimHei" w:hint="eastAsia"/>
          <w:color w:val="FF0000"/>
          <w:sz w:val="24"/>
          <w:szCs w:val="24"/>
          <w:lang w:val="zh-CN"/>
        </w:rPr>
        <w:t>心理健康</w:t>
      </w:r>
    </w:p>
    <w:p w:rsidR="00373976" w:rsidRDefault="00373976" w:rsidP="00482A56">
      <w:pPr>
        <w:numPr>
          <w:ilvl w:val="0"/>
          <w:numId w:val="39"/>
        </w:numPr>
        <w:tabs>
          <w:tab w:val="clear" w:pos="397"/>
          <w:tab w:val="left" w:pos="525"/>
        </w:tabs>
        <w:spacing w:after="180" w:line="360" w:lineRule="exact"/>
        <w:ind w:left="0" w:firstLine="0"/>
        <w:jc w:val="both"/>
      </w:pPr>
      <w:r>
        <w:rPr>
          <w:rFonts w:cs="SimSun" w:hint="eastAsia"/>
        </w:rPr>
        <w:t>统计数据显示，因精神和行为失常而入院的妇女比例有日益升高的趋势（请参见表</w:t>
      </w:r>
      <w:r>
        <w:t>12.6</w:t>
      </w:r>
      <w:r>
        <w:rPr>
          <w:rFonts w:cs="SimSun" w:hint="eastAsia"/>
        </w:rPr>
        <w:t>）。目前还没有关于妇女精神健康的比较完整的资料。</w:t>
      </w:r>
    </w:p>
    <w:p w:rsidR="00373976" w:rsidRDefault="00373976" w:rsidP="00482A56">
      <w:pPr>
        <w:numPr>
          <w:ilvl w:val="0"/>
          <w:numId w:val="39"/>
        </w:numPr>
        <w:tabs>
          <w:tab w:val="clear" w:pos="397"/>
          <w:tab w:val="left" w:pos="525"/>
        </w:tabs>
        <w:spacing w:after="180" w:line="360" w:lineRule="exact"/>
        <w:ind w:left="0" w:firstLine="0"/>
        <w:jc w:val="both"/>
        <w:rPr>
          <w:i/>
          <w:iCs/>
        </w:rPr>
      </w:pPr>
      <w:r>
        <w:rPr>
          <w:rFonts w:cs="SimSun" w:hint="eastAsia"/>
        </w:rPr>
        <w:t>即便没有这方面的数据，《国家性别政策》也认识到有必要增强提供精神保健服务的能力。该政策声明：</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必须对伯利兹精神健康问题的本质和流行情况进行研究，特别是有关性别和老龄化的问题；</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将对现有和较好的精神病治疗服务进行评估，包括住院和门诊病人，特别是有关性别和享用权的问题。</w:t>
      </w:r>
    </w:p>
    <w:p w:rsidR="00373976" w:rsidRDefault="00373976" w:rsidP="00373976">
      <w:pPr>
        <w:tabs>
          <w:tab w:val="left" w:pos="525"/>
        </w:tabs>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12.6</w:t>
      </w:r>
      <w:r>
        <w:rPr>
          <w:rFonts w:ascii="SimHei" w:eastAsia="SimHei" w:cs="SimHei" w:hint="eastAsia"/>
          <w:color w:val="FF0000"/>
        </w:rPr>
        <w:t xml:space="preserve">　精神和行为失常住院病例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8"/>
        <w:gridCol w:w="1189"/>
        <w:gridCol w:w="1320"/>
        <w:gridCol w:w="1200"/>
        <w:gridCol w:w="1320"/>
        <w:gridCol w:w="1440"/>
      </w:tblGrid>
      <w:tr w:rsidR="00373976">
        <w:trPr>
          <w:jc w:val="center"/>
        </w:trPr>
        <w:tc>
          <w:tcPr>
            <w:tcW w:w="3228"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rPr>
                <w:rFonts w:ascii="SimHei" w:eastAsia="SimHei"/>
                <w:color w:val="FF0000"/>
              </w:rPr>
            </w:pPr>
            <w:r>
              <w:rPr>
                <w:rFonts w:ascii="SimHei" w:eastAsia="SimHei" w:cs="SimHei" w:hint="eastAsia"/>
                <w:color w:val="FF0000"/>
              </w:rPr>
              <w:t>年份</w:t>
            </w:r>
          </w:p>
        </w:tc>
        <w:tc>
          <w:tcPr>
            <w:tcW w:w="1189"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rPr>
                <w:rFonts w:ascii="SimHei" w:eastAsia="SimHei" w:cs="SimHei"/>
                <w:color w:val="FF0000"/>
              </w:rPr>
            </w:pPr>
            <w:r>
              <w:rPr>
                <w:rFonts w:ascii="SimHei" w:eastAsia="SimHei" w:cs="SimHei"/>
                <w:color w:val="FF0000"/>
              </w:rPr>
              <w:t>1997</w:t>
            </w:r>
          </w:p>
        </w:tc>
        <w:tc>
          <w:tcPr>
            <w:tcW w:w="132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rPr>
                <w:rFonts w:ascii="SimHei" w:eastAsia="SimHei" w:cs="SimHei"/>
                <w:color w:val="FF0000"/>
              </w:rPr>
            </w:pPr>
            <w:r>
              <w:rPr>
                <w:rFonts w:ascii="SimHei" w:eastAsia="SimHei" w:cs="SimHei"/>
                <w:color w:val="FF0000"/>
              </w:rPr>
              <w:t>1998</w:t>
            </w:r>
          </w:p>
        </w:tc>
        <w:tc>
          <w:tcPr>
            <w:tcW w:w="120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rPr>
                <w:rFonts w:ascii="SimHei" w:eastAsia="SimHei" w:cs="SimHei"/>
                <w:color w:val="FF0000"/>
              </w:rPr>
            </w:pPr>
            <w:r>
              <w:rPr>
                <w:rFonts w:ascii="SimHei" w:eastAsia="SimHei" w:cs="SimHei"/>
                <w:color w:val="FF0000"/>
              </w:rPr>
              <w:t>1999</w:t>
            </w:r>
          </w:p>
        </w:tc>
        <w:tc>
          <w:tcPr>
            <w:tcW w:w="132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rPr>
                <w:rFonts w:ascii="SimHei" w:eastAsia="SimHei" w:cs="SimHei"/>
                <w:color w:val="FF0000"/>
              </w:rPr>
            </w:pPr>
            <w:r>
              <w:rPr>
                <w:rFonts w:ascii="SimHei" w:eastAsia="SimHei" w:cs="SimHei"/>
                <w:color w:val="FF0000"/>
              </w:rPr>
              <w:t>2000</w:t>
            </w:r>
          </w:p>
        </w:tc>
        <w:tc>
          <w:tcPr>
            <w:tcW w:w="144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rPr>
                <w:rFonts w:ascii="SimHei" w:eastAsia="SimHei" w:cs="SimHei"/>
                <w:color w:val="FF0000"/>
              </w:rPr>
            </w:pPr>
            <w:r>
              <w:rPr>
                <w:rFonts w:ascii="SimHei" w:eastAsia="SimHei" w:cs="SimHei"/>
                <w:color w:val="FF0000"/>
              </w:rPr>
              <w:t>2001</w:t>
            </w:r>
          </w:p>
        </w:tc>
      </w:tr>
      <w:tr w:rsidR="00373976">
        <w:trPr>
          <w:jc w:val="center"/>
        </w:trPr>
        <w:tc>
          <w:tcPr>
            <w:tcW w:w="3228" w:type="dxa"/>
            <w:tcBorders>
              <w:top w:val="single" w:sz="4" w:space="0" w:color="auto"/>
              <w:left w:val="single" w:sz="4" w:space="0" w:color="auto"/>
              <w:bottom w:val="single" w:sz="4" w:space="0" w:color="auto"/>
              <w:right w:val="single" w:sz="4" w:space="0" w:color="auto"/>
            </w:tcBorders>
          </w:tcPr>
          <w:p w:rsidR="00373976" w:rsidRDefault="00373976" w:rsidP="00373976">
            <w:pPr>
              <w:pStyle w:val="Date"/>
              <w:tabs>
                <w:tab w:val="left" w:pos="525"/>
              </w:tabs>
              <w:spacing w:after="240" w:line="360" w:lineRule="exact"/>
            </w:pPr>
            <w:r>
              <w:rPr>
                <w:rFonts w:cs="SimSun" w:hint="eastAsia"/>
              </w:rPr>
              <w:t>男子</w:t>
            </w:r>
          </w:p>
        </w:tc>
        <w:tc>
          <w:tcPr>
            <w:tcW w:w="1189"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pPr>
            <w:r>
              <w:t>35</w:t>
            </w:r>
          </w:p>
        </w:tc>
        <w:tc>
          <w:tcPr>
            <w:tcW w:w="132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pPr>
            <w:r>
              <w:t>34</w:t>
            </w:r>
          </w:p>
        </w:tc>
        <w:tc>
          <w:tcPr>
            <w:tcW w:w="120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pPr>
            <w:r>
              <w:t>25</w:t>
            </w:r>
          </w:p>
        </w:tc>
        <w:tc>
          <w:tcPr>
            <w:tcW w:w="132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pPr>
            <w:r>
              <w:t>14</w:t>
            </w:r>
          </w:p>
        </w:tc>
        <w:tc>
          <w:tcPr>
            <w:tcW w:w="144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pPr>
            <w:r>
              <w:t>16</w:t>
            </w:r>
          </w:p>
        </w:tc>
      </w:tr>
      <w:tr w:rsidR="00373976">
        <w:trPr>
          <w:jc w:val="center"/>
        </w:trPr>
        <w:tc>
          <w:tcPr>
            <w:tcW w:w="3228"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pPr>
            <w:r>
              <w:rPr>
                <w:rFonts w:cs="SimSun" w:hint="eastAsia"/>
              </w:rPr>
              <w:t>妇女</w:t>
            </w:r>
          </w:p>
        </w:tc>
        <w:tc>
          <w:tcPr>
            <w:tcW w:w="1189"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pPr>
            <w:r>
              <w:t>38</w:t>
            </w:r>
          </w:p>
        </w:tc>
        <w:tc>
          <w:tcPr>
            <w:tcW w:w="132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pPr>
            <w:r>
              <w:t>36</w:t>
            </w:r>
          </w:p>
        </w:tc>
        <w:tc>
          <w:tcPr>
            <w:tcW w:w="120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pPr>
            <w:r>
              <w:t>29</w:t>
            </w:r>
          </w:p>
        </w:tc>
        <w:tc>
          <w:tcPr>
            <w:tcW w:w="132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pPr>
            <w:r>
              <w:t>26</w:t>
            </w:r>
          </w:p>
        </w:tc>
        <w:tc>
          <w:tcPr>
            <w:tcW w:w="1440" w:type="dxa"/>
            <w:tcBorders>
              <w:top w:val="single" w:sz="4" w:space="0" w:color="auto"/>
              <w:left w:val="single" w:sz="4" w:space="0" w:color="auto"/>
              <w:bottom w:val="single" w:sz="4" w:space="0" w:color="auto"/>
              <w:right w:val="single" w:sz="4" w:space="0" w:color="auto"/>
            </w:tcBorders>
          </w:tcPr>
          <w:p w:rsidR="00373976" w:rsidRDefault="00373976" w:rsidP="00373976">
            <w:pPr>
              <w:tabs>
                <w:tab w:val="left" w:pos="525"/>
              </w:tabs>
              <w:spacing w:after="240" w:line="360" w:lineRule="exact"/>
              <w:jc w:val="center"/>
            </w:pPr>
            <w:r>
              <w:t>45</w:t>
            </w:r>
          </w:p>
        </w:tc>
      </w:tr>
    </w:tbl>
    <w:p w:rsidR="00373976" w:rsidRDefault="00373976" w:rsidP="00373976">
      <w:pPr>
        <w:tabs>
          <w:tab w:val="left" w:pos="525"/>
        </w:tabs>
        <w:spacing w:after="240" w:line="360" w:lineRule="exact"/>
        <w:rPr>
          <w:sz w:val="18"/>
          <w:szCs w:val="18"/>
        </w:rPr>
      </w:pPr>
      <w:r>
        <w:rPr>
          <w:rFonts w:eastAsia="KaiTi_GB2312" w:cs="KaiTi_GB2312" w:hint="eastAsia"/>
          <w:color w:val="0000FF"/>
          <w:sz w:val="18"/>
          <w:szCs w:val="18"/>
        </w:rPr>
        <w:t>资料来源</w:t>
      </w:r>
      <w:r>
        <w:rPr>
          <w:rFonts w:cs="SimSun" w:hint="eastAsia"/>
          <w:sz w:val="18"/>
          <w:szCs w:val="18"/>
        </w:rPr>
        <w:t>：全国卫生信息局。</w:t>
      </w:r>
    </w:p>
    <w:p w:rsidR="00373976" w:rsidRDefault="00373976" w:rsidP="003B50F5">
      <w:pPr>
        <w:tabs>
          <w:tab w:val="left" w:pos="525"/>
        </w:tabs>
        <w:autoSpaceDE w:val="0"/>
        <w:autoSpaceDN w:val="0"/>
        <w:spacing w:after="180" w:line="380" w:lineRule="exact"/>
        <w:rPr>
          <w:rFonts w:eastAsia="SimHei"/>
          <w:color w:val="FF0000"/>
          <w:sz w:val="24"/>
          <w:szCs w:val="24"/>
          <w:lang w:val="zh-CN"/>
        </w:rPr>
      </w:pPr>
      <w:r>
        <w:rPr>
          <w:rFonts w:eastAsia="SimHei" w:cs="SimHei" w:hint="eastAsia"/>
          <w:color w:val="FF0000"/>
          <w:sz w:val="24"/>
          <w:szCs w:val="24"/>
          <w:lang w:val="zh-CN"/>
        </w:rPr>
        <w:t>家庭暴力</w:t>
      </w:r>
    </w:p>
    <w:p w:rsidR="00373976" w:rsidRDefault="00373976" w:rsidP="003B50F5">
      <w:pPr>
        <w:numPr>
          <w:ilvl w:val="0"/>
          <w:numId w:val="39"/>
        </w:numPr>
        <w:tabs>
          <w:tab w:val="clear" w:pos="397"/>
          <w:tab w:val="left" w:pos="525"/>
        </w:tabs>
        <w:spacing w:after="180" w:line="360" w:lineRule="exact"/>
        <w:ind w:left="0" w:firstLine="0"/>
        <w:jc w:val="both"/>
      </w:pPr>
      <w:r>
        <w:rPr>
          <w:rFonts w:cs="SimSun" w:hint="eastAsia"/>
        </w:rPr>
        <w:t>以医院、警察局和妇女事务部的汇总信息为基础的家庭暴力年度报告发现，家庭暴力案件自</w:t>
      </w:r>
      <w:r>
        <w:t>2000</w:t>
      </w:r>
      <w:r>
        <w:rPr>
          <w:rFonts w:cs="SimSun" w:hint="eastAsia"/>
        </w:rPr>
        <w:t>年起有上升的趋势（大约每年增加</w:t>
      </w:r>
      <w:r>
        <w:t>10%</w:t>
      </w:r>
      <w:r>
        <w:rPr>
          <w:rFonts w:cs="SimSun" w:hint="eastAsia"/>
        </w:rPr>
        <w:t>）。其中针对妇女的暴力案件平均比男子高八倍。在最有生产力和生育力的年龄段中（</w:t>
      </w:r>
      <w:r>
        <w:t>15</w:t>
      </w:r>
      <w:r>
        <w:rPr>
          <w:rFonts w:cs="SimSun" w:hint="eastAsia"/>
        </w:rPr>
        <w:t>至</w:t>
      </w:r>
      <w:r>
        <w:t>44</w:t>
      </w:r>
      <w:r>
        <w:rPr>
          <w:rFonts w:cs="SimSun" w:hint="eastAsia"/>
        </w:rPr>
        <w:t>岁），受害者大多数是妇女，占所有案件的近</w:t>
      </w:r>
      <w:r>
        <w:t>90%</w:t>
      </w:r>
      <w:r>
        <w:rPr>
          <w:rFonts w:cs="SimSun" w:hint="eastAsia"/>
        </w:rPr>
        <w:t>。</w:t>
      </w:r>
    </w:p>
    <w:p w:rsidR="00373976" w:rsidRDefault="00373976" w:rsidP="003B50F5">
      <w:pPr>
        <w:numPr>
          <w:ilvl w:val="0"/>
          <w:numId w:val="39"/>
        </w:numPr>
        <w:tabs>
          <w:tab w:val="clear" w:pos="397"/>
          <w:tab w:val="left" w:pos="525"/>
        </w:tabs>
        <w:spacing w:after="180" w:line="360" w:lineRule="exact"/>
        <w:ind w:left="0" w:firstLine="0"/>
        <w:jc w:val="both"/>
      </w:pPr>
      <w:r>
        <w:rPr>
          <w:rFonts w:cs="SimSun" w:hint="eastAsia"/>
        </w:rPr>
        <w:t>这些受害者中，大部分只受过小学教育并从事以家政工作为主的经济活动。这表明就业人员要么更有可能举报家庭暴力，要么比未就业人员受到更多的家庭暴力伤害。</w:t>
      </w:r>
    </w:p>
    <w:p w:rsidR="00373976" w:rsidRDefault="00373976" w:rsidP="003B50F5">
      <w:pPr>
        <w:numPr>
          <w:ilvl w:val="0"/>
          <w:numId w:val="39"/>
        </w:numPr>
        <w:tabs>
          <w:tab w:val="clear" w:pos="397"/>
          <w:tab w:val="left" w:pos="525"/>
        </w:tabs>
        <w:spacing w:after="180" w:line="360" w:lineRule="exact"/>
        <w:ind w:left="0" w:firstLine="0"/>
        <w:jc w:val="both"/>
      </w:pPr>
      <w:r>
        <w:rPr>
          <w:rFonts w:cs="SimSun" w:hint="eastAsia"/>
        </w:rPr>
        <w:t>报告家庭暴力最多的种族发生了改变。</w:t>
      </w:r>
      <w:r>
        <w:t>2000</w:t>
      </w:r>
      <w:r>
        <w:rPr>
          <w:rFonts w:cs="SimSun" w:hint="eastAsia"/>
        </w:rPr>
        <w:t>年和</w:t>
      </w:r>
      <w:r>
        <w:t>2001</w:t>
      </w:r>
      <w:r>
        <w:rPr>
          <w:rFonts w:cs="SimSun" w:hint="eastAsia"/>
        </w:rPr>
        <w:t>年，克里奥尔族报告的家庭暴力案件最多，但</w:t>
      </w:r>
      <w:r>
        <w:t>2002</w:t>
      </w:r>
      <w:r>
        <w:rPr>
          <w:rFonts w:cs="SimSun" w:hint="eastAsia"/>
        </w:rPr>
        <w:t>年，报告最多的是梅斯蒂索族。目前尚未分析造成这一变化的原因。</w:t>
      </w:r>
    </w:p>
    <w:p w:rsidR="00373976" w:rsidRDefault="00373976" w:rsidP="003B50F5">
      <w:pPr>
        <w:numPr>
          <w:ilvl w:val="0"/>
          <w:numId w:val="39"/>
        </w:numPr>
        <w:tabs>
          <w:tab w:val="clear" w:pos="397"/>
          <w:tab w:val="left" w:pos="525"/>
        </w:tabs>
        <w:spacing w:after="180" w:line="360" w:lineRule="exact"/>
        <w:ind w:left="0" w:firstLine="0"/>
        <w:jc w:val="both"/>
      </w:pPr>
      <w:r>
        <w:rPr>
          <w:rFonts w:cs="SimSun" w:hint="eastAsia"/>
        </w:rPr>
        <w:t>在所有案件中，有一半以上属于多次发生。妇女受到的最多的伤害是身体伤害，其次是精神虐待。</w:t>
      </w:r>
      <w:r>
        <w:rPr>
          <w:rStyle w:val="FootnoteReference"/>
        </w:rPr>
        <w:footnoteReference w:id="70"/>
      </w:r>
    </w:p>
    <w:p w:rsidR="00373976" w:rsidRDefault="00373976" w:rsidP="003B50F5">
      <w:pPr>
        <w:numPr>
          <w:ilvl w:val="0"/>
          <w:numId w:val="39"/>
        </w:numPr>
        <w:tabs>
          <w:tab w:val="clear" w:pos="397"/>
          <w:tab w:val="left" w:pos="525"/>
        </w:tabs>
        <w:spacing w:after="180" w:line="360" w:lineRule="exact"/>
        <w:ind w:left="0" w:firstLine="0"/>
        <w:jc w:val="both"/>
      </w:pPr>
      <w:r>
        <w:t>70%</w:t>
      </w:r>
      <w:r>
        <w:rPr>
          <w:rFonts w:cs="SimSun" w:hint="eastAsia"/>
        </w:rPr>
        <w:t>以上的受害人生活在城市，报告的案件大多数发生在伯利兹区。相比之下，生活在农村的妇女不太愿意举报家庭暴力案件。农业人口占多数的伯利兹南部行政区报告的案件还不到所有案件的</w:t>
      </w:r>
      <w:r>
        <w:t>3%</w:t>
      </w:r>
      <w:r>
        <w:rPr>
          <w:rFonts w:cs="SimSun" w:hint="eastAsia"/>
        </w:rPr>
        <w:t>，但社会工作者知道这一类的暴力在南部社区是很普遍的。文化习俗和宗教信仰被认为是造成报案数量低的原因。</w:t>
      </w:r>
    </w:p>
    <w:p w:rsidR="00373976" w:rsidRDefault="00373976" w:rsidP="003B50F5">
      <w:pPr>
        <w:numPr>
          <w:ilvl w:val="0"/>
          <w:numId w:val="39"/>
        </w:numPr>
        <w:tabs>
          <w:tab w:val="clear" w:pos="397"/>
          <w:tab w:val="left" w:pos="525"/>
        </w:tabs>
        <w:spacing w:after="180" w:line="360" w:lineRule="exact"/>
        <w:ind w:left="0" w:firstLine="0"/>
        <w:jc w:val="both"/>
      </w:pPr>
      <w:r>
        <w:rPr>
          <w:rFonts w:cs="SimSun" w:hint="eastAsia"/>
        </w:rPr>
        <w:t>妇女事务部的大量工作都是围绕对妇女的暴力行为进行的。为此成立了一个家庭暴力工作队，并在调动社会各个部门和提高其认识方面做出了努力。警察局专门配备了基本办公设备，以保证处理家庭暴力案件的单位正常工作，全国的警官和专业人员助手也得到了培训。每一个行政区都设立了家庭暴力委员会，此外还为举报案件的归档编制了全国统一的登记表。该部在学校、社区、电台和电视台节目中举办了研讨会，散发了有关家庭暴力的宣传品和小册子。作为打击家庭暴力的现有工作的一部分，还编撰和分发了一份阐述性别和男性特征的手册。</w:t>
      </w:r>
    </w:p>
    <w:p w:rsidR="00373976" w:rsidRDefault="00373976" w:rsidP="003B50F5">
      <w:pPr>
        <w:numPr>
          <w:ilvl w:val="0"/>
          <w:numId w:val="39"/>
        </w:numPr>
        <w:tabs>
          <w:tab w:val="clear" w:pos="397"/>
          <w:tab w:val="left" w:pos="525"/>
        </w:tabs>
        <w:spacing w:after="180" w:line="360" w:lineRule="exact"/>
        <w:ind w:left="0" w:firstLine="0"/>
        <w:jc w:val="both"/>
      </w:pPr>
      <w:r>
        <w:rPr>
          <w:rFonts w:cs="SimSun" w:hint="eastAsia"/>
        </w:rPr>
        <w:t>在伯利兹城郊区为遭受家庭暴力伤害并需要及时帮助的妇女设立了一个庇护所。不过，由于缺乏工作人员，该庇护所提供的服务有限。此外，交通不便也影响了妇女对各项设施的利用，平均每年接受服务的妇女只有</w:t>
      </w:r>
      <w:r>
        <w:t>25</w:t>
      </w:r>
      <w:r>
        <w:rPr>
          <w:rFonts w:cs="SimSun" w:hint="eastAsia"/>
        </w:rPr>
        <w:t>名。</w:t>
      </w:r>
      <w:r>
        <w:rPr>
          <w:rStyle w:val="FootnoteReference"/>
        </w:rPr>
        <w:footnoteReference w:id="71"/>
      </w:r>
      <w:r>
        <w:rPr>
          <w:rFonts w:cs="SimSun" w:hint="eastAsia"/>
        </w:rPr>
        <w:t>庇护所为妇女提供</w:t>
      </w:r>
      <w:r>
        <w:t>21</w:t>
      </w:r>
      <w:r>
        <w:rPr>
          <w:rFonts w:cs="SimSun" w:hint="eastAsia"/>
        </w:rPr>
        <w:t>天的食宿，在此之后没有针对这些妇女的后续咨询和支助方案。</w:t>
      </w:r>
    </w:p>
    <w:p w:rsidR="00373976" w:rsidRDefault="00373976" w:rsidP="00373976">
      <w:pPr>
        <w:numPr>
          <w:ilvl w:val="0"/>
          <w:numId w:val="39"/>
        </w:numPr>
        <w:tabs>
          <w:tab w:val="clear" w:pos="397"/>
          <w:tab w:val="left" w:pos="525"/>
        </w:tabs>
        <w:spacing w:after="240" w:line="360" w:lineRule="exact"/>
        <w:ind w:left="0" w:firstLine="0"/>
        <w:jc w:val="both"/>
      </w:pPr>
      <w:r>
        <w:rPr>
          <w:rFonts w:cs="SimSun" w:hint="eastAsia"/>
        </w:rPr>
        <w:t>除了使用庇护所外，有些妇女会投靠亲属，但大部分仍与实施虐待的配偶呆在一起。“玛勒希望之家”是一个位于贝尔莫潘的私营机构，它也向家庭暴力的受害者提供食宿。在其他行政区，受虐待妇女可得到的惟一帮助来自于“妇女发展官员”（</w:t>
      </w:r>
      <w:r>
        <w:t>WDO</w:t>
      </w:r>
      <w:r>
        <w:rPr>
          <w:rFonts w:cs="SimSun" w:hint="eastAsia"/>
        </w:rPr>
        <w:t>），该官员将提供信息并在必要时推荐转投其他机构。不过</w:t>
      </w:r>
      <w:r>
        <w:rPr>
          <w:rFonts w:cs="SimSun" w:hint="eastAsia"/>
          <w:lang w:val="en-GB"/>
        </w:rPr>
        <w:t>，由于</w:t>
      </w:r>
      <w:r>
        <w:rPr>
          <w:rFonts w:cs="SimSun" w:hint="eastAsia"/>
        </w:rPr>
        <w:t>两个重要的（以处理对妇女的暴力行为为主）妇女组织的解散，严重削弱了可帮助受虐待者的资源网络。</w:t>
      </w:r>
    </w:p>
    <w:p w:rsidR="00373976" w:rsidRDefault="00373976" w:rsidP="003B50F5">
      <w:pPr>
        <w:numPr>
          <w:ilvl w:val="0"/>
          <w:numId w:val="39"/>
        </w:numPr>
        <w:tabs>
          <w:tab w:val="clear" w:pos="397"/>
          <w:tab w:val="left" w:pos="525"/>
        </w:tabs>
        <w:spacing w:after="180" w:line="360" w:lineRule="exact"/>
        <w:ind w:left="0" w:firstLine="0"/>
        <w:jc w:val="both"/>
      </w:pPr>
      <w:r>
        <w:rPr>
          <w:rFonts w:cs="SimSun" w:hint="eastAsia"/>
        </w:rPr>
        <w:t>尽管妇女事务部和其他组织实施了大量的教育和培训方案，但由于司法和社会保护体制对家庭暴力的敏感程度不够，限制了国家对这一现象所采取的措施的效果。曾利用过这些体制的妇女报告说，在许多情况下，这些公共机构的主流意见是鼓励妇女回到实施虐待的丈夫身边。</w:t>
      </w:r>
    </w:p>
    <w:p w:rsidR="00373976" w:rsidRDefault="00373976" w:rsidP="003B50F5">
      <w:pPr>
        <w:numPr>
          <w:ilvl w:val="0"/>
          <w:numId w:val="39"/>
        </w:numPr>
        <w:tabs>
          <w:tab w:val="clear" w:pos="397"/>
          <w:tab w:val="left" w:pos="525"/>
        </w:tabs>
        <w:spacing w:after="180" w:line="360" w:lineRule="exact"/>
        <w:ind w:left="0" w:firstLine="0"/>
        <w:jc w:val="both"/>
      </w:pPr>
      <w:r>
        <w:rPr>
          <w:rFonts w:cs="SimSun" w:hint="eastAsia"/>
        </w:rPr>
        <w:t>鉴于上述问题，《国家性别政策》规定：</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在伯利兹的农村，要付出更大的努力来提高社区对有关家庭暴力的预防、权利和服务的认识；</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将对接收、处理和跟踪投诉的程序进行评估，以便确定加强此类工作的措施，包括对现有服务是否充分和能否得到这些服务进行评估；</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采取措施保证广泛利用家庭暴力和虐待儿童登记系统；</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妇女事务部将就更有效地支助虐待受害者和幸存者及适当地保持家庭关系所需的受虐后心理咨询、监督服务和家庭团聚服务等事项向政府提出建议；</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查明庇护所向虐待和暴力受害者提供的食宿与需求相差的程度，确定应该达到的容量、位置和相关的资源要求；</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在尽可能的情况下，当局应努力确保让施暴嫌疑人，而不是受害者，不管是成人还是儿童，离开原住所；</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所有受害人撤回家庭暴力指控的案件，都将由警察家庭暴力局与妇女事务部协同调查；</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将进行适当的干预，包括在受害人力图撤回指控案件的情况下向其提供咨询和采取措施使虐待嫌疑人提高对自己行为的认识和进行真诚忏悔；</w:t>
      </w:r>
    </w:p>
    <w:p w:rsidR="00373976" w:rsidRDefault="00373976" w:rsidP="009B38FD">
      <w:pPr>
        <w:numPr>
          <w:ilvl w:val="0"/>
          <w:numId w:val="47"/>
        </w:numPr>
        <w:tabs>
          <w:tab w:val="clear" w:pos="840"/>
          <w:tab w:val="num" w:pos="945"/>
        </w:tabs>
        <w:spacing w:after="180" w:line="360" w:lineRule="exact"/>
        <w:ind w:leftChars="250" w:left="31680"/>
        <w:jc w:val="both"/>
        <w:rPr>
          <w:rFonts w:ascii="KaiTi_GB2312" w:eastAsia="KaiTi_GB2312"/>
          <w:color w:val="0000FF"/>
        </w:rPr>
      </w:pPr>
      <w:r>
        <w:rPr>
          <w:rFonts w:ascii="KaiTi_GB2312" w:eastAsia="KaiTi_GB2312" w:cs="KaiTi_GB2312" w:hint="eastAsia"/>
          <w:color w:val="0000FF"/>
        </w:rPr>
        <w:t>对那些因暴力和虐待，包括性虐待被判有罪的人员，在监狱内外就其行为的性质和协助其改变行为方式等方面进行教育和辅导；</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为了成功改造被判刑的施暴者，将研究在一定程度上灵活运用假释规定的作用。</w:t>
      </w:r>
    </w:p>
    <w:p w:rsidR="00373976" w:rsidRDefault="00373976" w:rsidP="00373976">
      <w:pPr>
        <w:tabs>
          <w:tab w:val="left" w:pos="525"/>
        </w:tabs>
        <w:autoSpaceDE w:val="0"/>
        <w:autoSpaceDN w:val="0"/>
        <w:spacing w:after="240" w:line="380" w:lineRule="exact"/>
        <w:rPr>
          <w:rFonts w:eastAsia="SimHei"/>
          <w:color w:val="FF0000"/>
          <w:sz w:val="24"/>
          <w:szCs w:val="24"/>
          <w:lang w:val="zh-CN"/>
        </w:rPr>
      </w:pPr>
      <w:r>
        <w:rPr>
          <w:rFonts w:eastAsia="SimHei" w:cs="SimHei" w:hint="eastAsia"/>
          <w:color w:val="FF0000"/>
          <w:sz w:val="24"/>
          <w:szCs w:val="24"/>
          <w:lang w:val="zh-CN"/>
        </w:rPr>
        <w:t>其他基于性别的暴力</w:t>
      </w:r>
    </w:p>
    <w:p w:rsidR="00373976" w:rsidRDefault="00373976" w:rsidP="00373976">
      <w:pPr>
        <w:widowControl w:val="0"/>
        <w:numPr>
          <w:ilvl w:val="0"/>
          <w:numId w:val="43"/>
        </w:numPr>
        <w:tabs>
          <w:tab w:val="clear" w:pos="0"/>
          <w:tab w:val="left" w:pos="525"/>
        </w:tabs>
        <w:adjustRightInd w:val="0"/>
        <w:spacing w:after="240" w:line="360" w:lineRule="exact"/>
        <w:ind w:left="0" w:firstLine="0"/>
        <w:jc w:val="both"/>
        <w:textAlignment w:val="baseline"/>
      </w:pPr>
      <w:r>
        <w:rPr>
          <w:rFonts w:cs="SimSun" w:hint="eastAsia"/>
        </w:rPr>
        <w:t>除了家庭暴力，伯利兹其他针对妇女的暴力案件的数量也在上升。媒体关于对妇女实施强奸、乱伦、性侵害和谋杀的报道越来越多，受害者各年龄段都有，但主要是年轻妇女。</w:t>
      </w:r>
    </w:p>
    <w:p w:rsidR="00373976" w:rsidRDefault="00373976" w:rsidP="00373976">
      <w:pPr>
        <w:widowControl w:val="0"/>
        <w:numPr>
          <w:ilvl w:val="0"/>
          <w:numId w:val="43"/>
        </w:numPr>
        <w:tabs>
          <w:tab w:val="clear" w:pos="0"/>
          <w:tab w:val="left" w:pos="525"/>
        </w:tabs>
        <w:adjustRightInd w:val="0"/>
        <w:spacing w:after="240" w:line="360" w:lineRule="exact"/>
        <w:ind w:left="0" w:firstLine="0"/>
        <w:jc w:val="both"/>
        <w:textAlignment w:val="baseline"/>
      </w:pPr>
      <w:r>
        <w:rPr>
          <w:rFonts w:cs="SimSun" w:hint="eastAsia"/>
        </w:rPr>
        <w:t>强制性报告虐待儿童案的法令于</w:t>
      </w:r>
      <w:r>
        <w:t>1999</w:t>
      </w:r>
      <w:r>
        <w:rPr>
          <w:rFonts w:cs="SimSun" w:hint="eastAsia"/>
        </w:rPr>
        <w:t>年制定后，有关儿童性虐待的举报增加了六倍，其中大部分是对女童的性虐待。</w:t>
      </w:r>
    </w:p>
    <w:p w:rsidR="00373976" w:rsidRDefault="00373976" w:rsidP="00373976">
      <w:pPr>
        <w:widowControl w:val="0"/>
        <w:numPr>
          <w:ilvl w:val="0"/>
          <w:numId w:val="43"/>
        </w:numPr>
        <w:tabs>
          <w:tab w:val="clear" w:pos="0"/>
          <w:tab w:val="left" w:pos="525"/>
        </w:tabs>
        <w:adjustRightInd w:val="0"/>
        <w:spacing w:after="240" w:line="360" w:lineRule="exact"/>
        <w:ind w:left="0" w:firstLine="0"/>
        <w:jc w:val="both"/>
        <w:textAlignment w:val="baseline"/>
      </w:pPr>
      <w:r>
        <w:rPr>
          <w:rFonts w:cs="SimSun" w:hint="eastAsia"/>
        </w:rPr>
        <w:t>然而，除了虐待儿童干预方案，没有哪一个组织明确一贯地全面处理对妇女暴力行为的问题。国家对这些问题的沉默显示了伯利兹妇女运动和妇女组织的薄弱。为弥补这一缺陷，“天堂之家”（受虐妇女庇护所）近期进行了一项规划，扩大了该组织的关注点，它将对范围更广的基于性别的暴力做出回应。</w:t>
      </w:r>
    </w:p>
    <w:p w:rsidR="00373976" w:rsidRDefault="00373976" w:rsidP="00373976">
      <w:pPr>
        <w:widowControl w:val="0"/>
        <w:numPr>
          <w:ilvl w:val="0"/>
          <w:numId w:val="43"/>
        </w:numPr>
        <w:tabs>
          <w:tab w:val="clear" w:pos="0"/>
          <w:tab w:val="left" w:pos="525"/>
        </w:tabs>
        <w:adjustRightInd w:val="0"/>
        <w:spacing w:after="240" w:line="360" w:lineRule="exact"/>
        <w:ind w:left="0" w:firstLine="0"/>
        <w:jc w:val="both"/>
        <w:textAlignment w:val="baseline"/>
      </w:pPr>
      <w:r>
        <w:rPr>
          <w:rFonts w:cs="SimSun" w:hint="eastAsia"/>
        </w:rPr>
        <w:t>一个特别值得关注的领域是对司法的运用。尽管法律修订后已将强奸的适用范围扩大到婚内并对性虐待儿童受害者实行保护，但承负能力和及时有效地提供司法服务的问题限制了法律保护的落实。《国家性别政策》指出了对延迟审理性虐待和强奸案件的关注。它进一步指出，“除了增加受害人的痛苦外，还有关于年长的强奸受害妇女死亡和失去记忆以及犯罪嫌疑人被无罪释放的报告”。</w:t>
      </w:r>
      <w:r>
        <w:rPr>
          <w:rStyle w:val="FootnoteReference"/>
        </w:rPr>
        <w:footnoteReference w:id="72"/>
      </w:r>
    </w:p>
    <w:p w:rsidR="00373976" w:rsidRDefault="00373976" w:rsidP="00373976">
      <w:pPr>
        <w:widowControl w:val="0"/>
        <w:numPr>
          <w:ilvl w:val="0"/>
          <w:numId w:val="43"/>
        </w:numPr>
        <w:tabs>
          <w:tab w:val="clear" w:pos="0"/>
          <w:tab w:val="left" w:pos="525"/>
        </w:tabs>
        <w:adjustRightInd w:val="0"/>
        <w:spacing w:after="240" w:line="360" w:lineRule="exact"/>
        <w:ind w:left="0" w:firstLine="0"/>
        <w:jc w:val="both"/>
        <w:textAlignment w:val="baseline"/>
      </w:pPr>
      <w:r>
        <w:rPr>
          <w:rFonts w:cs="SimSun" w:hint="eastAsia"/>
        </w:rPr>
        <w:t>《国家性别政策》的相关规定如下：</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审查有关措施，以便更及时地起诉性虐待和强奸案件，特别是涉及年长受害人的案件。</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查明目前对暴力和虐待受害人的法律援助是否充分，以便采取措施加强此类援助，并保证没有暴力和虐待事件因此而逃避起诉。</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政府将研究以类似于健康保险的征税方式筹措资金，引入国家法律保险方案的可行性，以保证获得经济实惠的合法代表权。</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在法庭诉讼期间要求虐待或暴力的受害儿童提供犯罪证据时，不得让犯罪嫌疑人看到。</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将研究制定措施，保证虐待或暴力受害儿童在正式的法庭审理以外的程序中提供证据。</w:t>
      </w:r>
    </w:p>
    <w:p w:rsidR="00373976" w:rsidRDefault="00373976" w:rsidP="00373976">
      <w:pPr>
        <w:tabs>
          <w:tab w:val="left" w:pos="525"/>
        </w:tabs>
        <w:spacing w:after="240" w:line="360" w:lineRule="exact"/>
        <w:rPr>
          <w:rFonts w:ascii="KaiTi_GB2312" w:eastAsia="KaiTi_GB2312" w:hAnsi="STKaiti"/>
          <w:color w:val="0000FF"/>
        </w:rPr>
      </w:pPr>
    </w:p>
    <w:p w:rsidR="00373976" w:rsidRDefault="00373976" w:rsidP="00373976">
      <w:pPr>
        <w:tabs>
          <w:tab w:val="left" w:pos="525"/>
        </w:tabs>
        <w:spacing w:after="240" w:line="360" w:lineRule="exact"/>
        <w:jc w:val="center"/>
        <w:rPr>
          <w:rFonts w:ascii="SimHei" w:eastAsia="SimHei"/>
          <w:color w:val="FF0000"/>
          <w:sz w:val="28"/>
          <w:szCs w:val="28"/>
        </w:rPr>
      </w:pPr>
      <w:r>
        <w:br w:type="page"/>
      </w:r>
      <w:r>
        <w:rPr>
          <w:rFonts w:ascii="SimHei" w:eastAsia="SimHei" w:cs="SimHei" w:hint="eastAsia"/>
          <w:color w:val="FF0000"/>
          <w:sz w:val="28"/>
          <w:szCs w:val="28"/>
        </w:rPr>
        <w:t>第</w:t>
      </w:r>
      <w:r>
        <w:rPr>
          <w:rFonts w:ascii="SimHei" w:eastAsia="SimHei" w:cs="SimHei"/>
          <w:color w:val="FF0000"/>
          <w:sz w:val="28"/>
          <w:szCs w:val="28"/>
        </w:rPr>
        <w:t>13</w:t>
      </w:r>
      <w:r>
        <w:rPr>
          <w:rFonts w:ascii="SimHei" w:eastAsia="SimHei" w:cs="SimHei" w:hint="eastAsia"/>
          <w:color w:val="FF0000"/>
          <w:sz w:val="28"/>
          <w:szCs w:val="28"/>
        </w:rPr>
        <w:t>条</w:t>
      </w:r>
    </w:p>
    <w:p w:rsidR="00373976" w:rsidRDefault="00373976" w:rsidP="00373976">
      <w:pPr>
        <w:tabs>
          <w:tab w:val="left" w:pos="525"/>
        </w:tabs>
        <w:spacing w:after="240" w:line="360" w:lineRule="exact"/>
        <w:jc w:val="center"/>
        <w:rPr>
          <w:rFonts w:ascii="SimHei" w:eastAsia="SimHei"/>
          <w:color w:val="FF0000"/>
          <w:sz w:val="28"/>
          <w:szCs w:val="28"/>
        </w:rPr>
      </w:pPr>
      <w:r>
        <w:rPr>
          <w:rFonts w:ascii="SimHei" w:eastAsia="SimHei" w:cs="SimHei" w:hint="eastAsia"/>
          <w:color w:val="FF0000"/>
          <w:sz w:val="28"/>
          <w:szCs w:val="28"/>
        </w:rPr>
        <w:t>社会和经济利益</w:t>
      </w:r>
    </w:p>
    <w:p w:rsidR="00373976" w:rsidRDefault="00373976" w:rsidP="00373976">
      <w:pPr>
        <w:pStyle w:val="Subtitle"/>
        <w:pBdr>
          <w:top w:val="single" w:sz="4" w:space="1" w:color="auto"/>
        </w:pBdr>
        <w:tabs>
          <w:tab w:val="left" w:pos="525"/>
        </w:tabs>
        <w:spacing w:line="360" w:lineRule="exact"/>
        <w:jc w:val="both"/>
        <w:rPr>
          <w:rFonts w:eastAsia="SimHei"/>
          <w:sz w:val="21"/>
          <w:szCs w:val="21"/>
          <w:lang w:eastAsia="zh-CN"/>
        </w:rPr>
      </w:pPr>
    </w:p>
    <w:p w:rsidR="00373976" w:rsidRDefault="00373976" w:rsidP="009B38FD">
      <w:pPr>
        <w:pStyle w:val="BodyText"/>
        <w:tabs>
          <w:tab w:val="left" w:pos="525"/>
        </w:tabs>
        <w:spacing w:after="240" w:line="360" w:lineRule="exact"/>
        <w:ind w:firstLineChars="250" w:firstLine="31680"/>
        <w:rPr>
          <w:rFonts w:ascii="KaiTi_GB2312" w:eastAsia="KaiTi_GB2312" w:hAnsi="STKaiti"/>
          <w:b/>
          <w:bCs/>
          <w:color w:val="0000FF"/>
          <w:szCs w:val="21"/>
        </w:rPr>
      </w:pPr>
      <w:r>
        <w:rPr>
          <w:rFonts w:ascii="KaiTi_GB2312" w:eastAsia="KaiTi_GB2312" w:hAnsi="STKaiti" w:cs="KaiTi_GB2312" w:hint="eastAsia"/>
          <w:b/>
          <w:bCs/>
          <w:color w:val="0000FF"/>
          <w:szCs w:val="21"/>
        </w:rPr>
        <w:t>缔约各国应采取一切适当措施以消除在经济和社会生活其他方面对妇女的歧视，保证她们在男女平等的基础上有相同的权利，特别是：（</w:t>
      </w:r>
      <w:r>
        <w:rPr>
          <w:rFonts w:ascii="KaiTi_GB2312" w:eastAsia="KaiTi_GB2312" w:hAnsi="STKaiti" w:cs="KaiTi_GB2312"/>
          <w:b/>
          <w:bCs/>
          <w:color w:val="0000FF"/>
          <w:szCs w:val="21"/>
        </w:rPr>
        <w:t>a</w:t>
      </w:r>
      <w:r>
        <w:rPr>
          <w:rFonts w:ascii="KaiTi_GB2312" w:eastAsia="KaiTi_GB2312" w:hAnsi="STKaiti" w:cs="KaiTi_GB2312" w:hint="eastAsia"/>
          <w:b/>
          <w:bCs/>
          <w:color w:val="0000FF"/>
          <w:szCs w:val="21"/>
        </w:rPr>
        <w:t>）领取家属津贴的权利；（</w:t>
      </w:r>
      <w:r>
        <w:rPr>
          <w:rFonts w:ascii="KaiTi_GB2312" w:eastAsia="KaiTi_GB2312" w:hAnsi="STKaiti" w:cs="KaiTi_GB2312"/>
          <w:b/>
          <w:bCs/>
          <w:color w:val="0000FF"/>
          <w:szCs w:val="21"/>
        </w:rPr>
        <w:t>b</w:t>
      </w:r>
      <w:r>
        <w:rPr>
          <w:rFonts w:ascii="KaiTi_GB2312" w:eastAsia="KaiTi_GB2312" w:hAnsi="STKaiti" w:cs="KaiTi_GB2312" w:hint="eastAsia"/>
          <w:b/>
          <w:bCs/>
          <w:color w:val="0000FF"/>
          <w:szCs w:val="21"/>
        </w:rPr>
        <w:t>）银行贷款、抵押和其他形式的金融信贷的权利；（</w:t>
      </w:r>
      <w:r>
        <w:rPr>
          <w:rFonts w:ascii="KaiTi_GB2312" w:eastAsia="KaiTi_GB2312" w:hAnsi="STKaiti" w:cs="KaiTi_GB2312"/>
          <w:b/>
          <w:bCs/>
          <w:color w:val="0000FF"/>
          <w:szCs w:val="21"/>
        </w:rPr>
        <w:t>c</w:t>
      </w:r>
      <w:r>
        <w:rPr>
          <w:rFonts w:ascii="KaiTi_GB2312" w:eastAsia="KaiTi_GB2312" w:hAnsi="STKaiti" w:cs="KaiTi_GB2312" w:hint="eastAsia"/>
          <w:b/>
          <w:bCs/>
          <w:color w:val="0000FF"/>
          <w:szCs w:val="21"/>
        </w:rPr>
        <w:t>）参与娱乐活动、运动和文化生活所有各方面的权利。</w:t>
      </w:r>
    </w:p>
    <w:p w:rsidR="00373976" w:rsidRDefault="00373976" w:rsidP="00373976">
      <w:pPr>
        <w:tabs>
          <w:tab w:val="left" w:pos="525"/>
        </w:tabs>
        <w:autoSpaceDE w:val="0"/>
        <w:autoSpaceDN w:val="0"/>
        <w:spacing w:after="240" w:line="380" w:lineRule="exact"/>
        <w:rPr>
          <w:rFonts w:eastAsia="SimHei"/>
          <w:color w:val="FF0000"/>
          <w:sz w:val="24"/>
          <w:szCs w:val="24"/>
          <w:lang w:val="zh-CN"/>
        </w:rPr>
      </w:pPr>
      <w:r>
        <w:rPr>
          <w:rFonts w:eastAsia="SimHei" w:cs="SimHei" w:hint="eastAsia"/>
          <w:color w:val="FF0000"/>
          <w:sz w:val="24"/>
          <w:szCs w:val="24"/>
          <w:lang w:val="zh-CN"/>
        </w:rPr>
        <w:t>贷款权</w:t>
      </w:r>
    </w:p>
    <w:p w:rsidR="00373976" w:rsidRDefault="00373976" w:rsidP="00373976">
      <w:pPr>
        <w:pStyle w:val="Header"/>
        <w:numPr>
          <w:ilvl w:val="0"/>
          <w:numId w:val="24"/>
        </w:numPr>
        <w:tabs>
          <w:tab w:val="clear" w:pos="0"/>
          <w:tab w:val="clear" w:pos="4320"/>
          <w:tab w:val="clear" w:pos="8640"/>
          <w:tab w:val="left" w:pos="525"/>
        </w:tabs>
        <w:spacing w:after="240" w:line="360" w:lineRule="exact"/>
        <w:ind w:left="0" w:firstLine="0"/>
        <w:jc w:val="both"/>
        <w:rPr>
          <w:sz w:val="21"/>
          <w:szCs w:val="21"/>
        </w:rPr>
      </w:pPr>
      <w:r>
        <w:rPr>
          <w:rFonts w:cs="SimSun" w:hint="eastAsia"/>
          <w:sz w:val="21"/>
          <w:szCs w:val="21"/>
        </w:rPr>
        <w:t>《国家性别政策》确认，贷款权对于实现经济独立至关重要，对许多妇女来说，这是她们获取足够的经济收入的惟一机会。</w:t>
      </w:r>
    </w:p>
    <w:p w:rsidR="00373976" w:rsidRDefault="00373976" w:rsidP="00373976">
      <w:pPr>
        <w:pStyle w:val="Header"/>
        <w:numPr>
          <w:ilvl w:val="0"/>
          <w:numId w:val="24"/>
        </w:numPr>
        <w:tabs>
          <w:tab w:val="clear" w:pos="0"/>
          <w:tab w:val="clear" w:pos="4320"/>
          <w:tab w:val="clear" w:pos="8640"/>
          <w:tab w:val="left" w:pos="525"/>
        </w:tabs>
        <w:spacing w:after="240" w:line="360" w:lineRule="exact"/>
        <w:ind w:left="0" w:firstLine="0"/>
        <w:jc w:val="both"/>
        <w:rPr>
          <w:sz w:val="21"/>
          <w:szCs w:val="21"/>
        </w:rPr>
      </w:pPr>
      <w:r>
        <w:rPr>
          <w:rFonts w:cs="SimSun" w:hint="eastAsia"/>
          <w:sz w:val="21"/>
          <w:szCs w:val="21"/>
        </w:rPr>
        <w:t>伯利兹妇女可从商业和非商业机构获得贷款。妇女的还贷记录较好，这是众所周知的，但她们在那些需要传统抵押品的商业银行机构申请信贷时仍会遇到困难，在独立于男性伴侣而单独贷款方面也存在困难。因此，妇女通过非商业信贷机构获得贷款的机会要比通过商业银行大得多。</w:t>
      </w:r>
    </w:p>
    <w:p w:rsidR="00373976" w:rsidRDefault="00373976" w:rsidP="00373976">
      <w:pPr>
        <w:pStyle w:val="Header"/>
        <w:numPr>
          <w:ilvl w:val="0"/>
          <w:numId w:val="24"/>
        </w:numPr>
        <w:tabs>
          <w:tab w:val="clear" w:pos="0"/>
          <w:tab w:val="clear" w:pos="4320"/>
          <w:tab w:val="clear" w:pos="8640"/>
          <w:tab w:val="left" w:pos="525"/>
        </w:tabs>
        <w:spacing w:after="240" w:line="360" w:lineRule="exact"/>
        <w:ind w:left="0" w:firstLine="0"/>
        <w:jc w:val="both"/>
        <w:rPr>
          <w:sz w:val="21"/>
          <w:szCs w:val="21"/>
        </w:rPr>
      </w:pPr>
      <w:r>
        <w:rPr>
          <w:rFonts w:cs="SimSun" w:hint="eastAsia"/>
          <w:sz w:val="21"/>
          <w:szCs w:val="21"/>
        </w:rPr>
        <w:t>为了方便妇女得到贷款，政府内外均在非商业金融领域付出了不懈的努力。虽然</w:t>
      </w:r>
      <w:r>
        <w:rPr>
          <w:sz w:val="21"/>
          <w:szCs w:val="21"/>
        </w:rPr>
        <w:t>2002</w:t>
      </w:r>
      <w:r>
        <w:rPr>
          <w:rFonts w:cs="SimSun" w:hint="eastAsia"/>
          <w:sz w:val="21"/>
          <w:szCs w:val="21"/>
        </w:rPr>
        <w:t>年在这方面有了显著的改善，但妇女从非商业机构得到的贷款仍未达到男子的水平。</w:t>
      </w:r>
    </w:p>
    <w:p w:rsidR="00373976" w:rsidRDefault="00373976" w:rsidP="00373976">
      <w:pPr>
        <w:pStyle w:val="Header"/>
        <w:numPr>
          <w:ilvl w:val="0"/>
          <w:numId w:val="24"/>
        </w:numPr>
        <w:tabs>
          <w:tab w:val="clear" w:pos="0"/>
          <w:tab w:val="clear" w:pos="4320"/>
          <w:tab w:val="clear" w:pos="8640"/>
          <w:tab w:val="left" w:pos="525"/>
        </w:tabs>
        <w:spacing w:after="240" w:line="360" w:lineRule="exact"/>
        <w:ind w:left="0" w:firstLine="0"/>
        <w:jc w:val="both"/>
        <w:rPr>
          <w:sz w:val="21"/>
          <w:szCs w:val="21"/>
        </w:rPr>
      </w:pPr>
      <w:r>
        <w:rPr>
          <w:rFonts w:cs="SimSun" w:hint="eastAsia"/>
          <w:sz w:val="21"/>
          <w:szCs w:val="21"/>
        </w:rPr>
        <w:t>作为三个非商业贷款机构之一的伯利兹可持续技术公司称，妇女获得的贷款占大部分（</w:t>
      </w:r>
      <w:r>
        <w:rPr>
          <w:sz w:val="21"/>
          <w:szCs w:val="21"/>
        </w:rPr>
        <w:t>56.2%</w:t>
      </w:r>
      <w:r>
        <w:rPr>
          <w:rFonts w:cs="SimSun" w:hint="eastAsia"/>
          <w:sz w:val="21"/>
          <w:szCs w:val="21"/>
        </w:rPr>
        <w:t>）。值得称赞的是，该组织还大做广告，宣传它增加妇女贷款的意愿。它还提供技术支持，协助妇女获得贷款。</w:t>
      </w:r>
    </w:p>
    <w:p w:rsidR="00373976" w:rsidRDefault="00373976" w:rsidP="00373976">
      <w:pPr>
        <w:pStyle w:val="Header"/>
        <w:numPr>
          <w:ilvl w:val="0"/>
          <w:numId w:val="24"/>
        </w:numPr>
        <w:tabs>
          <w:tab w:val="clear" w:pos="0"/>
          <w:tab w:val="clear" w:pos="4320"/>
          <w:tab w:val="clear" w:pos="8640"/>
          <w:tab w:val="left" w:pos="525"/>
        </w:tabs>
        <w:spacing w:after="240" w:line="360" w:lineRule="exact"/>
        <w:ind w:left="0" w:firstLine="0"/>
        <w:jc w:val="both"/>
        <w:rPr>
          <w:sz w:val="21"/>
          <w:szCs w:val="21"/>
        </w:rPr>
      </w:pPr>
      <w:r>
        <w:rPr>
          <w:rFonts w:cs="SimSun" w:hint="eastAsia"/>
          <w:sz w:val="21"/>
          <w:szCs w:val="21"/>
        </w:rPr>
        <w:t>发展金融公司有一个以单身女性为优先考虑对象的专项抵押贷款方案。</w:t>
      </w:r>
      <w:r>
        <w:rPr>
          <w:sz w:val="21"/>
          <w:szCs w:val="21"/>
        </w:rPr>
        <w:t>2002</w:t>
      </w:r>
      <w:r>
        <w:rPr>
          <w:rFonts w:cs="SimSun" w:hint="eastAsia"/>
          <w:sz w:val="21"/>
          <w:szCs w:val="21"/>
        </w:rPr>
        <w:t>年，这些贷款中有</w:t>
      </w:r>
      <w:r>
        <w:rPr>
          <w:sz w:val="21"/>
          <w:szCs w:val="21"/>
        </w:rPr>
        <w:t>44%</w:t>
      </w:r>
      <w:r>
        <w:rPr>
          <w:rFonts w:cs="SimSun" w:hint="eastAsia"/>
          <w:sz w:val="21"/>
          <w:szCs w:val="21"/>
        </w:rPr>
        <w:t>发放给了妇女。不过，住房部还没有一个能够使妇女获得经济住房的类似政策。</w:t>
      </w:r>
    </w:p>
    <w:p w:rsidR="00373976" w:rsidRDefault="00373976" w:rsidP="00373976">
      <w:pPr>
        <w:pStyle w:val="Header"/>
        <w:numPr>
          <w:ilvl w:val="0"/>
          <w:numId w:val="24"/>
        </w:numPr>
        <w:tabs>
          <w:tab w:val="clear" w:pos="0"/>
          <w:tab w:val="clear" w:pos="4320"/>
          <w:tab w:val="clear" w:pos="8640"/>
          <w:tab w:val="left" w:pos="525"/>
        </w:tabs>
        <w:spacing w:after="240" w:line="360" w:lineRule="exact"/>
        <w:ind w:left="0" w:firstLine="0"/>
        <w:jc w:val="both"/>
        <w:rPr>
          <w:sz w:val="21"/>
          <w:szCs w:val="21"/>
        </w:rPr>
      </w:pPr>
      <w:r>
        <w:rPr>
          <w:rFonts w:cs="SimSun" w:hint="eastAsia"/>
          <w:sz w:val="21"/>
          <w:szCs w:val="21"/>
        </w:rPr>
        <w:t>总的来说，男子获得的贷款比妇女要多，因为他们提出的申请更多，申请的贷款额也更大。妇女通常是为小规模的零售和餐饮业借贷，而男子则为农业贸易和建筑目的借贷。现已在商业银行中做了大量工作，使他们对优先向妇女提供资金的重要性有更深的认识。</w:t>
      </w:r>
    </w:p>
    <w:p w:rsidR="00373976" w:rsidRDefault="00373976" w:rsidP="00373976">
      <w:pPr>
        <w:pStyle w:val="Header"/>
        <w:numPr>
          <w:ilvl w:val="0"/>
          <w:numId w:val="24"/>
        </w:numPr>
        <w:tabs>
          <w:tab w:val="clear" w:pos="0"/>
          <w:tab w:val="clear" w:pos="4320"/>
          <w:tab w:val="clear" w:pos="8640"/>
          <w:tab w:val="left" w:pos="525"/>
        </w:tabs>
        <w:spacing w:after="240" w:line="360" w:lineRule="exact"/>
        <w:ind w:left="0" w:firstLine="0"/>
        <w:jc w:val="both"/>
        <w:rPr>
          <w:sz w:val="21"/>
          <w:szCs w:val="21"/>
        </w:rPr>
      </w:pPr>
      <w:r>
        <w:rPr>
          <w:rFonts w:cs="SimSun" w:hint="eastAsia"/>
          <w:sz w:val="21"/>
          <w:szCs w:val="21"/>
        </w:rPr>
        <w:t>《国家性别政策》致力于改善妇女的信贷状况：</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政府将研究修订银行法规的可行性，以确立妇女以独自的女性身份申请贷款的权利；</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政府将研究可能采取的措施，以减轻妇女满足银行贷款抵押要求的负担，包括采用适当的备选方案；</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妇女事务部将联络和咨询</w:t>
      </w:r>
      <w:r>
        <w:rPr>
          <w:rFonts w:ascii="KaiTi_GB2312" w:eastAsia="KaiTi_GB2312" w:cs="KaiTi_GB2312"/>
          <w:color w:val="0000FF"/>
        </w:rPr>
        <w:t>BEST</w:t>
      </w:r>
      <w:r>
        <w:rPr>
          <w:rFonts w:ascii="KaiTi_GB2312" w:eastAsia="KaiTi_GB2312" w:cs="KaiTi_GB2312" w:hint="eastAsia"/>
          <w:color w:val="0000FF"/>
        </w:rPr>
        <w:t>、</w:t>
      </w:r>
      <w:r>
        <w:rPr>
          <w:rFonts w:ascii="KaiTi_GB2312" w:eastAsia="KaiTi_GB2312" w:cs="KaiTi_GB2312"/>
          <w:color w:val="0000FF"/>
        </w:rPr>
        <w:t>DFC</w:t>
      </w:r>
      <w:r>
        <w:rPr>
          <w:rFonts w:ascii="KaiTi_GB2312" w:eastAsia="KaiTi_GB2312" w:cs="KaiTi_GB2312" w:hint="eastAsia"/>
          <w:color w:val="0000FF"/>
        </w:rPr>
        <w:t>和</w:t>
      </w:r>
      <w:r>
        <w:rPr>
          <w:rFonts w:ascii="KaiTi_GB2312" w:eastAsia="KaiTi_GB2312" w:cs="KaiTi_GB2312"/>
          <w:color w:val="0000FF"/>
        </w:rPr>
        <w:t>SFBB</w:t>
      </w:r>
      <w:r>
        <w:rPr>
          <w:rFonts w:ascii="KaiTi_GB2312" w:eastAsia="KaiTi_GB2312" w:cs="KaiTi_GB2312" w:hint="eastAsia"/>
          <w:color w:val="0000FF"/>
        </w:rPr>
        <w:t>，制定出方便南部区妇女获得资金的地方战略；</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将研究措施，方便妇女为购买住房获得可承负的信贷，住房部也将对单亲家庭做出特殊的政策规定，如降低利率；</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妇女事务部将与信贷提供方合作，就获得信贷过程中的性别问题制定和实施对供贷官员的在职培训；</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将研究因信贷数额小于管理要求而对妇女获得信贷造成的障碍；</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收集和整理有关银行、信贷协会和非商业金融机构按性别分列的贷款数据资料，并按年提交</w:t>
      </w:r>
      <w:r>
        <w:rPr>
          <w:rFonts w:ascii="KaiTi_GB2312" w:eastAsia="KaiTi_GB2312" w:cs="KaiTi_GB2312"/>
          <w:color w:val="0000FF"/>
        </w:rPr>
        <w:t>SIC</w:t>
      </w:r>
      <w:r>
        <w:rPr>
          <w:rFonts w:ascii="KaiTi_GB2312" w:eastAsia="KaiTi_GB2312" w:cs="KaiTi_GB2312" w:hint="eastAsia"/>
          <w:color w:val="0000FF"/>
        </w:rPr>
        <w:t>和妇女事务部。</w:t>
      </w:r>
    </w:p>
    <w:p w:rsidR="00373976" w:rsidRDefault="00373976" w:rsidP="00373976">
      <w:pPr>
        <w:spacing w:after="240" w:line="360" w:lineRule="exact"/>
        <w:ind w:left="525"/>
        <w:rPr>
          <w:rFonts w:ascii="KaiTi_GB2312" w:eastAsia="KaiTi_GB2312"/>
          <w:color w:val="0000FF"/>
        </w:rPr>
      </w:pPr>
    </w:p>
    <w:p w:rsidR="00373976" w:rsidRDefault="00373976" w:rsidP="00373976">
      <w:pPr>
        <w:tabs>
          <w:tab w:val="left" w:pos="525"/>
        </w:tabs>
        <w:spacing w:after="120" w:line="360" w:lineRule="exact"/>
        <w:jc w:val="center"/>
        <w:rPr>
          <w:rFonts w:ascii="SimHei" w:eastAsia="SimHei"/>
          <w:color w:val="FF0000"/>
          <w:sz w:val="28"/>
          <w:szCs w:val="28"/>
        </w:rPr>
      </w:pPr>
      <w:r>
        <w:br w:type="page"/>
      </w:r>
      <w:r>
        <w:rPr>
          <w:rFonts w:ascii="SimHei" w:eastAsia="SimHei" w:cs="SimHei" w:hint="eastAsia"/>
          <w:color w:val="FF0000"/>
          <w:sz w:val="28"/>
          <w:szCs w:val="28"/>
        </w:rPr>
        <w:t>第</w:t>
      </w:r>
      <w:r>
        <w:rPr>
          <w:rFonts w:ascii="SimHei" w:eastAsia="SimHei" w:cs="SimHei"/>
          <w:color w:val="FF0000"/>
          <w:sz w:val="28"/>
          <w:szCs w:val="28"/>
        </w:rPr>
        <w:t>14</w:t>
      </w:r>
      <w:r>
        <w:rPr>
          <w:rFonts w:ascii="SimHei" w:eastAsia="SimHei" w:cs="SimHei" w:hint="eastAsia"/>
          <w:color w:val="FF0000"/>
          <w:sz w:val="28"/>
          <w:szCs w:val="28"/>
        </w:rPr>
        <w:t>条</w:t>
      </w:r>
    </w:p>
    <w:p w:rsidR="00373976" w:rsidRDefault="00373976" w:rsidP="00373976">
      <w:pPr>
        <w:tabs>
          <w:tab w:val="left" w:pos="525"/>
        </w:tabs>
        <w:spacing w:after="240" w:line="360" w:lineRule="exact"/>
        <w:jc w:val="center"/>
        <w:rPr>
          <w:rFonts w:ascii="SimHei" w:eastAsia="SimHei"/>
          <w:color w:val="FF0000"/>
          <w:sz w:val="28"/>
          <w:szCs w:val="28"/>
        </w:rPr>
      </w:pPr>
      <w:r>
        <w:rPr>
          <w:rFonts w:ascii="SimHei" w:eastAsia="SimHei" w:cs="SimHei" w:hint="eastAsia"/>
          <w:color w:val="FF0000"/>
          <w:sz w:val="28"/>
          <w:szCs w:val="28"/>
        </w:rPr>
        <w:t>农村妇女</w:t>
      </w:r>
    </w:p>
    <w:p w:rsidR="00373976" w:rsidRDefault="00373976" w:rsidP="003B50F5">
      <w:pPr>
        <w:pStyle w:val="Subtitle"/>
        <w:pBdr>
          <w:top w:val="single" w:sz="4" w:space="1" w:color="auto"/>
        </w:pBdr>
        <w:tabs>
          <w:tab w:val="left" w:pos="525"/>
        </w:tabs>
        <w:spacing w:line="200" w:lineRule="exact"/>
        <w:jc w:val="both"/>
        <w:rPr>
          <w:rFonts w:eastAsia="SimHei"/>
          <w:sz w:val="21"/>
          <w:szCs w:val="21"/>
          <w:lang w:eastAsia="zh-CN"/>
        </w:rPr>
      </w:pPr>
    </w:p>
    <w:p w:rsidR="00373976" w:rsidRDefault="00373976" w:rsidP="009B38FD">
      <w:pPr>
        <w:pStyle w:val="BodyText"/>
        <w:tabs>
          <w:tab w:val="left" w:pos="525"/>
        </w:tabs>
        <w:spacing w:after="180"/>
        <w:ind w:firstLineChars="250" w:firstLine="31680"/>
        <w:rPr>
          <w:rFonts w:ascii="KaiTi_GB2312" w:eastAsia="KaiTi_GB2312" w:hAnsi="STKaiti"/>
          <w:b/>
          <w:bCs/>
          <w:color w:val="0000FF"/>
          <w:szCs w:val="21"/>
        </w:rPr>
      </w:pPr>
      <w:r>
        <w:rPr>
          <w:rFonts w:ascii="KaiTi_GB2312" w:eastAsia="KaiTi_GB2312" w:hAnsi="STKaiti" w:cs="KaiTi_GB2312" w:hint="eastAsia"/>
          <w:b/>
          <w:bCs/>
          <w:color w:val="0000FF"/>
          <w:szCs w:val="21"/>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373976" w:rsidRDefault="00373976" w:rsidP="009B38FD">
      <w:pPr>
        <w:pStyle w:val="BodyText"/>
        <w:tabs>
          <w:tab w:val="left" w:pos="525"/>
        </w:tabs>
        <w:spacing w:after="180"/>
        <w:ind w:firstLineChars="250" w:firstLine="31680"/>
        <w:rPr>
          <w:rFonts w:ascii="KaiTi_GB2312" w:eastAsia="KaiTi_GB2312" w:hAnsi="STKaiti"/>
          <w:b/>
          <w:bCs/>
          <w:color w:val="0000FF"/>
          <w:szCs w:val="21"/>
        </w:rPr>
      </w:pPr>
      <w:r>
        <w:rPr>
          <w:rFonts w:ascii="KaiTi_GB2312" w:eastAsia="KaiTi_GB2312" w:hAnsi="STKaiti" w:cs="KaiTi_GB2312" w:hint="eastAsia"/>
          <w:b/>
          <w:bCs/>
          <w:color w:val="0000FF"/>
          <w:szCs w:val="21"/>
        </w:rPr>
        <w:t>缔约各国应采取一切适当措施以消除对农村地区妇女的歧视，保证她们在男女平等的基础上参与农村发展并受其益惠，尤其是保证她们有权：</w:t>
      </w:r>
    </w:p>
    <w:p w:rsidR="00373976" w:rsidRDefault="00373976" w:rsidP="009B38FD">
      <w:pPr>
        <w:pStyle w:val="BodyText"/>
        <w:widowControl w:val="0"/>
        <w:numPr>
          <w:ilvl w:val="1"/>
          <w:numId w:val="44"/>
        </w:numPr>
        <w:tabs>
          <w:tab w:val="clear" w:pos="780"/>
          <w:tab w:val="left" w:pos="1050"/>
        </w:tabs>
        <w:spacing w:after="180"/>
        <w:ind w:leftChars="250" w:left="31680" w:hangingChars="25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充分参与各级发展规划的拟订和执行工作；</w:t>
      </w:r>
    </w:p>
    <w:p w:rsidR="00373976" w:rsidRDefault="00373976" w:rsidP="009B38FD">
      <w:pPr>
        <w:pStyle w:val="BodyText"/>
        <w:widowControl w:val="0"/>
        <w:numPr>
          <w:ilvl w:val="1"/>
          <w:numId w:val="44"/>
        </w:numPr>
        <w:tabs>
          <w:tab w:val="clear" w:pos="780"/>
          <w:tab w:val="left" w:pos="1050"/>
        </w:tabs>
        <w:spacing w:after="180"/>
        <w:ind w:leftChars="250" w:left="31680" w:hangingChars="25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有权利用充分的保健设施，包括计划生育方面的知识、辅导和服务；</w:t>
      </w:r>
    </w:p>
    <w:p w:rsidR="00373976" w:rsidRDefault="00373976" w:rsidP="009B38FD">
      <w:pPr>
        <w:pStyle w:val="BodyText"/>
        <w:widowControl w:val="0"/>
        <w:numPr>
          <w:ilvl w:val="1"/>
          <w:numId w:val="44"/>
        </w:numPr>
        <w:tabs>
          <w:tab w:val="clear" w:pos="780"/>
          <w:tab w:val="left" w:pos="1050"/>
        </w:tabs>
        <w:spacing w:after="180"/>
        <w:ind w:leftChars="250" w:left="31680" w:hangingChars="25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从社会保障方案直接受益；</w:t>
      </w:r>
    </w:p>
    <w:p w:rsidR="00373976" w:rsidRDefault="00373976" w:rsidP="009B38FD">
      <w:pPr>
        <w:pStyle w:val="BodyText"/>
        <w:widowControl w:val="0"/>
        <w:numPr>
          <w:ilvl w:val="1"/>
          <w:numId w:val="44"/>
        </w:numPr>
        <w:tabs>
          <w:tab w:val="clear" w:pos="780"/>
          <w:tab w:val="left" w:pos="1050"/>
        </w:tabs>
        <w:spacing w:after="180"/>
        <w:ind w:leftChars="250" w:left="31680" w:hangingChars="25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接受各种正式和非正式的训练和教育，包括实用识字的训练和教育在内，以及除了别的以外，享受一切社区服务和推广服务的益惠，以提高她们的技术熟练程度；</w:t>
      </w:r>
    </w:p>
    <w:p w:rsidR="00373976" w:rsidRDefault="00373976" w:rsidP="009B38FD">
      <w:pPr>
        <w:pStyle w:val="BodyText"/>
        <w:widowControl w:val="0"/>
        <w:numPr>
          <w:ilvl w:val="1"/>
          <w:numId w:val="44"/>
        </w:numPr>
        <w:tabs>
          <w:tab w:val="clear" w:pos="780"/>
          <w:tab w:val="left" w:pos="1050"/>
        </w:tabs>
        <w:spacing w:after="180"/>
        <w:ind w:leftChars="250" w:left="31680" w:hangingChars="25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组织自助团体和合作社，以通过受雇和自雇的途径取得平等的经济机会；</w:t>
      </w:r>
    </w:p>
    <w:p w:rsidR="00373976" w:rsidRDefault="00373976" w:rsidP="009B38FD">
      <w:pPr>
        <w:pStyle w:val="BodyText"/>
        <w:widowControl w:val="0"/>
        <w:numPr>
          <w:ilvl w:val="1"/>
          <w:numId w:val="44"/>
        </w:numPr>
        <w:tabs>
          <w:tab w:val="clear" w:pos="780"/>
          <w:tab w:val="left" w:pos="1050"/>
        </w:tabs>
        <w:spacing w:after="180"/>
        <w:ind w:leftChars="250" w:left="31680" w:hangingChars="25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参加一切社区活动；</w:t>
      </w:r>
    </w:p>
    <w:p w:rsidR="00373976" w:rsidRDefault="00373976" w:rsidP="009B38FD">
      <w:pPr>
        <w:pStyle w:val="BodyText"/>
        <w:widowControl w:val="0"/>
        <w:numPr>
          <w:ilvl w:val="1"/>
          <w:numId w:val="44"/>
        </w:numPr>
        <w:tabs>
          <w:tab w:val="clear" w:pos="780"/>
          <w:tab w:val="left" w:pos="1050"/>
        </w:tabs>
        <w:spacing w:after="180"/>
        <w:ind w:leftChars="250" w:left="31680" w:hangingChars="25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有机会取得农业信贷，利用销售设施，获得适当技术，并在土地改革和土地垦殖计划方面享有平等待遇；</w:t>
      </w:r>
    </w:p>
    <w:p w:rsidR="00373976" w:rsidRDefault="00373976" w:rsidP="009B38FD">
      <w:pPr>
        <w:pStyle w:val="BodyText"/>
        <w:widowControl w:val="0"/>
        <w:numPr>
          <w:ilvl w:val="1"/>
          <w:numId w:val="44"/>
        </w:numPr>
        <w:tabs>
          <w:tab w:val="clear" w:pos="780"/>
          <w:tab w:val="left" w:pos="1050"/>
        </w:tabs>
        <w:spacing w:after="180"/>
        <w:ind w:leftChars="250" w:left="31680" w:hangingChars="25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享受适当的生活条件，特别是在住房、卫生、水电供应、交通和通讯方面。</w:t>
      </w:r>
    </w:p>
    <w:p w:rsidR="00373976" w:rsidRDefault="00373976" w:rsidP="003B50F5">
      <w:pPr>
        <w:pStyle w:val="Header"/>
        <w:numPr>
          <w:ilvl w:val="0"/>
          <w:numId w:val="25"/>
        </w:numPr>
        <w:tabs>
          <w:tab w:val="clear" w:pos="0"/>
          <w:tab w:val="clear" w:pos="4320"/>
          <w:tab w:val="clear" w:pos="8640"/>
          <w:tab w:val="left" w:pos="525"/>
        </w:tabs>
        <w:spacing w:after="180" w:line="320" w:lineRule="exact"/>
        <w:ind w:left="0" w:firstLine="0"/>
        <w:jc w:val="both"/>
        <w:rPr>
          <w:sz w:val="21"/>
          <w:szCs w:val="21"/>
        </w:rPr>
      </w:pPr>
      <w:r>
        <w:rPr>
          <w:sz w:val="21"/>
          <w:szCs w:val="21"/>
        </w:rPr>
        <w:t>2001</w:t>
      </w:r>
      <w:r>
        <w:rPr>
          <w:rFonts w:cs="SimSun" w:hint="eastAsia"/>
          <w:sz w:val="21"/>
          <w:szCs w:val="21"/>
        </w:rPr>
        <w:t>年伯利兹人口为</w:t>
      </w:r>
      <w:r>
        <w:rPr>
          <w:sz w:val="21"/>
          <w:szCs w:val="21"/>
        </w:rPr>
        <w:t>257 310</w:t>
      </w:r>
      <w:r>
        <w:rPr>
          <w:rFonts w:cs="SimSun" w:hint="eastAsia"/>
          <w:sz w:val="21"/>
          <w:szCs w:val="21"/>
        </w:rPr>
        <w:t>人，</w:t>
      </w:r>
      <w:r>
        <w:rPr>
          <w:sz w:val="21"/>
          <w:szCs w:val="21"/>
        </w:rPr>
        <w:t>51.1%</w:t>
      </w:r>
      <w:r>
        <w:rPr>
          <w:rFonts w:cs="SimSun" w:hint="eastAsia"/>
          <w:sz w:val="21"/>
          <w:szCs w:val="21"/>
        </w:rPr>
        <w:t>生活在农村地区。妇女占农村人口的</w:t>
      </w:r>
      <w:r>
        <w:rPr>
          <w:sz w:val="21"/>
          <w:szCs w:val="21"/>
        </w:rPr>
        <w:t>48.5%</w:t>
      </w:r>
      <w:r>
        <w:rPr>
          <w:rFonts w:cs="SimSun" w:hint="eastAsia"/>
          <w:sz w:val="21"/>
          <w:szCs w:val="21"/>
        </w:rPr>
        <w:t>。</w:t>
      </w:r>
      <w:r>
        <w:rPr>
          <w:rStyle w:val="FootnoteReference"/>
          <w:sz w:val="21"/>
          <w:szCs w:val="21"/>
        </w:rPr>
        <w:footnoteReference w:id="73"/>
      </w:r>
    </w:p>
    <w:p w:rsidR="00373976" w:rsidRDefault="00373976" w:rsidP="003B50F5">
      <w:pPr>
        <w:pStyle w:val="Header"/>
        <w:numPr>
          <w:ilvl w:val="0"/>
          <w:numId w:val="25"/>
        </w:numPr>
        <w:tabs>
          <w:tab w:val="clear" w:pos="0"/>
          <w:tab w:val="clear" w:pos="4320"/>
          <w:tab w:val="clear" w:pos="8640"/>
          <w:tab w:val="left" w:pos="525"/>
        </w:tabs>
        <w:spacing w:after="180" w:line="320" w:lineRule="exact"/>
        <w:ind w:left="0" w:firstLine="0"/>
        <w:jc w:val="both"/>
        <w:rPr>
          <w:sz w:val="21"/>
          <w:szCs w:val="21"/>
        </w:rPr>
      </w:pPr>
      <w:r>
        <w:rPr>
          <w:rFonts w:cs="SimSun" w:hint="eastAsia"/>
          <w:sz w:val="21"/>
          <w:szCs w:val="21"/>
        </w:rPr>
        <w:t>虽然在全国数据分列方面已有全面改进，但从性别角度来收集和分析信息仍然是确定妇女在国家中的整体地位和状况的一个主要障碍，对农村妇女尤其如此。虽然没有关于妇女的全面数据，但种种迹象显示，农村妇女从消除对妇女一切形式歧视的全国性努力中所获得的利益仍然极少。</w:t>
      </w:r>
    </w:p>
    <w:p w:rsidR="00373976" w:rsidRDefault="00373976" w:rsidP="00373976">
      <w:pPr>
        <w:pStyle w:val="Header"/>
        <w:numPr>
          <w:ilvl w:val="0"/>
          <w:numId w:val="25"/>
        </w:numPr>
        <w:tabs>
          <w:tab w:val="clear" w:pos="0"/>
          <w:tab w:val="clear" w:pos="4320"/>
          <w:tab w:val="clear" w:pos="8640"/>
          <w:tab w:val="left" w:pos="525"/>
        </w:tabs>
        <w:spacing w:after="240" w:line="340" w:lineRule="exact"/>
        <w:ind w:left="0" w:firstLine="0"/>
        <w:jc w:val="both"/>
        <w:rPr>
          <w:sz w:val="21"/>
          <w:szCs w:val="21"/>
        </w:rPr>
      </w:pPr>
      <w:r>
        <w:rPr>
          <w:rFonts w:cs="SimSun" w:hint="eastAsia"/>
          <w:sz w:val="21"/>
          <w:szCs w:val="21"/>
        </w:rPr>
        <w:t>《</w:t>
      </w:r>
      <w:r>
        <w:rPr>
          <w:sz w:val="21"/>
          <w:szCs w:val="21"/>
        </w:rPr>
        <w:t>2002</w:t>
      </w:r>
      <w:r>
        <w:rPr>
          <w:rFonts w:cs="SimSun" w:hint="eastAsia"/>
          <w:sz w:val="21"/>
          <w:szCs w:val="21"/>
        </w:rPr>
        <w:t>年伯利兹贫困评估报告》</w:t>
      </w:r>
      <w:r>
        <w:rPr>
          <w:rStyle w:val="FootnoteReference"/>
          <w:sz w:val="21"/>
          <w:szCs w:val="21"/>
        </w:rPr>
        <w:footnoteReference w:id="74"/>
      </w:r>
      <w:r>
        <w:rPr>
          <w:rFonts w:cs="SimSun" w:hint="eastAsia"/>
          <w:sz w:val="21"/>
          <w:szCs w:val="21"/>
        </w:rPr>
        <w:t>指出，全国的贫困率为</w:t>
      </w:r>
      <w:r>
        <w:rPr>
          <w:sz w:val="21"/>
          <w:szCs w:val="21"/>
        </w:rPr>
        <w:t>33.5%</w:t>
      </w:r>
      <w:r>
        <w:rPr>
          <w:rFonts w:cs="SimSun" w:hint="eastAsia"/>
          <w:sz w:val="21"/>
          <w:szCs w:val="21"/>
        </w:rPr>
        <w:t>，农村地区的贫困率最高，达到</w:t>
      </w:r>
      <w:r>
        <w:rPr>
          <w:sz w:val="21"/>
          <w:szCs w:val="21"/>
        </w:rPr>
        <w:t>44.2%</w:t>
      </w:r>
      <w:r>
        <w:rPr>
          <w:rFonts w:cs="SimSun" w:hint="eastAsia"/>
          <w:sz w:val="21"/>
          <w:szCs w:val="21"/>
        </w:rPr>
        <w:t>。在主要为土著玛雅人居住的托莱多区，贫困率高达</w:t>
      </w:r>
      <w:r>
        <w:rPr>
          <w:sz w:val="21"/>
          <w:szCs w:val="21"/>
        </w:rPr>
        <w:t>79%</w:t>
      </w:r>
      <w:r>
        <w:rPr>
          <w:rFonts w:cs="SimSun" w:hint="eastAsia"/>
          <w:sz w:val="21"/>
          <w:szCs w:val="21"/>
        </w:rPr>
        <w:t>。在伯利兹各种族中，玛雅人的贫困人口最多，为</w:t>
      </w:r>
      <w:r>
        <w:rPr>
          <w:sz w:val="21"/>
          <w:szCs w:val="21"/>
        </w:rPr>
        <w:t>77%</w:t>
      </w:r>
      <w:r>
        <w:rPr>
          <w:rFonts w:cs="SimSun" w:hint="eastAsia"/>
          <w:sz w:val="21"/>
          <w:szCs w:val="21"/>
        </w:rPr>
        <w:t>。接受调查者所给出的贫困原因包括没有土地、酗酒、自给自足文化的丧失、产品市场不景气和失业等。</w:t>
      </w:r>
    </w:p>
    <w:p w:rsidR="00373976" w:rsidRDefault="00373976" w:rsidP="003B50F5">
      <w:pPr>
        <w:pStyle w:val="Header"/>
        <w:numPr>
          <w:ilvl w:val="0"/>
          <w:numId w:val="25"/>
        </w:numPr>
        <w:tabs>
          <w:tab w:val="clear" w:pos="0"/>
          <w:tab w:val="clear" w:pos="4320"/>
          <w:tab w:val="clear" w:pos="8640"/>
          <w:tab w:val="left" w:pos="525"/>
        </w:tabs>
        <w:spacing w:after="180" w:line="340" w:lineRule="exact"/>
        <w:ind w:left="0" w:firstLine="0"/>
        <w:jc w:val="both"/>
        <w:rPr>
          <w:sz w:val="21"/>
          <w:szCs w:val="21"/>
        </w:rPr>
      </w:pPr>
      <w:r>
        <w:rPr>
          <w:rFonts w:cs="SimSun" w:hint="eastAsia"/>
          <w:sz w:val="21"/>
          <w:szCs w:val="21"/>
        </w:rPr>
        <w:t>为了努力缓解托莱多区严重的贫困状况，伯利兹政府自</w:t>
      </w:r>
      <w:r>
        <w:rPr>
          <w:sz w:val="21"/>
          <w:szCs w:val="21"/>
        </w:rPr>
        <w:t>1996</w:t>
      </w:r>
      <w:r>
        <w:rPr>
          <w:rFonts w:cs="SimSun" w:hint="eastAsia"/>
          <w:sz w:val="21"/>
          <w:szCs w:val="21"/>
        </w:rPr>
        <w:t>年起实施了若干金额达数百万元的项目。但这一地区持续不变的贫困率表明，这些项目对人们的生活很少甚至没有起到积极的作用。</w:t>
      </w:r>
      <w:r>
        <w:rPr>
          <w:rStyle w:val="FootnoteReference"/>
          <w:sz w:val="21"/>
          <w:szCs w:val="21"/>
        </w:rPr>
        <w:footnoteReference w:id="75"/>
      </w:r>
      <w:r>
        <w:rPr>
          <w:rFonts w:cs="SimSun" w:hint="eastAsia"/>
          <w:sz w:val="21"/>
          <w:szCs w:val="21"/>
        </w:rPr>
        <w:t>由于还没有对这些项目进行评估，因此无法对妇女受益的程度做出评论。目前在这一地区实施的一个重大项目，即社区农业和农村发展（</w:t>
      </w:r>
      <w:r>
        <w:rPr>
          <w:sz w:val="21"/>
          <w:szCs w:val="21"/>
        </w:rPr>
        <w:t>CARD</w:t>
      </w:r>
      <w:r>
        <w:rPr>
          <w:rFonts w:cs="SimSun" w:hint="eastAsia"/>
          <w:sz w:val="21"/>
          <w:szCs w:val="21"/>
        </w:rPr>
        <w:t>）正在通过农业项目、开发旅游和提高手工艺能力来减少贫困。</w:t>
      </w:r>
      <w:r>
        <w:rPr>
          <w:sz w:val="21"/>
          <w:szCs w:val="21"/>
        </w:rPr>
        <w:t>CARD</w:t>
      </w:r>
      <w:r>
        <w:rPr>
          <w:rFonts w:cs="SimSun" w:hint="eastAsia"/>
          <w:sz w:val="21"/>
          <w:szCs w:val="21"/>
        </w:rPr>
        <w:t>的现场工作人员绝大多数都是男性，他们总的来说缺乏对解决妇女需要的敏感性。因此雇用了一名性别问题专家，以便为该机构带来一种考虑到性别的工作方式。</w:t>
      </w:r>
    </w:p>
    <w:p w:rsidR="00373976" w:rsidRDefault="00373976" w:rsidP="003B50F5">
      <w:pPr>
        <w:pStyle w:val="Header"/>
        <w:numPr>
          <w:ilvl w:val="0"/>
          <w:numId w:val="25"/>
        </w:numPr>
        <w:tabs>
          <w:tab w:val="clear" w:pos="0"/>
          <w:tab w:val="clear" w:pos="4320"/>
          <w:tab w:val="clear" w:pos="8640"/>
          <w:tab w:val="left" w:pos="525"/>
        </w:tabs>
        <w:spacing w:after="180" w:line="340" w:lineRule="exact"/>
        <w:ind w:left="0" w:firstLine="0"/>
        <w:jc w:val="both"/>
        <w:rPr>
          <w:sz w:val="21"/>
          <w:szCs w:val="21"/>
        </w:rPr>
      </w:pPr>
      <w:r>
        <w:rPr>
          <w:rFonts w:cs="SimSun" w:hint="eastAsia"/>
          <w:sz w:val="21"/>
          <w:szCs w:val="21"/>
        </w:rPr>
        <w:t>妇女在其所在社区或地区发展中的参与情况很大程度上受到文化和种族因素的影响。在加里福那和克里奥尔的村庄里，尽管男子在种族中的权力和控制方面仍占有优势，但妇女在社会生活的公共领域中所发挥的整体作用比玛雅社区的妇女要大。加里福那、克里奥尔和梅斯蒂索族的妇女在其所在社区中担任领导职务的情况已相当普遍，而这对大多数农村社区中的玛雅妇女来说则实属罕见。实际上，克里奥尔、加里福那和梅斯蒂索族的农村妇女当选为村委会委员的可能性要比玛雅妇女大。传统的玛雅治安官体制中全是男性，从没有妇女来挑战这一体制中男性的统治地位。</w:t>
      </w:r>
    </w:p>
    <w:p w:rsidR="00373976" w:rsidRDefault="00373976" w:rsidP="003B50F5">
      <w:pPr>
        <w:pStyle w:val="Header"/>
        <w:numPr>
          <w:ilvl w:val="0"/>
          <w:numId w:val="25"/>
        </w:numPr>
        <w:tabs>
          <w:tab w:val="clear" w:pos="0"/>
          <w:tab w:val="clear" w:pos="4320"/>
          <w:tab w:val="clear" w:pos="8640"/>
          <w:tab w:val="left" w:pos="525"/>
        </w:tabs>
        <w:spacing w:after="180" w:line="340" w:lineRule="exact"/>
        <w:ind w:left="0" w:firstLine="0"/>
        <w:jc w:val="both"/>
        <w:rPr>
          <w:sz w:val="21"/>
          <w:szCs w:val="21"/>
        </w:rPr>
      </w:pPr>
      <w:r>
        <w:rPr>
          <w:rFonts w:cs="SimSun" w:hint="eastAsia"/>
          <w:sz w:val="21"/>
          <w:szCs w:val="21"/>
        </w:rPr>
        <w:t>玛雅文化中传统的性别定型观念将妇女限定为“繁衍者”，而男子为“生产者”。极端的劳动分工将男子置于支配性的农业、社区管理和决策的地位，而绝大多数妇女则被限制在家务和其他照料性的活动之中。</w:t>
      </w:r>
    </w:p>
    <w:p w:rsidR="00373976" w:rsidRDefault="00373976" w:rsidP="003B50F5">
      <w:pPr>
        <w:pStyle w:val="Header"/>
        <w:numPr>
          <w:ilvl w:val="0"/>
          <w:numId w:val="25"/>
        </w:numPr>
        <w:tabs>
          <w:tab w:val="clear" w:pos="0"/>
          <w:tab w:val="clear" w:pos="4320"/>
          <w:tab w:val="clear" w:pos="8640"/>
          <w:tab w:val="left" w:pos="525"/>
        </w:tabs>
        <w:spacing w:after="180" w:line="340" w:lineRule="exact"/>
        <w:ind w:left="0" w:firstLine="0"/>
        <w:jc w:val="both"/>
        <w:rPr>
          <w:sz w:val="21"/>
          <w:szCs w:val="21"/>
        </w:rPr>
      </w:pPr>
      <w:r>
        <w:rPr>
          <w:rFonts w:cs="SimSun" w:hint="eastAsia"/>
          <w:sz w:val="21"/>
          <w:szCs w:val="21"/>
        </w:rPr>
        <w:t>伯利兹妇女获得卫生保健的途径要么是通过社区健康中心、流动诊所（偏远地区），要么是前往医疗服务好于当地水平的城市地区。虽然有关的信息、咨询和计划生育服务可通过这些渠道获得，但有关性健康和生殖健康的基本常识却严重匮乏，尤其是在托莱多区的妇女当中。</w:t>
      </w:r>
      <w:r>
        <w:rPr>
          <w:rStyle w:val="FootnoteReference"/>
          <w:sz w:val="21"/>
          <w:szCs w:val="21"/>
        </w:rPr>
        <w:footnoteReference w:id="76"/>
      </w:r>
      <w:r>
        <w:rPr>
          <w:rFonts w:cs="SimSun" w:hint="eastAsia"/>
          <w:sz w:val="21"/>
          <w:szCs w:val="21"/>
        </w:rPr>
        <w:t>卫生部直到近期才通过流动诊所提供了避孕和咨询服务，不过，政府于</w:t>
      </w:r>
      <w:r>
        <w:rPr>
          <w:sz w:val="21"/>
          <w:szCs w:val="21"/>
        </w:rPr>
        <w:t>2002</w:t>
      </w:r>
      <w:r>
        <w:rPr>
          <w:rFonts w:cs="SimSun" w:hint="eastAsia"/>
          <w:sz w:val="21"/>
          <w:szCs w:val="21"/>
        </w:rPr>
        <w:t>年中止了这一服务，从而出现了严重的服务赤字。目前托莱多区的妇女只能通过位于蓬塔格尔达镇的伯利兹家庭生活协会（</w:t>
      </w:r>
      <w:r>
        <w:rPr>
          <w:sz w:val="21"/>
          <w:szCs w:val="21"/>
        </w:rPr>
        <w:t>BFLA</w:t>
      </w:r>
      <w:r>
        <w:rPr>
          <w:rFonts w:cs="SimSun" w:hint="eastAsia"/>
          <w:sz w:val="21"/>
          <w:szCs w:val="21"/>
        </w:rPr>
        <w:t>）有偿获得咨询和避孕药具。该协会还在学校举办生殖健康讲座，但在天主教管理的学校中，这种讲座已被禁止。</w:t>
      </w:r>
    </w:p>
    <w:p w:rsidR="00373976" w:rsidRDefault="00373976" w:rsidP="003B50F5">
      <w:pPr>
        <w:pStyle w:val="Header"/>
        <w:numPr>
          <w:ilvl w:val="0"/>
          <w:numId w:val="25"/>
        </w:numPr>
        <w:tabs>
          <w:tab w:val="clear" w:pos="0"/>
          <w:tab w:val="clear" w:pos="4320"/>
          <w:tab w:val="clear" w:pos="8640"/>
          <w:tab w:val="left" w:pos="525"/>
        </w:tabs>
        <w:spacing w:after="180" w:line="340" w:lineRule="exact"/>
        <w:ind w:left="0" w:firstLine="0"/>
        <w:jc w:val="both"/>
        <w:rPr>
          <w:sz w:val="21"/>
          <w:szCs w:val="21"/>
        </w:rPr>
      </w:pPr>
      <w:r>
        <w:rPr>
          <w:rFonts w:cs="SimSun" w:hint="eastAsia"/>
          <w:sz w:val="21"/>
          <w:szCs w:val="21"/>
        </w:rPr>
        <w:t>除了可得到的资源有限，家庭健康服务还受到主流文化传统的制约。一些男子仍不允许他们的妻子或伴侣采取避孕措施，以此来检验她们的忠诚度。</w:t>
      </w:r>
    </w:p>
    <w:p w:rsidR="00373976" w:rsidRDefault="00373976" w:rsidP="003B50F5">
      <w:pPr>
        <w:pStyle w:val="Header"/>
        <w:numPr>
          <w:ilvl w:val="0"/>
          <w:numId w:val="25"/>
        </w:numPr>
        <w:tabs>
          <w:tab w:val="clear" w:pos="0"/>
          <w:tab w:val="clear" w:pos="4320"/>
          <w:tab w:val="clear" w:pos="8640"/>
          <w:tab w:val="left" w:pos="525"/>
        </w:tabs>
        <w:spacing w:after="180" w:line="340" w:lineRule="exact"/>
        <w:ind w:left="0" w:firstLine="0"/>
        <w:jc w:val="both"/>
        <w:rPr>
          <w:sz w:val="21"/>
          <w:szCs w:val="21"/>
        </w:rPr>
      </w:pPr>
      <w:r>
        <w:rPr>
          <w:rFonts w:cs="SimSun" w:hint="eastAsia"/>
          <w:sz w:val="21"/>
          <w:szCs w:val="21"/>
        </w:rPr>
        <w:t>农村妇女获得的信贷非常少。虽然法律上没有限制妇女独自申请贷款，但在现实生活中，商业金融机构工作人员的性别倾向和偏见导致了妇女的贷款申请因其丈夫没有作为合伙申请人出现而遭到拒绝。与此同时，许多妇女由于文化上的原因，在未征得丈夫同意的情况下，是不会申请贷款的。尽管没有现成的资料，但据信只有极少的农村妇女拥有土地和其他财产，这使她们更难获得贷款。</w:t>
      </w:r>
    </w:p>
    <w:p w:rsidR="00373976" w:rsidRDefault="00373976" w:rsidP="00373976">
      <w:pPr>
        <w:pStyle w:val="Header"/>
        <w:numPr>
          <w:ilvl w:val="0"/>
          <w:numId w:val="25"/>
        </w:numPr>
        <w:tabs>
          <w:tab w:val="clear" w:pos="0"/>
          <w:tab w:val="clear" w:pos="4320"/>
          <w:tab w:val="clear" w:pos="8640"/>
          <w:tab w:val="left" w:pos="525"/>
        </w:tabs>
        <w:spacing w:after="240" w:line="360" w:lineRule="exact"/>
        <w:ind w:left="0" w:firstLine="0"/>
        <w:jc w:val="both"/>
        <w:rPr>
          <w:spacing w:val="-2"/>
          <w:sz w:val="21"/>
          <w:szCs w:val="21"/>
        </w:rPr>
      </w:pPr>
      <w:r>
        <w:rPr>
          <w:rFonts w:cs="SimSun" w:hint="eastAsia"/>
          <w:spacing w:val="-2"/>
          <w:sz w:val="21"/>
          <w:szCs w:val="21"/>
        </w:rPr>
        <w:t>尽管妇女在农村家庭和社区的生存中发挥着核心作用，但她们的经济作用仍然没有得到承认，也未包括在统计数据和人口普查当中。农村妇女通过建立手工艺、食物贮藏或谷物磨坊等自助小组和合作社来挣取额外收入维持她们的家庭。但这些行动的成功率很低，因为妇女往往缺乏自信、领导和组织管理能力、技术专长、信贷及市场。妇女事务部和非政府组织为农村妇女组织了一些上述领域的技能培训，并向她们提供诸如艾滋病毒</w:t>
      </w:r>
      <w:r>
        <w:rPr>
          <w:spacing w:val="-2"/>
          <w:sz w:val="21"/>
          <w:szCs w:val="21"/>
        </w:rPr>
        <w:t>/</w:t>
      </w:r>
      <w:r>
        <w:rPr>
          <w:rFonts w:cs="SimSun" w:hint="eastAsia"/>
          <w:spacing w:val="-2"/>
          <w:sz w:val="21"/>
          <w:szCs w:val="21"/>
        </w:rPr>
        <w:t>艾滋病和家庭暴力等其他相关问题的信息。然而，这些援助对妇女广泛的需求来说只能是冰山一角。</w:t>
      </w:r>
    </w:p>
    <w:p w:rsidR="00373976" w:rsidRDefault="00373976" w:rsidP="00373976">
      <w:pPr>
        <w:pStyle w:val="Header"/>
        <w:numPr>
          <w:ilvl w:val="0"/>
          <w:numId w:val="25"/>
        </w:numPr>
        <w:tabs>
          <w:tab w:val="clear" w:pos="0"/>
          <w:tab w:val="clear" w:pos="4320"/>
          <w:tab w:val="clear" w:pos="8640"/>
          <w:tab w:val="left" w:pos="525"/>
        </w:tabs>
        <w:spacing w:after="240" w:line="360" w:lineRule="exact"/>
        <w:ind w:left="0" w:firstLine="0"/>
        <w:jc w:val="both"/>
        <w:rPr>
          <w:sz w:val="21"/>
          <w:szCs w:val="21"/>
        </w:rPr>
      </w:pPr>
      <w:r>
        <w:rPr>
          <w:rFonts w:cs="SimSun" w:hint="eastAsia"/>
          <w:sz w:val="21"/>
          <w:szCs w:val="21"/>
        </w:rPr>
        <w:t>总体上讲，妇女事务部是在资源极度缺乏的情况下行使它的职权来增强妇女能力和提高妇女地位的。靠有限的人力、物力和财力来开展工作，妇女事务部甚至不太能够接触到农村妇女，从而使她们处于更加不利的地位。农村发展部也遇到了相同的处境，该部于</w:t>
      </w:r>
      <w:r>
        <w:rPr>
          <w:sz w:val="21"/>
          <w:szCs w:val="21"/>
        </w:rPr>
        <w:t>1998</w:t>
      </w:r>
      <w:r>
        <w:rPr>
          <w:rFonts w:cs="SimSun" w:hint="eastAsia"/>
          <w:sz w:val="21"/>
          <w:szCs w:val="21"/>
        </w:rPr>
        <w:t>年设立，是一个与其他部委进行联络，以便向伯利兹农村地区提供适当服务的协调机构。在非政府一级，托莱多区玛雅妇女委员会（</w:t>
      </w:r>
      <w:r>
        <w:rPr>
          <w:sz w:val="21"/>
          <w:szCs w:val="21"/>
        </w:rPr>
        <w:t>TMWC</w:t>
      </w:r>
      <w:r>
        <w:rPr>
          <w:rFonts w:cs="SimSun" w:hint="eastAsia"/>
          <w:sz w:val="21"/>
          <w:szCs w:val="21"/>
        </w:rPr>
        <w:t>）作为一个该地区农村社区妇女团体的保护性组织，在为托莱多区的妇女利益进行游说中发挥着领导作用。该委员会的工作也同样因缺乏可利用的资源而受到影响。</w:t>
      </w:r>
    </w:p>
    <w:p w:rsidR="00373976" w:rsidRDefault="00373976" w:rsidP="00373976">
      <w:pPr>
        <w:tabs>
          <w:tab w:val="left" w:pos="525"/>
        </w:tabs>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14.0  1991</w:t>
      </w:r>
      <w:r>
        <w:rPr>
          <w:rFonts w:ascii="SimHei" w:eastAsia="SimHei" w:cs="SimHei" w:hint="eastAsia"/>
          <w:color w:val="FF0000"/>
        </w:rPr>
        <w:t>和</w:t>
      </w:r>
      <w:r>
        <w:rPr>
          <w:rFonts w:ascii="SimHei" w:eastAsia="SimHei" w:cs="SimHei"/>
          <w:color w:val="FF0000"/>
        </w:rPr>
        <w:t>2000</w:t>
      </w:r>
      <w:r>
        <w:rPr>
          <w:rFonts w:ascii="SimHei" w:eastAsia="SimHei" w:cs="SimHei" w:hint="eastAsia"/>
          <w:color w:val="FF0000"/>
        </w:rPr>
        <w:t>年农村人口达到的教育水平</w:t>
      </w:r>
    </w:p>
    <w:p w:rsidR="00373976" w:rsidRDefault="00373976" w:rsidP="00373976">
      <w:pPr>
        <w:tabs>
          <w:tab w:val="left" w:pos="525"/>
        </w:tabs>
        <w:spacing w:line="240" w:lineRule="auto"/>
        <w:jc w:val="center"/>
      </w:pPr>
      <w:r>
        <w:rPr>
          <w:noProof/>
        </w:rPr>
        <w:pict>
          <v:shape id="_x0000_s1029" type="#_x0000_t202" style="position:absolute;left:0;text-align:left;margin-left:63pt;margin-top:42.55pt;width:29.9pt;height:270.4pt;z-index:4" stroked="f">
            <v:textbox style="mso-next-textbox:#_x0000_s1029" inset="1.5mm,,1.5mm">
              <w:txbxContent>
                <w:p w:rsidR="00B63B69" w:rsidRPr="00FC3888" w:rsidRDefault="00B63B69" w:rsidP="00373976">
                  <w:pPr>
                    <w:pStyle w:val="a3"/>
                    <w:adjustRightInd w:val="0"/>
                    <w:spacing w:line="340" w:lineRule="exact"/>
                    <w:jc w:val="right"/>
                    <w:textAlignment w:val="baseline"/>
                    <w:rPr>
                      <w:rFonts w:ascii="SimSun" w:hAnsi="SimSun"/>
                      <w:kern w:val="0"/>
                      <w:sz w:val="15"/>
                      <w:szCs w:val="15"/>
                    </w:rPr>
                  </w:pPr>
                  <w:r w:rsidRPr="00FC3888">
                    <w:rPr>
                      <w:rFonts w:ascii="SimSun" w:hAnsi="SimSun"/>
                      <w:kern w:val="0"/>
                      <w:sz w:val="15"/>
                      <w:szCs w:val="15"/>
                    </w:rPr>
                    <w:t>35 000</w:t>
                  </w:r>
                </w:p>
                <w:p w:rsidR="00B63B69" w:rsidRPr="003B50F5" w:rsidRDefault="00B63B69" w:rsidP="00373976">
                  <w:pPr>
                    <w:spacing w:line="340" w:lineRule="exact"/>
                    <w:jc w:val="right"/>
                    <w:rPr>
                      <w:sz w:val="15"/>
                      <w:szCs w:val="15"/>
                    </w:rPr>
                  </w:pPr>
                </w:p>
                <w:p w:rsidR="00B63B69" w:rsidRPr="003B50F5" w:rsidRDefault="00B63B69" w:rsidP="00373976">
                  <w:pPr>
                    <w:spacing w:line="340" w:lineRule="exact"/>
                    <w:jc w:val="right"/>
                    <w:rPr>
                      <w:sz w:val="15"/>
                      <w:szCs w:val="15"/>
                    </w:rPr>
                  </w:pPr>
                  <w:r w:rsidRPr="003B50F5">
                    <w:rPr>
                      <w:sz w:val="15"/>
                      <w:szCs w:val="15"/>
                    </w:rPr>
                    <w:t>30 000</w:t>
                  </w:r>
                </w:p>
                <w:p w:rsidR="00B63B69" w:rsidRPr="003B50F5" w:rsidRDefault="00B63B69" w:rsidP="00373976">
                  <w:pPr>
                    <w:spacing w:line="340" w:lineRule="exact"/>
                    <w:jc w:val="right"/>
                    <w:rPr>
                      <w:sz w:val="15"/>
                      <w:szCs w:val="15"/>
                    </w:rPr>
                  </w:pPr>
                </w:p>
                <w:p w:rsidR="00B63B69" w:rsidRPr="003B50F5" w:rsidRDefault="00B63B69" w:rsidP="00373976">
                  <w:pPr>
                    <w:spacing w:line="340" w:lineRule="exact"/>
                    <w:jc w:val="right"/>
                    <w:rPr>
                      <w:sz w:val="15"/>
                      <w:szCs w:val="15"/>
                    </w:rPr>
                  </w:pPr>
                  <w:r w:rsidRPr="003B50F5">
                    <w:rPr>
                      <w:sz w:val="15"/>
                      <w:szCs w:val="15"/>
                    </w:rPr>
                    <w:t>25 000</w:t>
                  </w:r>
                </w:p>
                <w:p w:rsidR="00B63B69" w:rsidRPr="003B50F5" w:rsidRDefault="00B63B69" w:rsidP="00373976">
                  <w:pPr>
                    <w:spacing w:line="346" w:lineRule="exact"/>
                    <w:jc w:val="right"/>
                    <w:rPr>
                      <w:sz w:val="15"/>
                      <w:szCs w:val="15"/>
                    </w:rPr>
                  </w:pPr>
                </w:p>
                <w:p w:rsidR="00B63B69" w:rsidRPr="003B50F5" w:rsidRDefault="00B63B69" w:rsidP="00373976">
                  <w:pPr>
                    <w:spacing w:line="346" w:lineRule="exact"/>
                    <w:jc w:val="right"/>
                    <w:rPr>
                      <w:sz w:val="15"/>
                      <w:szCs w:val="15"/>
                    </w:rPr>
                  </w:pPr>
                  <w:r w:rsidRPr="003B50F5">
                    <w:rPr>
                      <w:sz w:val="15"/>
                      <w:szCs w:val="15"/>
                    </w:rPr>
                    <w:t>20 000</w:t>
                  </w:r>
                </w:p>
                <w:p w:rsidR="00B63B69" w:rsidRPr="003B50F5" w:rsidRDefault="00B63B69" w:rsidP="00373976">
                  <w:pPr>
                    <w:spacing w:line="346" w:lineRule="exact"/>
                    <w:jc w:val="right"/>
                    <w:rPr>
                      <w:sz w:val="15"/>
                      <w:szCs w:val="15"/>
                    </w:rPr>
                  </w:pPr>
                </w:p>
                <w:p w:rsidR="00B63B69" w:rsidRPr="003B50F5" w:rsidRDefault="00B63B69" w:rsidP="00373976">
                  <w:pPr>
                    <w:spacing w:line="346" w:lineRule="exact"/>
                    <w:jc w:val="right"/>
                    <w:rPr>
                      <w:sz w:val="15"/>
                      <w:szCs w:val="15"/>
                    </w:rPr>
                  </w:pPr>
                  <w:r w:rsidRPr="003B50F5">
                    <w:rPr>
                      <w:sz w:val="15"/>
                      <w:szCs w:val="15"/>
                    </w:rPr>
                    <w:t>15 000</w:t>
                  </w:r>
                </w:p>
                <w:p w:rsidR="00B63B69" w:rsidRPr="003B50F5" w:rsidRDefault="00B63B69" w:rsidP="00373976">
                  <w:pPr>
                    <w:spacing w:line="346" w:lineRule="exact"/>
                    <w:jc w:val="right"/>
                    <w:rPr>
                      <w:sz w:val="15"/>
                      <w:szCs w:val="15"/>
                    </w:rPr>
                  </w:pPr>
                </w:p>
                <w:p w:rsidR="00B63B69" w:rsidRPr="003B50F5" w:rsidRDefault="00B63B69" w:rsidP="00373976">
                  <w:pPr>
                    <w:spacing w:line="346" w:lineRule="exact"/>
                    <w:jc w:val="right"/>
                    <w:rPr>
                      <w:sz w:val="15"/>
                      <w:szCs w:val="15"/>
                    </w:rPr>
                  </w:pPr>
                  <w:r w:rsidRPr="003B50F5">
                    <w:rPr>
                      <w:sz w:val="15"/>
                      <w:szCs w:val="15"/>
                    </w:rPr>
                    <w:t>10 000</w:t>
                  </w:r>
                </w:p>
                <w:p w:rsidR="00B63B69" w:rsidRPr="003B50F5" w:rsidRDefault="00B63B69" w:rsidP="00373976">
                  <w:pPr>
                    <w:spacing w:line="346" w:lineRule="exact"/>
                    <w:jc w:val="right"/>
                    <w:rPr>
                      <w:sz w:val="15"/>
                      <w:szCs w:val="15"/>
                    </w:rPr>
                  </w:pPr>
                </w:p>
                <w:p w:rsidR="00B63B69" w:rsidRPr="003B50F5" w:rsidRDefault="00B63B69" w:rsidP="00373976">
                  <w:pPr>
                    <w:spacing w:line="346" w:lineRule="exact"/>
                    <w:jc w:val="right"/>
                    <w:rPr>
                      <w:sz w:val="15"/>
                      <w:szCs w:val="15"/>
                    </w:rPr>
                  </w:pPr>
                  <w:r w:rsidRPr="003B50F5">
                    <w:rPr>
                      <w:sz w:val="15"/>
                      <w:szCs w:val="15"/>
                    </w:rPr>
                    <w:t>5 000</w:t>
                  </w:r>
                </w:p>
                <w:p w:rsidR="00B63B69" w:rsidRPr="003B50F5" w:rsidRDefault="00B63B69" w:rsidP="00373976">
                  <w:pPr>
                    <w:spacing w:line="346" w:lineRule="exact"/>
                    <w:jc w:val="right"/>
                    <w:rPr>
                      <w:sz w:val="15"/>
                      <w:szCs w:val="15"/>
                    </w:rPr>
                  </w:pPr>
                </w:p>
                <w:p w:rsidR="00B63B69" w:rsidRPr="003B50F5" w:rsidRDefault="00B63B69" w:rsidP="00373976">
                  <w:pPr>
                    <w:spacing w:line="346" w:lineRule="exact"/>
                    <w:jc w:val="right"/>
                    <w:rPr>
                      <w:sz w:val="15"/>
                      <w:szCs w:val="15"/>
                    </w:rPr>
                  </w:pPr>
                  <w:r w:rsidRPr="003B50F5">
                    <w:rPr>
                      <w:sz w:val="15"/>
                      <w:szCs w:val="15"/>
                    </w:rPr>
                    <w:t>0</w:t>
                  </w:r>
                </w:p>
              </w:txbxContent>
            </v:textbox>
          </v:shape>
        </w:pict>
      </w:r>
      <w:r>
        <w:rPr>
          <w:rFonts w:hint="eastAsia"/>
        </w:rPr>
        <w:object w:dxaOrig="7695" w:dyaOrig="7260">
          <v:shape id="_x0000_i1028" type="#_x0000_t75" style="width:384.75pt;height:363pt" o:ole="">
            <v:imagedata r:id="rId20" o:title=""/>
          </v:shape>
          <o:OLEObject Type="Embed" ProgID="Excel.Chart.8" ShapeID="_x0000_i1028" DrawAspect="Content" ObjectID="_1394524471" r:id="rId21">
            <o:FieldCodes>\s</o:FieldCodes>
          </o:OLEObject>
        </w:object>
      </w:r>
    </w:p>
    <w:p w:rsidR="00373976" w:rsidRDefault="00373976" w:rsidP="00373976">
      <w:pPr>
        <w:tabs>
          <w:tab w:val="left" w:pos="525"/>
        </w:tabs>
        <w:spacing w:after="240" w:line="360" w:lineRule="exact"/>
        <w:rPr>
          <w:sz w:val="18"/>
          <w:szCs w:val="18"/>
        </w:rPr>
      </w:pPr>
      <w:r>
        <w:t xml:space="preserve">           </w:t>
      </w:r>
      <w:r>
        <w:rPr>
          <w:rFonts w:eastAsia="KaiTi_GB2312" w:cs="KaiTi_GB2312" w:hint="eastAsia"/>
          <w:sz w:val="18"/>
          <w:szCs w:val="18"/>
        </w:rPr>
        <w:t>资源来源</w:t>
      </w:r>
      <w:r>
        <w:rPr>
          <w:rFonts w:cs="SimSun" w:hint="eastAsia"/>
          <w:sz w:val="18"/>
          <w:szCs w:val="18"/>
        </w:rPr>
        <w:t>：</w:t>
      </w:r>
      <w:r>
        <w:rPr>
          <w:sz w:val="18"/>
          <w:szCs w:val="18"/>
        </w:rPr>
        <w:t>2000</w:t>
      </w:r>
      <w:r>
        <w:rPr>
          <w:rFonts w:cs="SimSun" w:hint="eastAsia"/>
          <w:sz w:val="18"/>
          <w:szCs w:val="18"/>
        </w:rPr>
        <w:t>年人口普查。</w:t>
      </w:r>
    </w:p>
    <w:p w:rsidR="00373976" w:rsidRDefault="00373976" w:rsidP="00373976">
      <w:pPr>
        <w:tabs>
          <w:tab w:val="left" w:pos="525"/>
        </w:tabs>
        <w:spacing w:after="240" w:line="360" w:lineRule="exact"/>
        <w:jc w:val="center"/>
        <w:rPr>
          <w:rFonts w:ascii="SimHei" w:eastAsia="SimHei"/>
          <w:color w:val="FF0000"/>
          <w:sz w:val="28"/>
          <w:szCs w:val="28"/>
        </w:rPr>
      </w:pPr>
      <w:r>
        <w:rPr>
          <w:rFonts w:ascii="SimHei" w:eastAsia="SimHei" w:cs="SimHei" w:hint="eastAsia"/>
          <w:color w:val="FF0000"/>
          <w:sz w:val="28"/>
          <w:szCs w:val="28"/>
        </w:rPr>
        <w:t>第</w:t>
      </w:r>
      <w:r>
        <w:rPr>
          <w:rFonts w:ascii="SimHei" w:eastAsia="SimHei" w:cs="SimHei"/>
          <w:color w:val="FF0000"/>
          <w:sz w:val="28"/>
          <w:szCs w:val="28"/>
        </w:rPr>
        <w:t>15</w:t>
      </w:r>
      <w:r>
        <w:rPr>
          <w:rFonts w:ascii="SimHei" w:eastAsia="SimHei" w:cs="SimHei" w:hint="eastAsia"/>
          <w:color w:val="FF0000"/>
          <w:sz w:val="28"/>
          <w:szCs w:val="28"/>
        </w:rPr>
        <w:t>条</w:t>
      </w:r>
    </w:p>
    <w:p w:rsidR="00373976" w:rsidRDefault="00373976" w:rsidP="00373976">
      <w:pPr>
        <w:tabs>
          <w:tab w:val="left" w:pos="525"/>
        </w:tabs>
        <w:spacing w:after="240" w:line="360" w:lineRule="exact"/>
        <w:jc w:val="center"/>
        <w:rPr>
          <w:rFonts w:ascii="SimHei" w:eastAsia="SimHei"/>
          <w:color w:val="FF0000"/>
          <w:sz w:val="28"/>
          <w:szCs w:val="28"/>
        </w:rPr>
      </w:pPr>
      <w:r>
        <w:rPr>
          <w:rFonts w:ascii="SimHei" w:eastAsia="SimHei" w:cs="SimHei" w:hint="eastAsia"/>
          <w:color w:val="FF0000"/>
          <w:sz w:val="28"/>
          <w:szCs w:val="28"/>
        </w:rPr>
        <w:t>法律面前和公民事务中的平等</w:t>
      </w:r>
    </w:p>
    <w:p w:rsidR="00373976" w:rsidRDefault="00373976" w:rsidP="00373976">
      <w:pPr>
        <w:pStyle w:val="Subtitle"/>
        <w:pBdr>
          <w:top w:val="single" w:sz="4" w:space="1" w:color="auto"/>
        </w:pBdr>
        <w:tabs>
          <w:tab w:val="left" w:pos="525"/>
        </w:tabs>
        <w:spacing w:line="360" w:lineRule="exact"/>
        <w:jc w:val="both"/>
        <w:rPr>
          <w:rFonts w:eastAsia="SimHei"/>
          <w:sz w:val="21"/>
          <w:szCs w:val="21"/>
          <w:lang w:eastAsia="zh-CN"/>
        </w:rPr>
      </w:pPr>
    </w:p>
    <w:p w:rsidR="00373976" w:rsidRDefault="00373976" w:rsidP="009B38FD">
      <w:pPr>
        <w:pStyle w:val="BodyText"/>
        <w:tabs>
          <w:tab w:val="left" w:pos="525"/>
        </w:tabs>
        <w:spacing w:after="240" w:line="360" w:lineRule="exact"/>
        <w:ind w:firstLineChars="250" w:firstLine="31680"/>
        <w:rPr>
          <w:rFonts w:ascii="KaiTi_GB2312" w:eastAsia="KaiTi_GB2312" w:hAnsi="STKaiti"/>
          <w:b/>
          <w:bCs/>
          <w:color w:val="0000FF"/>
          <w:szCs w:val="21"/>
        </w:rPr>
      </w:pPr>
      <w:r>
        <w:rPr>
          <w:rFonts w:ascii="KaiTi_GB2312" w:eastAsia="KaiTi_GB2312" w:hAnsi="STKaiti" w:cs="KaiTi_GB2312" w:hint="eastAsia"/>
          <w:b/>
          <w:bCs/>
          <w:color w:val="0000FF"/>
          <w:szCs w:val="21"/>
        </w:rPr>
        <w:t>缔约各国应给予男女在法律面前平等的地位。</w:t>
      </w:r>
    </w:p>
    <w:p w:rsidR="00373976" w:rsidRDefault="00373976" w:rsidP="009B38FD">
      <w:pPr>
        <w:pStyle w:val="BodyText"/>
        <w:tabs>
          <w:tab w:val="left" w:pos="525"/>
        </w:tabs>
        <w:spacing w:after="240" w:line="360" w:lineRule="exact"/>
        <w:ind w:firstLineChars="250" w:firstLine="31680"/>
        <w:rPr>
          <w:rFonts w:ascii="KaiTi_GB2312" w:eastAsia="KaiTi_GB2312" w:hAnsi="STKaiti"/>
          <w:b/>
          <w:bCs/>
          <w:color w:val="0000FF"/>
          <w:szCs w:val="21"/>
        </w:rPr>
      </w:pPr>
      <w:r>
        <w:rPr>
          <w:rFonts w:ascii="KaiTi_GB2312" w:eastAsia="KaiTi_GB2312" w:hAnsi="STKaiti" w:cs="KaiTi_GB2312" w:hint="eastAsia"/>
          <w:b/>
          <w:bCs/>
          <w:color w:val="0000FF"/>
          <w:szCs w:val="21"/>
        </w:rPr>
        <w:t>缔约各国应在公民事务上，给予妇女与男子同等的法律行为能力，以及行使这种行为能力的相同机会。特别应给予妇女签订合同和管理财产的平等权利，并在法院和法庭诉讼的各个阶段给予平等待遇。</w:t>
      </w:r>
    </w:p>
    <w:p w:rsidR="00373976" w:rsidRDefault="00373976" w:rsidP="009B38FD">
      <w:pPr>
        <w:pStyle w:val="BodyText"/>
        <w:tabs>
          <w:tab w:val="left" w:pos="525"/>
        </w:tabs>
        <w:spacing w:after="240" w:line="360" w:lineRule="exact"/>
        <w:ind w:firstLineChars="250" w:firstLine="31680"/>
        <w:rPr>
          <w:rFonts w:ascii="KaiTi_GB2312" w:eastAsia="KaiTi_GB2312" w:hAnsi="STKaiti"/>
          <w:b/>
          <w:bCs/>
          <w:color w:val="0000FF"/>
          <w:szCs w:val="21"/>
        </w:rPr>
      </w:pPr>
      <w:r>
        <w:rPr>
          <w:rFonts w:ascii="KaiTi_GB2312" w:eastAsia="KaiTi_GB2312" w:hAnsi="STKaiti" w:cs="KaiTi_GB2312" w:hint="eastAsia"/>
          <w:b/>
          <w:bCs/>
          <w:color w:val="0000FF"/>
          <w:szCs w:val="21"/>
        </w:rPr>
        <w:t>缔约各国同意，旨在限制妇女法律行为能力的所有合同和其他任何具有法律效力的私人文书，应一律视为无效。</w:t>
      </w:r>
    </w:p>
    <w:p w:rsidR="00373976" w:rsidRDefault="00373976" w:rsidP="009B38FD">
      <w:pPr>
        <w:pStyle w:val="BodyText"/>
        <w:tabs>
          <w:tab w:val="left" w:pos="525"/>
        </w:tabs>
        <w:spacing w:after="240" w:line="360" w:lineRule="exact"/>
        <w:ind w:firstLineChars="250" w:firstLine="31680"/>
        <w:rPr>
          <w:rFonts w:ascii="KaiTi_GB2312" w:eastAsia="KaiTi_GB2312" w:hAnsi="STKaiti"/>
          <w:b/>
          <w:bCs/>
          <w:color w:val="0000FF"/>
          <w:szCs w:val="21"/>
        </w:rPr>
      </w:pPr>
      <w:r>
        <w:rPr>
          <w:rFonts w:ascii="KaiTi_GB2312" w:eastAsia="KaiTi_GB2312" w:hAnsi="STKaiti" w:cs="KaiTi_GB2312" w:hint="eastAsia"/>
          <w:b/>
          <w:bCs/>
          <w:color w:val="0000FF"/>
          <w:szCs w:val="21"/>
        </w:rPr>
        <w:t>缔约各国在有关人身移动和自由择居的法律方面，应给予男女相同的权利。</w:t>
      </w:r>
    </w:p>
    <w:p w:rsidR="00373976" w:rsidRDefault="00373976" w:rsidP="00373976">
      <w:pPr>
        <w:numPr>
          <w:ilvl w:val="0"/>
          <w:numId w:val="25"/>
        </w:numPr>
        <w:tabs>
          <w:tab w:val="clear" w:pos="0"/>
          <w:tab w:val="left" w:pos="525"/>
        </w:tabs>
        <w:spacing w:after="240" w:line="360" w:lineRule="exact"/>
        <w:ind w:left="0" w:firstLine="0"/>
        <w:jc w:val="both"/>
      </w:pPr>
      <w:r>
        <w:rPr>
          <w:rFonts w:cs="SimSun" w:hint="eastAsia"/>
        </w:rPr>
        <w:t>伯利兹的法律在公民事务、签订合同和管理财产方面不存在歧视妇女的问题。</w:t>
      </w:r>
    </w:p>
    <w:p w:rsidR="00373976" w:rsidRDefault="00373976" w:rsidP="00373976">
      <w:pPr>
        <w:numPr>
          <w:ilvl w:val="0"/>
          <w:numId w:val="25"/>
        </w:numPr>
        <w:tabs>
          <w:tab w:val="clear" w:pos="0"/>
          <w:tab w:val="left" w:pos="525"/>
        </w:tabs>
        <w:spacing w:after="240" w:line="360" w:lineRule="exact"/>
        <w:ind w:left="0" w:firstLine="0"/>
        <w:jc w:val="both"/>
      </w:pPr>
      <w:r>
        <w:rPr>
          <w:rFonts w:cs="SimSun" w:hint="eastAsia"/>
        </w:rPr>
        <w:t>在人身移动和选择居所方面男女具有相同的权利。</w:t>
      </w:r>
    </w:p>
    <w:p w:rsidR="00373976" w:rsidRDefault="00373976" w:rsidP="00373976">
      <w:pPr>
        <w:tabs>
          <w:tab w:val="left" w:pos="525"/>
        </w:tabs>
        <w:spacing w:after="240" w:line="360" w:lineRule="exact"/>
      </w:pPr>
    </w:p>
    <w:p w:rsidR="00373976" w:rsidRDefault="00373976" w:rsidP="00373976">
      <w:pPr>
        <w:tabs>
          <w:tab w:val="left" w:pos="525"/>
        </w:tabs>
        <w:spacing w:after="240" w:line="360" w:lineRule="exact"/>
        <w:jc w:val="center"/>
        <w:rPr>
          <w:rFonts w:ascii="SimHei" w:eastAsia="SimHei"/>
          <w:color w:val="FF0000"/>
          <w:sz w:val="28"/>
          <w:szCs w:val="28"/>
        </w:rPr>
      </w:pPr>
      <w:r>
        <w:br w:type="page"/>
      </w:r>
      <w:r>
        <w:rPr>
          <w:rFonts w:ascii="SimHei" w:eastAsia="SimHei" w:cs="SimHei" w:hint="eastAsia"/>
          <w:color w:val="FF0000"/>
          <w:sz w:val="28"/>
          <w:szCs w:val="28"/>
        </w:rPr>
        <w:t>第</w:t>
      </w:r>
      <w:r>
        <w:rPr>
          <w:rFonts w:ascii="SimHei" w:eastAsia="SimHei" w:cs="SimHei"/>
          <w:color w:val="FF0000"/>
          <w:sz w:val="28"/>
          <w:szCs w:val="28"/>
        </w:rPr>
        <w:t>16</w:t>
      </w:r>
      <w:r>
        <w:rPr>
          <w:rFonts w:ascii="SimHei" w:eastAsia="SimHei" w:cs="SimHei" w:hint="eastAsia"/>
          <w:color w:val="FF0000"/>
          <w:sz w:val="28"/>
          <w:szCs w:val="28"/>
        </w:rPr>
        <w:t>条</w:t>
      </w:r>
    </w:p>
    <w:p w:rsidR="00373976" w:rsidRDefault="00373976" w:rsidP="00373976">
      <w:pPr>
        <w:tabs>
          <w:tab w:val="left" w:pos="525"/>
        </w:tabs>
        <w:spacing w:after="240" w:line="360" w:lineRule="exact"/>
        <w:jc w:val="center"/>
        <w:rPr>
          <w:rFonts w:ascii="SimHei" w:eastAsia="SimHei"/>
          <w:color w:val="FF0000"/>
          <w:sz w:val="28"/>
          <w:szCs w:val="28"/>
        </w:rPr>
      </w:pPr>
      <w:r>
        <w:rPr>
          <w:rFonts w:ascii="SimHei" w:eastAsia="SimHei" w:cs="SimHei" w:hint="eastAsia"/>
          <w:color w:val="FF0000"/>
          <w:sz w:val="28"/>
          <w:szCs w:val="28"/>
        </w:rPr>
        <w:t>婚姻和家庭法中的平等</w:t>
      </w:r>
    </w:p>
    <w:p w:rsidR="00373976" w:rsidRDefault="00373976" w:rsidP="00373976">
      <w:pPr>
        <w:pStyle w:val="Subtitle"/>
        <w:pBdr>
          <w:top w:val="single" w:sz="4" w:space="1" w:color="auto"/>
        </w:pBdr>
        <w:tabs>
          <w:tab w:val="left" w:pos="525"/>
        </w:tabs>
        <w:spacing w:line="360" w:lineRule="exact"/>
        <w:jc w:val="both"/>
        <w:rPr>
          <w:rFonts w:eastAsia="SimHei"/>
          <w:sz w:val="21"/>
          <w:szCs w:val="21"/>
          <w:lang w:eastAsia="zh-CN"/>
        </w:rPr>
      </w:pPr>
    </w:p>
    <w:p w:rsidR="00373976" w:rsidRDefault="00373976" w:rsidP="009B38FD">
      <w:pPr>
        <w:pStyle w:val="BodyText"/>
        <w:tabs>
          <w:tab w:val="left" w:pos="525"/>
        </w:tabs>
        <w:spacing w:after="240" w:line="360" w:lineRule="exact"/>
        <w:ind w:firstLineChars="250" w:firstLine="31680"/>
        <w:rPr>
          <w:rFonts w:ascii="KaiTi_GB2312" w:eastAsia="KaiTi_GB2312" w:hAnsi="STKaiti"/>
          <w:b/>
          <w:bCs/>
          <w:color w:val="0000FF"/>
          <w:szCs w:val="21"/>
        </w:rPr>
      </w:pPr>
      <w:r>
        <w:rPr>
          <w:rFonts w:ascii="KaiTi_GB2312" w:eastAsia="KaiTi_GB2312" w:hAnsi="STKaiti" w:cs="KaiTi_GB2312" w:hint="eastAsia"/>
          <w:b/>
          <w:bCs/>
          <w:color w:val="0000FF"/>
          <w:szCs w:val="21"/>
        </w:rPr>
        <w:t>缔约各国应采取一切适当措施，消除在有关婚姻和家庭关系的一切事项上对妇女的歧视，并特别应保证她们在男女平等的基础上：</w:t>
      </w:r>
    </w:p>
    <w:p w:rsidR="00373976" w:rsidRDefault="00373976" w:rsidP="009B38FD">
      <w:pPr>
        <w:pStyle w:val="BodyText"/>
        <w:widowControl w:val="0"/>
        <w:numPr>
          <w:ilvl w:val="1"/>
          <w:numId w:val="45"/>
        </w:numPr>
        <w:tabs>
          <w:tab w:val="clear" w:pos="1140"/>
          <w:tab w:val="left" w:pos="1155"/>
        </w:tabs>
        <w:spacing w:after="240" w:line="360" w:lineRule="exact"/>
        <w:ind w:leftChars="250" w:left="31680" w:hangingChars="30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有相同的缔婚权利；</w:t>
      </w:r>
    </w:p>
    <w:p w:rsidR="00373976" w:rsidRDefault="00373976" w:rsidP="009B38FD">
      <w:pPr>
        <w:pStyle w:val="BodyText"/>
        <w:widowControl w:val="0"/>
        <w:numPr>
          <w:ilvl w:val="1"/>
          <w:numId w:val="45"/>
        </w:numPr>
        <w:tabs>
          <w:tab w:val="clear" w:pos="1140"/>
          <w:tab w:val="left" w:pos="1155"/>
        </w:tabs>
        <w:spacing w:after="240" w:line="360" w:lineRule="exact"/>
        <w:ind w:leftChars="250" w:left="31680" w:hangingChars="30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有相同的自由选择配偶和非经本人自由表示、完全同意不缔婚约的权利；</w:t>
      </w:r>
    </w:p>
    <w:p w:rsidR="00373976" w:rsidRDefault="00373976" w:rsidP="009B38FD">
      <w:pPr>
        <w:pStyle w:val="BodyText"/>
        <w:widowControl w:val="0"/>
        <w:numPr>
          <w:ilvl w:val="1"/>
          <w:numId w:val="45"/>
        </w:numPr>
        <w:tabs>
          <w:tab w:val="clear" w:pos="1140"/>
          <w:tab w:val="left" w:pos="1155"/>
        </w:tabs>
        <w:spacing w:after="240" w:line="360" w:lineRule="exact"/>
        <w:ind w:leftChars="250" w:left="31680" w:hangingChars="30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在婚姻存续期间以及解除婚姻关系时，有相同的权利和义务；</w:t>
      </w:r>
    </w:p>
    <w:p w:rsidR="00373976" w:rsidRDefault="00373976" w:rsidP="009B38FD">
      <w:pPr>
        <w:pStyle w:val="BodyText"/>
        <w:widowControl w:val="0"/>
        <w:numPr>
          <w:ilvl w:val="1"/>
          <w:numId w:val="45"/>
        </w:numPr>
        <w:tabs>
          <w:tab w:val="clear" w:pos="1140"/>
          <w:tab w:val="left" w:pos="1155"/>
        </w:tabs>
        <w:spacing w:after="240" w:line="360" w:lineRule="exact"/>
        <w:ind w:leftChars="250" w:left="31680" w:hangingChars="30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不论婚姻状况如何，在有关子女的事务上，作为父母亲有相同的权利和义务。但在任何情形下，均应以子女的利益为重；</w:t>
      </w:r>
    </w:p>
    <w:p w:rsidR="00373976" w:rsidRDefault="00373976" w:rsidP="009B38FD">
      <w:pPr>
        <w:pStyle w:val="BodyText"/>
        <w:widowControl w:val="0"/>
        <w:numPr>
          <w:ilvl w:val="1"/>
          <w:numId w:val="45"/>
        </w:numPr>
        <w:tabs>
          <w:tab w:val="clear" w:pos="1140"/>
          <w:tab w:val="left" w:pos="1155"/>
        </w:tabs>
        <w:spacing w:after="240" w:line="360" w:lineRule="exact"/>
        <w:ind w:leftChars="250" w:left="31680" w:hangingChars="30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有相同的权利自由负责地决定子女人数和生育间隔，并有机会获得使她们能够行使这种权利的知识、教育和方法；</w:t>
      </w:r>
    </w:p>
    <w:p w:rsidR="00373976" w:rsidRDefault="00373976" w:rsidP="009B38FD">
      <w:pPr>
        <w:pStyle w:val="BodyText"/>
        <w:widowControl w:val="0"/>
        <w:numPr>
          <w:ilvl w:val="1"/>
          <w:numId w:val="45"/>
        </w:numPr>
        <w:tabs>
          <w:tab w:val="clear" w:pos="1140"/>
          <w:tab w:val="left" w:pos="1155"/>
        </w:tabs>
        <w:spacing w:after="240" w:line="360" w:lineRule="exact"/>
        <w:ind w:leftChars="250" w:left="31680" w:hangingChars="30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在监护、看管、受托和收养子女或类似的制度方面，如果国家法规有这些观念的话，有相同的权利和义务。但在任何情形下，均应以子女的利益为重；</w:t>
      </w:r>
    </w:p>
    <w:p w:rsidR="00373976" w:rsidRDefault="00373976" w:rsidP="009B38FD">
      <w:pPr>
        <w:pStyle w:val="BodyText"/>
        <w:widowControl w:val="0"/>
        <w:numPr>
          <w:ilvl w:val="1"/>
          <w:numId w:val="45"/>
        </w:numPr>
        <w:tabs>
          <w:tab w:val="clear" w:pos="1140"/>
          <w:tab w:val="left" w:pos="1155"/>
        </w:tabs>
        <w:spacing w:after="240" w:line="360" w:lineRule="exact"/>
        <w:ind w:leftChars="250" w:left="31680" w:hangingChars="30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夫妻有相同的个人权利，包括选择姓氏、专业和职业的权利；</w:t>
      </w:r>
    </w:p>
    <w:p w:rsidR="00373976" w:rsidRDefault="00373976" w:rsidP="009B38FD">
      <w:pPr>
        <w:pStyle w:val="BodyText"/>
        <w:widowControl w:val="0"/>
        <w:numPr>
          <w:ilvl w:val="1"/>
          <w:numId w:val="45"/>
        </w:numPr>
        <w:tabs>
          <w:tab w:val="clear" w:pos="1140"/>
          <w:tab w:val="left" w:pos="1155"/>
        </w:tabs>
        <w:spacing w:after="240" w:line="360" w:lineRule="exact"/>
        <w:ind w:leftChars="250" w:left="31680" w:hangingChars="300" w:firstLine="31680"/>
        <w:jc w:val="both"/>
        <w:rPr>
          <w:rFonts w:ascii="KaiTi_GB2312" w:eastAsia="KaiTi_GB2312" w:hAnsi="STKaiti"/>
          <w:b/>
          <w:bCs/>
          <w:color w:val="0000FF"/>
          <w:szCs w:val="21"/>
        </w:rPr>
      </w:pPr>
      <w:r>
        <w:rPr>
          <w:rFonts w:ascii="KaiTi_GB2312" w:eastAsia="KaiTi_GB2312" w:hAnsi="STKaiti" w:cs="KaiTi_GB2312" w:hint="eastAsia"/>
          <w:b/>
          <w:bCs/>
          <w:color w:val="0000FF"/>
          <w:szCs w:val="21"/>
        </w:rPr>
        <w:t>配偶双方在财产的所有、取得、经营、管理、享有、处置方面，不论是无偿的或是收取价值酬报的，都具有相同的权利。</w:t>
      </w:r>
    </w:p>
    <w:p w:rsidR="00373976" w:rsidRDefault="00373976" w:rsidP="009B38FD">
      <w:pPr>
        <w:pStyle w:val="BodyText"/>
        <w:tabs>
          <w:tab w:val="left" w:pos="525"/>
        </w:tabs>
        <w:spacing w:after="240" w:line="360" w:lineRule="exact"/>
        <w:ind w:firstLineChars="250" w:firstLine="31680"/>
        <w:rPr>
          <w:rFonts w:ascii="KaiTi_GB2312" w:eastAsia="KaiTi_GB2312" w:hAnsi="STKaiti"/>
          <w:b/>
          <w:bCs/>
          <w:color w:val="0000FF"/>
          <w:szCs w:val="21"/>
        </w:rPr>
      </w:pPr>
      <w:r>
        <w:rPr>
          <w:rFonts w:ascii="KaiTi_GB2312" w:eastAsia="KaiTi_GB2312" w:hAnsi="STKaiti" w:cs="KaiTi_GB2312" w:hint="eastAsia"/>
          <w:b/>
          <w:bCs/>
          <w:color w:val="0000FF"/>
          <w:szCs w:val="21"/>
        </w:rPr>
        <w:t>童年订婚和童婚应不具法律效力，并应采取一切必要行动，包括制订法律，规定结婚最低年龄，并规定婚姻必须向正式登记机构登记。</w:t>
      </w:r>
    </w:p>
    <w:p w:rsidR="00373976" w:rsidRDefault="00373976" w:rsidP="00373976">
      <w:pPr>
        <w:numPr>
          <w:ilvl w:val="0"/>
          <w:numId w:val="25"/>
        </w:numPr>
        <w:tabs>
          <w:tab w:val="clear" w:pos="0"/>
          <w:tab w:val="left" w:pos="525"/>
        </w:tabs>
        <w:spacing w:after="240" w:line="360" w:lineRule="exact"/>
        <w:ind w:left="0" w:firstLine="0"/>
        <w:jc w:val="both"/>
      </w:pPr>
      <w:r>
        <w:t>2000</w:t>
      </w:r>
      <w:r>
        <w:rPr>
          <w:rFonts w:cs="SimSun" w:hint="eastAsia"/>
        </w:rPr>
        <w:t>年通过的《最高司法法院（修正）法案》标志着在承认妇女所做的家庭工作的经济价值方面迈出了重要的第一步。该《法案》对婚姻配偶的离婚和同居伴侣的分居，给出了财产分配的指导方针。它还对同居伴侣的赡养费做出了规定。在进行离婚财产分配时，法庭必须考虑：</w:t>
      </w:r>
    </w:p>
    <w:p w:rsidR="00373976" w:rsidRDefault="00373976" w:rsidP="009B38FD">
      <w:pPr>
        <w:tabs>
          <w:tab w:val="left" w:pos="525"/>
        </w:tabs>
        <w:spacing w:after="240" w:line="360" w:lineRule="exact"/>
        <w:ind w:leftChars="250" w:left="31680" w:firstLineChars="200" w:firstLine="31680"/>
        <w:rPr>
          <w:rFonts w:ascii="KaiTi_GB2312" w:eastAsia="KaiTi_GB2312" w:hAnsi="STKaiti"/>
          <w:color w:val="0000FF"/>
        </w:rPr>
      </w:pPr>
      <w:r>
        <w:rPr>
          <w:rFonts w:ascii="KaiTi_GB2312" w:eastAsia="KaiTi_GB2312" w:hAnsi="STKaiti" w:cs="KaiTi_GB2312" w:hint="eastAsia"/>
          <w:color w:val="0000FF"/>
        </w:rPr>
        <w:t>直接或间接由丈夫或妻子及他人代表丈夫或妻子在财产的获得、保管或改善中所做出的非金钱的贡献，包括以家庭主妇、持家人或父母身份所做出的任何贡献；</w:t>
      </w:r>
    </w:p>
    <w:p w:rsidR="00373976" w:rsidRDefault="00373976" w:rsidP="009B38FD">
      <w:pPr>
        <w:tabs>
          <w:tab w:val="left" w:pos="525"/>
        </w:tabs>
        <w:spacing w:after="180" w:line="360" w:lineRule="exact"/>
        <w:ind w:leftChars="250" w:left="31680" w:firstLineChars="200" w:firstLine="31680"/>
        <w:rPr>
          <w:rFonts w:ascii="KaiTi_GB2312" w:eastAsia="KaiTi_GB2312" w:hAnsi="STKaiti"/>
          <w:color w:val="0000FF"/>
        </w:rPr>
      </w:pPr>
      <w:r>
        <w:rPr>
          <w:rFonts w:ascii="KaiTi_GB2312" w:eastAsia="KaiTi_GB2312" w:hAnsi="STKaiti" w:cs="KaiTi_GB2312" w:hint="eastAsia"/>
          <w:color w:val="0000FF"/>
        </w:rPr>
        <w:t>任何拟议的法庭指令对丈夫或妻子收入能力的影响；</w:t>
      </w:r>
    </w:p>
    <w:p w:rsidR="00373976" w:rsidRDefault="00373976" w:rsidP="009B38FD">
      <w:pPr>
        <w:tabs>
          <w:tab w:val="left" w:pos="525"/>
        </w:tabs>
        <w:spacing w:after="180" w:line="360" w:lineRule="exact"/>
        <w:ind w:leftChars="250" w:left="31680" w:firstLineChars="200" w:firstLine="31680"/>
        <w:rPr>
          <w:rFonts w:ascii="KaiTi_GB2312" w:eastAsia="KaiTi_GB2312" w:hAnsi="STKaiti"/>
          <w:color w:val="0000FF"/>
        </w:rPr>
      </w:pPr>
      <w:r>
        <w:rPr>
          <w:rFonts w:ascii="KaiTi_GB2312" w:eastAsia="KaiTi_GB2312" w:hAnsi="STKaiti" w:cs="KaiTi_GB2312" w:hint="eastAsia"/>
          <w:color w:val="0000FF"/>
        </w:rPr>
        <w:t>夫妻双方的年龄和健康状况以及婚姻中所生的子女（如果有的话）；</w:t>
      </w:r>
    </w:p>
    <w:p w:rsidR="00373976" w:rsidRDefault="00373976" w:rsidP="009B38FD">
      <w:pPr>
        <w:tabs>
          <w:tab w:val="left" w:pos="525"/>
        </w:tabs>
        <w:spacing w:after="180" w:line="360" w:lineRule="exact"/>
        <w:ind w:leftChars="250" w:left="31680" w:firstLineChars="200" w:firstLine="31680"/>
        <w:rPr>
          <w:rFonts w:ascii="KaiTi_GB2312" w:eastAsia="KaiTi_GB2312" w:hAnsi="STKaiti"/>
          <w:color w:val="0000FF"/>
        </w:rPr>
      </w:pPr>
      <w:r>
        <w:rPr>
          <w:rFonts w:ascii="KaiTi_GB2312" w:eastAsia="KaiTi_GB2312" w:hAnsi="STKaiti" w:cs="KaiTi_GB2312" w:hint="eastAsia"/>
          <w:color w:val="0000FF"/>
        </w:rPr>
        <w:t>妻子以妻子和</w:t>
      </w:r>
      <w:r>
        <w:rPr>
          <w:rFonts w:ascii="KaiTi_GB2312" w:eastAsia="KaiTi_GB2312" w:hAnsi="STKaiti" w:cs="KaiTi_GB2312"/>
          <w:color w:val="0000FF"/>
        </w:rPr>
        <w:t>/</w:t>
      </w:r>
      <w:r>
        <w:rPr>
          <w:rFonts w:ascii="KaiTi_GB2312" w:eastAsia="KaiTi_GB2312" w:hAnsi="STKaiti" w:cs="KaiTi_GB2312" w:hint="eastAsia"/>
          <w:color w:val="0000FF"/>
        </w:rPr>
        <w:t>或母亲的角色及在抚养婚姻中所生的子女（如果有的话）过程中所做的非金钱的贡献；</w:t>
      </w:r>
    </w:p>
    <w:p w:rsidR="00373976" w:rsidRDefault="00373976" w:rsidP="009B38FD">
      <w:pPr>
        <w:tabs>
          <w:tab w:val="left" w:pos="525"/>
        </w:tabs>
        <w:spacing w:after="180" w:line="360" w:lineRule="exact"/>
        <w:ind w:leftChars="250" w:left="31680" w:firstLineChars="200" w:firstLine="31680"/>
        <w:rPr>
          <w:rFonts w:ascii="KaiTi_GB2312" w:eastAsia="KaiTi_GB2312" w:hAnsi="STKaiti"/>
          <w:color w:val="0000FF"/>
        </w:rPr>
      </w:pPr>
      <w:r>
        <w:rPr>
          <w:rFonts w:ascii="KaiTi_GB2312" w:eastAsia="KaiTi_GB2312" w:hAnsi="STKaiti" w:cs="KaiTi_GB2312" w:hint="eastAsia"/>
          <w:color w:val="0000FF"/>
        </w:rPr>
        <w:t>丈夫或妻子是否有资格领取养恤金、退职金和任何法律规定的或任何退休金方案下的一些其他补助金，以及上述养恤金、津贴、退职金或补助金的金额；</w:t>
      </w:r>
    </w:p>
    <w:p w:rsidR="00373976" w:rsidRDefault="00373976" w:rsidP="009B38FD">
      <w:pPr>
        <w:tabs>
          <w:tab w:val="left" w:pos="525"/>
        </w:tabs>
        <w:spacing w:after="180" w:line="360" w:lineRule="exact"/>
        <w:ind w:leftChars="250" w:left="31680" w:firstLineChars="200" w:firstLine="31680"/>
        <w:rPr>
          <w:rFonts w:ascii="KaiTi_GB2312" w:eastAsia="KaiTi_GB2312" w:hAnsi="STKaiti"/>
          <w:color w:val="0000FF"/>
        </w:rPr>
      </w:pPr>
      <w:r>
        <w:rPr>
          <w:rFonts w:ascii="KaiTi_GB2312" w:eastAsia="KaiTi_GB2312" w:hAnsi="STKaiti" w:cs="KaiTi_GB2312" w:hint="eastAsia"/>
          <w:color w:val="0000FF"/>
        </w:rPr>
        <w:t>双方结婚期间，以及法庭指令所支持的一方因该婚姻而在教育、培训和发展方面所受影响的程度；</w:t>
      </w:r>
    </w:p>
    <w:p w:rsidR="00373976" w:rsidRDefault="00373976" w:rsidP="009B38FD">
      <w:pPr>
        <w:tabs>
          <w:tab w:val="left" w:pos="525"/>
        </w:tabs>
        <w:spacing w:after="180" w:line="360" w:lineRule="exact"/>
        <w:ind w:leftChars="250" w:left="31680" w:firstLineChars="200" w:firstLine="31680"/>
        <w:rPr>
          <w:rFonts w:ascii="KaiTi_GB2312" w:eastAsia="KaiTi_GB2312" w:hAnsi="STKaiti"/>
          <w:color w:val="0000FF"/>
        </w:rPr>
      </w:pPr>
      <w:r>
        <w:rPr>
          <w:rFonts w:ascii="KaiTi_GB2312" w:eastAsia="KaiTi_GB2312" w:hAnsi="STKaiti" w:cs="KaiTi_GB2312" w:hint="eastAsia"/>
          <w:color w:val="0000FF"/>
        </w:rPr>
        <w:t>保护妇女地位的需要，特别是希望继续维持其母亲角色的妇女。</w:t>
      </w:r>
    </w:p>
    <w:p w:rsidR="00373976" w:rsidRDefault="00373976" w:rsidP="003B50F5">
      <w:pPr>
        <w:numPr>
          <w:ilvl w:val="0"/>
          <w:numId w:val="25"/>
        </w:numPr>
        <w:tabs>
          <w:tab w:val="clear" w:pos="0"/>
          <w:tab w:val="left" w:pos="525"/>
        </w:tabs>
        <w:spacing w:after="180" w:line="360" w:lineRule="exact"/>
        <w:ind w:left="0" w:firstLine="0"/>
        <w:jc w:val="both"/>
      </w:pPr>
      <w:r>
        <w:rPr>
          <w:rFonts w:cs="SimSun" w:hint="eastAsia"/>
        </w:rPr>
        <w:t>该法案在宣布财产的权益和变更财产的权利时还考虑到同居的伴侣：</w:t>
      </w:r>
    </w:p>
    <w:p w:rsidR="00373976" w:rsidRDefault="00373976" w:rsidP="009B38FD">
      <w:pPr>
        <w:tabs>
          <w:tab w:val="left" w:pos="525"/>
        </w:tabs>
        <w:spacing w:after="180" w:line="360" w:lineRule="exact"/>
        <w:ind w:leftChars="250" w:left="31680" w:firstLineChars="200" w:firstLine="31680"/>
        <w:rPr>
          <w:rFonts w:ascii="KaiTi_GB2312" w:eastAsia="KaiTi_GB2312"/>
          <w:color w:val="0000FF"/>
        </w:rPr>
      </w:pPr>
      <w:r>
        <w:rPr>
          <w:rFonts w:ascii="KaiTi_GB2312" w:eastAsia="KaiTi_GB2312" w:cs="KaiTi_GB2312"/>
          <w:color w:val="0000FF"/>
        </w:rPr>
        <w:t xml:space="preserve">148E (1) </w:t>
      </w:r>
      <w:r>
        <w:rPr>
          <w:rFonts w:ascii="KaiTi_GB2312" w:eastAsia="KaiTi_GB2312" w:hAnsi="STKaiti" w:cs="KaiTi_GB2312" w:hint="eastAsia"/>
          <w:color w:val="0000FF"/>
        </w:rPr>
        <w:t>当同居的双方分居时，同居的任何一方可就同居关系存续期间由双方或任何一方所获财产的所有权或权利向法庭提出变更申请。</w:t>
      </w:r>
    </w:p>
    <w:p w:rsidR="00373976" w:rsidRDefault="00373976" w:rsidP="003B50F5">
      <w:pPr>
        <w:numPr>
          <w:ilvl w:val="0"/>
          <w:numId w:val="25"/>
        </w:numPr>
        <w:tabs>
          <w:tab w:val="clear" w:pos="0"/>
          <w:tab w:val="left" w:pos="525"/>
        </w:tabs>
        <w:spacing w:after="180" w:line="360" w:lineRule="exact"/>
        <w:ind w:left="0" w:firstLine="0"/>
        <w:jc w:val="both"/>
      </w:pPr>
      <w:r>
        <w:rPr>
          <w:rFonts w:cs="SimSun" w:hint="eastAsia"/>
        </w:rPr>
        <w:t>同居伴侣分割财产所运用的指导方针与婚姻配偶相同。</w:t>
      </w:r>
    </w:p>
    <w:p w:rsidR="00373976" w:rsidRDefault="00373976" w:rsidP="003B50F5">
      <w:pPr>
        <w:numPr>
          <w:ilvl w:val="0"/>
          <w:numId w:val="25"/>
        </w:numPr>
        <w:tabs>
          <w:tab w:val="clear" w:pos="0"/>
          <w:tab w:val="left" w:pos="525"/>
        </w:tabs>
        <w:spacing w:after="180" w:line="360" w:lineRule="exact"/>
        <w:ind w:left="0" w:firstLine="0"/>
        <w:jc w:val="both"/>
      </w:pPr>
      <w:r>
        <w:rPr>
          <w:rFonts w:cs="SimSun" w:hint="eastAsia"/>
        </w:rPr>
        <w:t>由于缺乏指导执法人员执行《最高司法法院（修正）法案》的程序法律，导致所有与该法案有关的案件因等待程序指导而延误。《不动产管理法》的执行也因缺乏类似的程序法规而受到制约。</w:t>
      </w:r>
    </w:p>
    <w:p w:rsidR="00373976" w:rsidRDefault="00373976" w:rsidP="003B50F5">
      <w:pPr>
        <w:numPr>
          <w:ilvl w:val="0"/>
          <w:numId w:val="25"/>
        </w:numPr>
        <w:tabs>
          <w:tab w:val="clear" w:pos="0"/>
          <w:tab w:val="left" w:pos="525"/>
        </w:tabs>
        <w:spacing w:after="180" w:line="360" w:lineRule="exact"/>
        <w:ind w:left="0" w:firstLine="0"/>
        <w:jc w:val="both"/>
      </w:pPr>
      <w:r>
        <w:t>1999</w:t>
      </w:r>
      <w:r>
        <w:rPr>
          <w:rFonts w:cs="SimSun" w:hint="eastAsia"/>
        </w:rPr>
        <w:t>年，《刑法》经过修订，对婚内强奸犯罪做出了规定：</w:t>
      </w:r>
    </w:p>
    <w:p w:rsidR="00373976" w:rsidRDefault="00373976" w:rsidP="009B38FD">
      <w:pPr>
        <w:tabs>
          <w:tab w:val="left" w:pos="525"/>
        </w:tabs>
        <w:spacing w:after="180" w:line="360" w:lineRule="exact"/>
        <w:ind w:leftChars="250" w:left="31680" w:firstLineChars="200" w:firstLine="31680"/>
        <w:rPr>
          <w:rFonts w:ascii="KaiTi_GB2312" w:eastAsia="KaiTi_GB2312"/>
          <w:color w:val="0000FF"/>
        </w:rPr>
      </w:pPr>
      <w:r>
        <w:rPr>
          <w:rFonts w:ascii="KaiTi_GB2312" w:eastAsia="KaiTi_GB2312" w:cs="KaiTi_GB2312"/>
          <w:color w:val="0000FF"/>
        </w:rPr>
        <w:t xml:space="preserve">68A (1) </w:t>
      </w:r>
      <w:r>
        <w:rPr>
          <w:rFonts w:ascii="KaiTi_GB2312" w:eastAsia="KaiTi_GB2312" w:hAnsi="STKaiti" w:cs="KaiTi_GB2312" w:hint="eastAsia"/>
          <w:color w:val="0000FF"/>
        </w:rPr>
        <w:t>男性配偶在下列情况下与女性配偶发生性关系，并具有第（</w:t>
      </w:r>
      <w:r>
        <w:rPr>
          <w:rFonts w:ascii="KaiTi_GB2312" w:eastAsia="KaiTi_GB2312" w:cs="KaiTi_GB2312"/>
          <w:color w:val="0000FF"/>
        </w:rPr>
        <w:t>2</w:t>
      </w:r>
      <w:r>
        <w:rPr>
          <w:rFonts w:ascii="KaiTi_GB2312" w:eastAsia="KaiTi_GB2312" w:hAnsi="STKaiti" w:cs="KaiTi_GB2312" w:hint="eastAsia"/>
          <w:color w:val="0000FF"/>
        </w:rPr>
        <w:t>）段</w:t>
      </w:r>
      <w:r>
        <w:rPr>
          <w:rStyle w:val="FootnoteReference"/>
          <w:rFonts w:ascii="KaiTi_GB2312" w:eastAsia="KaiTi_GB2312"/>
          <w:color w:val="0000FF"/>
        </w:rPr>
        <w:footnoteReference w:id="77"/>
      </w:r>
      <w:r>
        <w:rPr>
          <w:rFonts w:ascii="KaiTi_GB2312" w:eastAsia="KaiTi_GB2312" w:hAnsi="STKaiti" w:cs="KaiTi_GB2312" w:hint="eastAsia"/>
          <w:color w:val="0000FF"/>
        </w:rPr>
        <w:t>所列的任一情形的，则对女性配偶犯有强奸罪：</w:t>
      </w:r>
    </w:p>
    <w:p w:rsidR="00373976" w:rsidRDefault="00373976" w:rsidP="009B38FD">
      <w:pPr>
        <w:tabs>
          <w:tab w:val="left" w:pos="525"/>
        </w:tabs>
        <w:spacing w:after="240" w:line="360" w:lineRule="exact"/>
        <w:ind w:firstLineChars="500" w:firstLine="31680"/>
        <w:rPr>
          <w:rFonts w:ascii="KaiTi_GB2312" w:eastAsia="KaiTi_GB2312"/>
          <w:color w:val="0000FF"/>
        </w:rPr>
      </w:pPr>
      <w:r>
        <w:rPr>
          <w:rFonts w:ascii="KaiTi_GB2312" w:eastAsia="KaiTi_GB2312" w:cs="KaiTi_GB2312"/>
          <w:color w:val="0000FF"/>
        </w:rPr>
        <w:t xml:space="preserve">a)  </w:t>
      </w:r>
      <w:r>
        <w:rPr>
          <w:rFonts w:ascii="KaiTi_GB2312" w:eastAsia="KaiTi_GB2312" w:hAnsi="STKaiti" w:cs="KaiTi_GB2312" w:hint="eastAsia"/>
          <w:color w:val="0000FF"/>
        </w:rPr>
        <w:t>未得到女性配偶的同意</w:t>
      </w:r>
      <w:r>
        <w:rPr>
          <w:rFonts w:ascii="KaiTi_GB2312" w:eastAsia="KaiTi_GB2312" w:hAnsi="STKaiti" w:cs="KaiTi_GB2312" w:hint="eastAsia"/>
          <w:color w:val="0000FF"/>
          <w:lang w:val="en-GB"/>
        </w:rPr>
        <w:t>；</w:t>
      </w:r>
      <w:r>
        <w:rPr>
          <w:rFonts w:ascii="KaiTi_GB2312" w:eastAsia="KaiTi_GB2312" w:hAnsi="STKaiti" w:cs="KaiTi_GB2312"/>
          <w:color w:val="0000FF"/>
        </w:rPr>
        <w:t xml:space="preserve"> </w:t>
      </w:r>
    </w:p>
    <w:p w:rsidR="00373976" w:rsidRDefault="00373976" w:rsidP="009B38FD">
      <w:pPr>
        <w:tabs>
          <w:tab w:val="left" w:pos="525"/>
        </w:tabs>
        <w:spacing w:after="240" w:line="360" w:lineRule="exact"/>
        <w:ind w:firstLineChars="500" w:firstLine="31680"/>
        <w:rPr>
          <w:rFonts w:ascii="KaiTi_GB2312" w:eastAsia="KaiTi_GB2312" w:hAnsi="STKaiti"/>
          <w:color w:val="0000FF"/>
        </w:rPr>
      </w:pPr>
      <w:r>
        <w:rPr>
          <w:rFonts w:ascii="KaiTi_GB2312" w:eastAsia="KaiTi_GB2312" w:cs="KaiTi_GB2312"/>
          <w:color w:val="0000FF"/>
        </w:rPr>
        <w:t xml:space="preserve">b)  </w:t>
      </w:r>
      <w:r>
        <w:rPr>
          <w:rFonts w:ascii="KaiTi_GB2312" w:eastAsia="KaiTi_GB2312" w:hAnsi="STKaiti" w:cs="KaiTi_GB2312" w:hint="eastAsia"/>
          <w:color w:val="0000FF"/>
        </w:rPr>
        <w:t>知道女性配偶不同意性交，或不顾女性配偶是否同意。</w:t>
      </w:r>
    </w:p>
    <w:p w:rsidR="00373976" w:rsidRDefault="00373976" w:rsidP="00373976">
      <w:pPr>
        <w:numPr>
          <w:ilvl w:val="0"/>
          <w:numId w:val="25"/>
        </w:numPr>
        <w:tabs>
          <w:tab w:val="clear" w:pos="0"/>
          <w:tab w:val="left" w:pos="525"/>
        </w:tabs>
        <w:spacing w:after="240" w:line="360" w:lineRule="exact"/>
        <w:ind w:left="0" w:firstLine="0"/>
        <w:jc w:val="both"/>
      </w:pPr>
      <w:r>
        <w:rPr>
          <w:rFonts w:cs="SimSun" w:hint="eastAsia"/>
        </w:rPr>
        <w:t>在传统的玛雅社区中，</w:t>
      </w:r>
      <w:r>
        <w:t>14</w:t>
      </w:r>
      <w:r>
        <w:rPr>
          <w:rFonts w:cs="SimSun" w:hint="eastAsia"/>
        </w:rPr>
        <w:t>岁以下的妇女结婚仍是一种常见的做法。</w:t>
      </w:r>
    </w:p>
    <w:p w:rsidR="00373976" w:rsidRDefault="00373976" w:rsidP="00373976">
      <w:pPr>
        <w:numPr>
          <w:ilvl w:val="0"/>
          <w:numId w:val="25"/>
        </w:numPr>
        <w:tabs>
          <w:tab w:val="clear" w:pos="0"/>
          <w:tab w:val="left" w:pos="525"/>
        </w:tabs>
        <w:spacing w:after="240" w:line="360" w:lineRule="exact"/>
        <w:ind w:left="0" w:firstLine="0"/>
        <w:jc w:val="both"/>
      </w:pPr>
      <w:r>
        <w:rPr>
          <w:rFonts w:cs="SimSun" w:hint="eastAsia"/>
        </w:rPr>
        <w:t>根据《家庭和儿童法》，抚养费将由法官判断决定。第</w:t>
      </w:r>
      <w:r>
        <w:t>81</w:t>
      </w:r>
      <w:r>
        <w:rPr>
          <w:rFonts w:cs="SimSun" w:hint="eastAsia"/>
        </w:rPr>
        <w:t>条</w:t>
      </w:r>
      <w:r>
        <w:t>C</w:t>
      </w:r>
      <w:r>
        <w:rPr>
          <w:rFonts w:cs="SimSun" w:hint="eastAsia"/>
        </w:rPr>
        <w:t>款允许单身妇女根据《家庭和儿童法》，在提供某男子是孩子父亲的证据后申请抚养费。</w:t>
      </w:r>
    </w:p>
    <w:p w:rsidR="00373976" w:rsidRDefault="00373976" w:rsidP="00373976">
      <w:pPr>
        <w:numPr>
          <w:ilvl w:val="0"/>
          <w:numId w:val="25"/>
        </w:numPr>
        <w:tabs>
          <w:tab w:val="clear" w:pos="0"/>
          <w:tab w:val="left" w:pos="525"/>
        </w:tabs>
        <w:spacing w:after="240" w:line="360" w:lineRule="exact"/>
        <w:ind w:left="0" w:firstLine="0"/>
        <w:jc w:val="both"/>
      </w:pPr>
      <w:r>
        <w:rPr>
          <w:rFonts w:cs="SimSun" w:hint="eastAsia"/>
        </w:rPr>
        <w:t>尽管进行了司法改革，但妇女仍对婚姻和同居关系中受到的不同待遇，以及她们的伴侣或前伴侣不能及时支付抚养费表示担忧。最近，随着全自动和集中化的公共部门财政管理系统的运用，妇女们不会再遇到长期延迟付费的问题。</w:t>
      </w:r>
    </w:p>
    <w:p w:rsidR="00373976" w:rsidRDefault="00373976" w:rsidP="00373976">
      <w:pPr>
        <w:numPr>
          <w:ilvl w:val="0"/>
          <w:numId w:val="25"/>
        </w:numPr>
        <w:tabs>
          <w:tab w:val="clear" w:pos="0"/>
          <w:tab w:val="left" w:pos="525"/>
        </w:tabs>
        <w:spacing w:after="240" w:line="360" w:lineRule="exact"/>
        <w:ind w:left="0" w:firstLine="0"/>
        <w:jc w:val="both"/>
      </w:pPr>
      <w:r>
        <w:rPr>
          <w:rFonts w:cs="SimSun" w:hint="eastAsia"/>
        </w:rPr>
        <w:t>《国家性别政策》报告说，在关于儿童抚养费的法庭指令中，大约有</w:t>
      </w:r>
      <w:r>
        <w:t>30%</w:t>
      </w:r>
      <w:r>
        <w:rPr>
          <w:rFonts w:cs="SimSun" w:hint="eastAsia"/>
        </w:rPr>
        <w:t>没有得到执行，而在行政区一级，这一比率更高，因为这些地方的执法力度比伯利兹城更弱。</w:t>
      </w:r>
    </w:p>
    <w:p w:rsidR="00373976" w:rsidRDefault="00373976" w:rsidP="00373976">
      <w:pPr>
        <w:numPr>
          <w:ilvl w:val="0"/>
          <w:numId w:val="25"/>
        </w:numPr>
        <w:tabs>
          <w:tab w:val="clear" w:pos="0"/>
          <w:tab w:val="left" w:pos="525"/>
        </w:tabs>
        <w:spacing w:after="240" w:line="360" w:lineRule="exact"/>
        <w:ind w:left="0" w:firstLine="0"/>
        <w:jc w:val="both"/>
      </w:pPr>
      <w:r>
        <w:rPr>
          <w:rFonts w:cs="SimSun" w:hint="eastAsia"/>
        </w:rPr>
        <w:t>此外，伴侣或前伴侣住在国外的妇女，没有追讨儿童抚养费的法律途径。</w:t>
      </w:r>
    </w:p>
    <w:p w:rsidR="00373976" w:rsidRDefault="00373976" w:rsidP="00373976">
      <w:pPr>
        <w:numPr>
          <w:ilvl w:val="0"/>
          <w:numId w:val="25"/>
        </w:numPr>
        <w:tabs>
          <w:tab w:val="clear" w:pos="0"/>
          <w:tab w:val="left" w:pos="525"/>
        </w:tabs>
        <w:spacing w:after="240" w:line="360" w:lineRule="exact"/>
        <w:ind w:left="0" w:firstLine="0"/>
        <w:jc w:val="both"/>
      </w:pPr>
      <w:r>
        <w:rPr>
          <w:rFonts w:cs="SimSun" w:hint="eastAsia"/>
        </w:rPr>
        <w:t>因此，《国家性别政策》打算处理以下事宜：</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重新审查涉及婚姻和同居关系中配偶和儿童抚养费的法律规定（《家庭和儿童法》和《已婚人员保护法》），以保证一致和公平的待遇；</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必须规划、提出和执行有关协议，以便在全国统一、及时和严格收取并支付法庭指定的抚养费；</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采纳和实施能够使法院和警官更好地认识到遵守抚养费指令之重要性的任何必要尝试。</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因收取拖欠款项所引起的任何费用都将由拖欠人承担，而不得由收款人（或更准确地说是孩子）承担；</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将与其他国家签订双边抚养费协议和相关的收款协议，特别是与美国；</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家庭法庭将做出安排，允许从付款人账户自动将抚养费转入收款人账户，也可将雇主扣留的工资自动转入收款人账户；</w:t>
      </w:r>
    </w:p>
    <w:p w:rsidR="00373976" w:rsidRDefault="00373976" w:rsidP="009B38FD">
      <w:pPr>
        <w:numPr>
          <w:ilvl w:val="0"/>
          <w:numId w:val="47"/>
        </w:numPr>
        <w:tabs>
          <w:tab w:val="clear" w:pos="840"/>
          <w:tab w:val="num" w:pos="945"/>
        </w:tabs>
        <w:spacing w:after="240" w:line="360" w:lineRule="exact"/>
        <w:ind w:leftChars="250" w:left="31680"/>
        <w:jc w:val="both"/>
        <w:rPr>
          <w:rFonts w:ascii="KaiTi_GB2312" w:eastAsia="KaiTi_GB2312"/>
          <w:color w:val="0000FF"/>
        </w:rPr>
      </w:pPr>
      <w:r>
        <w:rPr>
          <w:rFonts w:ascii="KaiTi_GB2312" w:eastAsia="KaiTi_GB2312" w:cs="KaiTi_GB2312" w:hint="eastAsia"/>
          <w:color w:val="0000FF"/>
        </w:rPr>
        <w:t>政府将注意保证新的刑事改革替代判决（规定）对抚养费拖欠者予以照顾，以便不给收款人家长造成经济损失，即将他们的监禁时间缩至最短并最大限度地保证他们对孩子的经济支持能力。</w:t>
      </w:r>
    </w:p>
    <w:p w:rsidR="00373976" w:rsidRDefault="00373976" w:rsidP="00373976">
      <w:pPr>
        <w:tabs>
          <w:tab w:val="left" w:pos="525"/>
        </w:tabs>
        <w:spacing w:after="240" w:line="360" w:lineRule="exact"/>
        <w:jc w:val="center"/>
        <w:rPr>
          <w:rFonts w:ascii="SimHei" w:eastAsia="SimHei"/>
          <w:color w:val="FF0000"/>
          <w:sz w:val="28"/>
          <w:szCs w:val="28"/>
        </w:rPr>
      </w:pPr>
      <w:r>
        <w:br w:type="page"/>
      </w:r>
      <w:r>
        <w:rPr>
          <w:rFonts w:ascii="SimHei" w:eastAsia="SimHei" w:cs="SimHei" w:hint="eastAsia"/>
          <w:color w:val="FF0000"/>
          <w:sz w:val="28"/>
          <w:szCs w:val="28"/>
        </w:rPr>
        <w:t>参考文献</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Belize Trade and Investment Development Service (BELTRAIDE) at </w:t>
      </w:r>
      <w:hyperlink r:id="rId22" w:history="1">
        <w:r>
          <w:rPr>
            <w:rStyle w:val="Hyperlink"/>
            <w:sz w:val="21"/>
            <w:szCs w:val="21"/>
          </w:rPr>
          <w:t>www.belizeinvest.org.bz</w:t>
        </w:r>
      </w:hyperlink>
      <w:r>
        <w:rPr>
          <w:sz w:val="21"/>
          <w:szCs w:val="21"/>
        </w:rPr>
        <w:t xml:space="preserve"> </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smartTag w:uri="urn:schemas-microsoft-com:office:smarttags" w:element="country-region">
        <w:smartTag w:uri="urn:schemas-microsoft-com:office:smarttags" w:element="place">
          <w:r>
            <w:rPr>
              <w:sz w:val="21"/>
              <w:szCs w:val="21"/>
            </w:rPr>
            <w:t>Belize</w:t>
          </w:r>
        </w:smartTag>
      </w:smartTag>
      <w:r>
        <w:rPr>
          <w:sz w:val="21"/>
          <w:szCs w:val="21"/>
        </w:rPr>
        <w:t xml:space="preserve"> Family Life Association (BFLA); </w:t>
      </w:r>
      <w:r>
        <w:rPr>
          <w:i/>
          <w:iCs/>
          <w:sz w:val="21"/>
          <w:szCs w:val="21"/>
        </w:rPr>
        <w:t>Annual Report</w:t>
      </w:r>
      <w:r>
        <w:rPr>
          <w:sz w:val="21"/>
          <w:szCs w:val="21"/>
        </w:rPr>
        <w:t xml:space="preserve"> 1999-2000</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smartTag w:uri="urn:schemas-microsoft-com:office:smarttags" w:element="PlaceName">
        <w:r>
          <w:rPr>
            <w:sz w:val="21"/>
            <w:szCs w:val="21"/>
          </w:rPr>
          <w:t>DePaul</w:t>
        </w:r>
      </w:smartTag>
      <w:r>
        <w:rPr>
          <w:sz w:val="21"/>
          <w:szCs w:val="21"/>
        </w:rPr>
        <w:t xml:space="preserve"> </w:t>
      </w:r>
      <w:smartTag w:uri="urn:schemas-microsoft-com:office:smarttags" w:element="PlaceType">
        <w:r>
          <w:rPr>
            <w:sz w:val="21"/>
            <w:szCs w:val="21"/>
          </w:rPr>
          <w:t>University</w:t>
        </w:r>
      </w:smartTag>
      <w:r>
        <w:rPr>
          <w:sz w:val="21"/>
          <w:szCs w:val="21"/>
        </w:rPr>
        <w:t xml:space="preserve"> </w:t>
      </w:r>
      <w:smartTag w:uri="urn:schemas-microsoft-com:office:smarttags" w:element="PlaceType">
        <w:r>
          <w:rPr>
            <w:sz w:val="21"/>
            <w:szCs w:val="21"/>
          </w:rPr>
          <w:t>College</w:t>
        </w:r>
      </w:smartTag>
      <w:r>
        <w:rPr>
          <w:sz w:val="21"/>
          <w:szCs w:val="21"/>
        </w:rPr>
        <w:t xml:space="preserve"> of Law; </w:t>
      </w:r>
      <w:r>
        <w:rPr>
          <w:i/>
          <w:iCs/>
          <w:sz w:val="21"/>
          <w:szCs w:val="21"/>
        </w:rPr>
        <w:t xml:space="preserve">In Modern Bondage: Sex Trafficking in the </w:t>
      </w:r>
      <w:smartTag w:uri="urn:schemas-microsoft-com:office:smarttags" w:element="country-region">
        <w:smartTag w:uri="urn:schemas-microsoft-com:office:smarttags" w:element="place">
          <w:r>
            <w:rPr>
              <w:i/>
              <w:iCs/>
              <w:sz w:val="21"/>
              <w:szCs w:val="21"/>
            </w:rPr>
            <w:t>Americas</w:t>
          </w:r>
        </w:smartTag>
      </w:smartTag>
      <w:r>
        <w:rPr>
          <w:sz w:val="21"/>
          <w:szCs w:val="21"/>
        </w:rPr>
        <w:t>; October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r>
          <w:rPr>
            <w:sz w:val="21"/>
            <w:szCs w:val="21"/>
          </w:rPr>
          <w:t>Belize</w:t>
        </w:r>
      </w:smartTag>
      <w:r>
        <w:rPr>
          <w:i/>
          <w:iCs/>
          <w:sz w:val="21"/>
          <w:szCs w:val="21"/>
        </w:rPr>
        <w:t xml:space="preserve">, First and Second </w:t>
      </w:r>
      <w:smartTag w:uri="urn:schemas-microsoft-com:office:smarttags" w:element="country-region">
        <w:smartTag w:uri="urn:schemas-microsoft-com:office:smarttags" w:element="place">
          <w:r>
            <w:rPr>
              <w:i/>
              <w:iCs/>
              <w:sz w:val="21"/>
              <w:szCs w:val="21"/>
            </w:rPr>
            <w:t>Belize</w:t>
          </w:r>
        </w:smartTag>
      </w:smartTag>
      <w:r>
        <w:rPr>
          <w:i/>
          <w:iCs/>
          <w:sz w:val="21"/>
          <w:szCs w:val="21"/>
        </w:rPr>
        <w:t xml:space="preserve"> Report to CEDAW,</w:t>
      </w:r>
      <w:r>
        <w:rPr>
          <w:sz w:val="21"/>
          <w:szCs w:val="21"/>
        </w:rPr>
        <w:t xml:space="preserve">1999 </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smartTag w:uri="urn:schemas-microsoft-com:office:smarttags" w:element="place">
          <w:r>
            <w:rPr>
              <w:sz w:val="21"/>
              <w:szCs w:val="21"/>
            </w:rPr>
            <w:t>Belize</w:t>
          </w:r>
        </w:smartTag>
      </w:smartTag>
      <w:r>
        <w:rPr>
          <w:sz w:val="21"/>
          <w:szCs w:val="21"/>
        </w:rPr>
        <w:t xml:space="preserve">, Central Statistical Office; </w:t>
      </w:r>
      <w:r>
        <w:rPr>
          <w:i/>
          <w:iCs/>
          <w:sz w:val="21"/>
          <w:szCs w:val="21"/>
        </w:rPr>
        <w:t>Abstract of Statistics</w:t>
      </w:r>
      <w:r>
        <w:rPr>
          <w:sz w:val="21"/>
          <w:szCs w:val="21"/>
        </w:rPr>
        <w:t>; 2001 and preliminary findings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smartTag w:uri="urn:schemas-microsoft-com:office:smarttags" w:element="place">
          <w:r>
            <w:rPr>
              <w:sz w:val="21"/>
              <w:szCs w:val="21"/>
            </w:rPr>
            <w:t>Belize</w:t>
          </w:r>
        </w:smartTag>
      </w:smartTag>
      <w:r>
        <w:rPr>
          <w:sz w:val="21"/>
          <w:szCs w:val="21"/>
        </w:rPr>
        <w:t xml:space="preserve">, Central Statistical Office; </w:t>
      </w:r>
      <w:r>
        <w:rPr>
          <w:i/>
          <w:iCs/>
          <w:sz w:val="21"/>
          <w:szCs w:val="21"/>
        </w:rPr>
        <w:t>Population Census 2000: Major Findings</w:t>
      </w:r>
      <w:r>
        <w:rPr>
          <w:sz w:val="21"/>
          <w:szCs w:val="21"/>
        </w:rPr>
        <w:t>; 2001</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r>
          <w:rPr>
            <w:sz w:val="21"/>
            <w:szCs w:val="21"/>
          </w:rPr>
          <w:t>Belize</w:t>
        </w:r>
      </w:smartTag>
      <w:r>
        <w:rPr>
          <w:sz w:val="21"/>
          <w:szCs w:val="21"/>
        </w:rPr>
        <w:t>, Central Statistical Office</w:t>
      </w:r>
      <w:r>
        <w:rPr>
          <w:i/>
          <w:iCs/>
          <w:sz w:val="21"/>
          <w:szCs w:val="21"/>
        </w:rPr>
        <w:t xml:space="preserve">; 1999 </w:t>
      </w:r>
      <w:smartTag w:uri="urn:schemas-microsoft-com:office:smarttags" w:element="country-region">
        <w:smartTag w:uri="urn:schemas-microsoft-com:office:smarttags" w:element="place">
          <w:r>
            <w:rPr>
              <w:i/>
              <w:iCs/>
              <w:sz w:val="21"/>
              <w:szCs w:val="21"/>
            </w:rPr>
            <w:t>Belize</w:t>
          </w:r>
        </w:smartTag>
      </w:smartTag>
      <w:r>
        <w:rPr>
          <w:i/>
          <w:iCs/>
          <w:sz w:val="21"/>
          <w:szCs w:val="21"/>
        </w:rPr>
        <w:t xml:space="preserve"> Family Health Survey: Females</w:t>
      </w:r>
      <w:r>
        <w:rPr>
          <w:sz w:val="21"/>
          <w:szCs w:val="21"/>
        </w:rPr>
        <w:t>; 2001</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smartTag w:uri="urn:schemas-microsoft-com:office:smarttags" w:element="place">
          <w:r>
            <w:rPr>
              <w:sz w:val="21"/>
              <w:szCs w:val="21"/>
            </w:rPr>
            <w:t>Belize</w:t>
          </w:r>
        </w:smartTag>
      </w:smartTag>
      <w:r>
        <w:rPr>
          <w:sz w:val="21"/>
          <w:szCs w:val="21"/>
        </w:rPr>
        <w:t xml:space="preserve">, Central Statistical Office; </w:t>
      </w:r>
      <w:r>
        <w:rPr>
          <w:i/>
          <w:iCs/>
          <w:sz w:val="21"/>
          <w:szCs w:val="21"/>
        </w:rPr>
        <w:t>2000 Labour Force Survey</w:t>
      </w:r>
      <w:r>
        <w:rPr>
          <w:sz w:val="21"/>
          <w:szCs w:val="21"/>
        </w:rPr>
        <w:t>; unpublished</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smartTag w:uri="urn:schemas-microsoft-com:office:smarttags" w:element="place">
          <w:r>
            <w:rPr>
              <w:sz w:val="21"/>
              <w:szCs w:val="21"/>
            </w:rPr>
            <w:t>Belize</w:t>
          </w:r>
        </w:smartTag>
      </w:smartTag>
      <w:r>
        <w:rPr>
          <w:sz w:val="21"/>
          <w:szCs w:val="21"/>
        </w:rPr>
        <w:t>, Global Fund Project Proposal, “Strengthening of Belize’s Multi-Sectoral Response to HIV/AIDS”, 2003</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smartTag w:uri="urn:schemas-microsoft-com:office:smarttags" w:element="place">
          <w:r>
            <w:rPr>
              <w:sz w:val="21"/>
              <w:szCs w:val="21"/>
            </w:rPr>
            <w:t>Belize</w:t>
          </w:r>
        </w:smartTag>
      </w:smartTag>
      <w:r>
        <w:rPr>
          <w:sz w:val="21"/>
          <w:szCs w:val="21"/>
        </w:rPr>
        <w:t xml:space="preserve">, Ministry of Education, </w:t>
      </w:r>
      <w:r>
        <w:rPr>
          <w:i/>
          <w:iCs/>
          <w:sz w:val="21"/>
          <w:szCs w:val="21"/>
        </w:rPr>
        <w:t>Handbook of Policies and Procedure for School Services,</w:t>
      </w:r>
      <w:r>
        <w:rPr>
          <w:sz w:val="21"/>
          <w:szCs w:val="21"/>
        </w:rPr>
        <w:t>2000</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smartTag w:uri="urn:schemas-microsoft-com:office:smarttags" w:element="place">
          <w:r>
            <w:rPr>
              <w:sz w:val="21"/>
              <w:szCs w:val="21"/>
            </w:rPr>
            <w:t>Belize</w:t>
          </w:r>
        </w:smartTag>
      </w:smartTag>
      <w:r>
        <w:rPr>
          <w:sz w:val="21"/>
          <w:szCs w:val="21"/>
        </w:rPr>
        <w:t xml:space="preserve">, Elections and Boundaries Commission at </w:t>
      </w:r>
      <w:hyperlink r:id="rId23" w:history="1">
        <w:r>
          <w:rPr>
            <w:rStyle w:val="Hyperlink"/>
            <w:sz w:val="21"/>
            <w:szCs w:val="21"/>
          </w:rPr>
          <w:t>www.belize-elections.org</w:t>
        </w:r>
      </w:hyperlink>
      <w:r>
        <w:rPr>
          <w:sz w:val="21"/>
          <w:szCs w:val="21"/>
        </w:rPr>
        <w:t xml:space="preserve"> </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smartTag w:uri="urn:schemas-microsoft-com:office:smarttags" w:element="place">
          <w:r>
            <w:rPr>
              <w:sz w:val="21"/>
              <w:szCs w:val="21"/>
            </w:rPr>
            <w:t>Belize</w:t>
          </w:r>
        </w:smartTag>
      </w:smartTag>
      <w:r>
        <w:rPr>
          <w:sz w:val="21"/>
          <w:szCs w:val="21"/>
        </w:rPr>
        <w:t xml:space="preserve">, </w:t>
      </w:r>
      <w:r>
        <w:rPr>
          <w:i/>
          <w:iCs/>
          <w:sz w:val="21"/>
          <w:szCs w:val="21"/>
        </w:rPr>
        <w:t>Ministry of Health Annual Report</w:t>
      </w:r>
      <w:r>
        <w:rPr>
          <w:sz w:val="21"/>
          <w:szCs w:val="21"/>
        </w:rPr>
        <w:t>,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r>
          <w:rPr>
            <w:sz w:val="21"/>
            <w:szCs w:val="21"/>
          </w:rPr>
          <w:t>Belize</w:t>
        </w:r>
      </w:smartTag>
      <w:r>
        <w:rPr>
          <w:sz w:val="21"/>
          <w:szCs w:val="21"/>
        </w:rPr>
        <w:t xml:space="preserve">, Ministry of Health, </w:t>
      </w:r>
      <w:r>
        <w:rPr>
          <w:i/>
          <w:iCs/>
          <w:sz w:val="21"/>
          <w:szCs w:val="21"/>
        </w:rPr>
        <w:t xml:space="preserve">Sexual and Reproductive Health </w:t>
      </w:r>
      <w:smartTag w:uri="urn:schemas-microsoft-com:office:smarttags" w:element="place">
        <w:smartTag w:uri="urn:schemas-microsoft-com:office:smarttags" w:element="City">
          <w:r>
            <w:rPr>
              <w:i/>
              <w:iCs/>
              <w:sz w:val="21"/>
              <w:szCs w:val="21"/>
            </w:rPr>
            <w:t>Policy</w:t>
          </w:r>
        </w:smartTag>
        <w:r>
          <w:rPr>
            <w:sz w:val="21"/>
            <w:szCs w:val="21"/>
          </w:rPr>
          <w:t xml:space="preserve">, </w:t>
        </w:r>
        <w:smartTag w:uri="urn:schemas-microsoft-com:office:smarttags" w:element="country-region">
          <w:r>
            <w:rPr>
              <w:sz w:val="21"/>
              <w:szCs w:val="21"/>
            </w:rPr>
            <w:t>Belize</w:t>
          </w:r>
        </w:smartTag>
      </w:smartTag>
      <w:r>
        <w:rPr>
          <w:sz w:val="21"/>
          <w:szCs w:val="21"/>
        </w:rPr>
        <w:t xml:space="preserve">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smartTag w:uri="urn:schemas-microsoft-com:office:smarttags" w:element="place">
          <w:r>
            <w:rPr>
              <w:sz w:val="21"/>
              <w:szCs w:val="21"/>
            </w:rPr>
            <w:t>Belize</w:t>
          </w:r>
        </w:smartTag>
      </w:smartTag>
      <w:r>
        <w:rPr>
          <w:sz w:val="21"/>
          <w:szCs w:val="21"/>
        </w:rPr>
        <w:t xml:space="preserve">, National Health Information &amp; Surveillance Unit/Ministry of Health, </w:t>
      </w:r>
      <w:r>
        <w:rPr>
          <w:i/>
          <w:iCs/>
          <w:sz w:val="21"/>
          <w:szCs w:val="21"/>
        </w:rPr>
        <w:t>Domestic Violence Report</w:t>
      </w:r>
      <w:r>
        <w:rPr>
          <w:sz w:val="21"/>
          <w:szCs w:val="21"/>
        </w:rPr>
        <w:t xml:space="preserve"> </w:t>
      </w:r>
      <w:r>
        <w:rPr>
          <w:i/>
          <w:iCs/>
          <w:sz w:val="21"/>
          <w:szCs w:val="21"/>
        </w:rPr>
        <w:t>January-December 2001</w:t>
      </w:r>
      <w:r>
        <w:rPr>
          <w:sz w:val="21"/>
          <w:szCs w:val="21"/>
        </w:rPr>
        <w:t>; 2002</w:t>
      </w:r>
    </w:p>
    <w:p w:rsidR="00373976" w:rsidRDefault="00373976" w:rsidP="009B38FD">
      <w:pPr>
        <w:pStyle w:val="FootnoteText"/>
        <w:numPr>
          <w:ilvl w:val="0"/>
          <w:numId w:val="20"/>
        </w:numPr>
        <w:tabs>
          <w:tab w:val="clear" w:pos="360"/>
          <w:tab w:val="clear" w:pos="418"/>
          <w:tab w:val="left" w:pos="420"/>
        </w:tabs>
        <w:spacing w:after="240" w:line="320" w:lineRule="exact"/>
        <w:ind w:left="31680" w:hangingChars="200" w:firstLine="31680"/>
        <w:jc w:val="both"/>
        <w:rPr>
          <w:sz w:val="21"/>
          <w:szCs w:val="21"/>
          <w:lang w:val="en-GB"/>
        </w:rPr>
      </w:pPr>
      <w:r>
        <w:rPr>
          <w:sz w:val="21"/>
          <w:szCs w:val="21"/>
        </w:rPr>
        <w:t xml:space="preserve">Government of </w:t>
      </w:r>
      <w:smartTag w:uri="urn:schemas-microsoft-com:office:smarttags" w:element="country-region">
        <w:smartTag w:uri="urn:schemas-microsoft-com:office:smarttags" w:element="place">
          <w:r>
            <w:rPr>
              <w:sz w:val="21"/>
              <w:szCs w:val="21"/>
            </w:rPr>
            <w:t>Belize</w:t>
          </w:r>
        </w:smartTag>
      </w:smartTag>
      <w:r>
        <w:rPr>
          <w:sz w:val="21"/>
          <w:szCs w:val="21"/>
        </w:rPr>
        <w:t xml:space="preserve">, </w:t>
      </w:r>
      <w:r>
        <w:rPr>
          <w:i/>
          <w:iCs/>
          <w:sz w:val="21"/>
          <w:szCs w:val="21"/>
        </w:rPr>
        <w:t xml:space="preserve">National Human Development Report 1999 </w:t>
      </w:r>
      <w:r>
        <w:rPr>
          <w:i/>
          <w:iCs/>
          <w:sz w:val="21"/>
          <w:szCs w:val="21"/>
        </w:rPr>
        <w:t>–</w:t>
      </w:r>
      <w:r>
        <w:rPr>
          <w:i/>
          <w:iCs/>
          <w:sz w:val="21"/>
          <w:szCs w:val="21"/>
        </w:rPr>
        <w:t xml:space="preserve"> Preparing for the New Millennium</w:t>
      </w:r>
      <w:r>
        <w:rPr>
          <w:sz w:val="21"/>
          <w:szCs w:val="21"/>
        </w:rPr>
        <w:t>, National Human Development Advisory Committee, 1999</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Government of </w:t>
      </w:r>
      <w:smartTag w:uri="urn:schemas-microsoft-com:office:smarttags" w:element="country-region">
        <w:smartTag w:uri="urn:schemas-microsoft-com:office:smarttags" w:element="place">
          <w:r>
            <w:rPr>
              <w:sz w:val="21"/>
              <w:szCs w:val="21"/>
            </w:rPr>
            <w:t>Belize</w:t>
          </w:r>
        </w:smartTag>
      </w:smartTag>
      <w:r>
        <w:rPr>
          <w:sz w:val="21"/>
          <w:szCs w:val="21"/>
        </w:rPr>
        <w:t xml:space="preserve">, </w:t>
      </w:r>
      <w:r>
        <w:rPr>
          <w:i/>
          <w:iCs/>
          <w:sz w:val="21"/>
          <w:szCs w:val="21"/>
        </w:rPr>
        <w:t>2002 Poverty Assessment Report</w:t>
      </w:r>
      <w:r>
        <w:rPr>
          <w:sz w:val="21"/>
          <w:szCs w:val="21"/>
        </w:rPr>
        <w:t>, National Human Development Advisory Committee, 2004.</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Kempadoo K. and Mellon C.; </w:t>
      </w:r>
      <w:r>
        <w:rPr>
          <w:i/>
          <w:iCs/>
          <w:sz w:val="21"/>
          <w:szCs w:val="21"/>
        </w:rPr>
        <w:t xml:space="preserve">The Sex Trade in the Caribbean: The Muchachas of </w:t>
      </w:r>
      <w:smartTag w:uri="urn:schemas-microsoft-com:office:smarttags" w:element="PlaceName">
        <w:r>
          <w:rPr>
            <w:i/>
            <w:iCs/>
            <w:sz w:val="21"/>
            <w:szCs w:val="21"/>
          </w:rPr>
          <w:t>Orange</w:t>
        </w:r>
      </w:smartTag>
      <w:r>
        <w:rPr>
          <w:i/>
          <w:iCs/>
          <w:sz w:val="21"/>
          <w:szCs w:val="21"/>
        </w:rPr>
        <w:t xml:space="preserve"> </w:t>
      </w:r>
      <w:smartTag w:uri="urn:schemas-microsoft-com:office:smarttags" w:element="PlaceName">
        <w:r>
          <w:rPr>
            <w:i/>
            <w:iCs/>
            <w:sz w:val="21"/>
            <w:szCs w:val="21"/>
          </w:rPr>
          <w:t>Walk</w:t>
        </w:r>
      </w:smartTag>
      <w:r>
        <w:rPr>
          <w:i/>
          <w:iCs/>
          <w:sz w:val="21"/>
          <w:szCs w:val="21"/>
        </w:rPr>
        <w:t xml:space="preserve"> </w:t>
      </w:r>
      <w:smartTag w:uri="urn:schemas-microsoft-com:office:smarttags" w:element="PlaceType">
        <w:r>
          <w:rPr>
            <w:i/>
            <w:iCs/>
            <w:sz w:val="21"/>
            <w:szCs w:val="21"/>
          </w:rPr>
          <w:t>Town</w:t>
        </w:r>
      </w:smartTag>
      <w:r>
        <w:rPr>
          <w:i/>
          <w:iCs/>
          <w:sz w:val="21"/>
          <w:szCs w:val="21"/>
        </w:rPr>
        <w:t xml:space="preserve"> and Sex Work in </w:t>
      </w:r>
      <w:smartTag w:uri="urn:schemas-microsoft-com:office:smarttags" w:element="country-region">
        <w:smartTag w:uri="urn:schemas-microsoft-com:office:smarttags" w:element="place">
          <w:r>
            <w:rPr>
              <w:i/>
              <w:iCs/>
              <w:sz w:val="21"/>
              <w:szCs w:val="21"/>
            </w:rPr>
            <w:t>Belize</w:t>
          </w:r>
        </w:smartTag>
      </w:smartTag>
      <w:r>
        <w:rPr>
          <w:sz w:val="21"/>
          <w:szCs w:val="21"/>
        </w:rPr>
        <w:t>; December 1998</w:t>
      </w:r>
    </w:p>
    <w:p w:rsidR="00373976" w:rsidRDefault="00373976" w:rsidP="009B38FD">
      <w:pPr>
        <w:numPr>
          <w:ilvl w:val="0"/>
          <w:numId w:val="20"/>
        </w:numPr>
        <w:tabs>
          <w:tab w:val="clear" w:pos="360"/>
          <w:tab w:val="left" w:pos="420"/>
        </w:tabs>
        <w:spacing w:after="240"/>
        <w:ind w:left="31680" w:hangingChars="200" w:firstLine="31680"/>
        <w:jc w:val="both"/>
      </w:pPr>
      <w:r>
        <w:t xml:space="preserve">Masinghe, E.K. PhD. </w:t>
      </w:r>
      <w:r>
        <w:rPr>
          <w:i/>
          <w:iCs/>
        </w:rPr>
        <w:t xml:space="preserve">Consultancy Report On Integrating Gender into the Budgetary Process </w:t>
      </w:r>
      <w:r>
        <w:rPr>
          <w:i/>
          <w:iCs/>
        </w:rPr>
        <w:t>–</w:t>
      </w:r>
      <w:r>
        <w:rPr>
          <w:i/>
          <w:iCs/>
        </w:rPr>
        <w:t xml:space="preserve"> 2001 -2002 Budget of </w:t>
      </w:r>
      <w:smartTag w:uri="urn:schemas-microsoft-com:office:smarttags" w:element="place">
        <w:smartTag w:uri="urn:schemas-microsoft-com:office:smarttags" w:element="country-region">
          <w:r>
            <w:rPr>
              <w:i/>
              <w:iCs/>
            </w:rPr>
            <w:t>Belize</w:t>
          </w:r>
        </w:smartTag>
      </w:smartTag>
      <w:r>
        <w:rPr>
          <w:i/>
          <w:iCs/>
        </w:rPr>
        <w:t xml:space="preserve">, </w:t>
      </w:r>
      <w:r>
        <w:t>Women</w:t>
      </w:r>
      <w:r>
        <w:t>’</w:t>
      </w:r>
      <w:r>
        <w:t>s Department</w:t>
      </w:r>
      <w:r>
        <w:rPr>
          <w:i/>
          <w:iCs/>
        </w:rPr>
        <w:t>.</w:t>
      </w:r>
      <w:r>
        <w:t xml:space="preserve">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Ministry of Economic Development; </w:t>
      </w:r>
      <w:r>
        <w:rPr>
          <w:i/>
          <w:iCs/>
          <w:sz w:val="21"/>
          <w:szCs w:val="21"/>
        </w:rPr>
        <w:t xml:space="preserve">Socio-Economic Impact of HIV/AIDS in </w:t>
      </w:r>
      <w:smartTag w:uri="urn:schemas-microsoft-com:office:smarttags" w:element="country-region">
        <w:smartTag w:uri="urn:schemas-microsoft-com:office:smarttags" w:element="place">
          <w:r>
            <w:rPr>
              <w:i/>
              <w:iCs/>
              <w:sz w:val="21"/>
              <w:szCs w:val="21"/>
            </w:rPr>
            <w:t>Belize</w:t>
          </w:r>
        </w:smartTag>
      </w:smartTag>
      <w:r>
        <w:rPr>
          <w:sz w:val="21"/>
          <w:szCs w:val="21"/>
        </w:rPr>
        <w:t>;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Ministry of Education, Youth and Sports; </w:t>
      </w:r>
      <w:r>
        <w:rPr>
          <w:i/>
          <w:iCs/>
          <w:sz w:val="21"/>
          <w:szCs w:val="21"/>
        </w:rPr>
        <w:t>Education Statistical Digest</w:t>
      </w:r>
      <w:r>
        <w:rPr>
          <w:sz w:val="21"/>
          <w:szCs w:val="21"/>
        </w:rPr>
        <w:t>; 2000-2002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National Women’s Commission; </w:t>
      </w:r>
      <w:r>
        <w:rPr>
          <w:i/>
          <w:iCs/>
          <w:sz w:val="21"/>
          <w:szCs w:val="21"/>
        </w:rPr>
        <w:t>Situational Analysis of Gender &amp; Development: Belize</w:t>
      </w:r>
      <w:r>
        <w:rPr>
          <w:sz w:val="21"/>
          <w:szCs w:val="21"/>
        </w:rPr>
        <w:t>; March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National Women’s Commission, </w:t>
      </w:r>
      <w:r>
        <w:rPr>
          <w:i/>
          <w:iCs/>
          <w:sz w:val="21"/>
          <w:szCs w:val="21"/>
        </w:rPr>
        <w:t>National Gender Policy</w:t>
      </w:r>
      <w:r>
        <w:rPr>
          <w:sz w:val="21"/>
          <w:szCs w:val="21"/>
        </w:rPr>
        <w:t xml:space="preserve">, </w:t>
      </w:r>
      <w:smartTag w:uri="urn:schemas-microsoft-com:office:smarttags" w:element="country-region">
        <w:smartTag w:uri="urn:schemas-microsoft-com:office:smarttags" w:element="place">
          <w:r>
            <w:rPr>
              <w:sz w:val="21"/>
              <w:szCs w:val="21"/>
            </w:rPr>
            <w:t>Belize</w:t>
          </w:r>
        </w:smartTag>
      </w:smartTag>
      <w:r>
        <w:rPr>
          <w:sz w:val="21"/>
          <w:szCs w:val="21"/>
        </w:rPr>
        <w:t>, 2003</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NCFC/UNICEF. </w:t>
      </w:r>
      <w:r>
        <w:rPr>
          <w:i/>
          <w:iCs/>
          <w:sz w:val="21"/>
          <w:szCs w:val="21"/>
        </w:rPr>
        <w:t xml:space="preserve">Study on the Sexual Exploitation of Women and Children, Sex Providers </w:t>
      </w:r>
      <w:r>
        <w:rPr>
          <w:sz w:val="21"/>
          <w:szCs w:val="21"/>
        </w:rPr>
        <w:t>(draft). Belize 2001</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PAHO; </w:t>
      </w:r>
      <w:r>
        <w:rPr>
          <w:i/>
          <w:iCs/>
          <w:sz w:val="21"/>
          <w:szCs w:val="21"/>
        </w:rPr>
        <w:t xml:space="preserve">Safe Motherhood: A Matter of Life and Death for Women in </w:t>
      </w:r>
      <w:smartTag w:uri="urn:schemas-microsoft-com:office:smarttags" w:element="country-region">
        <w:smartTag w:uri="urn:schemas-microsoft-com:office:smarttags" w:element="place">
          <w:r>
            <w:rPr>
              <w:i/>
              <w:iCs/>
              <w:sz w:val="21"/>
              <w:szCs w:val="21"/>
            </w:rPr>
            <w:t>Belize</w:t>
          </w:r>
        </w:smartTag>
      </w:smartTag>
      <w:r>
        <w:rPr>
          <w:sz w:val="21"/>
          <w:szCs w:val="21"/>
        </w:rPr>
        <w:t>; October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PAHO; </w:t>
      </w:r>
      <w:r>
        <w:rPr>
          <w:i/>
          <w:iCs/>
          <w:sz w:val="21"/>
          <w:szCs w:val="21"/>
        </w:rPr>
        <w:t>Health Systems and Services Profile</w:t>
      </w:r>
      <w:r>
        <w:rPr>
          <w:sz w:val="21"/>
          <w:szCs w:val="21"/>
        </w:rPr>
        <w:t xml:space="preserve">: </w:t>
      </w:r>
      <w:smartTag w:uri="urn:schemas-microsoft-com:office:smarttags" w:element="country-region">
        <w:smartTag w:uri="urn:schemas-microsoft-com:office:smarttags" w:element="place">
          <w:r>
            <w:rPr>
              <w:sz w:val="21"/>
              <w:szCs w:val="21"/>
            </w:rPr>
            <w:t>Belize</w:t>
          </w:r>
        </w:smartTag>
      </w:smartTag>
      <w:r>
        <w:rPr>
          <w:sz w:val="21"/>
          <w:szCs w:val="21"/>
        </w:rPr>
        <w:t>; 2</w:t>
      </w:r>
      <w:r>
        <w:rPr>
          <w:sz w:val="21"/>
          <w:szCs w:val="21"/>
          <w:vertAlign w:val="superscript"/>
        </w:rPr>
        <w:t>nd</w:t>
      </w:r>
      <w:r>
        <w:rPr>
          <w:sz w:val="21"/>
          <w:szCs w:val="21"/>
        </w:rPr>
        <w:t xml:space="preserve"> Ed. January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Parades, Sandra, </w:t>
      </w:r>
      <w:r>
        <w:rPr>
          <w:i/>
          <w:iCs/>
          <w:sz w:val="21"/>
          <w:szCs w:val="21"/>
        </w:rPr>
        <w:t>Situation Analysis of Gender and Development: Belize</w:t>
      </w:r>
      <w:r>
        <w:rPr>
          <w:sz w:val="21"/>
          <w:szCs w:val="21"/>
        </w:rPr>
        <w:t>, National Women’s Commission, March,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Rosberg, Michael &amp; Catzim, Adele – </w:t>
      </w:r>
      <w:r>
        <w:rPr>
          <w:i/>
          <w:iCs/>
          <w:sz w:val="21"/>
          <w:szCs w:val="21"/>
        </w:rPr>
        <w:t xml:space="preserve">Women in Politics: Seeking Opportunities for Leadership in Belize, </w:t>
      </w:r>
      <w:r>
        <w:rPr>
          <w:sz w:val="21"/>
          <w:szCs w:val="21"/>
        </w:rPr>
        <w:t>National Women’s Commission, 2001</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Salazar, Ana; </w:t>
      </w:r>
      <w:r>
        <w:rPr>
          <w:i/>
          <w:iCs/>
          <w:sz w:val="21"/>
          <w:szCs w:val="21"/>
        </w:rPr>
        <w:t xml:space="preserve">Integration of Central American Immigrants in </w:t>
      </w:r>
      <w:smartTag w:uri="urn:schemas-microsoft-com:office:smarttags" w:element="country-region">
        <w:smartTag w:uri="urn:schemas-microsoft-com:office:smarttags" w:element="place">
          <w:r>
            <w:rPr>
              <w:i/>
              <w:iCs/>
              <w:sz w:val="21"/>
              <w:szCs w:val="21"/>
            </w:rPr>
            <w:t>Belize</w:t>
          </w:r>
        </w:smartTag>
      </w:smartTag>
      <w:r>
        <w:rPr>
          <w:sz w:val="21"/>
          <w:szCs w:val="21"/>
        </w:rPr>
        <w:t>; September 2000</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WIN </w:t>
      </w:r>
      <w:smartTag w:uri="urn:schemas-microsoft-com:office:smarttags" w:element="country-region">
        <w:smartTag w:uri="urn:schemas-microsoft-com:office:smarttags" w:element="place">
          <w:r>
            <w:rPr>
              <w:sz w:val="21"/>
              <w:szCs w:val="21"/>
            </w:rPr>
            <w:t>Belize</w:t>
          </w:r>
        </w:smartTag>
      </w:smartTag>
      <w:r>
        <w:rPr>
          <w:sz w:val="21"/>
          <w:szCs w:val="21"/>
        </w:rPr>
        <w:t xml:space="preserve">; </w:t>
      </w:r>
      <w:r>
        <w:rPr>
          <w:i/>
          <w:iCs/>
          <w:sz w:val="21"/>
          <w:szCs w:val="21"/>
        </w:rPr>
        <w:t>Challenging Barriers to Women’s Economic Development</w:t>
      </w:r>
      <w:r>
        <w:rPr>
          <w:sz w:val="21"/>
          <w:szCs w:val="21"/>
        </w:rPr>
        <w:t>; November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WIN </w:t>
      </w:r>
      <w:smartTag w:uri="urn:schemas-microsoft-com:office:smarttags" w:element="country-region">
        <w:smartTag w:uri="urn:schemas-microsoft-com:office:smarttags" w:element="place">
          <w:r>
            <w:rPr>
              <w:sz w:val="21"/>
              <w:szCs w:val="21"/>
            </w:rPr>
            <w:t>Belize</w:t>
          </w:r>
        </w:smartTag>
      </w:smartTag>
      <w:r>
        <w:rPr>
          <w:sz w:val="21"/>
          <w:szCs w:val="21"/>
        </w:rPr>
        <w:t xml:space="preserve">, </w:t>
      </w:r>
      <w:r>
        <w:rPr>
          <w:i/>
          <w:iCs/>
          <w:sz w:val="21"/>
          <w:szCs w:val="21"/>
        </w:rPr>
        <w:t>Guide for the Definition of Gender in the Belizean Context</w:t>
      </w:r>
      <w:r>
        <w:rPr>
          <w:sz w:val="21"/>
          <w:szCs w:val="21"/>
        </w:rPr>
        <w:t>, 2002</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Women’s Department; </w:t>
      </w:r>
      <w:r>
        <w:rPr>
          <w:i/>
          <w:iCs/>
          <w:sz w:val="21"/>
          <w:szCs w:val="21"/>
        </w:rPr>
        <w:t>An Examination of Discriminatory Behavior and Practices in the Education System</w:t>
      </w:r>
      <w:r>
        <w:rPr>
          <w:sz w:val="21"/>
          <w:szCs w:val="21"/>
        </w:rPr>
        <w:t>; September 2001</w:t>
      </w:r>
    </w:p>
    <w:p w:rsidR="00373976" w:rsidRDefault="00373976" w:rsidP="009B38FD">
      <w:pPr>
        <w:pStyle w:val="Header"/>
        <w:numPr>
          <w:ilvl w:val="0"/>
          <w:numId w:val="20"/>
        </w:numPr>
        <w:tabs>
          <w:tab w:val="clear" w:pos="360"/>
          <w:tab w:val="clear" w:pos="4320"/>
          <w:tab w:val="clear" w:pos="8640"/>
          <w:tab w:val="left" w:pos="420"/>
        </w:tabs>
        <w:spacing w:after="240" w:line="320" w:lineRule="exact"/>
        <w:ind w:left="31680" w:hangingChars="200" w:firstLine="31680"/>
        <w:jc w:val="both"/>
        <w:rPr>
          <w:sz w:val="21"/>
          <w:szCs w:val="21"/>
        </w:rPr>
      </w:pPr>
      <w:r>
        <w:rPr>
          <w:sz w:val="21"/>
          <w:szCs w:val="21"/>
        </w:rPr>
        <w:t xml:space="preserve">Women’s Department, </w:t>
      </w:r>
      <w:r>
        <w:rPr>
          <w:i/>
          <w:iCs/>
          <w:sz w:val="21"/>
          <w:szCs w:val="21"/>
        </w:rPr>
        <w:t xml:space="preserve">Gender &amp; Self-Esteem: Key Issues in Belizean Education – A Guide Book for Primary School Teachers, </w:t>
      </w:r>
      <w:r>
        <w:rPr>
          <w:sz w:val="21"/>
          <w:szCs w:val="21"/>
        </w:rPr>
        <w:t>2002</w:t>
      </w:r>
    </w:p>
    <w:p w:rsidR="00525391" w:rsidRPr="00373976" w:rsidRDefault="00373976" w:rsidP="00373976">
      <w:pPr>
        <w:pStyle w:val="SingleTxt"/>
        <w:spacing w:after="0" w:line="240" w:lineRule="auto"/>
        <w:rPr>
          <w:sz w:val="20"/>
        </w:rPr>
      </w:pPr>
      <w:r>
        <w:rPr>
          <w:noProof/>
          <w:sz w:val="20"/>
        </w:rPr>
        <w:pict>
          <v:line id="_x0000_s1030" style="position:absolute;left:0;text-align:left;z-index:5;mso-position-horizontal:center" from="0,30pt" to="1in,30pt" strokeweight=".25pt"/>
        </w:pict>
      </w:r>
    </w:p>
    <w:sectPr w:rsidR="00525391" w:rsidRPr="00373976" w:rsidSect="00C63E7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05T16:09:00Z" w:initials="Start">
    <w:p w:rsidR="00B63B69" w:rsidRDefault="00B63B6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rPr>
          <w:rStyle w:val="CommentReference"/>
        </w:rPr>
        <w:annotationRef/>
      </w:r>
      <w:r>
        <w:t>&lt;&lt;ODS JOB NO&gt;&gt;N0552548C&lt;&lt;ODS JOB NO&gt;&gt;</w:t>
      </w:r>
    </w:p>
    <w:p w:rsidR="00B63B69" w:rsidRDefault="00B63B69">
      <w:pPr>
        <w:pStyle w:val="CommentText"/>
      </w:pPr>
      <w:r>
        <w:t>&lt;&lt;ODS DOC SYMBOL1&gt;&gt;CEDAW/C/BLZ/3-4&lt;&lt;ODS DOC SYMBOL1&gt;&gt;</w:t>
      </w:r>
    </w:p>
    <w:p w:rsidR="00B63B69" w:rsidRDefault="00B63B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AAD" w:rsidRDefault="00E97AAD" w:rsidP="00C63E70">
      <w:pPr>
        <w:pStyle w:val="HM"/>
      </w:pPr>
      <w:r>
        <w:separator/>
      </w:r>
    </w:p>
  </w:endnote>
  <w:endnote w:type="continuationSeparator" w:id="0">
    <w:p w:rsidR="00E97AAD" w:rsidRDefault="00E97AAD" w:rsidP="00C63E70">
      <w:pPr>
        <w:pStyle w:val="HM"/>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MAC C Times">
    <w:altName w:val="Courier New"/>
    <w:panose1 w:val="00000000000000000000"/>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STFangsong">
    <w:altName w:val="华文仿宋"/>
    <w:charset w:val="86"/>
    <w:family w:val="auto"/>
    <w:pitch w:val="variable"/>
    <w:sig w:usb0="00000287" w:usb1="080F0000" w:usb2="00000010" w:usb3="00000000" w:csb0="0004009F" w:csb1="00000000"/>
  </w:font>
  <w:font w:name="STXinwei">
    <w:altName w:val="华文新魏"/>
    <w:charset w:val="86"/>
    <w:family w:val="auto"/>
    <w:pitch w:val="variable"/>
    <w:sig w:usb0="00000001" w:usb1="080F0000" w:usb2="00000010" w:usb3="00000000" w:csb0="00040000" w:csb1="00000000"/>
  </w:font>
  <w:font w:name="?a????¨¬? Western">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B63B69">
      <w:tblPrEx>
        <w:tblCellMar>
          <w:top w:w="0" w:type="dxa"/>
          <w:bottom w:w="0" w:type="dxa"/>
        </w:tblCellMar>
      </w:tblPrEx>
      <w:tc>
        <w:tcPr>
          <w:tcW w:w="5034" w:type="dxa"/>
          <w:shd w:val="clear" w:color="auto" w:fill="auto"/>
          <w:vAlign w:val="bottom"/>
        </w:tcPr>
        <w:p w:rsidR="00B63B69" w:rsidRPr="00C63E70" w:rsidRDefault="00B63B69" w:rsidP="00C63E70">
          <w:pPr>
            <w:pStyle w:val="Footer"/>
            <w:jc w:val="left"/>
          </w:pPr>
          <w:r>
            <w:fldChar w:fldCharType="begin"/>
          </w:r>
          <w:r>
            <w:instrText xml:space="preserve"> PAGE  \* MERGEFORMAT </w:instrText>
          </w:r>
          <w:r>
            <w:fldChar w:fldCharType="separate"/>
          </w:r>
          <w:r w:rsidR="004429A2">
            <w:t>2</w:t>
          </w:r>
          <w:r>
            <w:fldChar w:fldCharType="end"/>
          </w:r>
        </w:p>
      </w:tc>
      <w:tc>
        <w:tcPr>
          <w:tcW w:w="5034" w:type="dxa"/>
          <w:shd w:val="clear" w:color="auto" w:fill="auto"/>
          <w:vAlign w:val="bottom"/>
        </w:tcPr>
        <w:p w:rsidR="00B63B69" w:rsidRPr="00C63E70" w:rsidRDefault="00B63B69" w:rsidP="00C63E7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05-52548</w:t>
          </w:r>
          <w:r>
            <w:rPr>
              <w:b w:val="0"/>
              <w:sz w:val="14"/>
            </w:rPr>
            <w:fldChar w:fldCharType="end"/>
          </w:r>
        </w:p>
      </w:tc>
    </w:tr>
  </w:tbl>
  <w:p w:rsidR="00B63B69" w:rsidRPr="00C63E70" w:rsidRDefault="00B63B69" w:rsidP="00C63E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B63B69">
      <w:tblPrEx>
        <w:tblCellMar>
          <w:top w:w="0" w:type="dxa"/>
          <w:bottom w:w="0" w:type="dxa"/>
        </w:tblCellMar>
      </w:tblPrEx>
      <w:tc>
        <w:tcPr>
          <w:tcW w:w="5034" w:type="dxa"/>
          <w:shd w:val="clear" w:color="auto" w:fill="auto"/>
          <w:vAlign w:val="bottom"/>
        </w:tcPr>
        <w:p w:rsidR="00B63B69" w:rsidRPr="00C63E70" w:rsidRDefault="00B63B69" w:rsidP="00C63E70">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05-52548</w:t>
          </w:r>
          <w:r>
            <w:rPr>
              <w:b w:val="0"/>
              <w:sz w:val="14"/>
            </w:rPr>
            <w:fldChar w:fldCharType="end"/>
          </w:r>
        </w:p>
      </w:tc>
      <w:tc>
        <w:tcPr>
          <w:tcW w:w="5034" w:type="dxa"/>
          <w:shd w:val="clear" w:color="auto" w:fill="auto"/>
          <w:vAlign w:val="bottom"/>
        </w:tcPr>
        <w:p w:rsidR="00B63B69" w:rsidRPr="00C63E70" w:rsidRDefault="00B63B69" w:rsidP="00C63E70">
          <w:pPr>
            <w:pStyle w:val="Footer"/>
            <w:jc w:val="right"/>
          </w:pPr>
          <w:r>
            <w:fldChar w:fldCharType="begin"/>
          </w:r>
          <w:r>
            <w:instrText xml:space="preserve"> PAGE  \* MERGEFORMAT </w:instrText>
          </w:r>
          <w:r>
            <w:fldChar w:fldCharType="separate"/>
          </w:r>
          <w:r w:rsidR="00256474">
            <w:t>43</w:t>
          </w:r>
          <w:r>
            <w:fldChar w:fldCharType="end"/>
          </w:r>
        </w:p>
      </w:tc>
    </w:tr>
  </w:tbl>
  <w:p w:rsidR="00B63B69" w:rsidRPr="00C63E70" w:rsidRDefault="00B63B69" w:rsidP="00C63E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B69" w:rsidRDefault="00B63B69" w:rsidP="00C63E7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05-52548 (C)</w:t>
    </w:r>
    <w:r>
      <w:rPr>
        <w:b w:val="0"/>
        <w:sz w:val="21"/>
      </w:rPr>
      <w:fldChar w:fldCharType="end"/>
    </w:r>
    <w:r>
      <w:rPr>
        <w:b w:val="0"/>
        <w:sz w:val="21"/>
      </w:rPr>
      <w:t xml:space="preserve">    051205    051205</w:t>
    </w:r>
  </w:p>
  <w:p w:rsidR="00B63B69" w:rsidRPr="00C63E70" w:rsidRDefault="00B63B69" w:rsidP="00C63E70">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*0552548*</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AAD" w:rsidRDefault="00E97AAD" w:rsidP="00C63E70">
      <w:pPr>
        <w:pStyle w:val="HM"/>
      </w:pPr>
      <w:r>
        <w:separator/>
      </w:r>
    </w:p>
  </w:footnote>
  <w:footnote w:type="continuationSeparator" w:id="0">
    <w:p w:rsidR="00E97AAD" w:rsidRDefault="00E97AAD" w:rsidP="00C63E70">
      <w:pPr>
        <w:pStyle w:val="HM"/>
      </w:pPr>
      <w:r>
        <w:continuationSeparator/>
      </w:r>
    </w:p>
  </w:footnote>
  <w:footnote w:id="1">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伯利兹政府中央统计局，《伯利兹家庭健康调查</w:t>
      </w:r>
      <w:r>
        <w:t>-</w:t>
      </w:r>
      <w:r>
        <w:rPr>
          <w:rFonts w:cs="SimSun" w:hint="eastAsia"/>
        </w:rPr>
        <w:t>女性》，</w:t>
      </w:r>
      <w:r>
        <w:t>2001</w:t>
      </w:r>
      <w:r>
        <w:rPr>
          <w:rFonts w:cs="SimSun" w:hint="eastAsia"/>
        </w:rPr>
        <w:t>年。</w:t>
      </w:r>
    </w:p>
  </w:footnote>
  <w:footnote w:id="2">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伯利兹政府中央统计局，《</w:t>
      </w:r>
      <w:r>
        <w:t>2002</w:t>
      </w:r>
      <w:r>
        <w:rPr>
          <w:rFonts w:cs="SimSun" w:hint="eastAsia"/>
        </w:rPr>
        <w:t>年统计概要》。</w:t>
      </w:r>
    </w:p>
  </w:footnote>
  <w:footnote w:id="3">
    <w:p w:rsidR="00B63B69" w:rsidRDefault="00B63B69" w:rsidP="00A45EB7">
      <w:pPr>
        <w:pStyle w:val="FootnoteText"/>
        <w:tabs>
          <w:tab w:val="left" w:pos="315"/>
          <w:tab w:val="left" w:pos="1260"/>
        </w:tabs>
        <w:spacing w:after="60" w:line="280" w:lineRule="exact"/>
      </w:pPr>
      <w:r>
        <w:rPr>
          <w:rStyle w:val="FootnoteReference"/>
        </w:rPr>
        <w:footnoteRef/>
      </w:r>
      <w:r>
        <w:t xml:space="preserve"> </w:t>
      </w:r>
      <w:r>
        <w:tab/>
      </w:r>
      <w:r>
        <w:rPr>
          <w:rFonts w:cs="SimSun" w:hint="eastAsia"/>
        </w:rPr>
        <w:t>中央统计局，</w:t>
      </w:r>
      <w:r>
        <w:t>2000</w:t>
      </w:r>
      <w:r>
        <w:rPr>
          <w:rFonts w:cs="SimSun" w:hint="eastAsia"/>
        </w:rPr>
        <w:t>年人口普查。</w:t>
      </w:r>
    </w:p>
  </w:footnote>
  <w:footnote w:id="4">
    <w:p w:rsidR="00B63B69" w:rsidRDefault="00B63B69" w:rsidP="00A45EB7">
      <w:pPr>
        <w:pStyle w:val="FootnoteText"/>
        <w:tabs>
          <w:tab w:val="left" w:pos="315"/>
        </w:tabs>
        <w:spacing w:after="60" w:line="280" w:lineRule="exact"/>
      </w:pPr>
      <w:r>
        <w:rPr>
          <w:rStyle w:val="FootnoteReference"/>
        </w:rPr>
        <w:footnoteRef/>
      </w:r>
      <w:r>
        <w:t xml:space="preserve"> </w:t>
      </w:r>
      <w:r>
        <w:tab/>
      </w:r>
      <w:r>
        <w:rPr>
          <w:rFonts w:cs="SimSun" w:hint="eastAsia"/>
        </w:rPr>
        <w:t>中央统计局，</w:t>
      </w:r>
      <w:r>
        <w:t>2000</w:t>
      </w:r>
      <w:r>
        <w:rPr>
          <w:rFonts w:cs="SimSun" w:hint="eastAsia"/>
        </w:rPr>
        <w:t>年人口普查。</w:t>
      </w:r>
    </w:p>
  </w:footnote>
  <w:footnote w:id="5">
    <w:p w:rsidR="00B63B69" w:rsidRDefault="00B63B69" w:rsidP="00A45EB7">
      <w:pPr>
        <w:pStyle w:val="FootnoteText"/>
        <w:tabs>
          <w:tab w:val="left" w:pos="315"/>
        </w:tabs>
        <w:spacing w:after="60" w:line="280" w:lineRule="exact"/>
      </w:pPr>
      <w:r>
        <w:rPr>
          <w:rStyle w:val="FootnoteReference"/>
        </w:rPr>
        <w:footnoteRef/>
      </w:r>
      <w:r>
        <w:t xml:space="preserve"> </w:t>
      </w:r>
      <w:r>
        <w:tab/>
      </w:r>
      <w:r>
        <w:rPr>
          <w:rFonts w:cs="SimSun" w:hint="eastAsia"/>
        </w:rPr>
        <w:t>中央统计局，</w:t>
      </w:r>
      <w:r>
        <w:t>2000</w:t>
      </w:r>
      <w:r>
        <w:rPr>
          <w:rFonts w:cs="SimSun" w:hint="eastAsia"/>
        </w:rPr>
        <w:t>年人口普查。</w:t>
      </w:r>
    </w:p>
  </w:footnote>
  <w:footnote w:id="6">
    <w:p w:rsidR="00B63B69" w:rsidRDefault="00B63B69" w:rsidP="00A45EB7">
      <w:pPr>
        <w:pStyle w:val="FootnoteText"/>
        <w:tabs>
          <w:tab w:val="left" w:pos="315"/>
        </w:tabs>
        <w:spacing w:after="60" w:line="280" w:lineRule="exact"/>
      </w:pPr>
      <w:r>
        <w:rPr>
          <w:rStyle w:val="FootnoteReference"/>
        </w:rPr>
        <w:footnoteRef/>
      </w:r>
      <w:r>
        <w:t xml:space="preserve"> </w:t>
      </w:r>
      <w:r>
        <w:tab/>
      </w:r>
      <w:r>
        <w:rPr>
          <w:rFonts w:cs="SimSun" w:hint="eastAsia"/>
        </w:rPr>
        <w:t>中央统计局，</w:t>
      </w:r>
      <w:r>
        <w:t>2000</w:t>
      </w:r>
      <w:r>
        <w:rPr>
          <w:rFonts w:cs="SimSun" w:hint="eastAsia"/>
        </w:rPr>
        <w:t>年人口普查。</w:t>
      </w:r>
    </w:p>
  </w:footnote>
  <w:footnote w:id="7">
    <w:p w:rsidR="00B63B69" w:rsidRDefault="00B63B69" w:rsidP="00A45EB7">
      <w:pPr>
        <w:pStyle w:val="FootnoteText"/>
        <w:tabs>
          <w:tab w:val="left" w:pos="315"/>
        </w:tabs>
        <w:spacing w:after="60" w:line="280" w:lineRule="exact"/>
      </w:pPr>
      <w:r>
        <w:rPr>
          <w:rStyle w:val="FootnoteReference"/>
        </w:rPr>
        <w:footnoteRef/>
      </w:r>
      <w:r>
        <w:t xml:space="preserve"> </w:t>
      </w:r>
      <w:r>
        <w:tab/>
        <w:t>Salazar, Ana</w:t>
      </w:r>
      <w:r>
        <w:rPr>
          <w:rFonts w:cs="SimSun" w:hint="eastAsia"/>
        </w:rPr>
        <w:t>：《伯利兹的中美洲移民综述》，</w:t>
      </w:r>
      <w:r>
        <w:t>2000</w:t>
      </w:r>
      <w:r>
        <w:rPr>
          <w:rFonts w:cs="SimSun" w:hint="eastAsia"/>
        </w:rPr>
        <w:t>年。</w:t>
      </w:r>
    </w:p>
  </w:footnote>
  <w:footnote w:id="8">
    <w:p w:rsidR="00B63B69" w:rsidRDefault="00B63B69" w:rsidP="00A45EB7">
      <w:pPr>
        <w:pStyle w:val="FootnoteText"/>
        <w:tabs>
          <w:tab w:val="left" w:pos="315"/>
        </w:tabs>
        <w:spacing w:afterLines="30" w:after="93" w:line="280" w:lineRule="exact"/>
      </w:pPr>
      <w:r>
        <w:rPr>
          <w:rStyle w:val="FootnoteReference"/>
        </w:rPr>
        <w:footnoteRef/>
      </w:r>
      <w:r>
        <w:t xml:space="preserve"> </w:t>
      </w:r>
      <w:r>
        <w:tab/>
      </w:r>
      <w:r>
        <w:rPr>
          <w:rFonts w:cs="SimSun" w:hint="eastAsia"/>
        </w:rPr>
        <w:t>伯利兹贸易和投资开发部（</w:t>
      </w:r>
      <w:r>
        <w:t>BELTRAIDE</w:t>
      </w:r>
      <w:r>
        <w:rPr>
          <w:rFonts w:cs="SimSun" w:hint="eastAsia"/>
        </w:rPr>
        <w:t>）在其网站</w:t>
      </w:r>
      <w:r>
        <w:t xml:space="preserve">www.belizeinvest.org.bz </w:t>
      </w:r>
      <w:r>
        <w:rPr>
          <w:rFonts w:cs="SimSun" w:hint="eastAsia"/>
        </w:rPr>
        <w:t>上引用的财政部、中央统计局和伯利兹中央银行的财政数字。</w:t>
      </w:r>
    </w:p>
  </w:footnote>
  <w:footnote w:id="9">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数字来自伯利兹政府中央统计局。</w:t>
      </w:r>
    </w:p>
  </w:footnote>
  <w:footnote w:id="10">
    <w:p w:rsidR="00B63B69" w:rsidRDefault="00B63B69" w:rsidP="00373976">
      <w:pPr>
        <w:pStyle w:val="FootnoteText"/>
        <w:tabs>
          <w:tab w:val="left" w:pos="315"/>
        </w:tabs>
        <w:spacing w:afterLines="30" w:after="93" w:line="240" w:lineRule="auto"/>
      </w:pPr>
      <w:r>
        <w:rPr>
          <w:rStyle w:val="FootnoteReference"/>
        </w:rPr>
        <w:footnoteRef/>
      </w:r>
      <w:r>
        <w:t xml:space="preserve"> </w:t>
      </w:r>
      <w:r>
        <w:tab/>
        <w:t>WIN</w:t>
      </w:r>
      <w:r>
        <w:rPr>
          <w:rFonts w:cs="SimSun" w:hint="eastAsia"/>
        </w:rPr>
        <w:t>伯利兹。《伯利兹背景下的性别定义指南》，</w:t>
      </w:r>
      <w:r>
        <w:t>2002</w:t>
      </w:r>
      <w:r>
        <w:rPr>
          <w:rFonts w:cs="SimSun" w:hint="eastAsia"/>
        </w:rPr>
        <w:t>年。</w:t>
      </w:r>
    </w:p>
  </w:footnote>
  <w:footnote w:id="11">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12">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13">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妇女事务部：《性别与自信：伯利兹教育中的关键问题</w:t>
      </w:r>
      <w:r>
        <w:t>——</w:t>
      </w:r>
      <w:r>
        <w:rPr>
          <w:rFonts w:cs="SimSun" w:hint="eastAsia"/>
        </w:rPr>
        <w:t>小学教师指南》，</w:t>
      </w:r>
      <w:r>
        <w:t>2002</w:t>
      </w:r>
      <w:r>
        <w:rPr>
          <w:rFonts w:cs="SimSun" w:hint="eastAsia"/>
        </w:rPr>
        <w:t>年。</w:t>
      </w:r>
    </w:p>
  </w:footnote>
  <w:footnote w:id="14">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家庭和儿童全国委员会</w:t>
      </w:r>
      <w:r>
        <w:t>/</w:t>
      </w:r>
      <w:r>
        <w:rPr>
          <w:rFonts w:cs="SimSun" w:hint="eastAsia"/>
        </w:rPr>
        <w:t>联合国儿童基金会，《对妇女和儿童性工作者进行性剥削的研究》，</w:t>
      </w:r>
      <w:r>
        <w:t>2001</w:t>
      </w:r>
      <w:r>
        <w:rPr>
          <w:rFonts w:cs="SimSun" w:hint="eastAsia"/>
        </w:rPr>
        <w:t>年（草案）。</w:t>
      </w:r>
    </w:p>
  </w:footnote>
  <w:footnote w:id="15">
    <w:p w:rsidR="00B63B69" w:rsidRDefault="00B63B69" w:rsidP="00373976">
      <w:pPr>
        <w:pStyle w:val="FootnoteText"/>
        <w:tabs>
          <w:tab w:val="left" w:pos="315"/>
        </w:tabs>
        <w:spacing w:afterLines="30" w:after="93" w:line="240" w:lineRule="auto"/>
      </w:pPr>
      <w:r>
        <w:rPr>
          <w:rStyle w:val="FootnoteReference"/>
        </w:rPr>
        <w:footnoteRef/>
      </w:r>
      <w:r>
        <w:t xml:space="preserve"> </w:t>
      </w:r>
      <w:r>
        <w:tab/>
        <w:t>Kempadoo,</w:t>
      </w:r>
      <w:r>
        <w:rPr>
          <w:rFonts w:cs="SimSun" w:hint="eastAsia"/>
        </w:rPr>
        <w:t>《奥兰治沃克区的姑娘和伯利兹的性工作》，</w:t>
      </w:r>
      <w:r>
        <w:t>1998</w:t>
      </w:r>
      <w:r>
        <w:rPr>
          <w:rFonts w:cs="SimSun" w:hint="eastAsia"/>
        </w:rPr>
        <w:t>年。</w:t>
      </w:r>
    </w:p>
  </w:footnote>
  <w:footnote w:id="16">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17">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蒂波尔大学法学院，《现代奴役：美洲的淫媒》，</w:t>
      </w:r>
      <w:r>
        <w:t>2002</w:t>
      </w:r>
      <w:r>
        <w:rPr>
          <w:rFonts w:cs="SimSun" w:hint="eastAsia"/>
        </w:rPr>
        <w:t>年。</w:t>
      </w:r>
    </w:p>
  </w:footnote>
  <w:footnote w:id="18">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19">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20">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这一法案是针对伯利兹根据</w:t>
      </w:r>
      <w:r>
        <w:t>2000</w:t>
      </w:r>
      <w:r>
        <w:rPr>
          <w:rFonts w:cs="SimSun" w:hint="eastAsia"/>
        </w:rPr>
        <w:t>年《美国贩运受害者保护法》被列入第三等级国家而制定的，否则可能会受到美国与非人道和非贸易有关的制裁。</w:t>
      </w:r>
    </w:p>
  </w:footnote>
  <w:footnote w:id="21">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伯利兹政府，选举和边界委员会，</w:t>
      </w:r>
      <w:r>
        <w:t>2003</w:t>
      </w:r>
      <w:r>
        <w:rPr>
          <w:rFonts w:cs="SimSun" w:hint="eastAsia"/>
        </w:rPr>
        <w:t>年</w:t>
      </w:r>
      <w:r>
        <w:t>12</w:t>
      </w:r>
      <w:r>
        <w:rPr>
          <w:rFonts w:cs="SimSun" w:hint="eastAsia"/>
        </w:rPr>
        <w:t>月按政区和性别进行的选举。</w:t>
      </w:r>
    </w:p>
  </w:footnote>
  <w:footnote w:id="22">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伯利兹政府选举和边界委员会</w:t>
      </w:r>
      <w:r>
        <w:t>——</w:t>
      </w:r>
      <w:r>
        <w:t>2003</w:t>
      </w:r>
      <w:r>
        <w:rPr>
          <w:rFonts w:cs="SimSun" w:hint="eastAsia"/>
        </w:rPr>
        <w:t>年市政选举结果。</w:t>
      </w:r>
    </w:p>
  </w:footnote>
  <w:footnote w:id="23">
    <w:p w:rsidR="00B63B69" w:rsidRDefault="00B63B69" w:rsidP="00373976">
      <w:pPr>
        <w:pStyle w:val="FootnoteText"/>
        <w:tabs>
          <w:tab w:val="left" w:pos="315"/>
        </w:tabs>
        <w:spacing w:afterLines="30" w:after="93" w:line="240" w:lineRule="auto"/>
      </w:pPr>
      <w:r>
        <w:rPr>
          <w:rStyle w:val="FootnoteReference"/>
        </w:rPr>
        <w:footnoteRef/>
      </w:r>
      <w:r>
        <w:t xml:space="preserve"> </w:t>
      </w:r>
      <w:r>
        <w:tab/>
        <w:t>Masinghe</w:t>
      </w:r>
      <w:r>
        <w:rPr>
          <w:rFonts w:cs="SimSun" w:hint="eastAsia"/>
        </w:rPr>
        <w:t>，《关于将性别问题纳入预算过程的顾问报告》，</w:t>
      </w:r>
      <w:r>
        <w:t>2002</w:t>
      </w:r>
      <w:r>
        <w:rPr>
          <w:rFonts w:cs="SimSun" w:hint="eastAsia"/>
        </w:rPr>
        <w:t>年。</w:t>
      </w:r>
    </w:p>
  </w:footnote>
  <w:footnote w:id="24">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来自伯利兹政府司法部长办公室地方法院的数据。</w:t>
      </w:r>
    </w:p>
  </w:footnote>
  <w:footnote w:id="25">
    <w:p w:rsidR="00B63B69" w:rsidRDefault="00B63B69" w:rsidP="00964C51">
      <w:pPr>
        <w:pStyle w:val="FootnoteText"/>
        <w:tabs>
          <w:tab w:val="left" w:pos="315"/>
        </w:tabs>
        <w:spacing w:afterLines="30" w:after="93" w:line="240" w:lineRule="auto"/>
        <w:ind w:left="284" w:hanging="284"/>
      </w:pPr>
      <w:r>
        <w:rPr>
          <w:rStyle w:val="FootnoteReference"/>
        </w:rPr>
        <w:footnoteRef/>
      </w:r>
      <w:r>
        <w:t xml:space="preserve"> </w:t>
      </w:r>
      <w:r>
        <w:tab/>
      </w:r>
      <w:r>
        <w:rPr>
          <w:rFonts w:cs="SimSun" w:hint="eastAsia"/>
        </w:rPr>
        <w:t>治安官体制最早发现于伯利兹南部地区的玛雅村落。每个村都有自己的执法官，他主要负责在社区维持法律和秩序，但传统上还担当村落长老的角色，以监督人们在社区生活其他方面的安康。</w:t>
      </w:r>
    </w:p>
  </w:footnote>
  <w:footnote w:id="26">
    <w:p w:rsidR="00B63B69" w:rsidRDefault="00B63B69" w:rsidP="00373976">
      <w:pPr>
        <w:pStyle w:val="FootnoteText"/>
        <w:tabs>
          <w:tab w:val="left" w:pos="315"/>
        </w:tabs>
        <w:spacing w:afterLines="30" w:after="93" w:line="240" w:lineRule="auto"/>
      </w:pPr>
      <w:r>
        <w:rPr>
          <w:rStyle w:val="FootnoteReference"/>
        </w:rPr>
        <w:footnoteRef/>
      </w:r>
      <w:r>
        <w:t xml:space="preserve"> </w:t>
      </w:r>
      <w:r>
        <w:tab/>
        <w:t>Rosberg</w:t>
      </w:r>
      <w:r>
        <w:rPr>
          <w:rFonts w:cs="SimSun" w:hint="eastAsia"/>
        </w:rPr>
        <w:t>、</w:t>
      </w:r>
      <w:r>
        <w:t xml:space="preserve">Michael </w:t>
      </w:r>
      <w:r>
        <w:rPr>
          <w:rFonts w:cs="SimSun" w:hint="eastAsia"/>
        </w:rPr>
        <w:t>和</w:t>
      </w:r>
      <w:r>
        <w:t xml:space="preserve"> Catzim, Adele</w:t>
      </w:r>
      <w:r>
        <w:rPr>
          <w:rFonts w:cs="SimSun" w:hint="eastAsia"/>
        </w:rPr>
        <w:t>，《从政妇女：在伯利兹寻找担任领导的机会》，全国妇女委员会，</w:t>
      </w:r>
      <w:r>
        <w:t>2001</w:t>
      </w:r>
      <w:r>
        <w:rPr>
          <w:rFonts w:cs="SimSun" w:hint="eastAsia"/>
        </w:rPr>
        <w:t>年。</w:t>
      </w:r>
    </w:p>
  </w:footnote>
  <w:footnote w:id="27">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教育部：《</w:t>
      </w:r>
      <w:r>
        <w:t>2000-2002</w:t>
      </w:r>
      <w:r>
        <w:rPr>
          <w:rFonts w:cs="SimSun" w:hint="eastAsia"/>
        </w:rPr>
        <w:t>年教育统计摘要》。</w:t>
      </w:r>
    </w:p>
  </w:footnote>
  <w:footnote w:id="28">
    <w:p w:rsidR="00B63B69" w:rsidRDefault="00B63B69" w:rsidP="00373976">
      <w:pPr>
        <w:pStyle w:val="FootnoteText"/>
        <w:tabs>
          <w:tab w:val="left" w:pos="315"/>
        </w:tabs>
        <w:spacing w:afterLines="30" w:after="93" w:line="240" w:lineRule="auto"/>
      </w:pPr>
      <w:r>
        <w:rPr>
          <w:rStyle w:val="FootnoteReference"/>
        </w:rPr>
        <w:footnoteRef/>
      </w:r>
      <w:r>
        <w:t xml:space="preserve"> </w:t>
      </w:r>
      <w:r>
        <w:tab/>
        <w:t>Parades, Sandra,</w:t>
      </w:r>
      <w:r>
        <w:rPr>
          <w:rFonts w:cs="SimSun" w:hint="eastAsia"/>
        </w:rPr>
        <w:t>《关于性别和发展的形势分析：伯利兹》，</w:t>
      </w:r>
      <w:r>
        <w:t>2002</w:t>
      </w:r>
      <w:r>
        <w:rPr>
          <w:rFonts w:cs="SimSun" w:hint="eastAsia"/>
        </w:rPr>
        <w:t>年</w:t>
      </w:r>
      <w:r>
        <w:t>3</w:t>
      </w:r>
      <w:r>
        <w:rPr>
          <w:rFonts w:cs="SimSun" w:hint="eastAsia"/>
        </w:rPr>
        <w:t>月。</w:t>
      </w:r>
    </w:p>
  </w:footnote>
  <w:footnote w:id="29">
    <w:p w:rsidR="00B63B69" w:rsidRDefault="00B63B69" w:rsidP="00373976">
      <w:pPr>
        <w:pStyle w:val="FootnoteText"/>
        <w:tabs>
          <w:tab w:val="left" w:pos="315"/>
        </w:tabs>
        <w:spacing w:afterLines="30" w:after="93" w:line="240" w:lineRule="auto"/>
      </w:pPr>
      <w:r>
        <w:rPr>
          <w:rStyle w:val="FootnoteReference"/>
        </w:rPr>
        <w:footnoteRef/>
      </w:r>
      <w:r>
        <w:t xml:space="preserve"> </w:t>
      </w:r>
      <w:r>
        <w:tab/>
        <w:t>1996</w:t>
      </w:r>
      <w:r>
        <w:rPr>
          <w:rFonts w:cs="SimSun" w:hint="eastAsia"/>
        </w:rPr>
        <w:t>年，伯利兹扫盲委员会与伯利兹中央统计局协作进行了一次全国范围的识字调查。</w:t>
      </w:r>
    </w:p>
  </w:footnote>
  <w:footnote w:id="30">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伯利兹政府国家人类发展委员会和联合国开发计划署，</w:t>
      </w:r>
      <w:r>
        <w:t>1999</w:t>
      </w:r>
      <w:r>
        <w:rPr>
          <w:rFonts w:cs="SimSun" w:hint="eastAsia"/>
        </w:rPr>
        <w:t>年《人类发展报告》。</w:t>
      </w:r>
    </w:p>
  </w:footnote>
  <w:footnote w:id="31">
    <w:p w:rsidR="00B63B69" w:rsidRDefault="00B63B69" w:rsidP="00964C51">
      <w:pPr>
        <w:pStyle w:val="FootnoteText"/>
        <w:tabs>
          <w:tab w:val="left" w:pos="315"/>
        </w:tabs>
        <w:spacing w:afterLines="30" w:after="93" w:line="240" w:lineRule="auto"/>
        <w:ind w:left="284" w:hanging="284"/>
      </w:pPr>
      <w:r>
        <w:rPr>
          <w:rStyle w:val="FootnoteReference"/>
        </w:rPr>
        <w:footnoteRef/>
      </w:r>
      <w:r>
        <w:t xml:space="preserve"> </w:t>
      </w:r>
      <w:r>
        <w:tab/>
      </w:r>
      <w:r>
        <w:rPr>
          <w:rFonts w:cs="SimSun" w:hint="eastAsia"/>
        </w:rPr>
        <w:t>虽然这起在</w:t>
      </w:r>
      <w:r>
        <w:t>2004</w:t>
      </w:r>
      <w:r>
        <w:rPr>
          <w:rFonts w:cs="SimSun" w:hint="eastAsia"/>
        </w:rPr>
        <w:t>年开庭审理的案件并未包括在报告期间内，但它还是值得一提的。法院裁决被解雇的教师胜诉。这一裁决是基于《教育条例》、《全国性别政策》以及《消除对妇女歧视公约》的条款做出的。天主教管理机构提出了正式的上诉，但上诉法院维持了下级法院的裁决。这一案件为伯利兹今后的类似案件立下了先例。</w:t>
      </w:r>
    </w:p>
  </w:footnote>
  <w:footnote w:id="32">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妇女事务部：《教育系统中的歧视做法》，</w:t>
      </w:r>
      <w:r>
        <w:t>2001</w:t>
      </w:r>
      <w:r>
        <w:rPr>
          <w:rFonts w:cs="SimSun" w:hint="eastAsia"/>
        </w:rPr>
        <w:t>年。</w:t>
      </w:r>
    </w:p>
  </w:footnote>
  <w:footnote w:id="33">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34">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35">
    <w:p w:rsidR="00B63B69" w:rsidRDefault="00B63B69" w:rsidP="007E3D9B">
      <w:pPr>
        <w:pStyle w:val="FootnoteText"/>
        <w:tabs>
          <w:tab w:val="left" w:pos="315"/>
        </w:tabs>
        <w:spacing w:afterLines="30" w:after="93" w:line="240" w:lineRule="auto"/>
        <w:ind w:left="284" w:hanging="284"/>
      </w:pPr>
      <w:r>
        <w:rPr>
          <w:rStyle w:val="FootnoteReference"/>
        </w:rPr>
        <w:footnoteRef/>
      </w:r>
      <w:r>
        <w:t xml:space="preserve"> </w:t>
      </w:r>
      <w:r>
        <w:tab/>
      </w:r>
      <w:r>
        <w:rPr>
          <w:rFonts w:cs="SimSun" w:hint="eastAsia"/>
        </w:rPr>
        <w:t>虽然没有包含在本报告期间内，但值得一提的是，正如《国家性别政策》所规定的那样，政府向</w:t>
      </w:r>
      <w:r>
        <w:t>2004</w:t>
      </w:r>
      <w:r>
        <w:rPr>
          <w:rFonts w:cs="SimSun" w:hint="eastAsia"/>
        </w:rPr>
        <w:t>年开庭审理的这起案件的法律费用提供了财政资助。如上所述，法院裁决那位教师胜诉。</w:t>
      </w:r>
    </w:p>
  </w:footnote>
  <w:footnote w:id="36">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教育部，</w:t>
      </w:r>
      <w:r>
        <w:t>1996</w:t>
      </w:r>
      <w:r>
        <w:rPr>
          <w:rFonts w:cs="SimSun" w:hint="eastAsia"/>
        </w:rPr>
        <w:t>年《教育法修正案》，载于</w:t>
      </w:r>
      <w:r>
        <w:t>2000</w:t>
      </w:r>
      <w:r>
        <w:rPr>
          <w:rFonts w:cs="SimSun" w:hint="eastAsia"/>
        </w:rPr>
        <w:t>年</w:t>
      </w:r>
      <w:r>
        <w:t>8</w:t>
      </w:r>
      <w:r>
        <w:rPr>
          <w:rFonts w:cs="SimSun" w:hint="eastAsia"/>
        </w:rPr>
        <w:t>月《按照教育条例提供学校服务的政策和程序手册》。</w:t>
      </w:r>
    </w:p>
  </w:footnote>
  <w:footnote w:id="37">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38">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中央统计局，《</w:t>
      </w:r>
      <w:r>
        <w:t>2001</w:t>
      </w:r>
      <w:r>
        <w:rPr>
          <w:rFonts w:cs="SimSun" w:hint="eastAsia"/>
        </w:rPr>
        <w:t>年劳动力调查》，</w:t>
      </w:r>
      <w:r>
        <w:t>2002</w:t>
      </w:r>
      <w:r>
        <w:rPr>
          <w:rFonts w:cs="SimSun" w:hint="eastAsia"/>
        </w:rPr>
        <w:t>年。</w:t>
      </w:r>
    </w:p>
  </w:footnote>
  <w:footnote w:id="39">
    <w:p w:rsidR="00B63B69" w:rsidRDefault="00B63B69" w:rsidP="00373976">
      <w:pPr>
        <w:pStyle w:val="FootnoteText"/>
        <w:tabs>
          <w:tab w:val="left" w:pos="315"/>
        </w:tabs>
        <w:spacing w:afterLines="30" w:after="93" w:line="240" w:lineRule="auto"/>
      </w:pPr>
      <w:r>
        <w:rPr>
          <w:rStyle w:val="FootnoteReference"/>
        </w:rPr>
        <w:footnoteRef/>
      </w:r>
      <w:r>
        <w:t xml:space="preserve"> </w:t>
      </w:r>
      <w:r>
        <w:tab/>
        <w:t>Masinghe</w:t>
      </w:r>
      <w:r>
        <w:rPr>
          <w:rFonts w:cs="SimSun" w:hint="eastAsia"/>
        </w:rPr>
        <w:t>，《关于将性别问题纳入预算过程的顾问报告》，</w:t>
      </w:r>
      <w:r>
        <w:t>2002</w:t>
      </w:r>
      <w:r>
        <w:rPr>
          <w:rFonts w:cs="SimSun" w:hint="eastAsia"/>
        </w:rPr>
        <w:t>年。</w:t>
      </w:r>
    </w:p>
  </w:footnote>
  <w:footnote w:id="40">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w:t>
      </w:r>
      <w:r>
        <w:t>1999</w:t>
      </w:r>
      <w:r>
        <w:rPr>
          <w:rFonts w:cs="SimSun" w:hint="eastAsia"/>
        </w:rPr>
        <w:t>年国家人类发展报告</w:t>
      </w:r>
      <w:r>
        <w:t>——</w:t>
      </w:r>
      <w:r>
        <w:rPr>
          <w:rFonts w:cs="SimSun" w:hint="eastAsia"/>
        </w:rPr>
        <w:t>为新千年做准备》，国家人类发展咨询委员会，</w:t>
      </w:r>
      <w:r>
        <w:t>1999</w:t>
      </w:r>
      <w:r>
        <w:rPr>
          <w:rFonts w:cs="SimSun" w:hint="eastAsia"/>
        </w:rPr>
        <w:t>年。</w:t>
      </w:r>
    </w:p>
  </w:footnote>
  <w:footnote w:id="41">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中央统计局，</w:t>
      </w:r>
      <w:r>
        <w:t xml:space="preserve"> </w:t>
      </w:r>
      <w:r>
        <w:rPr>
          <w:rFonts w:cs="SimSun" w:hint="eastAsia"/>
        </w:rPr>
        <w:t>《</w:t>
      </w:r>
      <w:r>
        <w:t>2001</w:t>
      </w:r>
      <w:r>
        <w:rPr>
          <w:rFonts w:cs="SimSun" w:hint="eastAsia"/>
        </w:rPr>
        <w:t>年劳动力调查》，</w:t>
      </w:r>
      <w:r>
        <w:t>2002</w:t>
      </w:r>
      <w:r>
        <w:rPr>
          <w:rFonts w:cs="SimSun" w:hint="eastAsia"/>
        </w:rPr>
        <w:t>年，表</w:t>
      </w:r>
      <w:r>
        <w:t>7</w:t>
      </w:r>
      <w:r>
        <w:rPr>
          <w:rFonts w:cs="SimSun" w:hint="eastAsia"/>
        </w:rPr>
        <w:t>。</w:t>
      </w:r>
    </w:p>
  </w:footnote>
  <w:footnote w:id="42">
    <w:p w:rsidR="00B63B69" w:rsidRDefault="00B63B69" w:rsidP="00373976">
      <w:pPr>
        <w:pStyle w:val="FootnoteText"/>
        <w:tabs>
          <w:tab w:val="left" w:pos="315"/>
        </w:tabs>
        <w:spacing w:afterLines="30" w:after="93" w:line="240" w:lineRule="auto"/>
      </w:pPr>
      <w:r>
        <w:rPr>
          <w:rStyle w:val="FootnoteReference"/>
        </w:rPr>
        <w:footnoteRef/>
      </w:r>
      <w:r>
        <w:t xml:space="preserve"> </w:t>
      </w:r>
      <w:r>
        <w:tab/>
        <w:t xml:space="preserve">WIN </w:t>
      </w:r>
      <w:r>
        <w:rPr>
          <w:rFonts w:cs="SimSun" w:hint="eastAsia"/>
        </w:rPr>
        <w:t>伯利兹，《挑战妇女经济发展障碍，第</w:t>
      </w:r>
      <w:r>
        <w:t>4</w:t>
      </w:r>
      <w:r>
        <w:rPr>
          <w:rFonts w:cs="SimSun" w:hint="eastAsia"/>
        </w:rPr>
        <w:t>阶段：项目摘要和建议》，</w:t>
      </w:r>
      <w:r>
        <w:t>2002</w:t>
      </w:r>
      <w:r>
        <w:rPr>
          <w:rFonts w:cs="SimSun" w:hint="eastAsia"/>
        </w:rPr>
        <w:t>年</w:t>
      </w:r>
      <w:r>
        <w:t>11</w:t>
      </w:r>
      <w:r>
        <w:rPr>
          <w:rFonts w:cs="SimSun" w:hint="eastAsia"/>
        </w:rPr>
        <w:t>月。</w:t>
      </w:r>
      <w:r>
        <w:t xml:space="preserve"> </w:t>
      </w:r>
    </w:p>
  </w:footnote>
  <w:footnote w:id="43">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color w:val="000000"/>
        </w:rPr>
        <w:t>学校健康和体育方案，</w:t>
      </w:r>
      <w:r>
        <w:rPr>
          <w:rFonts w:cs="SimSun" w:hint="eastAsia"/>
        </w:rPr>
        <w:t>对低收入妇女进行非传统技能培训的第四届规划和评估委员会会议，</w:t>
      </w:r>
      <w:r>
        <w:t>2002</w:t>
      </w:r>
      <w:r>
        <w:rPr>
          <w:rFonts w:cs="SimSun" w:hint="eastAsia"/>
        </w:rPr>
        <w:t>年。</w:t>
      </w:r>
    </w:p>
  </w:footnote>
  <w:footnote w:id="44">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45">
    <w:p w:rsidR="00B63B69" w:rsidRDefault="00B63B69" w:rsidP="00373976">
      <w:pPr>
        <w:pStyle w:val="FootnoteText"/>
        <w:tabs>
          <w:tab w:val="left" w:pos="315"/>
        </w:tabs>
        <w:spacing w:afterLines="30" w:after="93" w:line="240" w:lineRule="auto"/>
        <w:rPr>
          <w:rFonts w:hint="eastAsia"/>
        </w:rPr>
      </w:pPr>
      <w:r>
        <w:rPr>
          <w:rStyle w:val="FootnoteReference"/>
        </w:rPr>
        <w:footnoteRef/>
      </w:r>
      <w:r>
        <w:t xml:space="preserve"> </w:t>
      </w:r>
      <w:r>
        <w:tab/>
      </w:r>
      <w:r>
        <w:rPr>
          <w:rFonts w:hint="eastAsia"/>
        </w:rPr>
        <w:t>同上。</w:t>
      </w:r>
    </w:p>
  </w:footnote>
  <w:footnote w:id="46">
    <w:p w:rsidR="00B63B69" w:rsidRDefault="00B63B69" w:rsidP="00373976">
      <w:pPr>
        <w:pStyle w:val="FootnoteText"/>
        <w:tabs>
          <w:tab w:val="left" w:pos="315"/>
        </w:tabs>
        <w:spacing w:afterLines="30" w:after="93" w:line="240" w:lineRule="auto"/>
      </w:pPr>
      <w:r>
        <w:rPr>
          <w:rStyle w:val="FootnoteReference"/>
        </w:rPr>
        <w:footnoteRef/>
      </w:r>
      <w:r>
        <w:t xml:space="preserve"> </w:t>
      </w:r>
      <w:r>
        <w:tab/>
        <w:t>Paredes</w:t>
      </w:r>
      <w:r>
        <w:rPr>
          <w:rFonts w:cs="SimSun" w:hint="eastAsia"/>
        </w:rPr>
        <w:t>，</w:t>
      </w:r>
      <w:r>
        <w:t>Sandra</w:t>
      </w:r>
      <w:r>
        <w:t>——</w:t>
      </w:r>
      <w:r>
        <w:rPr>
          <w:rFonts w:cs="SimSun" w:hint="eastAsia"/>
        </w:rPr>
        <w:t>《关于性别和发展的形势分析：伯利兹》，全国妇女委员会，</w:t>
      </w:r>
      <w:r>
        <w:t>2002</w:t>
      </w:r>
      <w:r>
        <w:rPr>
          <w:rFonts w:cs="SimSun" w:hint="eastAsia"/>
        </w:rPr>
        <w:t>年</w:t>
      </w:r>
      <w:r>
        <w:t>3</w:t>
      </w:r>
      <w:r>
        <w:rPr>
          <w:rFonts w:cs="SimSun" w:hint="eastAsia"/>
        </w:rPr>
        <w:t>月。</w:t>
      </w:r>
    </w:p>
  </w:footnote>
  <w:footnote w:id="47">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妇女事务部：《对教育系统中歧视性行为和做法的调查》，</w:t>
      </w:r>
      <w:r>
        <w:t>2001</w:t>
      </w:r>
      <w:r>
        <w:rPr>
          <w:rFonts w:cs="SimSun" w:hint="eastAsia"/>
        </w:rPr>
        <w:t>年</w:t>
      </w:r>
      <w:r>
        <w:t>9</w:t>
      </w:r>
      <w:r>
        <w:rPr>
          <w:rFonts w:cs="SimSun" w:hint="eastAsia"/>
        </w:rPr>
        <w:t>月。</w:t>
      </w:r>
    </w:p>
  </w:footnote>
  <w:footnote w:id="48">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《与家庭和儿童全国委员会咨询报告》。</w:t>
      </w:r>
    </w:p>
  </w:footnote>
  <w:footnote w:id="49">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泛美卫生组织，《安全孕产：伯利兹妇女的生死问题》，</w:t>
      </w:r>
      <w:r>
        <w:t>2002</w:t>
      </w:r>
      <w:r>
        <w:rPr>
          <w:rFonts w:cs="SimSun" w:hint="eastAsia"/>
        </w:rPr>
        <w:t>年。</w:t>
      </w:r>
    </w:p>
  </w:footnote>
  <w:footnote w:id="50">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w:t>
      </w:r>
      <w:r>
        <w:t>2002</w:t>
      </w:r>
      <w:r>
        <w:rPr>
          <w:rFonts w:cs="SimSun" w:hint="eastAsia"/>
        </w:rPr>
        <w:t>年《卫生部年度报告》。</w:t>
      </w:r>
      <w:r>
        <w:t xml:space="preserve"> </w:t>
      </w:r>
    </w:p>
  </w:footnote>
  <w:footnote w:id="51">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泛美卫生组织，</w:t>
      </w:r>
      <w:r>
        <w:t>2002</w:t>
      </w:r>
      <w:r>
        <w:rPr>
          <w:rFonts w:cs="SimSun" w:hint="eastAsia"/>
        </w:rPr>
        <w:t>年《卫生系统和服务概要》。</w:t>
      </w:r>
    </w:p>
  </w:footnote>
  <w:footnote w:id="52">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w:t>
      </w:r>
      <w:r>
        <w:t>2002</w:t>
      </w:r>
      <w:r>
        <w:rPr>
          <w:rFonts w:cs="SimSun" w:hint="eastAsia"/>
        </w:rPr>
        <w:t>年《卫生部年度报告》。</w:t>
      </w:r>
    </w:p>
  </w:footnote>
  <w:footnote w:id="53">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泛美卫生组织，《安全孕产：伯利兹妇女的生死问题》，</w:t>
      </w:r>
      <w:r>
        <w:t>2002</w:t>
      </w:r>
      <w:r>
        <w:rPr>
          <w:rFonts w:cs="SimSun" w:hint="eastAsia"/>
        </w:rPr>
        <w:t>年。</w:t>
      </w:r>
    </w:p>
  </w:footnote>
  <w:footnote w:id="54">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伯利兹家庭生活协会，《</w:t>
      </w:r>
      <w:r>
        <w:t>1999-2000</w:t>
      </w:r>
      <w:r>
        <w:rPr>
          <w:rFonts w:cs="SimSun" w:hint="eastAsia"/>
        </w:rPr>
        <w:t>年度报告》，</w:t>
      </w:r>
      <w:r>
        <w:t>2000</w:t>
      </w:r>
      <w:r>
        <w:rPr>
          <w:rFonts w:cs="SimSun" w:hint="eastAsia"/>
        </w:rPr>
        <w:t>年。</w:t>
      </w:r>
    </w:p>
  </w:footnote>
  <w:footnote w:id="55">
    <w:p w:rsidR="00B63B69" w:rsidRDefault="00B63B69" w:rsidP="00373976">
      <w:pPr>
        <w:pStyle w:val="FootnoteText"/>
        <w:tabs>
          <w:tab w:val="left" w:pos="315"/>
          <w:tab w:val="left" w:pos="7029"/>
        </w:tabs>
        <w:spacing w:afterLines="30" w:after="93" w:line="240" w:lineRule="auto"/>
      </w:pPr>
      <w:r>
        <w:rPr>
          <w:rStyle w:val="FootnoteReference"/>
        </w:rPr>
        <w:footnoteRef/>
      </w:r>
      <w:r>
        <w:t xml:space="preserve"> </w:t>
      </w:r>
      <w:r>
        <w:tab/>
      </w:r>
      <w:r>
        <w:rPr>
          <w:rFonts w:cs="SimSun" w:hint="eastAsia"/>
        </w:rPr>
        <w:t>同上。</w:t>
      </w:r>
    </w:p>
  </w:footnote>
  <w:footnote w:id="56">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泛美卫生组织，《安全孕产：伯利兹妇女的生死问题》，</w:t>
      </w:r>
      <w:r>
        <w:t>2002</w:t>
      </w:r>
      <w:r>
        <w:rPr>
          <w:rFonts w:cs="SimSun" w:hint="eastAsia"/>
        </w:rPr>
        <w:t>年。</w:t>
      </w:r>
    </w:p>
  </w:footnote>
  <w:footnote w:id="57">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58">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59">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伯利兹政府卫生部，《性健康和生殖健康政策》，伯利兹，</w:t>
      </w:r>
      <w:r>
        <w:t>2002</w:t>
      </w:r>
      <w:r>
        <w:rPr>
          <w:rFonts w:cs="SimSun" w:hint="eastAsia"/>
        </w:rPr>
        <w:t>年。</w:t>
      </w:r>
    </w:p>
  </w:footnote>
  <w:footnote w:id="60">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中央统计局，《</w:t>
      </w:r>
      <w:r>
        <w:t>1999</w:t>
      </w:r>
      <w:r>
        <w:rPr>
          <w:rFonts w:cs="SimSun" w:hint="eastAsia"/>
        </w:rPr>
        <w:t>年家庭健康调查》，</w:t>
      </w:r>
      <w:r>
        <w:t>2001</w:t>
      </w:r>
      <w:r>
        <w:rPr>
          <w:rFonts w:cs="SimSun" w:hint="eastAsia"/>
        </w:rPr>
        <w:t>年。</w:t>
      </w:r>
    </w:p>
  </w:footnote>
  <w:footnote w:id="61">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泛美卫生组织，《安全孕产：伯利兹妇女的生死问题》，</w:t>
      </w:r>
      <w:r>
        <w:t>2002</w:t>
      </w:r>
      <w:r>
        <w:rPr>
          <w:rFonts w:cs="SimSun" w:hint="eastAsia"/>
        </w:rPr>
        <w:t>年。</w:t>
      </w:r>
    </w:p>
  </w:footnote>
  <w:footnote w:id="62">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对伯利兹卡尔·赫斯那纪念医院档案科主任</w:t>
      </w:r>
      <w:r>
        <w:t>Elaine Clarke</w:t>
      </w:r>
      <w:r>
        <w:rPr>
          <w:rFonts w:cs="SimSun" w:hint="eastAsia"/>
        </w:rPr>
        <w:t>女士的采访。</w:t>
      </w:r>
    </w:p>
  </w:footnote>
  <w:footnote w:id="63">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泛美卫生组织，《安全孕产：伯利兹妇女的生死问题》，</w:t>
      </w:r>
      <w:r>
        <w:t>2002</w:t>
      </w:r>
      <w:r>
        <w:rPr>
          <w:rFonts w:cs="SimSun" w:hint="eastAsia"/>
        </w:rPr>
        <w:t>年。</w:t>
      </w:r>
    </w:p>
  </w:footnote>
  <w:footnote w:id="64">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65">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如泛美卫生组织，《安全孕产：伯利兹妇女的生死问题》（</w:t>
      </w:r>
      <w:r>
        <w:t>2002</w:t>
      </w:r>
      <w:r>
        <w:rPr>
          <w:rFonts w:cs="SimSun" w:hint="eastAsia"/>
        </w:rPr>
        <w:t>年）中所述。</w:t>
      </w:r>
    </w:p>
  </w:footnote>
  <w:footnote w:id="66">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经济发展部，《艾滋病毒</w:t>
      </w:r>
      <w:r>
        <w:t>/</w:t>
      </w:r>
      <w:r>
        <w:rPr>
          <w:rFonts w:cs="SimSun" w:hint="eastAsia"/>
        </w:rPr>
        <w:t>艾滋病的社会经济影响研究》，</w:t>
      </w:r>
      <w:r>
        <w:t>2002</w:t>
      </w:r>
      <w:r>
        <w:rPr>
          <w:rFonts w:cs="SimSun" w:hint="eastAsia"/>
        </w:rPr>
        <w:t>年。</w:t>
      </w:r>
    </w:p>
  </w:footnote>
  <w:footnote w:id="67">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中央统计局，《伯利兹家庭健康调查</w:t>
      </w:r>
      <w:r>
        <w:t>——</w:t>
      </w:r>
      <w:r>
        <w:rPr>
          <w:rFonts w:cs="SimSun" w:hint="eastAsia"/>
        </w:rPr>
        <w:t>妇女》，</w:t>
      </w:r>
      <w:r>
        <w:t>2001</w:t>
      </w:r>
      <w:r>
        <w:rPr>
          <w:rFonts w:cs="SimSun" w:hint="eastAsia"/>
        </w:rPr>
        <w:t>年。</w:t>
      </w:r>
    </w:p>
  </w:footnote>
  <w:footnote w:id="68">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伯利兹政府，全球基金项目建议，“加强伯利兹对艾滋病毒</w:t>
      </w:r>
      <w:r>
        <w:t>/</w:t>
      </w:r>
      <w:r>
        <w:rPr>
          <w:rFonts w:cs="SimSun" w:hint="eastAsia"/>
        </w:rPr>
        <w:t>艾滋病的跨部门反应能力”，</w:t>
      </w:r>
      <w:r>
        <w:t>2003</w:t>
      </w:r>
      <w:r>
        <w:rPr>
          <w:rFonts w:cs="SimSun" w:hint="eastAsia"/>
        </w:rPr>
        <w:t>年。</w:t>
      </w:r>
      <w:r>
        <w:t xml:space="preserve"> </w:t>
      </w:r>
    </w:p>
  </w:footnote>
  <w:footnote w:id="69">
    <w:p w:rsidR="00B63B69" w:rsidRDefault="00B63B69" w:rsidP="00373976">
      <w:pPr>
        <w:pStyle w:val="FootnoteText"/>
        <w:tabs>
          <w:tab w:val="left" w:pos="315"/>
        </w:tabs>
        <w:spacing w:afterLines="30" w:after="93" w:line="240" w:lineRule="auto"/>
      </w:pPr>
      <w:r>
        <w:rPr>
          <w:rStyle w:val="FootnoteReference"/>
        </w:rPr>
        <w:footnoteRef/>
      </w:r>
      <w:r>
        <w:t xml:space="preserve"> </w:t>
      </w:r>
      <w:r>
        <w:tab/>
        <w:t>Kempadoo</w:t>
      </w:r>
      <w:r>
        <w:rPr>
          <w:rFonts w:cs="SimSun" w:hint="eastAsia"/>
        </w:rPr>
        <w:t>，《奥兰治沃克区的姑娘和伯利兹的性工作》，</w:t>
      </w:r>
      <w:r>
        <w:t>1998</w:t>
      </w:r>
      <w:r>
        <w:rPr>
          <w:rFonts w:cs="SimSun" w:hint="eastAsia"/>
        </w:rPr>
        <w:t>年。</w:t>
      </w:r>
    </w:p>
  </w:footnote>
  <w:footnote w:id="70">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伯利兹政府，卫生部国家卫生信息和监督局，《</w:t>
      </w:r>
      <w:r>
        <w:t>2001</w:t>
      </w:r>
      <w:r>
        <w:rPr>
          <w:rFonts w:cs="SimSun" w:hint="eastAsia"/>
        </w:rPr>
        <w:t>年</w:t>
      </w:r>
      <w:r>
        <w:t>1</w:t>
      </w:r>
      <w:r>
        <w:rPr>
          <w:rFonts w:cs="SimSun" w:hint="eastAsia"/>
        </w:rPr>
        <w:t>月至</w:t>
      </w:r>
      <w:r>
        <w:t>12</w:t>
      </w:r>
      <w:r>
        <w:rPr>
          <w:rFonts w:cs="SimSun" w:hint="eastAsia"/>
        </w:rPr>
        <w:t>月家庭暴力报告》，</w:t>
      </w:r>
      <w:r>
        <w:t>2002</w:t>
      </w:r>
      <w:r>
        <w:rPr>
          <w:rFonts w:cs="SimSun" w:hint="eastAsia"/>
        </w:rPr>
        <w:t>年</w:t>
      </w:r>
      <w:r>
        <w:t>6</w:t>
      </w:r>
      <w:r>
        <w:rPr>
          <w:rFonts w:cs="SimSun" w:hint="eastAsia"/>
        </w:rPr>
        <w:t>月。</w:t>
      </w:r>
    </w:p>
  </w:footnote>
  <w:footnote w:id="71">
    <w:p w:rsidR="00B63B69" w:rsidRDefault="00B63B69" w:rsidP="00373976">
      <w:pPr>
        <w:pStyle w:val="FootnoteText"/>
        <w:tabs>
          <w:tab w:val="left" w:pos="315"/>
        </w:tabs>
        <w:spacing w:afterLines="30" w:after="93" w:line="240" w:lineRule="auto"/>
      </w:pPr>
      <w:r>
        <w:rPr>
          <w:rStyle w:val="FootnoteReference"/>
        </w:rPr>
        <w:footnoteRef/>
      </w:r>
      <w:r>
        <w:t xml:space="preserve"> </w:t>
      </w:r>
      <w:r>
        <w:tab/>
        <w:t>2002</w:t>
      </w:r>
      <w:r>
        <w:rPr>
          <w:rFonts w:cs="SimSun" w:hint="eastAsia"/>
        </w:rPr>
        <w:t>年对天堂之家主席</w:t>
      </w:r>
      <w:r>
        <w:t>Carmen Barrow</w:t>
      </w:r>
      <w:r>
        <w:rPr>
          <w:rFonts w:cs="SimSun" w:hint="eastAsia"/>
        </w:rPr>
        <w:t>女士的采访。</w:t>
      </w:r>
    </w:p>
  </w:footnote>
  <w:footnote w:id="72">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全国妇女委员会，《国家性别政策》，</w:t>
      </w:r>
      <w:r>
        <w:t>2003</w:t>
      </w:r>
      <w:r>
        <w:rPr>
          <w:rFonts w:cs="SimSun" w:hint="eastAsia"/>
        </w:rPr>
        <w:t>年。</w:t>
      </w:r>
    </w:p>
  </w:footnote>
  <w:footnote w:id="73">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中央统计局</w:t>
      </w:r>
      <w:r>
        <w:t xml:space="preserve">, </w:t>
      </w:r>
      <w:r>
        <w:rPr>
          <w:rFonts w:cs="SimSun" w:hint="eastAsia"/>
        </w:rPr>
        <w:t>《</w:t>
      </w:r>
      <w:r>
        <w:t>2002</w:t>
      </w:r>
      <w:r>
        <w:rPr>
          <w:rFonts w:cs="SimSun" w:hint="eastAsia"/>
        </w:rPr>
        <w:t>年统计概要》。</w:t>
      </w:r>
    </w:p>
  </w:footnote>
  <w:footnote w:id="74">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伯利兹政府，《</w:t>
      </w:r>
      <w:r>
        <w:t>2002</w:t>
      </w:r>
      <w:r>
        <w:rPr>
          <w:rFonts w:cs="SimSun" w:hint="eastAsia"/>
        </w:rPr>
        <w:t>年贫困评估报告》，全国人类发展咨询委员会，</w:t>
      </w:r>
      <w:r>
        <w:t>2004</w:t>
      </w:r>
      <w:r>
        <w:rPr>
          <w:rFonts w:cs="SimSun" w:hint="eastAsia"/>
        </w:rPr>
        <w:t>年</w:t>
      </w:r>
      <w:r>
        <w:t>6</w:t>
      </w:r>
      <w:r>
        <w:rPr>
          <w:rFonts w:cs="SimSun" w:hint="eastAsia"/>
        </w:rPr>
        <w:t>月。</w:t>
      </w:r>
    </w:p>
  </w:footnote>
  <w:footnote w:id="75">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同上。</w:t>
      </w:r>
    </w:p>
  </w:footnote>
  <w:footnote w:id="76">
    <w:p w:rsidR="00B63B69" w:rsidRDefault="00B63B69" w:rsidP="00373976">
      <w:pPr>
        <w:pStyle w:val="FootnoteText"/>
        <w:tabs>
          <w:tab w:val="left" w:pos="315"/>
        </w:tabs>
        <w:spacing w:afterLines="30" w:after="93" w:line="240" w:lineRule="auto"/>
      </w:pPr>
      <w:r>
        <w:rPr>
          <w:rStyle w:val="FootnoteReference"/>
        </w:rPr>
        <w:footnoteRef/>
      </w:r>
      <w:r>
        <w:t xml:space="preserve"> </w:t>
      </w:r>
      <w:r>
        <w:tab/>
      </w:r>
      <w:r>
        <w:rPr>
          <w:rFonts w:cs="SimSun" w:hint="eastAsia"/>
        </w:rPr>
        <w:t>对托莱多区蓬塔格尔达镇伯利兹家庭生活协会诊所护士</w:t>
      </w:r>
      <w:r>
        <w:t>Donna</w:t>
      </w:r>
      <w:r>
        <w:rPr>
          <w:rFonts w:cs="SimSun" w:hint="eastAsia"/>
        </w:rPr>
        <w:t>的采访。</w:t>
      </w:r>
    </w:p>
  </w:footnote>
  <w:footnote w:id="77">
    <w:p w:rsidR="00B63B69" w:rsidRDefault="00B63B69" w:rsidP="00373976">
      <w:pPr>
        <w:tabs>
          <w:tab w:val="left" w:pos="315"/>
        </w:tabs>
        <w:spacing w:afterLines="30" w:after="93" w:line="240" w:lineRule="auto"/>
        <w:rPr>
          <w:sz w:val="18"/>
          <w:szCs w:val="18"/>
        </w:rPr>
      </w:pPr>
      <w:r>
        <w:rPr>
          <w:rStyle w:val="FootnoteReference"/>
          <w:sz w:val="18"/>
          <w:szCs w:val="18"/>
        </w:rPr>
        <w:footnoteRef/>
      </w:r>
      <w:r>
        <w:rPr>
          <w:sz w:val="18"/>
          <w:szCs w:val="18"/>
        </w:rPr>
        <w:t xml:space="preserve">(2) </w:t>
      </w:r>
      <w:r>
        <w:rPr>
          <w:rFonts w:cs="SimSun" w:hint="eastAsia"/>
          <w:sz w:val="18"/>
          <w:szCs w:val="18"/>
        </w:rPr>
        <w:t>第</w:t>
      </w:r>
      <w:r>
        <w:rPr>
          <w:sz w:val="18"/>
          <w:szCs w:val="18"/>
        </w:rPr>
        <w:t>(1)</w:t>
      </w:r>
      <w:r>
        <w:rPr>
          <w:rFonts w:cs="SimSun" w:hint="eastAsia"/>
          <w:sz w:val="18"/>
          <w:szCs w:val="18"/>
        </w:rPr>
        <w:t>段提到的情形如下：</w:t>
      </w:r>
    </w:p>
    <w:p w:rsidR="00B63B69" w:rsidRDefault="00B63B69" w:rsidP="00373976">
      <w:pPr>
        <w:numPr>
          <w:ilvl w:val="0"/>
          <w:numId w:val="21"/>
        </w:numPr>
        <w:tabs>
          <w:tab w:val="left" w:pos="315"/>
        </w:tabs>
        <w:spacing w:afterLines="30" w:after="93" w:line="240" w:lineRule="auto"/>
        <w:jc w:val="both"/>
        <w:rPr>
          <w:sz w:val="18"/>
          <w:szCs w:val="18"/>
        </w:rPr>
      </w:pPr>
      <w:r>
        <w:rPr>
          <w:rFonts w:cs="SimSun" w:hint="eastAsia"/>
          <w:sz w:val="18"/>
          <w:szCs w:val="18"/>
        </w:rPr>
        <w:t>配偶双方已经分居并在《已婚人员（保护）法》中所指含义下分别单独生活；</w:t>
      </w:r>
    </w:p>
    <w:p w:rsidR="00B63B69" w:rsidRDefault="00B63B69" w:rsidP="00373976">
      <w:pPr>
        <w:numPr>
          <w:ilvl w:val="0"/>
          <w:numId w:val="21"/>
        </w:numPr>
        <w:tabs>
          <w:tab w:val="left" w:pos="315"/>
        </w:tabs>
        <w:spacing w:afterLines="30" w:after="93" w:line="240" w:lineRule="auto"/>
        <w:jc w:val="both"/>
        <w:rPr>
          <w:sz w:val="18"/>
          <w:szCs w:val="18"/>
        </w:rPr>
      </w:pPr>
      <w:r>
        <w:rPr>
          <w:rFonts w:cs="SimSun" w:hint="eastAsia"/>
          <w:sz w:val="18"/>
          <w:szCs w:val="18"/>
        </w:rPr>
        <w:t>配偶双方已有书面分居协议；</w:t>
      </w:r>
    </w:p>
    <w:p w:rsidR="00B63B69" w:rsidRDefault="00B63B69" w:rsidP="00373976">
      <w:pPr>
        <w:numPr>
          <w:ilvl w:val="0"/>
          <w:numId w:val="21"/>
        </w:numPr>
        <w:tabs>
          <w:tab w:val="left" w:pos="315"/>
        </w:tabs>
        <w:spacing w:afterLines="30" w:after="93" w:line="240" w:lineRule="auto"/>
        <w:jc w:val="both"/>
        <w:rPr>
          <w:sz w:val="18"/>
          <w:szCs w:val="18"/>
        </w:rPr>
      </w:pPr>
      <w:r>
        <w:rPr>
          <w:rFonts w:cs="SimSun" w:hint="eastAsia"/>
          <w:sz w:val="18"/>
          <w:szCs w:val="18"/>
        </w:rPr>
        <w:t>解除婚姻或判决婚姻无效的法律程序已经开始；</w:t>
      </w:r>
    </w:p>
    <w:p w:rsidR="00B63B69" w:rsidRDefault="00B63B69" w:rsidP="00373976">
      <w:pPr>
        <w:numPr>
          <w:ilvl w:val="0"/>
          <w:numId w:val="21"/>
        </w:numPr>
        <w:tabs>
          <w:tab w:val="left" w:pos="315"/>
        </w:tabs>
        <w:spacing w:afterLines="30" w:after="93" w:line="240" w:lineRule="auto"/>
        <w:jc w:val="both"/>
        <w:rPr>
          <w:sz w:val="18"/>
          <w:szCs w:val="18"/>
        </w:rPr>
      </w:pPr>
      <w:r>
        <w:rPr>
          <w:rFonts w:cs="SimSun" w:hint="eastAsia"/>
          <w:sz w:val="18"/>
          <w:szCs w:val="18"/>
        </w:rPr>
        <w:t>已做出或送达针对配偶一方的不再同居、不得骚扰、离开婚姻住所或对配偶另一方采取人身保护的指令或禁令（视情况而定）；</w:t>
      </w:r>
    </w:p>
    <w:p w:rsidR="00B63B69" w:rsidRDefault="00B63B69" w:rsidP="00373976">
      <w:pPr>
        <w:numPr>
          <w:ilvl w:val="0"/>
          <w:numId w:val="21"/>
        </w:numPr>
        <w:tabs>
          <w:tab w:val="left" w:pos="315"/>
        </w:tabs>
        <w:spacing w:afterLines="30" w:after="93" w:line="240" w:lineRule="auto"/>
        <w:jc w:val="both"/>
        <w:rPr>
          <w:sz w:val="18"/>
          <w:szCs w:val="18"/>
        </w:rPr>
      </w:pPr>
      <w:r>
        <w:rPr>
          <w:rFonts w:cs="SimSun" w:hint="eastAsia"/>
          <w:sz w:val="18"/>
          <w:szCs w:val="18"/>
        </w:rPr>
        <w:t>配偶之一已开始执行</w:t>
      </w:r>
      <w:r>
        <w:rPr>
          <w:sz w:val="18"/>
          <w:szCs w:val="18"/>
        </w:rPr>
        <w:t>(d)</w:t>
      </w:r>
      <w:r>
        <w:rPr>
          <w:rFonts w:cs="SimSun" w:hint="eastAsia"/>
          <w:sz w:val="18"/>
          <w:szCs w:val="18"/>
        </w:rPr>
        <w:t>段所列事项；</w:t>
      </w:r>
    </w:p>
    <w:p w:rsidR="00B63B69" w:rsidRDefault="00B63B69" w:rsidP="00373976">
      <w:pPr>
        <w:numPr>
          <w:ilvl w:val="0"/>
          <w:numId w:val="21"/>
        </w:numPr>
        <w:tabs>
          <w:tab w:val="left" w:pos="315"/>
        </w:tabs>
        <w:spacing w:afterLines="30" w:after="93" w:line="240" w:lineRule="auto"/>
        <w:jc w:val="both"/>
      </w:pPr>
      <w:r>
        <w:rPr>
          <w:rFonts w:cs="SimSun" w:hint="eastAsia"/>
          <w:sz w:val="18"/>
          <w:szCs w:val="18"/>
        </w:rPr>
        <w:t>性交之前或当中或对女性配偶进行攻击、殴打、损害或伤害。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B63B69">
      <w:tblPrEx>
        <w:tblCellMar>
          <w:top w:w="0" w:type="dxa"/>
          <w:bottom w:w="0" w:type="dxa"/>
        </w:tblCellMar>
      </w:tblPrEx>
      <w:trPr>
        <w:trHeight w:hRule="exact" w:val="864"/>
      </w:trPr>
      <w:tc>
        <w:tcPr>
          <w:tcW w:w="4838" w:type="dxa"/>
          <w:shd w:val="clear" w:color="auto" w:fill="auto"/>
          <w:vAlign w:val="bottom"/>
        </w:tcPr>
        <w:p w:rsidR="00B63B69" w:rsidRPr="00C63E70" w:rsidRDefault="00B63B69" w:rsidP="00C63E70">
          <w:pPr>
            <w:pStyle w:val="Header"/>
            <w:spacing w:after="80"/>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CEDAW/C/BLZ/3-4</w:t>
          </w:r>
          <w:r>
            <w:rPr>
              <w:b/>
              <w:sz w:val="17"/>
            </w:rPr>
            <w:fldChar w:fldCharType="end"/>
          </w:r>
        </w:p>
      </w:tc>
      <w:tc>
        <w:tcPr>
          <w:tcW w:w="5034" w:type="dxa"/>
          <w:shd w:val="clear" w:color="auto" w:fill="auto"/>
          <w:vAlign w:val="bottom"/>
        </w:tcPr>
        <w:p w:rsidR="00B63B69" w:rsidRDefault="00B63B69" w:rsidP="00C63E70">
          <w:pPr>
            <w:pStyle w:val="Header"/>
          </w:pPr>
        </w:p>
      </w:tc>
    </w:tr>
  </w:tbl>
  <w:p w:rsidR="00B63B69" w:rsidRPr="00C63E70" w:rsidRDefault="00B63B69" w:rsidP="00C63E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B63B69">
      <w:tblPrEx>
        <w:tblCellMar>
          <w:top w:w="0" w:type="dxa"/>
          <w:bottom w:w="0" w:type="dxa"/>
        </w:tblCellMar>
      </w:tblPrEx>
      <w:trPr>
        <w:trHeight w:hRule="exact" w:val="864"/>
      </w:trPr>
      <w:tc>
        <w:tcPr>
          <w:tcW w:w="4838" w:type="dxa"/>
          <w:shd w:val="clear" w:color="auto" w:fill="auto"/>
          <w:vAlign w:val="bottom"/>
        </w:tcPr>
        <w:p w:rsidR="00B63B69" w:rsidRDefault="00B63B69" w:rsidP="00C63E70">
          <w:pPr>
            <w:pStyle w:val="Header"/>
          </w:pPr>
        </w:p>
      </w:tc>
      <w:tc>
        <w:tcPr>
          <w:tcW w:w="5034" w:type="dxa"/>
          <w:shd w:val="clear" w:color="auto" w:fill="auto"/>
          <w:vAlign w:val="bottom"/>
        </w:tcPr>
        <w:p w:rsidR="00B63B69" w:rsidRPr="00C63E70" w:rsidRDefault="00B63B69" w:rsidP="00C63E7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CEDAW/C/BLZ/3-4</w:t>
          </w:r>
          <w:r>
            <w:rPr>
              <w:b/>
              <w:sz w:val="17"/>
            </w:rPr>
            <w:fldChar w:fldCharType="end"/>
          </w:r>
        </w:p>
      </w:tc>
    </w:tr>
  </w:tbl>
  <w:p w:rsidR="00B63B69" w:rsidRPr="00C63E70" w:rsidRDefault="00B63B69" w:rsidP="00C63E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63B6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63B69" w:rsidRDefault="00B63B69" w:rsidP="00C63E70">
          <w:pPr>
            <w:pStyle w:val="Header"/>
            <w:spacing w:after="120"/>
          </w:pPr>
        </w:p>
      </w:tc>
      <w:tc>
        <w:tcPr>
          <w:tcW w:w="1872" w:type="dxa"/>
          <w:tcBorders>
            <w:bottom w:val="single" w:sz="4" w:space="0" w:color="auto"/>
          </w:tcBorders>
          <w:shd w:val="clear" w:color="auto" w:fill="auto"/>
          <w:vAlign w:val="bottom"/>
        </w:tcPr>
        <w:p w:rsidR="00B63B69" w:rsidRPr="00C63E70" w:rsidRDefault="00B63B69" w:rsidP="00C63E7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63B69" w:rsidRDefault="00B63B69" w:rsidP="00C63E70">
          <w:pPr>
            <w:pStyle w:val="Header"/>
            <w:spacing w:after="120"/>
          </w:pPr>
        </w:p>
      </w:tc>
      <w:tc>
        <w:tcPr>
          <w:tcW w:w="6523" w:type="dxa"/>
          <w:gridSpan w:val="3"/>
          <w:tcBorders>
            <w:bottom w:val="single" w:sz="4" w:space="0" w:color="auto"/>
          </w:tcBorders>
          <w:shd w:val="clear" w:color="auto" w:fill="auto"/>
          <w:vAlign w:val="bottom"/>
        </w:tcPr>
        <w:p w:rsidR="00B63B69" w:rsidRPr="00C63E70" w:rsidRDefault="00B63B69" w:rsidP="00C63E7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/C/BLZ/3-4</w:t>
          </w:r>
        </w:p>
      </w:tc>
    </w:tr>
    <w:tr w:rsidR="00B63B69" w:rsidRPr="00C63E7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63B69" w:rsidRDefault="00B63B69" w:rsidP="00C63E7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7.25pt">
                <v:imagedata r:id="rId1" o:title="_unlogo"/>
              </v:shape>
            </w:pict>
          </w:r>
        </w:p>
        <w:p w:rsidR="00B63B69" w:rsidRPr="00C63E70" w:rsidRDefault="00B63B69" w:rsidP="00C63E70">
          <w:pPr>
            <w:pStyle w:val="Header"/>
            <w:spacing w:before="109"/>
            <w:ind w:left="-72"/>
          </w:pPr>
        </w:p>
      </w:tc>
      <w:tc>
        <w:tcPr>
          <w:tcW w:w="5227" w:type="dxa"/>
          <w:gridSpan w:val="3"/>
          <w:tcBorders>
            <w:top w:val="single" w:sz="4" w:space="0" w:color="auto"/>
            <w:bottom w:val="single" w:sz="12" w:space="0" w:color="auto"/>
          </w:tcBorders>
          <w:shd w:val="clear" w:color="auto" w:fill="auto"/>
        </w:tcPr>
        <w:p w:rsidR="00B63B69" w:rsidRPr="00C63E70" w:rsidRDefault="00B63B69" w:rsidP="00C63E7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63B69" w:rsidRPr="00C63E70" w:rsidRDefault="00B63B69" w:rsidP="00C63E70">
          <w:pPr>
            <w:pStyle w:val="Header"/>
            <w:spacing w:before="109"/>
          </w:pPr>
        </w:p>
      </w:tc>
      <w:tc>
        <w:tcPr>
          <w:tcW w:w="3180" w:type="dxa"/>
          <w:gridSpan w:val="2"/>
          <w:tcBorders>
            <w:top w:val="single" w:sz="4" w:space="0" w:color="auto"/>
            <w:bottom w:val="single" w:sz="12" w:space="0" w:color="auto"/>
          </w:tcBorders>
          <w:shd w:val="clear" w:color="auto" w:fill="auto"/>
        </w:tcPr>
        <w:p w:rsidR="00B63B69" w:rsidRDefault="00B63B69" w:rsidP="00C63E70">
          <w:pPr>
            <w:spacing w:before="240" w:line="240" w:lineRule="exact"/>
            <w:rPr>
              <w:rFonts w:ascii="Times New Roman"/>
            </w:rPr>
          </w:pPr>
          <w:r>
            <w:rPr>
              <w:rFonts w:ascii="Times New Roman"/>
            </w:rPr>
            <w:t>Distr.: General</w:t>
          </w:r>
        </w:p>
        <w:p w:rsidR="00B63B69" w:rsidRDefault="00B63B69" w:rsidP="00C63E70">
          <w:pPr>
            <w:spacing w:line="240" w:lineRule="exact"/>
            <w:rPr>
              <w:rFonts w:ascii="Times New Roman"/>
            </w:rPr>
          </w:pPr>
          <w:r>
            <w:rPr>
              <w:rFonts w:ascii="Times New Roman"/>
            </w:rPr>
            <w:t>26 September 2005</w:t>
          </w:r>
        </w:p>
        <w:p w:rsidR="00B63B69" w:rsidRDefault="00B63B69" w:rsidP="00C63E70">
          <w:pPr>
            <w:spacing w:line="240" w:lineRule="exact"/>
            <w:rPr>
              <w:rFonts w:ascii="Times New Roman"/>
            </w:rPr>
          </w:pPr>
          <w:r>
            <w:rPr>
              <w:rFonts w:ascii="Times New Roman"/>
            </w:rPr>
            <w:t>Chinese</w:t>
          </w:r>
        </w:p>
        <w:p w:rsidR="00B63B69" w:rsidRPr="00C63E70" w:rsidRDefault="00B63B69" w:rsidP="00C63E70">
          <w:pPr>
            <w:spacing w:line="240" w:lineRule="exact"/>
            <w:rPr>
              <w:rFonts w:ascii="Times New Roman"/>
            </w:rPr>
          </w:pPr>
          <w:r>
            <w:rPr>
              <w:rFonts w:ascii="Times New Roman"/>
            </w:rPr>
            <w:t>Original: English</w:t>
          </w:r>
        </w:p>
      </w:tc>
    </w:tr>
  </w:tbl>
  <w:p w:rsidR="00B63B69" w:rsidRPr="00C63E70" w:rsidRDefault="00B63B69" w:rsidP="00C63E7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61986EDA"/>
    <w:lvl w:ilvl="0">
      <w:start w:val="1"/>
      <w:numFmt w:val="decimal"/>
      <w:lvlText w:val="%1."/>
      <w:lvlJc w:val="left"/>
      <w:pPr>
        <w:tabs>
          <w:tab w:val="num" w:pos="1620"/>
        </w:tabs>
        <w:ind w:left="1620" w:hanging="360"/>
      </w:pPr>
    </w:lvl>
  </w:abstractNum>
  <w:abstractNum w:abstractNumId="1">
    <w:nsid w:val="FFFFFF7E"/>
    <w:multiLevelType w:val="singleLevel"/>
    <w:tmpl w:val="139212D2"/>
    <w:lvl w:ilvl="0">
      <w:start w:val="1"/>
      <w:numFmt w:val="decimal"/>
      <w:lvlText w:val="%1."/>
      <w:lvlJc w:val="left"/>
      <w:pPr>
        <w:tabs>
          <w:tab w:val="num" w:pos="1200"/>
        </w:tabs>
        <w:ind w:left="1200" w:hanging="360"/>
      </w:pPr>
    </w:lvl>
  </w:abstractNum>
  <w:abstractNum w:abstractNumId="2">
    <w:nsid w:val="FFFFFF7F"/>
    <w:multiLevelType w:val="singleLevel"/>
    <w:tmpl w:val="2D569AD0"/>
    <w:lvl w:ilvl="0">
      <w:start w:val="1"/>
      <w:numFmt w:val="decimal"/>
      <w:lvlText w:val="%1."/>
      <w:lvlJc w:val="left"/>
      <w:pPr>
        <w:tabs>
          <w:tab w:val="num" w:pos="780"/>
        </w:tabs>
        <w:ind w:left="780" w:hanging="360"/>
      </w:pPr>
    </w:lvl>
  </w:abstractNum>
  <w:abstractNum w:abstractNumId="3">
    <w:nsid w:val="FFFFFF89"/>
    <w:multiLevelType w:val="singleLevel"/>
    <w:tmpl w:val="33FA860E"/>
    <w:lvl w:ilvl="0">
      <w:start w:val="1"/>
      <w:numFmt w:val="bullet"/>
      <w:lvlText w:val=""/>
      <w:lvlJc w:val="left"/>
      <w:pPr>
        <w:tabs>
          <w:tab w:val="num" w:pos="360"/>
        </w:tabs>
        <w:ind w:left="360" w:hanging="360"/>
      </w:pPr>
      <w:rPr>
        <w:rFonts w:ascii="Wingdings" w:hAnsi="Wingdings" w:cs="Wingdings" w:hint="default"/>
      </w:rPr>
    </w:lvl>
  </w:abstractNum>
  <w:abstractNum w:abstractNumId="4">
    <w:nsid w:val="06F044E2"/>
    <w:multiLevelType w:val="hybridMultilevel"/>
    <w:tmpl w:val="7F44CF24"/>
    <w:lvl w:ilvl="0" w:tplc="DB7A6712">
      <w:start w:val="117"/>
      <w:numFmt w:val="decimal"/>
      <w:lvlText w:val="%1."/>
      <w:lvlJc w:val="left"/>
      <w:pPr>
        <w:tabs>
          <w:tab w:val="num" w:pos="0"/>
        </w:tabs>
        <w:ind w:left="907" w:hanging="737"/>
      </w:pPr>
      <w:rPr>
        <w:rFonts w:hint="eastAsia"/>
        <w:b w:val="0"/>
        <w:bCs w:val="0"/>
        <w:sz w:val="21"/>
        <w:szCs w:val="21"/>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
    <w:nsid w:val="07882659"/>
    <w:multiLevelType w:val="hybridMultilevel"/>
    <w:tmpl w:val="951015D0"/>
    <w:lvl w:ilvl="0" w:tplc="31BC75D4">
      <w:start w:val="128"/>
      <w:numFmt w:val="decimal"/>
      <w:lvlText w:val="%1."/>
      <w:lvlJc w:val="left"/>
      <w:pPr>
        <w:tabs>
          <w:tab w:val="num" w:pos="510"/>
        </w:tabs>
        <w:ind w:left="680" w:hanging="680"/>
      </w:pPr>
      <w:rPr>
        <w:rFonts w:ascii="Times New Roman" w:hAnsi="Times New Roman" w:cs="Times New Roman"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
    <w:nsid w:val="08EA3C1E"/>
    <w:multiLevelType w:val="hybridMultilevel"/>
    <w:tmpl w:val="E3304222"/>
    <w:lvl w:ilvl="0" w:tplc="F210022E">
      <w:start w:val="1"/>
      <w:numFmt w:val="decimal"/>
      <w:lvlText w:val="%1、"/>
      <w:lvlJc w:val="left"/>
      <w:pPr>
        <w:tabs>
          <w:tab w:val="num" w:pos="720"/>
        </w:tabs>
        <w:ind w:left="720" w:hanging="720"/>
      </w:pPr>
      <w:rPr>
        <w:rFonts w:hint="eastAsia"/>
      </w:rPr>
    </w:lvl>
    <w:lvl w:ilvl="1" w:tplc="21EE2EF0">
      <w:start w:val="1"/>
      <w:numFmt w:val="lowerLetter"/>
      <w:lvlText w:val="(%2)"/>
      <w:lvlJc w:val="left"/>
      <w:pPr>
        <w:tabs>
          <w:tab w:val="num" w:pos="780"/>
        </w:tabs>
        <w:ind w:left="780" w:hanging="360"/>
      </w:pPr>
      <w:rPr>
        <w:rFonts w:hint="eastAsia"/>
      </w:rPr>
    </w:lvl>
    <w:lvl w:ilvl="2" w:tplc="59A45E48">
      <w:start w:val="3"/>
      <w:numFmt w:val="decimal"/>
      <w:lvlText w:val="%3."/>
      <w:lvlJc w:val="left"/>
      <w:pPr>
        <w:tabs>
          <w:tab w:val="num" w:pos="680"/>
        </w:tabs>
        <w:ind w:left="680" w:hanging="680"/>
      </w:pPr>
      <w:rPr>
        <w:rFonts w:hint="eastAsia"/>
        <w:sz w:val="28"/>
        <w:szCs w:val="28"/>
      </w:r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7">
    <w:nsid w:val="10B7626E"/>
    <w:multiLevelType w:val="hybridMultilevel"/>
    <w:tmpl w:val="CFA223BC"/>
    <w:lvl w:ilvl="0" w:tplc="085E780E">
      <w:start w:val="223"/>
      <w:numFmt w:val="decimal"/>
      <w:lvlText w:val="%1."/>
      <w:lvlJc w:val="left"/>
      <w:pPr>
        <w:tabs>
          <w:tab w:val="num" w:pos="0"/>
        </w:tabs>
        <w:ind w:left="624" w:hanging="624"/>
      </w:pPr>
      <w:rPr>
        <w:rFonts w:eastAsia="SimSun" w:hint="eastAsia"/>
        <w:i w:val="0"/>
        <w:iCs w:val="0"/>
        <w:color w:val="auto"/>
        <w:sz w:val="21"/>
        <w:szCs w:val="21"/>
      </w:rPr>
    </w:lvl>
    <w:lvl w:ilvl="1" w:tplc="033A0FF0">
      <w:start w:val="223"/>
      <w:numFmt w:val="bullet"/>
      <w:lvlText w:val=""/>
      <w:lvlJc w:val="left"/>
      <w:pPr>
        <w:tabs>
          <w:tab w:val="num" w:pos="1534"/>
        </w:tabs>
        <w:ind w:left="1534" w:hanging="454"/>
      </w:pPr>
      <w:rPr>
        <w:rFonts w:ascii="Wingdings" w:hAnsi="Wingdings" w:cs="Wingdings" w:hint="default"/>
        <w:i w:val="0"/>
        <w:iCs w:val="0"/>
        <w:color w:val="auto"/>
        <w:sz w:val="21"/>
        <w:szCs w:val="21"/>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1A1603D4"/>
    <w:multiLevelType w:val="hybridMultilevel"/>
    <w:tmpl w:val="2C44A6F4"/>
    <w:lvl w:ilvl="0" w:tplc="04090019">
      <w:start w:val="1"/>
      <w:numFmt w:val="lowerLetter"/>
      <w:lvlText w:val="%1)"/>
      <w:lvlJc w:val="left"/>
      <w:pPr>
        <w:tabs>
          <w:tab w:val="num" w:pos="840"/>
        </w:tabs>
        <w:ind w:left="840" w:hanging="420"/>
      </w:pPr>
    </w:lvl>
    <w:lvl w:ilvl="1" w:tplc="04090019">
      <w:start w:val="1"/>
      <w:numFmt w:val="lowerLetter"/>
      <w:lvlText w:val="%2)"/>
      <w:lvlJc w:val="left"/>
      <w:pPr>
        <w:tabs>
          <w:tab w:val="num" w:pos="1260"/>
        </w:tabs>
        <w:ind w:left="1260" w:hanging="420"/>
      </w:pPr>
    </w:lvl>
    <w:lvl w:ilvl="2" w:tplc="0409001B">
      <w:start w:val="1"/>
      <w:numFmt w:val="lowerRoman"/>
      <w:lvlText w:val="%3."/>
      <w:lvlJc w:val="right"/>
      <w:pPr>
        <w:tabs>
          <w:tab w:val="num" w:pos="1680"/>
        </w:tabs>
        <w:ind w:left="1680" w:hanging="420"/>
      </w:pPr>
    </w:lvl>
    <w:lvl w:ilvl="3" w:tplc="0409000F">
      <w:start w:val="1"/>
      <w:numFmt w:val="decimal"/>
      <w:lvlText w:val="%4."/>
      <w:lvlJc w:val="left"/>
      <w:pPr>
        <w:tabs>
          <w:tab w:val="num" w:pos="2100"/>
        </w:tabs>
        <w:ind w:left="2100" w:hanging="420"/>
      </w:pPr>
    </w:lvl>
    <w:lvl w:ilvl="4" w:tplc="04090019">
      <w:start w:val="1"/>
      <w:numFmt w:val="lowerLetter"/>
      <w:lvlText w:val="%5)"/>
      <w:lvlJc w:val="left"/>
      <w:pPr>
        <w:tabs>
          <w:tab w:val="num" w:pos="2520"/>
        </w:tabs>
        <w:ind w:left="2520" w:hanging="420"/>
      </w:pPr>
    </w:lvl>
    <w:lvl w:ilvl="5" w:tplc="0409001B">
      <w:start w:val="1"/>
      <w:numFmt w:val="lowerRoman"/>
      <w:lvlText w:val="%6."/>
      <w:lvlJc w:val="right"/>
      <w:pPr>
        <w:tabs>
          <w:tab w:val="num" w:pos="2940"/>
        </w:tabs>
        <w:ind w:left="2940" w:hanging="420"/>
      </w:pPr>
    </w:lvl>
    <w:lvl w:ilvl="6" w:tplc="0409000F">
      <w:start w:val="1"/>
      <w:numFmt w:val="decimal"/>
      <w:lvlText w:val="%7."/>
      <w:lvlJc w:val="left"/>
      <w:pPr>
        <w:tabs>
          <w:tab w:val="num" w:pos="3360"/>
        </w:tabs>
        <w:ind w:left="3360" w:hanging="420"/>
      </w:pPr>
    </w:lvl>
    <w:lvl w:ilvl="7" w:tplc="04090019">
      <w:start w:val="1"/>
      <w:numFmt w:val="lowerLetter"/>
      <w:lvlText w:val="%8)"/>
      <w:lvlJc w:val="left"/>
      <w:pPr>
        <w:tabs>
          <w:tab w:val="num" w:pos="3780"/>
        </w:tabs>
        <w:ind w:left="3780" w:hanging="420"/>
      </w:pPr>
    </w:lvl>
    <w:lvl w:ilvl="8" w:tplc="0409001B">
      <w:start w:val="1"/>
      <w:numFmt w:val="lowerRoman"/>
      <w:lvlText w:val="%9."/>
      <w:lvlJc w:val="right"/>
      <w:pPr>
        <w:tabs>
          <w:tab w:val="num" w:pos="4200"/>
        </w:tabs>
        <w:ind w:left="4200" w:hanging="420"/>
      </w:pPr>
    </w:lvl>
  </w:abstractNum>
  <w:abstractNum w:abstractNumId="9">
    <w:nsid w:val="208F397E"/>
    <w:multiLevelType w:val="hybridMultilevel"/>
    <w:tmpl w:val="492CACA6"/>
    <w:lvl w:ilvl="0" w:tplc="F4BEC6F6">
      <w:start w:val="1"/>
      <w:numFmt w:val="lowerLetter"/>
      <w:lvlText w:val="（%1）"/>
      <w:lvlJc w:val="left"/>
      <w:pPr>
        <w:tabs>
          <w:tab w:val="num" w:pos="1890"/>
        </w:tabs>
        <w:ind w:left="1890" w:hanging="1305"/>
      </w:pPr>
      <w:rPr>
        <w:rFonts w:hint="eastAsia"/>
      </w:rPr>
    </w:lvl>
    <w:lvl w:ilvl="1" w:tplc="04090019">
      <w:start w:val="1"/>
      <w:numFmt w:val="lowerLetter"/>
      <w:lvlText w:val="%2)"/>
      <w:lvlJc w:val="left"/>
      <w:pPr>
        <w:tabs>
          <w:tab w:val="num" w:pos="1425"/>
        </w:tabs>
        <w:ind w:left="1425" w:hanging="420"/>
      </w:pPr>
    </w:lvl>
    <w:lvl w:ilvl="2" w:tplc="0409001B">
      <w:start w:val="1"/>
      <w:numFmt w:val="lowerRoman"/>
      <w:lvlText w:val="%3."/>
      <w:lvlJc w:val="right"/>
      <w:pPr>
        <w:tabs>
          <w:tab w:val="num" w:pos="1845"/>
        </w:tabs>
        <w:ind w:left="1845" w:hanging="420"/>
      </w:pPr>
    </w:lvl>
    <w:lvl w:ilvl="3" w:tplc="0409000F">
      <w:start w:val="1"/>
      <w:numFmt w:val="decimal"/>
      <w:lvlText w:val="%4."/>
      <w:lvlJc w:val="left"/>
      <w:pPr>
        <w:tabs>
          <w:tab w:val="num" w:pos="2265"/>
        </w:tabs>
        <w:ind w:left="2265" w:hanging="420"/>
      </w:pPr>
    </w:lvl>
    <w:lvl w:ilvl="4" w:tplc="04090019">
      <w:start w:val="1"/>
      <w:numFmt w:val="lowerLetter"/>
      <w:lvlText w:val="%5)"/>
      <w:lvlJc w:val="left"/>
      <w:pPr>
        <w:tabs>
          <w:tab w:val="num" w:pos="2685"/>
        </w:tabs>
        <w:ind w:left="2685" w:hanging="420"/>
      </w:pPr>
    </w:lvl>
    <w:lvl w:ilvl="5" w:tplc="0409001B">
      <w:start w:val="1"/>
      <w:numFmt w:val="lowerRoman"/>
      <w:lvlText w:val="%6."/>
      <w:lvlJc w:val="right"/>
      <w:pPr>
        <w:tabs>
          <w:tab w:val="num" w:pos="3105"/>
        </w:tabs>
        <w:ind w:left="3105" w:hanging="420"/>
      </w:pPr>
    </w:lvl>
    <w:lvl w:ilvl="6" w:tplc="0409000F">
      <w:start w:val="1"/>
      <w:numFmt w:val="decimal"/>
      <w:lvlText w:val="%7."/>
      <w:lvlJc w:val="left"/>
      <w:pPr>
        <w:tabs>
          <w:tab w:val="num" w:pos="3525"/>
        </w:tabs>
        <w:ind w:left="3525" w:hanging="420"/>
      </w:pPr>
    </w:lvl>
    <w:lvl w:ilvl="7" w:tplc="04090019">
      <w:start w:val="1"/>
      <w:numFmt w:val="lowerLetter"/>
      <w:lvlText w:val="%8)"/>
      <w:lvlJc w:val="left"/>
      <w:pPr>
        <w:tabs>
          <w:tab w:val="num" w:pos="3945"/>
        </w:tabs>
        <w:ind w:left="3945" w:hanging="420"/>
      </w:pPr>
    </w:lvl>
    <w:lvl w:ilvl="8" w:tplc="0409001B">
      <w:start w:val="1"/>
      <w:numFmt w:val="lowerRoman"/>
      <w:lvlText w:val="%9."/>
      <w:lvlJc w:val="right"/>
      <w:pPr>
        <w:tabs>
          <w:tab w:val="num" w:pos="4365"/>
        </w:tabs>
        <w:ind w:left="4365" w:hanging="420"/>
      </w:pPr>
    </w:lvl>
  </w:abstractNum>
  <w:abstractNum w:abstractNumId="10">
    <w:nsid w:val="2284485E"/>
    <w:multiLevelType w:val="hybridMultilevel"/>
    <w:tmpl w:val="7F70820A"/>
    <w:lvl w:ilvl="0" w:tplc="F5ECE686">
      <w:start w:val="1"/>
      <w:numFmt w:val="bullet"/>
      <w:lvlText w:val=""/>
      <w:lvlJc w:val="left"/>
      <w:pPr>
        <w:tabs>
          <w:tab w:val="num" w:pos="840"/>
        </w:tabs>
        <w:ind w:left="840" w:hanging="420"/>
      </w:pPr>
      <w:rPr>
        <w:rFonts w:ascii="Wingdings 2" w:hAnsi="Wingdings 2" w:cs="Wingdings 2" w:hint="default"/>
      </w:rPr>
    </w:lvl>
    <w:lvl w:ilvl="1" w:tplc="04090003">
      <w:start w:val="1"/>
      <w:numFmt w:val="bullet"/>
      <w:lvlText w:val=""/>
      <w:lvlJc w:val="left"/>
      <w:pPr>
        <w:tabs>
          <w:tab w:val="num" w:pos="1260"/>
        </w:tabs>
        <w:ind w:left="1260" w:hanging="420"/>
      </w:pPr>
      <w:rPr>
        <w:rFonts w:ascii="Wingdings" w:hAnsi="Wingdings" w:cs="Wingdings" w:hint="default"/>
      </w:rPr>
    </w:lvl>
    <w:lvl w:ilvl="2" w:tplc="04090005">
      <w:start w:val="1"/>
      <w:numFmt w:val="bullet"/>
      <w:lvlText w:val=""/>
      <w:lvlJc w:val="left"/>
      <w:pPr>
        <w:tabs>
          <w:tab w:val="num" w:pos="1680"/>
        </w:tabs>
        <w:ind w:left="1680" w:hanging="420"/>
      </w:pPr>
      <w:rPr>
        <w:rFonts w:ascii="Wingdings" w:hAnsi="Wingdings" w:cs="Wingdings" w:hint="default"/>
      </w:rPr>
    </w:lvl>
    <w:lvl w:ilvl="3" w:tplc="04090001">
      <w:start w:val="1"/>
      <w:numFmt w:val="bullet"/>
      <w:lvlText w:val=""/>
      <w:lvlJc w:val="left"/>
      <w:pPr>
        <w:tabs>
          <w:tab w:val="num" w:pos="2100"/>
        </w:tabs>
        <w:ind w:left="2100" w:hanging="420"/>
      </w:pPr>
      <w:rPr>
        <w:rFonts w:ascii="Wingdings" w:hAnsi="Wingdings" w:cs="Wingdings" w:hint="default"/>
      </w:rPr>
    </w:lvl>
    <w:lvl w:ilvl="4" w:tplc="04090003">
      <w:start w:val="1"/>
      <w:numFmt w:val="bullet"/>
      <w:lvlText w:val=""/>
      <w:lvlJc w:val="left"/>
      <w:pPr>
        <w:tabs>
          <w:tab w:val="num" w:pos="2520"/>
        </w:tabs>
        <w:ind w:left="2520" w:hanging="420"/>
      </w:pPr>
      <w:rPr>
        <w:rFonts w:ascii="Wingdings" w:hAnsi="Wingdings" w:cs="Wingdings" w:hint="default"/>
      </w:rPr>
    </w:lvl>
    <w:lvl w:ilvl="5" w:tplc="04090005">
      <w:start w:val="1"/>
      <w:numFmt w:val="bullet"/>
      <w:lvlText w:val=""/>
      <w:lvlJc w:val="left"/>
      <w:pPr>
        <w:tabs>
          <w:tab w:val="num" w:pos="2940"/>
        </w:tabs>
        <w:ind w:left="2940" w:hanging="420"/>
      </w:pPr>
      <w:rPr>
        <w:rFonts w:ascii="Wingdings" w:hAnsi="Wingdings" w:cs="Wingdings" w:hint="default"/>
      </w:rPr>
    </w:lvl>
    <w:lvl w:ilvl="6" w:tplc="04090001">
      <w:start w:val="1"/>
      <w:numFmt w:val="bullet"/>
      <w:lvlText w:val=""/>
      <w:lvlJc w:val="left"/>
      <w:pPr>
        <w:tabs>
          <w:tab w:val="num" w:pos="3360"/>
        </w:tabs>
        <w:ind w:left="3360" w:hanging="420"/>
      </w:pPr>
      <w:rPr>
        <w:rFonts w:ascii="Wingdings" w:hAnsi="Wingdings" w:cs="Wingdings" w:hint="default"/>
      </w:rPr>
    </w:lvl>
    <w:lvl w:ilvl="7" w:tplc="04090003">
      <w:start w:val="1"/>
      <w:numFmt w:val="bullet"/>
      <w:lvlText w:val=""/>
      <w:lvlJc w:val="left"/>
      <w:pPr>
        <w:tabs>
          <w:tab w:val="num" w:pos="3780"/>
        </w:tabs>
        <w:ind w:left="3780" w:hanging="420"/>
      </w:pPr>
      <w:rPr>
        <w:rFonts w:ascii="Wingdings" w:hAnsi="Wingdings" w:cs="Wingdings" w:hint="default"/>
      </w:rPr>
    </w:lvl>
    <w:lvl w:ilvl="8" w:tplc="04090005">
      <w:start w:val="1"/>
      <w:numFmt w:val="bullet"/>
      <w:lvlText w:val=""/>
      <w:lvlJc w:val="left"/>
      <w:pPr>
        <w:tabs>
          <w:tab w:val="num" w:pos="4200"/>
        </w:tabs>
        <w:ind w:left="4200" w:hanging="420"/>
      </w:pPr>
      <w:rPr>
        <w:rFonts w:ascii="Wingdings" w:hAnsi="Wingdings" w:cs="Wingdings" w:hint="default"/>
      </w:rPr>
    </w:lvl>
  </w:abstractNum>
  <w:abstractNum w:abstractNumId="11">
    <w:nsid w:val="22F537EE"/>
    <w:multiLevelType w:val="hybridMultilevel"/>
    <w:tmpl w:val="1892153C"/>
    <w:lvl w:ilvl="0" w:tplc="549E9278">
      <w:start w:val="1"/>
      <w:numFmt w:val="decimal"/>
      <w:lvlText w:val="%1、"/>
      <w:lvlJc w:val="left"/>
      <w:pPr>
        <w:tabs>
          <w:tab w:val="num" w:pos="720"/>
        </w:tabs>
        <w:ind w:left="720" w:hanging="720"/>
      </w:pPr>
      <w:rPr>
        <w:rFonts w:hint="eastAsia"/>
      </w:rPr>
    </w:lvl>
    <w:lvl w:ilvl="1" w:tplc="EE4682AC">
      <w:start w:val="1"/>
      <w:numFmt w:val="lowerLetter"/>
      <w:lvlText w:val="(%2)"/>
      <w:lvlJc w:val="left"/>
      <w:pPr>
        <w:tabs>
          <w:tab w:val="num" w:pos="780"/>
        </w:tabs>
        <w:ind w:left="780" w:hanging="360"/>
      </w:pPr>
      <w:rPr>
        <w:rFonts w:hint="eastAsia"/>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
    <w:nsid w:val="272F62F7"/>
    <w:multiLevelType w:val="hybridMultilevel"/>
    <w:tmpl w:val="F7EE15E4"/>
    <w:lvl w:ilvl="0">
      <w:start w:val="1"/>
      <w:numFmt w:val="bullet"/>
      <w:lvlText w:val=""/>
      <w:lvlJc w:val="left"/>
      <w:pPr>
        <w:tabs>
          <w:tab w:val="num" w:pos="1680"/>
        </w:tabs>
        <w:ind w:left="1680" w:hanging="420"/>
      </w:pPr>
      <w:rPr>
        <w:rFonts w:ascii="Symbol" w:hAnsi="Symbol" w:cs="Symbol" w:hint="default"/>
      </w:rPr>
    </w:lvl>
    <w:lvl w:ilvl="1">
      <w:start w:val="1"/>
      <w:numFmt w:val="bullet"/>
      <w:lvlText w:val=""/>
      <w:lvlJc w:val="left"/>
      <w:pPr>
        <w:tabs>
          <w:tab w:val="num" w:pos="840"/>
        </w:tabs>
        <w:ind w:left="840" w:hanging="420"/>
      </w:pPr>
      <w:rPr>
        <w:rFonts w:ascii="Wingdings" w:hAnsi="Wingdings" w:cs="Wingdings" w:hint="default"/>
      </w:rPr>
    </w:lvl>
    <w:lvl w:ilvl="2">
      <w:start w:val="1"/>
      <w:numFmt w:val="bullet"/>
      <w:lvlText w:val=""/>
      <w:lvlJc w:val="left"/>
      <w:pPr>
        <w:tabs>
          <w:tab w:val="num" w:pos="1260"/>
        </w:tabs>
        <w:ind w:left="1260" w:hanging="420"/>
      </w:pPr>
      <w:rPr>
        <w:rFonts w:ascii="Wingdings" w:hAnsi="Wingdings" w:cs="Wingdings" w:hint="default"/>
      </w:rPr>
    </w:lvl>
    <w:lvl w:ilvl="3">
      <w:start w:val="1"/>
      <w:numFmt w:val="bullet"/>
      <w:lvlText w:val=""/>
      <w:lvlJc w:val="left"/>
      <w:pPr>
        <w:tabs>
          <w:tab w:val="num" w:pos="1680"/>
        </w:tabs>
        <w:ind w:left="1680" w:hanging="420"/>
      </w:pPr>
      <w:rPr>
        <w:rFonts w:ascii="Wingdings" w:hAnsi="Wingdings" w:cs="Wingdings" w:hint="default"/>
      </w:rPr>
    </w:lvl>
    <w:lvl w:ilvl="4">
      <w:start w:val="1"/>
      <w:numFmt w:val="bullet"/>
      <w:lvlText w:val=""/>
      <w:lvlJc w:val="left"/>
      <w:pPr>
        <w:tabs>
          <w:tab w:val="num" w:pos="2100"/>
        </w:tabs>
        <w:ind w:left="2100" w:hanging="420"/>
      </w:pPr>
      <w:rPr>
        <w:rFonts w:ascii="Wingdings" w:hAnsi="Wingdings" w:cs="Wingdings" w:hint="default"/>
      </w:rPr>
    </w:lvl>
    <w:lvl w:ilvl="5">
      <w:start w:val="1"/>
      <w:numFmt w:val="bullet"/>
      <w:lvlText w:val=""/>
      <w:lvlJc w:val="left"/>
      <w:pPr>
        <w:tabs>
          <w:tab w:val="num" w:pos="2520"/>
        </w:tabs>
        <w:ind w:left="2520" w:hanging="420"/>
      </w:pPr>
      <w:rPr>
        <w:rFonts w:ascii="Wingdings" w:hAnsi="Wingdings" w:cs="Wingdings" w:hint="default"/>
      </w:rPr>
    </w:lvl>
    <w:lvl w:ilvl="6">
      <w:start w:val="1"/>
      <w:numFmt w:val="bullet"/>
      <w:lvlText w:val=""/>
      <w:lvlJc w:val="left"/>
      <w:pPr>
        <w:tabs>
          <w:tab w:val="num" w:pos="2940"/>
        </w:tabs>
        <w:ind w:left="2940" w:hanging="420"/>
      </w:pPr>
      <w:rPr>
        <w:rFonts w:ascii="Wingdings" w:hAnsi="Wingdings" w:cs="Wingdings" w:hint="default"/>
      </w:rPr>
    </w:lvl>
    <w:lvl w:ilvl="7">
      <w:start w:val="1"/>
      <w:numFmt w:val="bullet"/>
      <w:lvlText w:val=""/>
      <w:lvlJc w:val="left"/>
      <w:pPr>
        <w:tabs>
          <w:tab w:val="num" w:pos="3360"/>
        </w:tabs>
        <w:ind w:left="3360" w:hanging="420"/>
      </w:pPr>
      <w:rPr>
        <w:rFonts w:ascii="Wingdings" w:hAnsi="Wingdings" w:cs="Wingdings" w:hint="default"/>
      </w:rPr>
    </w:lvl>
    <w:lvl w:ilvl="8">
      <w:start w:val="1"/>
      <w:numFmt w:val="bullet"/>
      <w:lvlText w:val=""/>
      <w:lvlJc w:val="left"/>
      <w:pPr>
        <w:tabs>
          <w:tab w:val="num" w:pos="3780"/>
        </w:tabs>
        <w:ind w:left="3780" w:hanging="420"/>
      </w:pPr>
      <w:rPr>
        <w:rFonts w:ascii="Wingdings" w:hAnsi="Wingdings" w:cs="Wingdings" w:hint="default"/>
      </w:rPr>
    </w:lvl>
  </w:abstractNum>
  <w:abstractNum w:abstractNumId="13">
    <w:nsid w:val="2AE71507"/>
    <w:multiLevelType w:val="hybridMultilevel"/>
    <w:tmpl w:val="7F70820A"/>
    <w:lvl w:ilvl="0" w:tplc="3B34CB5A">
      <w:start w:val="1"/>
      <w:numFmt w:val="bullet"/>
      <w:lvlText w:val=""/>
      <w:lvlJc w:val="left"/>
      <w:pPr>
        <w:tabs>
          <w:tab w:val="num" w:pos="840"/>
        </w:tabs>
        <w:ind w:left="840" w:hanging="420"/>
      </w:pPr>
      <w:rPr>
        <w:rFonts w:ascii="Wingdings 2" w:hAnsi="Wingdings 2" w:cs="Wingdings 2" w:hint="default"/>
      </w:rPr>
    </w:lvl>
    <w:lvl w:ilvl="1" w:tplc="04090003">
      <w:start w:val="1"/>
      <w:numFmt w:val="bullet"/>
      <w:lvlText w:val=""/>
      <w:lvlJc w:val="left"/>
      <w:pPr>
        <w:tabs>
          <w:tab w:val="num" w:pos="1260"/>
        </w:tabs>
        <w:ind w:left="1260" w:hanging="420"/>
      </w:pPr>
      <w:rPr>
        <w:rFonts w:ascii="Wingdings" w:hAnsi="Wingdings" w:cs="Wingdings" w:hint="default"/>
      </w:rPr>
    </w:lvl>
    <w:lvl w:ilvl="2" w:tplc="04090005">
      <w:start w:val="1"/>
      <w:numFmt w:val="bullet"/>
      <w:lvlText w:val=""/>
      <w:lvlJc w:val="left"/>
      <w:pPr>
        <w:tabs>
          <w:tab w:val="num" w:pos="1680"/>
        </w:tabs>
        <w:ind w:left="1680" w:hanging="420"/>
      </w:pPr>
      <w:rPr>
        <w:rFonts w:ascii="Wingdings" w:hAnsi="Wingdings" w:cs="Wingdings" w:hint="default"/>
      </w:rPr>
    </w:lvl>
    <w:lvl w:ilvl="3" w:tplc="04090001">
      <w:start w:val="1"/>
      <w:numFmt w:val="bullet"/>
      <w:lvlText w:val=""/>
      <w:lvlJc w:val="left"/>
      <w:pPr>
        <w:tabs>
          <w:tab w:val="num" w:pos="2100"/>
        </w:tabs>
        <w:ind w:left="2100" w:hanging="420"/>
      </w:pPr>
      <w:rPr>
        <w:rFonts w:ascii="Wingdings" w:hAnsi="Wingdings" w:cs="Wingdings" w:hint="default"/>
      </w:rPr>
    </w:lvl>
    <w:lvl w:ilvl="4" w:tplc="04090003">
      <w:start w:val="1"/>
      <w:numFmt w:val="bullet"/>
      <w:lvlText w:val=""/>
      <w:lvlJc w:val="left"/>
      <w:pPr>
        <w:tabs>
          <w:tab w:val="num" w:pos="2520"/>
        </w:tabs>
        <w:ind w:left="2520" w:hanging="420"/>
      </w:pPr>
      <w:rPr>
        <w:rFonts w:ascii="Wingdings" w:hAnsi="Wingdings" w:cs="Wingdings" w:hint="default"/>
      </w:rPr>
    </w:lvl>
    <w:lvl w:ilvl="5" w:tplc="04090005">
      <w:start w:val="1"/>
      <w:numFmt w:val="bullet"/>
      <w:lvlText w:val=""/>
      <w:lvlJc w:val="left"/>
      <w:pPr>
        <w:tabs>
          <w:tab w:val="num" w:pos="2940"/>
        </w:tabs>
        <w:ind w:left="2940" w:hanging="420"/>
      </w:pPr>
      <w:rPr>
        <w:rFonts w:ascii="Wingdings" w:hAnsi="Wingdings" w:cs="Wingdings" w:hint="default"/>
      </w:rPr>
    </w:lvl>
    <w:lvl w:ilvl="6" w:tplc="04090001">
      <w:start w:val="1"/>
      <w:numFmt w:val="bullet"/>
      <w:lvlText w:val=""/>
      <w:lvlJc w:val="left"/>
      <w:pPr>
        <w:tabs>
          <w:tab w:val="num" w:pos="3360"/>
        </w:tabs>
        <w:ind w:left="3360" w:hanging="420"/>
      </w:pPr>
      <w:rPr>
        <w:rFonts w:ascii="Wingdings" w:hAnsi="Wingdings" w:cs="Wingdings" w:hint="default"/>
      </w:rPr>
    </w:lvl>
    <w:lvl w:ilvl="7" w:tplc="04090003">
      <w:start w:val="1"/>
      <w:numFmt w:val="bullet"/>
      <w:lvlText w:val=""/>
      <w:lvlJc w:val="left"/>
      <w:pPr>
        <w:tabs>
          <w:tab w:val="num" w:pos="3780"/>
        </w:tabs>
        <w:ind w:left="3780" w:hanging="420"/>
      </w:pPr>
      <w:rPr>
        <w:rFonts w:ascii="Wingdings" w:hAnsi="Wingdings" w:cs="Wingdings" w:hint="default"/>
      </w:rPr>
    </w:lvl>
    <w:lvl w:ilvl="8" w:tplc="04090005">
      <w:start w:val="1"/>
      <w:numFmt w:val="bullet"/>
      <w:lvlText w:val=""/>
      <w:lvlJc w:val="left"/>
      <w:pPr>
        <w:tabs>
          <w:tab w:val="num" w:pos="4200"/>
        </w:tabs>
        <w:ind w:left="4200" w:hanging="420"/>
      </w:pPr>
      <w:rPr>
        <w:rFonts w:ascii="Wingdings" w:hAnsi="Wingdings" w:cs="Wingdings" w:hint="default"/>
      </w:rPr>
    </w:lvl>
  </w:abstractNum>
  <w:abstractNum w:abstractNumId="14">
    <w:nsid w:val="317A4884"/>
    <w:multiLevelType w:val="hybridMultilevel"/>
    <w:tmpl w:val="FD2C3E0A"/>
    <w:lvl w:ilvl="0" w:tplc="E78A455C">
      <w:start w:val="106"/>
      <w:numFmt w:val="decimal"/>
      <w:lvlText w:val="%1."/>
      <w:lvlJc w:val="left"/>
      <w:pPr>
        <w:tabs>
          <w:tab w:val="num" w:pos="120"/>
        </w:tabs>
        <w:ind w:left="744" w:hanging="624"/>
      </w:pPr>
      <w:rPr>
        <w:rFonts w:ascii="Times New Roman" w:hAnsi="Times New Roman" w:cs="Times New Roman" w:hint="default"/>
        <w:i w:val="0"/>
        <w:iCs w:val="0"/>
      </w:rPr>
    </w:lvl>
    <w:lvl w:ilvl="1" w:tplc="760E6D12">
      <w:start w:val="108"/>
      <w:numFmt w:val="decimal"/>
      <w:lvlText w:val="%2."/>
      <w:lvlJc w:val="left"/>
      <w:pPr>
        <w:tabs>
          <w:tab w:val="num" w:pos="0"/>
        </w:tabs>
        <w:ind w:left="624" w:hanging="624"/>
      </w:pPr>
      <w:rPr>
        <w:rFonts w:ascii="Times New Roman" w:hAnsi="Times New Roman" w:cs="Times New Roman" w:hint="default"/>
        <w:i w:val="0"/>
        <w:iCs w:val="0"/>
      </w:rPr>
    </w:lvl>
    <w:lvl w:ilvl="2" w:tplc="0409001B">
      <w:start w:val="1"/>
      <w:numFmt w:val="lowerRoman"/>
      <w:lvlText w:val="%3."/>
      <w:lvlJc w:val="right"/>
      <w:pPr>
        <w:tabs>
          <w:tab w:val="num" w:pos="1380"/>
        </w:tabs>
        <w:ind w:left="1380" w:hanging="420"/>
      </w:pPr>
    </w:lvl>
    <w:lvl w:ilvl="3" w:tplc="0409000F">
      <w:start w:val="1"/>
      <w:numFmt w:val="decimal"/>
      <w:lvlText w:val="%4."/>
      <w:lvlJc w:val="left"/>
      <w:pPr>
        <w:tabs>
          <w:tab w:val="num" w:pos="1800"/>
        </w:tabs>
        <w:ind w:left="1800" w:hanging="420"/>
      </w:pPr>
    </w:lvl>
    <w:lvl w:ilvl="4" w:tplc="04090019">
      <w:start w:val="1"/>
      <w:numFmt w:val="lowerLetter"/>
      <w:lvlText w:val="%5)"/>
      <w:lvlJc w:val="left"/>
      <w:pPr>
        <w:tabs>
          <w:tab w:val="num" w:pos="2220"/>
        </w:tabs>
        <w:ind w:left="2220" w:hanging="420"/>
      </w:pPr>
    </w:lvl>
    <w:lvl w:ilvl="5" w:tplc="0409001B">
      <w:start w:val="1"/>
      <w:numFmt w:val="lowerRoman"/>
      <w:lvlText w:val="%6."/>
      <w:lvlJc w:val="right"/>
      <w:pPr>
        <w:tabs>
          <w:tab w:val="num" w:pos="2640"/>
        </w:tabs>
        <w:ind w:left="2640" w:hanging="420"/>
      </w:pPr>
    </w:lvl>
    <w:lvl w:ilvl="6" w:tplc="0409000F">
      <w:start w:val="1"/>
      <w:numFmt w:val="decimal"/>
      <w:lvlText w:val="%7."/>
      <w:lvlJc w:val="left"/>
      <w:pPr>
        <w:tabs>
          <w:tab w:val="num" w:pos="3060"/>
        </w:tabs>
        <w:ind w:left="3060" w:hanging="420"/>
      </w:pPr>
    </w:lvl>
    <w:lvl w:ilvl="7" w:tplc="04090019">
      <w:start w:val="1"/>
      <w:numFmt w:val="lowerLetter"/>
      <w:lvlText w:val="%8)"/>
      <w:lvlJc w:val="left"/>
      <w:pPr>
        <w:tabs>
          <w:tab w:val="num" w:pos="3480"/>
        </w:tabs>
        <w:ind w:left="3480" w:hanging="420"/>
      </w:pPr>
    </w:lvl>
    <w:lvl w:ilvl="8" w:tplc="0409001B">
      <w:start w:val="1"/>
      <w:numFmt w:val="lowerRoman"/>
      <w:lvlText w:val="%9."/>
      <w:lvlJc w:val="right"/>
      <w:pPr>
        <w:tabs>
          <w:tab w:val="num" w:pos="3900"/>
        </w:tabs>
        <w:ind w:left="3900" w:hanging="420"/>
      </w:pPr>
    </w:lvl>
  </w:abstractNum>
  <w:abstractNum w:abstractNumId="15">
    <w:nsid w:val="3BBF5A20"/>
    <w:multiLevelType w:val="hybridMultilevel"/>
    <w:tmpl w:val="9FB2FDEE"/>
    <w:lvl w:ilvl="0" w:tplc="FC9467A8">
      <w:start w:val="216"/>
      <w:numFmt w:val="decimal"/>
      <w:lvlText w:val="%1."/>
      <w:lvlJc w:val="left"/>
      <w:pPr>
        <w:tabs>
          <w:tab w:val="num" w:pos="0"/>
        </w:tabs>
        <w:ind w:left="624" w:hanging="624"/>
      </w:pPr>
      <w:rPr>
        <w:rFonts w:eastAsia="SimSun" w:hint="eastAsia"/>
        <w:i w:val="0"/>
        <w:iCs w:val="0"/>
        <w:color w:val="auto"/>
        <w:sz w:val="21"/>
        <w:szCs w:val="21"/>
      </w:rPr>
    </w:lvl>
    <w:lvl w:ilvl="1" w:tplc="04090001">
      <w:start w:val="1"/>
      <w:numFmt w:val="bullet"/>
      <w:lvlText w:val=""/>
      <w:lvlJc w:val="left"/>
      <w:pPr>
        <w:tabs>
          <w:tab w:val="num" w:pos="1440"/>
        </w:tabs>
        <w:ind w:left="1440" w:hanging="360"/>
      </w:pPr>
      <w:rPr>
        <w:rFonts w:ascii="Symbol" w:hAnsi="Symbol" w:cs="Symbol" w:hint="default"/>
        <w:i w:val="0"/>
        <w:iCs w:val="0"/>
        <w:color w:val="auto"/>
        <w:sz w:val="21"/>
        <w:szCs w:val="21"/>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E1852CD"/>
    <w:multiLevelType w:val="hybridMultilevel"/>
    <w:tmpl w:val="6A827332"/>
    <w:lvl w:ilvl="0" w:tplc="114871A8">
      <w:start w:val="138"/>
      <w:numFmt w:val="decimal"/>
      <w:lvlText w:val="%1."/>
      <w:lvlJc w:val="left"/>
      <w:pPr>
        <w:tabs>
          <w:tab w:val="num" w:pos="397"/>
        </w:tabs>
        <w:ind w:left="624" w:hanging="624"/>
      </w:pPr>
      <w:rPr>
        <w:rFonts w:hint="eastAsia"/>
        <w:b w:val="0"/>
        <w:bCs w:val="0"/>
        <w:i w:val="0"/>
        <w:iCs w:val="0"/>
        <w:sz w:val="21"/>
        <w:szCs w:val="21"/>
      </w:rPr>
    </w:lvl>
    <w:lvl w:ilvl="1" w:tplc="AA7ABD62">
      <w:start w:val="138"/>
      <w:numFmt w:val="bullet"/>
      <w:lvlText w:val=""/>
      <w:lvlJc w:val="left"/>
      <w:pPr>
        <w:tabs>
          <w:tab w:val="num" w:pos="783"/>
        </w:tabs>
        <w:ind w:left="760" w:hanging="340"/>
      </w:pPr>
      <w:rPr>
        <w:rFonts w:ascii="Wingdings" w:hAnsi="Wingdings" w:cs="Wingdings" w:hint="default"/>
        <w:b w:val="0"/>
        <w:bCs w:val="0"/>
        <w:i w:val="0"/>
        <w:iCs w:val="0"/>
        <w:sz w:val="21"/>
        <w:szCs w:val="21"/>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7">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18">
    <w:nsid w:val="43556425"/>
    <w:multiLevelType w:val="hybridMultilevel"/>
    <w:tmpl w:val="9B8E1B50"/>
    <w:lvl w:ilvl="0" w:tplc="F5EE6F16">
      <w:start w:val="1"/>
      <w:numFmt w:val="lowerLetter"/>
      <w:lvlText w:val="（%1）"/>
      <w:lvlJc w:val="left"/>
      <w:pPr>
        <w:tabs>
          <w:tab w:val="num" w:pos="1835"/>
        </w:tabs>
        <w:ind w:left="1835" w:hanging="1275"/>
      </w:pPr>
      <w:rPr>
        <w:rFonts w:hint="eastAsia"/>
      </w:rPr>
    </w:lvl>
    <w:lvl w:ilvl="1" w:tplc="02B2D8A6">
      <w:start w:val="92"/>
      <w:numFmt w:val="decimal"/>
      <w:lvlText w:val="%2."/>
      <w:lvlJc w:val="left"/>
      <w:pPr>
        <w:tabs>
          <w:tab w:val="num" w:pos="397"/>
        </w:tabs>
        <w:ind w:left="340" w:hanging="340"/>
      </w:pPr>
      <w:rPr>
        <w:rFonts w:hint="eastAsia"/>
        <w:i w:val="0"/>
        <w:iCs w:val="0"/>
      </w:rPr>
    </w:lvl>
    <w:lvl w:ilvl="2" w:tplc="ACCEED0C">
      <w:start w:val="99"/>
      <w:numFmt w:val="decimal"/>
      <w:lvlText w:val="%3."/>
      <w:lvlJc w:val="left"/>
      <w:pPr>
        <w:tabs>
          <w:tab w:val="num" w:pos="340"/>
        </w:tabs>
        <w:ind w:left="340" w:hanging="340"/>
      </w:pPr>
      <w:rPr>
        <w:rFonts w:hint="eastAsia"/>
      </w:rPr>
    </w:lvl>
    <w:lvl w:ilvl="3" w:tplc="0409000F">
      <w:start w:val="1"/>
      <w:numFmt w:val="decimal"/>
      <w:lvlText w:val="%4."/>
      <w:lvlJc w:val="left"/>
      <w:pPr>
        <w:tabs>
          <w:tab w:val="num" w:pos="2240"/>
        </w:tabs>
        <w:ind w:left="2240" w:hanging="420"/>
      </w:pPr>
    </w:lvl>
    <w:lvl w:ilvl="4" w:tplc="04090019">
      <w:start w:val="1"/>
      <w:numFmt w:val="lowerLetter"/>
      <w:lvlText w:val="%5)"/>
      <w:lvlJc w:val="left"/>
      <w:pPr>
        <w:tabs>
          <w:tab w:val="num" w:pos="2660"/>
        </w:tabs>
        <w:ind w:left="2660" w:hanging="420"/>
      </w:pPr>
    </w:lvl>
    <w:lvl w:ilvl="5" w:tplc="0409001B">
      <w:start w:val="1"/>
      <w:numFmt w:val="lowerRoman"/>
      <w:lvlText w:val="%6."/>
      <w:lvlJc w:val="right"/>
      <w:pPr>
        <w:tabs>
          <w:tab w:val="num" w:pos="3080"/>
        </w:tabs>
        <w:ind w:left="3080" w:hanging="420"/>
      </w:pPr>
    </w:lvl>
    <w:lvl w:ilvl="6" w:tplc="0409000F">
      <w:start w:val="1"/>
      <w:numFmt w:val="decimal"/>
      <w:lvlText w:val="%7."/>
      <w:lvlJc w:val="left"/>
      <w:pPr>
        <w:tabs>
          <w:tab w:val="num" w:pos="3500"/>
        </w:tabs>
        <w:ind w:left="3500" w:hanging="420"/>
      </w:pPr>
    </w:lvl>
    <w:lvl w:ilvl="7" w:tplc="04090019">
      <w:start w:val="1"/>
      <w:numFmt w:val="lowerLetter"/>
      <w:lvlText w:val="%8)"/>
      <w:lvlJc w:val="left"/>
      <w:pPr>
        <w:tabs>
          <w:tab w:val="num" w:pos="3920"/>
        </w:tabs>
        <w:ind w:left="3920" w:hanging="420"/>
      </w:pPr>
    </w:lvl>
    <w:lvl w:ilvl="8" w:tplc="0409001B">
      <w:start w:val="1"/>
      <w:numFmt w:val="lowerRoman"/>
      <w:lvlText w:val="%9."/>
      <w:lvlJc w:val="right"/>
      <w:pPr>
        <w:tabs>
          <w:tab w:val="num" w:pos="4340"/>
        </w:tabs>
        <w:ind w:left="4340" w:hanging="420"/>
      </w:pPr>
    </w:lvl>
  </w:abstractNum>
  <w:abstractNum w:abstractNumId="19">
    <w:nsid w:val="44FE7C52"/>
    <w:multiLevelType w:val="hybridMultilevel"/>
    <w:tmpl w:val="A5C61268"/>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0">
    <w:nsid w:val="45AD5209"/>
    <w:multiLevelType w:val="hybridMultilevel"/>
    <w:tmpl w:val="AB26774C"/>
    <w:lvl w:ilvl="0" w:tplc="9628F3EE">
      <w:start w:val="1"/>
      <w:numFmt w:val="lowerLetter"/>
      <w:lvlText w:val="(%1)"/>
      <w:lvlJc w:val="left"/>
      <w:pPr>
        <w:tabs>
          <w:tab w:val="num" w:pos="1017"/>
        </w:tabs>
        <w:ind w:left="1017" w:hanging="360"/>
      </w:pPr>
      <w:rPr>
        <w:rFonts w:hint="eastAsia"/>
      </w:rPr>
    </w:lvl>
    <w:lvl w:ilvl="1" w:tplc="04090019">
      <w:start w:val="1"/>
      <w:numFmt w:val="lowerLetter"/>
      <w:lvlText w:val="%2)"/>
      <w:lvlJc w:val="left"/>
      <w:pPr>
        <w:tabs>
          <w:tab w:val="num" w:pos="1497"/>
        </w:tabs>
        <w:ind w:left="1497" w:hanging="420"/>
      </w:pPr>
    </w:lvl>
    <w:lvl w:ilvl="2" w:tplc="0409001B">
      <w:start w:val="1"/>
      <w:numFmt w:val="lowerRoman"/>
      <w:lvlText w:val="%3."/>
      <w:lvlJc w:val="right"/>
      <w:pPr>
        <w:tabs>
          <w:tab w:val="num" w:pos="1917"/>
        </w:tabs>
        <w:ind w:left="1917" w:hanging="420"/>
      </w:pPr>
    </w:lvl>
    <w:lvl w:ilvl="3" w:tplc="0409000F">
      <w:start w:val="1"/>
      <w:numFmt w:val="decimal"/>
      <w:lvlText w:val="%4."/>
      <w:lvlJc w:val="left"/>
      <w:pPr>
        <w:tabs>
          <w:tab w:val="num" w:pos="2337"/>
        </w:tabs>
        <w:ind w:left="2337" w:hanging="420"/>
      </w:pPr>
    </w:lvl>
    <w:lvl w:ilvl="4" w:tplc="04090019">
      <w:start w:val="1"/>
      <w:numFmt w:val="lowerLetter"/>
      <w:lvlText w:val="%5)"/>
      <w:lvlJc w:val="left"/>
      <w:pPr>
        <w:tabs>
          <w:tab w:val="num" w:pos="2757"/>
        </w:tabs>
        <w:ind w:left="2757" w:hanging="420"/>
      </w:pPr>
    </w:lvl>
    <w:lvl w:ilvl="5" w:tplc="0409001B">
      <w:start w:val="1"/>
      <w:numFmt w:val="lowerRoman"/>
      <w:lvlText w:val="%6."/>
      <w:lvlJc w:val="right"/>
      <w:pPr>
        <w:tabs>
          <w:tab w:val="num" w:pos="3177"/>
        </w:tabs>
        <w:ind w:left="3177" w:hanging="420"/>
      </w:pPr>
    </w:lvl>
    <w:lvl w:ilvl="6" w:tplc="0409000F">
      <w:start w:val="1"/>
      <w:numFmt w:val="decimal"/>
      <w:lvlText w:val="%7."/>
      <w:lvlJc w:val="left"/>
      <w:pPr>
        <w:tabs>
          <w:tab w:val="num" w:pos="3597"/>
        </w:tabs>
        <w:ind w:left="3597" w:hanging="420"/>
      </w:pPr>
    </w:lvl>
    <w:lvl w:ilvl="7" w:tplc="04090019">
      <w:start w:val="1"/>
      <w:numFmt w:val="lowerLetter"/>
      <w:lvlText w:val="%8)"/>
      <w:lvlJc w:val="left"/>
      <w:pPr>
        <w:tabs>
          <w:tab w:val="num" w:pos="4017"/>
        </w:tabs>
        <w:ind w:left="4017" w:hanging="420"/>
      </w:pPr>
    </w:lvl>
    <w:lvl w:ilvl="8" w:tplc="0409001B">
      <w:start w:val="1"/>
      <w:numFmt w:val="lowerRoman"/>
      <w:lvlText w:val="%9."/>
      <w:lvlJc w:val="right"/>
      <w:pPr>
        <w:tabs>
          <w:tab w:val="num" w:pos="4437"/>
        </w:tabs>
        <w:ind w:left="4437" w:hanging="420"/>
      </w:pPr>
    </w:lvl>
  </w:abstractNum>
  <w:abstractNum w:abstractNumId="21">
    <w:nsid w:val="47B65012"/>
    <w:multiLevelType w:val="hybridMultilevel"/>
    <w:tmpl w:val="51CA4528"/>
    <w:lvl w:ilvl="0" w:tplc="78141A18">
      <w:start w:val="101"/>
      <w:numFmt w:val="decimal"/>
      <w:lvlText w:val="%1."/>
      <w:lvlJc w:val="left"/>
      <w:pPr>
        <w:tabs>
          <w:tab w:val="num" w:pos="0"/>
        </w:tabs>
        <w:ind w:left="454" w:hanging="454"/>
      </w:pPr>
      <w:rPr>
        <w:rFonts w:hint="eastAsia"/>
        <w:b w:val="0"/>
        <w:bCs w:val="0"/>
      </w:rPr>
    </w:lvl>
    <w:lvl w:ilvl="1" w:tplc="0764FBDC">
      <w:start w:val="1"/>
      <w:numFmt w:val="decimal"/>
      <w:lvlText w:val="%2.)"/>
      <w:lvlJc w:val="left"/>
      <w:pPr>
        <w:tabs>
          <w:tab w:val="num" w:pos="780"/>
        </w:tabs>
        <w:ind w:left="780" w:hanging="360"/>
      </w:pPr>
      <w:rPr>
        <w:rFonts w:hint="default"/>
      </w:rPr>
    </w:lvl>
    <w:lvl w:ilvl="2" w:tplc="79008998">
      <w:start w:val="104"/>
      <w:numFmt w:val="decimal"/>
      <w:lvlText w:val="%3."/>
      <w:lvlJc w:val="left"/>
      <w:pPr>
        <w:tabs>
          <w:tab w:val="num" w:pos="0"/>
        </w:tabs>
        <w:ind w:left="624" w:hanging="624"/>
      </w:pPr>
      <w:rPr>
        <w:rFonts w:hint="eastAsia"/>
        <w:b w:val="0"/>
        <w:bCs w:val="0"/>
      </w:rPr>
    </w:lvl>
    <w:lvl w:ilvl="3" w:tplc="5BF4F9B6">
      <w:start w:val="1"/>
      <w:numFmt w:val="decimal"/>
      <w:lvlText w:val="%4)"/>
      <w:lvlJc w:val="left"/>
      <w:pPr>
        <w:tabs>
          <w:tab w:val="num" w:pos="964"/>
        </w:tabs>
        <w:ind w:left="907" w:hanging="397"/>
      </w:pPr>
      <w:rPr>
        <w:rFonts w:hint="eastAsia"/>
        <w:b w:val="0"/>
        <w:bCs w:val="0"/>
      </w:rPr>
    </w:lvl>
    <w:lvl w:ilvl="4" w:tplc="B134C710">
      <w:start w:val="1"/>
      <w:numFmt w:val="decimal"/>
      <w:lvlText w:val="%5."/>
      <w:lvlJc w:val="left"/>
      <w:pPr>
        <w:tabs>
          <w:tab w:val="num" w:pos="1680"/>
        </w:tabs>
        <w:ind w:left="2304" w:hanging="624"/>
      </w:pPr>
      <w:rPr>
        <w:rFonts w:hint="eastAsia"/>
        <w:b w:val="0"/>
        <w:bCs w:val="0"/>
      </w:r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2">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23">
    <w:nsid w:val="4FE53865"/>
    <w:multiLevelType w:val="hybridMultilevel"/>
    <w:tmpl w:val="87D6C358"/>
    <w:lvl w:ilvl="0" w:tplc="E2A09A16">
      <w:start w:val="21"/>
      <w:numFmt w:val="decimal"/>
      <w:lvlText w:val="%1."/>
      <w:lvlJc w:val="left"/>
      <w:pPr>
        <w:tabs>
          <w:tab w:val="num" w:pos="480"/>
        </w:tabs>
        <w:ind w:left="480" w:hanging="360"/>
      </w:pPr>
      <w:rPr>
        <w:rFonts w:hint="eastAsia"/>
        <w:i w:val="0"/>
        <w:iCs w:val="0"/>
        <w:color w:val="auto"/>
        <w:sz w:val="24"/>
        <w:szCs w:val="24"/>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4">
    <w:nsid w:val="51A86567"/>
    <w:multiLevelType w:val="hybridMultilevel"/>
    <w:tmpl w:val="B07AA544"/>
    <w:lvl w:ilvl="0" w:tplc="B3FE9D82">
      <w:start w:val="1"/>
      <w:numFmt w:val="decimal"/>
      <w:lvlText w:val="%1、"/>
      <w:lvlJc w:val="left"/>
      <w:pPr>
        <w:tabs>
          <w:tab w:val="num" w:pos="1575"/>
        </w:tabs>
        <w:ind w:left="1575" w:hanging="1005"/>
      </w:pPr>
      <w:rPr>
        <w:rFonts w:hint="eastAsia"/>
      </w:rPr>
    </w:lvl>
    <w:lvl w:ilvl="1" w:tplc="FFF64EE2">
      <w:start w:val="90"/>
      <w:numFmt w:val="decimal"/>
      <w:lvlText w:val="%2."/>
      <w:lvlJc w:val="left"/>
      <w:pPr>
        <w:tabs>
          <w:tab w:val="num" w:pos="0"/>
        </w:tabs>
        <w:ind w:left="510" w:hanging="510"/>
      </w:pPr>
      <w:rPr>
        <w:rFonts w:hint="eastAsia"/>
      </w:rPr>
    </w:lvl>
    <w:lvl w:ilvl="2" w:tplc="0409001B">
      <w:start w:val="1"/>
      <w:numFmt w:val="lowerRoman"/>
      <w:lvlText w:val="%3."/>
      <w:lvlJc w:val="right"/>
      <w:pPr>
        <w:tabs>
          <w:tab w:val="num" w:pos="1830"/>
        </w:tabs>
        <w:ind w:left="1830" w:hanging="420"/>
      </w:pPr>
    </w:lvl>
    <w:lvl w:ilvl="3" w:tplc="0409000F">
      <w:start w:val="1"/>
      <w:numFmt w:val="decimal"/>
      <w:lvlText w:val="%4."/>
      <w:lvlJc w:val="left"/>
      <w:pPr>
        <w:tabs>
          <w:tab w:val="num" w:pos="2250"/>
        </w:tabs>
        <w:ind w:left="2250" w:hanging="420"/>
      </w:pPr>
    </w:lvl>
    <w:lvl w:ilvl="4" w:tplc="04090019">
      <w:start w:val="1"/>
      <w:numFmt w:val="lowerLetter"/>
      <w:lvlText w:val="%5)"/>
      <w:lvlJc w:val="left"/>
      <w:pPr>
        <w:tabs>
          <w:tab w:val="num" w:pos="2670"/>
        </w:tabs>
        <w:ind w:left="2670" w:hanging="420"/>
      </w:pPr>
    </w:lvl>
    <w:lvl w:ilvl="5" w:tplc="0409001B">
      <w:start w:val="1"/>
      <w:numFmt w:val="lowerRoman"/>
      <w:lvlText w:val="%6."/>
      <w:lvlJc w:val="right"/>
      <w:pPr>
        <w:tabs>
          <w:tab w:val="num" w:pos="3090"/>
        </w:tabs>
        <w:ind w:left="3090" w:hanging="420"/>
      </w:pPr>
    </w:lvl>
    <w:lvl w:ilvl="6" w:tplc="0409000F">
      <w:start w:val="1"/>
      <w:numFmt w:val="decimal"/>
      <w:lvlText w:val="%7."/>
      <w:lvlJc w:val="left"/>
      <w:pPr>
        <w:tabs>
          <w:tab w:val="num" w:pos="3510"/>
        </w:tabs>
        <w:ind w:left="3510" w:hanging="420"/>
      </w:pPr>
    </w:lvl>
    <w:lvl w:ilvl="7" w:tplc="04090019">
      <w:start w:val="1"/>
      <w:numFmt w:val="lowerLetter"/>
      <w:lvlText w:val="%8)"/>
      <w:lvlJc w:val="left"/>
      <w:pPr>
        <w:tabs>
          <w:tab w:val="num" w:pos="3930"/>
        </w:tabs>
        <w:ind w:left="3930" w:hanging="420"/>
      </w:pPr>
    </w:lvl>
    <w:lvl w:ilvl="8" w:tplc="0409001B">
      <w:start w:val="1"/>
      <w:numFmt w:val="lowerRoman"/>
      <w:lvlText w:val="%9."/>
      <w:lvlJc w:val="right"/>
      <w:pPr>
        <w:tabs>
          <w:tab w:val="num" w:pos="4350"/>
        </w:tabs>
        <w:ind w:left="4350" w:hanging="420"/>
      </w:pPr>
    </w:lvl>
  </w:abstractNum>
  <w:abstractNum w:abstractNumId="25">
    <w:nsid w:val="53F357F6"/>
    <w:multiLevelType w:val="hybridMultilevel"/>
    <w:tmpl w:val="69789076"/>
    <w:lvl w:ilvl="0" w:tplc="914E03BC">
      <w:start w:val="123"/>
      <w:numFmt w:val="decimal"/>
      <w:lvlText w:val="%1."/>
      <w:lvlJc w:val="left"/>
      <w:pPr>
        <w:tabs>
          <w:tab w:val="num" w:pos="0"/>
        </w:tabs>
        <w:ind w:left="624" w:hanging="624"/>
      </w:pPr>
      <w:rPr>
        <w:rFonts w:ascii="Times New Roman" w:eastAsia="SimSun" w:hAnsi="Times New Roman" w:hint="default"/>
        <w:b w:val="0"/>
        <w:bCs w:val="0"/>
        <w:sz w:val="21"/>
        <w:szCs w:val="21"/>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7">
    <w:nsid w:val="5AE673A9"/>
    <w:multiLevelType w:val="hybridMultilevel"/>
    <w:tmpl w:val="9830F9A0"/>
    <w:lvl w:ilvl="0" w:tplc="666EF382">
      <w:start w:val="1"/>
      <w:numFmt w:val="bullet"/>
      <w:lvlText w:val=""/>
      <w:lvlJc w:val="left"/>
      <w:pPr>
        <w:tabs>
          <w:tab w:val="num" w:pos="2340"/>
        </w:tabs>
        <w:ind w:left="2340" w:hanging="360"/>
      </w:pPr>
      <w:rPr>
        <w:rFonts w:ascii="Symbol" w:hAnsi="Symbol" w:cs="Symbol" w:hint="default"/>
      </w:rPr>
    </w:lvl>
    <w:lvl w:ilvl="1" w:tplc="2E806350">
      <w:start w:val="135"/>
      <w:numFmt w:val="decimal"/>
      <w:lvlText w:val="%2."/>
      <w:lvlJc w:val="left"/>
      <w:pPr>
        <w:tabs>
          <w:tab w:val="num" w:pos="397"/>
        </w:tabs>
        <w:ind w:left="624" w:hanging="624"/>
      </w:pPr>
      <w:rPr>
        <w:rFonts w:hint="eastAsia"/>
        <w:sz w:val="21"/>
        <w:szCs w:val="21"/>
      </w:rPr>
    </w:lvl>
    <w:lvl w:ilvl="2" w:tplc="04090005">
      <w:start w:val="1"/>
      <w:numFmt w:val="bullet"/>
      <w:lvlText w:val=""/>
      <w:lvlJc w:val="left"/>
      <w:pPr>
        <w:tabs>
          <w:tab w:val="num" w:pos="3420"/>
        </w:tabs>
        <w:ind w:left="3420" w:hanging="360"/>
      </w:pPr>
      <w:rPr>
        <w:rFonts w:ascii="Wingdings" w:hAnsi="Wingdings" w:cs="Wingdings" w:hint="default"/>
      </w:rPr>
    </w:lvl>
    <w:lvl w:ilvl="3" w:tplc="04090001">
      <w:start w:val="1"/>
      <w:numFmt w:val="bullet"/>
      <w:lvlText w:val=""/>
      <w:lvlJc w:val="left"/>
      <w:pPr>
        <w:tabs>
          <w:tab w:val="num" w:pos="4140"/>
        </w:tabs>
        <w:ind w:left="4140" w:hanging="360"/>
      </w:pPr>
      <w:rPr>
        <w:rFonts w:ascii="Symbol" w:hAnsi="Symbol" w:cs="Symbol" w:hint="default"/>
      </w:rPr>
    </w:lvl>
    <w:lvl w:ilvl="4" w:tplc="04090003">
      <w:start w:val="1"/>
      <w:numFmt w:val="bullet"/>
      <w:lvlText w:val="o"/>
      <w:lvlJc w:val="left"/>
      <w:pPr>
        <w:tabs>
          <w:tab w:val="num" w:pos="4860"/>
        </w:tabs>
        <w:ind w:left="4860" w:hanging="360"/>
      </w:pPr>
      <w:rPr>
        <w:rFonts w:ascii="Courier New" w:hAnsi="Courier New" w:cs="Courier New" w:hint="default"/>
      </w:rPr>
    </w:lvl>
    <w:lvl w:ilvl="5" w:tplc="04090005">
      <w:start w:val="1"/>
      <w:numFmt w:val="bullet"/>
      <w:lvlText w:val=""/>
      <w:lvlJc w:val="left"/>
      <w:pPr>
        <w:tabs>
          <w:tab w:val="num" w:pos="5580"/>
        </w:tabs>
        <w:ind w:left="5580" w:hanging="360"/>
      </w:pPr>
      <w:rPr>
        <w:rFonts w:ascii="Wingdings" w:hAnsi="Wingdings" w:cs="Wingdings" w:hint="default"/>
      </w:rPr>
    </w:lvl>
    <w:lvl w:ilvl="6" w:tplc="04090001">
      <w:start w:val="1"/>
      <w:numFmt w:val="bullet"/>
      <w:lvlText w:val=""/>
      <w:lvlJc w:val="left"/>
      <w:pPr>
        <w:tabs>
          <w:tab w:val="num" w:pos="6300"/>
        </w:tabs>
        <w:ind w:left="6300" w:hanging="360"/>
      </w:pPr>
      <w:rPr>
        <w:rFonts w:ascii="Symbol" w:hAnsi="Symbol" w:cs="Symbol" w:hint="default"/>
      </w:rPr>
    </w:lvl>
    <w:lvl w:ilvl="7" w:tplc="04090003">
      <w:start w:val="1"/>
      <w:numFmt w:val="bullet"/>
      <w:lvlText w:val="o"/>
      <w:lvlJc w:val="left"/>
      <w:pPr>
        <w:tabs>
          <w:tab w:val="num" w:pos="7020"/>
        </w:tabs>
        <w:ind w:left="7020" w:hanging="360"/>
      </w:pPr>
      <w:rPr>
        <w:rFonts w:ascii="Courier New" w:hAnsi="Courier New" w:cs="Courier New" w:hint="default"/>
      </w:rPr>
    </w:lvl>
    <w:lvl w:ilvl="8" w:tplc="04090005">
      <w:start w:val="1"/>
      <w:numFmt w:val="bullet"/>
      <w:lvlText w:val=""/>
      <w:lvlJc w:val="left"/>
      <w:pPr>
        <w:tabs>
          <w:tab w:val="num" w:pos="7740"/>
        </w:tabs>
        <w:ind w:left="7740" w:hanging="360"/>
      </w:pPr>
      <w:rPr>
        <w:rFonts w:ascii="Wingdings" w:hAnsi="Wingdings" w:cs="Wingdings" w:hint="default"/>
      </w:rPr>
    </w:lvl>
  </w:abstractNum>
  <w:abstractNum w:abstractNumId="28">
    <w:nsid w:val="652B5FE7"/>
    <w:multiLevelType w:val="hybridMultilevel"/>
    <w:tmpl w:val="672A13D0"/>
    <w:lvl w:ilvl="0" w:tplc="8092F37C">
      <w:start w:val="1"/>
      <w:numFmt w:val="decimal"/>
      <w:lvlText w:val="%1."/>
      <w:lvlJc w:val="left"/>
      <w:pPr>
        <w:tabs>
          <w:tab w:val="num" w:pos="360"/>
        </w:tabs>
        <w:ind w:left="360" w:hanging="360"/>
      </w:pPr>
      <w:rPr>
        <w:rFonts w:hint="default"/>
        <w:sz w:val="24"/>
        <w:szCs w:val="24"/>
      </w:rPr>
    </w:lvl>
    <w:lvl w:ilvl="1" w:tplc="436AA13E">
      <w:start w:val="9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9">
    <w:nsid w:val="65565824"/>
    <w:multiLevelType w:val="hybridMultilevel"/>
    <w:tmpl w:val="286AC4A0"/>
    <w:lvl w:ilvl="0" w:tplc="16D2C2C4">
      <w:start w:val="1"/>
      <w:numFmt w:val="decimal"/>
      <w:lvlText w:val="%1、"/>
      <w:lvlJc w:val="left"/>
      <w:pPr>
        <w:tabs>
          <w:tab w:val="num" w:pos="720"/>
        </w:tabs>
        <w:ind w:left="720" w:hanging="720"/>
      </w:pPr>
      <w:rPr>
        <w:rFonts w:hint="eastAsia"/>
      </w:rPr>
    </w:lvl>
    <w:lvl w:ilvl="1" w:tplc="E348C722">
      <w:start w:val="1"/>
      <w:numFmt w:val="lowerLetter"/>
      <w:lvlText w:val="(%2)"/>
      <w:lvlJc w:val="left"/>
      <w:pPr>
        <w:tabs>
          <w:tab w:val="num" w:pos="780"/>
        </w:tabs>
        <w:ind w:left="780" w:hanging="360"/>
      </w:pPr>
      <w:rPr>
        <w:rFonts w:hint="eastAsia"/>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0">
    <w:nsid w:val="6850012B"/>
    <w:multiLevelType w:val="hybridMultilevel"/>
    <w:tmpl w:val="8F124406"/>
    <w:lvl w:ilvl="0" w:tplc="CA26A360">
      <w:start w:val="111"/>
      <w:numFmt w:val="decimal"/>
      <w:lvlText w:val="%1."/>
      <w:lvlJc w:val="left"/>
      <w:pPr>
        <w:tabs>
          <w:tab w:val="num" w:pos="120"/>
        </w:tabs>
        <w:ind w:left="744" w:hanging="624"/>
      </w:pPr>
      <w:rPr>
        <w:rFonts w:hint="eastAsia"/>
        <w:b w:val="0"/>
        <w:bCs w:val="0"/>
        <w:i w:val="0"/>
        <w:iCs w:val="0"/>
        <w:sz w:val="21"/>
        <w:szCs w:val="21"/>
      </w:rPr>
    </w:lvl>
    <w:lvl w:ilvl="1" w:tplc="081EACFA">
      <w:start w:val="113"/>
      <w:numFmt w:val="decimal"/>
      <w:lvlText w:val="%2."/>
      <w:lvlJc w:val="left"/>
      <w:pPr>
        <w:tabs>
          <w:tab w:val="num" w:pos="540"/>
        </w:tabs>
        <w:ind w:left="680" w:hanging="680"/>
      </w:pPr>
      <w:rPr>
        <w:rFonts w:ascii="Times New Roman" w:hAnsi="Times New Roman" w:cs="Times New Roman" w:hint="default"/>
        <w:b w:val="0"/>
        <w:bCs w:val="0"/>
        <w:i w:val="0"/>
        <w:iCs w:val="0"/>
        <w:sz w:val="21"/>
        <w:szCs w:val="21"/>
      </w:rPr>
    </w:lvl>
    <w:lvl w:ilvl="2" w:tplc="0409001B">
      <w:start w:val="1"/>
      <w:numFmt w:val="lowerRoman"/>
      <w:lvlText w:val="%3."/>
      <w:lvlJc w:val="right"/>
      <w:pPr>
        <w:tabs>
          <w:tab w:val="num" w:pos="1380"/>
        </w:tabs>
        <w:ind w:left="1380" w:hanging="420"/>
      </w:pPr>
    </w:lvl>
    <w:lvl w:ilvl="3" w:tplc="0409000F">
      <w:start w:val="1"/>
      <w:numFmt w:val="decimal"/>
      <w:lvlText w:val="%4."/>
      <w:lvlJc w:val="left"/>
      <w:pPr>
        <w:tabs>
          <w:tab w:val="num" w:pos="1800"/>
        </w:tabs>
        <w:ind w:left="1800" w:hanging="420"/>
      </w:pPr>
    </w:lvl>
    <w:lvl w:ilvl="4" w:tplc="04090019">
      <w:start w:val="1"/>
      <w:numFmt w:val="lowerLetter"/>
      <w:lvlText w:val="%5)"/>
      <w:lvlJc w:val="left"/>
      <w:pPr>
        <w:tabs>
          <w:tab w:val="num" w:pos="2220"/>
        </w:tabs>
        <w:ind w:left="2220" w:hanging="420"/>
      </w:pPr>
    </w:lvl>
    <w:lvl w:ilvl="5" w:tplc="0409001B">
      <w:start w:val="1"/>
      <w:numFmt w:val="lowerRoman"/>
      <w:lvlText w:val="%6."/>
      <w:lvlJc w:val="right"/>
      <w:pPr>
        <w:tabs>
          <w:tab w:val="num" w:pos="2640"/>
        </w:tabs>
        <w:ind w:left="2640" w:hanging="420"/>
      </w:pPr>
    </w:lvl>
    <w:lvl w:ilvl="6" w:tplc="0409000F">
      <w:start w:val="1"/>
      <w:numFmt w:val="decimal"/>
      <w:lvlText w:val="%7."/>
      <w:lvlJc w:val="left"/>
      <w:pPr>
        <w:tabs>
          <w:tab w:val="num" w:pos="3060"/>
        </w:tabs>
        <w:ind w:left="3060" w:hanging="420"/>
      </w:pPr>
    </w:lvl>
    <w:lvl w:ilvl="7" w:tplc="04090019">
      <w:start w:val="1"/>
      <w:numFmt w:val="lowerLetter"/>
      <w:lvlText w:val="%8)"/>
      <w:lvlJc w:val="left"/>
      <w:pPr>
        <w:tabs>
          <w:tab w:val="num" w:pos="3480"/>
        </w:tabs>
        <w:ind w:left="3480" w:hanging="420"/>
      </w:pPr>
    </w:lvl>
    <w:lvl w:ilvl="8" w:tplc="0409001B">
      <w:start w:val="1"/>
      <w:numFmt w:val="lowerRoman"/>
      <w:lvlText w:val="%9."/>
      <w:lvlJc w:val="right"/>
      <w:pPr>
        <w:tabs>
          <w:tab w:val="num" w:pos="3900"/>
        </w:tabs>
        <w:ind w:left="3900" w:hanging="420"/>
      </w:pPr>
    </w:lvl>
  </w:abstractNum>
  <w:abstractNum w:abstractNumId="31">
    <w:nsid w:val="68555BA1"/>
    <w:multiLevelType w:val="hybridMultilevel"/>
    <w:tmpl w:val="1CD0AE1C"/>
    <w:lvl w:ilvl="0" w:tplc="42762F6A">
      <w:start w:val="100"/>
      <w:numFmt w:val="decimal"/>
      <w:lvlText w:val="%1."/>
      <w:lvlJc w:val="left"/>
      <w:pPr>
        <w:tabs>
          <w:tab w:val="num" w:pos="340"/>
        </w:tabs>
        <w:ind w:left="340" w:hanging="340"/>
      </w:pPr>
      <w:rPr>
        <w:rFonts w:hint="eastAsia"/>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2">
    <w:nsid w:val="6AC96B06"/>
    <w:multiLevelType w:val="hybridMultilevel"/>
    <w:tmpl w:val="942E2B9A"/>
    <w:lvl w:ilvl="0" w:tplc="FEFE1752">
      <w:start w:val="136"/>
      <w:numFmt w:val="decimal"/>
      <w:lvlText w:val="%1."/>
      <w:lvlJc w:val="left"/>
      <w:pPr>
        <w:tabs>
          <w:tab w:val="num" w:pos="517"/>
        </w:tabs>
        <w:ind w:left="744" w:hanging="624"/>
      </w:pPr>
      <w:rPr>
        <w:rFonts w:hint="eastAsia"/>
        <w:sz w:val="21"/>
        <w:szCs w:val="21"/>
      </w:rPr>
    </w:lvl>
    <w:lvl w:ilvl="1" w:tplc="04090019">
      <w:start w:val="1"/>
      <w:numFmt w:val="lowerLetter"/>
      <w:lvlText w:val="%2)"/>
      <w:lvlJc w:val="left"/>
      <w:pPr>
        <w:tabs>
          <w:tab w:val="num" w:pos="960"/>
        </w:tabs>
        <w:ind w:left="960" w:hanging="420"/>
      </w:pPr>
    </w:lvl>
    <w:lvl w:ilvl="2" w:tplc="0409001B">
      <w:start w:val="1"/>
      <w:numFmt w:val="lowerRoman"/>
      <w:lvlText w:val="%3."/>
      <w:lvlJc w:val="right"/>
      <w:pPr>
        <w:tabs>
          <w:tab w:val="num" w:pos="1380"/>
        </w:tabs>
        <w:ind w:left="1380" w:hanging="420"/>
      </w:pPr>
    </w:lvl>
    <w:lvl w:ilvl="3" w:tplc="0409000F">
      <w:start w:val="1"/>
      <w:numFmt w:val="decimal"/>
      <w:lvlText w:val="%4."/>
      <w:lvlJc w:val="left"/>
      <w:pPr>
        <w:tabs>
          <w:tab w:val="num" w:pos="1800"/>
        </w:tabs>
        <w:ind w:left="1800" w:hanging="420"/>
      </w:pPr>
    </w:lvl>
    <w:lvl w:ilvl="4" w:tplc="04090019">
      <w:start w:val="1"/>
      <w:numFmt w:val="lowerLetter"/>
      <w:lvlText w:val="%5)"/>
      <w:lvlJc w:val="left"/>
      <w:pPr>
        <w:tabs>
          <w:tab w:val="num" w:pos="2220"/>
        </w:tabs>
        <w:ind w:left="2220" w:hanging="420"/>
      </w:pPr>
    </w:lvl>
    <w:lvl w:ilvl="5" w:tplc="0409001B">
      <w:start w:val="1"/>
      <w:numFmt w:val="lowerRoman"/>
      <w:lvlText w:val="%6."/>
      <w:lvlJc w:val="right"/>
      <w:pPr>
        <w:tabs>
          <w:tab w:val="num" w:pos="2640"/>
        </w:tabs>
        <w:ind w:left="2640" w:hanging="420"/>
      </w:pPr>
    </w:lvl>
    <w:lvl w:ilvl="6" w:tplc="0409000F">
      <w:start w:val="1"/>
      <w:numFmt w:val="decimal"/>
      <w:lvlText w:val="%7."/>
      <w:lvlJc w:val="left"/>
      <w:pPr>
        <w:tabs>
          <w:tab w:val="num" w:pos="3060"/>
        </w:tabs>
        <w:ind w:left="3060" w:hanging="420"/>
      </w:pPr>
    </w:lvl>
    <w:lvl w:ilvl="7" w:tplc="04090019">
      <w:start w:val="1"/>
      <w:numFmt w:val="lowerLetter"/>
      <w:lvlText w:val="%8)"/>
      <w:lvlJc w:val="left"/>
      <w:pPr>
        <w:tabs>
          <w:tab w:val="num" w:pos="3480"/>
        </w:tabs>
        <w:ind w:left="3480" w:hanging="420"/>
      </w:pPr>
    </w:lvl>
    <w:lvl w:ilvl="8" w:tplc="0409001B">
      <w:start w:val="1"/>
      <w:numFmt w:val="lowerRoman"/>
      <w:lvlText w:val="%9."/>
      <w:lvlJc w:val="right"/>
      <w:pPr>
        <w:tabs>
          <w:tab w:val="num" w:pos="3900"/>
        </w:tabs>
        <w:ind w:left="3900" w:hanging="420"/>
      </w:pPr>
    </w:lvl>
  </w:abstractNum>
  <w:abstractNum w:abstractNumId="33">
    <w:nsid w:val="6BD17B7C"/>
    <w:multiLevelType w:val="hybridMultilevel"/>
    <w:tmpl w:val="90D2376C"/>
    <w:lvl w:ilvl="0" w:tplc="83525508">
      <w:start w:val="211"/>
      <w:numFmt w:val="decimal"/>
      <w:lvlText w:val="%1."/>
      <w:lvlJc w:val="left"/>
      <w:pPr>
        <w:tabs>
          <w:tab w:val="num" w:pos="0"/>
        </w:tabs>
        <w:ind w:left="624" w:hanging="624"/>
      </w:pPr>
      <w:rPr>
        <w:rFonts w:eastAsia="SimSun" w:hint="eastAsia"/>
        <w:sz w:val="21"/>
        <w:szCs w:val="21"/>
      </w:rPr>
    </w:lvl>
    <w:lvl w:ilvl="1" w:tplc="04090001">
      <w:start w:val="1"/>
      <w:numFmt w:val="bullet"/>
      <w:lvlText w:val=""/>
      <w:lvlJc w:val="left"/>
      <w:pPr>
        <w:tabs>
          <w:tab w:val="num" w:pos="840"/>
        </w:tabs>
        <w:ind w:left="840" w:hanging="420"/>
      </w:pPr>
      <w:rPr>
        <w:rFonts w:ascii="Wingdings" w:hAnsi="Wingdings" w:cs="Wingdings" w:hint="default"/>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4">
    <w:nsid w:val="6BF325A2"/>
    <w:multiLevelType w:val="hybridMultilevel"/>
    <w:tmpl w:val="FCC834D4"/>
    <w:lvl w:ilvl="0" w:tplc="D074933C">
      <w:start w:val="128"/>
      <w:numFmt w:val="decimal"/>
      <w:lvlText w:val="%1."/>
      <w:lvlJc w:val="left"/>
      <w:pPr>
        <w:tabs>
          <w:tab w:val="num" w:pos="567"/>
        </w:tabs>
        <w:ind w:left="624" w:hanging="624"/>
      </w:pPr>
      <w:rPr>
        <w:rFonts w:ascii="Times New Roman" w:hAnsi="Times New Roman" w:cs="Times New Roman" w:hint="default"/>
        <w:sz w:val="21"/>
        <w:szCs w:val="21"/>
      </w:rPr>
    </w:lvl>
    <w:lvl w:ilvl="1" w:tplc="FB98BB56">
      <w:start w:val="128"/>
      <w:numFmt w:val="bullet"/>
      <w:lvlText w:val=""/>
      <w:lvlJc w:val="left"/>
      <w:pPr>
        <w:tabs>
          <w:tab w:val="num" w:pos="567"/>
        </w:tabs>
        <w:ind w:left="737" w:hanging="170"/>
      </w:pPr>
      <w:rPr>
        <w:rFonts w:ascii="Wingdings" w:hAnsi="Wingdings" w:cs="Wingdings" w:hint="default"/>
        <w:sz w:val="21"/>
        <w:szCs w:val="21"/>
      </w:rPr>
    </w:lvl>
    <w:lvl w:ilvl="2" w:tplc="2C6A4A1E">
      <w:start w:val="130"/>
      <w:numFmt w:val="decimal"/>
      <w:lvlText w:val="%3."/>
      <w:lvlJc w:val="left"/>
      <w:pPr>
        <w:tabs>
          <w:tab w:val="num" w:pos="397"/>
        </w:tabs>
        <w:ind w:left="340" w:hanging="340"/>
      </w:pPr>
      <w:rPr>
        <w:rFonts w:ascii="Times New Roman" w:hAnsi="Times New Roman" w:cs="Times New Roman" w:hint="default"/>
        <w:b w:val="0"/>
        <w:bCs w:val="0"/>
        <w:sz w:val="21"/>
        <w:szCs w:val="21"/>
      </w:r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5">
    <w:nsid w:val="6ED951D3"/>
    <w:multiLevelType w:val="hybridMultilevel"/>
    <w:tmpl w:val="5E428C62"/>
    <w:lvl w:ilvl="0" w:tplc="2146CCE4">
      <w:start w:val="1"/>
      <w:numFmt w:val="decimal"/>
      <w:lvlText w:val="%1、"/>
      <w:lvlJc w:val="left"/>
      <w:pPr>
        <w:tabs>
          <w:tab w:val="num" w:pos="720"/>
        </w:tabs>
        <w:ind w:left="720" w:hanging="720"/>
      </w:pPr>
      <w:rPr>
        <w:rFonts w:hint="eastAsia"/>
      </w:rPr>
    </w:lvl>
    <w:lvl w:ilvl="1" w:tplc="1B76DDF6">
      <w:start w:val="1"/>
      <w:numFmt w:val="lowerLetter"/>
      <w:lvlText w:val="（%2）"/>
      <w:lvlJc w:val="left"/>
      <w:pPr>
        <w:tabs>
          <w:tab w:val="num" w:pos="1140"/>
        </w:tabs>
        <w:ind w:left="1140" w:hanging="720"/>
      </w:pPr>
      <w:rPr>
        <w:rFonts w:hint="eastAsia"/>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6">
    <w:nsid w:val="73C8181C"/>
    <w:multiLevelType w:val="hybridMultilevel"/>
    <w:tmpl w:val="1CAC5174"/>
    <w:lvl w:ilvl="0" w:tplc="7CFC53F2">
      <w:start w:val="1"/>
      <w:numFmt w:val="lowerLetter"/>
      <w:lvlText w:val="%1)"/>
      <w:lvlJc w:val="left"/>
      <w:pPr>
        <w:tabs>
          <w:tab w:val="num" w:pos="864"/>
        </w:tabs>
        <w:ind w:left="864" w:hanging="432"/>
      </w:pPr>
      <w:rPr>
        <w:rFonts w:hint="default"/>
      </w:rPr>
    </w:lvl>
    <w:lvl w:ilvl="1" w:tplc="04090019">
      <w:start w:val="1"/>
      <w:numFmt w:val="lowerLetter"/>
      <w:lvlText w:val="%2."/>
      <w:lvlJc w:val="left"/>
      <w:pPr>
        <w:tabs>
          <w:tab w:val="num" w:pos="432"/>
        </w:tabs>
        <w:ind w:left="432" w:hanging="360"/>
      </w:pPr>
    </w:lvl>
    <w:lvl w:ilvl="2" w:tplc="0409001B">
      <w:start w:val="1"/>
      <w:numFmt w:val="lowerRoman"/>
      <w:lvlText w:val="%3."/>
      <w:lvlJc w:val="right"/>
      <w:pPr>
        <w:tabs>
          <w:tab w:val="num" w:pos="1152"/>
        </w:tabs>
        <w:ind w:left="1152" w:hanging="180"/>
      </w:pPr>
    </w:lvl>
    <w:lvl w:ilvl="3" w:tplc="0409000F">
      <w:start w:val="1"/>
      <w:numFmt w:val="decimal"/>
      <w:lvlText w:val="%4."/>
      <w:lvlJc w:val="left"/>
      <w:pPr>
        <w:tabs>
          <w:tab w:val="num" w:pos="1872"/>
        </w:tabs>
        <w:ind w:left="1872" w:hanging="360"/>
      </w:pPr>
    </w:lvl>
    <w:lvl w:ilvl="4" w:tplc="04090019">
      <w:start w:val="1"/>
      <w:numFmt w:val="lowerLetter"/>
      <w:lvlText w:val="%5."/>
      <w:lvlJc w:val="left"/>
      <w:pPr>
        <w:tabs>
          <w:tab w:val="num" w:pos="2592"/>
        </w:tabs>
        <w:ind w:left="2592" w:hanging="360"/>
      </w:pPr>
    </w:lvl>
    <w:lvl w:ilvl="5" w:tplc="0409001B">
      <w:start w:val="1"/>
      <w:numFmt w:val="lowerRoman"/>
      <w:lvlText w:val="%6."/>
      <w:lvlJc w:val="right"/>
      <w:pPr>
        <w:tabs>
          <w:tab w:val="num" w:pos="3312"/>
        </w:tabs>
        <w:ind w:left="3312" w:hanging="180"/>
      </w:pPr>
    </w:lvl>
    <w:lvl w:ilvl="6" w:tplc="0409000F">
      <w:start w:val="1"/>
      <w:numFmt w:val="decimal"/>
      <w:lvlText w:val="%7."/>
      <w:lvlJc w:val="left"/>
      <w:pPr>
        <w:tabs>
          <w:tab w:val="num" w:pos="4032"/>
        </w:tabs>
        <w:ind w:left="4032" w:hanging="360"/>
      </w:pPr>
    </w:lvl>
    <w:lvl w:ilvl="7" w:tplc="04090019">
      <w:start w:val="1"/>
      <w:numFmt w:val="lowerLetter"/>
      <w:lvlText w:val="%8."/>
      <w:lvlJc w:val="left"/>
      <w:pPr>
        <w:tabs>
          <w:tab w:val="num" w:pos="4752"/>
        </w:tabs>
        <w:ind w:left="4752" w:hanging="360"/>
      </w:pPr>
    </w:lvl>
    <w:lvl w:ilvl="8" w:tplc="0409001B">
      <w:start w:val="1"/>
      <w:numFmt w:val="lowerRoman"/>
      <w:lvlText w:val="%9."/>
      <w:lvlJc w:val="right"/>
      <w:pPr>
        <w:tabs>
          <w:tab w:val="num" w:pos="5472"/>
        </w:tabs>
        <w:ind w:left="5472" w:hanging="180"/>
      </w:pPr>
    </w:lvl>
  </w:abstractNum>
  <w:abstractNum w:abstractNumId="37">
    <w:nsid w:val="75296590"/>
    <w:multiLevelType w:val="hybridMultilevel"/>
    <w:tmpl w:val="4C8AB13A"/>
    <w:lvl w:ilvl="0" w:tplc="6FC8BBF2">
      <w:numFmt w:val="bullet"/>
      <w:lvlText w:val=""/>
      <w:lvlJc w:val="left"/>
      <w:pPr>
        <w:tabs>
          <w:tab w:val="num" w:pos="1440"/>
        </w:tabs>
        <w:ind w:left="1440" w:hanging="360"/>
      </w:pPr>
      <w:rPr>
        <w:rFonts w:ascii="Symbol" w:hAnsi="Symbol" w:cs="Symbol" w:hint="default"/>
      </w:rPr>
    </w:lvl>
    <w:lvl w:ilvl="1" w:tplc="0409000F">
      <w:start w:val="1"/>
      <w:numFmt w:val="decimal"/>
      <w:lvlText w:val="%2."/>
      <w:lvlJc w:val="left"/>
      <w:pPr>
        <w:tabs>
          <w:tab w:val="num" w:pos="2520"/>
        </w:tabs>
        <w:ind w:left="2520" w:hanging="360"/>
      </w:p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38">
    <w:nsid w:val="794F23B8"/>
    <w:multiLevelType w:val="hybridMultilevel"/>
    <w:tmpl w:val="B7CED7C4"/>
    <w:lvl w:ilvl="0" w:tplc="D8200152">
      <w:start w:val="116"/>
      <w:numFmt w:val="decimal"/>
      <w:lvlText w:val="%1."/>
      <w:lvlJc w:val="left"/>
      <w:pPr>
        <w:tabs>
          <w:tab w:val="num" w:pos="240"/>
        </w:tabs>
        <w:ind w:left="864" w:hanging="624"/>
      </w:pPr>
      <w:rPr>
        <w:rFonts w:hint="eastAsia"/>
      </w:rPr>
    </w:lvl>
    <w:lvl w:ilvl="1" w:tplc="260CDCFA">
      <w:start w:val="117"/>
      <w:numFmt w:val="decimal"/>
      <w:lvlText w:val="%2."/>
      <w:lvlJc w:val="left"/>
      <w:pPr>
        <w:tabs>
          <w:tab w:val="num" w:pos="284"/>
        </w:tabs>
        <w:ind w:left="624" w:hanging="624"/>
      </w:pPr>
      <w:rPr>
        <w:rFonts w:hint="eastAsia"/>
        <w:b w:val="0"/>
        <w:bCs w:val="0"/>
        <w:sz w:val="28"/>
        <w:szCs w:val="28"/>
      </w:rPr>
    </w:lvl>
    <w:lvl w:ilvl="2" w:tplc="0409001B">
      <w:start w:val="1"/>
      <w:numFmt w:val="lowerRoman"/>
      <w:lvlText w:val="%3."/>
      <w:lvlJc w:val="right"/>
      <w:pPr>
        <w:tabs>
          <w:tab w:val="num" w:pos="1380"/>
        </w:tabs>
        <w:ind w:left="1380" w:hanging="420"/>
      </w:pPr>
    </w:lvl>
    <w:lvl w:ilvl="3" w:tplc="0409000F">
      <w:start w:val="1"/>
      <w:numFmt w:val="decimal"/>
      <w:lvlText w:val="%4."/>
      <w:lvlJc w:val="left"/>
      <w:pPr>
        <w:tabs>
          <w:tab w:val="num" w:pos="1800"/>
        </w:tabs>
        <w:ind w:left="1800" w:hanging="420"/>
      </w:pPr>
    </w:lvl>
    <w:lvl w:ilvl="4" w:tplc="04090019">
      <w:start w:val="1"/>
      <w:numFmt w:val="lowerLetter"/>
      <w:lvlText w:val="%5)"/>
      <w:lvlJc w:val="left"/>
      <w:pPr>
        <w:tabs>
          <w:tab w:val="num" w:pos="2220"/>
        </w:tabs>
        <w:ind w:left="2220" w:hanging="420"/>
      </w:pPr>
    </w:lvl>
    <w:lvl w:ilvl="5" w:tplc="0409001B">
      <w:start w:val="1"/>
      <w:numFmt w:val="lowerRoman"/>
      <w:lvlText w:val="%6."/>
      <w:lvlJc w:val="right"/>
      <w:pPr>
        <w:tabs>
          <w:tab w:val="num" w:pos="2640"/>
        </w:tabs>
        <w:ind w:left="2640" w:hanging="420"/>
      </w:pPr>
    </w:lvl>
    <w:lvl w:ilvl="6" w:tplc="0409000F">
      <w:start w:val="1"/>
      <w:numFmt w:val="decimal"/>
      <w:lvlText w:val="%7."/>
      <w:lvlJc w:val="left"/>
      <w:pPr>
        <w:tabs>
          <w:tab w:val="num" w:pos="3060"/>
        </w:tabs>
        <w:ind w:left="3060" w:hanging="420"/>
      </w:pPr>
    </w:lvl>
    <w:lvl w:ilvl="7" w:tplc="04090019">
      <w:start w:val="1"/>
      <w:numFmt w:val="lowerLetter"/>
      <w:lvlText w:val="%8)"/>
      <w:lvlJc w:val="left"/>
      <w:pPr>
        <w:tabs>
          <w:tab w:val="num" w:pos="3480"/>
        </w:tabs>
        <w:ind w:left="3480" w:hanging="420"/>
      </w:pPr>
    </w:lvl>
    <w:lvl w:ilvl="8" w:tplc="0409001B">
      <w:start w:val="1"/>
      <w:numFmt w:val="lowerRoman"/>
      <w:lvlText w:val="%9."/>
      <w:lvlJc w:val="right"/>
      <w:pPr>
        <w:tabs>
          <w:tab w:val="num" w:pos="3900"/>
        </w:tabs>
        <w:ind w:left="3900" w:hanging="420"/>
      </w:pPr>
    </w:lvl>
  </w:abstractNum>
  <w:abstractNum w:abstractNumId="39">
    <w:nsid w:val="7B170319"/>
    <w:multiLevelType w:val="hybridMultilevel"/>
    <w:tmpl w:val="6BF032B4"/>
    <w:lvl w:ilvl="0">
      <w:start w:val="1"/>
      <w:numFmt w:val="decimal"/>
      <w:pStyle w:val="DefaultText"/>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lowerLetter"/>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26"/>
  </w:num>
  <w:num w:numId="2">
    <w:abstractNumId w:val="26"/>
  </w:num>
  <w:num w:numId="3">
    <w:abstractNumId w:val="26"/>
  </w:num>
  <w:num w:numId="4">
    <w:abstractNumId w:val="26"/>
  </w:num>
  <w:num w:numId="5">
    <w:abstractNumId w:val="26"/>
  </w:num>
  <w:num w:numId="6">
    <w:abstractNumId w:val="26"/>
  </w:num>
  <w:num w:numId="7">
    <w:abstractNumId w:val="26"/>
  </w:num>
  <w:num w:numId="8">
    <w:abstractNumId w:val="26"/>
  </w:num>
  <w:num w:numId="9">
    <w:abstractNumId w:val="26"/>
  </w:num>
  <w:num w:numId="10">
    <w:abstractNumId w:val="2"/>
  </w:num>
  <w:num w:numId="11">
    <w:abstractNumId w:val="1"/>
  </w:num>
  <w:num w:numId="12">
    <w:abstractNumId w:val="0"/>
  </w:num>
  <w:num w:numId="13">
    <w:abstractNumId w:val="3"/>
  </w:num>
  <w:num w:numId="14">
    <w:abstractNumId w:val="22"/>
  </w:num>
  <w:num w:numId="15">
    <w:abstractNumId w:val="17"/>
  </w:num>
  <w:num w:numId="16">
    <w:abstractNumId w:val="12"/>
  </w:num>
  <w:num w:numId="17">
    <w:abstractNumId w:val="39"/>
  </w:num>
  <w:num w:numId="18">
    <w:abstractNumId w:val="40"/>
  </w:num>
  <w:num w:numId="19">
    <w:abstractNumId w:val="28"/>
  </w:num>
  <w:num w:numId="20">
    <w:abstractNumId w:val="19"/>
  </w:num>
  <w:num w:numId="21">
    <w:abstractNumId w:val="36"/>
  </w:num>
  <w:num w:numId="22">
    <w:abstractNumId w:val="23"/>
  </w:num>
  <w:num w:numId="23">
    <w:abstractNumId w:val="27"/>
  </w:num>
  <w:num w:numId="24">
    <w:abstractNumId w:val="15"/>
  </w:num>
  <w:num w:numId="25">
    <w:abstractNumId w:val="7"/>
  </w:num>
  <w:num w:numId="26">
    <w:abstractNumId w:val="8"/>
  </w:num>
  <w:num w:numId="27">
    <w:abstractNumId w:val="29"/>
  </w:num>
  <w:num w:numId="28">
    <w:abstractNumId w:val="9"/>
  </w:num>
  <w:num w:numId="29">
    <w:abstractNumId w:val="24"/>
  </w:num>
  <w:num w:numId="30">
    <w:abstractNumId w:val="18"/>
  </w:num>
  <w:num w:numId="31">
    <w:abstractNumId w:val="31"/>
  </w:num>
  <w:num w:numId="32">
    <w:abstractNumId w:val="21"/>
  </w:num>
  <w:num w:numId="33">
    <w:abstractNumId w:val="14"/>
  </w:num>
  <w:num w:numId="34">
    <w:abstractNumId w:val="38"/>
  </w:num>
  <w:num w:numId="35">
    <w:abstractNumId w:val="6"/>
  </w:num>
  <w:num w:numId="36">
    <w:abstractNumId w:val="34"/>
  </w:num>
  <w:num w:numId="37">
    <w:abstractNumId w:val="5"/>
  </w:num>
  <w:num w:numId="38">
    <w:abstractNumId w:val="32"/>
  </w:num>
  <w:num w:numId="39">
    <w:abstractNumId w:val="16"/>
  </w:num>
  <w:num w:numId="40">
    <w:abstractNumId w:val="30"/>
  </w:num>
  <w:num w:numId="41">
    <w:abstractNumId w:val="4"/>
  </w:num>
  <w:num w:numId="42">
    <w:abstractNumId w:val="25"/>
  </w:num>
  <w:num w:numId="43">
    <w:abstractNumId w:val="33"/>
  </w:num>
  <w:num w:numId="44">
    <w:abstractNumId w:val="11"/>
  </w:num>
  <w:num w:numId="45">
    <w:abstractNumId w:val="35"/>
  </w:num>
  <w:num w:numId="46">
    <w:abstractNumId w:val="20"/>
  </w:num>
  <w:num w:numId="47">
    <w:abstractNumId w:val="13"/>
  </w:num>
  <w:num w:numId="48">
    <w:abstractNumId w:val="37"/>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2548*"/>
    <w:docVar w:name="CreationDt" w:val="05/12/2005  3:31: PM"/>
    <w:docVar w:name="DocCategory" w:val="Doc"/>
    <w:docVar w:name="DocType" w:val="Final"/>
    <w:docVar w:name="FooterJN" w:val="05-52548"/>
    <w:docVar w:name="jobn" w:val="05-52548 (C)"/>
    <w:docVar w:name="jobnDT" w:val="05-52548 (C)   051205"/>
    <w:docVar w:name="jobnDTDT" w:val="05-52548 (C)   051205   051205"/>
    <w:docVar w:name="JobNo" w:val="0552548C"/>
    <w:docVar w:name="OandT" w:val="hou"/>
    <w:docVar w:name="sss1" w:val="CEDAW/C/BLZ/3-4"/>
    <w:docVar w:name="sss2" w:val="-"/>
    <w:docVar w:name="Symbol1" w:val="CEDAW/C/BLZ/3-4"/>
    <w:docVar w:name="Symbol2" w:val="-"/>
  </w:docVars>
  <w:rsids>
    <w:rsidRoot w:val="00004078"/>
    <w:rsid w:val="00004078"/>
    <w:rsid w:val="00023D5F"/>
    <w:rsid w:val="00026F65"/>
    <w:rsid w:val="0002745F"/>
    <w:rsid w:val="00046EF2"/>
    <w:rsid w:val="00076EC9"/>
    <w:rsid w:val="000B291B"/>
    <w:rsid w:val="000C393E"/>
    <w:rsid w:val="001101F1"/>
    <w:rsid w:val="00112EF7"/>
    <w:rsid w:val="00152D54"/>
    <w:rsid w:val="0017240D"/>
    <w:rsid w:val="00190BD9"/>
    <w:rsid w:val="001A63C0"/>
    <w:rsid w:val="001A7CE0"/>
    <w:rsid w:val="001E072E"/>
    <w:rsid w:val="001E5ABA"/>
    <w:rsid w:val="0021648C"/>
    <w:rsid w:val="0021751C"/>
    <w:rsid w:val="0022680E"/>
    <w:rsid w:val="00233412"/>
    <w:rsid w:val="00256474"/>
    <w:rsid w:val="002A450F"/>
    <w:rsid w:val="002A6D16"/>
    <w:rsid w:val="002D3573"/>
    <w:rsid w:val="002D7BBC"/>
    <w:rsid w:val="002E3BE1"/>
    <w:rsid w:val="002F4CB0"/>
    <w:rsid w:val="00307578"/>
    <w:rsid w:val="003418C9"/>
    <w:rsid w:val="00351A36"/>
    <w:rsid w:val="00352C53"/>
    <w:rsid w:val="00363CCF"/>
    <w:rsid w:val="00373976"/>
    <w:rsid w:val="003843AB"/>
    <w:rsid w:val="00391736"/>
    <w:rsid w:val="003A76FE"/>
    <w:rsid w:val="003B50F5"/>
    <w:rsid w:val="003D7A77"/>
    <w:rsid w:val="003F751A"/>
    <w:rsid w:val="0040101A"/>
    <w:rsid w:val="004103D4"/>
    <w:rsid w:val="00415126"/>
    <w:rsid w:val="00424845"/>
    <w:rsid w:val="004429A2"/>
    <w:rsid w:val="00482A56"/>
    <w:rsid w:val="004A3FC3"/>
    <w:rsid w:val="004A56DD"/>
    <w:rsid w:val="004B4FAD"/>
    <w:rsid w:val="004C3DCE"/>
    <w:rsid w:val="00500CBF"/>
    <w:rsid w:val="00501EC4"/>
    <w:rsid w:val="005060E9"/>
    <w:rsid w:val="00525391"/>
    <w:rsid w:val="00537EB9"/>
    <w:rsid w:val="00582D1F"/>
    <w:rsid w:val="005A0A7A"/>
    <w:rsid w:val="005A2FE6"/>
    <w:rsid w:val="005B034E"/>
    <w:rsid w:val="005B1859"/>
    <w:rsid w:val="00602A74"/>
    <w:rsid w:val="006352D1"/>
    <w:rsid w:val="006714D6"/>
    <w:rsid w:val="0068095F"/>
    <w:rsid w:val="00684C45"/>
    <w:rsid w:val="006C552C"/>
    <w:rsid w:val="006C5D69"/>
    <w:rsid w:val="006E2E62"/>
    <w:rsid w:val="006F02B4"/>
    <w:rsid w:val="007312AB"/>
    <w:rsid w:val="007750E5"/>
    <w:rsid w:val="0077746D"/>
    <w:rsid w:val="007964E1"/>
    <w:rsid w:val="007C40E1"/>
    <w:rsid w:val="007E3D9B"/>
    <w:rsid w:val="007F4F33"/>
    <w:rsid w:val="00801C8C"/>
    <w:rsid w:val="00802393"/>
    <w:rsid w:val="00810877"/>
    <w:rsid w:val="00850A6F"/>
    <w:rsid w:val="008526BE"/>
    <w:rsid w:val="008529D2"/>
    <w:rsid w:val="00932259"/>
    <w:rsid w:val="00964C51"/>
    <w:rsid w:val="00967238"/>
    <w:rsid w:val="0097639B"/>
    <w:rsid w:val="00986FA4"/>
    <w:rsid w:val="009A5702"/>
    <w:rsid w:val="009B235E"/>
    <w:rsid w:val="009B38FD"/>
    <w:rsid w:val="009B73F9"/>
    <w:rsid w:val="009C0AA2"/>
    <w:rsid w:val="009E487C"/>
    <w:rsid w:val="009F6254"/>
    <w:rsid w:val="00A45EB7"/>
    <w:rsid w:val="00A55A9A"/>
    <w:rsid w:val="00A83A44"/>
    <w:rsid w:val="00A90B7C"/>
    <w:rsid w:val="00A90F80"/>
    <w:rsid w:val="00AF20EA"/>
    <w:rsid w:val="00AF5E35"/>
    <w:rsid w:val="00B01DF6"/>
    <w:rsid w:val="00B4329B"/>
    <w:rsid w:val="00B63B69"/>
    <w:rsid w:val="00B92C99"/>
    <w:rsid w:val="00BA5E50"/>
    <w:rsid w:val="00BD043D"/>
    <w:rsid w:val="00C041CE"/>
    <w:rsid w:val="00C07AE2"/>
    <w:rsid w:val="00C20338"/>
    <w:rsid w:val="00C23B4F"/>
    <w:rsid w:val="00C63E70"/>
    <w:rsid w:val="00C81E57"/>
    <w:rsid w:val="00CA5FAB"/>
    <w:rsid w:val="00CC7FFB"/>
    <w:rsid w:val="00CD24E0"/>
    <w:rsid w:val="00D92ACF"/>
    <w:rsid w:val="00DA3890"/>
    <w:rsid w:val="00DB7B6F"/>
    <w:rsid w:val="00DB7D3A"/>
    <w:rsid w:val="00DD0052"/>
    <w:rsid w:val="00E03604"/>
    <w:rsid w:val="00E72BC6"/>
    <w:rsid w:val="00E7447F"/>
    <w:rsid w:val="00E7747D"/>
    <w:rsid w:val="00E97AAD"/>
    <w:rsid w:val="00EA5D36"/>
    <w:rsid w:val="00ED5F79"/>
    <w:rsid w:val="00F0309E"/>
    <w:rsid w:val="00F11092"/>
    <w:rsid w:val="00F3787D"/>
    <w:rsid w:val="00F54AAE"/>
    <w:rsid w:val="00F82C65"/>
    <w:rsid w:val="00FC3888"/>
    <w:rsid w:val="00FC49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40E1"/>
    <w:pPr>
      <w:spacing w:line="320" w:lineRule="exact"/>
    </w:pPr>
    <w:rPr>
      <w:rFonts w:ascii="SimSun"/>
      <w:kern w:val="14"/>
      <w:sz w:val="21"/>
      <w:lang w:val="en-US" w:eastAsia="zh-CN"/>
    </w:rPr>
  </w:style>
  <w:style w:type="paragraph" w:styleId="Heading1">
    <w:name w:val="heading 1"/>
    <w:aliases w:val="带编号的标题1,BMGF ?bersc?bersc?"/>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rsid w:val="007C40E1"/>
    <w:pPr>
      <w:keepNext/>
      <w:keepLines/>
      <w:suppressAutoHyphens/>
      <w:spacing w:before="60" w:after="180"/>
      <w:outlineLvl w:val="0"/>
    </w:pPr>
    <w:rPr>
      <w:rFonts w:ascii="SimHei" w:eastAsia="SimHei"/>
      <w:color w:val="FF0000"/>
      <w:sz w:val="24"/>
    </w:rPr>
  </w:style>
  <w:style w:type="paragraph" w:customStyle="1" w:styleId="SingleTxt">
    <w:name w:val="__Single Txt"/>
    <w:basedOn w:val="Normal"/>
    <w:rsid w:val="007C40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rsid w:val="007C40E1"/>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rsid w:val="007C40E1"/>
    <w:pPr>
      <w:spacing w:before="60" w:after="180"/>
      <w:outlineLvl w:val="1"/>
    </w:pPr>
    <w:rPr>
      <w:rFonts w:ascii="SimHei" w:eastAsia="SimHei"/>
      <w:color w:val="FF0000"/>
      <w:spacing w:val="2"/>
    </w:rPr>
  </w:style>
  <w:style w:type="paragraph" w:customStyle="1" w:styleId="H4">
    <w:name w:val="_ H_4"/>
    <w:basedOn w:val="Normal"/>
    <w:next w:val="Normal"/>
    <w:rsid w:val="007C40E1"/>
    <w:pPr>
      <w:keepNext/>
      <w:keepLines/>
      <w:tabs>
        <w:tab w:val="left" w:pos="431"/>
      </w:tabs>
      <w:suppressAutoHyphens/>
      <w:spacing w:after="140"/>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F82C65"/>
    <w:pPr>
      <w:tabs>
        <w:tab w:val="right" w:leader="dot" w:pos="360"/>
      </w:tabs>
      <w:spacing w:after="0"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aliases w:val="BMGF Fußzeile"/>
    <w:rsid w:val="001E072E"/>
    <w:pPr>
      <w:tabs>
        <w:tab w:val="center" w:pos="4320"/>
        <w:tab w:val="right" w:pos="8640"/>
      </w:tabs>
      <w:jc w:val="both"/>
    </w:pPr>
    <w:rPr>
      <w:b/>
      <w:noProof/>
      <w:sz w:val="18"/>
      <w:szCs w:val="18"/>
      <w:lang w:val="en-US" w:eastAsia="zh-CN"/>
    </w:rPr>
  </w:style>
  <w:style w:type="paragraph" w:styleId="CommentText">
    <w:name w:val="annotation text"/>
    <w:basedOn w:val="Normal"/>
    <w:semiHidden/>
    <w:rsid w:val="00C63E70"/>
  </w:style>
  <w:style w:type="paragraph" w:styleId="CommentSubject">
    <w:name w:val="annotation subject"/>
    <w:basedOn w:val="CommentText"/>
    <w:next w:val="CommentText"/>
    <w:semiHidden/>
    <w:rsid w:val="00C63E70"/>
    <w:rPr>
      <w:b/>
      <w:bCs/>
    </w:rPr>
  </w:style>
  <w:style w:type="paragraph" w:styleId="BalloonText">
    <w:name w:val="Balloon Text"/>
    <w:basedOn w:val="Normal"/>
    <w:semiHidden/>
    <w:rsid w:val="00C63E70"/>
    <w:rPr>
      <w:sz w:val="16"/>
      <w:szCs w:val="16"/>
    </w:rPr>
  </w:style>
  <w:style w:type="paragraph" w:styleId="BodyTextIndent3">
    <w:name w:val="Body Text Indent 3"/>
    <w:basedOn w:val="Normal"/>
    <w:rsid w:val="00373976"/>
    <w:pPr>
      <w:spacing w:after="120"/>
      <w:ind w:left="420"/>
    </w:pPr>
    <w:rPr>
      <w:sz w:val="16"/>
      <w:szCs w:val="16"/>
    </w:rPr>
  </w:style>
  <w:style w:type="paragraph" w:customStyle="1" w:styleId="2">
    <w:name w:val="页眉2"/>
    <w:basedOn w:val="Normal"/>
    <w:rsid w:val="00373976"/>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szCs w:val="19"/>
    </w:rPr>
  </w:style>
  <w:style w:type="paragraph" w:customStyle="1" w:styleId="3">
    <w:name w:val="页眉3"/>
    <w:basedOn w:val="Normal"/>
    <w:rsid w:val="00373976"/>
    <w:pPr>
      <w:framePr w:w="9837" w:h="85" w:hRule="exact" w:hSpace="181" w:vSpace="181" w:wrap="notBeside" w:vAnchor="page" w:hAnchor="margin" w:y="1617" w:anchorLock="1"/>
      <w:pBdr>
        <w:top w:val="single" w:sz="6" w:space="1" w:color="auto"/>
      </w:pBdr>
      <w:tabs>
        <w:tab w:val="left" w:pos="425"/>
      </w:tabs>
      <w:adjustRightInd w:val="0"/>
      <w:spacing w:after="140" w:line="280" w:lineRule="exact"/>
      <w:jc w:val="both"/>
      <w:textAlignment w:val="baseline"/>
    </w:pPr>
    <w:rPr>
      <w:rFonts w:ascii="Times New Roman"/>
      <w:color w:val="000000"/>
      <w:kern w:val="20"/>
      <w:sz w:val="20"/>
    </w:rPr>
  </w:style>
  <w:style w:type="paragraph" w:customStyle="1" w:styleId="4">
    <w:name w:val="页眉4"/>
    <w:basedOn w:val="Normal"/>
    <w:next w:val="Normal"/>
    <w:rsid w:val="00373976"/>
    <w:pPr>
      <w:framePr w:w="3402" w:h="2268" w:hRule="exact" w:hSpace="181" w:vSpace="181" w:wrap="notBeside" w:vAnchor="page" w:hAnchor="page" w:x="2484" w:y="1883" w:anchorLock="1"/>
      <w:tabs>
        <w:tab w:val="left" w:pos="425"/>
      </w:tabs>
      <w:adjustRightInd w:val="0"/>
      <w:spacing w:after="60" w:line="340" w:lineRule="exact"/>
      <w:textAlignment w:val="baseline"/>
    </w:pPr>
    <w:rPr>
      <w:rFonts w:ascii="Times New Roman" w:eastAsia="SimHei"/>
      <w:b/>
      <w:bCs/>
      <w:color w:val="000000"/>
      <w:spacing w:val="140"/>
      <w:kern w:val="34"/>
      <w:sz w:val="34"/>
      <w:szCs w:val="34"/>
    </w:rPr>
  </w:style>
  <w:style w:type="paragraph" w:customStyle="1" w:styleId="5">
    <w:name w:val="页眉5"/>
    <w:basedOn w:val="Header"/>
    <w:rsid w:val="00373976"/>
    <w:pPr>
      <w:framePr w:w="3119" w:h="1985" w:hRule="exact" w:hSpace="181" w:vSpace="181" w:wrap="notBeside" w:vAnchor="page" w:hAnchor="page" w:x="7882" w:y="1883" w:anchorLock="1"/>
      <w:widowControl w:val="0"/>
      <w:tabs>
        <w:tab w:val="clear" w:pos="4320"/>
        <w:tab w:val="clear" w:pos="8640"/>
      </w:tabs>
      <w:adjustRightInd w:val="0"/>
      <w:spacing w:after="60" w:line="180" w:lineRule="exact"/>
      <w:textAlignment w:val="baseline"/>
    </w:pPr>
    <w:rPr>
      <w:noProof w:val="0"/>
      <w:color w:val="000000"/>
      <w:kern w:val="18"/>
      <w:szCs w:val="18"/>
    </w:rPr>
  </w:style>
  <w:style w:type="paragraph" w:customStyle="1" w:styleId="6">
    <w:name w:val="页眉6"/>
    <w:basedOn w:val="3"/>
    <w:rsid w:val="00373976"/>
    <w:pPr>
      <w:framePr w:wrap="notBeside" w:y="4452"/>
    </w:pPr>
  </w:style>
  <w:style w:type="character" w:styleId="PageNumber">
    <w:name w:val="page number"/>
    <w:basedOn w:val="DefaultParagraphFont"/>
    <w:rsid w:val="00373976"/>
  </w:style>
  <w:style w:type="paragraph" w:styleId="Date">
    <w:name w:val="Date"/>
    <w:basedOn w:val="Normal"/>
    <w:next w:val="Normal"/>
    <w:rsid w:val="00373976"/>
    <w:pPr>
      <w:widowControl w:val="0"/>
      <w:adjustRightInd w:val="0"/>
      <w:spacing w:line="312" w:lineRule="atLeast"/>
      <w:jc w:val="both"/>
      <w:textAlignment w:val="baseline"/>
    </w:pPr>
    <w:rPr>
      <w:rFonts w:ascii="Times New Roman"/>
      <w:kern w:val="0"/>
      <w:szCs w:val="21"/>
    </w:rPr>
  </w:style>
  <w:style w:type="paragraph" w:styleId="Caption">
    <w:name w:val="caption"/>
    <w:basedOn w:val="Normal"/>
    <w:next w:val="Normal"/>
    <w:qFormat/>
    <w:rsid w:val="00373976"/>
    <w:pPr>
      <w:widowControl w:val="0"/>
      <w:adjustRightInd w:val="0"/>
      <w:spacing w:before="152" w:after="160" w:line="312" w:lineRule="atLeast"/>
      <w:jc w:val="both"/>
      <w:textAlignment w:val="baseline"/>
    </w:pPr>
    <w:rPr>
      <w:rFonts w:ascii="Arial" w:eastAsia="SimHei" w:hAnsi="Arial" w:cs="Arial"/>
      <w:kern w:val="0"/>
      <w:szCs w:val="21"/>
    </w:rPr>
  </w:style>
  <w:style w:type="paragraph" w:styleId="BlockText">
    <w:name w:val="Block Text"/>
    <w:basedOn w:val="Normal"/>
    <w:rsid w:val="00373976"/>
    <w:pPr>
      <w:widowControl w:val="0"/>
      <w:adjustRightInd w:val="0"/>
      <w:spacing w:after="240" w:line="440" w:lineRule="exact"/>
      <w:ind w:left="794" w:right="794" w:firstLine="425"/>
      <w:jc w:val="both"/>
      <w:textAlignment w:val="baseline"/>
    </w:pPr>
    <w:rPr>
      <w:rFonts w:ascii="Times New Roman"/>
      <w:kern w:val="0"/>
      <w:szCs w:val="21"/>
    </w:rPr>
  </w:style>
  <w:style w:type="paragraph" w:styleId="BodyTextIndent2">
    <w:name w:val="Body Text Indent 2"/>
    <w:basedOn w:val="Normal"/>
    <w:rsid w:val="00373976"/>
    <w:pPr>
      <w:widowControl w:val="0"/>
      <w:spacing w:line="240" w:lineRule="auto"/>
      <w:ind w:firstLine="462"/>
      <w:jc w:val="both"/>
    </w:pPr>
    <w:rPr>
      <w:rFonts w:ascii="Times New Roman"/>
      <w:i/>
      <w:iCs/>
      <w:kern w:val="2"/>
      <w:szCs w:val="21"/>
    </w:rPr>
  </w:style>
  <w:style w:type="paragraph" w:customStyle="1" w:styleId="1">
    <w:name w:val="样式1"/>
    <w:basedOn w:val="BodyText"/>
    <w:rsid w:val="00373976"/>
    <w:pPr>
      <w:widowControl w:val="0"/>
      <w:spacing w:line="240" w:lineRule="auto"/>
      <w:ind w:firstLineChars="200" w:firstLine="420"/>
      <w:jc w:val="both"/>
    </w:pPr>
    <w:rPr>
      <w:rFonts w:ascii="Times New Roman"/>
      <w:kern w:val="2"/>
      <w:szCs w:val="21"/>
    </w:rPr>
  </w:style>
  <w:style w:type="character" w:styleId="Hyperlink">
    <w:name w:val="Hyperlink"/>
    <w:rsid w:val="00373976"/>
    <w:rPr>
      <w:color w:val="0000FF"/>
      <w:u w:val="none"/>
    </w:rPr>
  </w:style>
  <w:style w:type="character" w:styleId="FollowedHyperlink">
    <w:name w:val="FollowedHyperlink"/>
    <w:rsid w:val="00373976"/>
    <w:rPr>
      <w:color w:val="0000FF"/>
      <w:u w:val="none"/>
    </w:rPr>
  </w:style>
  <w:style w:type="paragraph" w:styleId="Title">
    <w:name w:val="Title"/>
    <w:basedOn w:val="Normal"/>
    <w:qFormat/>
    <w:rsid w:val="00373976"/>
    <w:pPr>
      <w:widowControl w:val="0"/>
      <w:numPr>
        <w:numId w:val="3"/>
      </w:numPr>
      <w:tabs>
        <w:tab w:val="num" w:pos="420"/>
      </w:tabs>
      <w:spacing w:line="360" w:lineRule="auto"/>
      <w:ind w:left="420" w:hanging="420"/>
      <w:jc w:val="center"/>
    </w:pPr>
    <w:rPr>
      <w:rFonts w:ascii="Times New Roman" w:eastAsia="STKaiti"/>
      <w:b/>
      <w:bCs/>
      <w:kern w:val="2"/>
      <w:sz w:val="24"/>
      <w:szCs w:val="24"/>
    </w:rPr>
  </w:style>
  <w:style w:type="paragraph" w:customStyle="1" w:styleId="OmniPage6">
    <w:name w:val="OmniPage #6"/>
    <w:basedOn w:val="Normal"/>
    <w:rsid w:val="00373976"/>
    <w:pPr>
      <w:spacing w:line="240" w:lineRule="auto"/>
    </w:pPr>
    <w:rPr>
      <w:rFonts w:ascii="Times New Roman"/>
      <w:kern w:val="0"/>
      <w:sz w:val="24"/>
      <w:szCs w:val="24"/>
      <w:lang w:val="fr-FR" w:eastAsia="en-US"/>
    </w:rPr>
  </w:style>
  <w:style w:type="paragraph" w:customStyle="1" w:styleId="OmniPage12">
    <w:name w:val="OmniPage #12"/>
    <w:basedOn w:val="Normal"/>
    <w:rsid w:val="00373976"/>
    <w:pPr>
      <w:spacing w:line="240" w:lineRule="auto"/>
    </w:pPr>
    <w:rPr>
      <w:rFonts w:ascii="Times New Roman"/>
      <w:kern w:val="0"/>
      <w:sz w:val="24"/>
      <w:szCs w:val="24"/>
      <w:lang w:val="fr-FR" w:eastAsia="en-US"/>
    </w:rPr>
  </w:style>
  <w:style w:type="paragraph" w:customStyle="1" w:styleId="OmniPage15">
    <w:name w:val="OmniPage #15"/>
    <w:basedOn w:val="Normal"/>
    <w:rsid w:val="00373976"/>
    <w:pPr>
      <w:spacing w:line="240" w:lineRule="auto"/>
    </w:pPr>
    <w:rPr>
      <w:rFonts w:ascii="Times New Roman"/>
      <w:kern w:val="0"/>
      <w:sz w:val="24"/>
      <w:szCs w:val="24"/>
      <w:lang w:val="fr-FR" w:eastAsia="en-US"/>
    </w:rPr>
  </w:style>
  <w:style w:type="paragraph" w:customStyle="1" w:styleId="OmniPage13">
    <w:name w:val="OmniPage #13"/>
    <w:basedOn w:val="Normal"/>
    <w:rsid w:val="00373976"/>
    <w:pPr>
      <w:spacing w:line="240" w:lineRule="auto"/>
    </w:pPr>
    <w:rPr>
      <w:rFonts w:ascii="Times New Roman"/>
      <w:kern w:val="0"/>
      <w:sz w:val="24"/>
      <w:szCs w:val="24"/>
      <w:lang w:val="fr-FR" w:eastAsia="en-US"/>
    </w:rPr>
  </w:style>
  <w:style w:type="paragraph" w:customStyle="1" w:styleId="OmniPage9">
    <w:name w:val="OmniPage #9"/>
    <w:basedOn w:val="Normal"/>
    <w:rsid w:val="00373976"/>
    <w:pPr>
      <w:spacing w:line="240" w:lineRule="auto"/>
    </w:pPr>
    <w:rPr>
      <w:rFonts w:ascii="Times New Roman"/>
      <w:kern w:val="0"/>
      <w:sz w:val="24"/>
      <w:szCs w:val="24"/>
      <w:lang w:val="fr-FR" w:eastAsia="en-US"/>
    </w:rPr>
  </w:style>
  <w:style w:type="paragraph" w:customStyle="1" w:styleId="OmniPage14">
    <w:name w:val="OmniPage #14"/>
    <w:basedOn w:val="Normal"/>
    <w:rsid w:val="00373976"/>
    <w:pPr>
      <w:spacing w:line="240" w:lineRule="auto"/>
    </w:pPr>
    <w:rPr>
      <w:rFonts w:ascii="Times New Roman"/>
      <w:kern w:val="0"/>
      <w:sz w:val="24"/>
      <w:szCs w:val="24"/>
      <w:lang w:val="fr-FR" w:eastAsia="en-US"/>
    </w:rPr>
  </w:style>
  <w:style w:type="paragraph" w:styleId="BodyText3">
    <w:name w:val="Body Text 3"/>
    <w:basedOn w:val="Normal"/>
    <w:rsid w:val="00373976"/>
    <w:pPr>
      <w:spacing w:line="240" w:lineRule="auto"/>
      <w:jc w:val="both"/>
    </w:pPr>
    <w:rPr>
      <w:rFonts w:ascii="Times New Roman"/>
      <w:color w:val="000000"/>
      <w:kern w:val="0"/>
      <w:sz w:val="24"/>
      <w:szCs w:val="24"/>
      <w:lang w:val="fr-FR" w:eastAsia="en-US"/>
    </w:rPr>
  </w:style>
  <w:style w:type="paragraph" w:customStyle="1" w:styleId="H3">
    <w:name w:val="_ H_3"/>
    <w:basedOn w:val="Normal"/>
    <w:next w:val="Normal"/>
    <w:rsid w:val="00373976"/>
    <w:pPr>
      <w:spacing w:after="240" w:line="360" w:lineRule="exact"/>
      <w:outlineLvl w:val="1"/>
    </w:pPr>
    <w:rPr>
      <w:rFonts w:ascii="KaiTi_GB2312" w:eastAsia="KaiTi_GB2312" w:cs="KaiTi_GB2312"/>
      <w:b/>
      <w:bCs/>
      <w:color w:val="0000FF"/>
      <w:spacing w:val="2"/>
      <w:szCs w:val="21"/>
    </w:rPr>
  </w:style>
  <w:style w:type="paragraph" w:customStyle="1" w:styleId="50">
    <w:name w:val="正文5"/>
    <w:basedOn w:val="Normal"/>
    <w:rsid w:val="00373976"/>
    <w:pPr>
      <w:widowControl w:val="0"/>
      <w:spacing w:beforeLines="100" w:before="100" w:afterLines="100" w:after="100" w:line="240" w:lineRule="auto"/>
      <w:jc w:val="both"/>
    </w:pPr>
    <w:rPr>
      <w:rFonts w:ascii="Times New Roman"/>
      <w:b/>
      <w:bCs/>
      <w:kern w:val="2"/>
      <w:szCs w:val="21"/>
    </w:rPr>
  </w:style>
  <w:style w:type="paragraph" w:customStyle="1" w:styleId="40">
    <w:name w:val="正文4"/>
    <w:basedOn w:val="Normal"/>
    <w:rsid w:val="00373976"/>
    <w:pPr>
      <w:widowControl w:val="0"/>
      <w:numPr>
        <w:numId w:val="4"/>
      </w:numPr>
      <w:spacing w:beforeLines="50" w:before="50" w:afterLines="50" w:after="50" w:line="240" w:lineRule="auto"/>
      <w:jc w:val="both"/>
    </w:pPr>
    <w:rPr>
      <w:rFonts w:ascii="Times New Roman"/>
      <w:kern w:val="2"/>
      <w:szCs w:val="21"/>
    </w:rPr>
  </w:style>
  <w:style w:type="paragraph" w:customStyle="1" w:styleId="H2">
    <w:name w:val="_H_2"/>
    <w:basedOn w:val="Normal"/>
    <w:rsid w:val="00373976"/>
    <w:pPr>
      <w:widowControl w:val="0"/>
      <w:adjustRightInd w:val="0"/>
      <w:spacing w:after="240" w:line="360" w:lineRule="exact"/>
      <w:jc w:val="both"/>
      <w:textAlignment w:val="baseline"/>
    </w:pPr>
    <w:rPr>
      <w:rFonts w:ascii="SimHei" w:eastAsia="SimHei" w:cs="SimHei"/>
      <w:color w:val="FF0000"/>
      <w:kern w:val="0"/>
      <w:szCs w:val="21"/>
      <w:lang w:val="en-GB"/>
    </w:rPr>
  </w:style>
  <w:style w:type="paragraph" w:customStyle="1" w:styleId="20">
    <w:name w:val="正文2"/>
    <w:basedOn w:val="Normal"/>
    <w:rsid w:val="00373976"/>
    <w:pPr>
      <w:widowControl w:val="0"/>
      <w:spacing w:beforeLines="50" w:before="50" w:afterLines="50" w:after="50" w:line="240" w:lineRule="auto"/>
      <w:ind w:firstLineChars="200" w:firstLine="200"/>
      <w:jc w:val="both"/>
    </w:pPr>
    <w:rPr>
      <w:rFonts w:ascii="Times New Roman"/>
      <w:kern w:val="2"/>
      <w:szCs w:val="21"/>
    </w:rPr>
  </w:style>
  <w:style w:type="paragraph" w:customStyle="1" w:styleId="30">
    <w:name w:val="正文3"/>
    <w:basedOn w:val="Normal"/>
    <w:rsid w:val="00373976"/>
    <w:pPr>
      <w:widowControl w:val="0"/>
      <w:spacing w:line="240" w:lineRule="auto"/>
      <w:jc w:val="both"/>
    </w:pPr>
    <w:rPr>
      <w:rFonts w:ascii="Times New Roman"/>
      <w:kern w:val="2"/>
      <w:szCs w:val="21"/>
    </w:rPr>
  </w:style>
  <w:style w:type="paragraph" w:customStyle="1" w:styleId="60">
    <w:name w:val="样式6"/>
    <w:basedOn w:val="21"/>
    <w:rsid w:val="00373976"/>
    <w:rPr>
      <w:sz w:val="21"/>
      <w:szCs w:val="21"/>
    </w:rPr>
  </w:style>
  <w:style w:type="paragraph" w:customStyle="1" w:styleId="21">
    <w:name w:val="样式2"/>
    <w:basedOn w:val="Normal"/>
    <w:rsid w:val="00373976"/>
    <w:pPr>
      <w:widowControl w:val="0"/>
      <w:spacing w:beforeLines="50" w:before="50" w:afterLines="50" w:after="50" w:line="240" w:lineRule="auto"/>
      <w:jc w:val="both"/>
    </w:pPr>
    <w:rPr>
      <w:rFonts w:ascii="Book Antiqua" w:eastAsia="KaiTi_GB2312" w:hAnsi="Book Antiqua" w:cs="Book Antiqua"/>
      <w:kern w:val="2"/>
      <w:sz w:val="24"/>
      <w:szCs w:val="24"/>
      <w:lang w:val="es-ES"/>
    </w:rPr>
  </w:style>
  <w:style w:type="paragraph" w:customStyle="1" w:styleId="SinglePara">
    <w:name w:val="Single Para"/>
    <w:basedOn w:val="Normal"/>
    <w:rsid w:val="00373976"/>
    <w:pPr>
      <w:spacing w:line="240" w:lineRule="auto"/>
    </w:pPr>
    <w:rPr>
      <w:rFonts w:ascii="Times New Roman"/>
      <w:kern w:val="0"/>
      <w:sz w:val="24"/>
      <w:szCs w:val="24"/>
      <w:lang w:val="en-AU"/>
    </w:rPr>
  </w:style>
  <w:style w:type="paragraph" w:customStyle="1" w:styleId="a">
    <w:name w:val="简要记录正文"/>
    <w:basedOn w:val="Normal"/>
    <w:rsid w:val="00373976"/>
    <w:pPr>
      <w:widowControl w:val="0"/>
      <w:numPr>
        <w:numId w:val="17"/>
      </w:numPr>
      <w:autoSpaceDE w:val="0"/>
      <w:autoSpaceDN w:val="0"/>
      <w:adjustRightInd w:val="0"/>
      <w:spacing w:beforeLines="150" w:before="360" w:afterLines="150" w:after="360" w:line="240" w:lineRule="auto"/>
    </w:pPr>
    <w:rPr>
      <w:rFonts w:ascii="Times New Roman"/>
      <w:szCs w:val="21"/>
    </w:rPr>
  </w:style>
  <w:style w:type="paragraph" w:customStyle="1" w:styleId="a0">
    <w:name w:val="样式 简要记录正文 + (中文) 黑体 加粗"/>
    <w:basedOn w:val="a"/>
    <w:autoRedefine/>
    <w:rsid w:val="00373976"/>
    <w:pPr>
      <w:numPr>
        <w:numId w:val="0"/>
      </w:numPr>
    </w:pPr>
    <w:rPr>
      <w:rFonts w:eastAsia="SimHei"/>
      <w:b/>
      <w:bCs/>
    </w:rPr>
  </w:style>
  <w:style w:type="paragraph" w:customStyle="1" w:styleId="a1">
    <w:name w:val="黑体正文"/>
    <w:basedOn w:val="Normal"/>
    <w:next w:val="Normal"/>
    <w:rsid w:val="00373976"/>
    <w:pPr>
      <w:widowControl w:val="0"/>
      <w:autoSpaceDE w:val="0"/>
      <w:autoSpaceDN w:val="0"/>
      <w:adjustRightInd w:val="0"/>
      <w:spacing w:line="360" w:lineRule="auto"/>
    </w:pPr>
    <w:rPr>
      <w:rFonts w:ascii="Times New Roman" w:eastAsia="SimHei"/>
      <w:kern w:val="0"/>
      <w:sz w:val="24"/>
      <w:szCs w:val="24"/>
    </w:rPr>
  </w:style>
  <w:style w:type="paragraph" w:customStyle="1" w:styleId="DefaultText">
    <w:name w:val="Default Text"/>
    <w:basedOn w:val="Normal"/>
    <w:rsid w:val="00373976"/>
    <w:pPr>
      <w:spacing w:line="240" w:lineRule="auto"/>
    </w:pPr>
    <w:rPr>
      <w:rFonts w:ascii="Tahoma" w:hAnsi="Tahoma" w:cs="Tahoma"/>
      <w:kern w:val="0"/>
      <w:sz w:val="20"/>
      <w:lang w:eastAsia="en-US"/>
    </w:rPr>
  </w:style>
  <w:style w:type="character" w:styleId="Strong">
    <w:name w:val="Strong"/>
    <w:qFormat/>
    <w:rsid w:val="00373976"/>
    <w:rPr>
      <w:b/>
      <w:bCs/>
    </w:rPr>
  </w:style>
  <w:style w:type="character" w:customStyle="1" w:styleId="indrykning">
    <w:name w:val="indrykning"/>
    <w:basedOn w:val="DefaultParagraphFont"/>
    <w:rsid w:val="00373976"/>
  </w:style>
  <w:style w:type="paragraph" w:customStyle="1" w:styleId="22">
    <w:name w:val="标题2"/>
    <w:basedOn w:val="Normal"/>
    <w:rsid w:val="00373976"/>
    <w:pPr>
      <w:widowControl w:val="0"/>
      <w:spacing w:line="240" w:lineRule="auto"/>
      <w:ind w:firstLineChars="200" w:firstLine="200"/>
      <w:jc w:val="both"/>
    </w:pPr>
    <w:rPr>
      <w:rFonts w:ascii="Times New Roman"/>
      <w:b/>
      <w:bCs/>
      <w:kern w:val="2"/>
      <w:szCs w:val="21"/>
    </w:rPr>
  </w:style>
  <w:style w:type="paragraph" w:customStyle="1" w:styleId="a2">
    <w:name w:val="表的注释"/>
    <w:basedOn w:val="Normal"/>
    <w:rsid w:val="00373976"/>
    <w:pPr>
      <w:widowControl w:val="0"/>
      <w:spacing w:line="240" w:lineRule="auto"/>
      <w:ind w:firstLineChars="200" w:firstLine="200"/>
      <w:jc w:val="both"/>
    </w:pPr>
    <w:rPr>
      <w:rFonts w:ascii="Times New Roman"/>
      <w:kern w:val="2"/>
      <w:sz w:val="18"/>
      <w:szCs w:val="18"/>
    </w:rPr>
  </w:style>
  <w:style w:type="paragraph" w:customStyle="1" w:styleId="a3">
    <w:name w:val="注释"/>
    <w:basedOn w:val="Normal"/>
    <w:rsid w:val="00373976"/>
    <w:pPr>
      <w:widowControl w:val="0"/>
      <w:spacing w:line="240" w:lineRule="auto"/>
      <w:jc w:val="both"/>
    </w:pPr>
    <w:rPr>
      <w:rFonts w:ascii="Times New Roman"/>
      <w:kern w:val="2"/>
      <w:sz w:val="18"/>
      <w:szCs w:val="18"/>
    </w:rPr>
  </w:style>
  <w:style w:type="paragraph" w:customStyle="1" w:styleId="Standard-AKT">
    <w:name w:val="Standard-AKT"/>
    <w:basedOn w:val="Normal"/>
    <w:rsid w:val="00373976"/>
    <w:pPr>
      <w:autoSpaceDE w:val="0"/>
      <w:autoSpaceDN w:val="0"/>
      <w:spacing w:line="360" w:lineRule="auto"/>
    </w:pPr>
    <w:rPr>
      <w:rFonts w:ascii="Arial" w:hAnsi="Arial" w:cs="Arial"/>
      <w:kern w:val="0"/>
      <w:sz w:val="24"/>
      <w:szCs w:val="24"/>
      <w:lang w:val="de-DE" w:eastAsia="de-DE"/>
    </w:rPr>
  </w:style>
  <w:style w:type="paragraph" w:customStyle="1" w:styleId="xl65">
    <w:name w:val="xl65"/>
    <w:basedOn w:val="Normal"/>
    <w:rsid w:val="00373976"/>
    <w:pPr>
      <w:spacing w:before="100" w:beforeAutospacing="1" w:after="100" w:afterAutospacing="1" w:line="240" w:lineRule="auto"/>
    </w:pPr>
    <w:rPr>
      <w:rFonts w:ascii="Verdana" w:eastAsia="Arial Unicode MS" w:hAnsi="Verdana" w:cs="Verdana"/>
      <w:kern w:val="0"/>
      <w:sz w:val="18"/>
      <w:szCs w:val="18"/>
      <w:lang w:val="de-DE" w:eastAsia="de-DE"/>
    </w:rPr>
  </w:style>
  <w:style w:type="paragraph" w:customStyle="1" w:styleId="font6">
    <w:name w:val="font6"/>
    <w:basedOn w:val="Normal"/>
    <w:rsid w:val="00373976"/>
    <w:pPr>
      <w:spacing w:before="100" w:beforeAutospacing="1" w:after="100" w:afterAutospacing="1" w:line="240" w:lineRule="auto"/>
    </w:pPr>
    <w:rPr>
      <w:rFonts w:ascii="Verdana" w:eastAsia="Arial Unicode MS" w:hAnsi="Verdana" w:cs="Verdana"/>
      <w:b/>
      <w:bCs/>
      <w:kern w:val="0"/>
      <w:sz w:val="20"/>
      <w:lang w:val="de-DE" w:eastAsia="de-DE"/>
    </w:rPr>
  </w:style>
  <w:style w:type="paragraph" w:customStyle="1" w:styleId="xl52">
    <w:name w:val="xl52"/>
    <w:basedOn w:val="Normal"/>
    <w:rsid w:val="00373976"/>
    <w:pPr>
      <w:spacing w:before="100" w:beforeAutospacing="1" w:after="100" w:afterAutospacing="1" w:line="240" w:lineRule="auto"/>
      <w:jc w:val="right"/>
    </w:pPr>
    <w:rPr>
      <w:rFonts w:ascii="Verdana" w:eastAsia="Arial Unicode MS" w:hAnsi="Verdana" w:cs="Verdana"/>
      <w:b/>
      <w:bCs/>
      <w:kern w:val="0"/>
      <w:sz w:val="18"/>
      <w:szCs w:val="18"/>
      <w:lang w:val="de-DE" w:eastAsia="de-DE"/>
    </w:rPr>
  </w:style>
  <w:style w:type="paragraph" w:styleId="NormalWeb">
    <w:name w:val="Normal (Web)"/>
    <w:basedOn w:val="Normal"/>
    <w:rsid w:val="00373976"/>
    <w:pPr>
      <w:spacing w:before="100" w:beforeAutospacing="1" w:after="100" w:afterAutospacing="1" w:line="240" w:lineRule="auto"/>
    </w:pPr>
    <w:rPr>
      <w:rFonts w:ascii="Times New Roman"/>
      <w:kern w:val="0"/>
      <w:sz w:val="24"/>
      <w:szCs w:val="24"/>
      <w:lang w:eastAsia="en-US"/>
    </w:rPr>
  </w:style>
  <w:style w:type="character" w:styleId="Emphasis">
    <w:name w:val="Emphasis"/>
    <w:qFormat/>
    <w:rsid w:val="00373976"/>
    <w:rPr>
      <w:i/>
      <w:iCs/>
    </w:rPr>
  </w:style>
  <w:style w:type="paragraph" w:customStyle="1" w:styleId="ChtTabTitle">
    <w:name w:val="Cht&amp;Tab Title"/>
    <w:basedOn w:val="Caption"/>
    <w:autoRedefine/>
    <w:rsid w:val="00373976"/>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cs="SimHei"/>
      <w:lang w:val="en-GB"/>
    </w:rPr>
  </w:style>
  <w:style w:type="paragraph" w:customStyle="1" w:styleId="xl49">
    <w:name w:val="xl49"/>
    <w:basedOn w:val="Normal"/>
    <w:rsid w:val="00373976"/>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373976"/>
    <w:rPr>
      <w:rFonts w:ascii="SimSun" w:eastAsia="SimSun" w:hAnsi="SimSun" w:cs="SimSun"/>
      <w:sz w:val="24"/>
      <w:szCs w:val="24"/>
    </w:rPr>
  </w:style>
  <w:style w:type="paragraph" w:styleId="ListNumber2">
    <w:name w:val="List Number 2"/>
    <w:basedOn w:val="Normal"/>
    <w:rsid w:val="00373976"/>
    <w:pPr>
      <w:numPr>
        <w:ilvl w:val="1"/>
        <w:numId w:val="18"/>
      </w:numPr>
      <w:tabs>
        <w:tab w:val="clear" w:pos="792"/>
        <w:tab w:val="left" w:pos="851"/>
      </w:tabs>
      <w:spacing w:line="260" w:lineRule="atLeast"/>
      <w:ind w:left="851" w:hanging="851"/>
    </w:pPr>
    <w:rPr>
      <w:rFonts w:ascii="Univers" w:hAnsi="Univers" w:cs="Univers"/>
      <w:kern w:val="0"/>
      <w:sz w:val="20"/>
      <w:lang w:val="nl-NL" w:eastAsia="nl-NL"/>
    </w:rPr>
  </w:style>
  <w:style w:type="paragraph" w:styleId="ListNumber3">
    <w:name w:val="List Number 3"/>
    <w:basedOn w:val="Normal"/>
    <w:rsid w:val="00373976"/>
    <w:pPr>
      <w:numPr>
        <w:ilvl w:val="2"/>
        <w:numId w:val="18"/>
      </w:numPr>
      <w:tabs>
        <w:tab w:val="clear" w:pos="1440"/>
        <w:tab w:val="left" w:pos="1134"/>
      </w:tabs>
      <w:spacing w:line="260" w:lineRule="atLeast"/>
      <w:ind w:left="1134" w:hanging="1134"/>
    </w:pPr>
    <w:rPr>
      <w:rFonts w:ascii="Univers" w:hAnsi="Univers" w:cs="Univers"/>
      <w:kern w:val="0"/>
      <w:sz w:val="20"/>
      <w:lang w:val="nl-NL" w:eastAsia="nl-NL"/>
    </w:rPr>
  </w:style>
  <w:style w:type="paragraph" w:styleId="ListNumber4">
    <w:name w:val="List Number 4"/>
    <w:basedOn w:val="Normal"/>
    <w:rsid w:val="00373976"/>
    <w:pPr>
      <w:numPr>
        <w:ilvl w:val="3"/>
        <w:numId w:val="18"/>
      </w:numPr>
      <w:tabs>
        <w:tab w:val="clear" w:pos="2160"/>
        <w:tab w:val="left" w:pos="1418"/>
      </w:tabs>
      <w:spacing w:line="260" w:lineRule="atLeast"/>
      <w:ind w:left="1418" w:hanging="1418"/>
    </w:pPr>
    <w:rPr>
      <w:rFonts w:ascii="Univers" w:hAnsi="Univers" w:cs="Univers"/>
      <w:kern w:val="0"/>
      <w:sz w:val="20"/>
      <w:lang w:val="nl-NL" w:eastAsia="nl-NL"/>
    </w:rPr>
  </w:style>
  <w:style w:type="paragraph" w:customStyle="1" w:styleId="Auteurs">
    <w:name w:val="Auteurs"/>
    <w:basedOn w:val="Normal"/>
    <w:rsid w:val="00373976"/>
    <w:pPr>
      <w:spacing w:line="280" w:lineRule="atLeast"/>
    </w:pPr>
    <w:rPr>
      <w:rFonts w:ascii="Times New Roman"/>
      <w:kern w:val="0"/>
      <w:sz w:val="22"/>
      <w:szCs w:val="22"/>
      <w:lang w:val="nl-NL" w:eastAsia="nl-NL"/>
    </w:rPr>
  </w:style>
  <w:style w:type="paragraph" w:customStyle="1" w:styleId="NormalWeb1">
    <w:name w:val="Normal (Web)1"/>
    <w:basedOn w:val="Normal"/>
    <w:rsid w:val="00373976"/>
    <w:pPr>
      <w:spacing w:before="100" w:beforeAutospacing="1" w:after="100" w:afterAutospacing="1" w:line="240" w:lineRule="auto"/>
    </w:pPr>
    <w:rPr>
      <w:rFonts w:ascii="Times New Roman"/>
      <w:kern w:val="0"/>
      <w:sz w:val="24"/>
      <w:szCs w:val="24"/>
      <w:lang w:val="nl-NL" w:eastAsia="nl-NL"/>
    </w:rPr>
  </w:style>
  <w:style w:type="character" w:customStyle="1" w:styleId="t31">
    <w:name w:val="t31"/>
    <w:rsid w:val="00373976"/>
    <w:rPr>
      <w:color w:val="000000"/>
      <w:sz w:val="26"/>
      <w:szCs w:val="26"/>
    </w:rPr>
  </w:style>
  <w:style w:type="paragraph" w:styleId="ListBullet">
    <w:name w:val="List Bullet"/>
    <w:basedOn w:val="Normal"/>
    <w:autoRedefine/>
    <w:rsid w:val="00373976"/>
    <w:pPr>
      <w:numPr>
        <w:numId w:val="30"/>
      </w:numPr>
      <w:tabs>
        <w:tab w:val="num" w:pos="1046"/>
      </w:tabs>
      <w:spacing w:line="480" w:lineRule="auto"/>
      <w:ind w:left="1023" w:hanging="340"/>
      <w:jc w:val="both"/>
    </w:pPr>
    <w:rPr>
      <w:rFonts w:hAnsi="SimSun" w:cs="SimSun"/>
      <w:b/>
      <w:bCs/>
      <w:kern w:val="0"/>
      <w:szCs w:val="21"/>
    </w:rPr>
  </w:style>
  <w:style w:type="paragraph" w:styleId="Subtitle">
    <w:name w:val="Subtitle"/>
    <w:basedOn w:val="Normal"/>
    <w:qFormat/>
    <w:rsid w:val="00373976"/>
    <w:pPr>
      <w:spacing w:line="240" w:lineRule="auto"/>
      <w:jc w:val="center"/>
    </w:pPr>
    <w:rPr>
      <w:rFonts w:ascii="Times New Roman"/>
      <w:kern w:val="0"/>
      <w:sz w:val="40"/>
      <w:szCs w:val="40"/>
      <w:lang w:eastAsia="en-US"/>
    </w:rPr>
  </w:style>
  <w:style w:type="paragraph" w:customStyle="1" w:styleId="Normalvovlecen">
    <w:name w:val="Normal vovlecen"/>
    <w:basedOn w:val="Normal"/>
    <w:rsid w:val="00373976"/>
    <w:pPr>
      <w:widowControl w:val="0"/>
      <w:overflowPunct w:val="0"/>
      <w:autoSpaceDE w:val="0"/>
      <w:autoSpaceDN w:val="0"/>
      <w:adjustRightInd w:val="0"/>
      <w:spacing w:line="360" w:lineRule="atLeast"/>
      <w:ind w:firstLine="1134"/>
      <w:textAlignment w:val="baseline"/>
    </w:pPr>
    <w:rPr>
      <w:rFonts w:ascii="MAC C Times" w:hAnsi="MAC C Times" w:cs="MAC C Times"/>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hyperlink" Target="http://www.belize-elections.org" TargetMode="External"/><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hyperlink" Target="http://www.belizeinvest.org.b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3</Pages>
  <Words>6238</Words>
  <Characters>35557</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41712</CharactersWithSpaces>
  <SharedDoc>false</SharedDoc>
  <HLinks>
    <vt:vector size="12" baseType="variant">
      <vt:variant>
        <vt:i4>589913</vt:i4>
      </vt:variant>
      <vt:variant>
        <vt:i4>15</vt:i4>
      </vt:variant>
      <vt:variant>
        <vt:i4>0</vt:i4>
      </vt:variant>
      <vt:variant>
        <vt:i4>5</vt:i4>
      </vt:variant>
      <vt:variant>
        <vt:lpwstr>http://www.belize-elections.org/</vt:lpwstr>
      </vt:variant>
      <vt:variant>
        <vt:lpwstr/>
      </vt:variant>
      <vt:variant>
        <vt:i4>3866668</vt:i4>
      </vt:variant>
      <vt:variant>
        <vt:i4>12</vt:i4>
      </vt:variant>
      <vt:variant>
        <vt:i4>0</vt:i4>
      </vt:variant>
      <vt:variant>
        <vt:i4>5</vt:i4>
      </vt:variant>
      <vt:variant>
        <vt:lpwstr>http://www.belizeinvest.org.bz/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DGACM</dc:creator>
  <cp:keywords/>
  <dc:description/>
  <cp:lastModifiedBy>Suobao.Zhang</cp:lastModifiedBy>
  <cp:revision>35</cp:revision>
  <cp:lastPrinted>2005-12-05T14:33:00Z</cp:lastPrinted>
  <dcterms:created xsi:type="dcterms:W3CDTF">2005-12-05T13:31:00Z</dcterms:created>
  <dcterms:modified xsi:type="dcterms:W3CDTF">2005-12-05T16:46:00Z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0552548</vt:lpwstr>
  </property>
  <property fmtid="{D5CDD505-2E9C-101B-9397-08002B2CF9AE}" pid="3" name="Symbol1">
    <vt:lpwstr>CEDAW/C/BLZ/3-4</vt:lpwstr>
  </property>
  <property fmtid="{D5CDD505-2E9C-101B-9397-08002B2CF9AE}" pid="4" name="Symbol2">
    <vt:lpwstr/>
  </property>
  <property fmtid="{D5CDD505-2E9C-101B-9397-08002B2CF9AE}" pid="5" name="Translator">
    <vt:lpwstr/>
  </property>
  <property fmtid="{D5CDD505-2E9C-101B-9397-08002B2CF9AE}" pid="6" name="Operator">
    <vt:lpwstr>hou</vt:lpwstr>
  </property>
  <property fmtid="{D5CDD505-2E9C-101B-9397-08002B2CF9AE}" pid="7" name="DraftPages">
    <vt:lpwstr> </vt:lpwstr>
  </property>
  <property fmtid="{D5CDD505-2E9C-101B-9397-08002B2CF9AE}" pid="8" name="Comment">
    <vt:lpwstr/>
  </property>
</Properties>
</file>