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 xml:space="preserve">                                    NATIONS </w:t>
            </w:r>
          </w:p>
          <w:p w:rsidR="00000000" w:rsidRDefault="00000000">
            <w:pPr>
              <w:rPr>
                <w:rFonts w:ascii="Univers" w:hAnsi="Univers"/>
                <w:b/>
                <w:sz w:val="16"/>
                <w:lang w:val="fr-FR"/>
              </w:rPr>
            </w:pPr>
            <w:r>
              <w:rPr>
                <w:rFonts w:ascii="Univers" w:hAnsi="Univers"/>
                <w:b/>
                <w:sz w:val="28"/>
                <w:lang w:val="fr-FR"/>
              </w:rPr>
              <w:t>UNIES</w:t>
            </w:r>
            <w:r>
              <w:rPr>
                <w:rFonts w:ascii="Univers" w:hAnsi="Univers"/>
                <w:b/>
                <w:sz w:val="28"/>
                <w:lang w:val="fr-FR"/>
              </w:rPr>
              <w:br/>
            </w:r>
          </w:p>
        </w:tc>
        <w:tc>
          <w:tcPr>
            <w:tcW w:w="4536"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tr w:rsidR="00000000">
        <w:tc>
          <w:tcPr>
            <w:tcW w:w="1560" w:type="dxa"/>
            <w:tcBorders>
              <w:top w:val="single" w:sz="6" w:space="0" w:color="auto"/>
              <w:left w:val="nil"/>
              <w:bottom w:val="single" w:sz="36" w:space="0" w:color="auto"/>
              <w:right w:val="nil"/>
            </w:tcBorders>
          </w:tcPr>
          <w:p w:rsidR="00000000" w:rsidRDefault="00000000">
            <w:pPr>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66pt" o:ole="" fillcolor="window">
                  <v:imagedata r:id="rId7" o:title=""/>
                </v:shape>
                <o:OLEObject Type="Embed" ProgID="Word.Picture.8" ShapeID="_x0000_i1025" DrawAspect="Content" ObjectID="_139521335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lang w:val="fr-FR"/>
              </w:rPr>
            </w:pPr>
            <w:r>
              <w:rPr>
                <w:rFonts w:ascii="Univers" w:hAnsi="Univers"/>
                <w:b/>
                <w:sz w:val="36"/>
                <w:lang w:val="fr-FR"/>
              </w:rPr>
              <w:t>Convention relative</w:t>
            </w:r>
            <w:r>
              <w:rPr>
                <w:rFonts w:ascii="Univers" w:hAnsi="Univers"/>
                <w:b/>
                <w:sz w:val="36"/>
                <w:lang w:val="fr-FR"/>
              </w:rPr>
              <w:br/>
              <w:t>aux droits de l’enfant</w:t>
            </w:r>
          </w:p>
          <w:p w:rsidR="00000000" w:rsidRDefault="00000000">
            <w:pPr>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rPr>
                <w:lang w:val="fr-FR"/>
              </w:rPr>
            </w:pPr>
          </w:p>
          <w:p w:rsidR="00000000" w:rsidRDefault="00000000">
            <w:pPr>
              <w:rPr>
                <w:lang w:val="fr-FR"/>
              </w:rPr>
            </w:pPr>
            <w:r>
              <w:fldChar w:fldCharType="begin"/>
            </w:r>
            <w:r>
              <w:rPr>
                <w:lang w:val="fr-FR"/>
              </w:rPr>
              <w:instrText xml:space="preserve"> FILLIN "Symbol" \* MERGEFORMAT </w:instrText>
            </w:r>
            <w:r>
              <w:fldChar w:fldCharType="separate"/>
            </w:r>
            <w:r>
              <w:rPr>
                <w:lang w:val="fr-FR"/>
              </w:rPr>
              <w:t>CRC/C/TCD/Q/2</w:t>
            </w:r>
            <w:r>
              <w:fldChar w:fldCharType="end"/>
            </w:r>
            <w:r>
              <w:rPr>
                <w:lang w:val="fr-FR"/>
              </w:rPr>
              <w:br/>
              <w:t>22 octobre 2008</w:t>
            </w:r>
          </w:p>
          <w:p w:rsidR="00000000" w:rsidRDefault="00000000">
            <w:pPr>
              <w:rPr>
                <w:lang w:val="fr-FR"/>
              </w:rPr>
            </w:pPr>
          </w:p>
          <w:p w:rsidR="00000000" w:rsidRDefault="00000000">
            <w:pPr>
              <w:rPr>
                <w:lang w:val="fr-FR"/>
              </w:rPr>
            </w:pPr>
            <w:r>
              <w:rPr>
                <w:lang w:val="fr-FR"/>
              </w:rPr>
              <w:t>Original :  FRANÇAIS</w:t>
            </w:r>
          </w:p>
          <w:p w:rsidR="00000000" w:rsidRDefault="00000000">
            <w:pPr>
              <w:rPr>
                <w:b/>
                <w:bCs/>
                <w:lang w:val="fr-FR"/>
              </w:rPr>
            </w:pPr>
          </w:p>
        </w:tc>
      </w:tr>
    </w:tbl>
    <w:p w:rsidR="00000000" w:rsidRDefault="00000000">
      <w:pPr>
        <w:rPr>
          <w:lang w:val="fr-FR"/>
        </w:rPr>
      </w:pPr>
    </w:p>
    <w:p w:rsidR="00000000" w:rsidRDefault="00000000">
      <w:pPr>
        <w:rPr>
          <w:lang w:val="fr-FR"/>
        </w:rPr>
      </w:pPr>
      <w:r>
        <w:rPr>
          <w:lang w:val="fr-FR"/>
        </w:rPr>
        <w:t>COMITÉ DES DROITS DE L’ENFANT</w:t>
      </w:r>
    </w:p>
    <w:p w:rsidR="00000000" w:rsidRDefault="00000000">
      <w:pPr>
        <w:rPr>
          <w:lang w:val="fr-FR"/>
        </w:rPr>
      </w:pPr>
      <w:r>
        <w:rPr>
          <w:lang w:val="fr-FR"/>
        </w:rPr>
        <w:t>Cinquantième session</w:t>
      </w:r>
    </w:p>
    <w:p w:rsidR="00000000" w:rsidRDefault="00000000">
      <w:pPr>
        <w:rPr>
          <w:lang w:val="fr-FR"/>
        </w:rPr>
      </w:pPr>
      <w:r>
        <w:rPr>
          <w:lang w:val="fr-FR"/>
        </w:rPr>
        <w:t>12-30 janvier 2009</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 xml:space="preserve">APPLICATION DE LA CONVENTION RELATIVE </w:t>
      </w:r>
    </w:p>
    <w:p w:rsidR="00000000" w:rsidRDefault="00000000">
      <w:pPr>
        <w:jc w:val="center"/>
        <w:rPr>
          <w:b/>
          <w:lang w:val="fr-FR"/>
        </w:rPr>
      </w:pPr>
      <w:r>
        <w:rPr>
          <w:b/>
          <w:lang w:val="fr-FR"/>
        </w:rPr>
        <w:t>AUX DROITS DE L’ENFANT</w:t>
      </w:r>
    </w:p>
    <w:p w:rsidR="00000000" w:rsidRDefault="00000000">
      <w:pPr>
        <w:jc w:val="center"/>
        <w:rPr>
          <w:lang w:val="fr-FR"/>
        </w:rPr>
      </w:pPr>
    </w:p>
    <w:p w:rsidR="00000000" w:rsidRDefault="00000000">
      <w:pPr>
        <w:jc w:val="center"/>
        <w:rPr>
          <w:b/>
          <w:lang w:val="fr-FR"/>
        </w:rPr>
      </w:pPr>
      <w:r>
        <w:rPr>
          <w:b/>
          <w:lang w:val="fr-FR"/>
        </w:rPr>
        <w:t>Listes des points à traiter à l’occasion de l’examen du deuxième rapport périodique du Tchad (CRC/C/TCD/2)</w:t>
      </w:r>
    </w:p>
    <w:p w:rsidR="00000000" w:rsidRDefault="00000000">
      <w:pPr>
        <w:jc w:val="center"/>
        <w:rPr>
          <w:b/>
          <w:lang w:val="fr-FR"/>
        </w:rPr>
      </w:pPr>
    </w:p>
    <w:p w:rsidR="00000000" w:rsidRDefault="00000000">
      <w:pPr>
        <w:jc w:val="center"/>
        <w:rPr>
          <w:b/>
          <w:lang w:val="fr-FR"/>
        </w:rPr>
      </w:pPr>
    </w:p>
    <w:p w:rsidR="00000000" w:rsidRDefault="00000000">
      <w:pPr>
        <w:jc w:val="center"/>
        <w:rPr>
          <w:b/>
          <w:lang w:val="fr-FR"/>
        </w:rPr>
      </w:pPr>
      <w:r>
        <w:rPr>
          <w:b/>
          <w:lang w:val="fr-FR"/>
        </w:rPr>
        <w:t>Première partie</w:t>
      </w:r>
    </w:p>
    <w:p w:rsidR="00000000" w:rsidRDefault="00000000">
      <w:pPr>
        <w:jc w:val="center"/>
        <w:rPr>
          <w:b/>
          <w:lang w:val="fr-FR"/>
        </w:rPr>
      </w:pPr>
    </w:p>
    <w:p w:rsidR="00000000" w:rsidRDefault="00000000">
      <w:pPr>
        <w:jc w:val="both"/>
        <w:rPr>
          <w:b/>
          <w:u w:val="single"/>
          <w:lang w:val="fr-FR"/>
        </w:rPr>
      </w:pPr>
      <w:r>
        <w:rPr>
          <w:b/>
          <w:lang w:val="fr-FR"/>
        </w:rPr>
        <w:t xml:space="preserve">Sous cette rubrique, l’État partie est invité à communiquer par écrit des renseignements supplémentaires et à jour, si possible </w:t>
      </w:r>
      <w:r>
        <w:rPr>
          <w:b/>
          <w:u w:val="single"/>
          <w:lang w:val="fr-FR"/>
        </w:rPr>
        <w:t>avant le 24 novembre 2008.</w:t>
      </w:r>
    </w:p>
    <w:p w:rsidR="00000000" w:rsidRDefault="00000000">
      <w:pPr>
        <w:jc w:val="both"/>
        <w:rPr>
          <w:b/>
          <w:u w:val="single"/>
          <w:lang w:val="fr-FR"/>
        </w:rPr>
      </w:pPr>
    </w:p>
    <w:p w:rsidR="00000000" w:rsidRDefault="00000000">
      <w:pPr>
        <w:numPr>
          <w:ilvl w:val="0"/>
          <w:numId w:val="25"/>
        </w:numPr>
        <w:tabs>
          <w:tab w:val="clear" w:pos="360"/>
          <w:tab w:val="num" w:pos="0"/>
        </w:tabs>
        <w:ind w:left="720" w:hanging="720"/>
        <w:jc w:val="both"/>
        <w:rPr>
          <w:lang w:val="fr-FR"/>
        </w:rPr>
      </w:pPr>
      <w:r>
        <w:rPr>
          <w:lang w:val="fr-FR"/>
        </w:rPr>
        <w:t xml:space="preserve">Veuillez donner des précisions supplémentaires sur les activités liées aux recommandations émises dans les précédentes observations finales du Comité (CRC/C/15/Add.107) sur le rapport initial du Tchad (CRC/C/3/Add.50) qui n’ont pas été totalement suivies, en particulier, eu égard à l’allocation des ressources, la situation des filles, l’enregistrement des naissances, l’adoption, la santé des adolescents, la justice pour mineurs et le travail des enfants. </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Veuillez donner des informations, sur la part des recettes de l’État, notamment celles provenant de la vente du pétrole, allouées aux enfants, à travers les services sociaux, les services éducatifs, les soins de santé et la sécurité sociale.</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 xml:space="preserve">Veuillez donner des précisions sur l’état actuel de la législation qui protège l’enfant (le projet de code de protection de l’enfant, le projet de code des personnes et de la famille, le Code pénal, </w:t>
      </w:r>
      <w:r>
        <w:rPr>
          <w:bCs/>
          <w:lang w:val="fr-FR"/>
        </w:rPr>
        <w:t>la ratification de la Convention de La Haye de 1993 sur la protection des enfants et la coopération en matière d’adoption internationale et la ratification du Protocole de Palerme</w:t>
      </w:r>
      <w:r>
        <w:rPr>
          <w:lang w:val="fr-FR"/>
        </w:rPr>
        <w:t xml:space="preserve">). </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 xml:space="preserve">Veuillez donner des informations mises à jour sur la proposition du bureau du Premier Ministre de créer un Comité pour superviser la mise en œuvre de la Convention. </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Veuillez fournir des informations sur les réformes entreprises et envisagées pour réformer le système de l’état civil et, en particulier, pour assurer l’enregistrement des naissances de manière systématique et sur tout le territoire.</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Veuillez décrire brièvement, y compris par des exemples, la coopération entre l’État partie et la société civile dans le domaine de droits de l’enfant.</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 xml:space="preserve">Veuillez informer le Comité, de manière succincte, de toutes les initiatives entreprises, y compris en matière de législation, pour lutter contre les pratiques néfastes, telles que les enfants accusés de sorcellerie, les mariages précoces ou forcés et les enfants « mouhadjirin », qui violent les droits de l’enfant.  </w:t>
      </w:r>
    </w:p>
    <w:p w:rsidR="00000000" w:rsidRDefault="00000000">
      <w:pPr>
        <w:jc w:val="both"/>
        <w:rPr>
          <w:lang w:val="fr-FR"/>
        </w:rPr>
      </w:pPr>
    </w:p>
    <w:p w:rsidR="00000000" w:rsidRDefault="00000000">
      <w:pPr>
        <w:numPr>
          <w:ilvl w:val="0"/>
          <w:numId w:val="25"/>
        </w:numPr>
        <w:tabs>
          <w:tab w:val="clear" w:pos="360"/>
          <w:tab w:val="num" w:pos="0"/>
        </w:tabs>
        <w:ind w:left="720" w:hanging="720"/>
        <w:jc w:val="both"/>
        <w:rPr>
          <w:lang w:val="fr-FR"/>
        </w:rPr>
      </w:pPr>
      <w:r>
        <w:rPr>
          <w:lang w:val="fr-FR"/>
        </w:rPr>
        <w:t>Veuillez indiquer les questions concernant les enfants que l’État partie considère comme prioritaires et requérant de toute urgence l’attention dans la perspective de l’application de la Convention.</w:t>
      </w:r>
    </w:p>
    <w:p w:rsidR="00000000" w:rsidRDefault="00000000">
      <w:pPr>
        <w:jc w:val="both"/>
        <w:rPr>
          <w:lang w:val="fr-FR"/>
        </w:rPr>
      </w:pPr>
    </w:p>
    <w:p w:rsidR="00000000" w:rsidRDefault="00000000">
      <w:pPr>
        <w:jc w:val="both"/>
        <w:rPr>
          <w:lang w:val="fr-FR"/>
        </w:rPr>
      </w:pPr>
    </w:p>
    <w:p w:rsidR="00000000" w:rsidRDefault="00000000">
      <w:pPr>
        <w:jc w:val="center"/>
        <w:rPr>
          <w:b/>
          <w:lang w:val="fr-FR"/>
        </w:rPr>
      </w:pPr>
      <w:r>
        <w:rPr>
          <w:b/>
          <w:lang w:val="fr-FR"/>
        </w:rPr>
        <w:t>DEUXIÈME PARTIE</w:t>
      </w:r>
    </w:p>
    <w:p w:rsidR="00000000" w:rsidRDefault="00000000">
      <w:pPr>
        <w:jc w:val="both"/>
        <w:rPr>
          <w:b/>
          <w:lang w:val="fr-FR"/>
        </w:rPr>
      </w:pPr>
    </w:p>
    <w:p w:rsidR="00000000" w:rsidRDefault="00000000">
      <w:pPr>
        <w:jc w:val="both"/>
        <w:rPr>
          <w:b/>
          <w:lang w:val="fr-FR"/>
        </w:rPr>
      </w:pPr>
      <w:r>
        <w:rPr>
          <w:b/>
          <w:lang w:val="fr-FR"/>
        </w:rPr>
        <w:t>Dans cette section, l’État partie est invité à mettre à jour brièvement (en trois pages au maximum) les renseignements fournis dans son rapport en ce qui concerne :</w:t>
      </w:r>
    </w:p>
    <w:p w:rsidR="00000000" w:rsidRDefault="00000000">
      <w:pPr>
        <w:jc w:val="both"/>
        <w:rPr>
          <w:b/>
          <w:lang w:val="fr-FR"/>
        </w:rPr>
      </w:pPr>
    </w:p>
    <w:p w:rsidR="00000000" w:rsidRDefault="00000000">
      <w:pPr>
        <w:numPr>
          <w:ilvl w:val="0"/>
          <w:numId w:val="28"/>
        </w:numPr>
        <w:jc w:val="both"/>
        <w:rPr>
          <w:lang w:val="fr-FR"/>
        </w:rPr>
      </w:pPr>
      <w:r>
        <w:rPr>
          <w:lang w:val="fr-FR"/>
        </w:rPr>
        <w:t>Les nouveaux projets ou textes de loi</w:t>
      </w:r>
    </w:p>
    <w:p w:rsidR="00000000" w:rsidRDefault="00000000">
      <w:pPr>
        <w:numPr>
          <w:ilvl w:val="0"/>
          <w:numId w:val="28"/>
        </w:numPr>
        <w:jc w:val="both"/>
        <w:rPr>
          <w:lang w:val="fr-FR"/>
        </w:rPr>
      </w:pPr>
      <w:r>
        <w:rPr>
          <w:lang w:val="fr-FR"/>
        </w:rPr>
        <w:t>Les nouvelles institutions</w:t>
      </w:r>
    </w:p>
    <w:p w:rsidR="00000000" w:rsidRDefault="00000000">
      <w:pPr>
        <w:numPr>
          <w:ilvl w:val="0"/>
          <w:numId w:val="28"/>
        </w:numPr>
        <w:jc w:val="both"/>
        <w:rPr>
          <w:lang w:val="fr-FR"/>
        </w:rPr>
      </w:pPr>
      <w:r>
        <w:rPr>
          <w:lang w:val="fr-FR"/>
        </w:rPr>
        <w:t>Les politiques récemment mises en application</w:t>
      </w:r>
    </w:p>
    <w:p w:rsidR="00000000" w:rsidRDefault="00000000">
      <w:pPr>
        <w:numPr>
          <w:ilvl w:val="0"/>
          <w:numId w:val="28"/>
        </w:numPr>
        <w:jc w:val="both"/>
        <w:rPr>
          <w:lang w:val="fr-FR"/>
        </w:rPr>
      </w:pPr>
      <w:r>
        <w:rPr>
          <w:lang w:val="fr-FR"/>
        </w:rPr>
        <w:t>Les plans d’actions, programmes et projets récemment initiés, ainsi que leurs champs d’application.</w:t>
      </w:r>
    </w:p>
    <w:p w:rsidR="00000000" w:rsidRDefault="00000000">
      <w:pPr>
        <w:jc w:val="both"/>
        <w:rPr>
          <w:b/>
          <w:lang w:val="fr-FR"/>
        </w:rPr>
      </w:pPr>
    </w:p>
    <w:p w:rsidR="00000000" w:rsidRDefault="00000000">
      <w:pPr>
        <w:jc w:val="center"/>
        <w:rPr>
          <w:b/>
          <w:lang w:val="fr-FR"/>
        </w:rPr>
      </w:pPr>
      <w:r>
        <w:rPr>
          <w:b/>
          <w:lang w:val="fr-FR"/>
        </w:rPr>
        <w:t>TROISIÈME PARTIE</w:t>
      </w:r>
    </w:p>
    <w:p w:rsidR="00000000" w:rsidRDefault="00000000">
      <w:pPr>
        <w:jc w:val="center"/>
        <w:rPr>
          <w:b/>
          <w:lang w:val="fr-FR"/>
        </w:rPr>
      </w:pPr>
    </w:p>
    <w:p w:rsidR="00000000" w:rsidRDefault="00000000">
      <w:pPr>
        <w:jc w:val="center"/>
        <w:rPr>
          <w:b/>
          <w:lang w:val="fr-FR"/>
        </w:rPr>
      </w:pPr>
      <w:r>
        <w:rPr>
          <w:b/>
          <w:lang w:val="fr-FR"/>
        </w:rPr>
        <w:t>Données et statistiques, si disponibles</w:t>
      </w:r>
    </w:p>
    <w:p w:rsidR="00000000" w:rsidRDefault="00000000">
      <w:pPr>
        <w:jc w:val="center"/>
        <w:rPr>
          <w:b/>
          <w:lang w:val="fr-FR"/>
        </w:rPr>
      </w:pPr>
    </w:p>
    <w:p w:rsidR="00000000" w:rsidRDefault="00000000">
      <w:pPr>
        <w:numPr>
          <w:ilvl w:val="0"/>
          <w:numId w:val="32"/>
        </w:numPr>
        <w:jc w:val="both"/>
        <w:rPr>
          <w:lang w:val="fr-FR"/>
        </w:rPr>
      </w:pPr>
      <w:r>
        <w:rPr>
          <w:lang w:val="fr-FR"/>
        </w:rPr>
        <w:t>À la lumière de l’article 4 de la Convention, veuillez fournir pour les années 2007 et 2008, des données sur les crédits budgétaires (en chiffres absolus et en pourcentage du budget national ou du produit intérieur brut) alloués à l’application de la Convention dans tout le pays, dans les domaines de l’éducation et de la santé.</w:t>
      </w:r>
    </w:p>
    <w:p w:rsidR="00000000" w:rsidRDefault="00000000">
      <w:pPr>
        <w:ind w:left="360"/>
        <w:jc w:val="both"/>
        <w:rPr>
          <w:lang w:val="fr-FR"/>
        </w:rPr>
      </w:pPr>
    </w:p>
    <w:p w:rsidR="00000000" w:rsidRDefault="00000000">
      <w:pPr>
        <w:numPr>
          <w:ilvl w:val="0"/>
          <w:numId w:val="32"/>
        </w:numPr>
        <w:jc w:val="both"/>
        <w:rPr>
          <w:lang w:val="fr-FR"/>
        </w:rPr>
      </w:pPr>
      <w:r>
        <w:rPr>
          <w:lang w:val="fr-FR"/>
        </w:rPr>
        <w:t>En ce qui concerne les enfants privés de milieu familial et séparés de leurs parents, veuillez fournir, pour les années 2005, 2006 et 2007, des données ventilées (par sexe, tranche d’âge et zone urbaine ou rurale) sur le nombre d’enfants :</w:t>
      </w:r>
    </w:p>
    <w:p w:rsidR="00000000" w:rsidRDefault="00000000">
      <w:pPr>
        <w:ind w:left="360"/>
        <w:jc w:val="both"/>
        <w:rPr>
          <w:lang w:val="fr-FR"/>
        </w:rPr>
      </w:pPr>
    </w:p>
    <w:p w:rsidR="00000000" w:rsidRDefault="00000000">
      <w:pPr>
        <w:ind w:left="1080"/>
        <w:rPr>
          <w:lang w:val="fr-FR"/>
        </w:rPr>
      </w:pPr>
      <w:r>
        <w:rPr>
          <w:lang w:val="fr-FR"/>
        </w:rPr>
        <w:t>(a)</w:t>
      </w:r>
      <w:r>
        <w:rPr>
          <w:lang w:val="fr-FR"/>
        </w:rPr>
        <w:tab/>
        <w:t>Séparés de leurs parents;</w:t>
      </w:r>
    </w:p>
    <w:p w:rsidR="00000000" w:rsidRDefault="00000000">
      <w:pPr>
        <w:ind w:left="1080"/>
        <w:rPr>
          <w:lang w:val="fr-FR"/>
        </w:rPr>
      </w:pPr>
      <w:r>
        <w:rPr>
          <w:lang w:val="fr-FR"/>
        </w:rPr>
        <w:t>(b)</w:t>
      </w:r>
      <w:r>
        <w:rPr>
          <w:lang w:val="fr-FR"/>
        </w:rPr>
        <w:tab/>
        <w:t>Placés en institution (indiquer le nombre d’institutions dans le pays);</w:t>
      </w:r>
    </w:p>
    <w:p w:rsidR="00000000" w:rsidRDefault="00000000">
      <w:pPr>
        <w:ind w:left="1080"/>
        <w:rPr>
          <w:lang w:val="fr-FR"/>
        </w:rPr>
      </w:pPr>
      <w:r>
        <w:rPr>
          <w:lang w:val="fr-FR"/>
        </w:rPr>
        <w:t>(c)</w:t>
      </w:r>
      <w:r>
        <w:rPr>
          <w:lang w:val="fr-FR"/>
        </w:rPr>
        <w:tab/>
        <w:t>Placés en famille d’accueil;</w:t>
      </w:r>
    </w:p>
    <w:p w:rsidR="00000000" w:rsidRDefault="00000000">
      <w:pPr>
        <w:ind w:left="1080"/>
        <w:rPr>
          <w:lang w:val="fr-FR"/>
        </w:rPr>
      </w:pPr>
      <w:r>
        <w:rPr>
          <w:lang w:val="fr-FR"/>
        </w:rPr>
        <w:t>(d)</w:t>
      </w:r>
      <w:r>
        <w:rPr>
          <w:lang w:val="fr-FR"/>
        </w:rPr>
        <w:tab/>
        <w:t>Adoptés dans le pays ou à l’étranger.</w:t>
      </w:r>
    </w:p>
    <w:p w:rsidR="00000000" w:rsidRDefault="00000000">
      <w:pPr>
        <w:ind w:left="1080"/>
        <w:jc w:val="both"/>
        <w:rPr>
          <w:lang w:val="fr-FR"/>
        </w:rPr>
      </w:pPr>
    </w:p>
    <w:p w:rsidR="00000000" w:rsidRDefault="00000000">
      <w:pPr>
        <w:ind w:left="1080"/>
        <w:jc w:val="both"/>
        <w:rPr>
          <w:lang w:val="fr-FR"/>
        </w:rPr>
      </w:pPr>
    </w:p>
    <w:p w:rsidR="00000000" w:rsidRDefault="00000000">
      <w:pPr>
        <w:jc w:val="center"/>
        <w:rPr>
          <w:b/>
          <w:lang w:val="fr-FR"/>
        </w:rPr>
      </w:pPr>
      <w:r>
        <w:rPr>
          <w:b/>
          <w:lang w:val="fr-FR"/>
        </w:rPr>
        <w:t>QUATRIÈME PARTIE</w:t>
      </w:r>
    </w:p>
    <w:p w:rsidR="00000000" w:rsidRDefault="00000000">
      <w:pPr>
        <w:jc w:val="both"/>
        <w:rPr>
          <w:b/>
          <w:lang w:val="fr-FR"/>
        </w:rPr>
      </w:pPr>
    </w:p>
    <w:p w:rsidR="00000000" w:rsidRDefault="00000000">
      <w:pPr>
        <w:jc w:val="both"/>
        <w:rPr>
          <w:b/>
          <w:bCs/>
          <w:lang w:val="fr-CH"/>
        </w:rPr>
      </w:pPr>
      <w:r>
        <w:rPr>
          <w:b/>
          <w:bCs/>
          <w:lang w:val="fr-CH"/>
        </w:rPr>
        <w:t xml:space="preserve">On trouvera ci-après une liste préliminaire des principales questions (qui ne contient pas les questions déjà mentionnées dans la première partie) que le Comité a l’intention d’aborder dans le cadre du dialogue avec l’État partie. </w:t>
      </w:r>
      <w:r>
        <w:rPr>
          <w:b/>
          <w:bCs/>
          <w:u w:val="single"/>
          <w:lang w:val="fr-CH"/>
        </w:rPr>
        <w:t>Elles n’appellent pas de réponses écrites</w:t>
      </w:r>
      <w:r>
        <w:rPr>
          <w:b/>
          <w:bCs/>
          <w:lang w:val="fr-CH"/>
        </w:rPr>
        <w:t>. Cette liste n’est pas exhaustive, d’autres questions pouvant être soulevées pendant le dialogue.</w:t>
      </w:r>
    </w:p>
    <w:p w:rsidR="00000000" w:rsidRDefault="00000000">
      <w:pPr>
        <w:jc w:val="both"/>
        <w:rPr>
          <w:b/>
          <w:lang w:val="fr-FR"/>
        </w:rPr>
      </w:pPr>
    </w:p>
    <w:p w:rsidR="00000000" w:rsidRDefault="00000000">
      <w:pPr>
        <w:numPr>
          <w:ilvl w:val="0"/>
          <w:numId w:val="30"/>
        </w:numPr>
        <w:tabs>
          <w:tab w:val="clear" w:pos="1500"/>
          <w:tab w:val="left" w:pos="600"/>
        </w:tabs>
        <w:ind w:left="600" w:hanging="600"/>
        <w:jc w:val="both"/>
        <w:rPr>
          <w:lang w:val="fr-FR"/>
        </w:rPr>
      </w:pPr>
      <w:r>
        <w:rPr>
          <w:lang w:val="fr-FR"/>
        </w:rPr>
        <w:t>La stratégie de l’État partie visant à renforcer sensiblement la mise en œuvre globale de la Convention, une attention particulière étant accordée aux principes généraux de la Convention et notamment à l’article 3 (intérêt supérieur de l’enfant) et à l’article 12 (respect des opinions de l’enfant).</w:t>
      </w:r>
    </w:p>
    <w:p w:rsidR="00000000" w:rsidRDefault="00000000">
      <w:pPr>
        <w:numPr>
          <w:ilvl w:val="0"/>
          <w:numId w:val="30"/>
        </w:numPr>
        <w:tabs>
          <w:tab w:val="clear" w:pos="1500"/>
          <w:tab w:val="left" w:pos="600"/>
        </w:tabs>
        <w:ind w:left="600" w:hanging="600"/>
        <w:jc w:val="both"/>
        <w:rPr>
          <w:lang w:val="fr-FR"/>
        </w:rPr>
      </w:pPr>
      <w:r>
        <w:rPr>
          <w:lang w:val="fr-FR"/>
        </w:rPr>
        <w:t xml:space="preserve">La législation et le droit coutumier (y compris le concept de </w:t>
      </w:r>
      <w:r>
        <w:rPr>
          <w:i/>
          <w:lang w:val="fr-FR"/>
        </w:rPr>
        <w:t>dia</w:t>
      </w:r>
      <w:r>
        <w:rPr>
          <w:lang w:val="fr-FR"/>
        </w:rPr>
        <w:t>).</w:t>
      </w:r>
    </w:p>
    <w:p w:rsidR="00000000" w:rsidRDefault="00000000">
      <w:pPr>
        <w:numPr>
          <w:ilvl w:val="0"/>
          <w:numId w:val="30"/>
        </w:numPr>
        <w:tabs>
          <w:tab w:val="clear" w:pos="1500"/>
          <w:tab w:val="left" w:pos="600"/>
        </w:tabs>
        <w:ind w:left="600" w:hanging="600"/>
        <w:jc w:val="both"/>
        <w:rPr>
          <w:lang w:val="fr-FR"/>
        </w:rPr>
      </w:pPr>
      <w:r>
        <w:rPr>
          <w:lang w:val="fr-FR"/>
        </w:rPr>
        <w:t>La définition de l’enfant (droit coutumier).</w:t>
      </w:r>
    </w:p>
    <w:p w:rsidR="00000000" w:rsidRDefault="00000000">
      <w:pPr>
        <w:numPr>
          <w:ilvl w:val="0"/>
          <w:numId w:val="30"/>
        </w:numPr>
        <w:tabs>
          <w:tab w:val="clear" w:pos="1500"/>
          <w:tab w:val="left" w:pos="600"/>
        </w:tabs>
        <w:ind w:left="600" w:hanging="600"/>
        <w:jc w:val="both"/>
        <w:rPr>
          <w:lang w:val="fr-FR"/>
        </w:rPr>
      </w:pPr>
      <w:r>
        <w:rPr>
          <w:lang w:val="fr-FR"/>
        </w:rPr>
        <w:t>Le droit à la vie, la survie et le développement (</w:t>
      </w:r>
      <w:r>
        <w:rPr>
          <w:bCs/>
          <w:iCs/>
          <w:sz w:val="23"/>
          <w:szCs w:val="23"/>
          <w:lang w:val="fr-FR"/>
        </w:rPr>
        <w:t>la Stratégie d’accélération de la survie et du développement de l’enfant – SASDE).</w:t>
      </w:r>
    </w:p>
    <w:p w:rsidR="00000000" w:rsidRDefault="00000000">
      <w:pPr>
        <w:numPr>
          <w:ilvl w:val="0"/>
          <w:numId w:val="30"/>
        </w:numPr>
        <w:tabs>
          <w:tab w:val="clear" w:pos="1500"/>
          <w:tab w:val="left" w:pos="600"/>
        </w:tabs>
        <w:ind w:left="600" w:hanging="600"/>
        <w:jc w:val="both"/>
        <w:rPr>
          <w:lang w:val="fr-FR"/>
        </w:rPr>
      </w:pPr>
      <w:r>
        <w:rPr>
          <w:lang w:val="fr-FR"/>
        </w:rPr>
        <w:t>L’environnement familial (le soutien/assistance fourni par l’État aux parents).</w:t>
      </w:r>
    </w:p>
    <w:p w:rsidR="00000000" w:rsidRDefault="00000000">
      <w:pPr>
        <w:numPr>
          <w:ilvl w:val="0"/>
          <w:numId w:val="30"/>
        </w:numPr>
        <w:tabs>
          <w:tab w:val="clear" w:pos="1500"/>
          <w:tab w:val="left" w:pos="600"/>
        </w:tabs>
        <w:ind w:left="600" w:hanging="600"/>
        <w:jc w:val="both"/>
        <w:rPr>
          <w:lang w:val="fr-FR"/>
        </w:rPr>
      </w:pPr>
      <w:bookmarkStart w:id="0" w:name="OLE_LINK1"/>
      <w:bookmarkStart w:id="1" w:name="OLE_LINK2"/>
      <w:r>
        <w:rPr>
          <w:lang w:val="fr-FR"/>
        </w:rPr>
        <w:t>Les enfants privés de leur milieu familial (les centres d’accueils, les foyers d’accueil et l’adoption).</w:t>
      </w:r>
    </w:p>
    <w:bookmarkEnd w:id="0"/>
    <w:bookmarkEnd w:id="1"/>
    <w:p w:rsidR="00000000" w:rsidRDefault="00000000">
      <w:pPr>
        <w:numPr>
          <w:ilvl w:val="0"/>
          <w:numId w:val="30"/>
        </w:numPr>
        <w:tabs>
          <w:tab w:val="clear" w:pos="1500"/>
          <w:tab w:val="left" w:pos="600"/>
        </w:tabs>
        <w:ind w:left="600" w:hanging="600"/>
        <w:jc w:val="both"/>
        <w:rPr>
          <w:lang w:val="fr-FR"/>
        </w:rPr>
      </w:pPr>
      <w:r>
        <w:rPr>
          <w:lang w:val="fr-FR"/>
        </w:rPr>
        <w:t>La violence contre les enfants, y compris les châtiments corporels.</w:t>
      </w:r>
    </w:p>
    <w:p w:rsidR="00000000" w:rsidRDefault="00000000">
      <w:pPr>
        <w:numPr>
          <w:ilvl w:val="0"/>
          <w:numId w:val="30"/>
        </w:numPr>
        <w:tabs>
          <w:tab w:val="clear" w:pos="1500"/>
          <w:tab w:val="left" w:pos="600"/>
        </w:tabs>
        <w:ind w:left="600" w:hanging="600"/>
        <w:jc w:val="both"/>
        <w:rPr>
          <w:lang w:val="fr-FR"/>
        </w:rPr>
      </w:pPr>
      <w:r>
        <w:rPr>
          <w:lang w:val="fr-FR"/>
        </w:rPr>
        <w:t>Les enfants handicapés (l’intégration dans la société, l’accessibilité des installations).</w:t>
      </w:r>
    </w:p>
    <w:p w:rsidR="00000000" w:rsidRDefault="00000000">
      <w:pPr>
        <w:numPr>
          <w:ilvl w:val="0"/>
          <w:numId w:val="30"/>
        </w:numPr>
        <w:tabs>
          <w:tab w:val="clear" w:pos="1500"/>
          <w:tab w:val="left" w:pos="600"/>
        </w:tabs>
        <w:ind w:left="600" w:hanging="600"/>
        <w:jc w:val="both"/>
        <w:rPr>
          <w:lang w:val="fr-FR"/>
        </w:rPr>
      </w:pPr>
      <w:r>
        <w:rPr>
          <w:lang w:val="fr-FR"/>
        </w:rPr>
        <w:t>La santé (y compris l’accès aux services de santé, l’accessibilité financière aux soins de santé, la question des vaccinations, les pratiques traditionnelles préjudiciables, la santé des adolescents et la santé mentale).</w:t>
      </w:r>
    </w:p>
    <w:p w:rsidR="00000000" w:rsidRDefault="00000000">
      <w:pPr>
        <w:numPr>
          <w:ilvl w:val="0"/>
          <w:numId w:val="30"/>
        </w:numPr>
        <w:tabs>
          <w:tab w:val="clear" w:pos="1500"/>
          <w:tab w:val="left" w:pos="600"/>
        </w:tabs>
        <w:ind w:left="600" w:hanging="600"/>
        <w:jc w:val="both"/>
        <w:rPr>
          <w:lang w:val="fr-FR"/>
        </w:rPr>
      </w:pPr>
      <w:r>
        <w:rPr>
          <w:lang w:val="fr-FR"/>
        </w:rPr>
        <w:t>Éducation (y compris l’existence d’enseignants qualifiés et d’installations suffisantes, l’accès des fillettes à l’éducation, les frais supplémentaires de l’éducation, et les disparités géographiques dans l’accès à l’éducation).</w:t>
      </w:r>
    </w:p>
    <w:p w:rsidR="00000000" w:rsidRDefault="00000000">
      <w:pPr>
        <w:numPr>
          <w:ilvl w:val="0"/>
          <w:numId w:val="30"/>
        </w:numPr>
        <w:tabs>
          <w:tab w:val="clear" w:pos="1500"/>
          <w:tab w:val="left" w:pos="600"/>
        </w:tabs>
        <w:ind w:left="600" w:hanging="600"/>
        <w:jc w:val="both"/>
        <w:rPr>
          <w:lang w:val="fr-FR"/>
        </w:rPr>
      </w:pPr>
      <w:r>
        <w:rPr>
          <w:lang w:val="fr-FR"/>
        </w:rPr>
        <w:t>Les enfants soldats (démobilisation, réintégration dans leurs communautés et la réunification avec leurs familles).</w:t>
      </w:r>
    </w:p>
    <w:p w:rsidR="00000000" w:rsidRDefault="00000000">
      <w:pPr>
        <w:numPr>
          <w:ilvl w:val="0"/>
          <w:numId w:val="30"/>
        </w:numPr>
        <w:tabs>
          <w:tab w:val="clear" w:pos="1500"/>
        </w:tabs>
        <w:ind w:left="0"/>
        <w:jc w:val="both"/>
        <w:rPr>
          <w:lang w:val="fr-FR"/>
        </w:rPr>
      </w:pPr>
      <w:r>
        <w:rPr>
          <w:lang w:val="fr-FR"/>
        </w:rPr>
        <w:t>Les enfants refugiés.</w:t>
      </w:r>
    </w:p>
    <w:p w:rsidR="00000000" w:rsidRDefault="00000000">
      <w:pPr>
        <w:numPr>
          <w:ilvl w:val="0"/>
          <w:numId w:val="30"/>
        </w:numPr>
        <w:tabs>
          <w:tab w:val="clear" w:pos="1500"/>
        </w:tabs>
        <w:ind w:left="0"/>
        <w:jc w:val="both"/>
        <w:rPr>
          <w:lang w:val="fr-FR"/>
        </w:rPr>
      </w:pPr>
      <w:r>
        <w:rPr>
          <w:lang w:val="fr-FR"/>
        </w:rPr>
        <w:t>Les enfants vivant dans la rue.</w:t>
      </w:r>
    </w:p>
    <w:p w:rsidR="00000000" w:rsidRDefault="00000000">
      <w:pPr>
        <w:numPr>
          <w:ilvl w:val="0"/>
          <w:numId w:val="30"/>
        </w:numPr>
        <w:tabs>
          <w:tab w:val="clear" w:pos="1500"/>
          <w:tab w:val="left" w:pos="600"/>
        </w:tabs>
        <w:ind w:left="600" w:hanging="600"/>
        <w:jc w:val="both"/>
        <w:rPr>
          <w:lang w:val="fr-FR"/>
        </w:rPr>
      </w:pPr>
      <w:r>
        <w:rPr>
          <w:lang w:val="fr-FR"/>
        </w:rPr>
        <w:t xml:space="preserve"> L’exploitation économique, y compris le travail des enfants (les pires formes de travail des enfants, les enfants « mouhadjirin », les enfants « bouviers », les enfants domestiques, et la révision du décret n°55/PR/PM-MTJS-DTMOPS).</w:t>
      </w:r>
    </w:p>
    <w:p w:rsidR="00000000" w:rsidRDefault="00000000">
      <w:pPr>
        <w:numPr>
          <w:ilvl w:val="0"/>
          <w:numId w:val="30"/>
        </w:numPr>
        <w:tabs>
          <w:tab w:val="clear" w:pos="1500"/>
          <w:tab w:val="left" w:pos="600"/>
        </w:tabs>
        <w:ind w:left="600" w:hanging="600"/>
        <w:jc w:val="both"/>
        <w:rPr>
          <w:lang w:val="fr-FR"/>
        </w:rPr>
      </w:pPr>
      <w:r>
        <w:rPr>
          <w:lang w:val="fr-FR"/>
        </w:rPr>
        <w:t>L’exploitation sexuelle et la traite des enfants (non-criminalisation de l’enfant victime).</w:t>
      </w:r>
    </w:p>
    <w:p w:rsidR="00000000" w:rsidRDefault="00000000">
      <w:pPr>
        <w:numPr>
          <w:ilvl w:val="0"/>
          <w:numId w:val="30"/>
        </w:numPr>
        <w:tabs>
          <w:tab w:val="clear" w:pos="1500"/>
          <w:tab w:val="left" w:pos="600"/>
        </w:tabs>
        <w:ind w:left="600" w:hanging="600"/>
        <w:jc w:val="both"/>
        <w:rPr>
          <w:lang w:val="fr-FR"/>
        </w:rPr>
      </w:pPr>
      <w:r>
        <w:rPr>
          <w:lang w:val="fr-FR"/>
        </w:rPr>
        <w:t>L’administration de la justice pour mineurs (y compris les mesures alternatives à la détention, les conditions de vie dans les centres de détention pour mineurs et la restructuration du système de la justice pour mineurs).</w:t>
      </w:r>
    </w:p>
    <w:p w:rsidR="00000000" w:rsidRDefault="00000000">
      <w:pPr>
        <w:ind w:left="360"/>
        <w:jc w:val="both"/>
        <w:rPr>
          <w:lang w:val="fr-FR"/>
        </w:rPr>
      </w:pPr>
    </w:p>
    <w:p w:rsidR="00000000" w:rsidRDefault="00000000">
      <w:pPr>
        <w:rPr>
          <w:lang w:val="fr-FR"/>
        </w:rPr>
      </w:pPr>
    </w:p>
    <w:p w:rsidR="00000000" w:rsidRDefault="00000000">
      <w:pPr>
        <w:ind w:left="360"/>
        <w:jc w:val="center"/>
        <w:rPr>
          <w:lang w:val="fr-FR"/>
        </w:rPr>
      </w:pPr>
      <w:r>
        <w:rPr>
          <w:iCs/>
          <w:lang w:val="fr-FR"/>
        </w:rPr>
        <w:t>-----</w:t>
      </w:r>
    </w:p>
    <w:p w:rsidR="00000000" w:rsidRDefault="00000000"/>
    <w:sectPr w:rsidR="00000000">
      <w:headerReference w:type="even" r:id="rId9"/>
      <w:headerReference w:type="default" r:id="rId10"/>
      <w:footerReference w:type="even" r:id="rId11"/>
      <w:footerReference w:type="default" r:id="rId12"/>
      <w:footerReference w:type="first" r:id="rId13"/>
      <w:pgSz w:w="11907" w:h="16840" w:code="9"/>
      <w:pgMar w:top="144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bCs/>
        <w:sz w:val="22"/>
        <w:szCs w:val="22"/>
        <w:lang w:val="fr-CH"/>
      </w:rPr>
    </w:pPr>
    <w:r>
      <w:rPr>
        <w:b w:val="0"/>
        <w:bCs/>
        <w:sz w:val="22"/>
        <w:szCs w:val="22"/>
        <w:lang w:val="fr-CH"/>
      </w:rPr>
      <w:t>GE.08-44649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fr-CH"/>
      </w:rPr>
    </w:pPr>
    <w:r>
      <w:rPr>
        <w:sz w:val="24"/>
        <w:szCs w:val="24"/>
        <w:lang w:val="fr-CH"/>
      </w:rPr>
      <w:t>CRC/C/TCD/Q/2</w:t>
    </w:r>
  </w:p>
  <w:p w:rsidR="00000000" w:rsidRDefault="00000000">
    <w:pPr>
      <w:pStyle w:val="Header"/>
      <w:rPr>
        <w:rStyle w:val="PageNumber"/>
        <w:sz w:val="24"/>
        <w:szCs w:val="24"/>
        <w:lang w:val="fr-FR"/>
      </w:rPr>
    </w:pPr>
    <w:r>
      <w:rPr>
        <w:sz w:val="24"/>
        <w:szCs w:val="24"/>
        <w:lang w:val="fr-CH"/>
      </w:rPr>
      <w:t xml:space="preserve">page </w:t>
    </w:r>
    <w:r>
      <w:rPr>
        <w:rStyle w:val="PageNumber"/>
        <w:sz w:val="24"/>
        <w:szCs w:val="24"/>
        <w:lang w:val="fr-FR"/>
      </w:rPr>
      <w:fldChar w:fldCharType="begin"/>
    </w:r>
    <w:r>
      <w:rPr>
        <w:rStyle w:val="PageNumber"/>
        <w:sz w:val="24"/>
        <w:szCs w:val="24"/>
        <w:lang w:val="fr-FR"/>
      </w:rPr>
      <w:instrText xml:space="preserve"> PAGE </w:instrText>
    </w:r>
    <w:r>
      <w:rPr>
        <w:rStyle w:val="PageNumber"/>
        <w:sz w:val="24"/>
        <w:szCs w:val="24"/>
        <w:lang w:val="fr-FR"/>
      </w:rPr>
      <w:fldChar w:fldCharType="separate"/>
    </w:r>
    <w:r>
      <w:rPr>
        <w:rStyle w:val="PageNumber"/>
        <w:sz w:val="24"/>
        <w:szCs w:val="24"/>
        <w:lang w:val="fr-FR"/>
      </w:rPr>
      <w:t>2</w:t>
    </w:r>
    <w:r>
      <w:rPr>
        <w:rStyle w:val="PageNumber"/>
        <w:sz w:val="24"/>
        <w:szCs w:val="24"/>
        <w:lang w:val="fr-F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lang w:val="fr-CH"/>
      </w:rPr>
    </w:pPr>
    <w:r>
      <w:rPr>
        <w:sz w:val="24"/>
        <w:szCs w:val="24"/>
        <w:lang w:val="fr-CH"/>
      </w:rPr>
      <w:t>CRC/C/TCD/Q/2</w:t>
    </w:r>
  </w:p>
  <w:p w:rsidR="00000000" w:rsidRDefault="00000000">
    <w:pPr>
      <w:pStyle w:val="Header"/>
      <w:jc w:val="right"/>
      <w:rPr>
        <w:sz w:val="24"/>
        <w:szCs w:val="24"/>
        <w:lang w:val="fr-CH"/>
      </w:rPr>
    </w:pPr>
    <w:r>
      <w:rPr>
        <w:sz w:val="24"/>
        <w:szCs w:val="24"/>
        <w:lang w:val="fr-CH"/>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458A"/>
    <w:multiLevelType w:val="hybridMultilevel"/>
    <w:tmpl w:val="E44AA6EA"/>
    <w:lvl w:ilvl="0" w:tplc="EEC8025A">
      <w:start w:val="1"/>
      <w:numFmt w:val="decimal"/>
      <w:pStyle w:val="BodyText"/>
      <w:lvlText w:val="%1."/>
      <w:lvlJc w:val="left"/>
      <w:pPr>
        <w:tabs>
          <w:tab w:val="num" w:pos="360"/>
        </w:tabs>
        <w:ind w:left="360" w:hanging="360"/>
      </w:pPr>
      <w:rPr>
        <w:b w:val="0"/>
        <w:bCs w:val="0"/>
        <w:sz w:val="22"/>
        <w:szCs w:val="22"/>
      </w:rPr>
    </w:lvl>
    <w:lvl w:ilvl="1" w:tplc="D5E2F52E">
      <w:start w:val="1"/>
      <w:numFmt w:val="lowerLetter"/>
      <w:pStyle w:val="Recommendations"/>
      <w:lvlText w:val="(%2)"/>
      <w:lvlJc w:val="left"/>
      <w:pPr>
        <w:tabs>
          <w:tab w:val="num" w:pos="1800"/>
        </w:tabs>
        <w:ind w:left="1800" w:hanging="360"/>
      </w:pPr>
      <w:rPr>
        <w:rFonts w:hint="default"/>
        <w:b/>
        <w:bCs/>
        <w:sz w:val="22"/>
        <w:szCs w:val="22"/>
      </w:rPr>
    </w:lvl>
    <w:lvl w:ilvl="2" w:tplc="650A8D20">
      <w:start w:val="8"/>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0C9A2A42"/>
    <w:multiLevelType w:val="hybridMultilevel"/>
    <w:tmpl w:val="7C621F9C"/>
    <w:lvl w:ilvl="0" w:tplc="8C32E1C8">
      <w:start w:val="1"/>
      <w:numFmt w:val="decimal"/>
      <w:lvlText w:val="%1."/>
      <w:lvlJc w:val="left"/>
      <w:pPr>
        <w:tabs>
          <w:tab w:val="num" w:pos="1500"/>
        </w:tabs>
        <w:ind w:left="780" w:firstLine="0"/>
      </w:pPr>
      <w:rPr>
        <w:rFonts w:hint="default"/>
        <w:shadow w:val="0"/>
        <w:emboss w:val="0"/>
        <w:imprint w:val="0"/>
        <w:color w:val="auto"/>
        <w:effect w:val="none"/>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4D35C6D"/>
    <w:multiLevelType w:val="multilevel"/>
    <w:tmpl w:val="F970088C"/>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260"/>
        </w:tabs>
        <w:ind w:left="90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3">
    <w:nsid w:val="266A5C20"/>
    <w:multiLevelType w:val="hybridMultilevel"/>
    <w:tmpl w:val="3582386A"/>
    <w:lvl w:ilvl="0" w:tplc="6C2C380A">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5">
    <w:nsid w:val="28C95681"/>
    <w:multiLevelType w:val="hybridMultilevel"/>
    <w:tmpl w:val="925A060C"/>
    <w:lvl w:ilvl="0" w:tplc="7D42DBF0">
      <w:start w:val="1"/>
      <w:numFmt w:val="decimal"/>
      <w:lvlText w:val="%1."/>
      <w:lvlJc w:val="left"/>
      <w:pPr>
        <w:tabs>
          <w:tab w:val="num" w:pos="360"/>
        </w:tabs>
        <w:ind w:left="360" w:hanging="360"/>
      </w:pPr>
      <w:rPr>
        <w:rFonts w:cs="Times New Roman"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9463DB"/>
    <w:multiLevelType w:val="hybridMultilevel"/>
    <w:tmpl w:val="39D8A360"/>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4BE83B85"/>
    <w:multiLevelType w:val="hybridMultilevel"/>
    <w:tmpl w:val="979E3084"/>
    <w:lvl w:ilvl="0" w:tplc="0409000F">
      <w:start w:val="1"/>
      <w:numFmt w:val="decimal"/>
      <w:lvlText w:val="%1."/>
      <w:lvlJc w:val="left"/>
      <w:pPr>
        <w:tabs>
          <w:tab w:val="num" w:pos="720"/>
        </w:tabs>
        <w:ind w:left="720" w:hanging="360"/>
      </w:pPr>
      <w:rPr>
        <w:rFonts w:cs="Times New Roman" w:hint="default"/>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1654EC6"/>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9">
    <w:nsid w:val="6E254ABE"/>
    <w:multiLevelType w:val="multilevel"/>
    <w:tmpl w:val="979E3084"/>
    <w:lvl w:ilvl="0">
      <w:start w:val="1"/>
      <w:numFmt w:val="decimal"/>
      <w:lvlText w:val="%1."/>
      <w:lvlJc w:val="left"/>
      <w:pPr>
        <w:tabs>
          <w:tab w:val="num" w:pos="720"/>
        </w:tabs>
        <w:ind w:left="720" w:hanging="360"/>
      </w:pPr>
      <w:rPr>
        <w:rFonts w:cs="Times New Roman" w:hint="default"/>
      </w:rPr>
    </w:lvl>
    <w:lvl w:ilvl="1">
      <w:start w:val="6"/>
      <w:numFmt w:val="decimal"/>
      <w:lvlText w:val="%2"/>
      <w:lvlJc w:val="left"/>
      <w:pPr>
        <w:tabs>
          <w:tab w:val="num" w:pos="1800"/>
        </w:tabs>
        <w:ind w:left="1800" w:hanging="720"/>
      </w:pPr>
      <w:rPr>
        <w:rFonts w:cs="Times New Roman" w:hint="default"/>
      </w:rPr>
    </w:lvl>
    <w:lvl w:ilvl="2">
      <w:start w:val="1"/>
      <w:numFmt w:val="lowerLetter"/>
      <w:lvlText w:val="(%3)"/>
      <w:lvlJc w:val="left"/>
      <w:pPr>
        <w:tabs>
          <w:tab w:val="num" w:pos="2844"/>
        </w:tabs>
        <w:ind w:left="2844" w:hanging="864"/>
      </w:pPr>
      <w:rPr>
        <w:rFonts w:cs="Times New Roman" w:hint="default"/>
        <w:b w:val="0"/>
        <w:i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7A3877D0"/>
    <w:multiLevelType w:val="multilevel"/>
    <w:tmpl w:val="C66EF150"/>
    <w:lvl w:ilvl="0">
      <w:start w:val="1"/>
      <w:numFmt w:val="bullet"/>
      <w:lvlText w:val=""/>
      <w:lvlJc w:val="left"/>
      <w:pPr>
        <w:tabs>
          <w:tab w:val="num" w:pos="1140"/>
        </w:tabs>
        <w:ind w:left="60" w:firstLine="720"/>
      </w:pPr>
      <w:rPr>
        <w:rFonts w:ascii="Symbol" w:hAnsi="Symbol" w:hint="default"/>
        <w:color w:val="auto"/>
      </w:rPr>
    </w:lvl>
    <w:lvl w:ilvl="1">
      <w:start w:val="6"/>
      <w:numFmt w:val="decimal"/>
      <w:lvlText w:val="%2"/>
      <w:lvlJc w:val="left"/>
      <w:pPr>
        <w:tabs>
          <w:tab w:val="num" w:pos="1800"/>
        </w:tabs>
        <w:ind w:left="1800" w:hanging="720"/>
      </w:pPr>
      <w:rPr>
        <w:rFonts w:cs="Times New Roman" w:hint="default"/>
      </w:rPr>
    </w:lvl>
    <w:lvl w:ilvl="2">
      <w:start w:val="1"/>
      <w:numFmt w:val="lowerLetter"/>
      <w:lvlText w:val="(%3)"/>
      <w:lvlJc w:val="left"/>
      <w:pPr>
        <w:tabs>
          <w:tab w:val="num" w:pos="2844"/>
        </w:tabs>
        <w:ind w:left="2844" w:hanging="864"/>
      </w:pPr>
      <w:rPr>
        <w:rFonts w:cs="Times New Roman" w:hint="default"/>
        <w:b w:val="0"/>
        <w:i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0"/>
  </w:num>
  <w:num w:numId="23">
    <w:abstractNumId w:val="4"/>
  </w:num>
  <w:num w:numId="24">
    <w:abstractNumId w:val="7"/>
  </w:num>
  <w:num w:numId="25">
    <w:abstractNumId w:val="10"/>
  </w:num>
  <w:num w:numId="26">
    <w:abstractNumId w:val="3"/>
  </w:num>
  <w:num w:numId="27">
    <w:abstractNumId w:val="8"/>
  </w:num>
  <w:num w:numId="28">
    <w:abstractNumId w:val="6"/>
  </w:num>
  <w:num w:numId="29">
    <w:abstractNumId w:val="9"/>
  </w:num>
  <w:num w:numId="30">
    <w:abstractNumId w:val="1"/>
  </w:num>
  <w:num w:numId="31">
    <w:abstractNumId w:val="11"/>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numPr>
        <w:numId w:val="21"/>
      </w:numPr>
      <w:spacing w:before="240" w:after="240"/>
      <w:outlineLvl w:val="0"/>
    </w:pPr>
    <w:rPr>
      <w:rFonts w:cs="Arial"/>
      <w:b/>
      <w:bCs/>
      <w:kern w:val="32"/>
      <w:sz w:val="32"/>
      <w:szCs w:val="32"/>
    </w:rPr>
  </w:style>
  <w:style w:type="paragraph" w:styleId="Heading2">
    <w:name w:val="heading 2"/>
    <w:basedOn w:val="Normal"/>
    <w:next w:val="Normal"/>
    <w:qFormat/>
    <w:pPr>
      <w:keepNext/>
      <w:numPr>
        <w:ilvl w:val="1"/>
        <w:numId w:val="21"/>
      </w:numPr>
      <w:spacing w:before="360" w:after="240"/>
      <w:outlineLvl w:val="1"/>
    </w:pPr>
    <w:rPr>
      <w:b/>
      <w:sz w:val="28"/>
      <w:lang w:eastAsia="en-GB"/>
    </w:rPr>
  </w:style>
  <w:style w:type="paragraph" w:styleId="Heading3">
    <w:name w:val="heading 3"/>
    <w:basedOn w:val="Normal"/>
    <w:next w:val="Normal"/>
    <w:qFormat/>
    <w:pPr>
      <w:keepNext/>
      <w:numPr>
        <w:ilvl w:val="2"/>
        <w:numId w:val="21"/>
      </w:numPr>
      <w:spacing w:before="240" w:after="60"/>
      <w:outlineLvl w:val="2"/>
    </w:pPr>
    <w:rPr>
      <w:b/>
      <w:bCs/>
      <w:lang w:eastAsia="en-GB"/>
    </w:rPr>
  </w:style>
  <w:style w:type="paragraph" w:styleId="Heading4">
    <w:name w:val="heading 4"/>
    <w:basedOn w:val="Normal"/>
    <w:next w:val="Normal"/>
    <w:qFormat/>
    <w:pPr>
      <w:keepNext/>
      <w:numPr>
        <w:ilvl w:val="3"/>
        <w:numId w:val="21"/>
      </w:numPr>
      <w:tabs>
        <w:tab w:val="left" w:pos="5535"/>
      </w:tabs>
      <w:spacing w:after="120"/>
      <w:jc w:val="both"/>
      <w:outlineLvl w:val="3"/>
    </w:pPr>
    <w:rPr>
      <w:rFonts w:ascii="Arial" w:hAnsi="Arial" w:cs="Arial"/>
      <w:b/>
      <w:iCs/>
    </w:rPr>
  </w:style>
  <w:style w:type="paragraph" w:styleId="Heading5">
    <w:name w:val="heading 5"/>
    <w:basedOn w:val="Normal"/>
    <w:next w:val="Normal"/>
    <w:qFormat/>
    <w:pPr>
      <w:numPr>
        <w:ilvl w:val="4"/>
        <w:numId w:val="21"/>
      </w:numPr>
      <w:spacing w:before="240" w:after="60"/>
      <w:outlineLvl w:val="4"/>
    </w:pPr>
    <w:rPr>
      <w:b/>
      <w:bCs/>
      <w:i/>
      <w:iCs/>
      <w:sz w:val="26"/>
      <w:szCs w:val="26"/>
    </w:rPr>
  </w:style>
  <w:style w:type="paragraph" w:styleId="Heading6">
    <w:name w:val="heading 6"/>
    <w:basedOn w:val="Normal"/>
    <w:next w:val="Normal"/>
    <w:qFormat/>
    <w:pPr>
      <w:numPr>
        <w:ilvl w:val="5"/>
        <w:numId w:val="21"/>
      </w:numPr>
      <w:spacing w:before="240" w:after="60"/>
      <w:outlineLvl w:val="5"/>
    </w:pPr>
    <w:rPr>
      <w:b/>
      <w:bCs/>
      <w:sz w:val="22"/>
      <w:szCs w:val="22"/>
    </w:rPr>
  </w:style>
  <w:style w:type="paragraph" w:styleId="Heading7">
    <w:name w:val="heading 7"/>
    <w:basedOn w:val="Normal"/>
    <w:next w:val="Normal"/>
    <w:qFormat/>
    <w:pPr>
      <w:numPr>
        <w:ilvl w:val="6"/>
        <w:numId w:val="21"/>
      </w:numPr>
      <w:spacing w:before="240" w:after="60"/>
      <w:outlineLvl w:val="6"/>
    </w:pPr>
  </w:style>
  <w:style w:type="paragraph" w:styleId="Heading8">
    <w:name w:val="heading 8"/>
    <w:basedOn w:val="Normal"/>
    <w:next w:val="Normal"/>
    <w:qFormat/>
    <w:pPr>
      <w:keepNext/>
      <w:numPr>
        <w:ilvl w:val="7"/>
        <w:numId w:val="21"/>
      </w:numPr>
      <w:spacing w:after="120"/>
      <w:jc w:val="both"/>
      <w:outlineLvl w:val="7"/>
    </w:pPr>
    <w:rPr>
      <w:rFonts w:ascii="Garamond" w:hAnsi="Garamond" w:cs="Arial"/>
      <w:b/>
      <w:i/>
    </w:rPr>
  </w:style>
  <w:style w:type="paragraph" w:styleId="Heading9">
    <w:name w:val="heading 9"/>
    <w:basedOn w:val="Normal"/>
    <w:next w:val="Normal"/>
    <w:qFormat/>
    <w:pPr>
      <w:numPr>
        <w:ilvl w:val="8"/>
        <w:numId w:val="2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Pr>
      <w:rFonts w:ascii="Times New Roman" w:hAnsi="Times New Roman"/>
      <w:sz w:val="16"/>
    </w:rPr>
  </w:style>
  <w:style w:type="character" w:customStyle="1" w:styleId="CharChar">
    <w:name w:val=" Char Char"/>
    <w:rPr>
      <w:sz w:val="24"/>
      <w:szCs w:val="24"/>
      <w:lang w:val="en-GB" w:eastAsia="en-US" w:bidi="ar-SA"/>
    </w:rPr>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H1"/>
    <w:next w:val="SingleTxt"/>
    <w:pPr>
      <w:spacing w:line="300" w:lineRule="exact"/>
      <w:ind w:left="0" w:right="0" w:firstLine="0"/>
    </w:pPr>
    <w:rPr>
      <w:spacing w:val="-2"/>
      <w:sz w:val="28"/>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L">
    <w:name w:val="__S_L"/>
    <w:basedOn w:val="SM"/>
    <w:next w:val="Normal"/>
    <w:pPr>
      <w:spacing w:line="540" w:lineRule="exact"/>
    </w:pPr>
    <w:rPr>
      <w:spacing w:val="-8"/>
      <w:w w:val="96"/>
      <w:sz w:val="57"/>
    </w:r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rPr>
      <w:rFonts w:ascii="Tahoma" w:hAnsi="Tahoma" w:cs="Tahoma"/>
      <w:sz w:val="16"/>
      <w:szCs w:val="16"/>
    </w:rPr>
  </w:style>
  <w:style w:type="paragraph" w:styleId="BodyText">
    <w:name w:val="Body Text"/>
    <w:basedOn w:val="Normal"/>
    <w:semiHidden/>
    <w:pPr>
      <w:numPr>
        <w:numId w:val="22"/>
      </w:numPr>
      <w:spacing w:after="120"/>
    </w:pPr>
  </w:style>
  <w:style w:type="character" w:styleId="CommentReference">
    <w:name w:val="annotation reference"/>
    <w:semiHidden/>
    <w:rPr>
      <w:sz w:val="6"/>
    </w:rPr>
  </w:style>
  <w:style w:type="paragraph" w:styleId="CommentText">
    <w:name w:val="annotation text"/>
    <w:basedOn w:val="Normal"/>
    <w:semiHidden/>
  </w:style>
  <w:style w:type="paragraph" w:styleId="CommentSubject">
    <w:name w:val="annotation subject"/>
    <w:basedOn w:val="CommentText"/>
    <w:next w:val="CommentText"/>
    <w:rPr>
      <w:b/>
      <w:bCs/>
    </w:rPr>
  </w:style>
  <w:style w:type="character" w:customStyle="1" w:styleId="contenttext1">
    <w:name w:val="contenttext1"/>
    <w:rPr>
      <w:rFonts w:ascii="Arial" w:hAnsi="Arial" w:cs="Arial" w:hint="default"/>
      <w:sz w:val="24"/>
      <w:szCs w:val="24"/>
    </w:rPr>
  </w:style>
  <w:style w:type="character" w:styleId="EndnoteReference">
    <w:name w:val="endnote reference"/>
    <w:semiHidden/>
  </w:style>
  <w:style w:type="character" w:styleId="FootnoteReference">
    <w:name w:val="footnote reference"/>
    <w:semiHidden/>
    <w:rPr>
      <w:spacing w:val="-5"/>
      <w:w w:val="130"/>
      <w:position w:val="-4"/>
      <w:sz w:val="16"/>
      <w:vertAlign w:val="superscript"/>
    </w:rPr>
  </w:style>
  <w:style w:type="paragraph" w:styleId="EndnoteText">
    <w:name w:val="endnote text"/>
    <w:basedOn w:val="FootnoteText"/>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Footer">
    <w:name w:val="footer"/>
    <w:semiHidden/>
    <w:pPr>
      <w:tabs>
        <w:tab w:val="center" w:pos="4320"/>
        <w:tab w:val="right" w:pos="8640"/>
      </w:tabs>
    </w:pPr>
    <w:rPr>
      <w:rFonts w:eastAsia="Times New Roman"/>
      <w:b/>
      <w:noProof/>
      <w:sz w:val="17"/>
      <w:lang w:val="en-US" w:eastAsia="en-US"/>
    </w:rPr>
  </w:style>
  <w:style w:type="paragraph" w:styleId="Header">
    <w:name w:val="header"/>
    <w:semiHidden/>
    <w:pPr>
      <w:tabs>
        <w:tab w:val="center" w:pos="4320"/>
        <w:tab w:val="right" w:pos="8640"/>
      </w:tabs>
    </w:pPr>
    <w:rPr>
      <w:rFonts w:eastAsia="Times New Roman"/>
      <w:noProof/>
      <w:sz w:val="17"/>
      <w:lang w:val="en-US" w:eastAsia="en-US"/>
    </w:rPr>
  </w:style>
  <w:style w:type="character" w:styleId="Hyperlink">
    <w:name w:val="Hyperlink"/>
    <w:semiHidden/>
    <w:rPr>
      <w:strike w:val="0"/>
      <w:dstrike w:val="0"/>
      <w:color w:val="4488CC"/>
      <w:u w:val="none"/>
      <w:effect w:val="none"/>
    </w:rPr>
  </w:style>
  <w:style w:type="character" w:styleId="LineNumber">
    <w:name w:val="line number"/>
    <w:semiHidden/>
    <w:rPr>
      <w:sz w:val="14"/>
    </w:rPr>
  </w:style>
  <w:style w:type="paragraph" w:customStyle="1" w:styleId="Recommendations">
    <w:name w:val="Recommendations"/>
    <w:basedOn w:val="Normal"/>
    <w:autoRedefine/>
    <w:pPr>
      <w:numPr>
        <w:ilvl w:val="1"/>
        <w:numId w:val="22"/>
      </w:numPr>
      <w:spacing w:after="120" w:line="360" w:lineRule="auto"/>
      <w:jc w:val="both"/>
    </w:pPr>
    <w:rPr>
      <w:sz w:val="22"/>
      <w:szCs w:val="22"/>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character" w:styleId="Strong">
    <w:name w:val="Strong"/>
    <w:qFormat/>
    <w:rPr>
      <w:b/>
      <w:bCs/>
    </w:rPr>
  </w:style>
  <w:style w:type="character" w:customStyle="1" w:styleId="Style12pt">
    <w:name w:val="Style 12 pt"/>
    <w:rPr>
      <w:sz w:val="16"/>
      <w:szCs w:val="24"/>
    </w:rPr>
  </w:style>
  <w:style w:type="character" w:customStyle="1" w:styleId="Style1">
    <w:name w:val="Style1"/>
    <w:rPr>
      <w:rFonts w:ascii="Times New Roman" w:hAnsi="Times New Roman" w:cs="Arial" w:hint="default"/>
      <w:sz w:val="16"/>
      <w:szCs w:val="24"/>
    </w:rPr>
  </w:style>
  <w:style w:type="character" w:customStyle="1" w:styleId="Style2">
    <w:name w:val="Style2"/>
    <w:rPr>
      <w:sz w:val="16"/>
    </w:rPr>
  </w:style>
  <w:style w:type="character" w:customStyle="1" w:styleId="txt1">
    <w:name w:val="txt1"/>
    <w:rPr>
      <w:rFonts w:ascii="Arial" w:hAnsi="Arial" w:cs="Arial" w:hint="default"/>
      <w:sz w:val="24"/>
      <w:szCs w:val="24"/>
    </w:rPr>
  </w:style>
  <w:style w:type="paragraph" w:customStyle="1" w:styleId="XLarge">
    <w:name w:val="XLarge"/>
    <w:basedOn w:val="HM"/>
    <w:pPr>
      <w:spacing w:line="390" w:lineRule="exact"/>
    </w:pPr>
    <w:rPr>
      <w:spacing w:val="-4"/>
      <w:w w:val="98"/>
      <w:sz w:val="40"/>
    </w:rPr>
  </w:style>
  <w:style w:type="paragraph" w:styleId="Caption">
    <w:name w:val="caption"/>
    <w:basedOn w:val="Normal"/>
    <w:next w:val="Normal"/>
    <w:qFormat/>
    <w:rPr>
      <w:b/>
      <w:bCs/>
    </w:rPr>
  </w:style>
  <w:style w:type="paragraph" w:styleId="DocumentMap">
    <w:name w:val="Document Map"/>
    <w:basedOn w:val="Normal"/>
    <w:semiHidden/>
    <w:pPr>
      <w:shd w:val="clear" w:color="auto" w:fill="000080"/>
    </w:pPr>
    <w:rPr>
      <w:rFonts w:ascii="Tahoma" w:hAnsi="Tahoma" w:cs="Tahoma"/>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spacing w:line="240" w:lineRule="exact"/>
    </w:pPr>
    <w:rPr>
      <w:rFonts w:ascii="Courier New" w:eastAsia="Times New Roman" w:hAnsi="Courier New" w:cs="Courier New"/>
      <w:spacing w:val="4"/>
      <w:w w:val="103"/>
      <w:kern w:val="1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customStyle="1" w:styleId="Style4">
    <w:name w:val="Style4"/>
    <w:rPr>
      <w:rFonts w:ascii="Times New Roman" w:hAnsi="Times New Roman"/>
      <w:sz w:val="16"/>
    </w:rPr>
  </w:style>
  <w:style w:type="character" w:customStyle="1" w:styleId="FooterChar">
    <w:name w:val="Footer Char"/>
    <w:semiHidden/>
    <w:locked/>
    <w:rPr>
      <w:b/>
      <w:noProof/>
      <w:sz w:val="17"/>
      <w:lang w:val="en-US" w:eastAsia="en-US" w:bidi="ar-SA"/>
    </w:rPr>
  </w:style>
  <w:style w:type="character" w:styleId="PageNumber">
    <w:name w:val="page number"/>
    <w:semiHidden/>
    <w:rPr>
      <w:rFonts w:cs="Times New Roman"/>
    </w:rPr>
  </w:style>
  <w:style w:type="character" w:customStyle="1" w:styleId="HeaderChar">
    <w:name w:val="Header Char"/>
    <w:semiHidden/>
    <w:locked/>
    <w:rPr>
      <w:noProof/>
      <w:sz w:val="17"/>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942</Words>
  <Characters>5372</Characters>
  <Application>Microsoft Office Word</Application>
  <DocSecurity>4</DocSecurity>
  <Lines>44</Lines>
  <Paragraphs>10</Paragraphs>
  <ScaleCrop>false</ScaleCrop>
  <HeadingPairs>
    <vt:vector size="2" baseType="variant">
      <vt:variant>
        <vt:lpstr>Titre</vt:lpstr>
      </vt:variant>
      <vt:variant>
        <vt:i4>1</vt:i4>
      </vt:variant>
    </vt:vector>
  </HeadingPairs>
  <TitlesOfParts>
    <vt:vector size="1" baseType="lpstr">
      <vt:lpstr>                                    NATIONS </vt:lpstr>
    </vt:vector>
  </TitlesOfParts>
  <Company>International Computing Centre</Company>
  <LinksUpToDate>false</LinksUpToDate>
  <CharactersWithSpaces>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dc:title>
  <dc:subject/>
  <dc:creator>OHCHR</dc:creator>
  <cp:keywords/>
  <dc:description/>
  <cp:lastModifiedBy>csd</cp:lastModifiedBy>
  <cp:revision>2</cp:revision>
  <cp:lastPrinted>2008-10-22T11:34:00Z</cp:lastPrinted>
  <dcterms:created xsi:type="dcterms:W3CDTF">2008-10-27T11:49:00Z</dcterms:created>
  <dcterms:modified xsi:type="dcterms:W3CDTF">2008-10-27T11:49:00Z</dcterms:modified>
</cp:coreProperties>
</file>