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43507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after="0"/>
            </w:pPr>
            <w:fldSimple w:instr=" FILLIN &quot;Symbol&quot; \* MERGEFORMAT ">
              <w:r>
                <w:t>CERD/</w:t>
              </w:r>
            </w:fldSimple>
            <w:r>
              <w:t>C/ZAF/CO/3</w:t>
            </w:r>
            <w:r>
              <w:br/>
              <w:t>19 October 2006</w:t>
            </w:r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  <w:lang w:val="ru-RU"/>
              </w:rPr>
              <w:t xml:space="preserve">:  </w:t>
            </w:r>
            <w:r>
              <w:rPr>
                <w:sz w:val="22"/>
                <w:lang w:val="en-US"/>
              </w:rPr>
              <w:t>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ru-RU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spacing w:after="0"/>
        <w:rPr>
          <w:lang w:val="ru-RU"/>
        </w:rPr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расовой дискриминации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Южная</w:t>
      </w:r>
      <w:r>
        <w:t xml:space="preserve"> </w:t>
      </w:r>
      <w:r>
        <w:rPr>
          <w:lang w:val="ru-RU"/>
        </w:rPr>
        <w:t>Африка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рассмотрел первоначальный-третий периодические доклады Южной Африки, представленные в едином документе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/461/</w:t>
      </w:r>
      <w:r>
        <w:rPr>
          <w:lang w:val="en-US"/>
        </w:rPr>
        <w:t>Add</w:t>
      </w:r>
      <w:r>
        <w:rPr>
          <w:lang w:val="ru-RU"/>
        </w:rPr>
        <w:t>.3), на своих</w:t>
      </w:r>
      <w:r>
        <w:t> </w:t>
      </w:r>
      <w:r>
        <w:rPr>
          <w:lang w:val="ru-RU"/>
        </w:rPr>
        <w:t>1766</w:t>
      </w:r>
      <w:r>
        <w:rPr>
          <w:lang w:val="ru-RU"/>
        </w:rPr>
        <w:noBreakHyphen/>
        <w:t>м и 1767</w:t>
      </w:r>
      <w:r>
        <w:rPr>
          <w:lang w:val="ru-RU"/>
        </w:rPr>
        <w:noBreakHyphen/>
        <w:t>м</w:t>
      </w:r>
      <w:r>
        <w:t> </w:t>
      </w:r>
      <w:r>
        <w:rPr>
          <w:lang w:val="ru-RU"/>
        </w:rPr>
        <w:t>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.1766 и 1767), состоявшихся 4 и 7 августа 2006</w:t>
      </w:r>
      <w:r>
        <w:t> </w:t>
      </w:r>
      <w:r>
        <w:rPr>
          <w:lang w:val="ru-RU"/>
        </w:rPr>
        <w:t>года.  На своем 1782</w:t>
      </w:r>
      <w:r>
        <w:rPr>
          <w:lang w:val="ru-RU"/>
        </w:rPr>
        <w:noBreakHyphen/>
        <w:t>м</w:t>
      </w:r>
      <w:r>
        <w:t> </w:t>
      </w:r>
      <w:r>
        <w:rPr>
          <w:lang w:val="ru-RU"/>
        </w:rPr>
        <w:t>заседании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.1782), состоявшемся 16 августа 2006</w:t>
      </w:r>
      <w:r>
        <w:t> </w:t>
      </w:r>
      <w:r>
        <w:rPr>
          <w:lang w:val="ru-RU"/>
        </w:rPr>
        <w:t>года, он принял следующие заключительные замечания.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</w:rPr>
        <w:t>A</w:t>
      </w:r>
      <w:r>
        <w:rPr>
          <w:b/>
          <w:bCs/>
          <w:lang w:val="ru-RU"/>
        </w:rPr>
        <w:t>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С чувством глубокого удовлетворения Комитет особо отмечает и подчеркивает огромную значимость начала конструктивного диалога с Южной Африкой по вопросам, связанным с Конвенцией, на разработку которой в значительной степени повлияли жестокие, бесчеловечные и унижающие достоинство последствия апартеида в этой стране.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доклад, представленный государством-участником, и выражает свое удовлетворение по поводу присутствия высокопоставленной делегации, которая представила дополнительную письменную и устную информацию, позволившую провести откровенный диалог.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Отмечая, что первоначальный доклад был представлен с почти пятилетним опозданием, Комитет призывает государство-участник соблюдать сроки, установленные для представления следующего доклада Комитету.</w:t>
      </w:r>
    </w:p>
    <w:p w:rsidR="00000000" w:rsidRDefault="00000000">
      <w:pPr>
        <w:rPr>
          <w:lang w:val="ru-RU"/>
        </w:rPr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Факторы и трудности, препятствующие осуществлению Конвенции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признает, что наследие созданной режимом апартеида системы управления с точки зрения ее экономических, социальных и культурных последствий является фактором, препятствующим государству-участнику в его усилиях, направленных на всестороннее осуществление Конвенции.  Комитет признает, что после ликвидации бывших структур апартеида создание полностью нерасистского государства представляет собой сложную задачу для южноафриканского общества, требующую достаточных людских и финансовых ресурсов для решения многочисленных проблем.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выражает свое удовлетворение по поводу мирного перехода от апартеида, а также в отношении принятия в 1996</w:t>
      </w:r>
      <w:r>
        <w:t> </w:t>
      </w:r>
      <w:r>
        <w:rPr>
          <w:lang w:val="ru-RU"/>
        </w:rPr>
        <w:t>году Конституции вместе с Биллем о правах, провозглашающим в числе прочих ценностей "человеческое достоинство, равенство и отсутствие расизма".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одобрением отмечает такие многочисленные законодательные меры, направленные на построение демократического и многокультурного общества и преодоление сегрегации и расовой дискриминации, как Закон 1996 года о кинофильмах и публикациях, Закон 1996 года о южноафриканских школах, Закон 1998 года об изменении политики развития культуры, Закон 1998 года о Национальном фонде по обеспечению прав, Закон 1998 года о беженцах, Закон 1999</w:t>
      </w:r>
      <w:r>
        <w:rPr>
          <w:lang w:val="en-US"/>
        </w:rPr>
        <w:t> </w:t>
      </w:r>
      <w:r>
        <w:rPr>
          <w:lang w:val="ru-RU"/>
        </w:rPr>
        <w:t>года о равных возможностях в сфере занятости и Закон 2000</w:t>
      </w:r>
      <w:r>
        <w:t> </w:t>
      </w:r>
      <w:r>
        <w:rPr>
          <w:lang w:val="ru-RU"/>
        </w:rPr>
        <w:t>года о поощрении равенства и предотвращении несправедливой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учреждение Комиссии по правам человека Южной Африки (КПЧЮА), наделенной среди прочего полномочиями в области содействия соблюдению прав человека, осуществления контроля и проведения расследований в сфере их соблюдения и поиска эффективных средств правовой защиты в случае нарушений прав человека;  он также особо отмечает ее активную роль в деле ликвидации последствий расовой дискриминации и высоко оценивает ее вклад в состоявшийся с государством-участником диалог.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факт создания "судов по вопросам равноправия", призванных обеспечить соблюдение Закона о поощрении равноправия, важнейшей целью которого является ликвидация расизма и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также приветствует принятие особых мер в контексте Дурбанской декларации и Программы действий, которые соответствуют статье</w:t>
      </w:r>
      <w:r>
        <w:t> </w:t>
      </w:r>
      <w:r>
        <w:rPr>
          <w:lang w:val="ru-RU"/>
        </w:rPr>
        <w:t>1 и пункту</w:t>
      </w:r>
      <w:r>
        <w:t> </w:t>
      </w:r>
      <w:r>
        <w:rPr>
          <w:lang w:val="ru-RU"/>
        </w:rPr>
        <w:t>2 статьи</w:t>
      </w:r>
      <w:r>
        <w:t> </w:t>
      </w:r>
      <w:r>
        <w:rPr>
          <w:lang w:val="ru-RU"/>
        </w:rPr>
        <w:t>2 Конвенции и направлены на улучшение положения подвергшихся дискриминации расовых или этнических групп.  Вместе с тем он обращает внимание государства-участника на тот факт, что такая "позитивная мера" не должна приводить к сохранению неравных или особых прав для таких групп по достижении тех целей, ради которых она была введена.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  <w:lang w:val="ru-RU"/>
        </w:rPr>
        <w:t>.</w:t>
      </w:r>
      <w:r>
        <w:rPr>
          <w:b/>
          <w:bCs/>
          <w:lang w:val="ru-RU"/>
        </w:rPr>
        <w:tab/>
        <w:t>Проблемы,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Признавая приведенные государством-участником исторические причины, в силу которых оно не занимается сбором дезагрегированных данных по этническим группам, Комитет вместе с тем отмечает, что отсутствие дезагрегированной информации о составе населения не позволяет составить надлежащее представление о многообразии южноафриканского общества и произвести надежную оценку эффективности осуществления предусмотренных в Конвенции прав в отношении различных этнических групп (статья</w:t>
      </w:r>
      <w:r>
        <w:t> </w:t>
      </w:r>
      <w:r>
        <w:rPr>
          <w:lang w:val="ru-RU"/>
        </w:rPr>
        <w:t>1).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постараться включить в свой следующий периодический доклад качественное описание этнического состава своего населения, в частности коренных народов и неграждан, и в этой связи обращает внимание государства-участника на пункт</w:t>
      </w:r>
      <w:r>
        <w:rPr>
          <w:b/>
          <w:bCs/>
        </w:rPr>
        <w:t> </w:t>
      </w:r>
      <w:r>
        <w:rPr>
          <w:b/>
          <w:bCs/>
          <w:lang w:val="ru-RU"/>
        </w:rPr>
        <w:t>8 своих общих руководящих принципов (2000</w:t>
      </w:r>
      <w:r>
        <w:rPr>
          <w:b/>
          <w:bCs/>
        </w:rPr>
        <w:t> </w:t>
      </w:r>
      <w:r>
        <w:rPr>
          <w:b/>
          <w:bCs/>
          <w:lang w:val="ru-RU"/>
        </w:rPr>
        <w:t>года).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отсутствие информации о том, каким образом Закон 2003</w:t>
      </w:r>
      <w:r>
        <w:t> </w:t>
      </w:r>
      <w:r>
        <w:rPr>
          <w:lang w:val="ru-RU"/>
        </w:rPr>
        <w:t>года об основах традиционного руководства и управления регламентирует статус обычного права и традиционного руководства в законодательстве страны и провинций (статья</w:t>
      </w:r>
      <w:r>
        <w:t> </w:t>
      </w:r>
      <w:r>
        <w:rPr>
          <w:lang w:val="ru-RU"/>
        </w:rPr>
        <w:t>2 с)) в связи с ликвидацией расовой дискриминации.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включить в свой следующий периодический доклад подробную информацию о роли традиционного руководства и о статусе обычного права, в том числе о мерах, принятых для обеспечения того, чтобы применение таких законов не приводило к возникновению или сохранению расовой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по</w:t>
      </w:r>
      <w:r>
        <w:rPr>
          <w:lang w:val="ru-RU"/>
        </w:rPr>
        <w:noBreakHyphen/>
        <w:t>прежнему обеспокоен существующей де-факто сегрегацией, которая сохраняется как наследие апартеида, несмотря на меры, принимаемые государством-участником для ликвидации такого положения, особенно в отношении владения имуществом, доступа к финансам и таким социальным услугам, как здравоохранение, образование и жилище (статья</w:t>
      </w:r>
      <w:r>
        <w:t> </w:t>
      </w:r>
      <w:r>
        <w:rPr>
          <w:lang w:val="ru-RU"/>
        </w:rPr>
        <w:t>3).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общей рекомендации №</w:t>
      </w:r>
      <w:r>
        <w:rPr>
          <w:b/>
          <w:bCs/>
        </w:rPr>
        <w:t> </w:t>
      </w:r>
      <w:r>
        <w:rPr>
          <w:b/>
          <w:bCs/>
          <w:lang w:val="ru-RU"/>
        </w:rPr>
        <w:t>19 (1995</w:t>
      </w:r>
      <w:r>
        <w:rPr>
          <w:b/>
          <w:bCs/>
        </w:rPr>
        <w:t> </w:t>
      </w:r>
      <w:r>
        <w:rPr>
          <w:b/>
          <w:bCs/>
          <w:lang w:val="ru-RU"/>
        </w:rPr>
        <w:t>год) о расовой дискриминации и апартеиде Комитет рекомендует государству-участнику включить в свой следующий периодический доклад подробную информацию о конкретных мерах, направленных на решение проблемы существующей де-факто сегрегации, которая сохраняется в государстве-участнике, и представить информацию об эффективности таких мер.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положения пункта</w:t>
      </w:r>
      <w:r>
        <w:t> </w:t>
      </w:r>
      <w:r>
        <w:rPr>
          <w:lang w:val="ru-RU"/>
        </w:rPr>
        <w:t>2 статьи</w:t>
      </w:r>
      <w:r>
        <w:t> </w:t>
      </w:r>
      <w:r>
        <w:rPr>
          <w:lang w:val="ru-RU"/>
        </w:rPr>
        <w:t>16 Конституции, статьи</w:t>
      </w:r>
      <w:r>
        <w:t> </w:t>
      </w:r>
      <w:r>
        <w:rPr>
          <w:lang w:val="ru-RU"/>
        </w:rPr>
        <w:t>7 Закона о поощрении равноправия, статьи</w:t>
      </w:r>
      <w:r>
        <w:t> </w:t>
      </w:r>
      <w:r>
        <w:rPr>
          <w:lang w:val="ru-RU"/>
        </w:rPr>
        <w:t>8 Закона о регулировании собраний и статьи</w:t>
      </w:r>
      <w:r>
        <w:t> </w:t>
      </w:r>
      <w:r>
        <w:rPr>
          <w:lang w:val="ru-RU"/>
        </w:rPr>
        <w:t>29 Закона о фильмах и публикациях, а также продолжающееся с 2000</w:t>
      </w:r>
      <w:r>
        <w:t> </w:t>
      </w:r>
      <w:r>
        <w:rPr>
          <w:lang w:val="ru-RU"/>
        </w:rPr>
        <w:t>года обсуждение законопроекта о запрещении пропаганды ненависти, Комитет обеспокоен по поводу распространенности преступлений на почве ненависти и случаев пропаганды ненависти в государстве-участнике, а также по поводу неэффективности мер по предотвращению таких деяний (статья</w:t>
      </w:r>
      <w:r>
        <w:t> </w:t>
      </w:r>
      <w:r>
        <w:rPr>
          <w:lang w:val="ru-RU"/>
        </w:rPr>
        <w:t>4).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своей общей рекомендации №</w:t>
      </w:r>
      <w:r>
        <w:rPr>
          <w:b/>
          <w:bCs/>
        </w:rPr>
        <w:t> </w:t>
      </w:r>
      <w:r>
        <w:rPr>
          <w:b/>
          <w:bCs/>
          <w:lang w:val="ru-RU"/>
        </w:rPr>
        <w:t>15 (1993</w:t>
      </w:r>
      <w:r>
        <w:rPr>
          <w:b/>
          <w:bCs/>
        </w:rPr>
        <w:t> </w:t>
      </w:r>
      <w:r>
        <w:rPr>
          <w:b/>
          <w:bCs/>
          <w:lang w:val="ru-RU"/>
        </w:rPr>
        <w:t>год), касающейся организованного насилия по признаку этнического происхождения, Комитет рекомендует государству-участнику обеспечить полное и надлежащее соблюдение статьи</w:t>
      </w:r>
      <w:r>
        <w:rPr>
          <w:b/>
          <w:bCs/>
        </w:rPr>
        <w:t> </w:t>
      </w:r>
      <w:r>
        <w:rPr>
          <w:b/>
          <w:bCs/>
          <w:lang w:val="ru-RU"/>
        </w:rPr>
        <w:t>4 Конвенции, а также принять законодательство и другие эффективные меры, направленные на предупреждение, предотвращение и пресечение преступлений на почве ненависти и случаев пропаганды ненависти.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различные программы по сокращению нищеты в государстве-участнике, Комитет вместе с тем по</w:t>
      </w:r>
      <w:r>
        <w:rPr>
          <w:lang w:val="ru-RU"/>
        </w:rPr>
        <w:noBreakHyphen/>
        <w:t>прежнему обеспокоен тем, что часть его населения проживает в условиях нищеты и что она влияет на возможность равного осуществления прав человека наиболее уязвимых этнических групп (статья 5).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включить в свой следующий периодический доклад информацию о социально-экономическом положении населения, в частности уязвимых этнических групп, и принять все необходимые меры для сокращения нищеты и стимулирования экономического роста.  Комитет просит государство-участник представить подробную информацию о результатах таких мер.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обеспокоен актами насилия в отношении женщин, особенно сообщениями об изнасилованиях и случаях бытового насилия, учитывая тот факт, что их жертвами, как правило, становятся женщины из обездоленных и неимущих этнических групп </w:t>
      </w:r>
      <w:r>
        <w:rPr>
          <w:lang w:val="ru-RU"/>
        </w:rPr>
        <w:br/>
        <w:t>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b</w:t>
      </w:r>
      <w:r>
        <w:rPr>
          <w:lang w:val="ru-RU"/>
        </w:rPr>
        <w:t xml:space="preserve">) и </w:t>
      </w:r>
      <w:r>
        <w:rPr>
          <w:lang w:val="en-US"/>
        </w:rPr>
        <w:t>e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С учетом общей рекомендации № 25 (1995 год) о гендерных аспектах расовой дискриминации Комитет рекомендует государству-участнику принять все необходимые меры для преодоления таких явлений двойной дискриминации, в частности в отношении женщин и детей из наиболее обездоленных и неимущих этнических групп.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отмечает отсутствие конкретного национального законодательства, устанавливающего уголовную ответственность за торговлю людьми, учитывая, что ее жертвами зачастую становятся женщины и дети из наиболее обездоленных этнических групп (статья 5 </w:t>
      </w:r>
      <w:r>
        <w:rPr>
          <w:lang w:val="en-US"/>
        </w:rPr>
        <w:t>b</w:t>
      </w:r>
      <w:r>
        <w:rPr>
          <w:lang w:val="ru-RU"/>
        </w:rPr>
        <w:t xml:space="preserve">) и </w:t>
      </w:r>
      <w:r>
        <w:rPr>
          <w:lang w:val="en-US"/>
        </w:rPr>
        <w:t>e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принять законодательные и иные эффективные меры с целью надлежащего предупреждения, предотвращения и пресечения торговли людьми.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принятие Закона 2004</w:t>
      </w:r>
      <w:r>
        <w:t> </w:t>
      </w:r>
      <w:r>
        <w:rPr>
          <w:lang w:val="ru-RU"/>
        </w:rPr>
        <w:t>года о поправках к Закону о реституции земельных прав и осуществление программ оказания помощи поселенцам, Комитет вместе с тем выражает обеспокоенность размерами реституции, возможностями устойчивого развития переселенных общин и осуществлением их прав по Конвенции, в частности прав, связанных с жилищем, здравоохранением, доступом к водоснабжению и образованию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ru-RU"/>
        </w:rPr>
        <w:t>е)).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призывает государство-участник повысить эффективность политики, направленной на реституцию земли и оказание поддержки поселенцам, в целях улучшения осуществления закрепленных в Конвенции экономических, социальных и культурных прав переселенных этнических общин.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положением таких общин коренных народов, как хой, сан, нама и гриква и, в частности, групп охотников-собирателей и кочевников, отмечая при этом отсутствие информации о принятых государством-участником конкретных мерах по обеспечению осуществления всех прав этих общин коренного населения (статья</w:t>
      </w:r>
      <w:r>
        <w:t> </w:t>
      </w:r>
      <w:r>
        <w:rPr>
          <w:lang w:val="ru-RU"/>
        </w:rPr>
        <w:t>5 е)).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общей рекомендации № 23 (1997</w:t>
      </w:r>
      <w:r>
        <w:rPr>
          <w:b/>
          <w:bCs/>
        </w:rPr>
        <w:t> </w:t>
      </w:r>
      <w:r>
        <w:rPr>
          <w:b/>
          <w:bCs/>
          <w:lang w:val="ru-RU"/>
        </w:rPr>
        <w:t>год) о правах коренных народов Комитет рекомендует государству-участнику в своем следующем периодическом докладе представить подробную информацию о положении коренных народов и о любых конкретных мерах, принятых в соответствии с пунктом</w:t>
      </w:r>
      <w:r>
        <w:rPr>
          <w:b/>
          <w:bCs/>
        </w:rPr>
        <w:t> </w:t>
      </w:r>
      <w:r>
        <w:rPr>
          <w:b/>
          <w:bCs/>
          <w:lang w:val="ru-RU"/>
        </w:rPr>
        <w:t>4 статьи</w:t>
      </w:r>
      <w:r>
        <w:rPr>
          <w:b/>
          <w:bCs/>
        </w:rPr>
        <w:t> </w:t>
      </w:r>
      <w:r>
        <w:rPr>
          <w:b/>
          <w:bCs/>
          <w:lang w:val="ru-RU"/>
        </w:rPr>
        <w:t>1 и пунктом</w:t>
      </w:r>
      <w:r>
        <w:rPr>
          <w:b/>
          <w:bCs/>
        </w:rPr>
        <w:t> </w:t>
      </w:r>
      <w:r>
        <w:rPr>
          <w:b/>
          <w:bCs/>
          <w:lang w:val="ru-RU"/>
        </w:rPr>
        <w:t>2 статьи</w:t>
      </w:r>
      <w:r>
        <w:rPr>
          <w:b/>
          <w:bCs/>
        </w:rPr>
        <w:t> </w:t>
      </w:r>
      <w:r>
        <w:rPr>
          <w:b/>
          <w:bCs/>
          <w:lang w:val="ru-RU"/>
        </w:rPr>
        <w:t>2 Конвенции в целях обеспечения осуществления их прав по Конвенции, включая свободу передвижения и право на участие в принятии затрагивающих их решений.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проводимые государством-участником программы по профилактике и лечению ВИЧ/СПИДа, Комитет вместе с тем выражает свою обеспокоенность в связи с высокой распространенностью ВИЧ/СПИДа среди лиц, принадлежащих к наиболее уязвимым этническим группам (статья 5 е)).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повысить эффективность программ в области здравоохранения при уделении особого внимания меньшинствам с учетом их неблагоприятного положения, являющегося результатом нищеты и отсутствия доступа к образованию, и призывает государство-участник принять дальнейшие меры по борьбе с ВИЧ/СПИДом.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недавний Проект урегулирования нерассмотренных ходатайств беженцев, Комитет вместе с тем выражает свою обеспокоенность по поводу значительного количества нерассмотренных ходатайств просителей убежища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d</w:t>
      </w:r>
      <w:r>
        <w:rPr>
          <w:lang w:val="ru-RU"/>
        </w:rPr>
        <w:t>) и е)).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общей рекомендации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30 (2004</w:t>
      </w:r>
      <w:r>
        <w:rPr>
          <w:b/>
          <w:bCs/>
        </w:rPr>
        <w:t> </w:t>
      </w:r>
      <w:r>
        <w:rPr>
          <w:b/>
          <w:bCs/>
          <w:lang w:val="ru-RU"/>
        </w:rPr>
        <w:t>год) о дискриминации неграждан Комитет призывает государство-участник активизировать меры по сокращению количества нерассмотренных ходатайств о предоставлении убежища.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предусмотренное в Конституции право на получение образования на языке по своему выбору, Комитет вместе с тем хотел бы отметить недостаточность информации об осуществлении такого права, а также о тех мерах, которые были приняты в целях развития конституционно признанных языков, таких, как хой, сан, нама и язык жестов.  Комитет также отмечает отсутствие информации о Комиссии по поощрению и защите прав культурных, религиозных и языковых общин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ru-RU"/>
        </w:rPr>
        <w:t>е)).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представить информацию обо всех признанных в Конституции языках, особенно об их использовании в образовании, и о мерах в поддержку языков коренных народов, а также о статусе, деятельности и ресурсах Комиссии по поощрению и защите прав культурных, религиозных и языковых общин.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выражает обеспокоенность по поводу жестокого обращения, включая вымогательство, которому подвергаются имеющие и не имеющие документов иностранцы со стороны должностных лиц по поддержанию правопорядка, в том числе в репатриационном центре Линдела и в приграничных районах, а также в связи с отсутствием расследований по этим случаям (статьи</w:t>
      </w:r>
      <w:r>
        <w:t> </w:t>
      </w:r>
      <w:r>
        <w:rPr>
          <w:lang w:val="ru-RU"/>
        </w:rPr>
        <w:t>6 и 7).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надлежащие меры по искоренению всех форм жестокого обращения, включая вымогательство, в</w:t>
      </w:r>
      <w:r>
        <w:rPr>
          <w:b/>
          <w:bCs/>
        </w:rPr>
        <w:t> </w:t>
      </w:r>
      <w:r>
        <w:rPr>
          <w:b/>
          <w:bCs/>
          <w:lang w:val="ru-RU"/>
        </w:rPr>
        <w:t>отношении иностранцев со стороны должностных лиц по поддержанию правопорядка, обеспечению безотлагательного, тщательного, независимого и беспристрастного расследования всех подобных утверждений, а также судебного преследования и наказания лиц, виновных в совершении таких деяний.  Кроме того, он рекомендует государству-участнику надлежащим образом информировать иностранцев об их правах и об имеющихся средствах правовой защиты в случае их нарушений.  Комитет также рекомендует государству-участнику в своем следующем докладе представить подробную информацию о любых конкретных учебных программах и курсах, проводимых для должностных лиц по поддержанию правопорядка, по вопросам прав человека, положениям Конвенции и их применению.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наличие механизмов правовой помощи, Комитет вместе с тем выражает обеспокоенность по поводу трудностей, связанных с доступом к правосудию, особенно для лиц из наиболее обездоленных и неимущих этнических групп, включая коренные народы, и прежде всего тех, кто не владеет такими языками, как английский и африкаанс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ru-RU"/>
        </w:rPr>
        <w:t>а) и статья 6).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принять необходимые меры для обеспечения доступа к правосудию, в том числе за счет использования других официальных языков, помимо английского и африкаанс, а также учредить механизмы по совершенствованию предоставления правовой помощи всем лицам, принадлежащим к обездоленным и неимущим этническим группам.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отсутствие информации, касающейся судебных дел о расовой дискриминации в государстве-участнике (статья</w:t>
      </w:r>
      <w:r>
        <w:t> </w:t>
      </w:r>
      <w:r>
        <w:rPr>
          <w:lang w:val="ru-RU"/>
        </w:rPr>
        <w:t>6).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предлагает государству-участнику включить в свой следующий периодический доклад статистическую информацию о случаях возбуждения уголовного преследования и о назначенных наказаниях за совершение правонарушений, связанных с расовой дискриминацией, а также о случаях применения соответствующих положений действующего внутреннего законодательства.  Комитет напоминает, что сам по себе факт отсутствия жалоб и судебных исков со стороны жертв расовой дискриминации может в значительной степени указывать на отсутствие соответствующего конкретного законодательства, на отсутствие осведомленности о наличии средств правовой защиты либо на недостаточную решимость со стороны властей преследовать такие деяния.  Комитет просит государство-участник обеспечить во внутреннем законодательстве наличие соответствующих положений и проинформировать население о всех средствах правовой защиты в области расовой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наличие различных программ подготовки сотрудников системы отправления правосудия, Комитет вместе с тем выражает свою обеспокоенность по поводу выводов КПЧЮА в отношении недостатков в системе отправления правосудия (статьи</w:t>
      </w:r>
      <w:r>
        <w:t> </w:t>
      </w:r>
      <w:r>
        <w:rPr>
          <w:lang w:val="ru-RU"/>
        </w:rPr>
        <w:t>6 и 7).</w:t>
      </w:r>
    </w:p>
    <w:p w:rsidR="00000000" w:rsidRDefault="00000000">
      <w:pPr>
        <w:ind w:left="567" w:hanging="567"/>
        <w:rPr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С учетом своей общей рекомендации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31 (2005</w:t>
      </w:r>
      <w:r>
        <w:rPr>
          <w:b/>
          <w:bCs/>
        </w:rPr>
        <w:t> </w:t>
      </w:r>
      <w:r>
        <w:rPr>
          <w:b/>
          <w:bCs/>
          <w:lang w:val="ru-RU"/>
        </w:rPr>
        <w:t>год) о предупреждении расовой дискриминации в процессе отправления и функционирования системы уголовного правосудия Комитет рекомендует государству-участнику повысить эффективность мер по реформированию системы отправления правосудия и повышению осведомленности ее работников о положениях Конвенции и их применению.  Особое внимание может быть уделено конкретным вопросам, касающимся общин коренного населения.  Он также рекомендует государству-участнику представить подробную информацию о курсах подготовки, рассчитанных на сотрудников системы отправления правосудия, включая обучение свободному владению языками и повышение служебной квалификации.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проведение кампании "Дадим отпор ксенофобии", Комитет по</w:t>
      </w:r>
      <w:r>
        <w:rPr>
          <w:lang w:val="ru-RU"/>
        </w:rPr>
        <w:noBreakHyphen/>
        <w:t>прежнему обеспокоен сохранением ксенофобных настроений и формированием негативных стереотипов в отношениях с иностранцами, в том числе со стороны сотрудников правоохранительных органов и средств массовой информации, а также в связи с сообщениями о расистском поведении и предрассудках, в частности в школах и на фермах, и недостаточностью мер по недопущению и пресечению таких явлений (статья</w:t>
      </w:r>
      <w:r>
        <w:t> </w:t>
      </w:r>
      <w:r>
        <w:rPr>
          <w:lang w:val="ru-RU"/>
        </w:rPr>
        <w:t>7).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 xml:space="preserve">Комитет рекомендует государству-участнику повысить эффективность проводимых им мер по недопущению и пресечению ксенофобии и предрассудков, которые приводят к расовой дискриминации, а также представить информацию о принятых мерах по поощрению терпимости, в частности в сфере образования, а также посредством информационно-пропагандистских кампаний, в том числе в средствах массовой информации.  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Признавая факт принятия "Южно-африканского заявления тысячелетия по расизму и Программе действий", Комитет вместе с тем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Конвенции, в частности в отношении ее статей 2-7.  Он также рекомендует включить в следующий периодический доклад информацию о мерах, принятых в порядке осуществления Дурбанской декларации и Программы действий на национальном уровне.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просит обеспечить широкое распространение по всей стране доклада государства-участника и настоящих заключительных замечаний на соответствующих языках.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проводить консультации с организациями гражданского общества, занимающимися вопросами борьбы против расовой дискриминации, а также с КПЧЮА в связи с подготовкой следующего периодического доклада.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призывает государство-участник ратифицировать Международную конвенцию о защите прав всех трудящихся-мигрантов и членов их семей, а также Конвенцию МОТ №</w:t>
      </w:r>
      <w:r>
        <w:t> </w:t>
      </w:r>
      <w:r>
        <w:rPr>
          <w:lang w:val="ru-RU"/>
        </w:rPr>
        <w:t>169 о коренных народах и народах, ведущих племенной образ жизни в независимых странах.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настоятельно рекомендует государству-участнику ратифицировать поправки к пункту</w:t>
      </w:r>
      <w:r>
        <w:t> </w:t>
      </w:r>
      <w:r>
        <w:rPr>
          <w:lang w:val="ru-RU"/>
        </w:rPr>
        <w:t>6 статьи</w:t>
      </w:r>
      <w:r>
        <w:t> </w:t>
      </w:r>
      <w:r>
        <w:rPr>
          <w:lang w:val="ru-RU"/>
        </w:rPr>
        <w:t>8 Конвенции, принятые 15</w:t>
      </w:r>
      <w:r>
        <w:t> </w:t>
      </w:r>
      <w:r>
        <w:rPr>
          <w:lang w:val="ru-RU"/>
        </w:rPr>
        <w:t>января 1992</w:t>
      </w:r>
      <w:r>
        <w:t> </w:t>
      </w:r>
      <w:r>
        <w:rPr>
          <w:lang w:val="ru-RU"/>
        </w:rPr>
        <w:t>года на четырнадцатом Совещании государств - участников Конвенции и одобренные Генеральной Ассамблеей в ее резолюции</w:t>
      </w:r>
      <w:r>
        <w:t> </w:t>
      </w:r>
      <w:r>
        <w:rPr>
          <w:lang w:val="ru-RU"/>
        </w:rPr>
        <w:t>47/111 о финансировании ее совещаний из регулярного бюджета Организации Объединенных Наций.  В этой связи Комитет ссылается на резолюцию</w:t>
      </w:r>
      <w:r>
        <w:t> </w:t>
      </w:r>
      <w:r>
        <w:rPr>
          <w:lang w:val="ru-RU"/>
        </w:rPr>
        <w:t>59/176 Генеральной Ассамблеи от 20</w:t>
      </w:r>
      <w:r>
        <w:t> </w:t>
      </w:r>
      <w:r>
        <w:rPr>
          <w:lang w:val="ru-RU"/>
        </w:rPr>
        <w:t>декабря 2004</w:t>
      </w:r>
      <w:r>
        <w:t> </w:t>
      </w:r>
      <w:r>
        <w:rPr>
          <w:lang w:val="ru-RU"/>
        </w:rPr>
        <w:t>года, в которой Ассамблея настоятельно призывает государства-участники ускорить свои внутренние процедуры ратификации поправки и оперативно уведомить в письменном виде Генерального секретаря о своем согласии с ней.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В соответствии с пунктом</w:t>
      </w:r>
      <w:r>
        <w:t> </w:t>
      </w:r>
      <w:r>
        <w:rPr>
          <w:lang w:val="ru-RU"/>
        </w:rPr>
        <w:t>1 правила</w:t>
      </w:r>
      <w:r>
        <w:t> </w:t>
      </w:r>
      <w:r>
        <w:rPr>
          <w:lang w:val="ru-RU"/>
        </w:rPr>
        <w:t>65 правил процедуры Комитета государству-участнику следует в течение одного года представить информацию о принятых им мерах в связи с рекомендациями Комитета, содержащимися в пунктах</w:t>
      </w:r>
      <w:r>
        <w:t> </w:t>
      </w:r>
      <w:r>
        <w:rPr>
          <w:szCs w:val="24"/>
          <w:lang w:val="ru-RU"/>
        </w:rPr>
        <w:t xml:space="preserve">14, 16, 21 </w:t>
      </w:r>
      <w:r>
        <w:rPr>
          <w:lang w:val="ru-RU"/>
        </w:rPr>
        <w:t>и</w:t>
      </w:r>
      <w:r>
        <w:rPr>
          <w:szCs w:val="24"/>
          <w:lang w:val="ru-RU"/>
        </w:rPr>
        <w:t xml:space="preserve"> 27 </w:t>
      </w:r>
      <w:r>
        <w:rPr>
          <w:lang w:val="ru-RU"/>
        </w:rPr>
        <w:t>выше.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свои четвертый, пятый и шестой периодические доклады в едином документе к 9</w:t>
      </w:r>
      <w:r>
        <w:t> </w:t>
      </w:r>
      <w:r>
        <w:rPr>
          <w:lang w:val="ru-RU"/>
        </w:rPr>
        <w:t>января 2010</w:t>
      </w:r>
      <w:r>
        <w:t> </w:t>
      </w:r>
      <w:r>
        <w:rPr>
          <w:lang w:val="ru-RU"/>
        </w:rPr>
        <w:t>года и отразить в нем все вопросы, затронутые в настоящих заключительных замечаниях.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- - 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440" w:bottom="1440" w:left="1440" w:header="1021" w:footer="8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fldSimple w:instr=" FILLIN &quot;Symbol&quot; \* MERGEFORMAT ">
      <w:r>
        <w:t>CERD/</w:t>
      </w:r>
    </w:fldSimple>
    <w:r>
      <w:t>C/ZAF/CO/3</w:t>
    </w:r>
    <w:r>
      <w:br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ab/>
    </w:r>
    <w:r>
      <w:tab/>
    </w:r>
    <w:fldSimple w:instr=" FILLIN &quot;Symbol&quot; \* MERGEFORMAT ">
      <w:r>
        <w:t>CERD/</w:t>
      </w:r>
    </w:fldSimple>
    <w:r>
      <w:t>C/ZAF/CO/3</w:t>
    </w:r>
    <w:r>
      <w:br/>
    </w:r>
    <w:r>
      <w:tab/>
      <w:t xml:space="preserve">                                                                                         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51AA"/>
    <w:multiLevelType w:val="hybridMultilevel"/>
    <w:tmpl w:val="1C44C1E8"/>
    <w:lvl w:ilvl="0" w:tplc="D06692FA">
      <w:start w:val="39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BA6A54"/>
    <w:multiLevelType w:val="hybridMultilevel"/>
    <w:tmpl w:val="7DBE7E68"/>
    <w:lvl w:ilvl="0" w:tplc="1F401FE8">
      <w:start w:val="40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932F5"/>
    <w:multiLevelType w:val="hybridMultilevel"/>
    <w:tmpl w:val="9DA43E3A"/>
    <w:lvl w:ilvl="0" w:tplc="8EB079AE">
      <w:start w:val="38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D40724"/>
    <w:multiLevelType w:val="hybridMultilevel"/>
    <w:tmpl w:val="C40698AA"/>
    <w:lvl w:ilvl="0" w:tplc="DDD6F78E">
      <w:start w:val="40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8F2101"/>
    <w:multiLevelType w:val="hybridMultilevel"/>
    <w:tmpl w:val="96A27234"/>
    <w:lvl w:ilvl="0" w:tplc="7A2A1E10">
      <w:start w:val="38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BF2F93"/>
    <w:multiLevelType w:val="hybridMultilevel"/>
    <w:tmpl w:val="63287A6C"/>
    <w:lvl w:ilvl="0" w:tplc="2190FD98">
      <w:start w:val="38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CF1CEA"/>
    <w:multiLevelType w:val="hybridMultilevel"/>
    <w:tmpl w:val="19505A34"/>
    <w:lvl w:ilvl="0" w:tplc="64D0E064">
      <w:start w:val="39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116F8E"/>
    <w:multiLevelType w:val="hybridMultilevel"/>
    <w:tmpl w:val="DE1C8024"/>
    <w:lvl w:ilvl="0" w:tplc="11180A2E">
      <w:start w:val="39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A84CB0"/>
    <w:multiLevelType w:val="hybridMultilevel"/>
    <w:tmpl w:val="49E684C2"/>
    <w:lvl w:ilvl="0" w:tplc="5FCEFB74">
      <w:start w:val="37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B204F0"/>
    <w:multiLevelType w:val="hybridMultilevel"/>
    <w:tmpl w:val="15804854"/>
    <w:lvl w:ilvl="0" w:tplc="20048AB8">
      <w:start w:val="37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0B0593"/>
    <w:multiLevelType w:val="hybridMultilevel"/>
    <w:tmpl w:val="04128054"/>
    <w:lvl w:ilvl="0" w:tplc="75C0D3A6">
      <w:start w:val="38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B940A8"/>
    <w:multiLevelType w:val="hybridMultilevel"/>
    <w:tmpl w:val="3E2CAEE6"/>
    <w:lvl w:ilvl="0" w:tplc="10609C64">
      <w:start w:val="40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300A5A"/>
    <w:multiLevelType w:val="hybridMultilevel"/>
    <w:tmpl w:val="7F40257C"/>
    <w:lvl w:ilvl="0" w:tplc="12C0CCEE">
      <w:start w:val="39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F45AAB"/>
    <w:multiLevelType w:val="hybridMultilevel"/>
    <w:tmpl w:val="93105576"/>
    <w:lvl w:ilvl="0" w:tplc="DB9EC70C">
      <w:start w:val="40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B12E57"/>
    <w:multiLevelType w:val="hybridMultilevel"/>
    <w:tmpl w:val="1D2EAF9E"/>
    <w:lvl w:ilvl="0" w:tplc="00E81C82">
      <w:start w:val="39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4E0F3F"/>
    <w:multiLevelType w:val="hybridMultilevel"/>
    <w:tmpl w:val="7B68C71A"/>
    <w:lvl w:ilvl="0" w:tplc="9E28DDB8">
      <w:start w:val="39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C85167"/>
    <w:multiLevelType w:val="hybridMultilevel"/>
    <w:tmpl w:val="508448A6"/>
    <w:lvl w:ilvl="0" w:tplc="A6A21DE6">
      <w:start w:val="38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10F3D"/>
    <w:multiLevelType w:val="hybridMultilevel"/>
    <w:tmpl w:val="9FE82462"/>
    <w:lvl w:ilvl="0" w:tplc="E1A62AF0">
      <w:start w:val="40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32279D"/>
    <w:multiLevelType w:val="hybridMultilevel"/>
    <w:tmpl w:val="3A66B06C"/>
    <w:lvl w:ilvl="0" w:tplc="BAE8F128">
      <w:start w:val="38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DF4FEC"/>
    <w:multiLevelType w:val="hybridMultilevel"/>
    <w:tmpl w:val="9A148938"/>
    <w:lvl w:ilvl="0" w:tplc="5D1216D8">
      <w:start w:val="40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0355FC"/>
    <w:multiLevelType w:val="hybridMultilevel"/>
    <w:tmpl w:val="018A6B0E"/>
    <w:lvl w:ilvl="0" w:tplc="8208FC98">
      <w:start w:val="38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4866C8"/>
    <w:multiLevelType w:val="hybridMultilevel"/>
    <w:tmpl w:val="5628C198"/>
    <w:lvl w:ilvl="0" w:tplc="5EE2A0B2">
      <w:start w:val="38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C430A7"/>
    <w:multiLevelType w:val="hybridMultilevel"/>
    <w:tmpl w:val="BB9CD290"/>
    <w:lvl w:ilvl="0" w:tplc="88C6BA26">
      <w:start w:val="4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080F9F"/>
    <w:multiLevelType w:val="hybridMultilevel"/>
    <w:tmpl w:val="DEE0EE5E"/>
    <w:lvl w:ilvl="0" w:tplc="B9F219C4">
      <w:start w:val="40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7552D5"/>
    <w:multiLevelType w:val="hybridMultilevel"/>
    <w:tmpl w:val="914474EC"/>
    <w:lvl w:ilvl="0" w:tplc="E0386BCA">
      <w:start w:val="39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74C0D"/>
    <w:multiLevelType w:val="hybridMultilevel"/>
    <w:tmpl w:val="3368699A"/>
    <w:lvl w:ilvl="0" w:tplc="F36E4A6A">
      <w:start w:val="38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4D200C"/>
    <w:multiLevelType w:val="hybridMultilevel"/>
    <w:tmpl w:val="67B041DC"/>
    <w:lvl w:ilvl="0" w:tplc="E6CCCABE">
      <w:start w:val="40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F937F8"/>
    <w:multiLevelType w:val="hybridMultilevel"/>
    <w:tmpl w:val="86C00C12"/>
    <w:lvl w:ilvl="0" w:tplc="D0AAA0C8">
      <w:start w:val="40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B0A5876"/>
    <w:multiLevelType w:val="hybridMultilevel"/>
    <w:tmpl w:val="BDF05768"/>
    <w:lvl w:ilvl="0" w:tplc="D88026D2">
      <w:start w:val="39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DC5188"/>
    <w:multiLevelType w:val="hybridMultilevel"/>
    <w:tmpl w:val="2C60B248"/>
    <w:lvl w:ilvl="0" w:tplc="C360EFAC">
      <w:start w:val="40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6D93"/>
    <w:multiLevelType w:val="hybridMultilevel"/>
    <w:tmpl w:val="13D67FD8"/>
    <w:lvl w:ilvl="0" w:tplc="C5A4C918">
      <w:start w:val="37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53F5D13"/>
    <w:multiLevelType w:val="hybridMultilevel"/>
    <w:tmpl w:val="BBDA444A"/>
    <w:lvl w:ilvl="0" w:tplc="92F8C66C">
      <w:start w:val="38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B20F3F"/>
    <w:multiLevelType w:val="hybridMultilevel"/>
    <w:tmpl w:val="21727F06"/>
    <w:lvl w:ilvl="0" w:tplc="14A09984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D36C78"/>
    <w:multiLevelType w:val="hybridMultilevel"/>
    <w:tmpl w:val="FCA4A9D2"/>
    <w:lvl w:ilvl="0" w:tplc="CB0C27C4">
      <w:start w:val="39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AC31BA"/>
    <w:multiLevelType w:val="hybridMultilevel"/>
    <w:tmpl w:val="FF48188A"/>
    <w:lvl w:ilvl="0" w:tplc="FDF8D05C">
      <w:start w:val="39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8"/>
  </w:num>
  <w:num w:numId="4">
    <w:abstractNumId w:val="9"/>
  </w:num>
  <w:num w:numId="5">
    <w:abstractNumId w:val="10"/>
  </w:num>
  <w:num w:numId="6">
    <w:abstractNumId w:val="31"/>
  </w:num>
  <w:num w:numId="7">
    <w:abstractNumId w:val="18"/>
  </w:num>
  <w:num w:numId="8">
    <w:abstractNumId w:val="25"/>
  </w:num>
  <w:num w:numId="9">
    <w:abstractNumId w:val="21"/>
  </w:num>
  <w:num w:numId="10">
    <w:abstractNumId w:val="20"/>
  </w:num>
  <w:num w:numId="11">
    <w:abstractNumId w:val="5"/>
  </w:num>
  <w:num w:numId="12">
    <w:abstractNumId w:val="2"/>
  </w:num>
  <w:num w:numId="13">
    <w:abstractNumId w:val="16"/>
  </w:num>
  <w:num w:numId="14">
    <w:abstractNumId w:val="4"/>
  </w:num>
  <w:num w:numId="15">
    <w:abstractNumId w:val="12"/>
  </w:num>
  <w:num w:numId="16">
    <w:abstractNumId w:val="28"/>
  </w:num>
  <w:num w:numId="17">
    <w:abstractNumId w:val="24"/>
  </w:num>
  <w:num w:numId="18">
    <w:abstractNumId w:val="7"/>
  </w:num>
  <w:num w:numId="19">
    <w:abstractNumId w:val="6"/>
  </w:num>
  <w:num w:numId="20">
    <w:abstractNumId w:val="14"/>
  </w:num>
  <w:num w:numId="21">
    <w:abstractNumId w:val="33"/>
  </w:num>
  <w:num w:numId="22">
    <w:abstractNumId w:val="15"/>
  </w:num>
  <w:num w:numId="23">
    <w:abstractNumId w:val="34"/>
  </w:num>
  <w:num w:numId="24">
    <w:abstractNumId w:val="0"/>
  </w:num>
  <w:num w:numId="25">
    <w:abstractNumId w:val="13"/>
  </w:num>
  <w:num w:numId="26">
    <w:abstractNumId w:val="17"/>
  </w:num>
  <w:num w:numId="27">
    <w:abstractNumId w:val="1"/>
  </w:num>
  <w:num w:numId="28">
    <w:abstractNumId w:val="3"/>
  </w:num>
  <w:num w:numId="29">
    <w:abstractNumId w:val="11"/>
  </w:num>
  <w:num w:numId="30">
    <w:abstractNumId w:val="23"/>
  </w:num>
  <w:num w:numId="31">
    <w:abstractNumId w:val="29"/>
  </w:num>
  <w:num w:numId="32">
    <w:abstractNumId w:val="27"/>
  </w:num>
  <w:num w:numId="33">
    <w:abstractNumId w:val="19"/>
  </w:num>
  <w:num w:numId="34">
    <w:abstractNumId w:val="2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2803</Words>
  <Characters>15978</Characters>
  <Application>Microsoft Office Word</Application>
  <DocSecurity>4</DocSecurity>
  <Lines>133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19622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2006-10-23T08:01:00Z</cp:lastPrinted>
  <dcterms:created xsi:type="dcterms:W3CDTF">2006-10-20T12:52:00Z</dcterms:created>
  <dcterms:modified xsi:type="dcterms:W3CDTF">2006-10-23T08:01:00Z</dcterms:modified>
</cp:coreProperties>
</file>