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8F729B" w14:paraId="12C626C5" w14:textId="77777777" w:rsidTr="00E866BF">
        <w:trPr>
          <w:trHeight w:hRule="exact" w:val="851"/>
        </w:trPr>
        <w:tc>
          <w:tcPr>
            <w:tcW w:w="1274" w:type="dxa"/>
            <w:tcBorders>
              <w:bottom w:val="single" w:sz="4" w:space="0" w:color="auto"/>
            </w:tcBorders>
          </w:tcPr>
          <w:p w14:paraId="17717B20" w14:textId="77777777" w:rsidR="006B3E27" w:rsidRPr="008F729B" w:rsidRDefault="006B3E27" w:rsidP="00ED3AF2">
            <w:pPr>
              <w:kinsoku w:val="0"/>
              <w:overflowPunct w:val="0"/>
              <w:autoSpaceDE w:val="0"/>
              <w:autoSpaceDN w:val="0"/>
              <w:adjustRightInd w:val="0"/>
              <w:snapToGrid w:val="0"/>
              <w:spacing w:after="80" w:line="480" w:lineRule="exact"/>
              <w:jc w:val="left"/>
              <w:rPr>
                <w:rFonts w:hint="cs"/>
                <w:szCs w:val="40"/>
              </w:rPr>
            </w:pPr>
          </w:p>
        </w:tc>
        <w:tc>
          <w:tcPr>
            <w:tcW w:w="4679" w:type="dxa"/>
            <w:tcBorders>
              <w:bottom w:val="single" w:sz="4" w:space="0" w:color="auto"/>
            </w:tcBorders>
            <w:vAlign w:val="bottom"/>
          </w:tcPr>
          <w:p w14:paraId="778D3D88" w14:textId="77777777" w:rsidR="006B3E27" w:rsidRPr="008F729B" w:rsidRDefault="006B3E27" w:rsidP="00E866BF">
            <w:pPr>
              <w:spacing w:after="80" w:line="480" w:lineRule="exact"/>
              <w:ind w:left="57"/>
              <w:jc w:val="left"/>
              <w:rPr>
                <w:sz w:val="30"/>
                <w:szCs w:val="30"/>
                <w:rtl/>
              </w:rPr>
            </w:pPr>
            <w:r w:rsidRPr="008F729B">
              <w:rPr>
                <w:rFonts w:hint="cs"/>
                <w:sz w:val="30"/>
                <w:szCs w:val="30"/>
                <w:rtl/>
              </w:rPr>
              <w:t>الأمم المتحدة</w:t>
            </w:r>
          </w:p>
        </w:tc>
        <w:tc>
          <w:tcPr>
            <w:tcW w:w="3686" w:type="dxa"/>
            <w:tcBorders>
              <w:bottom w:val="single" w:sz="4" w:space="0" w:color="auto"/>
            </w:tcBorders>
            <w:vAlign w:val="bottom"/>
          </w:tcPr>
          <w:p w14:paraId="007E927B" w14:textId="77D5DC0F" w:rsidR="006B3E27" w:rsidRPr="000F3CA7" w:rsidRDefault="000F3CA7" w:rsidP="000F3CA7">
            <w:pPr>
              <w:bidi w:val="0"/>
              <w:jc w:val="left"/>
            </w:pPr>
            <w:r w:rsidRPr="00012F60">
              <w:rPr>
                <w:sz w:val="40"/>
              </w:rPr>
              <w:t>CED</w:t>
            </w:r>
            <w:r w:rsidRPr="00012F60">
              <w:t>/C/MLI/CO/</w:t>
            </w:r>
            <w:r w:rsidRPr="00C806DC">
              <w:t>1</w:t>
            </w:r>
          </w:p>
        </w:tc>
      </w:tr>
      <w:tr w:rsidR="006B3E27" w:rsidRPr="008F729B" w14:paraId="638036C1" w14:textId="77777777" w:rsidTr="00E866BF">
        <w:trPr>
          <w:trHeight w:hRule="exact" w:val="2835"/>
        </w:trPr>
        <w:tc>
          <w:tcPr>
            <w:tcW w:w="1274" w:type="dxa"/>
            <w:tcBorders>
              <w:top w:val="single" w:sz="4" w:space="0" w:color="auto"/>
              <w:bottom w:val="single" w:sz="12" w:space="0" w:color="auto"/>
            </w:tcBorders>
          </w:tcPr>
          <w:p w14:paraId="56C9FBE1" w14:textId="77777777" w:rsidR="006B3E27" w:rsidRPr="008F729B" w:rsidRDefault="0059622A" w:rsidP="008F729B">
            <w:pPr>
              <w:jc w:val="center"/>
              <w:rPr>
                <w:rtl/>
              </w:rPr>
            </w:pPr>
            <w:r w:rsidRPr="008F729B">
              <w:rPr>
                <w:noProof/>
              </w:rPr>
              <w:drawing>
                <wp:inline distT="0" distB="0" distL="0" distR="0" wp14:anchorId="3F9FC83E" wp14:editId="6FD1C504">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1DD0C171" w14:textId="77777777" w:rsidR="006B3E27" w:rsidRPr="00C806DC" w:rsidRDefault="004E1586" w:rsidP="00E866BF">
            <w:pPr>
              <w:spacing w:before="160" w:after="40" w:line="560" w:lineRule="exact"/>
              <w:ind w:left="57"/>
              <w:jc w:val="left"/>
              <w:rPr>
                <w:b/>
                <w:bCs/>
                <w:sz w:val="44"/>
                <w:szCs w:val="44"/>
                <w:rtl/>
              </w:rPr>
            </w:pPr>
            <w:r w:rsidRPr="00C806DC">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753A6E6A" w14:textId="10B26DB3" w:rsidR="006A69CA" w:rsidRDefault="000F3CA7" w:rsidP="008F729B">
            <w:pPr>
              <w:bidi w:val="0"/>
              <w:spacing w:before="240"/>
              <w:jc w:val="left"/>
            </w:pPr>
            <w:r>
              <w:t>Dist</w:t>
            </w:r>
            <w:r w:rsidR="00012F60" w:rsidRPr="00012F60">
              <w:t>r.:</w:t>
            </w:r>
            <w:r>
              <w:t xml:space="preserve"> General</w:t>
            </w:r>
          </w:p>
          <w:p w14:paraId="7C9C4334" w14:textId="5B41E91E" w:rsidR="000F3CA7" w:rsidRDefault="00675E34" w:rsidP="000F3CA7">
            <w:pPr>
              <w:bidi w:val="0"/>
              <w:spacing w:line="240" w:lineRule="exact"/>
              <w:jc w:val="left"/>
            </w:pPr>
            <w:r w:rsidRPr="00C806DC">
              <w:t>4</w:t>
            </w:r>
            <w:r>
              <w:t xml:space="preserve"> October </w:t>
            </w:r>
            <w:r w:rsidRPr="00C806DC">
              <w:t>2022</w:t>
            </w:r>
          </w:p>
          <w:p w14:paraId="02C17B74" w14:textId="77777777" w:rsidR="000F3CA7" w:rsidRDefault="000F3CA7" w:rsidP="000F3CA7">
            <w:pPr>
              <w:bidi w:val="0"/>
              <w:spacing w:line="240" w:lineRule="exact"/>
              <w:jc w:val="left"/>
            </w:pPr>
            <w:r>
              <w:t>Arabic</w:t>
            </w:r>
          </w:p>
          <w:p w14:paraId="6C99CDFC" w14:textId="53DBC326" w:rsidR="000F3CA7" w:rsidRPr="000F3CA7" w:rsidRDefault="000F3CA7" w:rsidP="000F3CA7">
            <w:pPr>
              <w:bidi w:val="0"/>
              <w:spacing w:line="240" w:lineRule="exact"/>
              <w:jc w:val="left"/>
            </w:pPr>
            <w:r>
              <w:t>Origina</w:t>
            </w:r>
            <w:r w:rsidR="00012F60" w:rsidRPr="00012F60">
              <w:t xml:space="preserve">l: </w:t>
            </w:r>
            <w:r w:rsidR="00765DBD">
              <w:t>French</w:t>
            </w:r>
          </w:p>
        </w:tc>
      </w:tr>
    </w:tbl>
    <w:p w14:paraId="1E0EB16F" w14:textId="77777777" w:rsidR="00B672BA" w:rsidRPr="00C806DC" w:rsidRDefault="00B672BA" w:rsidP="00FC678A">
      <w:pPr>
        <w:spacing w:before="120" w:after="120" w:line="360" w:lineRule="exact"/>
        <w:textDirection w:val="tbRlV"/>
        <w:rPr>
          <w:b/>
          <w:sz w:val="26"/>
          <w:szCs w:val="26"/>
          <w:lang w:val="ar-SA" w:eastAsia="zh-TW" w:bidi="en-GB"/>
        </w:rPr>
      </w:pPr>
      <w:r w:rsidRPr="00C806DC">
        <w:rPr>
          <w:b/>
          <w:bCs/>
          <w:sz w:val="26"/>
          <w:szCs w:val="26"/>
          <w:rtl/>
        </w:rPr>
        <w:t>اللجنة المعنية بحالات الاختفاء القسري</w:t>
      </w:r>
    </w:p>
    <w:p w14:paraId="34B9AA25" w14:textId="65CEA89C" w:rsidR="00B672BA" w:rsidRPr="00C806DC" w:rsidRDefault="00B672BA" w:rsidP="00EC166D">
      <w:pPr>
        <w:pStyle w:val="HChGA"/>
        <w:rPr>
          <w:rtl/>
          <w:lang w:val="en-US" w:eastAsia="zh-TW"/>
        </w:rPr>
      </w:pPr>
      <w:r w:rsidRPr="00C806DC">
        <w:rPr>
          <w:rtl/>
        </w:rPr>
        <w:tab/>
      </w:r>
      <w:r w:rsidRPr="00C806DC">
        <w:rPr>
          <w:rtl/>
        </w:rPr>
        <w:tab/>
        <w:t>الملاحظات الختامية بشأن التقرير المقدم من مالي بموجب الفقرة 1 من المادة 29 من الاتفاقية</w:t>
      </w:r>
      <w:r w:rsidRPr="00C806DC">
        <w:rPr>
          <w:sz w:val="24"/>
          <w:szCs w:val="24"/>
          <w:rtl/>
        </w:rPr>
        <w:footnoteReference w:customMarkFollows="1" w:id="1"/>
        <w:t>*</w:t>
      </w:r>
    </w:p>
    <w:p w14:paraId="51C11778" w14:textId="0DB80D3D" w:rsidR="00B672BA" w:rsidRPr="008F0655" w:rsidRDefault="00B672BA" w:rsidP="00EC166D">
      <w:pPr>
        <w:pStyle w:val="SingleTxtGA"/>
        <w:rPr>
          <w:lang w:val="ar-SA" w:eastAsia="zh-TW" w:bidi="en-GB"/>
        </w:rPr>
      </w:pPr>
      <w:r w:rsidRPr="00C806DC">
        <w:rPr>
          <w:rtl/>
        </w:rPr>
        <w:t>1</w:t>
      </w:r>
      <w:r w:rsidRPr="008F0655">
        <w:rPr>
          <w:rFonts w:ascii="Traditional Arabic"/>
          <w:rtl/>
        </w:rPr>
        <w:t>-</w:t>
      </w:r>
      <w:r w:rsidRPr="008F0655">
        <w:rPr>
          <w:rtl/>
        </w:rPr>
        <w:tab/>
        <w:t xml:space="preserve">نظرت اللجنة المعنية بحالات الاختفاء القسري في التقرير المقدم من مالي بموجب الفقرة </w:t>
      </w:r>
      <w:r w:rsidRPr="00C806DC">
        <w:rPr>
          <w:rtl/>
        </w:rPr>
        <w:t>1</w:t>
      </w:r>
      <w:r w:rsidRPr="008F0655">
        <w:rPr>
          <w:rtl/>
        </w:rPr>
        <w:t xml:space="preserve"> من المادة </w:t>
      </w:r>
      <w:r w:rsidRPr="00C806DC">
        <w:rPr>
          <w:rtl/>
        </w:rPr>
        <w:t>29</w:t>
      </w:r>
      <w:r w:rsidRPr="008F0655">
        <w:rPr>
          <w:rtl/>
        </w:rPr>
        <w:t xml:space="preserve"> من الاتفاقية</w:t>
      </w:r>
      <w:r w:rsidR="00012F60">
        <w:rPr>
          <w:rStyle w:val="FootnoteReference"/>
          <w:sz w:val="28"/>
          <w:rtl/>
        </w:rPr>
        <w:t>(</w:t>
      </w:r>
      <w:r w:rsidR="00012F60" w:rsidRPr="00C806DC">
        <w:rPr>
          <w:rStyle w:val="FootnoteReference"/>
          <w:sz w:val="28"/>
          <w:lang w:val="en-US"/>
        </w:rPr>
        <w:footnoteReference w:id="2"/>
      </w:r>
      <w:r w:rsidR="003366B1">
        <w:rPr>
          <w:rStyle w:val="FootnoteReference"/>
          <w:sz w:val="28"/>
          <w:rtl/>
        </w:rPr>
        <w:t>)</w:t>
      </w:r>
      <w:r w:rsidR="00B950F3">
        <w:rPr>
          <w:rFonts w:hint="cs"/>
          <w:rtl/>
        </w:rPr>
        <w:t xml:space="preserve"> </w:t>
      </w:r>
      <w:r w:rsidRPr="008F0655">
        <w:rPr>
          <w:rtl/>
        </w:rPr>
        <w:t xml:space="preserve">في جلستيها </w:t>
      </w:r>
      <w:r w:rsidRPr="00C806DC">
        <w:rPr>
          <w:rtl/>
        </w:rPr>
        <w:t>403</w:t>
      </w:r>
      <w:r w:rsidRPr="008F0655">
        <w:rPr>
          <w:rtl/>
        </w:rPr>
        <w:t xml:space="preserve"> و</w:t>
      </w:r>
      <w:r w:rsidRPr="00C806DC">
        <w:rPr>
          <w:rtl/>
        </w:rPr>
        <w:t>404</w:t>
      </w:r>
      <w:r w:rsidR="00012F60">
        <w:rPr>
          <w:rStyle w:val="FootnoteReference"/>
          <w:sz w:val="28"/>
          <w:rtl/>
        </w:rPr>
        <w:t>(</w:t>
      </w:r>
      <w:r w:rsidR="00012F60" w:rsidRPr="00C806DC">
        <w:rPr>
          <w:rStyle w:val="FootnoteReference"/>
          <w:sz w:val="28"/>
          <w:lang w:val="en-US"/>
        </w:rPr>
        <w:footnoteReference w:id="3"/>
      </w:r>
      <w:r w:rsidR="003366B1">
        <w:rPr>
          <w:rStyle w:val="FootnoteReference"/>
          <w:sz w:val="28"/>
          <w:rtl/>
        </w:rPr>
        <w:t>)</w:t>
      </w:r>
      <w:r w:rsidR="00737C1F">
        <w:rPr>
          <w:rtl/>
        </w:rPr>
        <w:t xml:space="preserve"> </w:t>
      </w:r>
      <w:r w:rsidRPr="008F0655">
        <w:rPr>
          <w:rtl/>
        </w:rPr>
        <w:t xml:space="preserve">المعقودتين في </w:t>
      </w:r>
      <w:r w:rsidRPr="00C806DC">
        <w:rPr>
          <w:rtl/>
        </w:rPr>
        <w:t>12</w:t>
      </w:r>
      <w:r w:rsidRPr="008F0655">
        <w:rPr>
          <w:rtl/>
        </w:rPr>
        <w:t xml:space="preserve"> و</w:t>
      </w:r>
      <w:r w:rsidRPr="00C806DC">
        <w:rPr>
          <w:rtl/>
        </w:rPr>
        <w:t>13</w:t>
      </w:r>
      <w:r w:rsidRPr="008F0655">
        <w:rPr>
          <w:rtl/>
        </w:rPr>
        <w:t xml:space="preserve"> أيلول/سبتمبر </w:t>
      </w:r>
      <w:r w:rsidRPr="00C806DC">
        <w:rPr>
          <w:rtl/>
        </w:rPr>
        <w:t>202</w:t>
      </w:r>
      <w:r w:rsidR="00012F60" w:rsidRPr="00C806DC">
        <w:rPr>
          <w:rtl/>
        </w:rPr>
        <w:t>2</w:t>
      </w:r>
      <w:r w:rsidR="00012F60" w:rsidRPr="00012F60">
        <w:rPr>
          <w:rFonts w:ascii="Traditional Arabic"/>
          <w:rtl/>
        </w:rPr>
        <w:t>.</w:t>
      </w:r>
      <w:r w:rsidR="00012F60" w:rsidRPr="00012F60">
        <w:rPr>
          <w:rtl/>
        </w:rPr>
        <w:t xml:space="preserve"> </w:t>
      </w:r>
      <w:r w:rsidRPr="008F0655">
        <w:rPr>
          <w:rtl/>
        </w:rPr>
        <w:t xml:space="preserve">واعتمدت في جلستها </w:t>
      </w:r>
      <w:r w:rsidRPr="00C806DC">
        <w:rPr>
          <w:rtl/>
        </w:rPr>
        <w:t>418</w:t>
      </w:r>
      <w:r w:rsidRPr="008F0655">
        <w:rPr>
          <w:rtl/>
        </w:rPr>
        <w:t xml:space="preserve"> المعقودة في </w:t>
      </w:r>
      <w:r w:rsidRPr="00C806DC">
        <w:rPr>
          <w:rtl/>
        </w:rPr>
        <w:t>22</w:t>
      </w:r>
      <w:r w:rsidRPr="008F0655">
        <w:rPr>
          <w:rtl/>
        </w:rPr>
        <w:t xml:space="preserve"> أيلول/سبتمبر </w:t>
      </w:r>
      <w:r w:rsidRPr="00C806DC">
        <w:rPr>
          <w:rtl/>
        </w:rPr>
        <w:t>2022</w:t>
      </w:r>
      <w:r w:rsidRPr="008F0655">
        <w:rPr>
          <w:rtl/>
        </w:rPr>
        <w:t xml:space="preserve"> هذه الملاحظات الختامية.</w:t>
      </w:r>
    </w:p>
    <w:p w14:paraId="77AE421D" w14:textId="4B5F50F1" w:rsidR="00B672BA" w:rsidRPr="00C806DC" w:rsidRDefault="00EC166D" w:rsidP="00EC166D">
      <w:pPr>
        <w:pStyle w:val="H1GA"/>
        <w:rPr>
          <w:lang w:val="ar-SA" w:eastAsia="zh-TW" w:bidi="en-GB"/>
        </w:rPr>
      </w:pPr>
      <w:r w:rsidRPr="00C806DC">
        <w:rPr>
          <w:rtl/>
        </w:rPr>
        <w:tab/>
      </w:r>
      <w:r w:rsidR="00B672BA" w:rsidRPr="00C806DC">
        <w:rPr>
          <w:rtl/>
        </w:rPr>
        <w:t>ألف-</w:t>
      </w:r>
      <w:r w:rsidR="00B672BA" w:rsidRPr="00C806DC">
        <w:rPr>
          <w:rtl/>
        </w:rPr>
        <w:tab/>
        <w:t>مقدمة</w:t>
      </w:r>
    </w:p>
    <w:p w14:paraId="2E74B5AC" w14:textId="31747D78" w:rsidR="00012F60" w:rsidRPr="00012F60" w:rsidRDefault="00B672BA" w:rsidP="00EC166D">
      <w:pPr>
        <w:pStyle w:val="SingleTxtGA"/>
        <w:rPr>
          <w:spacing w:val="-4"/>
        </w:rPr>
      </w:pPr>
      <w:r w:rsidRPr="00C806DC">
        <w:rPr>
          <w:rtl/>
        </w:rPr>
        <w:t>2</w:t>
      </w:r>
      <w:r w:rsidRPr="008F0655">
        <w:rPr>
          <w:rFonts w:ascii="Traditional Arabic"/>
          <w:rtl/>
        </w:rPr>
        <w:t>-</w:t>
      </w:r>
      <w:r w:rsidRPr="008F0655">
        <w:rPr>
          <w:rtl/>
        </w:rPr>
        <w:tab/>
        <w:t xml:space="preserve">ترحب اللجنة بالتقرير الذي قدمته مالي بموجب الفقرة </w:t>
      </w:r>
      <w:r w:rsidRPr="00C806DC">
        <w:rPr>
          <w:rtl/>
        </w:rPr>
        <w:t>1</w:t>
      </w:r>
      <w:r w:rsidRPr="008F0655">
        <w:rPr>
          <w:rtl/>
        </w:rPr>
        <w:t xml:space="preserve"> من المادة </w:t>
      </w:r>
      <w:r w:rsidRPr="00C806DC">
        <w:rPr>
          <w:rtl/>
        </w:rPr>
        <w:t>29</w:t>
      </w:r>
      <w:r w:rsidRPr="008F0655">
        <w:rPr>
          <w:rtl/>
        </w:rPr>
        <w:t xml:space="preserve"> من الاتفاقية وفق</w:t>
      </w:r>
      <w:r w:rsidR="00737C1F">
        <w:rPr>
          <w:rtl/>
        </w:rPr>
        <w:t xml:space="preserve">اً </w:t>
      </w:r>
      <w:r w:rsidRPr="008F0655">
        <w:rPr>
          <w:rtl/>
        </w:rPr>
        <w:t xml:space="preserve">لمبادئها </w:t>
      </w:r>
      <w:r w:rsidRPr="003C0DA4">
        <w:rPr>
          <w:spacing w:val="-4"/>
          <w:rtl/>
        </w:rPr>
        <w:t>التوجيهية. وعلاوة على ذلك، تشكر اللجنة الدولة الطرف على ردودها الكتابية</w:t>
      </w:r>
      <w:r w:rsidR="00012F60">
        <w:rPr>
          <w:rStyle w:val="FootnoteReference"/>
          <w:spacing w:val="-4"/>
          <w:sz w:val="28"/>
          <w:rtl/>
        </w:rPr>
        <w:t>(</w:t>
      </w:r>
      <w:r w:rsidR="00012F60" w:rsidRPr="00C806DC">
        <w:rPr>
          <w:rStyle w:val="FootnoteReference"/>
          <w:spacing w:val="-4"/>
          <w:sz w:val="28"/>
          <w:lang w:val="en-US"/>
        </w:rPr>
        <w:footnoteReference w:id="4"/>
      </w:r>
      <w:r w:rsidR="003366B1" w:rsidRPr="003C0DA4">
        <w:rPr>
          <w:rStyle w:val="FootnoteReference"/>
          <w:spacing w:val="-4"/>
          <w:sz w:val="28"/>
          <w:rtl/>
        </w:rPr>
        <w:t>)</w:t>
      </w:r>
      <w:r w:rsidR="00E86EA8" w:rsidRPr="003C0DA4">
        <w:rPr>
          <w:rFonts w:hint="cs"/>
          <w:spacing w:val="-4"/>
          <w:rtl/>
        </w:rPr>
        <w:t xml:space="preserve"> </w:t>
      </w:r>
      <w:r w:rsidRPr="003C0DA4">
        <w:rPr>
          <w:spacing w:val="-4"/>
          <w:rtl/>
        </w:rPr>
        <w:t>على قائمة المسائل المحالة</w:t>
      </w:r>
      <w:r w:rsidR="00012F60">
        <w:rPr>
          <w:rStyle w:val="FootnoteReference"/>
          <w:spacing w:val="-4"/>
          <w:sz w:val="28"/>
          <w:rtl/>
        </w:rPr>
        <w:t>(</w:t>
      </w:r>
      <w:r w:rsidR="00012F60" w:rsidRPr="00C806DC">
        <w:rPr>
          <w:rStyle w:val="FootnoteReference"/>
          <w:spacing w:val="-4"/>
          <w:sz w:val="28"/>
          <w:lang w:val="en-US"/>
        </w:rPr>
        <w:footnoteReference w:id="5"/>
      </w:r>
      <w:r w:rsidR="00012F60" w:rsidRPr="00012F60">
        <w:rPr>
          <w:rStyle w:val="FootnoteReference"/>
          <w:spacing w:val="-4"/>
          <w:sz w:val="28"/>
          <w:rtl/>
        </w:rPr>
        <w:t>)</w:t>
      </w:r>
      <w:r w:rsidR="00012F60" w:rsidRPr="00012F60">
        <w:rPr>
          <w:rFonts w:hint="cs"/>
          <w:spacing w:val="-4"/>
          <w:rtl/>
        </w:rPr>
        <w:t>.</w:t>
      </w:r>
    </w:p>
    <w:p w14:paraId="5E15255F" w14:textId="4E6A4E4B" w:rsidR="00B672BA" w:rsidRPr="0072456F" w:rsidRDefault="00B672BA" w:rsidP="00EC166D">
      <w:pPr>
        <w:pStyle w:val="SingleTxtGA"/>
        <w:rPr>
          <w:spacing w:val="-4"/>
          <w:lang w:val="ar-SA" w:eastAsia="zh-TW" w:bidi="en-GB"/>
        </w:rPr>
      </w:pPr>
      <w:r w:rsidRPr="00C806DC">
        <w:rPr>
          <w:rtl/>
        </w:rPr>
        <w:t>3</w:t>
      </w:r>
      <w:r w:rsidRPr="008F0655">
        <w:rPr>
          <w:rFonts w:ascii="Traditional Arabic"/>
          <w:rtl/>
        </w:rPr>
        <w:t>-</w:t>
      </w:r>
      <w:r w:rsidRPr="008F0655">
        <w:rPr>
          <w:rtl/>
        </w:rPr>
        <w:tab/>
        <w:t>وترحب اللجنة أيض</w:t>
      </w:r>
      <w:r w:rsidR="00737C1F">
        <w:rPr>
          <w:rtl/>
        </w:rPr>
        <w:t xml:space="preserve">اً </w:t>
      </w:r>
      <w:r w:rsidRPr="008F0655">
        <w:rPr>
          <w:rtl/>
        </w:rPr>
        <w:t xml:space="preserve">بالحوار البناء الذي أجرته مع وفد الدولة الطرف بشأن التدابير المتخذة </w:t>
      </w:r>
      <w:r w:rsidRPr="0072456F">
        <w:rPr>
          <w:spacing w:val="-4"/>
          <w:rtl/>
        </w:rPr>
        <w:t>لتنفيذ أحكام الاتفاقية، وترحب بما تحلى به الوفد من صراحة في ردوده على الأسئلة المطروحة. وتشكر اللجنة الدولة الطرف على المعلومات التكميلية التي أتاحتها والتوضيحات التي قدمتها خلال المداخلات الشفوية.</w:t>
      </w:r>
    </w:p>
    <w:p w14:paraId="6C47956F" w14:textId="6A39FBE8" w:rsidR="00B672BA" w:rsidRPr="00C806DC" w:rsidRDefault="00EC166D" w:rsidP="00EC166D">
      <w:pPr>
        <w:pStyle w:val="H1GA"/>
        <w:rPr>
          <w:lang w:val="en-US" w:eastAsia="zh-TW" w:bidi="en-GB"/>
        </w:rPr>
      </w:pPr>
      <w:r w:rsidRPr="00C806DC">
        <w:rPr>
          <w:rtl/>
        </w:rPr>
        <w:tab/>
      </w:r>
      <w:r w:rsidR="00B672BA" w:rsidRPr="00C806DC">
        <w:rPr>
          <w:rtl/>
        </w:rPr>
        <w:t>باء-</w:t>
      </w:r>
      <w:r w:rsidR="00B672BA" w:rsidRPr="00C806DC">
        <w:rPr>
          <w:rtl/>
        </w:rPr>
        <w:tab/>
        <w:t>الجوانب الإيجابية</w:t>
      </w:r>
    </w:p>
    <w:p w14:paraId="113CC10F" w14:textId="77777777" w:rsidR="00B672BA" w:rsidRPr="00C806DC" w:rsidRDefault="00B672BA" w:rsidP="00EC166D">
      <w:pPr>
        <w:pStyle w:val="SingleTxtGA"/>
        <w:rPr>
          <w:bCs/>
          <w:spacing w:val="2"/>
          <w:lang w:val="ar-SA" w:eastAsia="zh-TW" w:bidi="en-GB"/>
        </w:rPr>
      </w:pPr>
      <w:r w:rsidRPr="00C806DC">
        <w:rPr>
          <w:spacing w:val="2"/>
          <w:rtl/>
        </w:rPr>
        <w:t>4</w:t>
      </w:r>
      <w:r w:rsidRPr="0072456F">
        <w:rPr>
          <w:rFonts w:ascii="Traditional Arabic"/>
          <w:spacing w:val="2"/>
          <w:rtl/>
        </w:rPr>
        <w:t>-</w:t>
      </w:r>
      <w:r w:rsidRPr="0072456F">
        <w:rPr>
          <w:spacing w:val="2"/>
          <w:rtl/>
        </w:rPr>
        <w:tab/>
        <w:t xml:space="preserve">تنظر اللجنة بعين الرضا إلى انضمام الدولة الطرف إلى جل الصكوك الدولية لحقوق الإنسان، بما في ذلك عدة بروتوكولات اختيارية ملحقة بها، </w:t>
      </w:r>
      <w:r w:rsidRPr="0072456F">
        <w:rPr>
          <w:rFonts w:hint="cs"/>
          <w:spacing w:val="2"/>
          <w:rtl/>
        </w:rPr>
        <w:t>وتصديقها</w:t>
      </w:r>
      <w:r w:rsidRPr="0072456F">
        <w:rPr>
          <w:spacing w:val="2"/>
          <w:rtl/>
        </w:rPr>
        <w:t xml:space="preserve"> على نظام روما الأساسي للمحكمة الجنائية الدولية.</w:t>
      </w:r>
    </w:p>
    <w:p w14:paraId="62C70821" w14:textId="77777777" w:rsidR="00B672BA" w:rsidRPr="00C806DC" w:rsidRDefault="00B672BA" w:rsidP="00EC166D">
      <w:pPr>
        <w:pStyle w:val="SingleTxtGA"/>
        <w:rPr>
          <w:bCs/>
          <w:lang w:val="ar-SA" w:eastAsia="zh-TW" w:bidi="en-GB"/>
        </w:rPr>
      </w:pPr>
      <w:r w:rsidRPr="00C806DC">
        <w:rPr>
          <w:rtl/>
        </w:rPr>
        <w:t>5</w:t>
      </w:r>
      <w:r w:rsidRPr="008F0655">
        <w:rPr>
          <w:rFonts w:ascii="Traditional Arabic"/>
          <w:rtl/>
        </w:rPr>
        <w:t>-</w:t>
      </w:r>
      <w:r w:rsidRPr="008F0655">
        <w:rPr>
          <w:rtl/>
        </w:rPr>
        <w:tab/>
        <w:t xml:space="preserve">وترحب اللجنة باعتراف الدولة الطرف باختصاص اللجنة بتلقي وبحث البلاغات المقدمة من الأفراد أو من دولة ضد أخرى، بموجب المادتين </w:t>
      </w:r>
      <w:r w:rsidRPr="00C806DC">
        <w:rPr>
          <w:rtl/>
        </w:rPr>
        <w:t>31</w:t>
      </w:r>
      <w:r w:rsidRPr="008F0655">
        <w:rPr>
          <w:rtl/>
        </w:rPr>
        <w:t xml:space="preserve"> و</w:t>
      </w:r>
      <w:r w:rsidRPr="00C806DC">
        <w:rPr>
          <w:rtl/>
        </w:rPr>
        <w:t>32</w:t>
      </w:r>
      <w:r w:rsidRPr="008F0655">
        <w:rPr>
          <w:rtl/>
        </w:rPr>
        <w:t xml:space="preserve"> من الاتفاقية على التوالي.</w:t>
      </w:r>
    </w:p>
    <w:p w14:paraId="088FD639" w14:textId="3E641C3F" w:rsidR="00B672BA" w:rsidRPr="00E86EA8" w:rsidRDefault="00B672BA" w:rsidP="00EC166D">
      <w:pPr>
        <w:pStyle w:val="SingleTxtGA"/>
        <w:rPr>
          <w:rtl/>
          <w:lang w:val="en-US" w:eastAsia="zh-TW" w:bidi="en-GB"/>
        </w:rPr>
      </w:pPr>
      <w:r w:rsidRPr="00C806DC">
        <w:rPr>
          <w:rtl/>
        </w:rPr>
        <w:lastRenderedPageBreak/>
        <w:t>6</w:t>
      </w:r>
      <w:r w:rsidRPr="008F0655">
        <w:rPr>
          <w:rFonts w:ascii="Traditional Arabic"/>
          <w:rtl/>
        </w:rPr>
        <w:t>-</w:t>
      </w:r>
      <w:r w:rsidRPr="008F0655">
        <w:rPr>
          <w:rtl/>
        </w:rPr>
        <w:tab/>
        <w:t>وترحب اللجنة أيض</w:t>
      </w:r>
      <w:r w:rsidR="00737C1F">
        <w:rPr>
          <w:rtl/>
        </w:rPr>
        <w:t xml:space="preserve">اً </w:t>
      </w:r>
      <w:r w:rsidRPr="008F0655">
        <w:rPr>
          <w:rtl/>
        </w:rPr>
        <w:t>بالتقدم الذي أحرزته الدولة الطرف في المجالات ذات الصلة بالاتفاقية، بما في ذلك</w:t>
      </w:r>
      <w:r w:rsidR="00E86EA8">
        <w:rPr>
          <w:rFonts w:hint="cs"/>
          <w:rtl/>
        </w:rPr>
        <w:t>:</w:t>
      </w:r>
    </w:p>
    <w:p w14:paraId="58D2521E" w14:textId="65AC61E0" w:rsidR="00012F60" w:rsidRPr="00012F60" w:rsidRDefault="00EC166D" w:rsidP="00EC166D">
      <w:pPr>
        <w:pStyle w:val="SingleTxtGA"/>
        <w:rPr>
          <w:lang w:val="ar-SA" w:eastAsia="zh-TW" w:bidi="en-GB"/>
        </w:rPr>
      </w:pPr>
      <w:r>
        <w:rPr>
          <w:rtl/>
        </w:rPr>
        <w:tab/>
      </w:r>
      <w:r w:rsidR="00B672BA" w:rsidRPr="008F0655">
        <w:rPr>
          <w:rtl/>
        </w:rPr>
        <w:t>(أ)</w:t>
      </w:r>
      <w:r w:rsidR="00B672BA" w:rsidRPr="008F0655">
        <w:rPr>
          <w:rtl/>
        </w:rPr>
        <w:tab/>
        <w:t xml:space="preserve">إدراج جرائم </w:t>
      </w:r>
      <w:r w:rsidR="00B672BA">
        <w:rPr>
          <w:rFonts w:hint="cs"/>
          <w:rtl/>
        </w:rPr>
        <w:t>واردة في</w:t>
      </w:r>
      <w:r w:rsidR="00B672BA" w:rsidRPr="008F0655">
        <w:rPr>
          <w:rtl/>
        </w:rPr>
        <w:t xml:space="preserve"> نظام روما الأساسي للمحكمة الجنائية الدولية في القانون الجنائي، بما في ذلك الاختفاء القسري بوصفه جريمة ضد الإنسانية (المادة </w:t>
      </w:r>
      <w:r w:rsidR="00B672BA" w:rsidRPr="00C806DC">
        <w:rPr>
          <w:rtl/>
        </w:rPr>
        <w:t>29</w:t>
      </w:r>
      <w:r w:rsidR="00B672BA" w:rsidRPr="008F0655">
        <w:rPr>
          <w:rtl/>
        </w:rPr>
        <w:t xml:space="preserve"> من القانون الجنائي</w:t>
      </w:r>
      <w:r w:rsidR="00012F60" w:rsidRPr="00012F60">
        <w:rPr>
          <w:rtl/>
        </w:rPr>
        <w:t>)؛</w:t>
      </w:r>
    </w:p>
    <w:p w14:paraId="2DD81E25" w14:textId="17A533D3" w:rsidR="00B672BA" w:rsidRPr="008F0655" w:rsidRDefault="00EC166D" w:rsidP="00EC166D">
      <w:pPr>
        <w:pStyle w:val="SingleTxtGA"/>
        <w:rPr>
          <w:lang w:val="ar-SA" w:eastAsia="zh-TW" w:bidi="en-GB"/>
        </w:rPr>
      </w:pPr>
      <w:r>
        <w:rPr>
          <w:rtl/>
        </w:rPr>
        <w:tab/>
      </w:r>
      <w:r w:rsidR="00B672BA" w:rsidRPr="008F0655">
        <w:rPr>
          <w:rtl/>
        </w:rPr>
        <w:t>(ب)</w:t>
      </w:r>
      <w:r w:rsidR="00B672BA" w:rsidRPr="008F0655">
        <w:rPr>
          <w:rtl/>
        </w:rPr>
        <w:tab/>
      </w:r>
      <w:r w:rsidR="00B672BA">
        <w:rPr>
          <w:rFonts w:hint="cs"/>
          <w:rtl/>
        </w:rPr>
        <w:t>إقرار</w:t>
      </w:r>
      <w:r w:rsidR="00B672BA" w:rsidRPr="008F0655">
        <w:rPr>
          <w:rtl/>
        </w:rPr>
        <w:t xml:space="preserve"> مشروع القانون الجنائي الجديد خلال حلقة عمل ع</w:t>
      </w:r>
      <w:r w:rsidR="00B672BA">
        <w:rPr>
          <w:rFonts w:hint="cs"/>
          <w:rtl/>
        </w:rPr>
        <w:t>ُ</w:t>
      </w:r>
      <w:r w:rsidR="00B672BA" w:rsidRPr="008F0655">
        <w:rPr>
          <w:rtl/>
        </w:rPr>
        <w:t xml:space="preserve">قدت في الفترة من </w:t>
      </w:r>
      <w:r w:rsidR="00B672BA" w:rsidRPr="00C806DC">
        <w:rPr>
          <w:rtl/>
        </w:rPr>
        <w:t>15</w:t>
      </w:r>
      <w:r w:rsidR="00B672BA" w:rsidRPr="008F0655">
        <w:rPr>
          <w:rtl/>
        </w:rPr>
        <w:t xml:space="preserve"> إلى</w:t>
      </w:r>
      <w:r w:rsidR="0072456F">
        <w:rPr>
          <w:rFonts w:hint="cs"/>
          <w:rtl/>
        </w:rPr>
        <w:t> </w:t>
      </w:r>
      <w:r w:rsidR="00B672BA" w:rsidRPr="00C806DC">
        <w:rPr>
          <w:rtl/>
        </w:rPr>
        <w:t>20</w:t>
      </w:r>
      <w:r w:rsidR="00B672BA" w:rsidRPr="008F0655">
        <w:rPr>
          <w:rtl/>
        </w:rPr>
        <w:t xml:space="preserve"> آب/أغسطس </w:t>
      </w:r>
      <w:r w:rsidR="00B672BA" w:rsidRPr="00C806DC">
        <w:rPr>
          <w:rtl/>
        </w:rPr>
        <w:t>2022</w:t>
      </w:r>
      <w:r w:rsidR="00B672BA" w:rsidRPr="008F0655">
        <w:rPr>
          <w:rtl/>
        </w:rPr>
        <w:t xml:space="preserve">، جمعت ممثلين عن المجلس الوطني الانتقالي وأعضاء </w:t>
      </w:r>
      <w:r w:rsidR="00B672BA">
        <w:rPr>
          <w:rFonts w:hint="cs"/>
          <w:rtl/>
        </w:rPr>
        <w:t xml:space="preserve">في </w:t>
      </w:r>
      <w:r w:rsidR="00B672BA" w:rsidRPr="008F0655">
        <w:rPr>
          <w:rtl/>
        </w:rPr>
        <w:t xml:space="preserve">المجتمع المدني وأكاديميين وشركاء تقنيين وماليين؛ </w:t>
      </w:r>
    </w:p>
    <w:p w14:paraId="2180BF2E" w14:textId="0F589B89" w:rsidR="00012F60" w:rsidRPr="00012F60" w:rsidRDefault="00EC166D" w:rsidP="00EC166D">
      <w:pPr>
        <w:pStyle w:val="SingleTxtGA"/>
        <w:rPr>
          <w:lang w:val="ar-SA" w:eastAsia="zh-TW" w:bidi="en-GB"/>
        </w:rPr>
      </w:pPr>
      <w:r>
        <w:rPr>
          <w:rtl/>
        </w:rPr>
        <w:tab/>
      </w:r>
      <w:r w:rsidR="00B672BA" w:rsidRPr="008F0655">
        <w:rPr>
          <w:rtl/>
        </w:rPr>
        <w:t>(ج)</w:t>
      </w:r>
      <w:r w:rsidR="00B672BA" w:rsidRPr="008F0655">
        <w:rPr>
          <w:rtl/>
        </w:rPr>
        <w:tab/>
        <w:t xml:space="preserve">اعتماد القانون رقم </w:t>
      </w:r>
      <w:r w:rsidR="00B672BA" w:rsidRPr="00C806DC">
        <w:rPr>
          <w:rtl/>
        </w:rPr>
        <w:t>2019</w:t>
      </w:r>
      <w:r w:rsidR="00B672BA" w:rsidRPr="008F0655">
        <w:rPr>
          <w:rFonts w:ascii="Traditional Arabic"/>
          <w:rtl/>
        </w:rPr>
        <w:t>-</w:t>
      </w:r>
      <w:r w:rsidR="00B672BA" w:rsidRPr="00C806DC">
        <w:rPr>
          <w:rtl/>
        </w:rPr>
        <w:t>072</w:t>
      </w:r>
      <w:r w:rsidR="00B672BA" w:rsidRPr="008F0655">
        <w:rPr>
          <w:rtl/>
        </w:rPr>
        <w:t xml:space="preserve"> المؤرخ </w:t>
      </w:r>
      <w:r w:rsidR="00B672BA" w:rsidRPr="00C806DC">
        <w:rPr>
          <w:rtl/>
        </w:rPr>
        <w:t>24</w:t>
      </w:r>
      <w:r w:rsidR="00B672BA" w:rsidRPr="008F0655">
        <w:rPr>
          <w:rtl/>
        </w:rPr>
        <w:t xml:space="preserve"> كانون الأول/ديسمبر </w:t>
      </w:r>
      <w:r w:rsidR="00B672BA" w:rsidRPr="00C806DC">
        <w:rPr>
          <w:rtl/>
        </w:rPr>
        <w:t>2019</w:t>
      </w:r>
      <w:r w:rsidR="00B672BA" w:rsidRPr="008F0655">
        <w:rPr>
          <w:rtl/>
        </w:rPr>
        <w:t xml:space="preserve"> المتعلق بالقانون التوجيهي وبرمجة العدالة للفترة </w:t>
      </w:r>
      <w:r w:rsidR="00B672BA" w:rsidRPr="00C806DC">
        <w:rPr>
          <w:rtl/>
        </w:rPr>
        <w:t>2020</w:t>
      </w:r>
      <w:r w:rsidR="00B672BA" w:rsidRPr="008F0655">
        <w:rPr>
          <w:rFonts w:ascii="Traditional Arabic"/>
          <w:rtl/>
        </w:rPr>
        <w:t>-</w:t>
      </w:r>
      <w:r w:rsidR="00B672BA" w:rsidRPr="00C806DC">
        <w:rPr>
          <w:rtl/>
        </w:rPr>
        <w:t>202</w:t>
      </w:r>
      <w:r w:rsidR="00012F60" w:rsidRPr="00C806DC">
        <w:rPr>
          <w:rtl/>
        </w:rPr>
        <w:t>4</w:t>
      </w:r>
      <w:r w:rsidR="00012F60" w:rsidRPr="00012F60">
        <w:rPr>
          <w:rtl/>
        </w:rPr>
        <w:t>.</w:t>
      </w:r>
    </w:p>
    <w:p w14:paraId="15E29126" w14:textId="63330A6E" w:rsidR="00B672BA" w:rsidRPr="00C806DC" w:rsidRDefault="00EC166D" w:rsidP="00EC166D">
      <w:pPr>
        <w:pStyle w:val="H1GA"/>
        <w:rPr>
          <w:lang w:val="ar-SA" w:eastAsia="zh-TW" w:bidi="en-GB"/>
        </w:rPr>
      </w:pPr>
      <w:r w:rsidRPr="00C806DC">
        <w:rPr>
          <w:rtl/>
        </w:rPr>
        <w:tab/>
      </w:r>
      <w:r w:rsidR="00B672BA" w:rsidRPr="00C806DC">
        <w:rPr>
          <w:rtl/>
        </w:rPr>
        <w:t>جيم-</w:t>
      </w:r>
      <w:r w:rsidR="00B672BA" w:rsidRPr="00C806DC">
        <w:rPr>
          <w:rtl/>
        </w:rPr>
        <w:tab/>
        <w:t>دواعي القلق الرئيسية والتوصيات</w:t>
      </w:r>
    </w:p>
    <w:p w14:paraId="2FE71654" w14:textId="13B6B263" w:rsidR="00B672BA" w:rsidRPr="008F0655" w:rsidRDefault="00B672BA" w:rsidP="00EC166D">
      <w:pPr>
        <w:pStyle w:val="SingleTxtGA"/>
        <w:rPr>
          <w:lang w:val="ar-SA" w:eastAsia="zh-TW" w:bidi="en-GB"/>
        </w:rPr>
      </w:pPr>
      <w:r w:rsidRPr="00C806DC">
        <w:rPr>
          <w:rtl/>
        </w:rPr>
        <w:t>7</w:t>
      </w:r>
      <w:r w:rsidRPr="008F0655">
        <w:rPr>
          <w:rFonts w:ascii="Traditional Arabic"/>
          <w:rtl/>
        </w:rPr>
        <w:t>-</w:t>
      </w:r>
      <w:r w:rsidRPr="008F0655">
        <w:rPr>
          <w:rtl/>
        </w:rPr>
        <w:tab/>
        <w:t>تدرك اللجنة الصعوبات الخطيرة العديدة التي تواجهها الدولة الطرف وتحيط علم</w:t>
      </w:r>
      <w:r w:rsidR="00737C1F">
        <w:rPr>
          <w:rtl/>
        </w:rPr>
        <w:t xml:space="preserve">اً </w:t>
      </w:r>
      <w:r w:rsidRPr="008F0655">
        <w:rPr>
          <w:rtl/>
        </w:rPr>
        <w:t>بالتدابير التي اتخذتها هذه الدولة للامتثال لالتزاماتها بموجب الاتفاقية. بيد أن اللجنة ترى أن التشريعات السارية في الدولة الطرف، وقت اعتماد هذه الملاحظات الختامية، والتي تهدف إلى منع حالات الاختفاء القسري والمعاقبة عليها وضمان حقوق الضحايا، وتنفيذ تلك التشريعات، فضل</w:t>
      </w:r>
      <w:r w:rsidR="00737C1F">
        <w:rPr>
          <w:rtl/>
        </w:rPr>
        <w:t xml:space="preserve">اً </w:t>
      </w:r>
      <w:r w:rsidRPr="008F0655">
        <w:rPr>
          <w:rtl/>
        </w:rPr>
        <w:t>عن سلوك بعض السلطات المختصة، كل ذلك أمور لم تكن متفقة تمام</w:t>
      </w:r>
      <w:r w:rsidR="00737C1F">
        <w:rPr>
          <w:rtl/>
        </w:rPr>
        <w:t xml:space="preserve">اً </w:t>
      </w:r>
      <w:r w:rsidRPr="008F0655">
        <w:rPr>
          <w:rtl/>
        </w:rPr>
        <w:t xml:space="preserve">مع التزاماتها بموجب الاتفاقية. ويساور اللجنة القلق بوجه خاص إزاء العدد الكبير </w:t>
      </w:r>
      <w:r>
        <w:rPr>
          <w:rFonts w:hint="cs"/>
          <w:rtl/>
        </w:rPr>
        <w:t>جد</w:t>
      </w:r>
      <w:r w:rsidR="00737C1F">
        <w:rPr>
          <w:rFonts w:hint="cs"/>
          <w:rtl/>
        </w:rPr>
        <w:t xml:space="preserve">اً </w:t>
      </w:r>
      <w:r w:rsidRPr="008F0655">
        <w:rPr>
          <w:rtl/>
        </w:rPr>
        <w:t xml:space="preserve">من الادعاءات المتعلقة بحالات الاختفاء القسري، التي وقع الكثير منها بعد دخول الاتفاقية حيز النفاذ. وتشجع اللجنة الدولة الطرف على تنفيذ توصياتها، التي صيغت بروح بناءة من التعاون، من أجل ضمان التنفيذ الكامل للاتفاقية في القانون والممارسة. وفي هذا الصدد، تدعو اللجنة الدولة الطرف إلى الاستفادة من المناقشات الجارية بشأن مختلف مشاريع القوانين في المجالات ذات الصلة بالاتفاقية لتنفيذ التوصيات الواردة في هذه الملاحظات الختامية. </w:t>
      </w:r>
    </w:p>
    <w:p w14:paraId="4F505ED8" w14:textId="1E646CDD" w:rsidR="00B672BA" w:rsidRPr="00C806DC" w:rsidRDefault="00EC166D" w:rsidP="00EC166D">
      <w:pPr>
        <w:pStyle w:val="H23GA"/>
        <w:rPr>
          <w:lang w:val="ar-SA" w:eastAsia="zh-TW" w:bidi="en-GB"/>
        </w:rPr>
      </w:pPr>
      <w:r w:rsidRPr="00C806DC">
        <w:rPr>
          <w:rFonts w:ascii="Traditional Arabic"/>
          <w:rtl/>
        </w:rPr>
        <w:tab/>
      </w:r>
      <w:r w:rsidR="00B672BA" w:rsidRPr="00C806DC">
        <w:rPr>
          <w:rtl/>
        </w:rPr>
        <w:t>1</w:t>
      </w:r>
      <w:r w:rsidR="00B672BA" w:rsidRPr="00C806DC">
        <w:rPr>
          <w:rFonts w:ascii="Traditional Arabic"/>
          <w:rtl/>
        </w:rPr>
        <w:t>-</w:t>
      </w:r>
      <w:r w:rsidR="00B672BA" w:rsidRPr="00C806DC">
        <w:rPr>
          <w:rtl/>
        </w:rPr>
        <w:tab/>
        <w:t>معلومات أساسية</w:t>
      </w:r>
    </w:p>
    <w:p w14:paraId="59536580" w14:textId="77777777" w:rsidR="00B672BA" w:rsidRPr="00C806DC" w:rsidRDefault="00B672BA" w:rsidP="00EC166D">
      <w:pPr>
        <w:pStyle w:val="H4GA"/>
        <w:rPr>
          <w:lang w:val="ar-SA" w:eastAsia="zh-TW" w:bidi="en-GB"/>
        </w:rPr>
      </w:pPr>
      <w:r w:rsidRPr="00C806DC">
        <w:rPr>
          <w:rtl/>
        </w:rPr>
        <w:tab/>
      </w:r>
      <w:r w:rsidRPr="00C806DC">
        <w:rPr>
          <w:rtl/>
        </w:rPr>
        <w:tab/>
        <w:t>انطباق الاتفاقية</w:t>
      </w:r>
    </w:p>
    <w:p w14:paraId="45C4F25B" w14:textId="7C23B6D2" w:rsidR="00012F60" w:rsidRPr="00012F60" w:rsidRDefault="00B672BA" w:rsidP="00EC166D">
      <w:pPr>
        <w:pStyle w:val="SingleTxtGA"/>
        <w:rPr>
          <w:lang w:val="ar-SA" w:eastAsia="zh-TW" w:bidi="en-GB"/>
        </w:rPr>
      </w:pPr>
      <w:r w:rsidRPr="00C806DC">
        <w:rPr>
          <w:rtl/>
        </w:rPr>
        <w:t>8</w:t>
      </w:r>
      <w:r w:rsidRPr="008F0655">
        <w:rPr>
          <w:rFonts w:ascii="Traditional Arabic"/>
          <w:rtl/>
        </w:rPr>
        <w:t>-</w:t>
      </w:r>
      <w:r w:rsidRPr="008F0655">
        <w:rPr>
          <w:rtl/>
        </w:rPr>
        <w:tab/>
        <w:t xml:space="preserve">تأسف اللجنة لعدم تسجيل أي قرارات </w:t>
      </w:r>
      <w:r>
        <w:rPr>
          <w:rFonts w:hint="cs"/>
          <w:rtl/>
        </w:rPr>
        <w:t>قضائية</w:t>
      </w:r>
      <w:r w:rsidRPr="008F0655">
        <w:rPr>
          <w:rtl/>
        </w:rPr>
        <w:t xml:space="preserve"> بشأن حالات الاختفاء القسري، ولأن عدم تنفيذ الاتفاقية، وفق</w:t>
      </w:r>
      <w:r w:rsidR="00737C1F">
        <w:rPr>
          <w:rtl/>
        </w:rPr>
        <w:t xml:space="preserve">اً </w:t>
      </w:r>
      <w:r w:rsidRPr="008F0655">
        <w:rPr>
          <w:rtl/>
        </w:rPr>
        <w:t xml:space="preserve">للدولة الطرف، يعزى، في جملة أمور، إلى تردد السلطة القضائية </w:t>
      </w:r>
      <w:r>
        <w:rPr>
          <w:rFonts w:hint="cs"/>
          <w:rtl/>
        </w:rPr>
        <w:t>في</w:t>
      </w:r>
      <w:r w:rsidRPr="008F0655">
        <w:rPr>
          <w:rtl/>
        </w:rPr>
        <w:t xml:space="preserve"> تنفيذ أحكامها</w:t>
      </w:r>
      <w:r w:rsidR="00012F60">
        <w:rPr>
          <w:rStyle w:val="FootnoteReference"/>
          <w:sz w:val="28"/>
          <w:rtl/>
        </w:rPr>
        <w:t>(</w:t>
      </w:r>
      <w:r w:rsidR="00012F60" w:rsidRPr="00C806DC">
        <w:rPr>
          <w:rStyle w:val="FootnoteReference"/>
          <w:sz w:val="28"/>
          <w:lang w:val="en-US"/>
        </w:rPr>
        <w:footnoteReference w:id="6"/>
      </w:r>
      <w:r w:rsidR="00012F60" w:rsidRPr="00012F60">
        <w:rPr>
          <w:rStyle w:val="FootnoteReference"/>
          <w:sz w:val="28"/>
          <w:rtl/>
        </w:rPr>
        <w:t>)</w:t>
      </w:r>
      <w:r w:rsidR="00012F60" w:rsidRPr="00012F60">
        <w:rPr>
          <w:rtl/>
        </w:rPr>
        <w:t xml:space="preserve">. </w:t>
      </w:r>
      <w:r w:rsidRPr="008F0655">
        <w:rPr>
          <w:rtl/>
        </w:rPr>
        <w:t xml:space="preserve">وفي هذا الصدد، تلاحظ اللجنة مع التقدير المعلومات المقدمة أثناء الحوار بشأن الجهود المبذولة للتعريف بالاتفاقية (المادة </w:t>
      </w:r>
      <w:r w:rsidRPr="00C806DC">
        <w:rPr>
          <w:rtl/>
        </w:rPr>
        <w:t>2</w:t>
      </w:r>
      <w:r w:rsidR="00012F60" w:rsidRPr="00C806DC">
        <w:rPr>
          <w:rtl/>
        </w:rPr>
        <w:t>3</w:t>
      </w:r>
      <w:r w:rsidR="00012F60" w:rsidRPr="00012F60">
        <w:rPr>
          <w:rFonts w:ascii="Traditional Arabic"/>
          <w:rtl/>
        </w:rPr>
        <w:t>)</w:t>
      </w:r>
      <w:r w:rsidR="00012F60" w:rsidRPr="00012F60">
        <w:rPr>
          <w:rtl/>
        </w:rPr>
        <w:t>.</w:t>
      </w:r>
    </w:p>
    <w:p w14:paraId="4742A168" w14:textId="2F926075" w:rsidR="00B672BA" w:rsidRPr="00C806DC" w:rsidRDefault="00B672BA" w:rsidP="00EC166D">
      <w:pPr>
        <w:pStyle w:val="SingleTxtGA"/>
        <w:rPr>
          <w:b/>
          <w:bCs/>
          <w:lang w:val="ar-SA" w:eastAsia="zh-TW" w:bidi="en-GB"/>
        </w:rPr>
      </w:pPr>
      <w:r w:rsidRPr="00C806DC">
        <w:rPr>
          <w:rtl/>
        </w:rPr>
        <w:t>9</w:t>
      </w:r>
      <w:r w:rsidRPr="008F0655">
        <w:rPr>
          <w:rFonts w:ascii="Traditional Arabic"/>
          <w:rtl/>
        </w:rPr>
        <w:t>-</w:t>
      </w:r>
      <w:r w:rsidRPr="008F0655">
        <w:rPr>
          <w:rtl/>
        </w:rPr>
        <w:tab/>
      </w:r>
      <w:r w:rsidRPr="00C806DC">
        <w:rPr>
          <w:b/>
          <w:bCs/>
          <w:rtl/>
        </w:rPr>
        <w:t xml:space="preserve">توصي اللجنة الدولة الطرف </w:t>
      </w:r>
      <w:r w:rsidRPr="00C806DC">
        <w:rPr>
          <w:rFonts w:hint="cs"/>
          <w:b/>
          <w:bCs/>
          <w:rtl/>
        </w:rPr>
        <w:t>بتكثيف</w:t>
      </w:r>
      <w:r w:rsidRPr="00C806DC">
        <w:rPr>
          <w:b/>
          <w:bCs/>
          <w:rtl/>
        </w:rPr>
        <w:t xml:space="preserve"> جهودها الرامية إلى توفير التدريب للقضاة والمدعين العامين والمحامين بشأن الاتفاقية لكي تطبقها المحاكم الوطنية وتأخذها في الاعتبار.</w:t>
      </w:r>
    </w:p>
    <w:p w14:paraId="6236DEAF" w14:textId="77777777" w:rsidR="00B672BA" w:rsidRPr="00C806DC" w:rsidRDefault="00B672BA" w:rsidP="00EC166D">
      <w:pPr>
        <w:pStyle w:val="H4GA"/>
        <w:rPr>
          <w:lang w:val="ar-SA" w:eastAsia="zh-TW" w:bidi="en-GB"/>
        </w:rPr>
      </w:pPr>
      <w:r w:rsidRPr="00C806DC">
        <w:rPr>
          <w:rtl/>
        </w:rPr>
        <w:tab/>
      </w:r>
      <w:r w:rsidRPr="00C806DC">
        <w:rPr>
          <w:rtl/>
        </w:rPr>
        <w:tab/>
        <w:t>عدم جواز تقييد حظر الاختفاء القسري</w:t>
      </w:r>
    </w:p>
    <w:p w14:paraId="05CC3B35" w14:textId="72626EA7" w:rsidR="00012F60" w:rsidRPr="00012F60" w:rsidRDefault="00B672BA" w:rsidP="00EC166D">
      <w:pPr>
        <w:pStyle w:val="SingleTxtGA"/>
        <w:rPr>
          <w:lang w:val="ar-SA" w:eastAsia="zh-TW" w:bidi="en-GB"/>
        </w:rPr>
      </w:pPr>
      <w:r w:rsidRPr="00C806DC">
        <w:rPr>
          <w:rtl/>
        </w:rPr>
        <w:t>10</w:t>
      </w:r>
      <w:r w:rsidRPr="008F0655">
        <w:rPr>
          <w:rFonts w:ascii="Traditional Arabic"/>
          <w:rtl/>
        </w:rPr>
        <w:t>-</w:t>
      </w:r>
      <w:r w:rsidRPr="008F0655">
        <w:rPr>
          <w:rtl/>
        </w:rPr>
        <w:tab/>
        <w:t xml:space="preserve">تلاحظ اللجنة بقلق أن القانون المحلي لا ينص صراحة على عدم جواز التذرع بأي ظروف استثنائية كانت لتقييد حظر الاختفاء القسري، وأن الدولة الطرف لم تقدم معلومات عن الأحكام التشريعية </w:t>
      </w:r>
      <w:r w:rsidRPr="008F0655">
        <w:rPr>
          <w:rtl/>
        </w:rPr>
        <w:lastRenderedPageBreak/>
        <w:t xml:space="preserve">والتدابير المعتمدة لضمان عدم وجود ظروف استثنائية لتقييد الحق في عدم التعرض للاختفاء القسري (المادة </w:t>
      </w:r>
      <w:r w:rsidR="00012F60" w:rsidRPr="00C806DC">
        <w:rPr>
          <w:rtl/>
        </w:rPr>
        <w:t>1</w:t>
      </w:r>
      <w:r w:rsidR="00012F60" w:rsidRPr="00012F60">
        <w:rPr>
          <w:rFonts w:ascii="Traditional Arabic"/>
          <w:rtl/>
        </w:rPr>
        <w:t>)</w:t>
      </w:r>
      <w:r w:rsidR="00012F60" w:rsidRPr="00012F60">
        <w:rPr>
          <w:rtl/>
        </w:rPr>
        <w:t>.</w:t>
      </w:r>
    </w:p>
    <w:p w14:paraId="061DC90E" w14:textId="0708215F" w:rsidR="00B672BA" w:rsidRPr="00C806DC" w:rsidRDefault="00B672BA" w:rsidP="00EC166D">
      <w:pPr>
        <w:pStyle w:val="SingleTxtGA"/>
        <w:rPr>
          <w:b/>
          <w:bCs/>
          <w:lang w:val="ar-SA" w:eastAsia="zh-TW" w:bidi="en-GB"/>
        </w:rPr>
      </w:pPr>
      <w:r w:rsidRPr="00C806DC">
        <w:rPr>
          <w:rtl/>
        </w:rPr>
        <w:t>11</w:t>
      </w:r>
      <w:r w:rsidRPr="008F0655">
        <w:rPr>
          <w:rFonts w:ascii="Traditional Arabic"/>
          <w:rtl/>
        </w:rPr>
        <w:t>-</w:t>
      </w:r>
      <w:r w:rsidRPr="00C806DC">
        <w:rPr>
          <w:b/>
          <w:bCs/>
          <w:rtl/>
        </w:rPr>
        <w:tab/>
        <w:t>توصي اللجنة الدولة الطرف باتخاذ التدابير اللازمة لإدراج الحظر المطلق للاختفاء القسري صراحة في قانونها المحلي، وفقا</w:t>
      </w:r>
      <w:r w:rsidR="00737C1F" w:rsidRPr="00C806DC">
        <w:rPr>
          <w:rFonts w:hint="cs"/>
          <w:b/>
          <w:bCs/>
          <w:rtl/>
        </w:rPr>
        <w:t>ً</w:t>
      </w:r>
      <w:r w:rsidRPr="00C806DC">
        <w:rPr>
          <w:b/>
          <w:bCs/>
          <w:rtl/>
        </w:rPr>
        <w:t xml:space="preserve"> للفقرة 2 من المادة 1 من الاتفاقية، وضمان ألا تؤثر التدابير المتخذة في سياق مكافحة الإرهاب على التنفيذ الفعال للاتفاقية وعدم التذرع بأي ظروف استثنائية لتبرير الاختفاء القسري.</w:t>
      </w:r>
    </w:p>
    <w:p w14:paraId="3FB6CD11" w14:textId="77777777" w:rsidR="00B672BA" w:rsidRPr="00C806DC" w:rsidRDefault="00B672BA" w:rsidP="00EC166D">
      <w:pPr>
        <w:pStyle w:val="H4GA"/>
        <w:rPr>
          <w:lang w:val="ar-SA" w:eastAsia="zh-TW" w:bidi="en-GB"/>
        </w:rPr>
      </w:pPr>
      <w:r w:rsidRPr="00C806DC">
        <w:rPr>
          <w:rtl/>
        </w:rPr>
        <w:tab/>
      </w:r>
      <w:r w:rsidRPr="00C806DC">
        <w:rPr>
          <w:rtl/>
        </w:rPr>
        <w:tab/>
        <w:t>المؤسسة الوطنية لحقوق الإنسان</w:t>
      </w:r>
    </w:p>
    <w:p w14:paraId="62E5DABE" w14:textId="5825C59B" w:rsidR="00B672BA" w:rsidRPr="008F0655" w:rsidRDefault="00B672BA" w:rsidP="00EC166D">
      <w:pPr>
        <w:pStyle w:val="SingleTxtGA"/>
        <w:rPr>
          <w:lang w:val="ar-SA" w:eastAsia="zh-TW" w:bidi="en-GB"/>
        </w:rPr>
      </w:pPr>
      <w:r w:rsidRPr="00C806DC">
        <w:rPr>
          <w:rtl/>
        </w:rPr>
        <w:t>12</w:t>
      </w:r>
      <w:r w:rsidRPr="008F0655">
        <w:rPr>
          <w:rFonts w:ascii="Traditional Arabic"/>
          <w:rtl/>
        </w:rPr>
        <w:t>-</w:t>
      </w:r>
      <w:r w:rsidRPr="008F0655">
        <w:rPr>
          <w:rtl/>
        </w:rPr>
        <w:tab/>
        <w:t xml:space="preserve">ترحب اللجنة بإنشاء اللجنة الوطنية لحقوق الإنسان، بموجب القانون رقم </w:t>
      </w:r>
      <w:r w:rsidRPr="00C806DC">
        <w:rPr>
          <w:rtl/>
        </w:rPr>
        <w:t>2016</w:t>
      </w:r>
      <w:r w:rsidRPr="008F0655">
        <w:rPr>
          <w:rFonts w:ascii="Traditional Arabic"/>
          <w:rtl/>
        </w:rPr>
        <w:t>-</w:t>
      </w:r>
      <w:r w:rsidRPr="00C806DC">
        <w:rPr>
          <w:rtl/>
        </w:rPr>
        <w:t>036</w:t>
      </w:r>
      <w:r w:rsidRPr="008F0655">
        <w:rPr>
          <w:rtl/>
        </w:rPr>
        <w:t xml:space="preserve"> المؤرخ </w:t>
      </w:r>
      <w:r w:rsidRPr="00C806DC">
        <w:rPr>
          <w:rtl/>
        </w:rPr>
        <w:t>7</w:t>
      </w:r>
      <w:r w:rsidRPr="008F0655">
        <w:rPr>
          <w:rtl/>
        </w:rPr>
        <w:t xml:space="preserve"> تموز/يوليه </w:t>
      </w:r>
      <w:r w:rsidRPr="00C806DC">
        <w:rPr>
          <w:rtl/>
        </w:rPr>
        <w:t>201</w:t>
      </w:r>
      <w:r w:rsidR="00012F60" w:rsidRPr="00C806DC">
        <w:rPr>
          <w:rtl/>
        </w:rPr>
        <w:t>6</w:t>
      </w:r>
      <w:r w:rsidR="00012F60" w:rsidRPr="00012F60">
        <w:rPr>
          <w:rFonts w:ascii="Traditional Arabic"/>
          <w:rtl/>
        </w:rPr>
        <w:t>.</w:t>
      </w:r>
      <w:r w:rsidR="00012F60" w:rsidRPr="00012F60">
        <w:rPr>
          <w:rtl/>
        </w:rPr>
        <w:t xml:space="preserve"> </w:t>
      </w:r>
      <w:r w:rsidRPr="008F0655">
        <w:rPr>
          <w:rtl/>
        </w:rPr>
        <w:t>وترحب أيضا</w:t>
      </w:r>
      <w:r w:rsidR="00123777">
        <w:rPr>
          <w:rFonts w:hint="cs"/>
          <w:rtl/>
        </w:rPr>
        <w:t>ً</w:t>
      </w:r>
      <w:r w:rsidRPr="008F0655">
        <w:rPr>
          <w:rtl/>
        </w:rPr>
        <w:t xml:space="preserve"> بكون التحالف العالمي للمؤسسات الوطنية لحقوق الإنسان قد أعاد اعتماد اللجنة </w:t>
      </w:r>
      <w:r>
        <w:rPr>
          <w:rFonts w:hint="cs"/>
          <w:rtl/>
        </w:rPr>
        <w:t xml:space="preserve">الوطنية </w:t>
      </w:r>
      <w:r w:rsidRPr="008F0655">
        <w:rPr>
          <w:rtl/>
        </w:rPr>
        <w:t xml:space="preserve">في المركز "ألف" في آذار/مارس </w:t>
      </w:r>
      <w:r w:rsidRPr="00C806DC">
        <w:rPr>
          <w:rtl/>
        </w:rPr>
        <w:t>202</w:t>
      </w:r>
      <w:r w:rsidR="00012F60" w:rsidRPr="00C806DC">
        <w:rPr>
          <w:rtl/>
        </w:rPr>
        <w:t>2</w:t>
      </w:r>
      <w:r w:rsidR="00012F60" w:rsidRPr="00012F60">
        <w:rPr>
          <w:rFonts w:ascii="Traditional Arabic"/>
          <w:rtl/>
        </w:rPr>
        <w:t>.</w:t>
      </w:r>
      <w:r w:rsidR="00012F60" w:rsidRPr="00012F60">
        <w:rPr>
          <w:rtl/>
        </w:rPr>
        <w:t xml:space="preserve"> </w:t>
      </w:r>
      <w:r w:rsidRPr="008F0655">
        <w:rPr>
          <w:rtl/>
        </w:rPr>
        <w:t xml:space="preserve">بيد أن اللجنة تلاحظ أن الدولة الطرف لا تقدم تفاصيل كافية عن التدابير المعتمدة لضمان حصول اللجنة </w:t>
      </w:r>
      <w:r>
        <w:rPr>
          <w:rFonts w:hint="cs"/>
          <w:rtl/>
        </w:rPr>
        <w:t xml:space="preserve">الوطنية </w:t>
      </w:r>
      <w:r w:rsidRPr="008F0655">
        <w:rPr>
          <w:rtl/>
        </w:rPr>
        <w:t xml:space="preserve">على الموارد المالية والتقنية والبشرية اللازمة للاضطلاع بمهامها بفعالية في جميع أنحاء إقليم الدولة الطرف. كما أن الدولة الطرف لا تحدد التدابير المعتمدة لتعزيز الوعي باللجنة </w:t>
      </w:r>
      <w:r>
        <w:rPr>
          <w:rFonts w:hint="cs"/>
          <w:rtl/>
        </w:rPr>
        <w:t>الوطنية لدى</w:t>
      </w:r>
      <w:r w:rsidRPr="008F0655">
        <w:rPr>
          <w:rtl/>
        </w:rPr>
        <w:t xml:space="preserve"> عامة الجمهور والسلطات الوطنية والمحلية.</w:t>
      </w:r>
    </w:p>
    <w:p w14:paraId="27059580" w14:textId="6A5DF087" w:rsidR="00B672BA" w:rsidRPr="00C806DC" w:rsidRDefault="00B672BA" w:rsidP="00EC166D">
      <w:pPr>
        <w:pStyle w:val="SingleTxtGA"/>
        <w:rPr>
          <w:b/>
          <w:bCs/>
          <w:lang w:val="ar-SA" w:eastAsia="zh-TW" w:bidi="en-GB"/>
        </w:rPr>
      </w:pPr>
      <w:r w:rsidRPr="00C806DC">
        <w:rPr>
          <w:rtl/>
        </w:rPr>
        <w:t>13</w:t>
      </w:r>
      <w:r w:rsidRPr="008F0655">
        <w:rPr>
          <w:rFonts w:ascii="Traditional Arabic"/>
          <w:rtl/>
        </w:rPr>
        <w:t>-</w:t>
      </w:r>
      <w:r w:rsidRPr="008F0655">
        <w:rPr>
          <w:rtl/>
        </w:rPr>
        <w:tab/>
      </w:r>
      <w:r w:rsidRPr="00C806DC">
        <w:rPr>
          <w:b/>
          <w:bCs/>
          <w:rtl/>
        </w:rPr>
        <w:t>توصي اللجنة الدولة الطرف بأن تكفل حصول اللجنة الوطنية لحقوق الإنسان على الموارد المالية والتقنية والبشرية اللازمة للاضطلاع بمهامها على النحو الواجب في جميع أنحاء مالي. وتوصي اللجنة أيضا</w:t>
      </w:r>
      <w:r w:rsidR="00123777" w:rsidRPr="00C806DC">
        <w:rPr>
          <w:rFonts w:hint="cs"/>
          <w:b/>
          <w:bCs/>
          <w:rtl/>
        </w:rPr>
        <w:t>ً</w:t>
      </w:r>
      <w:r w:rsidRPr="00C806DC">
        <w:rPr>
          <w:b/>
          <w:bCs/>
          <w:rtl/>
        </w:rPr>
        <w:t xml:space="preserve"> بأن تعزز الدولة الطرف </w:t>
      </w:r>
      <w:r w:rsidRPr="00C806DC">
        <w:rPr>
          <w:rFonts w:hint="cs"/>
          <w:b/>
          <w:bCs/>
          <w:rtl/>
        </w:rPr>
        <w:t>التعريف</w:t>
      </w:r>
      <w:r w:rsidRPr="00C806DC">
        <w:rPr>
          <w:b/>
          <w:bCs/>
          <w:rtl/>
        </w:rPr>
        <w:t xml:space="preserve"> باللجنة </w:t>
      </w:r>
      <w:r w:rsidRPr="00C806DC">
        <w:rPr>
          <w:rFonts w:hint="cs"/>
          <w:b/>
          <w:bCs/>
          <w:rtl/>
        </w:rPr>
        <w:t>الوطنية وبصلاحياتها</w:t>
      </w:r>
      <w:r w:rsidRPr="00C806DC">
        <w:rPr>
          <w:b/>
          <w:bCs/>
          <w:rtl/>
        </w:rPr>
        <w:t xml:space="preserve"> بين عامة الجمهور والسلطات الوطنية والمحلية.</w:t>
      </w:r>
    </w:p>
    <w:p w14:paraId="1C450740" w14:textId="77777777" w:rsidR="00B672BA" w:rsidRPr="00C806DC" w:rsidRDefault="00B672BA" w:rsidP="00EC166D">
      <w:pPr>
        <w:pStyle w:val="H4GA"/>
        <w:rPr>
          <w:lang w:val="ar-SA" w:eastAsia="zh-TW" w:bidi="en-GB"/>
        </w:rPr>
      </w:pPr>
      <w:r w:rsidRPr="00C806DC">
        <w:rPr>
          <w:rtl/>
        </w:rPr>
        <w:tab/>
      </w:r>
      <w:r w:rsidRPr="00C806DC">
        <w:rPr>
          <w:rtl/>
        </w:rPr>
        <w:tab/>
        <w:t>الآلية الوطنية لمنع التعذيب</w:t>
      </w:r>
    </w:p>
    <w:p w14:paraId="1F33DB1F" w14:textId="171356DC" w:rsidR="00B672BA" w:rsidRPr="008F0655" w:rsidRDefault="00B672BA" w:rsidP="00EC166D">
      <w:pPr>
        <w:pStyle w:val="SingleTxtGA"/>
        <w:rPr>
          <w:lang w:val="ar-SA" w:eastAsia="zh-TW" w:bidi="en-GB"/>
        </w:rPr>
      </w:pPr>
      <w:r w:rsidRPr="00C806DC">
        <w:rPr>
          <w:rtl/>
        </w:rPr>
        <w:t>14</w:t>
      </w:r>
      <w:r w:rsidRPr="008F0655">
        <w:rPr>
          <w:rFonts w:ascii="Traditional Arabic"/>
          <w:rtl/>
        </w:rPr>
        <w:t>-</w:t>
      </w:r>
      <w:r w:rsidRPr="008F0655">
        <w:rPr>
          <w:rtl/>
        </w:rPr>
        <w:tab/>
        <w:t>تلاحظ اللجنة وجود آلية وطنية لمنع التعذيب داخل اللجنة الوطنية لحقوق الإنسان، وتسلم بالدور الهام الذي يمكن أن تؤديه هذه الآلية في منع حالات الاختفاء القسري. بيد أن اللجنة تلاحظ أن الدولة الطرف لا تقدم معلومات كافية عن تكوين الآلية وعلاقتها باللجنة، وكيفية اضطلاعها بمهمتها، وأماكن الاحتجاز التي تزورها، والطريقة التي تنظم بها زياراتها، وعدد الزيارات التي تتم سنويا</w:t>
      </w:r>
      <w:r w:rsidR="003C0DA4">
        <w:rPr>
          <w:rFonts w:hint="cs"/>
          <w:rtl/>
        </w:rPr>
        <w:t>ً</w:t>
      </w:r>
      <w:r w:rsidRPr="008F0655">
        <w:rPr>
          <w:rtl/>
        </w:rPr>
        <w:t>، ونتائجها، والطريقة التي تتعاون بها السلطات المختصة على تنفيذها.</w:t>
      </w:r>
    </w:p>
    <w:p w14:paraId="236A08EF" w14:textId="77777777" w:rsidR="00B672BA" w:rsidRPr="00C806DC" w:rsidRDefault="00B672BA" w:rsidP="00EC166D">
      <w:pPr>
        <w:pStyle w:val="SingleTxtGA"/>
        <w:rPr>
          <w:b/>
          <w:bCs/>
          <w:lang w:val="ar-SA" w:eastAsia="zh-TW" w:bidi="en-GB"/>
        </w:rPr>
      </w:pPr>
      <w:r w:rsidRPr="00C806DC">
        <w:rPr>
          <w:rtl/>
        </w:rPr>
        <w:t>15</w:t>
      </w:r>
      <w:r w:rsidRPr="008F0655">
        <w:rPr>
          <w:rFonts w:ascii="Traditional Arabic"/>
          <w:rtl/>
        </w:rPr>
        <w:t>-</w:t>
      </w:r>
      <w:r w:rsidRPr="008F0655">
        <w:rPr>
          <w:rtl/>
        </w:rPr>
        <w:tab/>
      </w:r>
      <w:r w:rsidRPr="00C806DC">
        <w:rPr>
          <w:b/>
          <w:bCs/>
          <w:rtl/>
        </w:rPr>
        <w:t>توصي اللجنة الدولة الطرف بتقديم معلومات عن هيكل الآلية الوطنية لمنع التعذيب، وعلاقتها باللجنة الوطنية لحقوق الإنسان من حيث استقلال</w:t>
      </w:r>
      <w:r w:rsidRPr="00C806DC">
        <w:rPr>
          <w:rFonts w:hint="cs"/>
          <w:b/>
          <w:bCs/>
          <w:rtl/>
        </w:rPr>
        <w:t>ها</w:t>
      </w:r>
      <w:r w:rsidRPr="00C806DC">
        <w:rPr>
          <w:b/>
          <w:bCs/>
          <w:rtl/>
        </w:rPr>
        <w:t xml:space="preserve"> وأدا</w:t>
      </w:r>
      <w:r w:rsidRPr="00C806DC">
        <w:rPr>
          <w:rFonts w:hint="cs"/>
          <w:b/>
          <w:bCs/>
          <w:rtl/>
        </w:rPr>
        <w:t>ؤ</w:t>
      </w:r>
      <w:r w:rsidRPr="00C806DC">
        <w:rPr>
          <w:b/>
          <w:bCs/>
          <w:rtl/>
        </w:rPr>
        <w:t xml:space="preserve">ها لولايتها. وتوصي اللجنة الدولة الطرف كذلك بأن تخصص للآلية الموارد المادية والبشرية التي تتيح لها الاضطلاع بمهمتها الوقائية بفعالية. </w:t>
      </w:r>
    </w:p>
    <w:p w14:paraId="3B7EFD79" w14:textId="66CADFB3" w:rsidR="00012F60" w:rsidRPr="00C806DC" w:rsidRDefault="00EC166D" w:rsidP="00EC166D">
      <w:pPr>
        <w:pStyle w:val="H23GA"/>
        <w:rPr>
          <w:lang w:val="ar-SA" w:eastAsia="zh-TW" w:bidi="en-GB"/>
        </w:rPr>
      </w:pPr>
      <w:r w:rsidRPr="00C806DC">
        <w:rPr>
          <w:rFonts w:ascii="Traditional Arabic"/>
          <w:rtl/>
        </w:rPr>
        <w:tab/>
      </w:r>
      <w:r w:rsidR="00B672BA" w:rsidRPr="00C806DC">
        <w:rPr>
          <w:rtl/>
        </w:rPr>
        <w:t>2</w:t>
      </w:r>
      <w:r w:rsidR="00B672BA" w:rsidRPr="00C806DC">
        <w:rPr>
          <w:rFonts w:ascii="Traditional Arabic"/>
          <w:rtl/>
        </w:rPr>
        <w:t>-</w:t>
      </w:r>
      <w:r w:rsidR="00B672BA" w:rsidRPr="00C806DC">
        <w:rPr>
          <w:rtl/>
        </w:rPr>
        <w:tab/>
        <w:t xml:space="preserve">تعريف الاختفاء القسري وتجريمه (المواد من 1 إلى </w:t>
      </w:r>
      <w:r w:rsidR="00012F60" w:rsidRPr="00C806DC">
        <w:rPr>
          <w:rtl/>
        </w:rPr>
        <w:t>7</w:t>
      </w:r>
      <w:r w:rsidR="00012F60" w:rsidRPr="00C806DC">
        <w:rPr>
          <w:rFonts w:ascii="Traditional Arabic"/>
          <w:rtl/>
        </w:rPr>
        <w:t>)</w:t>
      </w:r>
    </w:p>
    <w:p w14:paraId="3EEE46D5" w14:textId="11CED43D" w:rsidR="00B672BA" w:rsidRPr="00C806DC" w:rsidRDefault="00B672BA" w:rsidP="00EC166D">
      <w:pPr>
        <w:pStyle w:val="H4GA"/>
        <w:rPr>
          <w:lang w:val="ar-SA" w:eastAsia="zh-TW" w:bidi="en-GB"/>
        </w:rPr>
      </w:pPr>
      <w:r w:rsidRPr="00C806DC">
        <w:rPr>
          <w:rtl/>
        </w:rPr>
        <w:tab/>
      </w:r>
      <w:r w:rsidRPr="00C806DC">
        <w:rPr>
          <w:rtl/>
        </w:rPr>
        <w:tab/>
        <w:t>المعلومات الإحصائية وقواعد البيانات</w:t>
      </w:r>
    </w:p>
    <w:p w14:paraId="308C819F" w14:textId="7E365FB0" w:rsidR="00012F60" w:rsidRPr="00012F60" w:rsidRDefault="00B672BA" w:rsidP="00EC166D">
      <w:pPr>
        <w:pStyle w:val="SingleTxtGA"/>
        <w:rPr>
          <w:lang w:val="ar-SA" w:eastAsia="zh-TW" w:bidi="en-GB"/>
        </w:rPr>
      </w:pPr>
      <w:r w:rsidRPr="00C806DC">
        <w:rPr>
          <w:rtl/>
        </w:rPr>
        <w:t>16</w:t>
      </w:r>
      <w:r w:rsidRPr="008F0655">
        <w:rPr>
          <w:rFonts w:ascii="Traditional Arabic"/>
          <w:rtl/>
        </w:rPr>
        <w:t>-</w:t>
      </w:r>
      <w:r w:rsidRPr="008F0655">
        <w:rPr>
          <w:rtl/>
        </w:rPr>
        <w:tab/>
        <w:t>تحيط اللجنة علما</w:t>
      </w:r>
      <w:r w:rsidR="00123777">
        <w:rPr>
          <w:rFonts w:hint="cs"/>
          <w:rtl/>
        </w:rPr>
        <w:t>ً</w:t>
      </w:r>
      <w:r w:rsidRPr="008F0655">
        <w:rPr>
          <w:rtl/>
        </w:rPr>
        <w:t xml:space="preserve"> بتأكيد الدولة الطرف أنها لا تملك إحصاءات ولا قواعد بيانات عن الأشخاص المختفين (المواد </w:t>
      </w:r>
      <w:r w:rsidRPr="00C806DC">
        <w:rPr>
          <w:rtl/>
        </w:rPr>
        <w:t>1</w:t>
      </w:r>
      <w:r w:rsidRPr="008F0655">
        <w:rPr>
          <w:rtl/>
        </w:rPr>
        <w:t xml:space="preserve"> و</w:t>
      </w:r>
      <w:r w:rsidRPr="00C806DC">
        <w:rPr>
          <w:rtl/>
        </w:rPr>
        <w:t>2</w:t>
      </w:r>
      <w:r w:rsidRPr="008F0655">
        <w:rPr>
          <w:rtl/>
        </w:rPr>
        <w:t xml:space="preserve"> و</w:t>
      </w:r>
      <w:r w:rsidRPr="00C806DC">
        <w:rPr>
          <w:rtl/>
        </w:rPr>
        <w:t>3</w:t>
      </w:r>
      <w:r w:rsidRPr="008F0655">
        <w:rPr>
          <w:rtl/>
        </w:rPr>
        <w:t xml:space="preserve"> و</w:t>
      </w:r>
      <w:r w:rsidRPr="00C806DC">
        <w:rPr>
          <w:rtl/>
        </w:rPr>
        <w:t>12</w:t>
      </w:r>
      <w:r w:rsidRPr="008F0655">
        <w:rPr>
          <w:rtl/>
        </w:rPr>
        <w:t xml:space="preserve"> و</w:t>
      </w:r>
      <w:r w:rsidRPr="00C806DC">
        <w:rPr>
          <w:rtl/>
        </w:rPr>
        <w:t>2</w:t>
      </w:r>
      <w:r w:rsidR="00012F60" w:rsidRPr="00C806DC">
        <w:rPr>
          <w:rtl/>
        </w:rPr>
        <w:t>4</w:t>
      </w:r>
      <w:r w:rsidR="00012F60" w:rsidRPr="00012F60">
        <w:rPr>
          <w:rFonts w:ascii="Traditional Arabic"/>
          <w:rtl/>
        </w:rPr>
        <w:t>)</w:t>
      </w:r>
      <w:r w:rsidR="00012F60" w:rsidRPr="00012F60">
        <w:rPr>
          <w:rtl/>
        </w:rPr>
        <w:t>.</w:t>
      </w:r>
    </w:p>
    <w:p w14:paraId="2C7C3B77" w14:textId="195570C1" w:rsidR="00B672BA" w:rsidRPr="00C806DC" w:rsidRDefault="00B672BA" w:rsidP="00EC166D">
      <w:pPr>
        <w:pStyle w:val="SingleTxtGA"/>
        <w:rPr>
          <w:b/>
          <w:bCs/>
          <w:lang w:val="ar-SA" w:eastAsia="zh-TW" w:bidi="en-GB"/>
        </w:rPr>
      </w:pPr>
      <w:r w:rsidRPr="00C806DC">
        <w:rPr>
          <w:rtl/>
        </w:rPr>
        <w:t>17</w:t>
      </w:r>
      <w:r w:rsidRPr="008F0655">
        <w:rPr>
          <w:rFonts w:ascii="Traditional Arabic"/>
          <w:rtl/>
        </w:rPr>
        <w:t>-</w:t>
      </w:r>
      <w:r w:rsidRPr="008F0655">
        <w:rPr>
          <w:rtl/>
        </w:rPr>
        <w:tab/>
      </w:r>
      <w:r w:rsidRPr="00C806DC">
        <w:rPr>
          <w:b/>
          <w:bCs/>
          <w:rtl/>
        </w:rPr>
        <w:t xml:space="preserve">ينبغي للدولة الطرف أن تعد دون إبطاء معلومات إحصائية دقيقة ومحدثة عن الأشخاص المختفين، تكون مصنّفة حسب الجنس والميل الجنسي والهوية الجنسانية والعمر والجنسية ومكان المنشأ والأصل العرقي أو الإثني. وينبغي أن تتضمن هذه المعلومات تاريخ الاختفاء، وعدد الأشخاص </w:t>
      </w:r>
      <w:r w:rsidRPr="00C806DC">
        <w:rPr>
          <w:b/>
          <w:bCs/>
          <w:rtl/>
        </w:rPr>
        <w:lastRenderedPageBreak/>
        <w:t>المختفين الذين تم تحديد مكانهم، سواء كانوا أحياء أم لا، وعدد الحالات التي شاركت فيها الدولة بطريقة أو بأخرى بالمعنى المقصود في المادة 2 من الاتفاقية.</w:t>
      </w:r>
    </w:p>
    <w:p w14:paraId="35021288" w14:textId="77777777" w:rsidR="00B672BA" w:rsidRPr="00C806DC" w:rsidRDefault="00B672BA" w:rsidP="00EC166D">
      <w:pPr>
        <w:pStyle w:val="H4GA"/>
        <w:rPr>
          <w:lang w:val="ar-SA" w:eastAsia="zh-TW" w:bidi="en-GB"/>
        </w:rPr>
      </w:pPr>
      <w:r w:rsidRPr="00C806DC">
        <w:rPr>
          <w:rtl/>
        </w:rPr>
        <w:tab/>
      </w:r>
      <w:r w:rsidRPr="00C806DC">
        <w:rPr>
          <w:rtl/>
        </w:rPr>
        <w:tab/>
        <w:t>جريمة الاختفاء القسري المستقلة والعقوبات المناسبة</w:t>
      </w:r>
    </w:p>
    <w:p w14:paraId="2B8DBE21" w14:textId="79DCEE3C" w:rsidR="00B672BA" w:rsidRPr="0072456F" w:rsidRDefault="00B672BA" w:rsidP="00EC166D">
      <w:pPr>
        <w:pStyle w:val="SingleTxtGA"/>
        <w:rPr>
          <w:spacing w:val="2"/>
          <w:lang w:val="ar-SA" w:eastAsia="zh-TW" w:bidi="en-GB"/>
        </w:rPr>
      </w:pPr>
      <w:r w:rsidRPr="00C806DC">
        <w:rPr>
          <w:spacing w:val="2"/>
          <w:rtl/>
        </w:rPr>
        <w:t>18</w:t>
      </w:r>
      <w:r w:rsidRPr="0072456F">
        <w:rPr>
          <w:rFonts w:ascii="Traditional Arabic"/>
          <w:spacing w:val="2"/>
          <w:rtl/>
        </w:rPr>
        <w:t>-</w:t>
      </w:r>
      <w:r w:rsidRPr="0072456F">
        <w:rPr>
          <w:spacing w:val="2"/>
          <w:rtl/>
        </w:rPr>
        <w:tab/>
        <w:t xml:space="preserve">يساور اللجنة القلق لأن الاختفاء القسري لا يشكل </w:t>
      </w:r>
      <w:r w:rsidRPr="0072456F">
        <w:rPr>
          <w:rFonts w:hint="cs"/>
          <w:spacing w:val="2"/>
          <w:rtl/>
        </w:rPr>
        <w:t xml:space="preserve">بعد </w:t>
      </w:r>
      <w:r w:rsidRPr="0072456F">
        <w:rPr>
          <w:spacing w:val="2"/>
          <w:rtl/>
        </w:rPr>
        <w:t xml:space="preserve">جريمة قائمة بذاتها في القانون المحلي. بيد أنها تلاحظ أن المادة </w:t>
      </w:r>
      <w:r w:rsidRPr="00C806DC">
        <w:rPr>
          <w:spacing w:val="2"/>
          <w:rtl/>
        </w:rPr>
        <w:t>324</w:t>
      </w:r>
      <w:r w:rsidRPr="0072456F">
        <w:rPr>
          <w:rFonts w:ascii="Traditional Arabic"/>
          <w:spacing w:val="2"/>
          <w:rtl/>
        </w:rPr>
        <w:t>-</w:t>
      </w:r>
      <w:r w:rsidRPr="00C806DC">
        <w:rPr>
          <w:spacing w:val="2"/>
          <w:rtl/>
        </w:rPr>
        <w:t>55</w:t>
      </w:r>
      <w:r w:rsidRPr="0072456F">
        <w:rPr>
          <w:spacing w:val="2"/>
          <w:rtl/>
        </w:rPr>
        <w:t xml:space="preserve"> من مشروع القانون الجنائي الجديد تنص على أن الاختفاء القسري جريمة مستقلة بذاتها، وتلاحظ أن التعريف الوارد فيها يتسق مع أحكام المادة </w:t>
      </w:r>
      <w:r w:rsidRPr="00C806DC">
        <w:rPr>
          <w:spacing w:val="2"/>
          <w:rtl/>
        </w:rPr>
        <w:t>2</w:t>
      </w:r>
      <w:r w:rsidRPr="0072456F">
        <w:rPr>
          <w:spacing w:val="2"/>
          <w:rtl/>
        </w:rPr>
        <w:t xml:space="preserve"> من الاتفاقية (المواد </w:t>
      </w:r>
      <w:r w:rsidRPr="00C806DC">
        <w:rPr>
          <w:spacing w:val="2"/>
          <w:rtl/>
        </w:rPr>
        <w:t>2</w:t>
      </w:r>
      <w:r w:rsidRPr="0072456F">
        <w:rPr>
          <w:spacing w:val="2"/>
          <w:rtl/>
        </w:rPr>
        <w:t xml:space="preserve"> و</w:t>
      </w:r>
      <w:r w:rsidRPr="00C806DC">
        <w:rPr>
          <w:spacing w:val="2"/>
          <w:rtl/>
        </w:rPr>
        <w:t>4</w:t>
      </w:r>
      <w:r w:rsidRPr="0072456F">
        <w:rPr>
          <w:spacing w:val="2"/>
          <w:rtl/>
        </w:rPr>
        <w:t xml:space="preserve"> و</w:t>
      </w:r>
      <w:r w:rsidR="00012F60" w:rsidRPr="00C806DC">
        <w:rPr>
          <w:spacing w:val="2"/>
          <w:rtl/>
        </w:rPr>
        <w:t>8</w:t>
      </w:r>
      <w:r w:rsidR="00012F60" w:rsidRPr="00012F60">
        <w:rPr>
          <w:rFonts w:ascii="Traditional Arabic"/>
          <w:spacing w:val="2"/>
          <w:rtl/>
        </w:rPr>
        <w:t>)</w:t>
      </w:r>
      <w:r w:rsidR="00012F60" w:rsidRPr="00012F60">
        <w:rPr>
          <w:spacing w:val="2"/>
          <w:rtl/>
        </w:rPr>
        <w:t xml:space="preserve">. </w:t>
      </w:r>
    </w:p>
    <w:p w14:paraId="77C3BFD7" w14:textId="60C27BCB" w:rsidR="00B672BA" w:rsidRPr="00C806DC" w:rsidRDefault="00B672BA" w:rsidP="00EC166D">
      <w:pPr>
        <w:pStyle w:val="SingleTxtGA"/>
        <w:rPr>
          <w:b/>
          <w:bCs/>
          <w:lang w:val="ar-SA" w:eastAsia="zh-TW" w:bidi="en-GB"/>
        </w:rPr>
      </w:pPr>
      <w:r w:rsidRPr="00C806DC">
        <w:rPr>
          <w:rtl/>
        </w:rPr>
        <w:t>19</w:t>
      </w:r>
      <w:r w:rsidRPr="008F0655">
        <w:rPr>
          <w:rFonts w:ascii="Traditional Arabic"/>
          <w:rtl/>
        </w:rPr>
        <w:t>-</w:t>
      </w:r>
      <w:r w:rsidRPr="008F0655">
        <w:rPr>
          <w:rtl/>
        </w:rPr>
        <w:tab/>
      </w:r>
      <w:r w:rsidRPr="00C806DC">
        <w:rPr>
          <w:b/>
          <w:bCs/>
          <w:rtl/>
        </w:rPr>
        <w:t>تدعو اللجنة الدولة الطرف إلى أن تختتم دون إبطاء إجراءات اعتماد القانون الجنائي الجديد بضمان احتوائه على حكم يجرم الاختفاء القسري بوصفه جريمة مستقلة، على النحو المعرف في المادة</w:t>
      </w:r>
      <w:r w:rsidR="00AC4F00" w:rsidRPr="00C806DC">
        <w:rPr>
          <w:rFonts w:hint="cs"/>
          <w:b/>
          <w:bCs/>
          <w:rtl/>
        </w:rPr>
        <w:t> </w:t>
      </w:r>
      <w:r w:rsidRPr="00C806DC">
        <w:rPr>
          <w:b/>
          <w:bCs/>
          <w:rtl/>
        </w:rPr>
        <w:t>2 من الاتفاقية، وينص في جملة أمور على فترة تقادم طويلة تتناسب مع الخطورة القصوى للجريمة و</w:t>
      </w:r>
      <w:r w:rsidRPr="00C806DC">
        <w:rPr>
          <w:rFonts w:hint="cs"/>
          <w:b/>
          <w:bCs/>
          <w:rtl/>
        </w:rPr>
        <w:t>ي</w:t>
      </w:r>
      <w:r w:rsidRPr="00C806DC">
        <w:rPr>
          <w:b/>
          <w:bCs/>
          <w:rtl/>
        </w:rPr>
        <w:t>بدأ سريان</w:t>
      </w:r>
      <w:r w:rsidRPr="00C806DC">
        <w:rPr>
          <w:rFonts w:hint="cs"/>
          <w:b/>
          <w:bCs/>
          <w:rtl/>
        </w:rPr>
        <w:t>ها</w:t>
      </w:r>
      <w:r w:rsidRPr="00C806DC">
        <w:rPr>
          <w:b/>
          <w:bCs/>
          <w:rtl/>
        </w:rPr>
        <w:t xml:space="preserve"> عندما تتوقف الجريمة، بالنظر إلى طبيعة الاختفاء القسري المستمرة.</w:t>
      </w:r>
    </w:p>
    <w:p w14:paraId="2BA3A2BA" w14:textId="77777777" w:rsidR="00B672BA" w:rsidRPr="00C806DC" w:rsidRDefault="00B672BA" w:rsidP="00EC166D">
      <w:pPr>
        <w:pStyle w:val="H4GA"/>
        <w:rPr>
          <w:lang w:val="ar-SA" w:eastAsia="zh-TW" w:bidi="en-GB"/>
        </w:rPr>
      </w:pPr>
      <w:r w:rsidRPr="00C806DC">
        <w:rPr>
          <w:rtl/>
        </w:rPr>
        <w:tab/>
      </w:r>
      <w:r w:rsidRPr="00C806DC">
        <w:rPr>
          <w:rtl/>
        </w:rPr>
        <w:tab/>
        <w:t xml:space="preserve">المسؤولية الجنائية للمسؤولين </w:t>
      </w:r>
      <w:r w:rsidRPr="00C806DC">
        <w:rPr>
          <w:rFonts w:hint="cs"/>
          <w:rtl/>
        </w:rPr>
        <w:t>الأعلى مرتبة</w:t>
      </w:r>
      <w:r w:rsidRPr="00C806DC">
        <w:rPr>
          <w:rtl/>
        </w:rPr>
        <w:t>، والطاعة الواجبة</w:t>
      </w:r>
    </w:p>
    <w:p w14:paraId="4DE1310A" w14:textId="500A3797" w:rsidR="00012F60" w:rsidRPr="00012F60" w:rsidRDefault="00B672BA" w:rsidP="00EC166D">
      <w:pPr>
        <w:pStyle w:val="SingleTxtGA"/>
        <w:rPr>
          <w:lang w:val="ar-SA" w:eastAsia="zh-TW" w:bidi="en-GB"/>
        </w:rPr>
      </w:pPr>
      <w:r w:rsidRPr="00C806DC">
        <w:rPr>
          <w:rtl/>
        </w:rPr>
        <w:t>20</w:t>
      </w:r>
      <w:r w:rsidRPr="008F0655">
        <w:rPr>
          <w:rFonts w:ascii="Traditional Arabic"/>
          <w:rtl/>
        </w:rPr>
        <w:t>-</w:t>
      </w:r>
      <w:r w:rsidRPr="008F0655">
        <w:rPr>
          <w:rtl/>
        </w:rPr>
        <w:tab/>
        <w:t xml:space="preserve">يساور اللجنة القلق لأن التشريع الجنائي: (أ) لا يتضمن مسؤولية الرؤساء المسؤولين في ظل الشروط المنصوص عليها في الفقرة </w:t>
      </w:r>
      <w:r w:rsidRPr="00C806DC">
        <w:rPr>
          <w:rtl/>
        </w:rPr>
        <w:t>1</w:t>
      </w:r>
      <w:r w:rsidRPr="008F0655">
        <w:rPr>
          <w:rFonts w:ascii="Traditional Arabic"/>
          <w:rtl/>
        </w:rPr>
        <w:t>(</w:t>
      </w:r>
      <w:r w:rsidRPr="008F0655">
        <w:rPr>
          <w:rtl/>
        </w:rPr>
        <w:t>ب</w:t>
      </w:r>
      <w:r w:rsidRPr="008F0655">
        <w:rPr>
          <w:rFonts w:ascii="Traditional Arabic"/>
          <w:rtl/>
        </w:rPr>
        <w:t>)</w:t>
      </w:r>
      <w:r w:rsidRPr="008F0655">
        <w:rPr>
          <w:rtl/>
        </w:rPr>
        <w:t xml:space="preserve"> من المادة </w:t>
      </w:r>
      <w:r w:rsidRPr="00C806DC">
        <w:rPr>
          <w:rtl/>
        </w:rPr>
        <w:t>6</w:t>
      </w:r>
      <w:r w:rsidRPr="008F0655">
        <w:rPr>
          <w:rtl/>
        </w:rPr>
        <w:t xml:space="preserve"> من الاتفاقية؛ (ب) لا يحظر صراحةً </w:t>
      </w:r>
      <w:r>
        <w:rPr>
          <w:rFonts w:hint="cs"/>
          <w:rtl/>
        </w:rPr>
        <w:t>التذرع</w:t>
      </w:r>
      <w:r w:rsidRPr="008F0655">
        <w:rPr>
          <w:rtl/>
        </w:rPr>
        <w:t xml:space="preserve"> بالطاعة الواجبة للرؤساء لتبرير جريمة الاختفاء القسري (المادتان </w:t>
      </w:r>
      <w:r w:rsidRPr="00C806DC">
        <w:rPr>
          <w:rtl/>
        </w:rPr>
        <w:t>6</w:t>
      </w:r>
      <w:r w:rsidRPr="008F0655">
        <w:rPr>
          <w:rtl/>
        </w:rPr>
        <w:t xml:space="preserve"> و</w:t>
      </w:r>
      <w:r w:rsidRPr="00C806DC">
        <w:rPr>
          <w:rtl/>
        </w:rPr>
        <w:t>23</w:t>
      </w:r>
      <w:r w:rsidRPr="008F0655">
        <w:rPr>
          <w:rtl/>
        </w:rPr>
        <w:t xml:space="preserve"> من الاتفاقية</w:t>
      </w:r>
      <w:r w:rsidR="00012F60" w:rsidRPr="00012F60">
        <w:rPr>
          <w:rtl/>
        </w:rPr>
        <w:t>).</w:t>
      </w:r>
    </w:p>
    <w:p w14:paraId="732483D1" w14:textId="6AC0A84C" w:rsidR="00B672BA" w:rsidRPr="00C806DC" w:rsidRDefault="00B672BA" w:rsidP="00EC166D">
      <w:pPr>
        <w:pStyle w:val="SingleTxtGA"/>
        <w:rPr>
          <w:b/>
          <w:bCs/>
          <w:lang w:val="ar-SA" w:eastAsia="zh-TW" w:bidi="en-GB"/>
        </w:rPr>
      </w:pPr>
      <w:r w:rsidRPr="00C806DC">
        <w:rPr>
          <w:rtl/>
        </w:rPr>
        <w:t>21</w:t>
      </w:r>
      <w:r w:rsidRPr="008F0655">
        <w:rPr>
          <w:rFonts w:ascii="Traditional Arabic"/>
          <w:rtl/>
        </w:rPr>
        <w:t>-</w:t>
      </w:r>
      <w:r w:rsidRPr="008F0655">
        <w:rPr>
          <w:rtl/>
        </w:rPr>
        <w:tab/>
      </w:r>
      <w:r w:rsidRPr="00C806DC">
        <w:rPr>
          <w:b/>
          <w:bCs/>
          <w:rtl/>
        </w:rPr>
        <w:t xml:space="preserve">توصي اللجنة الدولة الطرف بأن تحمل المسؤولية الجنائية لأي شخص يرتكب اختفاء قسرياً أو يأمر أو </w:t>
      </w:r>
      <w:r w:rsidRPr="00C806DC">
        <w:rPr>
          <w:rFonts w:hint="cs"/>
          <w:b/>
          <w:bCs/>
          <w:rtl/>
        </w:rPr>
        <w:t>يوصي ب</w:t>
      </w:r>
      <w:r w:rsidRPr="00C806DC">
        <w:rPr>
          <w:b/>
          <w:bCs/>
          <w:rtl/>
        </w:rPr>
        <w:t>ارتكابه أو يحاول ارتكابه أو يكون متواطئاً في ارتكابه أو مشاركاً فيه، وفقاً للمادة</w:t>
      </w:r>
      <w:r w:rsidR="0072456F" w:rsidRPr="00C806DC">
        <w:rPr>
          <w:rFonts w:hint="cs"/>
          <w:b/>
          <w:bCs/>
          <w:rtl/>
        </w:rPr>
        <w:t> </w:t>
      </w:r>
      <w:r w:rsidRPr="00C806DC">
        <w:rPr>
          <w:b/>
          <w:bCs/>
          <w:rtl/>
        </w:rPr>
        <w:t>6</w:t>
      </w:r>
      <w:r w:rsidRPr="00C806DC">
        <w:rPr>
          <w:rFonts w:ascii="Traditional Arabic"/>
          <w:b/>
          <w:bCs/>
          <w:rtl/>
        </w:rPr>
        <w:t>(</w:t>
      </w:r>
      <w:r w:rsidRPr="00C806DC">
        <w:rPr>
          <w:b/>
          <w:bCs/>
          <w:rtl/>
        </w:rPr>
        <w:t>1</w:t>
      </w:r>
      <w:r w:rsidRPr="00C806DC">
        <w:rPr>
          <w:rFonts w:ascii="Traditional Arabic"/>
          <w:b/>
          <w:bCs/>
          <w:rtl/>
        </w:rPr>
        <w:t>)(</w:t>
      </w:r>
      <w:r w:rsidRPr="00C806DC">
        <w:rPr>
          <w:b/>
          <w:bCs/>
          <w:rtl/>
        </w:rPr>
        <w:t>أ</w:t>
      </w:r>
      <w:r w:rsidRPr="00C806DC">
        <w:rPr>
          <w:rFonts w:ascii="Traditional Arabic"/>
          <w:b/>
          <w:bCs/>
          <w:rtl/>
        </w:rPr>
        <w:t>)</w:t>
      </w:r>
      <w:r w:rsidRPr="00C806DC">
        <w:rPr>
          <w:b/>
          <w:bCs/>
          <w:rtl/>
        </w:rPr>
        <w:t xml:space="preserve"> من الاتفاقية، ومعاقبته على النحو الواجب</w:t>
      </w:r>
      <w:r w:rsidRPr="00C806DC">
        <w:rPr>
          <w:rFonts w:hint="cs"/>
          <w:b/>
          <w:bCs/>
          <w:rtl/>
        </w:rPr>
        <w:t>.</w:t>
      </w:r>
      <w:r w:rsidRPr="00C806DC">
        <w:rPr>
          <w:b/>
          <w:bCs/>
          <w:rtl/>
        </w:rPr>
        <w:t xml:space="preserve"> كما تدعو الدولة الطرف إلى ضمان </w:t>
      </w:r>
      <w:r w:rsidRPr="00C806DC">
        <w:rPr>
          <w:rFonts w:hint="cs"/>
          <w:b/>
          <w:bCs/>
          <w:rtl/>
        </w:rPr>
        <w:t>إيراد إشارة صريحة في</w:t>
      </w:r>
      <w:r w:rsidRPr="00C806DC">
        <w:rPr>
          <w:b/>
          <w:bCs/>
          <w:rtl/>
        </w:rPr>
        <w:t xml:space="preserve"> التشريعات المحلية </w:t>
      </w:r>
      <w:r w:rsidRPr="00C806DC">
        <w:rPr>
          <w:rFonts w:hint="cs"/>
          <w:b/>
          <w:bCs/>
          <w:rtl/>
        </w:rPr>
        <w:t>إلى</w:t>
      </w:r>
      <w:r w:rsidRPr="00C806DC">
        <w:rPr>
          <w:b/>
          <w:bCs/>
          <w:rtl/>
        </w:rPr>
        <w:t xml:space="preserve"> المسؤولية الجنائية للرؤساء </w:t>
      </w:r>
      <w:r w:rsidRPr="00C806DC">
        <w:rPr>
          <w:rFonts w:hint="cs"/>
          <w:b/>
          <w:bCs/>
          <w:rtl/>
        </w:rPr>
        <w:t>والنص</w:t>
      </w:r>
      <w:r w:rsidRPr="00C806DC">
        <w:rPr>
          <w:b/>
          <w:bCs/>
          <w:rtl/>
        </w:rPr>
        <w:t xml:space="preserve"> على عدم جواز </w:t>
      </w:r>
      <w:r w:rsidRPr="00C806DC">
        <w:rPr>
          <w:rFonts w:hint="cs"/>
          <w:b/>
          <w:bCs/>
          <w:rtl/>
        </w:rPr>
        <w:t>التذرع</w:t>
      </w:r>
      <w:r w:rsidRPr="00C806DC">
        <w:rPr>
          <w:b/>
          <w:bCs/>
          <w:rtl/>
        </w:rPr>
        <w:t xml:space="preserve"> بأوامر أو تعليمات من الرؤساء لتبرير جريمة الاختفاء القسري، وفقاً للفقرتين </w:t>
      </w:r>
      <w:r w:rsidRPr="00C806DC">
        <w:rPr>
          <w:rFonts w:ascii="Traditional Arabic"/>
          <w:b/>
          <w:bCs/>
          <w:rtl/>
        </w:rPr>
        <w:t>(</w:t>
      </w:r>
      <w:r w:rsidRPr="00C806DC">
        <w:rPr>
          <w:b/>
          <w:bCs/>
          <w:rtl/>
        </w:rPr>
        <w:t>1</w:t>
      </w:r>
      <w:r w:rsidRPr="00C806DC">
        <w:rPr>
          <w:rFonts w:ascii="Traditional Arabic"/>
          <w:b/>
          <w:bCs/>
          <w:rtl/>
        </w:rPr>
        <w:t>)(</w:t>
      </w:r>
      <w:r w:rsidRPr="00C806DC">
        <w:rPr>
          <w:b/>
          <w:bCs/>
          <w:rtl/>
        </w:rPr>
        <w:t>ب</w:t>
      </w:r>
      <w:r w:rsidRPr="00C806DC">
        <w:rPr>
          <w:rFonts w:ascii="Traditional Arabic"/>
          <w:b/>
          <w:bCs/>
          <w:rtl/>
        </w:rPr>
        <w:t>)</w:t>
      </w:r>
      <w:r w:rsidRPr="00C806DC">
        <w:rPr>
          <w:b/>
          <w:bCs/>
          <w:rtl/>
        </w:rPr>
        <w:t xml:space="preserve"> و</w:t>
      </w:r>
      <w:r w:rsidRPr="00C806DC">
        <w:rPr>
          <w:rFonts w:ascii="Traditional Arabic"/>
          <w:b/>
          <w:bCs/>
          <w:rtl/>
        </w:rPr>
        <w:t>(</w:t>
      </w:r>
      <w:r w:rsidR="00012F60" w:rsidRPr="00C806DC">
        <w:rPr>
          <w:b/>
          <w:bCs/>
          <w:rtl/>
        </w:rPr>
        <w:t>2</w:t>
      </w:r>
      <w:r w:rsidR="00012F60" w:rsidRPr="00C806DC">
        <w:rPr>
          <w:rFonts w:ascii="Traditional Arabic"/>
          <w:b/>
          <w:bCs/>
          <w:rtl/>
        </w:rPr>
        <w:t>)</w:t>
      </w:r>
      <w:r w:rsidR="00012F60" w:rsidRPr="00C806DC">
        <w:rPr>
          <w:b/>
          <w:bCs/>
          <w:rtl/>
        </w:rPr>
        <w:t xml:space="preserve"> </w:t>
      </w:r>
      <w:r w:rsidRPr="00C806DC">
        <w:rPr>
          <w:b/>
          <w:bCs/>
          <w:rtl/>
        </w:rPr>
        <w:t>من المادة</w:t>
      </w:r>
      <w:r w:rsidR="0072456F" w:rsidRPr="00C806DC">
        <w:rPr>
          <w:rFonts w:hint="cs"/>
          <w:b/>
          <w:bCs/>
          <w:rtl/>
        </w:rPr>
        <w:t> </w:t>
      </w:r>
      <w:r w:rsidRPr="00C806DC">
        <w:rPr>
          <w:b/>
          <w:bCs/>
          <w:rtl/>
        </w:rPr>
        <w:t>6 من الاتفاقية.</w:t>
      </w:r>
    </w:p>
    <w:p w14:paraId="5AE1D3FF" w14:textId="77777777" w:rsidR="00B672BA" w:rsidRPr="00C806DC" w:rsidRDefault="00B672BA" w:rsidP="00EC166D">
      <w:pPr>
        <w:pStyle w:val="H4GA"/>
        <w:rPr>
          <w:lang w:eastAsia="zh-TW" w:bidi="en-GB"/>
        </w:rPr>
      </w:pPr>
      <w:r w:rsidRPr="00C806DC">
        <w:rPr>
          <w:rtl/>
        </w:rPr>
        <w:tab/>
      </w:r>
      <w:r w:rsidRPr="00C806DC">
        <w:rPr>
          <w:rtl/>
        </w:rPr>
        <w:tab/>
        <w:t>الظروف المشددة والمخففة</w:t>
      </w:r>
    </w:p>
    <w:p w14:paraId="248ECD35" w14:textId="501EC11D" w:rsidR="00B672BA" w:rsidRPr="008F0655" w:rsidRDefault="00B672BA" w:rsidP="00EC166D">
      <w:pPr>
        <w:pStyle w:val="SingleTxtGA"/>
        <w:rPr>
          <w:lang w:val="ar-SA" w:eastAsia="zh-TW" w:bidi="en-GB"/>
        </w:rPr>
      </w:pPr>
      <w:r w:rsidRPr="00C806DC">
        <w:rPr>
          <w:rtl/>
        </w:rPr>
        <w:t>22</w:t>
      </w:r>
      <w:r w:rsidRPr="008F0655">
        <w:rPr>
          <w:rFonts w:ascii="Traditional Arabic"/>
          <w:rtl/>
        </w:rPr>
        <w:t>-</w:t>
      </w:r>
      <w:r w:rsidRPr="008F0655">
        <w:rPr>
          <w:rtl/>
        </w:rPr>
        <w:tab/>
        <w:t xml:space="preserve">تلاحظ اللجنة أن المادتين </w:t>
      </w:r>
      <w:r w:rsidRPr="00C806DC">
        <w:rPr>
          <w:rtl/>
        </w:rPr>
        <w:t>18</w:t>
      </w:r>
      <w:r w:rsidRPr="008F0655">
        <w:rPr>
          <w:rtl/>
        </w:rPr>
        <w:t xml:space="preserve"> و</w:t>
      </w:r>
      <w:r w:rsidRPr="00C806DC">
        <w:rPr>
          <w:rtl/>
        </w:rPr>
        <w:t>19</w:t>
      </w:r>
      <w:r w:rsidRPr="008F0655">
        <w:rPr>
          <w:rtl/>
        </w:rPr>
        <w:t xml:space="preserve"> من القانون الجنائي لا تأخذان في الحسبان الظروف المشددة والمخففة في حالات الاختفاء القسري، وأن الظروف المخففة المنصوص عليها في المادة </w:t>
      </w:r>
      <w:r w:rsidRPr="00C806DC">
        <w:rPr>
          <w:rtl/>
        </w:rPr>
        <w:t>6</w:t>
      </w:r>
      <w:r w:rsidRPr="008F0655">
        <w:rPr>
          <w:rFonts w:ascii="Traditional Arabic"/>
          <w:rtl/>
        </w:rPr>
        <w:t>-</w:t>
      </w:r>
      <w:r w:rsidRPr="00C806DC">
        <w:rPr>
          <w:rtl/>
        </w:rPr>
        <w:t>5</w:t>
      </w:r>
      <w:r w:rsidRPr="008F0655">
        <w:rPr>
          <w:rtl/>
        </w:rPr>
        <w:t xml:space="preserve"> من مشروع </w:t>
      </w:r>
      <w:r>
        <w:rPr>
          <w:rFonts w:hint="cs"/>
          <w:rtl/>
        </w:rPr>
        <w:t>ال</w:t>
      </w:r>
      <w:r w:rsidRPr="008F0655">
        <w:rPr>
          <w:rtl/>
        </w:rPr>
        <w:t xml:space="preserve">قانون </w:t>
      </w:r>
      <w:r>
        <w:rPr>
          <w:rFonts w:hint="cs"/>
          <w:rtl/>
        </w:rPr>
        <w:t>الجنائي</w:t>
      </w:r>
      <w:r w:rsidRPr="008F0655">
        <w:rPr>
          <w:rtl/>
        </w:rPr>
        <w:t xml:space="preserve"> الجديد لا </w:t>
      </w:r>
      <w:r>
        <w:rPr>
          <w:rFonts w:hint="cs"/>
          <w:rtl/>
        </w:rPr>
        <w:t>تشير صراحةً إلى</w:t>
      </w:r>
      <w:r w:rsidRPr="008F0655">
        <w:rPr>
          <w:rtl/>
        </w:rPr>
        <w:t xml:space="preserve"> المساهمة الفعالة في "إعادة الشخص المختفي حيا</w:t>
      </w:r>
      <w:r w:rsidR="00123777">
        <w:rPr>
          <w:rFonts w:hint="cs"/>
          <w:rtl/>
        </w:rPr>
        <w:t>ً</w:t>
      </w:r>
      <w:r w:rsidRPr="008F0655">
        <w:rPr>
          <w:rtl/>
        </w:rPr>
        <w:t xml:space="preserve">"، طبقاً لما تنص عليه الفقرة </w:t>
      </w:r>
      <w:r w:rsidRPr="00C806DC">
        <w:rPr>
          <w:rtl/>
        </w:rPr>
        <w:t>2</w:t>
      </w:r>
      <w:r w:rsidRPr="008F0655">
        <w:rPr>
          <w:rtl/>
        </w:rPr>
        <w:t xml:space="preserve"> من المادة </w:t>
      </w:r>
      <w:r w:rsidRPr="00C806DC">
        <w:rPr>
          <w:rtl/>
        </w:rPr>
        <w:t>7</w:t>
      </w:r>
      <w:r w:rsidRPr="008F0655">
        <w:rPr>
          <w:rtl/>
        </w:rPr>
        <w:t xml:space="preserve"> من الاتفاقية.</w:t>
      </w:r>
    </w:p>
    <w:p w14:paraId="15632F7E" w14:textId="77777777" w:rsidR="00B672BA" w:rsidRPr="00C806DC" w:rsidRDefault="00B672BA" w:rsidP="00EC166D">
      <w:pPr>
        <w:pStyle w:val="SingleTxtGA"/>
        <w:rPr>
          <w:rFonts w:ascii="Times New Roman Bold" w:hAnsi="Times New Roman Bold" w:hint="eastAsia"/>
          <w:b/>
          <w:bCs/>
          <w:spacing w:val="-2"/>
          <w:lang w:val="ar-SA" w:eastAsia="zh-TW" w:bidi="en-GB"/>
        </w:rPr>
      </w:pPr>
      <w:r w:rsidRPr="00C806DC">
        <w:rPr>
          <w:rtl/>
        </w:rPr>
        <w:t>23</w:t>
      </w:r>
      <w:r w:rsidRPr="008F0655">
        <w:rPr>
          <w:rFonts w:ascii="Traditional Arabic"/>
          <w:rtl/>
        </w:rPr>
        <w:t>-</w:t>
      </w:r>
      <w:r w:rsidRPr="008F0655">
        <w:rPr>
          <w:rtl/>
        </w:rPr>
        <w:tab/>
      </w:r>
      <w:r w:rsidRPr="00C806DC">
        <w:rPr>
          <w:b/>
          <w:bCs/>
          <w:rtl/>
        </w:rPr>
        <w:t xml:space="preserve">توصي اللجنة الدولة الطرف بأن تكفل المعاقبة على جريمة الاختفاء القسري المدرجة في مشروع القانون الجنائي الجديد بعقوبات مناسبة تأخذ في الاعتبار خطورتها البالغة ولكنها تستبعد عقوبة الإعدام. وتدعو اللجنة الدولة الطرف أيضاً إلى النظر في تبيين جميع الظروف المحدَّدة لتخفيف </w:t>
      </w:r>
      <w:r w:rsidRPr="00C806DC">
        <w:rPr>
          <w:rFonts w:ascii="Times New Roman Bold" w:hAnsi="Times New Roman Bold"/>
          <w:b/>
          <w:bCs/>
          <w:spacing w:val="-2"/>
          <w:rtl/>
        </w:rPr>
        <w:t xml:space="preserve">وتشديد العقوبات على جريمة الاختفاء القسري المنصوص عليها في </w:t>
      </w:r>
      <w:r w:rsidRPr="00C806DC">
        <w:rPr>
          <w:rFonts w:ascii="Times New Roman Bold" w:hAnsi="Times New Roman Bold" w:hint="cs"/>
          <w:b/>
          <w:bCs/>
          <w:spacing w:val="-2"/>
          <w:rtl/>
        </w:rPr>
        <w:t xml:space="preserve">الفقرة 2 من </w:t>
      </w:r>
      <w:r w:rsidRPr="00C806DC">
        <w:rPr>
          <w:rFonts w:ascii="Times New Roman Bold" w:hAnsi="Times New Roman Bold"/>
          <w:b/>
          <w:bCs/>
          <w:spacing w:val="-2"/>
          <w:rtl/>
        </w:rPr>
        <w:t>المادة 7 من الاتفاقية.</w:t>
      </w:r>
    </w:p>
    <w:p w14:paraId="1921A1F5" w14:textId="77777777" w:rsidR="00B672BA" w:rsidRPr="00C806DC" w:rsidRDefault="00B672BA" w:rsidP="00EC166D">
      <w:pPr>
        <w:pStyle w:val="H4GA"/>
        <w:rPr>
          <w:lang w:val="ar-SA" w:eastAsia="zh-TW" w:bidi="en-GB"/>
        </w:rPr>
      </w:pPr>
      <w:r w:rsidRPr="00C806DC">
        <w:rPr>
          <w:rtl/>
        </w:rPr>
        <w:tab/>
      </w:r>
      <w:r w:rsidRPr="00C806DC">
        <w:rPr>
          <w:rtl/>
        </w:rPr>
        <w:tab/>
        <w:t>العفو</w:t>
      </w:r>
    </w:p>
    <w:p w14:paraId="2BF62C03" w14:textId="5F56CC06" w:rsidR="00012F60" w:rsidRPr="00012F60" w:rsidRDefault="00B672BA" w:rsidP="00EC166D">
      <w:pPr>
        <w:pStyle w:val="SingleTxtGA"/>
        <w:rPr>
          <w:lang w:val="ar-SA" w:eastAsia="zh-TW" w:bidi="en-GB"/>
        </w:rPr>
      </w:pPr>
      <w:r w:rsidRPr="00C806DC">
        <w:rPr>
          <w:rtl/>
        </w:rPr>
        <w:t>24</w:t>
      </w:r>
      <w:r w:rsidRPr="008F0655">
        <w:rPr>
          <w:rFonts w:ascii="Traditional Arabic"/>
          <w:rtl/>
        </w:rPr>
        <w:t>-</w:t>
      </w:r>
      <w:r w:rsidRPr="008F0655">
        <w:rPr>
          <w:rtl/>
        </w:rPr>
        <w:tab/>
        <w:t xml:space="preserve">يساور اللجنة القلق إزاء القانون رقم </w:t>
      </w:r>
      <w:r w:rsidRPr="00C806DC">
        <w:rPr>
          <w:rtl/>
        </w:rPr>
        <w:t>2012</w:t>
      </w:r>
      <w:r w:rsidRPr="008F0655">
        <w:rPr>
          <w:rFonts w:ascii="Traditional Arabic"/>
          <w:rtl/>
        </w:rPr>
        <w:t>-</w:t>
      </w:r>
      <w:r w:rsidRPr="00C806DC">
        <w:rPr>
          <w:rtl/>
        </w:rPr>
        <w:t>020</w:t>
      </w:r>
      <w:r w:rsidRPr="008F0655">
        <w:rPr>
          <w:rtl/>
        </w:rPr>
        <w:t xml:space="preserve"> المؤرخ </w:t>
      </w:r>
      <w:r w:rsidRPr="00C806DC">
        <w:rPr>
          <w:rtl/>
        </w:rPr>
        <w:t>18</w:t>
      </w:r>
      <w:r w:rsidRPr="008F0655">
        <w:rPr>
          <w:rtl/>
        </w:rPr>
        <w:t xml:space="preserve"> أيار/مايو </w:t>
      </w:r>
      <w:r w:rsidRPr="00C806DC">
        <w:rPr>
          <w:rtl/>
        </w:rPr>
        <w:t>2012</w:t>
      </w:r>
      <w:r w:rsidRPr="008F0655">
        <w:rPr>
          <w:rtl/>
        </w:rPr>
        <w:t xml:space="preserve"> بشأن العفو عن المتورطين في الأحداث التي وقعت أثناء التمرد الذي أدى إلى استقالة رئيس الجمهورية، والقانون رقم</w:t>
      </w:r>
      <w:r w:rsidR="009F017D">
        <w:rPr>
          <w:rFonts w:hint="cs"/>
          <w:rtl/>
        </w:rPr>
        <w:t> </w:t>
      </w:r>
      <w:r w:rsidRPr="00C806DC">
        <w:rPr>
          <w:rtl/>
        </w:rPr>
        <w:t>2019</w:t>
      </w:r>
      <w:r w:rsidRPr="008F0655">
        <w:rPr>
          <w:rFonts w:ascii="Traditional Arabic"/>
          <w:rtl/>
        </w:rPr>
        <w:t>-</w:t>
      </w:r>
      <w:r w:rsidRPr="00C806DC">
        <w:rPr>
          <w:rtl/>
        </w:rPr>
        <w:t>042</w:t>
      </w:r>
      <w:r w:rsidRPr="008F0655">
        <w:rPr>
          <w:rtl/>
        </w:rPr>
        <w:t xml:space="preserve"> المؤرخ </w:t>
      </w:r>
      <w:r w:rsidRPr="00C806DC">
        <w:rPr>
          <w:rtl/>
        </w:rPr>
        <w:t>24</w:t>
      </w:r>
      <w:r w:rsidRPr="008F0655">
        <w:rPr>
          <w:rtl/>
        </w:rPr>
        <w:t xml:space="preserve"> تموز/يوليه </w:t>
      </w:r>
      <w:r w:rsidRPr="00C806DC">
        <w:rPr>
          <w:rtl/>
        </w:rPr>
        <w:t>2019</w:t>
      </w:r>
      <w:r w:rsidRPr="008F0655">
        <w:rPr>
          <w:rtl/>
        </w:rPr>
        <w:t xml:space="preserve"> بشأن قانون الوفاق الوطني، من حيث إمكانية تفسيرهما </w:t>
      </w:r>
      <w:r w:rsidRPr="008F0655">
        <w:rPr>
          <w:rtl/>
        </w:rPr>
        <w:lastRenderedPageBreak/>
        <w:t>على أنهما ينطبقان على جرائم الاختفاء القسري. ويساور اللجنة القلق بوجه خاص إزاء الإفراج عن المتهمين في قضية أمادو هيا سانوغو، عملا</w:t>
      </w:r>
      <w:r w:rsidR="00123777">
        <w:rPr>
          <w:rFonts w:hint="cs"/>
          <w:rtl/>
        </w:rPr>
        <w:t>ً</w:t>
      </w:r>
      <w:r w:rsidRPr="008F0655">
        <w:rPr>
          <w:rtl/>
        </w:rPr>
        <w:t xml:space="preserve"> بقانون الوفاق الوطني (المواد </w:t>
      </w:r>
      <w:r w:rsidRPr="00C806DC">
        <w:rPr>
          <w:rtl/>
        </w:rPr>
        <w:t>7</w:t>
      </w:r>
      <w:r w:rsidRPr="008F0655">
        <w:rPr>
          <w:rtl/>
        </w:rPr>
        <w:t xml:space="preserve"> و</w:t>
      </w:r>
      <w:r w:rsidRPr="00C806DC">
        <w:rPr>
          <w:rtl/>
        </w:rPr>
        <w:t>11</w:t>
      </w:r>
      <w:r w:rsidRPr="008F0655">
        <w:rPr>
          <w:rtl/>
        </w:rPr>
        <w:t xml:space="preserve"> و</w:t>
      </w:r>
      <w:r w:rsidRPr="00C806DC">
        <w:rPr>
          <w:rtl/>
        </w:rPr>
        <w:t>2</w:t>
      </w:r>
      <w:r w:rsidR="00012F60" w:rsidRPr="00C806DC">
        <w:rPr>
          <w:rtl/>
        </w:rPr>
        <w:t>4</w:t>
      </w:r>
      <w:r w:rsidR="00012F60" w:rsidRPr="00012F60">
        <w:rPr>
          <w:rFonts w:ascii="Traditional Arabic"/>
          <w:rtl/>
        </w:rPr>
        <w:t>)</w:t>
      </w:r>
      <w:r w:rsidR="00012F60" w:rsidRPr="00012F60">
        <w:rPr>
          <w:rtl/>
        </w:rPr>
        <w:t>.</w:t>
      </w:r>
    </w:p>
    <w:p w14:paraId="031E2850" w14:textId="1E03335A" w:rsidR="00B672BA" w:rsidRPr="00C806DC" w:rsidRDefault="00B672BA" w:rsidP="00EC166D">
      <w:pPr>
        <w:pStyle w:val="SingleTxtGA"/>
        <w:rPr>
          <w:b/>
          <w:bCs/>
          <w:lang w:val="ar-SA" w:eastAsia="zh-TW" w:bidi="en-GB"/>
        </w:rPr>
      </w:pPr>
      <w:r w:rsidRPr="00C806DC">
        <w:rPr>
          <w:rtl/>
        </w:rPr>
        <w:t>25</w:t>
      </w:r>
      <w:r w:rsidRPr="008F0655">
        <w:rPr>
          <w:rFonts w:ascii="Traditional Arabic"/>
          <w:rtl/>
        </w:rPr>
        <w:t>-</w:t>
      </w:r>
      <w:r w:rsidRPr="00C806DC">
        <w:rPr>
          <w:b/>
          <w:bCs/>
          <w:rtl/>
        </w:rPr>
        <w:tab/>
        <w:t>توصي اللجنة الدولة الطرف بإلغاء أي حكم من شأنه أن يؤدي إلى إعفاء مرتكبي جريمة الاختفاء القسري من الملاحقات أو العقوبات الجنائية. وتوصي اللجنة الدولة الطرف، على وجه الخصوص، باتخاذ التدابير التشريعية اللازمة لإلغاء إمكانية منح العفو في حالات الجرائم الدولية، بما فيها الاختفاء القسري.</w:t>
      </w:r>
    </w:p>
    <w:p w14:paraId="36FD33D2" w14:textId="77777777" w:rsidR="00B672BA" w:rsidRPr="00C806DC" w:rsidRDefault="00B672BA" w:rsidP="00EC166D">
      <w:pPr>
        <w:pStyle w:val="H4GA"/>
        <w:rPr>
          <w:lang w:val="ar-SA" w:eastAsia="zh-TW" w:bidi="en-GB"/>
        </w:rPr>
      </w:pPr>
      <w:r w:rsidRPr="00C806DC">
        <w:rPr>
          <w:rtl/>
        </w:rPr>
        <w:tab/>
      </w:r>
      <w:r w:rsidRPr="00C806DC">
        <w:rPr>
          <w:rtl/>
        </w:rPr>
        <w:tab/>
        <w:t xml:space="preserve">الأفعال التي ترتكبها جهات فاعلة </w:t>
      </w:r>
      <w:r w:rsidRPr="00C806DC">
        <w:rPr>
          <w:rFonts w:hint="cs"/>
          <w:rtl/>
        </w:rPr>
        <w:t>غير حكومية</w:t>
      </w:r>
      <w:r w:rsidRPr="00C806DC">
        <w:rPr>
          <w:rtl/>
        </w:rPr>
        <w:t xml:space="preserve"> دون مشاركة الدول</w:t>
      </w:r>
      <w:r w:rsidRPr="00C806DC">
        <w:rPr>
          <w:rFonts w:hint="cs"/>
          <w:rtl/>
        </w:rPr>
        <w:t>ة</w:t>
      </w:r>
    </w:p>
    <w:p w14:paraId="07F7F173" w14:textId="1153C9B6" w:rsidR="00012F60" w:rsidRPr="00012F60" w:rsidRDefault="00B672BA" w:rsidP="00EC166D">
      <w:pPr>
        <w:pStyle w:val="SingleTxtGA"/>
        <w:rPr>
          <w:spacing w:val="-2"/>
          <w:lang w:val="ar-SA" w:eastAsia="zh-TW" w:bidi="en-GB"/>
        </w:rPr>
      </w:pPr>
      <w:r w:rsidRPr="00C806DC">
        <w:rPr>
          <w:rtl/>
        </w:rPr>
        <w:t>26</w:t>
      </w:r>
      <w:r w:rsidRPr="008F0655">
        <w:rPr>
          <w:rFonts w:ascii="Traditional Arabic"/>
          <w:rtl/>
        </w:rPr>
        <w:t>-</w:t>
      </w:r>
      <w:r w:rsidRPr="008F0655">
        <w:rPr>
          <w:rtl/>
        </w:rPr>
        <w:tab/>
        <w:t xml:space="preserve">تدرك اللجنة التحديات العديدة التي تواجهها الدولة الطرف نتيجة الانتهاكات الجسيمة التي ترتكبها جماعات مسلحة غير حكومية، بما في ذلك حالات الاختفاء. ومع ذلك، تأسف اللجنة لأنها لم تتلق معلومات عن التحقيقات في حالات الاختفاء هذه ونتائجها، بما في ذلك العقوبات المفروضة على </w:t>
      </w:r>
      <w:r w:rsidRPr="009F017D">
        <w:rPr>
          <w:spacing w:val="-2"/>
          <w:rtl/>
        </w:rPr>
        <w:t xml:space="preserve">الجناة، وكذلك عن المساعدة المقدمة إلى الضحايا وعن البحث عن الأشخاص المختفين وتعقبهم (المادة </w:t>
      </w:r>
      <w:r w:rsidR="00012F60" w:rsidRPr="00C806DC">
        <w:rPr>
          <w:spacing w:val="-2"/>
          <w:rtl/>
        </w:rPr>
        <w:t>3</w:t>
      </w:r>
      <w:r w:rsidR="00012F60" w:rsidRPr="00012F60">
        <w:rPr>
          <w:rFonts w:ascii="Traditional Arabic"/>
          <w:spacing w:val="-2"/>
          <w:rtl/>
        </w:rPr>
        <w:t>)</w:t>
      </w:r>
      <w:r w:rsidR="00012F60" w:rsidRPr="00012F60">
        <w:rPr>
          <w:spacing w:val="-2"/>
          <w:rtl/>
        </w:rPr>
        <w:t>.</w:t>
      </w:r>
    </w:p>
    <w:p w14:paraId="3305DB1E" w14:textId="4DF68BD6" w:rsidR="00B672BA" w:rsidRPr="00C806DC" w:rsidRDefault="00B672BA" w:rsidP="00EC166D">
      <w:pPr>
        <w:pStyle w:val="SingleTxtGA"/>
        <w:rPr>
          <w:b/>
          <w:bCs/>
          <w:lang w:val="ar-SA" w:eastAsia="zh-TW" w:bidi="en-GB"/>
        </w:rPr>
      </w:pPr>
      <w:r w:rsidRPr="00C806DC">
        <w:rPr>
          <w:rtl/>
        </w:rPr>
        <w:t>27</w:t>
      </w:r>
      <w:r w:rsidRPr="008F0655">
        <w:rPr>
          <w:rFonts w:ascii="Traditional Arabic"/>
          <w:rtl/>
        </w:rPr>
        <w:t>-</w:t>
      </w:r>
      <w:r w:rsidRPr="008F0655">
        <w:rPr>
          <w:rtl/>
        </w:rPr>
        <w:tab/>
      </w:r>
      <w:r w:rsidRPr="00C806DC">
        <w:rPr>
          <w:b/>
          <w:bCs/>
          <w:rtl/>
        </w:rPr>
        <w:t xml:space="preserve">توصي اللجنة الدولة الطرف </w:t>
      </w:r>
      <w:r w:rsidRPr="00C806DC">
        <w:rPr>
          <w:rFonts w:hint="cs"/>
          <w:b/>
          <w:bCs/>
          <w:rtl/>
        </w:rPr>
        <w:t>بمضاعفة</w:t>
      </w:r>
      <w:r w:rsidRPr="00C806DC">
        <w:rPr>
          <w:b/>
          <w:bCs/>
          <w:rtl/>
        </w:rPr>
        <w:t xml:space="preserve"> جهودها الرامية إلى ضمان إجراء تحقيق فوري وشامل ونزيه في الادعاءات المتعلقة بالأفعال المحددة في المادة 2 من الاتفاقية التي ترتكبها الجماعات المسلحة دون إذن أو دعم من الدولة أو بموافقتها، وتقديم الجناة المزعومين إلى العدالة، والحكم عليهم، في حال إدانتهم، بأحكام تتناسب وخطورة أفعالهم. وتوصي اللجنة كذلك بأن تتخذ الدولة الطرف جميع التدابير اللازمة لمساعدة الضحايا والبحث عن الأشخاص الذين اختفوا نتيجة لأعمال هذه الجماعات المسلحة وتحديد أماكن وجودهم ومنع هذه الأفعال.</w:t>
      </w:r>
    </w:p>
    <w:p w14:paraId="5756EF02" w14:textId="66A1B41C" w:rsidR="00012F60" w:rsidRPr="00C806DC" w:rsidRDefault="00EC166D" w:rsidP="00EC166D">
      <w:pPr>
        <w:pStyle w:val="H23GA"/>
        <w:rPr>
          <w:lang w:val="ar-SA" w:eastAsia="zh-TW" w:bidi="en-GB"/>
        </w:rPr>
      </w:pPr>
      <w:r w:rsidRPr="00C806DC">
        <w:rPr>
          <w:rFonts w:ascii="Traditional Arabic"/>
          <w:rtl/>
        </w:rPr>
        <w:tab/>
      </w:r>
      <w:r w:rsidR="00B672BA" w:rsidRPr="00C806DC">
        <w:rPr>
          <w:rtl/>
        </w:rPr>
        <w:t>3</w:t>
      </w:r>
      <w:r w:rsidR="00B672BA" w:rsidRPr="00C806DC">
        <w:rPr>
          <w:rFonts w:ascii="Traditional Arabic"/>
          <w:rtl/>
        </w:rPr>
        <w:t>-</w:t>
      </w:r>
      <w:r w:rsidR="00B672BA" w:rsidRPr="00C806DC">
        <w:rPr>
          <w:rtl/>
        </w:rPr>
        <w:tab/>
        <w:t>المسؤولية الجنائية والتعاون القضائي في حالات الاختفاء القسري (المواد من 8 إلى 1</w:t>
      </w:r>
      <w:r w:rsidR="00012F60" w:rsidRPr="00C806DC">
        <w:rPr>
          <w:rtl/>
        </w:rPr>
        <w:t>5</w:t>
      </w:r>
      <w:r w:rsidR="00012F60" w:rsidRPr="00C806DC">
        <w:rPr>
          <w:rFonts w:ascii="Traditional Arabic" w:hint="cs"/>
          <w:rtl/>
        </w:rPr>
        <w:t>)</w:t>
      </w:r>
    </w:p>
    <w:p w14:paraId="49EAF98C" w14:textId="3D1BFE5D" w:rsidR="00B672BA" w:rsidRPr="00C806DC" w:rsidRDefault="00B672BA" w:rsidP="00EC166D">
      <w:pPr>
        <w:pStyle w:val="H4GA"/>
        <w:rPr>
          <w:lang w:val="ar-SA" w:eastAsia="zh-TW" w:bidi="en-GB"/>
        </w:rPr>
      </w:pPr>
      <w:r w:rsidRPr="00C806DC">
        <w:rPr>
          <w:rtl/>
        </w:rPr>
        <w:tab/>
      </w:r>
      <w:r w:rsidRPr="00C806DC">
        <w:rPr>
          <w:rtl/>
        </w:rPr>
        <w:tab/>
        <w:t>ادعاءات الاختفاء القسري والتحقيقات والبحث</w:t>
      </w:r>
    </w:p>
    <w:p w14:paraId="687B1AB8" w14:textId="42E251C0" w:rsidR="00012F60" w:rsidRPr="00012F60" w:rsidRDefault="00B672BA" w:rsidP="00EC166D">
      <w:pPr>
        <w:pStyle w:val="SingleTxtGA"/>
        <w:rPr>
          <w:lang w:val="ar-SA" w:eastAsia="zh-TW" w:bidi="en-GB"/>
        </w:rPr>
      </w:pPr>
      <w:r w:rsidRPr="00C806DC">
        <w:rPr>
          <w:rtl/>
        </w:rPr>
        <w:t>28</w:t>
      </w:r>
      <w:r w:rsidRPr="008F0655">
        <w:rPr>
          <w:rFonts w:ascii="Traditional Arabic"/>
          <w:rtl/>
        </w:rPr>
        <w:t>-</w:t>
      </w:r>
      <w:r w:rsidRPr="008F0655">
        <w:rPr>
          <w:rtl/>
        </w:rPr>
        <w:tab/>
        <w:t xml:space="preserve">يساور اللجنة القلق إزاء الادعاءات الواسعة الانتشار بحدوث حالات اختفاء قسري </w:t>
      </w:r>
      <w:r>
        <w:rPr>
          <w:rFonts w:hint="cs"/>
          <w:rtl/>
        </w:rPr>
        <w:t>يُنسب</w:t>
      </w:r>
      <w:r w:rsidRPr="008F0655">
        <w:rPr>
          <w:rtl/>
        </w:rPr>
        <w:t xml:space="preserve"> ارتكابها </w:t>
      </w:r>
      <w:r>
        <w:rPr>
          <w:rFonts w:hint="cs"/>
          <w:rtl/>
        </w:rPr>
        <w:t>إلى</w:t>
      </w:r>
      <w:r w:rsidRPr="008F0655">
        <w:rPr>
          <w:rtl/>
        </w:rPr>
        <w:t xml:space="preserve"> جهات عدة منها القوات المسلحة المالية أو المديرية العامة لأمن الدولة أو الجماعات المسلحة التي تعمل تحت سيطرة الدولة أو إذنها أو قبولها، ولأن أيا</w:t>
      </w:r>
      <w:r w:rsidR="00150FA8">
        <w:rPr>
          <w:rFonts w:hint="cs"/>
          <w:rtl/>
        </w:rPr>
        <w:t>ً</w:t>
      </w:r>
      <w:r w:rsidRPr="008F0655">
        <w:rPr>
          <w:rtl/>
        </w:rPr>
        <w:t xml:space="preserve"> من التحقيقات في هذه الادعاءات لم تسفر حتى الآن عن إدانات، مما </w:t>
      </w:r>
      <w:r>
        <w:rPr>
          <w:rFonts w:hint="cs"/>
          <w:rtl/>
        </w:rPr>
        <w:t>يساهم</w:t>
      </w:r>
      <w:r w:rsidRPr="008F0655">
        <w:rPr>
          <w:rtl/>
        </w:rPr>
        <w:t xml:space="preserve"> في الإبقاء على مناخ الإفلات من العقاب. ويساور اللجنة القلق إزاء </w:t>
      </w:r>
      <w:r>
        <w:rPr>
          <w:rFonts w:hint="cs"/>
          <w:rtl/>
        </w:rPr>
        <w:t>المعلومات</w:t>
      </w:r>
      <w:r w:rsidRPr="008F0655">
        <w:rPr>
          <w:rtl/>
        </w:rPr>
        <w:t xml:space="preserve"> التي تفيد بأن نظام الشرطة العسكرية لا يضمن النقل الفعال للتقارير المتعلقة بالجريمة، وأن المحققين يواجهون صعوبات في تأمين تحركاتهم في مسارح الجريمة في مناطق النزاع. ويساور اللجنة القلق أيضا</w:t>
      </w:r>
      <w:r w:rsidR="00150FA8">
        <w:rPr>
          <w:rFonts w:hint="cs"/>
          <w:rtl/>
        </w:rPr>
        <w:t>ً</w:t>
      </w:r>
      <w:r w:rsidRPr="008F0655">
        <w:rPr>
          <w:rtl/>
        </w:rPr>
        <w:t xml:space="preserve"> إزاء الادعاءات التي مفادها أن الموظفين القضائيين متواطئون، في ظروف معينة، في حالات الاختفاء القسري التي تعزى إلى المديرية العامة لأمن الدولة. وعلاوة على ذلك، تأسف اللجنة لأنها لم تتلق معلومات دقيقة عن آليات تسمح باستبعاد أي شخص قد يشتبه في مشاركته في قضية اختفاء قسري من التحقيق بشأن القضية (المواد </w:t>
      </w:r>
      <w:r w:rsidRPr="00C806DC">
        <w:rPr>
          <w:rtl/>
        </w:rPr>
        <w:t>1</w:t>
      </w:r>
      <w:r w:rsidRPr="008F0655">
        <w:rPr>
          <w:rtl/>
        </w:rPr>
        <w:t xml:space="preserve"> و</w:t>
      </w:r>
      <w:r w:rsidRPr="00C806DC">
        <w:rPr>
          <w:rtl/>
        </w:rPr>
        <w:t>11</w:t>
      </w:r>
      <w:r w:rsidRPr="008F0655">
        <w:rPr>
          <w:rtl/>
        </w:rPr>
        <w:t xml:space="preserve"> و</w:t>
      </w:r>
      <w:r w:rsidRPr="00C806DC">
        <w:rPr>
          <w:rtl/>
        </w:rPr>
        <w:t>12</w:t>
      </w:r>
      <w:r w:rsidRPr="008F0655">
        <w:rPr>
          <w:rtl/>
        </w:rPr>
        <w:t xml:space="preserve"> و</w:t>
      </w:r>
      <w:r w:rsidRPr="00C806DC">
        <w:rPr>
          <w:rtl/>
        </w:rPr>
        <w:t>2</w:t>
      </w:r>
      <w:r w:rsidR="00012F60" w:rsidRPr="00C806DC">
        <w:rPr>
          <w:rtl/>
        </w:rPr>
        <w:t>4</w:t>
      </w:r>
      <w:r w:rsidR="00012F60" w:rsidRPr="00012F60">
        <w:rPr>
          <w:rFonts w:ascii="Traditional Arabic"/>
          <w:rtl/>
        </w:rPr>
        <w:t>)</w:t>
      </w:r>
      <w:r w:rsidR="00012F60" w:rsidRPr="00012F60">
        <w:rPr>
          <w:rtl/>
        </w:rPr>
        <w:t>.</w:t>
      </w:r>
    </w:p>
    <w:p w14:paraId="48F6C147" w14:textId="55BCEDBE" w:rsidR="00B672BA" w:rsidRPr="00C806DC" w:rsidRDefault="00B672BA" w:rsidP="00EC166D">
      <w:pPr>
        <w:pStyle w:val="SingleTxtGA"/>
        <w:rPr>
          <w:b/>
          <w:bCs/>
          <w:lang w:val="ar-SA" w:eastAsia="zh-TW" w:bidi="en-GB"/>
        </w:rPr>
      </w:pPr>
      <w:r w:rsidRPr="00C806DC">
        <w:rPr>
          <w:rtl/>
        </w:rPr>
        <w:t>29</w:t>
      </w:r>
      <w:r w:rsidRPr="008F0655">
        <w:rPr>
          <w:rFonts w:ascii="Traditional Arabic"/>
          <w:rtl/>
        </w:rPr>
        <w:t>-</w:t>
      </w:r>
      <w:r w:rsidRPr="008F0655">
        <w:rPr>
          <w:rtl/>
        </w:rPr>
        <w:tab/>
      </w:r>
      <w:r w:rsidRPr="00C806DC">
        <w:rPr>
          <w:b/>
          <w:bCs/>
          <w:rtl/>
        </w:rPr>
        <w:t xml:space="preserve">توصي اللجنة الدولة الطرف </w:t>
      </w:r>
      <w:r w:rsidRPr="00C806DC">
        <w:rPr>
          <w:rFonts w:hint="cs"/>
          <w:b/>
          <w:bCs/>
          <w:rtl/>
        </w:rPr>
        <w:t>بمضاعفة</w:t>
      </w:r>
      <w:r w:rsidRPr="00C806DC">
        <w:rPr>
          <w:b/>
          <w:bCs/>
          <w:rtl/>
        </w:rPr>
        <w:t xml:space="preserve"> جهودها الرامية إلى ضمان حق جميع ضحايا الاختفاء القسري في العدالة والحقيقة وجبر الضرر، مع ضمان أن تكون التدابير المتخذة لمكافحة الإرهاب متفقة تماما</w:t>
      </w:r>
      <w:r w:rsidR="00150FA8" w:rsidRPr="00C806DC">
        <w:rPr>
          <w:rFonts w:hint="cs"/>
          <w:b/>
          <w:bCs/>
          <w:rtl/>
        </w:rPr>
        <w:t>ً</w:t>
      </w:r>
      <w:r w:rsidRPr="00C806DC">
        <w:rPr>
          <w:b/>
          <w:bCs/>
          <w:rtl/>
        </w:rPr>
        <w:t xml:space="preserve"> مع الاتفاقية. وبهذا المعنى، يجب على الدولة الطرف:</w:t>
      </w:r>
    </w:p>
    <w:p w14:paraId="3D618D25" w14:textId="233790EB" w:rsidR="00B672BA" w:rsidRPr="00C806DC" w:rsidRDefault="00EC166D" w:rsidP="00EC166D">
      <w:pPr>
        <w:pStyle w:val="SingleTxtGA"/>
        <w:rPr>
          <w:b/>
          <w:bCs/>
          <w:lang w:val="ar-SA" w:eastAsia="zh-TW" w:bidi="en-GB"/>
        </w:rPr>
      </w:pPr>
      <w:r w:rsidRPr="00C806DC">
        <w:rPr>
          <w:b/>
          <w:bCs/>
          <w:rtl/>
        </w:rPr>
        <w:tab/>
      </w:r>
      <w:r w:rsidR="00B672BA" w:rsidRPr="00C806DC">
        <w:rPr>
          <w:b/>
          <w:bCs/>
          <w:rtl/>
        </w:rPr>
        <w:t>(أ</w:t>
      </w:r>
      <w:r w:rsidR="00B672BA" w:rsidRPr="00C806DC">
        <w:rPr>
          <w:rFonts w:ascii="Traditional Arabic"/>
          <w:b/>
          <w:bCs/>
          <w:rtl/>
        </w:rPr>
        <w:t>)</w:t>
      </w:r>
      <w:r w:rsidR="00B672BA" w:rsidRPr="00C806DC">
        <w:rPr>
          <w:b/>
          <w:bCs/>
          <w:rtl/>
        </w:rPr>
        <w:tab/>
        <w:t>ضمان إجراء تحقيق فوري وشامل ونزيه في جميع مزاعم الاختفاء القسري، حتى لو لم تقدم أي شكوى رسمية، ومقاضاة الجناة والحكم عليهم بعقوبة تتناسب مع خطورة أفعالهم؛</w:t>
      </w:r>
    </w:p>
    <w:p w14:paraId="6270A1CD" w14:textId="34831133" w:rsidR="00B672BA" w:rsidRPr="00C806DC" w:rsidRDefault="00EC166D" w:rsidP="00EC166D">
      <w:pPr>
        <w:pStyle w:val="SingleTxtGA"/>
        <w:rPr>
          <w:b/>
          <w:bCs/>
          <w:lang w:val="ar-SA" w:eastAsia="zh-TW" w:bidi="en-GB"/>
        </w:rPr>
      </w:pPr>
      <w:r w:rsidRPr="00C806DC">
        <w:rPr>
          <w:b/>
          <w:bCs/>
          <w:rtl/>
        </w:rPr>
        <w:lastRenderedPageBreak/>
        <w:tab/>
      </w:r>
      <w:r w:rsidR="00B672BA" w:rsidRPr="00C806DC">
        <w:rPr>
          <w:b/>
          <w:bCs/>
          <w:rtl/>
        </w:rPr>
        <w:t>(ب</w:t>
      </w:r>
      <w:r w:rsidR="00B672BA" w:rsidRPr="00C806DC">
        <w:rPr>
          <w:rFonts w:ascii="Traditional Arabic"/>
          <w:b/>
          <w:bCs/>
          <w:rtl/>
        </w:rPr>
        <w:t>)</w:t>
      </w:r>
      <w:r w:rsidR="00B672BA" w:rsidRPr="00C806DC">
        <w:rPr>
          <w:b/>
          <w:bCs/>
          <w:rtl/>
        </w:rPr>
        <w:tab/>
        <w:t>ضمان وقف موظفي الدولة المشتبه في تورطهم في ارتكاب جريمة اختفاء قسري عن أداء مهامهم منذ بداية التحقيق وطوال مدته، دون المساس باحترام مبدأ افتراض البراءة، وعدم تمكن قوات إنفاذ القانون أو قوات الأمن التي يشتبه في أن أفرادها شاركوا في اختفاء قسري من المشاركة في التحقيق؛</w:t>
      </w:r>
    </w:p>
    <w:p w14:paraId="15FC1BC1" w14:textId="63CFC345" w:rsidR="00B672BA" w:rsidRPr="00C806DC" w:rsidRDefault="00EC166D" w:rsidP="00EC166D">
      <w:pPr>
        <w:pStyle w:val="SingleTxtGA"/>
        <w:rPr>
          <w:b/>
          <w:bCs/>
          <w:lang w:val="ar-SA" w:eastAsia="zh-TW" w:bidi="en-GB"/>
        </w:rPr>
      </w:pPr>
      <w:r w:rsidRPr="00C806DC">
        <w:rPr>
          <w:b/>
          <w:bCs/>
          <w:rtl/>
        </w:rPr>
        <w:tab/>
      </w:r>
      <w:r w:rsidR="00B672BA" w:rsidRPr="00C806DC">
        <w:rPr>
          <w:b/>
          <w:bCs/>
          <w:rtl/>
        </w:rPr>
        <w:t>(ج</w:t>
      </w:r>
      <w:r w:rsidR="00B672BA" w:rsidRPr="00C806DC">
        <w:rPr>
          <w:rFonts w:ascii="Traditional Arabic"/>
          <w:b/>
          <w:bCs/>
          <w:rtl/>
        </w:rPr>
        <w:t>)</w:t>
      </w:r>
      <w:r w:rsidR="00B672BA" w:rsidRPr="00C806DC">
        <w:rPr>
          <w:b/>
          <w:bCs/>
          <w:rtl/>
        </w:rPr>
        <w:tab/>
        <w:t>تشجيع وتيسير إجراءات تقديم الشكاوى بكل أمان، والمشاركة بجدية ودون تحفظ في التحقيق مع الضحايا، بمن فيهم أقارب الشخص المختفي الذين يرغبون في ذلك؛</w:t>
      </w:r>
    </w:p>
    <w:p w14:paraId="03C16C45" w14:textId="3AE7A5C8" w:rsidR="00B672BA" w:rsidRPr="00C806DC" w:rsidRDefault="00EC166D" w:rsidP="00EC166D">
      <w:pPr>
        <w:pStyle w:val="SingleTxtGA"/>
        <w:rPr>
          <w:b/>
          <w:bCs/>
          <w:lang w:val="ar-SA" w:eastAsia="zh-TW" w:bidi="en-GB"/>
        </w:rPr>
      </w:pPr>
      <w:r w:rsidRPr="00C806DC">
        <w:rPr>
          <w:b/>
          <w:bCs/>
          <w:rtl/>
        </w:rPr>
        <w:tab/>
      </w:r>
      <w:r w:rsidR="00B672BA" w:rsidRPr="00C806DC">
        <w:rPr>
          <w:b/>
          <w:bCs/>
          <w:rtl/>
        </w:rPr>
        <w:t>(د</w:t>
      </w:r>
      <w:r w:rsidR="00B672BA" w:rsidRPr="00C806DC">
        <w:rPr>
          <w:rFonts w:ascii="Traditional Arabic"/>
          <w:b/>
          <w:bCs/>
          <w:rtl/>
        </w:rPr>
        <w:t>)</w:t>
      </w:r>
      <w:r w:rsidR="00B672BA" w:rsidRPr="00C806DC">
        <w:rPr>
          <w:b/>
          <w:bCs/>
          <w:rtl/>
        </w:rPr>
        <w:tab/>
        <w:t>ضمان عدم تأييد الموظفين القضائيين للاختفاء القسري أو المشاركة فيه بأي شكل من الأشكال؛</w:t>
      </w:r>
    </w:p>
    <w:p w14:paraId="2E634C8A" w14:textId="078CCC45" w:rsidR="00B672BA" w:rsidRPr="00C806DC" w:rsidRDefault="00EC166D" w:rsidP="00EC166D">
      <w:pPr>
        <w:pStyle w:val="SingleTxtGA"/>
        <w:rPr>
          <w:b/>
          <w:bCs/>
          <w:lang w:val="ar-SA" w:eastAsia="zh-TW" w:bidi="en-GB"/>
        </w:rPr>
      </w:pPr>
      <w:r w:rsidRPr="00C806DC">
        <w:rPr>
          <w:b/>
          <w:bCs/>
          <w:rtl/>
        </w:rPr>
        <w:tab/>
      </w:r>
      <w:r w:rsidR="00B672BA" w:rsidRPr="00C806DC">
        <w:rPr>
          <w:b/>
          <w:bCs/>
          <w:rtl/>
        </w:rPr>
        <w:t>(ه)</w:t>
      </w:r>
      <w:r w:rsidR="00B672BA" w:rsidRPr="00C806DC">
        <w:rPr>
          <w:b/>
          <w:bCs/>
          <w:rtl/>
        </w:rPr>
        <w:tab/>
        <w:t xml:space="preserve">ضمان الاحترام الكامل لحق الضحايا في معرفة الحقيقة في جميع مراحل الإجراءات، ولا سيما عن طريق ضمان إطلاعهم بانتظام على التقدم المحرز في التحقيقات ونتائجها، حتى عندما لا </w:t>
      </w:r>
      <w:r w:rsidR="00B672BA" w:rsidRPr="00C806DC">
        <w:rPr>
          <w:rFonts w:hint="cs"/>
          <w:b/>
          <w:bCs/>
          <w:rtl/>
        </w:rPr>
        <w:t>يشاركون في</w:t>
      </w:r>
      <w:r w:rsidR="00B672BA" w:rsidRPr="00C806DC">
        <w:rPr>
          <w:b/>
          <w:bCs/>
          <w:rtl/>
        </w:rPr>
        <w:t xml:space="preserve"> الإجراءات كأطراف مدنية؛</w:t>
      </w:r>
    </w:p>
    <w:p w14:paraId="4868D662" w14:textId="1A3E1D5D" w:rsidR="00012F60" w:rsidRPr="00C806DC" w:rsidRDefault="00EC166D" w:rsidP="00EC166D">
      <w:pPr>
        <w:pStyle w:val="SingleTxtGA"/>
        <w:rPr>
          <w:b/>
          <w:bCs/>
          <w:lang w:val="ar-SA" w:eastAsia="zh-TW" w:bidi="en-GB"/>
        </w:rPr>
      </w:pPr>
      <w:r w:rsidRPr="00C806DC">
        <w:rPr>
          <w:b/>
          <w:bCs/>
          <w:rtl/>
        </w:rPr>
        <w:tab/>
      </w:r>
      <w:r w:rsidR="00B672BA" w:rsidRPr="00C806DC">
        <w:rPr>
          <w:b/>
          <w:bCs/>
          <w:rtl/>
        </w:rPr>
        <w:t>(و</w:t>
      </w:r>
      <w:r w:rsidR="00B672BA" w:rsidRPr="00C806DC">
        <w:rPr>
          <w:rFonts w:ascii="Traditional Arabic"/>
          <w:b/>
          <w:bCs/>
          <w:rtl/>
        </w:rPr>
        <w:t>)</w:t>
      </w:r>
      <w:r w:rsidR="00B672BA" w:rsidRPr="00C806DC">
        <w:rPr>
          <w:b/>
          <w:bCs/>
          <w:rtl/>
        </w:rPr>
        <w:tab/>
        <w:t>اتخاذ جميع التدابير اللازمة للعثور على جميع الأشخاص ضحايا الاختفاء القسري الذين لم يتضح مصيرهم بعد والإفراج عنهم والتعرف عليهم في حالة الوفاة، وضمان أن تكون إجراءات البحث المنفذة متفقة مع المبادئ التوجيهية للجنة بشأن البحث عن الأشخاص المختفين</w:t>
      </w:r>
      <w:r w:rsidR="00012F60" w:rsidRPr="00C806DC">
        <w:rPr>
          <w:rStyle w:val="FootnoteReference"/>
          <w:b/>
          <w:bCs/>
          <w:sz w:val="28"/>
          <w:rtl/>
        </w:rPr>
        <w:t>(</w:t>
      </w:r>
      <w:r w:rsidR="00012F60" w:rsidRPr="00C806DC">
        <w:rPr>
          <w:rStyle w:val="FootnoteReference"/>
          <w:b/>
          <w:bCs/>
          <w:sz w:val="28"/>
          <w:lang w:val="en-US"/>
        </w:rPr>
        <w:footnoteReference w:id="7"/>
      </w:r>
      <w:r w:rsidR="00012F60" w:rsidRPr="00C806DC">
        <w:rPr>
          <w:rStyle w:val="FootnoteReference"/>
          <w:b/>
          <w:bCs/>
          <w:sz w:val="28"/>
          <w:rtl/>
        </w:rPr>
        <w:t>)</w:t>
      </w:r>
      <w:r w:rsidR="00012F60" w:rsidRPr="00C806DC">
        <w:rPr>
          <w:b/>
          <w:bCs/>
          <w:rtl/>
        </w:rPr>
        <w:t>؛</w:t>
      </w:r>
    </w:p>
    <w:p w14:paraId="5B91A643" w14:textId="78F5384D" w:rsidR="00B672BA" w:rsidRPr="00C806DC" w:rsidRDefault="00EC166D" w:rsidP="00EC166D">
      <w:pPr>
        <w:pStyle w:val="SingleTxtGA"/>
        <w:rPr>
          <w:b/>
          <w:bCs/>
          <w:lang w:val="ar-SA" w:eastAsia="zh-TW" w:bidi="en-GB"/>
        </w:rPr>
      </w:pPr>
      <w:r w:rsidRPr="00C806DC">
        <w:rPr>
          <w:b/>
          <w:bCs/>
          <w:rtl/>
        </w:rPr>
        <w:tab/>
      </w:r>
      <w:r w:rsidR="00B672BA" w:rsidRPr="00C806DC">
        <w:rPr>
          <w:b/>
          <w:bCs/>
          <w:rtl/>
        </w:rPr>
        <w:t>(ز</w:t>
      </w:r>
      <w:r w:rsidR="00B672BA" w:rsidRPr="00C806DC">
        <w:rPr>
          <w:rFonts w:ascii="Traditional Arabic"/>
          <w:b/>
          <w:bCs/>
          <w:rtl/>
        </w:rPr>
        <w:t>)</w:t>
      </w:r>
      <w:r w:rsidR="00B672BA" w:rsidRPr="00C806DC">
        <w:rPr>
          <w:b/>
          <w:bCs/>
          <w:rtl/>
        </w:rPr>
        <w:tab/>
        <w:t>ضمان التنسيق والتعاون الفعالين بين جميع الهيئات المشاركة في التحقيقات و</w:t>
      </w:r>
      <w:r w:rsidR="00B672BA" w:rsidRPr="00C806DC">
        <w:rPr>
          <w:rFonts w:hint="cs"/>
          <w:b/>
          <w:bCs/>
          <w:rtl/>
        </w:rPr>
        <w:t>عمليات البحث</w:t>
      </w:r>
      <w:r w:rsidR="00B672BA" w:rsidRPr="00C806DC">
        <w:rPr>
          <w:b/>
          <w:bCs/>
          <w:rtl/>
        </w:rPr>
        <w:t xml:space="preserve">، وضمان أن يكون لديها </w:t>
      </w:r>
      <w:r w:rsidR="00B672BA" w:rsidRPr="00C806DC">
        <w:rPr>
          <w:rFonts w:hint="cs"/>
          <w:b/>
          <w:bCs/>
          <w:rtl/>
        </w:rPr>
        <w:t xml:space="preserve">ما يلزمها من </w:t>
      </w:r>
      <w:r w:rsidR="00B672BA" w:rsidRPr="00C806DC">
        <w:rPr>
          <w:b/>
          <w:bCs/>
          <w:rtl/>
        </w:rPr>
        <w:t>الهياكل والموارد المالية والتقنية والبشرية</w:t>
      </w:r>
      <w:r w:rsidR="00B672BA" w:rsidRPr="00C806DC">
        <w:rPr>
          <w:rFonts w:hint="cs"/>
          <w:b/>
          <w:bCs/>
          <w:rtl/>
        </w:rPr>
        <w:t>،</w:t>
      </w:r>
      <w:r w:rsidR="00B672BA" w:rsidRPr="00C806DC">
        <w:rPr>
          <w:b/>
          <w:bCs/>
          <w:rtl/>
        </w:rPr>
        <w:t xml:space="preserve"> </w:t>
      </w:r>
      <w:r w:rsidR="00B672BA" w:rsidRPr="00C806DC">
        <w:rPr>
          <w:rFonts w:hint="cs"/>
          <w:b/>
          <w:bCs/>
          <w:rtl/>
        </w:rPr>
        <w:t>فضلاً عن الخبرات،</w:t>
      </w:r>
      <w:r w:rsidR="00B672BA" w:rsidRPr="00C806DC">
        <w:rPr>
          <w:b/>
          <w:bCs/>
          <w:rtl/>
        </w:rPr>
        <w:t xml:space="preserve"> للاضطلاع بمهامها بعناية وفعالية؛</w:t>
      </w:r>
    </w:p>
    <w:p w14:paraId="7DA44488" w14:textId="725C7DE1" w:rsidR="00B672BA" w:rsidRPr="00C806DC" w:rsidRDefault="00EC166D" w:rsidP="00EC166D">
      <w:pPr>
        <w:pStyle w:val="SingleTxtGA"/>
        <w:rPr>
          <w:b/>
          <w:bCs/>
          <w:lang w:val="ar-SA" w:eastAsia="zh-TW" w:bidi="en-GB"/>
        </w:rPr>
      </w:pPr>
      <w:r w:rsidRPr="00C806DC">
        <w:rPr>
          <w:b/>
          <w:bCs/>
          <w:rtl/>
        </w:rPr>
        <w:tab/>
      </w:r>
      <w:r w:rsidR="00B672BA" w:rsidRPr="00C806DC">
        <w:rPr>
          <w:b/>
          <w:bCs/>
          <w:rtl/>
        </w:rPr>
        <w:t>(ح</w:t>
      </w:r>
      <w:r w:rsidR="00B672BA" w:rsidRPr="00C806DC">
        <w:rPr>
          <w:rFonts w:ascii="Traditional Arabic"/>
          <w:b/>
          <w:bCs/>
          <w:rtl/>
        </w:rPr>
        <w:t>)</w:t>
      </w:r>
      <w:r w:rsidR="00B672BA" w:rsidRPr="00C806DC">
        <w:rPr>
          <w:b/>
          <w:bCs/>
          <w:rtl/>
        </w:rPr>
        <w:tab/>
        <w:t>النظر في إنشاء وحدة متخصصة للتحقيق في جرائم الحرب والجرائم ضد الإنسانية، وفي إطار هذا الهيكل، إنشاء فريق متخصص في التحقيقات المتعلقة بجرائم الاختفاء القسري.</w:t>
      </w:r>
    </w:p>
    <w:p w14:paraId="21E620B3" w14:textId="77777777" w:rsidR="00B672BA" w:rsidRPr="00C806DC" w:rsidRDefault="00B672BA" w:rsidP="00EC166D">
      <w:pPr>
        <w:pStyle w:val="H4GA"/>
        <w:rPr>
          <w:lang w:val="ar-SA" w:eastAsia="zh-TW" w:bidi="en-GB"/>
        </w:rPr>
      </w:pPr>
      <w:r w:rsidRPr="00C806DC">
        <w:rPr>
          <w:rtl/>
        </w:rPr>
        <w:tab/>
      </w:r>
      <w:r w:rsidRPr="00C806DC">
        <w:rPr>
          <w:rtl/>
        </w:rPr>
        <w:tab/>
        <w:t xml:space="preserve">المقابر الجماعية </w:t>
      </w:r>
    </w:p>
    <w:p w14:paraId="14814048" w14:textId="594B5296" w:rsidR="00B672BA" w:rsidRPr="008F0655" w:rsidRDefault="00B672BA" w:rsidP="00EC166D">
      <w:pPr>
        <w:pStyle w:val="SingleTxtGA"/>
        <w:rPr>
          <w:lang w:val="ar-SA" w:eastAsia="zh-TW" w:bidi="en-GB"/>
        </w:rPr>
      </w:pPr>
      <w:r w:rsidRPr="00C806DC">
        <w:rPr>
          <w:rtl/>
        </w:rPr>
        <w:t>30</w:t>
      </w:r>
      <w:r w:rsidRPr="008F0655">
        <w:rPr>
          <w:rFonts w:ascii="Traditional Arabic"/>
          <w:rtl/>
        </w:rPr>
        <w:t>-</w:t>
      </w:r>
      <w:r w:rsidRPr="008F0655">
        <w:rPr>
          <w:rtl/>
        </w:rPr>
        <w:tab/>
        <w:t>تحيط اللجنة علما</w:t>
      </w:r>
      <w:r w:rsidR="00150FA8">
        <w:rPr>
          <w:rFonts w:hint="cs"/>
          <w:rtl/>
        </w:rPr>
        <w:t>ً</w:t>
      </w:r>
      <w:r w:rsidRPr="008F0655">
        <w:rPr>
          <w:rtl/>
        </w:rPr>
        <w:t xml:space="preserve"> بتأكيد الدولة الطرف أن اكتشاف مقبرة جماعية أسفر عن فتح تحقيق بشأنها، لكنها تشعر بالقلق إزاء الادعاءات المتعلقة باكتشاف العديد من المقابر الجماعية في الأراضي المالية وإزاء عدم وجود معلومات دقيقة عن الجهود المبذولة من أجل ضمان تحديد هوية رفات الأشخاص المختفين وتحليلها جنائيا</w:t>
      </w:r>
      <w:r w:rsidR="00150FA8">
        <w:rPr>
          <w:rFonts w:hint="cs"/>
          <w:rtl/>
        </w:rPr>
        <w:t>ً</w:t>
      </w:r>
      <w:r w:rsidRPr="008F0655">
        <w:rPr>
          <w:rtl/>
        </w:rPr>
        <w:t xml:space="preserve"> واحترامها وإعادتها. وترحب اللجنة بإنشاء المديرية العامة للشرطة التقنية والعلمية وكذلك بمشروع تشغيل مركز معالجة الحمض النووي، ولكنها تأسف لعدم تلقيها معلومات كافية عن الكيفية التي ستسهم بها هذه المؤسسات في البحث عن الأشخاص ضحايا الاختفاء القسري.</w:t>
      </w:r>
    </w:p>
    <w:p w14:paraId="3D8BC80C" w14:textId="77777777" w:rsidR="00B672BA" w:rsidRPr="00C806DC" w:rsidRDefault="00B672BA" w:rsidP="00EC166D">
      <w:pPr>
        <w:pStyle w:val="SingleTxtGA"/>
        <w:rPr>
          <w:b/>
          <w:bCs/>
          <w:lang w:val="ar-SA" w:eastAsia="zh-TW" w:bidi="en-GB"/>
        </w:rPr>
      </w:pPr>
      <w:r w:rsidRPr="00C806DC">
        <w:rPr>
          <w:rtl/>
        </w:rPr>
        <w:t>31</w:t>
      </w:r>
      <w:r w:rsidRPr="008F0655">
        <w:rPr>
          <w:rFonts w:ascii="Traditional Arabic"/>
          <w:rtl/>
        </w:rPr>
        <w:t>-</w:t>
      </w:r>
      <w:r w:rsidRPr="008F0655">
        <w:rPr>
          <w:rtl/>
        </w:rPr>
        <w:tab/>
      </w:r>
      <w:r w:rsidRPr="00C806DC">
        <w:rPr>
          <w:b/>
          <w:bCs/>
          <w:rtl/>
        </w:rPr>
        <w:t>تحث اللجنة الدولة الطرف على أن تراعي، في إطار وضع وتنفيذ استراتيجية للبحث، المبادئ التوجيهية للبحث عن الأشخاص المختفين، وتوصي</w:t>
      </w:r>
      <w:r w:rsidRPr="00C806DC">
        <w:rPr>
          <w:rFonts w:hint="cs"/>
          <w:b/>
          <w:bCs/>
          <w:rtl/>
        </w:rPr>
        <w:t>ها</w:t>
      </w:r>
      <w:r w:rsidRPr="00C806DC">
        <w:rPr>
          <w:b/>
          <w:bCs/>
          <w:rtl/>
        </w:rPr>
        <w:t xml:space="preserve"> بأن تكفل حماية كل مقبرة جماعية يبلغ عنها </w:t>
      </w:r>
      <w:r w:rsidRPr="00C806DC">
        <w:rPr>
          <w:rFonts w:hint="cs"/>
          <w:b/>
          <w:bCs/>
          <w:rtl/>
        </w:rPr>
        <w:t>والتعامل معها</w:t>
      </w:r>
      <w:r w:rsidRPr="00C806DC">
        <w:rPr>
          <w:b/>
          <w:bCs/>
          <w:rtl/>
        </w:rPr>
        <w:t xml:space="preserve"> باستخدام علم الأدلة الجنائية المناسبة. كما توصي اللجنة الدولة الطرف بأن تكفل إدماج تحديد هوية الأشخاص المختفين على وجه التحديد وبفعالية في مهام وأغراض المديرية العامة للشرطة التقنية والعلمية ومركز معالجة الحمض النووي.</w:t>
      </w:r>
    </w:p>
    <w:p w14:paraId="36864F8C" w14:textId="77777777" w:rsidR="00B672BA" w:rsidRPr="00C806DC" w:rsidRDefault="00B672BA" w:rsidP="00EC166D">
      <w:pPr>
        <w:pStyle w:val="H4GA"/>
        <w:rPr>
          <w:lang w:val="ar-SA" w:eastAsia="zh-TW" w:bidi="en-GB"/>
        </w:rPr>
      </w:pPr>
      <w:r w:rsidRPr="00C806DC">
        <w:rPr>
          <w:rtl/>
        </w:rPr>
        <w:lastRenderedPageBreak/>
        <w:tab/>
      </w:r>
      <w:r w:rsidRPr="00C806DC">
        <w:rPr>
          <w:rtl/>
        </w:rPr>
        <w:tab/>
        <w:t>الولاية القضائية العالمية</w:t>
      </w:r>
    </w:p>
    <w:p w14:paraId="54748348" w14:textId="1584BFC0" w:rsidR="00012F60" w:rsidRPr="00012F60" w:rsidRDefault="00B672BA" w:rsidP="00EC166D">
      <w:pPr>
        <w:pStyle w:val="SingleTxtGA"/>
        <w:rPr>
          <w:lang w:val="ar-SA" w:eastAsia="zh-TW" w:bidi="en-GB"/>
        </w:rPr>
      </w:pPr>
      <w:r w:rsidRPr="00C806DC">
        <w:rPr>
          <w:rtl/>
        </w:rPr>
        <w:t>32</w:t>
      </w:r>
      <w:r w:rsidRPr="008F0655">
        <w:rPr>
          <w:rFonts w:ascii="Traditional Arabic"/>
          <w:rtl/>
        </w:rPr>
        <w:t>-</w:t>
      </w:r>
      <w:r w:rsidRPr="008F0655">
        <w:rPr>
          <w:rtl/>
        </w:rPr>
        <w:tab/>
        <w:t xml:space="preserve">يساور اللجنة القلق لأن محاكم الدولة الطرف لا يمكنها ممارسة </w:t>
      </w:r>
      <w:r>
        <w:rPr>
          <w:rFonts w:hint="cs"/>
          <w:rtl/>
        </w:rPr>
        <w:t>اختصاصها</w:t>
      </w:r>
      <w:r w:rsidRPr="008F0655">
        <w:rPr>
          <w:rtl/>
        </w:rPr>
        <w:t xml:space="preserve"> على جريمة الاختفاء القسري في جميع الحالات المنصوص عليها في الاتفاقية، بما في ذلك بموجب مبدأ الولاية القضائية العالمية (المادة </w:t>
      </w:r>
      <w:r w:rsidR="00012F60" w:rsidRPr="00C806DC">
        <w:rPr>
          <w:rtl/>
        </w:rPr>
        <w:t>9</w:t>
      </w:r>
      <w:r w:rsidR="00012F60" w:rsidRPr="00012F60">
        <w:rPr>
          <w:rFonts w:ascii="Traditional Arabic"/>
          <w:rtl/>
        </w:rPr>
        <w:t>)</w:t>
      </w:r>
      <w:r w:rsidR="00012F60" w:rsidRPr="00012F60">
        <w:rPr>
          <w:rtl/>
        </w:rPr>
        <w:t>.</w:t>
      </w:r>
    </w:p>
    <w:p w14:paraId="65040BF2" w14:textId="14DD4D95" w:rsidR="00B672BA" w:rsidRPr="00C806DC" w:rsidRDefault="00B672BA" w:rsidP="00EC166D">
      <w:pPr>
        <w:pStyle w:val="SingleTxtGA"/>
        <w:rPr>
          <w:b/>
          <w:bCs/>
          <w:lang w:val="ar-SA" w:eastAsia="zh-TW" w:bidi="en-GB"/>
        </w:rPr>
      </w:pPr>
      <w:r w:rsidRPr="00C806DC">
        <w:rPr>
          <w:rtl/>
        </w:rPr>
        <w:t>33</w:t>
      </w:r>
      <w:r w:rsidRPr="008F0655">
        <w:rPr>
          <w:rFonts w:ascii="Traditional Arabic"/>
          <w:rtl/>
        </w:rPr>
        <w:t>-</w:t>
      </w:r>
      <w:r w:rsidRPr="008F0655">
        <w:rPr>
          <w:rtl/>
        </w:rPr>
        <w:tab/>
      </w:r>
      <w:r w:rsidRPr="00C806DC">
        <w:rPr>
          <w:b/>
          <w:bCs/>
          <w:rtl/>
        </w:rPr>
        <w:t xml:space="preserve">تحث اللجنة الدولة الطرف على ضمان ممارسة المحاكم </w:t>
      </w:r>
      <w:r w:rsidRPr="00C806DC">
        <w:rPr>
          <w:rFonts w:hint="cs"/>
          <w:b/>
          <w:bCs/>
          <w:rtl/>
        </w:rPr>
        <w:t>الوطنية</w:t>
      </w:r>
      <w:r w:rsidRPr="00C806DC">
        <w:rPr>
          <w:b/>
          <w:bCs/>
          <w:rtl/>
        </w:rPr>
        <w:t xml:space="preserve"> لاختصاصها في محاكمة مرتكبي جرائم الاختفاء القسري، وفقا</w:t>
      </w:r>
      <w:r w:rsidR="00E72512" w:rsidRPr="00C806DC">
        <w:rPr>
          <w:rFonts w:hint="cs"/>
          <w:b/>
          <w:bCs/>
          <w:rtl/>
        </w:rPr>
        <w:t>ً</w:t>
      </w:r>
      <w:r w:rsidRPr="00C806DC">
        <w:rPr>
          <w:b/>
          <w:bCs/>
          <w:rtl/>
        </w:rPr>
        <w:t xml:space="preserve"> لالتزاماتها بموجب المادة 9 من الاتفاقية، بما في ذلك مبدأ التسليم أو المحاكمة الوارد فيها. </w:t>
      </w:r>
    </w:p>
    <w:p w14:paraId="674B3E3E" w14:textId="77777777" w:rsidR="00B672BA" w:rsidRPr="00C806DC" w:rsidRDefault="00B672BA" w:rsidP="003247EB">
      <w:pPr>
        <w:pStyle w:val="H4GA"/>
        <w:rPr>
          <w:lang w:val="en-US" w:eastAsia="zh-TW" w:bidi="en-GB"/>
        </w:rPr>
      </w:pPr>
      <w:r w:rsidRPr="00C806DC">
        <w:rPr>
          <w:rtl/>
        </w:rPr>
        <w:tab/>
      </w:r>
      <w:r w:rsidRPr="00C806DC">
        <w:rPr>
          <w:rtl/>
        </w:rPr>
        <w:tab/>
        <w:t>الولاية القضائية العسكرية</w:t>
      </w:r>
    </w:p>
    <w:p w14:paraId="4C9FCFFA" w14:textId="39B48FD9" w:rsidR="00B672BA" w:rsidRPr="008F0655" w:rsidRDefault="00B672BA" w:rsidP="00EC166D">
      <w:pPr>
        <w:pStyle w:val="SingleTxtGA"/>
        <w:rPr>
          <w:lang w:val="ar-SA" w:eastAsia="zh-TW" w:bidi="en-GB"/>
        </w:rPr>
      </w:pPr>
      <w:r w:rsidRPr="00C806DC">
        <w:rPr>
          <w:rtl/>
        </w:rPr>
        <w:t>34</w:t>
      </w:r>
      <w:r w:rsidRPr="008F0655">
        <w:rPr>
          <w:rFonts w:ascii="Traditional Arabic"/>
          <w:rtl/>
        </w:rPr>
        <w:t>-</w:t>
      </w:r>
      <w:r w:rsidRPr="008F0655">
        <w:rPr>
          <w:rtl/>
        </w:rPr>
        <w:tab/>
        <w:t xml:space="preserve">يساور اللجنة القلق لأن التشريعات الوطنية تنص على اختصاص المحاكم العسكرية بالتحقيق في ادعاءات الاختفاء القسري التي يرتكبها أفراد عسكريون (المادة </w:t>
      </w:r>
      <w:r w:rsidRPr="00C806DC">
        <w:rPr>
          <w:rtl/>
        </w:rPr>
        <w:t>1</w:t>
      </w:r>
      <w:r w:rsidR="00012F60" w:rsidRPr="00C806DC">
        <w:rPr>
          <w:rtl/>
        </w:rPr>
        <w:t>1</w:t>
      </w:r>
      <w:r w:rsidR="00012F60" w:rsidRPr="00012F60">
        <w:rPr>
          <w:rFonts w:ascii="Traditional Arabic"/>
          <w:rtl/>
        </w:rPr>
        <w:t>)</w:t>
      </w:r>
      <w:r w:rsidR="00012F60" w:rsidRPr="00012F60">
        <w:rPr>
          <w:rtl/>
        </w:rPr>
        <w:t xml:space="preserve">. </w:t>
      </w:r>
    </w:p>
    <w:p w14:paraId="29FA8289" w14:textId="3F7AF3D8" w:rsidR="00B672BA" w:rsidRPr="00C806DC" w:rsidRDefault="00B672BA" w:rsidP="00F223A2">
      <w:pPr>
        <w:pStyle w:val="SingleTxtGA"/>
        <w:rPr>
          <w:b/>
          <w:bCs/>
          <w:lang w:val="ar-SA" w:eastAsia="zh-TW" w:bidi="en-GB"/>
        </w:rPr>
      </w:pPr>
      <w:r w:rsidRPr="00C806DC">
        <w:rPr>
          <w:rtl/>
        </w:rPr>
        <w:t>35</w:t>
      </w:r>
      <w:r w:rsidRPr="008F0655">
        <w:rPr>
          <w:rFonts w:ascii="Traditional Arabic"/>
          <w:rtl/>
        </w:rPr>
        <w:t>-</w:t>
      </w:r>
      <w:r w:rsidRPr="008F0655">
        <w:rPr>
          <w:rtl/>
        </w:rPr>
        <w:tab/>
      </w:r>
      <w:r w:rsidRPr="00C806DC">
        <w:rPr>
          <w:b/>
          <w:bCs/>
          <w:rtl/>
        </w:rPr>
        <w:t>تشير اللجنة إلى بيانها بشأن حالات الاختفاء القسري والولاية القضائية العسكرية</w:t>
      </w:r>
      <w:r w:rsidR="00012F60" w:rsidRPr="00C806DC">
        <w:rPr>
          <w:b/>
          <w:bCs/>
          <w:vertAlign w:val="superscript"/>
          <w:rtl/>
        </w:rPr>
        <w:t>(</w:t>
      </w:r>
      <w:r w:rsidR="00012F60" w:rsidRPr="00C806DC">
        <w:rPr>
          <w:b/>
          <w:bCs/>
          <w:vertAlign w:val="superscript"/>
          <w:lang w:val="en-US"/>
        </w:rPr>
        <w:footnoteReference w:id="8"/>
      </w:r>
      <w:r w:rsidR="00012F60" w:rsidRPr="00C806DC">
        <w:rPr>
          <w:b/>
          <w:bCs/>
          <w:vertAlign w:val="superscript"/>
          <w:rtl/>
        </w:rPr>
        <w:t>)</w:t>
      </w:r>
      <w:r w:rsidR="00012F60" w:rsidRPr="00C806DC">
        <w:rPr>
          <w:b/>
          <w:bCs/>
          <w:rtl/>
        </w:rPr>
        <w:t xml:space="preserve">، </w:t>
      </w:r>
      <w:r w:rsidRPr="00C806DC">
        <w:rPr>
          <w:rFonts w:hint="cs"/>
          <w:b/>
          <w:bCs/>
          <w:rtl/>
        </w:rPr>
        <w:t>و</w:t>
      </w:r>
      <w:r w:rsidRPr="00C806DC">
        <w:rPr>
          <w:b/>
          <w:bCs/>
          <w:rtl/>
        </w:rPr>
        <w:t>توصي الدولة الطرف باتخاذ التدابير التشريعية اللازمة لاستبعاد مهام التحقيق في أعمال الاختفاء القسري ومقاضاة مرتكبيها في جميع الحالات من الولاية القضائية العسكرية.</w:t>
      </w:r>
    </w:p>
    <w:p w14:paraId="0A6E9E03" w14:textId="77777777" w:rsidR="00B672BA" w:rsidRPr="00C806DC" w:rsidRDefault="00B672BA" w:rsidP="00EC166D">
      <w:pPr>
        <w:pStyle w:val="H4GA"/>
        <w:rPr>
          <w:lang w:val="ar-SA" w:eastAsia="zh-TW" w:bidi="en-GB"/>
        </w:rPr>
      </w:pPr>
      <w:r w:rsidRPr="00C806DC">
        <w:rPr>
          <w:rtl/>
        </w:rPr>
        <w:tab/>
      </w:r>
      <w:r w:rsidRPr="00C806DC">
        <w:rPr>
          <w:rtl/>
        </w:rPr>
        <w:tab/>
        <w:t>حماية الأشخاص المشاركين في التحقيقات</w:t>
      </w:r>
    </w:p>
    <w:p w14:paraId="1CF232D3" w14:textId="255F2566" w:rsidR="00012F60" w:rsidRPr="00012F60" w:rsidRDefault="00B672BA" w:rsidP="00EC166D">
      <w:pPr>
        <w:pStyle w:val="SingleTxtGA"/>
        <w:rPr>
          <w:lang w:val="ar-SA" w:eastAsia="zh-TW" w:bidi="en-GB"/>
        </w:rPr>
      </w:pPr>
      <w:r w:rsidRPr="00C806DC">
        <w:rPr>
          <w:rtl/>
        </w:rPr>
        <w:t>36</w:t>
      </w:r>
      <w:r w:rsidRPr="008F0655">
        <w:rPr>
          <w:rFonts w:ascii="Traditional Arabic"/>
          <w:rtl/>
        </w:rPr>
        <w:t>-</w:t>
      </w:r>
      <w:r w:rsidRPr="008F0655">
        <w:rPr>
          <w:rtl/>
        </w:rPr>
        <w:tab/>
        <w:t>تأسف اللجنة لأنها لم تتلق معلومات أكثر تحديدا</w:t>
      </w:r>
      <w:r w:rsidR="00E72512">
        <w:rPr>
          <w:rFonts w:hint="cs"/>
          <w:rtl/>
        </w:rPr>
        <w:t>ً</w:t>
      </w:r>
      <w:r w:rsidRPr="008F0655">
        <w:rPr>
          <w:rtl/>
        </w:rPr>
        <w:t xml:space="preserve"> عن مسودة مشروع القانون المتعلق بحماية الضحايا والشهود (المادة </w:t>
      </w:r>
      <w:r w:rsidRPr="00C806DC">
        <w:rPr>
          <w:rtl/>
        </w:rPr>
        <w:t>1</w:t>
      </w:r>
      <w:r w:rsidR="00012F60" w:rsidRPr="00C806DC">
        <w:rPr>
          <w:rtl/>
        </w:rPr>
        <w:t>2</w:t>
      </w:r>
      <w:r w:rsidR="00012F60" w:rsidRPr="00012F60">
        <w:rPr>
          <w:rFonts w:ascii="Traditional Arabic"/>
          <w:rtl/>
        </w:rPr>
        <w:t>)</w:t>
      </w:r>
      <w:r w:rsidR="00012F60" w:rsidRPr="00012F60">
        <w:rPr>
          <w:rtl/>
        </w:rPr>
        <w:t>.</w:t>
      </w:r>
    </w:p>
    <w:p w14:paraId="1DC022DD" w14:textId="12948187" w:rsidR="00B672BA" w:rsidRPr="00C806DC" w:rsidRDefault="00B672BA" w:rsidP="00EC166D">
      <w:pPr>
        <w:pStyle w:val="SingleTxtGA"/>
        <w:rPr>
          <w:b/>
          <w:bCs/>
          <w:lang w:val="ar-SA" w:eastAsia="zh-TW" w:bidi="en-GB"/>
        </w:rPr>
      </w:pPr>
      <w:r w:rsidRPr="00C806DC">
        <w:rPr>
          <w:rtl/>
        </w:rPr>
        <w:t>37</w:t>
      </w:r>
      <w:r w:rsidRPr="008F0655">
        <w:rPr>
          <w:rFonts w:ascii="Traditional Arabic"/>
          <w:rtl/>
        </w:rPr>
        <w:t>-</w:t>
      </w:r>
      <w:r w:rsidRPr="008F0655">
        <w:rPr>
          <w:rtl/>
        </w:rPr>
        <w:tab/>
      </w:r>
      <w:r w:rsidRPr="00C806DC">
        <w:rPr>
          <w:b/>
          <w:bCs/>
          <w:rtl/>
        </w:rPr>
        <w:t>توصي اللجنة الدولة الطرف بإنشاء آليات، بما في ذلك برنامج منظم، لضمان الحماية الفعالة لجميع الأشخاص المشار إليهم في الفقرة 1 من المادة 12 من الاتفاقية من أي سوء معاملة أو ترهيب بسبب الشكوى المقدمة أو أية شهادة يدلى بها.</w:t>
      </w:r>
    </w:p>
    <w:p w14:paraId="2EAB1B18" w14:textId="6C72DA1D" w:rsidR="00012F60" w:rsidRPr="00C806DC" w:rsidRDefault="00EC166D" w:rsidP="00EC166D">
      <w:pPr>
        <w:pStyle w:val="H23GA"/>
        <w:rPr>
          <w:lang w:val="ar-SA" w:eastAsia="zh-TW" w:bidi="en-GB"/>
        </w:rPr>
      </w:pPr>
      <w:r w:rsidRPr="00C806DC">
        <w:rPr>
          <w:rFonts w:ascii="Traditional Arabic"/>
          <w:rtl/>
        </w:rPr>
        <w:tab/>
      </w:r>
      <w:r w:rsidR="00B672BA" w:rsidRPr="00C806DC">
        <w:rPr>
          <w:rtl/>
        </w:rPr>
        <w:t>4</w:t>
      </w:r>
      <w:r w:rsidR="00B672BA" w:rsidRPr="00C806DC">
        <w:rPr>
          <w:rFonts w:ascii="Traditional Arabic"/>
          <w:rtl/>
        </w:rPr>
        <w:t>-</w:t>
      </w:r>
      <w:r w:rsidR="00B672BA" w:rsidRPr="00C806DC">
        <w:rPr>
          <w:rtl/>
        </w:rPr>
        <w:tab/>
        <w:t>تدابير منع حالات الاختفاء القسري (المواد 16</w:t>
      </w:r>
      <w:r w:rsidR="00B672BA" w:rsidRPr="00C806DC">
        <w:rPr>
          <w:rFonts w:ascii="Traditional Arabic"/>
          <w:rtl/>
        </w:rPr>
        <w:t>-</w:t>
      </w:r>
      <w:r w:rsidR="00B672BA" w:rsidRPr="00C806DC">
        <w:rPr>
          <w:rtl/>
        </w:rPr>
        <w:t>2</w:t>
      </w:r>
      <w:r w:rsidR="00012F60" w:rsidRPr="00C806DC">
        <w:rPr>
          <w:rtl/>
        </w:rPr>
        <w:t>3</w:t>
      </w:r>
      <w:r w:rsidR="00012F60" w:rsidRPr="00C806DC">
        <w:rPr>
          <w:rFonts w:ascii="Traditional Arabic" w:hint="cs"/>
          <w:rtl/>
        </w:rPr>
        <w:t>)</w:t>
      </w:r>
    </w:p>
    <w:p w14:paraId="5AD808DD" w14:textId="753B2B60" w:rsidR="00B672BA" w:rsidRPr="00C806DC" w:rsidRDefault="00B672BA" w:rsidP="00EC166D">
      <w:pPr>
        <w:pStyle w:val="H4GA"/>
        <w:rPr>
          <w:lang w:val="ar-SA" w:eastAsia="zh-TW" w:bidi="en-GB"/>
        </w:rPr>
      </w:pPr>
      <w:r w:rsidRPr="00C806DC">
        <w:rPr>
          <w:rtl/>
        </w:rPr>
        <w:tab/>
      </w:r>
      <w:r w:rsidRPr="00C806DC">
        <w:rPr>
          <w:rtl/>
        </w:rPr>
        <w:tab/>
        <w:t>عدم الإعادة القسرية</w:t>
      </w:r>
    </w:p>
    <w:p w14:paraId="2CD8F182" w14:textId="085A0BE8" w:rsidR="00B672BA" w:rsidRPr="008F0655" w:rsidRDefault="00B672BA" w:rsidP="00EC166D">
      <w:pPr>
        <w:pStyle w:val="SingleTxtGA"/>
        <w:rPr>
          <w:lang w:val="ar-SA" w:eastAsia="zh-TW" w:bidi="en-GB"/>
        </w:rPr>
      </w:pPr>
      <w:r w:rsidRPr="00C806DC">
        <w:rPr>
          <w:rtl/>
        </w:rPr>
        <w:t>38</w:t>
      </w:r>
      <w:r w:rsidRPr="008F0655">
        <w:rPr>
          <w:rFonts w:ascii="Traditional Arabic"/>
          <w:rtl/>
        </w:rPr>
        <w:t>-</w:t>
      </w:r>
      <w:r w:rsidRPr="008F0655">
        <w:rPr>
          <w:rtl/>
        </w:rPr>
        <w:tab/>
        <w:t>تحيط اللجنة علما</w:t>
      </w:r>
      <w:r w:rsidR="00E72512">
        <w:rPr>
          <w:rFonts w:hint="cs"/>
          <w:rtl/>
        </w:rPr>
        <w:t>ً</w:t>
      </w:r>
      <w:r w:rsidRPr="008F0655">
        <w:rPr>
          <w:rtl/>
        </w:rPr>
        <w:t xml:space="preserve"> بالمعلومات التي قدمها وفد الدولة الطرف بشأن التدابير المتخذة لضمان احترام مبدأ عدم الإعادة القسرية. بيد أن اللجنة تأسف لعدم الدقة فيما يتعلق بالمعايير المطبقة أو الإجراءات المتبعة لتقييم خطر تعرض شخص ما للاختفاء القسري في بلد المقصد والتحقق من ذلك، قبل أن يقع الطرد أو الإعادة القسرية أو الإحالة أو التسليم (المادة </w:t>
      </w:r>
      <w:r w:rsidRPr="00C806DC">
        <w:rPr>
          <w:rtl/>
        </w:rPr>
        <w:t>1</w:t>
      </w:r>
      <w:r w:rsidR="00012F60" w:rsidRPr="00C806DC">
        <w:rPr>
          <w:rtl/>
        </w:rPr>
        <w:t>6</w:t>
      </w:r>
      <w:r w:rsidR="00012F60" w:rsidRPr="00012F60">
        <w:rPr>
          <w:rFonts w:ascii="Traditional Arabic"/>
          <w:rtl/>
        </w:rPr>
        <w:t>)</w:t>
      </w:r>
      <w:r w:rsidR="00012F60" w:rsidRPr="00012F60">
        <w:rPr>
          <w:rtl/>
        </w:rPr>
        <w:t xml:space="preserve">. </w:t>
      </w:r>
    </w:p>
    <w:p w14:paraId="19B5DF4C" w14:textId="7E2CBC7D" w:rsidR="00B672BA" w:rsidRPr="00C806DC" w:rsidRDefault="00B672BA" w:rsidP="00EC166D">
      <w:pPr>
        <w:pStyle w:val="SingleTxtGA"/>
        <w:rPr>
          <w:b/>
          <w:bCs/>
          <w:rtl/>
          <w:lang w:val="en-US" w:eastAsia="zh-TW" w:bidi="en-GB"/>
        </w:rPr>
      </w:pPr>
      <w:r w:rsidRPr="00C806DC">
        <w:rPr>
          <w:rtl/>
        </w:rPr>
        <w:t>39</w:t>
      </w:r>
      <w:r w:rsidRPr="008F0655">
        <w:rPr>
          <w:rFonts w:ascii="Traditional Arabic"/>
          <w:rtl/>
        </w:rPr>
        <w:t>-</w:t>
      </w:r>
      <w:r w:rsidRPr="008F0655">
        <w:rPr>
          <w:rtl/>
        </w:rPr>
        <w:tab/>
      </w:r>
      <w:r w:rsidRPr="00C806DC">
        <w:rPr>
          <w:b/>
          <w:bCs/>
          <w:rtl/>
        </w:rPr>
        <w:t>توصي اللجنة الدولة الطرف بأن تكفل احترام مبدأ عدم الإعادة القسرية المنصوص عليه الفقرة 1 من المادة 16 من الاتفاقية احتراماً صارماً في جميع الظروف. وعلى وجه الخصوص، ينبغي للدولة الطرف أن تقوم بما يلي</w:t>
      </w:r>
      <w:r w:rsidR="00ED3FF1" w:rsidRPr="00C806DC">
        <w:rPr>
          <w:rFonts w:ascii="Traditional Arabic" w:hint="cs"/>
          <w:b/>
          <w:bCs/>
          <w:rtl/>
        </w:rPr>
        <w:t>:</w:t>
      </w:r>
    </w:p>
    <w:p w14:paraId="71441CA1" w14:textId="54A3818E" w:rsidR="00B672BA" w:rsidRPr="00C806DC" w:rsidRDefault="00EC166D" w:rsidP="00EC166D">
      <w:pPr>
        <w:pStyle w:val="SingleTxtGA"/>
        <w:rPr>
          <w:b/>
          <w:bCs/>
          <w:lang w:val="ar-SA" w:eastAsia="zh-TW" w:bidi="en-GB"/>
        </w:rPr>
      </w:pPr>
      <w:r w:rsidRPr="00C806DC">
        <w:rPr>
          <w:b/>
          <w:bCs/>
          <w:rtl/>
        </w:rPr>
        <w:tab/>
      </w:r>
      <w:r w:rsidR="00B672BA" w:rsidRPr="00C806DC">
        <w:rPr>
          <w:b/>
          <w:bCs/>
          <w:rtl/>
        </w:rPr>
        <w:t>(أ</w:t>
      </w:r>
      <w:r w:rsidR="00B672BA" w:rsidRPr="00C806DC">
        <w:rPr>
          <w:rFonts w:ascii="Traditional Arabic"/>
          <w:b/>
          <w:bCs/>
          <w:rtl/>
        </w:rPr>
        <w:t>)</w:t>
      </w:r>
      <w:r w:rsidR="00B672BA" w:rsidRPr="00C806DC">
        <w:rPr>
          <w:b/>
          <w:bCs/>
          <w:rtl/>
        </w:rPr>
        <w:tab/>
        <w:t xml:space="preserve">النظر في إدراج حكم صريح في تشريعها الوطني يحظر تنفيذ قرارات </w:t>
      </w:r>
      <w:r w:rsidR="00B672BA" w:rsidRPr="00C806DC">
        <w:rPr>
          <w:rFonts w:hint="cs"/>
          <w:b/>
          <w:bCs/>
          <w:rtl/>
        </w:rPr>
        <w:t>الطرد</w:t>
      </w:r>
      <w:r w:rsidR="00B672BA" w:rsidRPr="00C806DC">
        <w:rPr>
          <w:b/>
          <w:bCs/>
          <w:rtl/>
        </w:rPr>
        <w:t xml:space="preserve"> أو الإعادة القسرية أو </w:t>
      </w:r>
      <w:r w:rsidR="00B672BA" w:rsidRPr="00C806DC">
        <w:rPr>
          <w:rFonts w:hint="cs"/>
          <w:b/>
          <w:bCs/>
          <w:rtl/>
        </w:rPr>
        <w:t>الإحالة</w:t>
      </w:r>
      <w:r w:rsidR="00B672BA" w:rsidRPr="00C806DC">
        <w:rPr>
          <w:b/>
          <w:bCs/>
          <w:rtl/>
        </w:rPr>
        <w:t xml:space="preserve"> أو التسليم إذا كانت هناك أسباب وجيهة تدعو إلى الاعتقاد أن الشخص سيواجه خطر الاختفاء القسري؛</w:t>
      </w:r>
    </w:p>
    <w:p w14:paraId="5D0B4B44" w14:textId="3A2911FA" w:rsidR="00B672BA" w:rsidRPr="00C806DC" w:rsidRDefault="00EC166D" w:rsidP="00EC166D">
      <w:pPr>
        <w:pStyle w:val="SingleTxtGA"/>
        <w:rPr>
          <w:b/>
          <w:bCs/>
          <w:lang w:val="ar-SA" w:eastAsia="zh-TW" w:bidi="en-GB"/>
        </w:rPr>
      </w:pPr>
      <w:r w:rsidRPr="00C806DC">
        <w:rPr>
          <w:b/>
          <w:bCs/>
          <w:rtl/>
        </w:rPr>
        <w:lastRenderedPageBreak/>
        <w:tab/>
      </w:r>
      <w:r w:rsidR="00B672BA" w:rsidRPr="00C806DC">
        <w:rPr>
          <w:b/>
          <w:bCs/>
          <w:rtl/>
        </w:rPr>
        <w:t>(ب</w:t>
      </w:r>
      <w:r w:rsidR="00B672BA" w:rsidRPr="00C806DC">
        <w:rPr>
          <w:rFonts w:ascii="Traditional Arabic"/>
          <w:b/>
          <w:bCs/>
          <w:rtl/>
        </w:rPr>
        <w:t>)</w:t>
      </w:r>
      <w:r w:rsidR="00B672BA" w:rsidRPr="00C806DC">
        <w:rPr>
          <w:b/>
          <w:bCs/>
          <w:rtl/>
        </w:rPr>
        <w:tab/>
        <w:t xml:space="preserve">ضمان استنفاد جميع الإجراءات ذات الصلة قبل الشروع في الطرد أو الإعادة القسرية أو </w:t>
      </w:r>
      <w:r w:rsidR="00B672BA" w:rsidRPr="00C806DC">
        <w:rPr>
          <w:rFonts w:hint="cs"/>
          <w:b/>
          <w:bCs/>
          <w:rtl/>
        </w:rPr>
        <w:t>الإحالة</w:t>
      </w:r>
      <w:r w:rsidR="00B672BA" w:rsidRPr="00C806DC">
        <w:rPr>
          <w:b/>
          <w:bCs/>
          <w:rtl/>
        </w:rPr>
        <w:t xml:space="preserve"> أو التسليم، وإجراء فحص فردي شامل لتحديد ما إذا كانت هناك أسباب حقيقية تدعو إلى الاعتقاد أن الشخص المعني سيكون في خطر التعرض للاختفاء القسري، وفي حال وجود هذه الأسباب، عدم طرد الشخص المعني أو تسليمه أو </w:t>
      </w:r>
      <w:r w:rsidR="00B672BA" w:rsidRPr="00C806DC">
        <w:rPr>
          <w:rFonts w:hint="cs"/>
          <w:b/>
          <w:bCs/>
          <w:rtl/>
        </w:rPr>
        <w:t>إحالته</w:t>
      </w:r>
      <w:r w:rsidR="00B672BA" w:rsidRPr="00C806DC">
        <w:rPr>
          <w:b/>
          <w:bCs/>
          <w:rtl/>
        </w:rPr>
        <w:t xml:space="preserve"> أو إعادته</w:t>
      </w:r>
      <w:r w:rsidR="00B672BA" w:rsidRPr="00C806DC">
        <w:rPr>
          <w:rFonts w:hint="cs"/>
          <w:b/>
          <w:bCs/>
          <w:rtl/>
        </w:rPr>
        <w:t xml:space="preserve"> قسراً</w:t>
      </w:r>
      <w:r w:rsidR="00B672BA" w:rsidRPr="00C806DC">
        <w:rPr>
          <w:b/>
          <w:bCs/>
          <w:rtl/>
        </w:rPr>
        <w:t>؛</w:t>
      </w:r>
    </w:p>
    <w:p w14:paraId="1553566F" w14:textId="6F9B76CA" w:rsidR="00B672BA" w:rsidRPr="00C806DC" w:rsidRDefault="00EC166D" w:rsidP="00EC166D">
      <w:pPr>
        <w:pStyle w:val="SingleTxtGA"/>
        <w:rPr>
          <w:b/>
          <w:bCs/>
          <w:lang w:val="ar-SA" w:eastAsia="zh-TW" w:bidi="en-GB"/>
        </w:rPr>
      </w:pPr>
      <w:r w:rsidRPr="00C806DC">
        <w:rPr>
          <w:b/>
          <w:bCs/>
          <w:rtl/>
        </w:rPr>
        <w:tab/>
      </w:r>
      <w:r w:rsidR="00B672BA" w:rsidRPr="00C806DC">
        <w:rPr>
          <w:b/>
          <w:bCs/>
          <w:rtl/>
        </w:rPr>
        <w:t>(ج</w:t>
      </w:r>
      <w:r w:rsidR="00B672BA" w:rsidRPr="00C806DC">
        <w:rPr>
          <w:rFonts w:ascii="Traditional Arabic"/>
          <w:b/>
          <w:bCs/>
          <w:rtl/>
        </w:rPr>
        <w:t>)</w:t>
      </w:r>
      <w:r w:rsidR="00B672BA" w:rsidRPr="00C806DC">
        <w:rPr>
          <w:b/>
          <w:bCs/>
          <w:rtl/>
        </w:rPr>
        <w:tab/>
        <w:t xml:space="preserve">ضمان الأثر الإيقافي للطعون في قرارات الطرد أو الإعادة القسرية أو </w:t>
      </w:r>
      <w:r w:rsidR="00B672BA" w:rsidRPr="00C806DC">
        <w:rPr>
          <w:rFonts w:hint="cs"/>
          <w:b/>
          <w:bCs/>
          <w:rtl/>
        </w:rPr>
        <w:t>الإحالة</w:t>
      </w:r>
      <w:r w:rsidR="00B672BA" w:rsidRPr="00C806DC">
        <w:rPr>
          <w:b/>
          <w:bCs/>
          <w:rtl/>
        </w:rPr>
        <w:t xml:space="preserve"> أو التسليم في القانون وفي الممارسة العملية.</w:t>
      </w:r>
    </w:p>
    <w:p w14:paraId="392794ED" w14:textId="77777777" w:rsidR="00B672BA" w:rsidRPr="00C806DC" w:rsidRDefault="00B672BA" w:rsidP="00EC166D">
      <w:pPr>
        <w:pStyle w:val="H4GA"/>
        <w:rPr>
          <w:lang w:val="ar-SA" w:eastAsia="zh-TW" w:bidi="en-GB"/>
        </w:rPr>
      </w:pPr>
      <w:r w:rsidRPr="00C806DC">
        <w:rPr>
          <w:rtl/>
        </w:rPr>
        <w:tab/>
      </w:r>
      <w:r w:rsidRPr="00C806DC">
        <w:rPr>
          <w:rtl/>
        </w:rPr>
        <w:tab/>
        <w:t xml:space="preserve">الاحتجاز </w:t>
      </w:r>
      <w:r w:rsidRPr="00C806DC">
        <w:rPr>
          <w:rFonts w:hint="cs"/>
          <w:rtl/>
        </w:rPr>
        <w:t>مع منع الاتصال</w:t>
      </w:r>
      <w:r w:rsidRPr="00C806DC">
        <w:rPr>
          <w:rtl/>
        </w:rPr>
        <w:t xml:space="preserve"> والضمانات القانونية الأساسية</w:t>
      </w:r>
    </w:p>
    <w:p w14:paraId="3E890F34" w14:textId="3C5D81F6" w:rsidR="00B672BA" w:rsidRPr="008F0655" w:rsidRDefault="00B672BA" w:rsidP="00EC166D">
      <w:pPr>
        <w:pStyle w:val="SingleTxtGA"/>
        <w:rPr>
          <w:lang w:val="ar-SA" w:eastAsia="zh-TW" w:bidi="en-GB"/>
        </w:rPr>
      </w:pPr>
      <w:r w:rsidRPr="00C806DC">
        <w:rPr>
          <w:rtl/>
        </w:rPr>
        <w:t>40</w:t>
      </w:r>
      <w:r w:rsidRPr="008F0655">
        <w:rPr>
          <w:rFonts w:ascii="Traditional Arabic"/>
          <w:rtl/>
        </w:rPr>
        <w:t>-</w:t>
      </w:r>
      <w:r w:rsidRPr="008F0655">
        <w:rPr>
          <w:rtl/>
        </w:rPr>
        <w:tab/>
        <w:t>يساور اللجنة القلق إزاء الادعاءات التي مفادها أن بعض الأشخاص يو</w:t>
      </w:r>
      <w:r>
        <w:rPr>
          <w:rFonts w:hint="cs"/>
          <w:rtl/>
        </w:rPr>
        <w:t>د</w:t>
      </w:r>
      <w:r w:rsidRPr="008F0655">
        <w:rPr>
          <w:rtl/>
        </w:rPr>
        <w:t>عون بصورة غير قانونية في مرافق غير رسمية للحرمان من الحرية على أيدي القوات المسلحة المالية أو المديرية العامة لأمن الدولة، دون إمكانية الاتصال بالعالم الخارجي أو استشارة محام أو الاتصال بأفراد أسرهم. وتأسف اللجنة أيضا</w:t>
      </w:r>
      <w:r w:rsidR="00E72512">
        <w:rPr>
          <w:rFonts w:hint="cs"/>
          <w:rtl/>
        </w:rPr>
        <w:t>ً</w:t>
      </w:r>
      <w:r w:rsidRPr="008F0655">
        <w:rPr>
          <w:rtl/>
        </w:rPr>
        <w:t xml:space="preserve"> لعدم وضوح أحكام القانون المحلي التي تبين سبيل انتصاف محددا</w:t>
      </w:r>
      <w:r w:rsidR="00E72512">
        <w:rPr>
          <w:rFonts w:hint="cs"/>
          <w:rtl/>
        </w:rPr>
        <w:t>ً</w:t>
      </w:r>
      <w:r w:rsidRPr="008F0655">
        <w:rPr>
          <w:rtl/>
        </w:rPr>
        <w:t>، وفقا</w:t>
      </w:r>
      <w:r w:rsidR="00E72512">
        <w:rPr>
          <w:rFonts w:hint="cs"/>
          <w:rtl/>
        </w:rPr>
        <w:t>ً</w:t>
      </w:r>
      <w:r w:rsidRPr="008F0655">
        <w:rPr>
          <w:rtl/>
        </w:rPr>
        <w:t xml:space="preserve"> للفقرة </w:t>
      </w:r>
      <w:r w:rsidRPr="00C806DC">
        <w:rPr>
          <w:rtl/>
        </w:rPr>
        <w:t>2</w:t>
      </w:r>
      <w:r w:rsidRPr="008F0655">
        <w:rPr>
          <w:rFonts w:ascii="Traditional Arabic"/>
          <w:rtl/>
        </w:rPr>
        <w:t>(</w:t>
      </w:r>
      <w:r w:rsidRPr="008F0655">
        <w:rPr>
          <w:rtl/>
        </w:rPr>
        <w:t>و</w:t>
      </w:r>
      <w:r w:rsidRPr="008F0655">
        <w:rPr>
          <w:rFonts w:ascii="Traditional Arabic"/>
          <w:rtl/>
        </w:rPr>
        <w:t>)</w:t>
      </w:r>
      <w:r w:rsidRPr="008F0655">
        <w:rPr>
          <w:rtl/>
        </w:rPr>
        <w:t xml:space="preserve"> من المادة </w:t>
      </w:r>
      <w:r w:rsidRPr="00C806DC">
        <w:rPr>
          <w:rtl/>
        </w:rPr>
        <w:t>17</w:t>
      </w:r>
      <w:r w:rsidRPr="008F0655">
        <w:rPr>
          <w:rtl/>
        </w:rPr>
        <w:t xml:space="preserve"> من الاتفاقية. وفي حين أن اللجنة تحيط علما</w:t>
      </w:r>
      <w:r w:rsidR="00E72512">
        <w:rPr>
          <w:rFonts w:hint="cs"/>
          <w:rtl/>
        </w:rPr>
        <w:t>ً</w:t>
      </w:r>
      <w:r w:rsidRPr="008F0655">
        <w:rPr>
          <w:rtl/>
        </w:rPr>
        <w:t xml:space="preserve"> بالمعلومات المتعلقة بسجلات الاحتجاز، </w:t>
      </w:r>
      <w:r>
        <w:rPr>
          <w:rFonts w:hint="cs"/>
          <w:rtl/>
        </w:rPr>
        <w:t>فإ</w:t>
      </w:r>
      <w:r w:rsidRPr="008F0655">
        <w:rPr>
          <w:rtl/>
        </w:rPr>
        <w:t xml:space="preserve">نها تشعر بالقلق إزاء التقارير التي تفيد بوجود أوجه قصور في حفظ سجلات الأشخاص مسلوبي الحرية (المواد </w:t>
      </w:r>
      <w:r w:rsidRPr="00C806DC">
        <w:rPr>
          <w:rtl/>
        </w:rPr>
        <w:t>17</w:t>
      </w:r>
      <w:r w:rsidRPr="008F0655">
        <w:rPr>
          <w:rtl/>
        </w:rPr>
        <w:t xml:space="preserve"> و</w:t>
      </w:r>
      <w:r w:rsidRPr="00C806DC">
        <w:rPr>
          <w:rtl/>
        </w:rPr>
        <w:t>18</w:t>
      </w:r>
      <w:r w:rsidRPr="008F0655">
        <w:rPr>
          <w:rtl/>
        </w:rPr>
        <w:t xml:space="preserve"> و</w:t>
      </w:r>
      <w:r w:rsidRPr="00C806DC">
        <w:rPr>
          <w:rtl/>
        </w:rPr>
        <w:t>19</w:t>
      </w:r>
      <w:r w:rsidRPr="008F0655">
        <w:rPr>
          <w:rtl/>
        </w:rPr>
        <w:t xml:space="preserve"> و</w:t>
      </w:r>
      <w:r w:rsidRPr="00C806DC">
        <w:rPr>
          <w:rtl/>
        </w:rPr>
        <w:t>2</w:t>
      </w:r>
      <w:r w:rsidR="00012F60" w:rsidRPr="00C806DC">
        <w:rPr>
          <w:rtl/>
        </w:rPr>
        <w:t>0</w:t>
      </w:r>
      <w:r w:rsidR="00012F60" w:rsidRPr="00012F60">
        <w:rPr>
          <w:rFonts w:ascii="Traditional Arabic"/>
          <w:rtl/>
        </w:rPr>
        <w:t>)</w:t>
      </w:r>
      <w:r w:rsidR="00012F60" w:rsidRPr="00012F60">
        <w:rPr>
          <w:rtl/>
        </w:rPr>
        <w:t xml:space="preserve">. </w:t>
      </w:r>
    </w:p>
    <w:p w14:paraId="2B192631" w14:textId="77777777" w:rsidR="00B672BA" w:rsidRPr="00C806DC" w:rsidRDefault="00B672BA" w:rsidP="00EC166D">
      <w:pPr>
        <w:pStyle w:val="SingleTxtGA"/>
        <w:rPr>
          <w:b/>
          <w:bCs/>
          <w:lang w:val="ar-SA" w:eastAsia="zh-TW" w:bidi="en-GB"/>
        </w:rPr>
      </w:pPr>
      <w:r w:rsidRPr="00C806DC">
        <w:rPr>
          <w:rtl/>
        </w:rPr>
        <w:t>41</w:t>
      </w:r>
      <w:r w:rsidRPr="008F0655">
        <w:rPr>
          <w:rFonts w:ascii="Traditional Arabic"/>
          <w:rtl/>
        </w:rPr>
        <w:t>-</w:t>
      </w:r>
      <w:r w:rsidRPr="008F0655">
        <w:rPr>
          <w:rtl/>
        </w:rPr>
        <w:tab/>
      </w:r>
      <w:r w:rsidRPr="00C806DC">
        <w:rPr>
          <w:b/>
          <w:bCs/>
          <w:rtl/>
        </w:rPr>
        <w:t xml:space="preserve">توصي اللجنة الدولة الطرف بأن تكفل عدم احتجاز أي شخص </w:t>
      </w:r>
      <w:r w:rsidRPr="00C806DC">
        <w:rPr>
          <w:rFonts w:hint="cs"/>
          <w:b/>
          <w:bCs/>
          <w:rtl/>
        </w:rPr>
        <w:t>مع منع الاتصال</w:t>
      </w:r>
      <w:r w:rsidRPr="00C806DC">
        <w:rPr>
          <w:b/>
          <w:bCs/>
          <w:rtl/>
        </w:rPr>
        <w:t xml:space="preserve">، </w:t>
      </w:r>
      <w:r w:rsidRPr="00C806DC">
        <w:rPr>
          <w:rFonts w:hint="cs"/>
          <w:b/>
          <w:bCs/>
          <w:rtl/>
        </w:rPr>
        <w:t>بسُبل منها</w:t>
      </w:r>
      <w:r w:rsidRPr="00C806DC">
        <w:rPr>
          <w:b/>
          <w:bCs/>
          <w:rtl/>
        </w:rPr>
        <w:t xml:space="preserve"> </w:t>
      </w:r>
      <w:r w:rsidRPr="00C806DC">
        <w:rPr>
          <w:rFonts w:hint="cs"/>
          <w:b/>
          <w:bCs/>
          <w:rtl/>
        </w:rPr>
        <w:t>كفالة</w:t>
      </w:r>
      <w:r w:rsidRPr="00C806DC">
        <w:rPr>
          <w:b/>
          <w:bCs/>
          <w:rtl/>
        </w:rPr>
        <w:t xml:space="preserve"> تمتع جميع الأشخاص المحرومين من حريتهم بجميع الضمانات الأساسية المنصوص عليها في المادة 17 من الاتفاقية. وبهذا المعنى، يجب على الدولة الطرف القيام بما يلي:</w:t>
      </w:r>
    </w:p>
    <w:p w14:paraId="7EDAF9A4" w14:textId="49CA43E5" w:rsidR="00B672BA" w:rsidRPr="00C806DC" w:rsidRDefault="00EC166D" w:rsidP="00EC166D">
      <w:pPr>
        <w:pStyle w:val="SingleTxtGA"/>
        <w:rPr>
          <w:b/>
          <w:bCs/>
          <w:lang w:val="ar-SA" w:eastAsia="zh-TW" w:bidi="en-GB"/>
        </w:rPr>
      </w:pPr>
      <w:r w:rsidRPr="00C806DC">
        <w:rPr>
          <w:b/>
          <w:bCs/>
          <w:rtl/>
        </w:rPr>
        <w:tab/>
      </w:r>
      <w:r w:rsidR="00B672BA" w:rsidRPr="00C806DC">
        <w:rPr>
          <w:b/>
          <w:bCs/>
          <w:rtl/>
        </w:rPr>
        <w:t>(أ</w:t>
      </w:r>
      <w:r w:rsidR="00B672BA" w:rsidRPr="00C806DC">
        <w:rPr>
          <w:rFonts w:ascii="Traditional Arabic"/>
          <w:b/>
          <w:bCs/>
          <w:rtl/>
        </w:rPr>
        <w:t>)</w:t>
      </w:r>
      <w:r w:rsidR="00B672BA" w:rsidRPr="00C806DC">
        <w:rPr>
          <w:b/>
          <w:bCs/>
          <w:rtl/>
        </w:rPr>
        <w:tab/>
        <w:t>ضمان إيداع الأشخاص المسلوبة حريتهم في أماكن سلب الحرية المعترف بها رسمياً فقط والخاضعة للرصد في جميع مراحل الإجراءات؛</w:t>
      </w:r>
    </w:p>
    <w:p w14:paraId="31A81299" w14:textId="5E6AFF1F" w:rsidR="00B672BA" w:rsidRPr="00C806DC" w:rsidRDefault="00EC166D" w:rsidP="00EC166D">
      <w:pPr>
        <w:pStyle w:val="SingleTxtGA"/>
        <w:rPr>
          <w:b/>
          <w:bCs/>
          <w:lang w:val="ar-SA" w:eastAsia="zh-TW" w:bidi="en-GB"/>
        </w:rPr>
      </w:pPr>
      <w:r w:rsidRPr="00C806DC">
        <w:rPr>
          <w:b/>
          <w:bCs/>
          <w:rtl/>
        </w:rPr>
        <w:tab/>
      </w:r>
      <w:r w:rsidR="00B672BA" w:rsidRPr="00C806DC">
        <w:rPr>
          <w:b/>
          <w:bCs/>
          <w:rtl/>
        </w:rPr>
        <w:t>(ب</w:t>
      </w:r>
      <w:r w:rsidR="00B672BA" w:rsidRPr="00C806DC">
        <w:rPr>
          <w:rFonts w:ascii="Traditional Arabic"/>
          <w:b/>
          <w:bCs/>
          <w:rtl/>
        </w:rPr>
        <w:t>)</w:t>
      </w:r>
      <w:r w:rsidR="00B672BA" w:rsidRPr="00C806DC">
        <w:rPr>
          <w:b/>
          <w:bCs/>
          <w:rtl/>
        </w:rPr>
        <w:tab/>
        <w:t>ضمان أن يكون لكل شخص، منذ بداية حرمانه من الحرية، إمكانية الاتصال الفعلي بمحام، بصرف النظر عن الجريمة المتهم بها، وإمكانية إبلاغ أقاربه وأي شخص آخر يختاره بذلك، وإذا كان أجنبياً، إبلاغ السلطات القنصلية لبلده فعلياً بحرمانه من الحرية وبمكان احتجازه؛</w:t>
      </w:r>
    </w:p>
    <w:p w14:paraId="17DE418A" w14:textId="474FE0AC" w:rsidR="00B672BA" w:rsidRPr="00C806DC" w:rsidRDefault="00EC166D" w:rsidP="00EC166D">
      <w:pPr>
        <w:pStyle w:val="SingleTxtGA"/>
        <w:rPr>
          <w:b/>
          <w:bCs/>
          <w:spacing w:val="-2"/>
          <w:lang w:val="ar-SA" w:eastAsia="zh-TW" w:bidi="en-GB"/>
        </w:rPr>
      </w:pPr>
      <w:r w:rsidRPr="00C806DC">
        <w:rPr>
          <w:b/>
          <w:bCs/>
          <w:spacing w:val="-2"/>
          <w:rtl/>
        </w:rPr>
        <w:tab/>
      </w:r>
      <w:r w:rsidR="00B672BA" w:rsidRPr="00C806DC">
        <w:rPr>
          <w:b/>
          <w:bCs/>
          <w:spacing w:val="-2"/>
          <w:rtl/>
        </w:rPr>
        <w:t>(ج</w:t>
      </w:r>
      <w:r w:rsidR="00B672BA" w:rsidRPr="00C806DC">
        <w:rPr>
          <w:rFonts w:ascii="Traditional Arabic"/>
          <w:b/>
          <w:bCs/>
          <w:spacing w:val="-2"/>
          <w:rtl/>
        </w:rPr>
        <w:t>)</w:t>
      </w:r>
      <w:r w:rsidR="00B672BA" w:rsidRPr="00C806DC">
        <w:rPr>
          <w:b/>
          <w:bCs/>
          <w:spacing w:val="-2"/>
          <w:rtl/>
        </w:rPr>
        <w:tab/>
        <w:t>ضمان حق أي شخص محروم من حريته في الطعن أمام محكمة تبت في أقرب وقت في مشروعية حرمانه من حريته وتأمر بإطلاق سراحه إذا تبين أن حرمانه من حريته غير مشروع</w:t>
      </w:r>
      <w:r w:rsidR="00B672BA" w:rsidRPr="00C806DC">
        <w:rPr>
          <w:rFonts w:hint="cs"/>
          <w:b/>
          <w:bCs/>
          <w:spacing w:val="-2"/>
          <w:rtl/>
        </w:rPr>
        <w:t>،</w:t>
      </w:r>
      <w:r w:rsidR="00B672BA" w:rsidRPr="00C806DC">
        <w:rPr>
          <w:b/>
          <w:bCs/>
          <w:spacing w:val="-2"/>
          <w:rtl/>
        </w:rPr>
        <w:t xml:space="preserve"> بم</w:t>
      </w:r>
      <w:r w:rsidR="00B672BA" w:rsidRPr="00C806DC">
        <w:rPr>
          <w:rFonts w:hint="cs"/>
          <w:b/>
          <w:bCs/>
          <w:spacing w:val="-2"/>
          <w:rtl/>
        </w:rPr>
        <w:t>ن</w:t>
      </w:r>
      <w:r w:rsidR="00B672BA" w:rsidRPr="00C806DC">
        <w:rPr>
          <w:b/>
          <w:bCs/>
          <w:spacing w:val="-2"/>
          <w:rtl/>
        </w:rPr>
        <w:t xml:space="preserve"> في ذلك المحتجز لدى الشرطة، وفي حالة الاشتباه في وقوع اختفاء قسري، حيث يصبح الشخص المحروم من حريته غير قادر على ممارسة هذا الحق بنفسه، حق كل شخص لـه مصلحة مشروعة؛</w:t>
      </w:r>
    </w:p>
    <w:p w14:paraId="44850953" w14:textId="0F7CF1AB" w:rsidR="00B672BA" w:rsidRPr="00C806DC" w:rsidRDefault="00EC166D" w:rsidP="00EC166D">
      <w:pPr>
        <w:pStyle w:val="SingleTxtGA"/>
        <w:rPr>
          <w:b/>
          <w:bCs/>
          <w:lang w:val="ar-SA" w:eastAsia="zh-TW" w:bidi="en-GB"/>
        </w:rPr>
      </w:pPr>
      <w:r w:rsidRPr="00C806DC">
        <w:rPr>
          <w:b/>
          <w:bCs/>
          <w:rtl/>
        </w:rPr>
        <w:tab/>
      </w:r>
      <w:r w:rsidR="00B672BA" w:rsidRPr="00C806DC">
        <w:rPr>
          <w:b/>
          <w:bCs/>
          <w:rtl/>
        </w:rPr>
        <w:t>(د</w:t>
      </w:r>
      <w:r w:rsidR="00B672BA" w:rsidRPr="00C806DC">
        <w:rPr>
          <w:rFonts w:ascii="Traditional Arabic"/>
          <w:b/>
          <w:bCs/>
          <w:rtl/>
        </w:rPr>
        <w:t>)</w:t>
      </w:r>
      <w:r w:rsidR="00B672BA" w:rsidRPr="00C806DC">
        <w:rPr>
          <w:b/>
          <w:bCs/>
          <w:rtl/>
        </w:rPr>
        <w:tab/>
        <w:t>تسجيل كل حالات الحرمان من الحرية دون استثناء في سجلات رسمية و/أو ملفات محدَّثة، وتضمينها، كحد أدنى، المعلومات المطلوبة في الفقرة 3 من المادة 17 من الاتفاقية؛</w:t>
      </w:r>
    </w:p>
    <w:p w14:paraId="3EC385DA" w14:textId="289F1992" w:rsidR="00B672BA" w:rsidRPr="00C806DC" w:rsidRDefault="00EC166D" w:rsidP="00EC166D">
      <w:pPr>
        <w:pStyle w:val="SingleTxtGA"/>
        <w:rPr>
          <w:b/>
          <w:bCs/>
          <w:lang w:val="ar-SA" w:eastAsia="zh-TW" w:bidi="en-GB"/>
        </w:rPr>
      </w:pPr>
      <w:r w:rsidRPr="00C806DC">
        <w:rPr>
          <w:b/>
          <w:bCs/>
          <w:rtl/>
        </w:rPr>
        <w:tab/>
      </w:r>
      <w:r w:rsidR="00B672BA" w:rsidRPr="00C806DC">
        <w:rPr>
          <w:b/>
          <w:bCs/>
          <w:rtl/>
        </w:rPr>
        <w:t>(ه)</w:t>
      </w:r>
      <w:r w:rsidR="00B672BA" w:rsidRPr="00C806DC">
        <w:rPr>
          <w:b/>
          <w:bCs/>
          <w:rtl/>
        </w:rPr>
        <w:tab/>
        <w:t>المعاقبة على الإخلال بواجب تسجيل إحدى حالات الحرمان من الحرية، أو تسجيل معلومات غير صحيحة أو غير دقيقة، أو رفض تقديم معلومات عن إحدى حالات الحرمان من الحرية، أو تقديم معلومات غير صحيحة.</w:t>
      </w:r>
    </w:p>
    <w:p w14:paraId="6DF2C7B8" w14:textId="77777777" w:rsidR="00B672BA" w:rsidRPr="00C806DC" w:rsidRDefault="00B672BA" w:rsidP="00EC166D">
      <w:pPr>
        <w:pStyle w:val="H4GA"/>
        <w:rPr>
          <w:lang w:val="ar-SA" w:eastAsia="zh-TW" w:bidi="en-GB"/>
        </w:rPr>
      </w:pPr>
      <w:r w:rsidRPr="00C806DC">
        <w:rPr>
          <w:rtl/>
        </w:rPr>
        <w:tab/>
      </w:r>
      <w:r w:rsidRPr="00C806DC">
        <w:rPr>
          <w:rtl/>
        </w:rPr>
        <w:tab/>
        <w:t xml:space="preserve">تفتيش أماكن الحرمان من الحرية </w:t>
      </w:r>
    </w:p>
    <w:p w14:paraId="5671E9C3" w14:textId="38BE8964" w:rsidR="00012F60" w:rsidRPr="00012F60" w:rsidRDefault="00B672BA" w:rsidP="00EC166D">
      <w:pPr>
        <w:pStyle w:val="SingleTxtGA"/>
        <w:rPr>
          <w:lang w:val="ar-SA" w:eastAsia="zh-TW" w:bidi="en-GB"/>
        </w:rPr>
      </w:pPr>
      <w:r w:rsidRPr="00C806DC">
        <w:rPr>
          <w:rtl/>
        </w:rPr>
        <w:t>42</w:t>
      </w:r>
      <w:r w:rsidRPr="008F0655">
        <w:rPr>
          <w:rFonts w:ascii="Traditional Arabic"/>
          <w:rtl/>
        </w:rPr>
        <w:t>-</w:t>
      </w:r>
      <w:r w:rsidRPr="008F0655">
        <w:rPr>
          <w:rtl/>
        </w:rPr>
        <w:tab/>
        <w:t>تحيط اللجنة علما</w:t>
      </w:r>
      <w:r w:rsidR="00E72512">
        <w:rPr>
          <w:rFonts w:hint="cs"/>
          <w:rtl/>
        </w:rPr>
        <w:t>ً</w:t>
      </w:r>
      <w:r w:rsidRPr="008F0655">
        <w:rPr>
          <w:rtl/>
        </w:rPr>
        <w:t xml:space="preserve"> بالمعلومات التي قدمتها الدولة الطرف بشأن الجهات الفاعلة الحكومية وغير الحكومية المأذون لها بزيارة الأماكن التي </w:t>
      </w:r>
      <w:r>
        <w:rPr>
          <w:rFonts w:hint="cs"/>
          <w:rtl/>
        </w:rPr>
        <w:t>يُحتجز</w:t>
      </w:r>
      <w:r w:rsidRPr="008F0655">
        <w:rPr>
          <w:rtl/>
        </w:rPr>
        <w:t xml:space="preserve"> فيها أشخاص </w:t>
      </w:r>
      <w:r>
        <w:rPr>
          <w:rFonts w:hint="cs"/>
          <w:rtl/>
        </w:rPr>
        <w:t xml:space="preserve">محرومون </w:t>
      </w:r>
      <w:r w:rsidRPr="008F0655">
        <w:rPr>
          <w:rtl/>
        </w:rPr>
        <w:t xml:space="preserve">من حريتهم. بيد أن اللجنة تأسف لعدم وجود معلومات عن عدد الزيارات إلى أماكن الاحتجاز الرسمية وتواترها. ويساور اللجنة القلق </w:t>
      </w:r>
      <w:r w:rsidRPr="008F0655">
        <w:rPr>
          <w:rtl/>
        </w:rPr>
        <w:lastRenderedPageBreak/>
        <w:t>أيضا</w:t>
      </w:r>
      <w:r w:rsidR="00E86EA8">
        <w:rPr>
          <w:rFonts w:hint="cs"/>
          <w:rtl/>
        </w:rPr>
        <w:t>ً</w:t>
      </w:r>
      <w:r w:rsidRPr="008F0655">
        <w:rPr>
          <w:rtl/>
        </w:rPr>
        <w:t xml:space="preserve"> إزاء التقارير التي تفيد بأن اللجنة الوطنية لحقوق الإنسان، في سياق اضطلاعها بولايتها بوصفها آلية وطنية لمنع التعذيب، لا ي</w:t>
      </w:r>
      <w:r>
        <w:rPr>
          <w:rFonts w:hint="cs"/>
          <w:rtl/>
        </w:rPr>
        <w:t>ُ</w:t>
      </w:r>
      <w:r w:rsidRPr="008F0655">
        <w:rPr>
          <w:rtl/>
        </w:rPr>
        <w:t>سمح لها دائما</w:t>
      </w:r>
      <w:r w:rsidR="00E86EA8">
        <w:rPr>
          <w:rFonts w:hint="cs"/>
          <w:rtl/>
        </w:rPr>
        <w:t>ً</w:t>
      </w:r>
      <w:r w:rsidRPr="008F0655">
        <w:rPr>
          <w:rtl/>
        </w:rPr>
        <w:t xml:space="preserve"> بالوصول إلى جميع أماكن الحرمان من الحرية (المادة </w:t>
      </w:r>
      <w:r w:rsidRPr="00C806DC">
        <w:rPr>
          <w:rtl/>
        </w:rPr>
        <w:t>1</w:t>
      </w:r>
      <w:r w:rsidR="00012F60" w:rsidRPr="00C806DC">
        <w:rPr>
          <w:rtl/>
        </w:rPr>
        <w:t>7</w:t>
      </w:r>
      <w:r w:rsidR="00012F60" w:rsidRPr="00012F60">
        <w:rPr>
          <w:rFonts w:ascii="Traditional Arabic"/>
          <w:rtl/>
        </w:rPr>
        <w:t>)</w:t>
      </w:r>
      <w:r w:rsidR="00012F60" w:rsidRPr="00012F60">
        <w:rPr>
          <w:rtl/>
        </w:rPr>
        <w:t>.</w:t>
      </w:r>
    </w:p>
    <w:p w14:paraId="08B13DE7" w14:textId="6B21C563" w:rsidR="00B672BA" w:rsidRPr="00C806DC" w:rsidRDefault="00B672BA" w:rsidP="00EC166D">
      <w:pPr>
        <w:pStyle w:val="SingleTxtGA"/>
        <w:rPr>
          <w:b/>
          <w:bCs/>
          <w:lang w:val="ar-SA" w:eastAsia="zh-TW" w:bidi="en-GB"/>
        </w:rPr>
      </w:pPr>
      <w:r w:rsidRPr="00C806DC">
        <w:rPr>
          <w:rtl/>
        </w:rPr>
        <w:t>43</w:t>
      </w:r>
      <w:r w:rsidRPr="008F0655">
        <w:rPr>
          <w:rFonts w:ascii="Traditional Arabic"/>
          <w:rtl/>
        </w:rPr>
        <w:t>-</w:t>
      </w:r>
      <w:r w:rsidRPr="008F0655">
        <w:rPr>
          <w:rtl/>
        </w:rPr>
        <w:tab/>
      </w:r>
      <w:r w:rsidRPr="00C806DC">
        <w:rPr>
          <w:b/>
          <w:bCs/>
          <w:rtl/>
        </w:rPr>
        <w:t>توصي اللجنة الدولة الطرف بأن تكفل لجميع الجهات الفاعلة المأذون لها الوصول الفعلي إلى جميع أماكن الحرمان من الحرية، الرسمية وغير الرسمية على السواء. وعلى وجه الخصوص، توصي اللجنة الدولة الطرف بأن تكفل للجنة الوطنية لحقوق الإنسان، بوصفها الآلية الوطنية لمنع التعذيب، أن تضطلع بولايتها التفتيشية بحرية ودون عوائق.</w:t>
      </w:r>
    </w:p>
    <w:p w14:paraId="12A07AEC" w14:textId="77777777" w:rsidR="00B672BA" w:rsidRPr="00C806DC" w:rsidRDefault="00B672BA" w:rsidP="00EC166D">
      <w:pPr>
        <w:pStyle w:val="H4GA"/>
        <w:rPr>
          <w:lang w:val="ar-SA" w:eastAsia="zh-TW" w:bidi="en-GB"/>
        </w:rPr>
      </w:pPr>
      <w:r w:rsidRPr="00C806DC">
        <w:rPr>
          <w:rtl/>
        </w:rPr>
        <w:tab/>
      </w:r>
      <w:r w:rsidRPr="00C806DC">
        <w:rPr>
          <w:rtl/>
        </w:rPr>
        <w:tab/>
        <w:t>التدريب في مجال حقوق الإنسان، ولا سيما</w:t>
      </w:r>
      <w:r w:rsidRPr="00C806DC">
        <w:rPr>
          <w:rFonts w:hint="cs"/>
          <w:rtl/>
        </w:rPr>
        <w:t xml:space="preserve"> على</w:t>
      </w:r>
      <w:r w:rsidRPr="00C806DC">
        <w:rPr>
          <w:rtl/>
        </w:rPr>
        <w:t xml:space="preserve"> أحكام الاتفاقية </w:t>
      </w:r>
    </w:p>
    <w:p w14:paraId="31986576" w14:textId="676F592A" w:rsidR="00B672BA" w:rsidRPr="008F0655" w:rsidRDefault="00B672BA" w:rsidP="00EC166D">
      <w:pPr>
        <w:pStyle w:val="SingleTxtGA"/>
        <w:rPr>
          <w:lang w:val="ar-SA" w:eastAsia="zh-TW" w:bidi="en-GB"/>
        </w:rPr>
      </w:pPr>
      <w:r w:rsidRPr="00C806DC">
        <w:rPr>
          <w:rtl/>
        </w:rPr>
        <w:t>44</w:t>
      </w:r>
      <w:r w:rsidRPr="008F0655">
        <w:rPr>
          <w:rFonts w:ascii="Traditional Arabic"/>
          <w:rtl/>
        </w:rPr>
        <w:t>-</w:t>
      </w:r>
      <w:r w:rsidRPr="008F0655">
        <w:rPr>
          <w:rtl/>
        </w:rPr>
        <w:tab/>
        <w:t>تحيط اللجنة علما</w:t>
      </w:r>
      <w:r w:rsidR="00E86EA8">
        <w:rPr>
          <w:rFonts w:hint="cs"/>
          <w:rtl/>
        </w:rPr>
        <w:t>ً</w:t>
      </w:r>
      <w:r w:rsidRPr="008F0655">
        <w:rPr>
          <w:rtl/>
        </w:rPr>
        <w:t xml:space="preserve"> بالمعلومات المتعلقة بتدريب أفراد الشرطة و</w:t>
      </w:r>
      <w:r>
        <w:rPr>
          <w:rFonts w:hint="cs"/>
          <w:rtl/>
        </w:rPr>
        <w:t xml:space="preserve">موظفي </w:t>
      </w:r>
      <w:r w:rsidRPr="008F0655">
        <w:rPr>
          <w:rtl/>
        </w:rPr>
        <w:t xml:space="preserve">السجون في مجال حقوق الإنسان والمعايير التي تحكم الحرمان من الحرية. بيد أنها تلاحظ أن هذه الدورات التدريبية لا </w:t>
      </w:r>
      <w:r>
        <w:rPr>
          <w:rFonts w:hint="cs"/>
          <w:rtl/>
        </w:rPr>
        <w:t>تتناول</w:t>
      </w:r>
      <w:r w:rsidRPr="008F0655">
        <w:rPr>
          <w:rtl/>
        </w:rPr>
        <w:t xml:space="preserve"> الاتفاقية على وجه التحديد (المادة </w:t>
      </w:r>
      <w:r w:rsidRPr="00C806DC">
        <w:rPr>
          <w:rtl/>
        </w:rPr>
        <w:t>2</w:t>
      </w:r>
      <w:r w:rsidR="00012F60" w:rsidRPr="00C806DC">
        <w:rPr>
          <w:rtl/>
        </w:rPr>
        <w:t>3</w:t>
      </w:r>
      <w:r w:rsidR="00012F60" w:rsidRPr="00012F60">
        <w:rPr>
          <w:rFonts w:ascii="Traditional Arabic"/>
          <w:rtl/>
        </w:rPr>
        <w:t>)</w:t>
      </w:r>
      <w:r w:rsidR="00012F60" w:rsidRPr="00012F60">
        <w:rPr>
          <w:rtl/>
        </w:rPr>
        <w:t xml:space="preserve">. </w:t>
      </w:r>
    </w:p>
    <w:p w14:paraId="3E791C69" w14:textId="7F80D949" w:rsidR="00B672BA" w:rsidRPr="00C806DC" w:rsidRDefault="00B672BA" w:rsidP="00EC166D">
      <w:pPr>
        <w:pStyle w:val="SingleTxtGA"/>
        <w:rPr>
          <w:b/>
          <w:bCs/>
          <w:lang w:val="ar-SA" w:eastAsia="zh-TW" w:bidi="en-GB"/>
        </w:rPr>
      </w:pPr>
      <w:r w:rsidRPr="00C806DC">
        <w:rPr>
          <w:rtl/>
        </w:rPr>
        <w:t>45</w:t>
      </w:r>
      <w:r w:rsidRPr="008F0655">
        <w:rPr>
          <w:rFonts w:ascii="Traditional Arabic"/>
          <w:rtl/>
        </w:rPr>
        <w:t>-</w:t>
      </w:r>
      <w:r w:rsidRPr="00C806DC">
        <w:rPr>
          <w:b/>
          <w:bCs/>
          <w:rtl/>
        </w:rPr>
        <w:tab/>
        <w:t>تشجع اللجنة الدولة الطرف على ضمان توفير التدريب للموظفين العسكريين والمدنيين المكلفين بإنفاذ القوانين، و</w:t>
      </w:r>
      <w:r w:rsidRPr="00C806DC">
        <w:rPr>
          <w:rFonts w:hint="cs"/>
          <w:b/>
          <w:bCs/>
          <w:rtl/>
        </w:rPr>
        <w:t>ل</w:t>
      </w:r>
      <w:r w:rsidRPr="00C806DC">
        <w:rPr>
          <w:b/>
          <w:bCs/>
          <w:rtl/>
        </w:rPr>
        <w:t xml:space="preserve">لموظفين الطبيين والموظفين العمومين وغيرهم من الأشخاص الذين قد يكون </w:t>
      </w:r>
      <w:r w:rsidRPr="00C806DC">
        <w:rPr>
          <w:rFonts w:hint="cs"/>
          <w:b/>
          <w:bCs/>
          <w:rtl/>
        </w:rPr>
        <w:t>لهم دور</w:t>
      </w:r>
      <w:r w:rsidRPr="00C806DC">
        <w:rPr>
          <w:b/>
          <w:bCs/>
          <w:rtl/>
        </w:rPr>
        <w:t xml:space="preserve"> في احتجاز أو معاملة أي شخص حُرم من حريته، بمن فيهم القضاة والمدعون العامون وغيرهم من الممارسين القانونيين من جميع الرتب، وإدراج تدريس الاتفاقية، وفقا</w:t>
      </w:r>
      <w:r w:rsidR="00E86EA8" w:rsidRPr="00C806DC">
        <w:rPr>
          <w:rFonts w:hint="cs"/>
          <w:b/>
          <w:bCs/>
          <w:rtl/>
        </w:rPr>
        <w:t>ً</w:t>
      </w:r>
      <w:r w:rsidRPr="00C806DC">
        <w:rPr>
          <w:b/>
          <w:bCs/>
          <w:rtl/>
        </w:rPr>
        <w:t xml:space="preserve"> للمادة 23 منها. </w:t>
      </w:r>
    </w:p>
    <w:p w14:paraId="7BDFAE54" w14:textId="0BDD4A42" w:rsidR="00012F60" w:rsidRPr="00C806DC" w:rsidRDefault="00EC166D" w:rsidP="00EC166D">
      <w:pPr>
        <w:pStyle w:val="H23GA"/>
        <w:rPr>
          <w:lang w:val="ar-SA" w:eastAsia="zh-TW" w:bidi="en-GB"/>
        </w:rPr>
      </w:pPr>
      <w:r w:rsidRPr="00C806DC">
        <w:rPr>
          <w:rFonts w:ascii="Traditional Arabic"/>
          <w:rtl/>
        </w:rPr>
        <w:tab/>
      </w:r>
      <w:r w:rsidR="00B672BA" w:rsidRPr="00C806DC">
        <w:rPr>
          <w:rtl/>
        </w:rPr>
        <w:t>5</w:t>
      </w:r>
      <w:r w:rsidR="00B672BA" w:rsidRPr="00C806DC">
        <w:rPr>
          <w:rFonts w:ascii="Traditional Arabic"/>
          <w:rtl/>
        </w:rPr>
        <w:t>-</w:t>
      </w:r>
      <w:r w:rsidR="00B672BA" w:rsidRPr="00C806DC">
        <w:rPr>
          <w:rtl/>
        </w:rPr>
        <w:tab/>
        <w:t>تدابير جبر الضرر (المادة 2</w:t>
      </w:r>
      <w:r w:rsidR="00012F60" w:rsidRPr="00C806DC">
        <w:rPr>
          <w:rtl/>
        </w:rPr>
        <w:t>4</w:t>
      </w:r>
      <w:r w:rsidR="00012F60" w:rsidRPr="00C806DC">
        <w:rPr>
          <w:rFonts w:ascii="Traditional Arabic"/>
          <w:rtl/>
        </w:rPr>
        <w:t>)</w:t>
      </w:r>
    </w:p>
    <w:p w14:paraId="0C1CC1BE" w14:textId="4F2FCFB7" w:rsidR="00B672BA" w:rsidRPr="00C806DC" w:rsidRDefault="00B672BA" w:rsidP="00EC166D">
      <w:pPr>
        <w:pStyle w:val="H4GA"/>
        <w:rPr>
          <w:lang w:val="ar-SA" w:eastAsia="zh-TW" w:bidi="en-GB"/>
        </w:rPr>
      </w:pPr>
      <w:r w:rsidRPr="00C806DC">
        <w:rPr>
          <w:rtl/>
        </w:rPr>
        <w:tab/>
      </w:r>
      <w:r w:rsidRPr="00C806DC">
        <w:rPr>
          <w:rtl/>
        </w:rPr>
        <w:tab/>
        <w:t>الحق في معرفة الحقيقة وفي جبر الضرر</w:t>
      </w:r>
    </w:p>
    <w:p w14:paraId="72D63C3A" w14:textId="4643DA09" w:rsidR="00012F60" w:rsidRPr="00012F60" w:rsidRDefault="00B672BA" w:rsidP="00EC166D">
      <w:pPr>
        <w:pStyle w:val="SingleTxtGA"/>
        <w:rPr>
          <w:lang w:val="ar-SA" w:eastAsia="zh-TW" w:bidi="en-GB"/>
        </w:rPr>
      </w:pPr>
      <w:r w:rsidRPr="00C806DC">
        <w:rPr>
          <w:rtl/>
        </w:rPr>
        <w:t>46</w:t>
      </w:r>
      <w:r w:rsidRPr="008F0655">
        <w:rPr>
          <w:rFonts w:ascii="Traditional Arabic"/>
          <w:rtl/>
        </w:rPr>
        <w:t>-</w:t>
      </w:r>
      <w:r w:rsidRPr="008F0655">
        <w:rPr>
          <w:rtl/>
        </w:rPr>
        <w:tab/>
        <w:t xml:space="preserve">ترحب اللجنة بعقد لجنة الحقيقة والعدالة والمصالحة جلسة استماع بشأن حالات الاختفاء القسري، غير أنها تأسف لعدم إبلاغها بنتائج تلك الجلسة وبالنتائج التي توصلت إليها اللجنة في نهاية ولايتها. ويساور اللجنة القلق لأن القانون المحلي لا ينص على نظام للجبر الكامل ولا يعترف بحق كل ضحية في معرفة الحقيقة. وتأسف لعدم تلقيها معلومات أكثر دقة عن تنفيذ التدابير المنصوص عليها في المواد من </w:t>
      </w:r>
      <w:r w:rsidRPr="00C806DC">
        <w:rPr>
          <w:rtl/>
        </w:rPr>
        <w:t>28</w:t>
      </w:r>
      <w:r w:rsidRPr="008F0655">
        <w:rPr>
          <w:rtl/>
        </w:rPr>
        <w:t xml:space="preserve"> إلى </w:t>
      </w:r>
      <w:r w:rsidRPr="00C806DC">
        <w:rPr>
          <w:rtl/>
        </w:rPr>
        <w:t>32</w:t>
      </w:r>
      <w:r w:rsidRPr="008F0655">
        <w:rPr>
          <w:rtl/>
        </w:rPr>
        <w:t xml:space="preserve"> من قانون الوفاق الوطني لعام </w:t>
      </w:r>
      <w:r w:rsidRPr="00C806DC">
        <w:rPr>
          <w:rtl/>
        </w:rPr>
        <w:t>2019</w:t>
      </w:r>
      <w:r w:rsidRPr="008F0655">
        <w:rPr>
          <w:rFonts w:ascii="Traditional Arabic"/>
          <w:rtl/>
        </w:rPr>
        <w:t xml:space="preserve"> (</w:t>
      </w:r>
      <w:r w:rsidRPr="008F0655">
        <w:rPr>
          <w:rtl/>
        </w:rPr>
        <w:t xml:space="preserve">المادة </w:t>
      </w:r>
      <w:r w:rsidRPr="00C806DC">
        <w:rPr>
          <w:rtl/>
        </w:rPr>
        <w:t>2</w:t>
      </w:r>
      <w:r w:rsidR="00012F60" w:rsidRPr="00C806DC">
        <w:rPr>
          <w:rtl/>
        </w:rPr>
        <w:t>4</w:t>
      </w:r>
      <w:r w:rsidR="00012F60" w:rsidRPr="00012F60">
        <w:rPr>
          <w:rFonts w:ascii="Traditional Arabic"/>
          <w:rtl/>
        </w:rPr>
        <w:t>)</w:t>
      </w:r>
      <w:r w:rsidR="00012F60" w:rsidRPr="00012F60">
        <w:rPr>
          <w:rtl/>
        </w:rPr>
        <w:t>.</w:t>
      </w:r>
    </w:p>
    <w:p w14:paraId="50FB4D30" w14:textId="1FD162AD" w:rsidR="00B672BA" w:rsidRPr="00C806DC" w:rsidRDefault="00B672BA" w:rsidP="00EC166D">
      <w:pPr>
        <w:pStyle w:val="SingleTxtGA"/>
        <w:rPr>
          <w:b/>
          <w:bCs/>
          <w:lang w:val="ar-SA" w:eastAsia="zh-TW" w:bidi="en-GB"/>
        </w:rPr>
      </w:pPr>
      <w:r w:rsidRPr="00C806DC">
        <w:rPr>
          <w:rtl/>
        </w:rPr>
        <w:t>47</w:t>
      </w:r>
      <w:r w:rsidRPr="008F0655">
        <w:rPr>
          <w:rFonts w:ascii="Traditional Arabic"/>
          <w:rtl/>
        </w:rPr>
        <w:t>-</w:t>
      </w:r>
      <w:r w:rsidRPr="008F0655">
        <w:rPr>
          <w:rtl/>
        </w:rPr>
        <w:tab/>
      </w:r>
      <w:r w:rsidRPr="00C806DC">
        <w:rPr>
          <w:b/>
          <w:bCs/>
          <w:rtl/>
        </w:rPr>
        <w:t xml:space="preserve">توصي اللجنة الدولة الطرف بأن تعترف في تشريعاتها </w:t>
      </w:r>
      <w:r w:rsidRPr="00C806DC">
        <w:rPr>
          <w:rFonts w:hint="cs"/>
          <w:b/>
          <w:bCs/>
          <w:rtl/>
        </w:rPr>
        <w:t>الوطنية</w:t>
      </w:r>
      <w:r w:rsidRPr="00C806DC">
        <w:rPr>
          <w:b/>
          <w:bCs/>
          <w:rtl/>
        </w:rPr>
        <w:t xml:space="preserve"> بالحق في معرفة الحقيقة بشأن ضحايا الاختفاء القسري وأن تدرج نظاما</w:t>
      </w:r>
      <w:r w:rsidR="00E86EA8" w:rsidRPr="00C806DC">
        <w:rPr>
          <w:rFonts w:hint="cs"/>
          <w:b/>
          <w:bCs/>
          <w:rtl/>
        </w:rPr>
        <w:t>ً</w:t>
      </w:r>
      <w:r w:rsidRPr="00C806DC">
        <w:rPr>
          <w:b/>
          <w:bCs/>
          <w:rtl/>
        </w:rPr>
        <w:t xml:space="preserve"> للجبر الكامل يتفق تماما</w:t>
      </w:r>
      <w:r w:rsidR="00E86EA8" w:rsidRPr="00C806DC">
        <w:rPr>
          <w:rFonts w:hint="cs"/>
          <w:b/>
          <w:bCs/>
          <w:rtl/>
        </w:rPr>
        <w:t>ً</w:t>
      </w:r>
      <w:r w:rsidRPr="00C806DC">
        <w:rPr>
          <w:b/>
          <w:bCs/>
          <w:rtl/>
        </w:rPr>
        <w:t xml:space="preserve"> مع أحكام الفقرتين 4 و5 من المادة 24 من الاتفاقية وغيرها من المعايير الدولية ذات الصلة، وبالتالي أن تكفل ضمانات عدم التكرار. وتوصي اللجنة أيضا</w:t>
      </w:r>
      <w:r w:rsidR="00E86EA8" w:rsidRPr="00C806DC">
        <w:rPr>
          <w:rFonts w:hint="cs"/>
          <w:b/>
          <w:bCs/>
          <w:rtl/>
        </w:rPr>
        <w:t>ً</w:t>
      </w:r>
      <w:r w:rsidRPr="00C806DC">
        <w:rPr>
          <w:b/>
          <w:bCs/>
          <w:rtl/>
        </w:rPr>
        <w:t xml:space="preserve"> بأن تكفل الدولة الطرف تطبيق هذا النظام حتى في حالة عدم الشروع في إجراءات قضائية، وأن يستند إلى نهج متمايز يأخذ في الاعتبار الحالة الخاصة لكل ضحية، بما في ذلك الجنس والميل الجنسي، والهوية الجنسانية، والعمر، والأصل الإثني، والحالة الاجتماعية، والإعاقة. </w:t>
      </w:r>
    </w:p>
    <w:p w14:paraId="53CD1D27" w14:textId="783DE4F9" w:rsidR="00B672BA" w:rsidRPr="00C806DC" w:rsidRDefault="00B672BA" w:rsidP="00EC166D">
      <w:pPr>
        <w:pStyle w:val="H4GA"/>
        <w:rPr>
          <w:lang w:val="ar-SA" w:eastAsia="zh-TW" w:bidi="en-GB"/>
        </w:rPr>
      </w:pPr>
      <w:r w:rsidRPr="00C806DC">
        <w:rPr>
          <w:rtl/>
        </w:rPr>
        <w:tab/>
      </w:r>
      <w:r w:rsidRPr="00C806DC">
        <w:rPr>
          <w:rtl/>
        </w:rPr>
        <w:tab/>
        <w:t>حالة النساء من أفراد أسرة الشخص المختفي</w:t>
      </w:r>
    </w:p>
    <w:p w14:paraId="521AB4F0" w14:textId="6F6B51FD" w:rsidR="00012F60" w:rsidRPr="00012F60" w:rsidRDefault="00B672BA" w:rsidP="00EC166D">
      <w:pPr>
        <w:pStyle w:val="SingleTxtGA"/>
        <w:rPr>
          <w:lang w:val="ar-SA" w:eastAsia="zh-TW" w:bidi="en-GB"/>
        </w:rPr>
      </w:pPr>
      <w:r w:rsidRPr="00C806DC">
        <w:rPr>
          <w:rtl/>
        </w:rPr>
        <w:t>48</w:t>
      </w:r>
      <w:r w:rsidRPr="008F0655">
        <w:rPr>
          <w:rFonts w:ascii="Traditional Arabic"/>
          <w:rtl/>
        </w:rPr>
        <w:t>-</w:t>
      </w:r>
      <w:r w:rsidRPr="008F0655">
        <w:rPr>
          <w:rtl/>
        </w:rPr>
        <w:tab/>
        <w:t>تذكر اللجنة بالقيود التي تعاني منها المرأة المالية من حيث الميراث والحصول على الاستحقاقات الاجتماعية، على النحو الذي أفادت به اللجنة المعنية بالقضاء على التمييز ضد المرأة</w:t>
      </w:r>
      <w:r w:rsidR="00012F60">
        <w:rPr>
          <w:rStyle w:val="FootnoteReference"/>
          <w:sz w:val="28"/>
          <w:rtl/>
        </w:rPr>
        <w:t>(</w:t>
      </w:r>
      <w:r w:rsidR="00012F60" w:rsidRPr="00C806DC">
        <w:rPr>
          <w:rStyle w:val="FootnoteReference"/>
          <w:sz w:val="28"/>
          <w:lang w:val="en-US"/>
        </w:rPr>
        <w:footnoteReference w:id="9"/>
      </w:r>
      <w:r w:rsidR="00012F60" w:rsidRPr="00012F60">
        <w:rPr>
          <w:rStyle w:val="FootnoteReference"/>
          <w:sz w:val="28"/>
          <w:rtl/>
        </w:rPr>
        <w:t>)</w:t>
      </w:r>
      <w:r w:rsidR="00012F60" w:rsidRPr="00012F60">
        <w:rPr>
          <w:rtl/>
        </w:rPr>
        <w:t xml:space="preserve">، </w:t>
      </w:r>
      <w:r w:rsidRPr="008F0655">
        <w:rPr>
          <w:rtl/>
        </w:rPr>
        <w:t xml:space="preserve">ويساورها القلق إزاء الأثر السلبي المحتمل لهذه القيود على تمتع المرأة الكامل بالحقوق المكرسة في المادة </w:t>
      </w:r>
      <w:r w:rsidRPr="00C806DC">
        <w:rPr>
          <w:rtl/>
        </w:rPr>
        <w:t>24</w:t>
      </w:r>
      <w:r w:rsidRPr="008F0655">
        <w:rPr>
          <w:rtl/>
        </w:rPr>
        <w:t xml:space="preserve"> من الاتفاقية (المادة </w:t>
      </w:r>
      <w:r w:rsidRPr="00C806DC">
        <w:rPr>
          <w:rtl/>
        </w:rPr>
        <w:t>2</w:t>
      </w:r>
      <w:r w:rsidR="00012F60" w:rsidRPr="00C806DC">
        <w:rPr>
          <w:rtl/>
        </w:rPr>
        <w:t>4</w:t>
      </w:r>
      <w:r w:rsidR="00012F60" w:rsidRPr="00012F60">
        <w:rPr>
          <w:rFonts w:ascii="Traditional Arabic"/>
          <w:rtl/>
        </w:rPr>
        <w:t>)</w:t>
      </w:r>
      <w:r w:rsidR="00012F60" w:rsidRPr="00012F60">
        <w:rPr>
          <w:rtl/>
        </w:rPr>
        <w:t>.</w:t>
      </w:r>
    </w:p>
    <w:p w14:paraId="1FB7E5D2" w14:textId="31FA9E8C" w:rsidR="00012F60" w:rsidRPr="00C806DC" w:rsidRDefault="00B672BA" w:rsidP="00EC166D">
      <w:pPr>
        <w:pStyle w:val="SingleTxtGA"/>
        <w:rPr>
          <w:b/>
          <w:bCs/>
          <w:lang w:val="ar-SA" w:eastAsia="zh-TW" w:bidi="en-GB"/>
        </w:rPr>
      </w:pPr>
      <w:r w:rsidRPr="00C806DC">
        <w:rPr>
          <w:rtl/>
        </w:rPr>
        <w:lastRenderedPageBreak/>
        <w:t>49</w:t>
      </w:r>
      <w:r w:rsidRPr="008F0655">
        <w:rPr>
          <w:rFonts w:ascii="Traditional Arabic"/>
          <w:rtl/>
        </w:rPr>
        <w:t>-</w:t>
      </w:r>
      <w:r w:rsidRPr="008F0655">
        <w:rPr>
          <w:rtl/>
        </w:rPr>
        <w:tab/>
      </w:r>
      <w:r w:rsidRPr="00C806DC">
        <w:rPr>
          <w:b/>
          <w:bCs/>
          <w:rtl/>
        </w:rPr>
        <w:t xml:space="preserve">توصي اللجنة الدولة الطرف بأن تكفل تمكين جميع النساء والفتيات </w:t>
      </w:r>
      <w:r w:rsidRPr="00C806DC">
        <w:rPr>
          <w:rFonts w:hint="cs"/>
          <w:b/>
          <w:bCs/>
          <w:rtl/>
        </w:rPr>
        <w:t>من أفراد</w:t>
      </w:r>
      <w:r w:rsidRPr="00C806DC">
        <w:rPr>
          <w:b/>
          <w:bCs/>
          <w:rtl/>
        </w:rPr>
        <w:t xml:space="preserve"> أسر الأشخاص المختفين من ممارسة جميع الحقوق المكرسة في الاتفاقية دون قيود، بما فيها الحقوق الواردة في المادة 2</w:t>
      </w:r>
      <w:r w:rsidR="00012F60" w:rsidRPr="00C806DC">
        <w:rPr>
          <w:b/>
          <w:bCs/>
          <w:rtl/>
        </w:rPr>
        <w:t>4.</w:t>
      </w:r>
    </w:p>
    <w:p w14:paraId="4602CC61" w14:textId="6CF86ED2" w:rsidR="00B672BA" w:rsidRPr="00C806DC" w:rsidRDefault="00B672BA" w:rsidP="00EC166D">
      <w:pPr>
        <w:pStyle w:val="H4GA"/>
        <w:rPr>
          <w:lang w:val="ar-SA" w:eastAsia="zh-TW" w:bidi="en-GB"/>
        </w:rPr>
      </w:pPr>
      <w:r w:rsidRPr="00C806DC">
        <w:rPr>
          <w:rtl/>
        </w:rPr>
        <w:tab/>
      </w:r>
      <w:r w:rsidRPr="00C806DC">
        <w:rPr>
          <w:rtl/>
        </w:rPr>
        <w:tab/>
        <w:t xml:space="preserve">الوضع القانوني </w:t>
      </w:r>
      <w:r w:rsidRPr="00C806DC">
        <w:rPr>
          <w:rFonts w:hint="cs"/>
          <w:rtl/>
        </w:rPr>
        <w:t>للأشخاص المختفين</w:t>
      </w:r>
      <w:r w:rsidRPr="00C806DC">
        <w:rPr>
          <w:rtl/>
        </w:rPr>
        <w:t xml:space="preserve"> الذي</w:t>
      </w:r>
      <w:r w:rsidRPr="00C806DC">
        <w:rPr>
          <w:rFonts w:hint="cs"/>
          <w:rtl/>
        </w:rPr>
        <w:t>ن</w:t>
      </w:r>
      <w:r w:rsidRPr="00C806DC">
        <w:rPr>
          <w:rtl/>
        </w:rPr>
        <w:t xml:space="preserve"> لم يتضح مصيره</w:t>
      </w:r>
      <w:r w:rsidRPr="00C806DC">
        <w:rPr>
          <w:rFonts w:hint="cs"/>
          <w:rtl/>
        </w:rPr>
        <w:t>م</w:t>
      </w:r>
      <w:r w:rsidRPr="00C806DC">
        <w:rPr>
          <w:rtl/>
        </w:rPr>
        <w:t xml:space="preserve"> </w:t>
      </w:r>
    </w:p>
    <w:p w14:paraId="74678C09" w14:textId="0CC6ECE3" w:rsidR="00B672BA" w:rsidRPr="008F0655" w:rsidRDefault="00B672BA" w:rsidP="00EC166D">
      <w:pPr>
        <w:pStyle w:val="SingleTxtGA"/>
        <w:rPr>
          <w:lang w:val="ar-SA" w:eastAsia="zh-TW" w:bidi="en-GB"/>
        </w:rPr>
      </w:pPr>
      <w:r w:rsidRPr="00C806DC">
        <w:rPr>
          <w:rtl/>
        </w:rPr>
        <w:t>50</w:t>
      </w:r>
      <w:r w:rsidRPr="008F0655">
        <w:rPr>
          <w:rFonts w:ascii="Traditional Arabic"/>
          <w:rtl/>
        </w:rPr>
        <w:t>-</w:t>
      </w:r>
      <w:r w:rsidRPr="008F0655">
        <w:rPr>
          <w:rtl/>
        </w:rPr>
        <w:tab/>
        <w:t xml:space="preserve">ترى اللجنة أن نظام تحديد الوضع القانوني للأشخاص المختفين الذين لم يتضح مصيرهم على النحو المنصوص عليه في المواد </w:t>
      </w:r>
      <w:r w:rsidRPr="00C806DC">
        <w:rPr>
          <w:rtl/>
        </w:rPr>
        <w:t>67</w:t>
      </w:r>
      <w:r w:rsidRPr="008F0655">
        <w:rPr>
          <w:rtl/>
        </w:rPr>
        <w:t xml:space="preserve"> و</w:t>
      </w:r>
      <w:r w:rsidRPr="00C806DC">
        <w:rPr>
          <w:rtl/>
        </w:rPr>
        <w:t>68</w:t>
      </w:r>
      <w:r w:rsidRPr="008F0655">
        <w:rPr>
          <w:rtl/>
        </w:rPr>
        <w:t xml:space="preserve"> و</w:t>
      </w:r>
      <w:r w:rsidRPr="00C806DC">
        <w:rPr>
          <w:rtl/>
        </w:rPr>
        <w:t>76</w:t>
      </w:r>
      <w:r w:rsidRPr="008F0655">
        <w:rPr>
          <w:rtl/>
        </w:rPr>
        <w:t xml:space="preserve"> إلى </w:t>
      </w:r>
      <w:r w:rsidRPr="00C806DC">
        <w:rPr>
          <w:rtl/>
        </w:rPr>
        <w:t>83</w:t>
      </w:r>
      <w:r w:rsidRPr="008F0655">
        <w:rPr>
          <w:rtl/>
        </w:rPr>
        <w:t xml:space="preserve"> من قانون الأحوال الشخصية والأسرة، الذي يلزم بإعلان غياب الشخص المختفي ثم إعلان وفاته في نهاية المطاف، لا يراعي على نحو كاف الضعف الاجتماعي والاقتصادي الذي تسببه حالات الاختفاء القسري لأسر الأشخاص المختفين (المادة </w:t>
      </w:r>
      <w:r w:rsidRPr="00C806DC">
        <w:rPr>
          <w:rtl/>
        </w:rPr>
        <w:t>2</w:t>
      </w:r>
      <w:r w:rsidR="00012F60" w:rsidRPr="00C806DC">
        <w:rPr>
          <w:rtl/>
        </w:rPr>
        <w:t>4</w:t>
      </w:r>
      <w:r w:rsidR="00012F60" w:rsidRPr="00012F60">
        <w:rPr>
          <w:rFonts w:ascii="Traditional Arabic"/>
          <w:rtl/>
        </w:rPr>
        <w:t>)</w:t>
      </w:r>
      <w:r w:rsidR="00012F60" w:rsidRPr="00012F60">
        <w:rPr>
          <w:rtl/>
        </w:rPr>
        <w:t xml:space="preserve">. </w:t>
      </w:r>
      <w:r w:rsidRPr="008F0655">
        <w:rPr>
          <w:rtl/>
        </w:rPr>
        <w:t>ويساور اللجنة القلق لأن الأقارب لا يتمكنون من تأكيد حقوقهم في الأسرة والملكية إلا بعد انقضاء فترات تأخير طويلة جدا</w:t>
      </w:r>
      <w:r w:rsidR="003C0DA4">
        <w:rPr>
          <w:rFonts w:hint="cs"/>
          <w:rtl/>
        </w:rPr>
        <w:t>ً</w:t>
      </w:r>
      <w:r w:rsidRPr="008F0655">
        <w:rPr>
          <w:rtl/>
        </w:rPr>
        <w:t>.</w:t>
      </w:r>
    </w:p>
    <w:p w14:paraId="43743D90" w14:textId="77777777" w:rsidR="00B672BA" w:rsidRPr="00C806DC" w:rsidRDefault="00B672BA" w:rsidP="00EC166D">
      <w:pPr>
        <w:pStyle w:val="SingleTxtGA"/>
        <w:rPr>
          <w:b/>
          <w:bCs/>
          <w:lang w:val="ar-SA" w:eastAsia="zh-TW" w:bidi="en-GB"/>
        </w:rPr>
      </w:pPr>
      <w:r w:rsidRPr="00C806DC">
        <w:rPr>
          <w:rtl/>
        </w:rPr>
        <w:t>51</w:t>
      </w:r>
      <w:r w:rsidRPr="008F0655">
        <w:rPr>
          <w:rFonts w:ascii="Traditional Arabic"/>
          <w:rtl/>
        </w:rPr>
        <w:t>-</w:t>
      </w:r>
      <w:r w:rsidRPr="008F0655">
        <w:rPr>
          <w:rtl/>
        </w:rPr>
        <w:tab/>
      </w:r>
      <w:r w:rsidRPr="00C806DC">
        <w:rPr>
          <w:b/>
          <w:bCs/>
          <w:rtl/>
        </w:rPr>
        <w:t xml:space="preserve">توصي اللجنة الدولة الطرف باتخاذ التدابير التشريعية اللازمة لضمان تسوية الوضع القانوني للأشخاص المختفين الذي لم يتضح مصيرهم أو مكان وجودهم ومكان وجود أقاربهم، وفقاً للفقرة 6 من المادة 24 من الاتفاقية، في جوانب من قبيل الحماية الاجتماعية وقانون الأسرة وحقوق الملكية، في غضون فترة زمنية معقولة ودون الحاجة إلى إعلان الوفاة المفترضة للشخص المختفي. وفي هذا الخصوص، تحث اللجنة الدولة الطرف على جعل قانونها يقر إعلان الغياب بسبب الاختفاء القسري بما يتماشى مع الاتفاقية. </w:t>
      </w:r>
    </w:p>
    <w:p w14:paraId="5D6AA6BC" w14:textId="77777777" w:rsidR="00B672BA" w:rsidRPr="00C806DC" w:rsidRDefault="00B672BA" w:rsidP="00B672BA">
      <w:pPr>
        <w:pStyle w:val="H4GA"/>
        <w:rPr>
          <w:lang w:val="ar-SA" w:eastAsia="zh-TW" w:bidi="en-GB"/>
        </w:rPr>
      </w:pPr>
      <w:r w:rsidRPr="00C806DC">
        <w:rPr>
          <w:rtl/>
        </w:rPr>
        <w:tab/>
      </w:r>
      <w:r w:rsidRPr="00C806DC">
        <w:rPr>
          <w:rtl/>
        </w:rPr>
        <w:tab/>
        <w:t>الحق في تكوين المنظمات والجمعيات</w:t>
      </w:r>
    </w:p>
    <w:p w14:paraId="61C5AC1D" w14:textId="2701FE8B" w:rsidR="00012F60" w:rsidRPr="00012F60" w:rsidRDefault="00B672BA" w:rsidP="00B672BA">
      <w:pPr>
        <w:pStyle w:val="SingleTxtGA"/>
        <w:rPr>
          <w:lang w:val="ar-SA" w:eastAsia="zh-TW" w:bidi="en-GB"/>
        </w:rPr>
      </w:pPr>
      <w:r w:rsidRPr="00C806DC">
        <w:rPr>
          <w:rtl/>
        </w:rPr>
        <w:t>52</w:t>
      </w:r>
      <w:r w:rsidRPr="008F0655">
        <w:rPr>
          <w:rFonts w:ascii="Traditional Arabic"/>
          <w:rtl/>
        </w:rPr>
        <w:t>-</w:t>
      </w:r>
      <w:r w:rsidRPr="008F0655">
        <w:rPr>
          <w:rtl/>
        </w:rPr>
        <w:tab/>
        <w:t>يساور اللجنة القلق إزاء المعلومات التي قدمتها الدولة الطرف ومفادها أنه لا توجد جمعيات لضحايا الاختفاء القسري في البلد. وتلاحظ اللجنة أيضا</w:t>
      </w:r>
      <w:r w:rsidR="00E86EA8">
        <w:rPr>
          <w:rFonts w:hint="cs"/>
          <w:rtl/>
        </w:rPr>
        <w:t>ً</w:t>
      </w:r>
      <w:r w:rsidRPr="008F0655">
        <w:rPr>
          <w:rtl/>
        </w:rPr>
        <w:t xml:space="preserve"> مع القلق الشواغل التي أعرب عنها الخبير المستقل المعني بحالة حقوق الإنسان في مالي بشأن "القيود المستمرة للحيز المدني"</w:t>
      </w:r>
      <w:r w:rsidR="00012F60">
        <w:rPr>
          <w:vertAlign w:val="superscript"/>
          <w:rtl/>
        </w:rPr>
        <w:t>(</w:t>
      </w:r>
      <w:r w:rsidR="00012F60" w:rsidRPr="00C806DC">
        <w:rPr>
          <w:vertAlign w:val="superscript"/>
          <w:lang w:val="en-US"/>
        </w:rPr>
        <w:footnoteReference w:id="10"/>
      </w:r>
      <w:r w:rsidR="00012F60" w:rsidRPr="00012F60">
        <w:rPr>
          <w:vertAlign w:val="superscript"/>
          <w:rtl/>
        </w:rPr>
        <w:t>)</w:t>
      </w:r>
      <w:r w:rsidR="00012F60" w:rsidRPr="00012F60">
        <w:rPr>
          <w:rFonts w:hint="cs"/>
          <w:rtl/>
        </w:rPr>
        <w:t>،</w:t>
      </w:r>
      <w:r w:rsidR="00012F60" w:rsidRPr="00012F60">
        <w:rPr>
          <w:rtl/>
        </w:rPr>
        <w:t> </w:t>
      </w:r>
      <w:r w:rsidRPr="008F0655">
        <w:rPr>
          <w:rtl/>
        </w:rPr>
        <w:t xml:space="preserve">والمعلومات التي تفيد بأن أعضاء المجتمع المدني يقعون ضحايا للاختفاء القسري (المادة </w:t>
      </w:r>
      <w:r w:rsidRPr="00C806DC">
        <w:rPr>
          <w:rtl/>
        </w:rPr>
        <w:t>2</w:t>
      </w:r>
      <w:r w:rsidR="00012F60" w:rsidRPr="00C806DC">
        <w:rPr>
          <w:rtl/>
        </w:rPr>
        <w:t>4</w:t>
      </w:r>
      <w:r w:rsidR="00012F60" w:rsidRPr="00012F60">
        <w:rPr>
          <w:rFonts w:ascii="Traditional Arabic"/>
          <w:rtl/>
        </w:rPr>
        <w:t>)</w:t>
      </w:r>
      <w:r w:rsidR="00012F60" w:rsidRPr="00012F60">
        <w:rPr>
          <w:rtl/>
        </w:rPr>
        <w:t>.</w:t>
      </w:r>
    </w:p>
    <w:p w14:paraId="026C0EC2" w14:textId="7768AD19" w:rsidR="00B672BA" w:rsidRPr="00C806DC" w:rsidRDefault="00B672BA" w:rsidP="00B672BA">
      <w:pPr>
        <w:pStyle w:val="SingleTxtGA"/>
        <w:rPr>
          <w:rFonts w:ascii="Times New Roman Bold" w:hAnsi="Times New Roman Bold" w:hint="eastAsia"/>
          <w:b/>
          <w:bCs/>
          <w:spacing w:val="-2"/>
          <w:lang w:val="ar-SA" w:eastAsia="zh-TW" w:bidi="en-GB"/>
        </w:rPr>
      </w:pPr>
      <w:r w:rsidRPr="00C806DC">
        <w:rPr>
          <w:rtl/>
        </w:rPr>
        <w:t>53</w:t>
      </w:r>
      <w:r w:rsidRPr="008F0655">
        <w:rPr>
          <w:rFonts w:ascii="Traditional Arabic"/>
          <w:rtl/>
        </w:rPr>
        <w:t>-</w:t>
      </w:r>
      <w:r w:rsidRPr="008F0655">
        <w:rPr>
          <w:rtl/>
        </w:rPr>
        <w:tab/>
      </w:r>
      <w:r w:rsidRPr="00C806DC">
        <w:rPr>
          <w:b/>
          <w:bCs/>
          <w:rtl/>
        </w:rPr>
        <w:t xml:space="preserve">توصي اللجنة الدولة الطرف باحترام وتعزيز الحق في تشكيل منظمات ورابطات للمساهمة في </w:t>
      </w:r>
      <w:r w:rsidRPr="00C806DC">
        <w:rPr>
          <w:rFonts w:ascii="Times New Roman Bold" w:hAnsi="Times New Roman Bold" w:hint="cs"/>
          <w:b/>
          <w:bCs/>
          <w:spacing w:val="-2"/>
          <w:rtl/>
        </w:rPr>
        <w:t>الوقوف على ملابسات</w:t>
      </w:r>
      <w:r w:rsidRPr="00C806DC">
        <w:rPr>
          <w:rFonts w:ascii="Times New Roman Bold" w:hAnsi="Times New Roman Bold"/>
          <w:b/>
          <w:bCs/>
          <w:spacing w:val="-2"/>
          <w:rtl/>
        </w:rPr>
        <w:t xml:space="preserve"> حالات الاختفاء القسري ومصير الأشخاص المختفين وفي مساعدة ضحايا الاختفاء القسري، فضلا</w:t>
      </w:r>
      <w:r w:rsidR="00E86EA8" w:rsidRPr="00C806DC">
        <w:rPr>
          <w:rFonts w:ascii="Times New Roman Bold" w:hAnsi="Times New Roman Bold" w:hint="cs"/>
          <w:b/>
          <w:bCs/>
          <w:spacing w:val="-2"/>
          <w:rtl/>
        </w:rPr>
        <w:t>ً</w:t>
      </w:r>
      <w:r w:rsidRPr="00C806DC">
        <w:rPr>
          <w:rFonts w:ascii="Times New Roman Bold" w:hAnsi="Times New Roman Bold"/>
          <w:b/>
          <w:bCs/>
          <w:spacing w:val="-2"/>
          <w:rtl/>
        </w:rPr>
        <w:t xml:space="preserve"> عن احترام وضمان حق كل فرد في المشاركة بحرية في هذه المنظمات أو الجمعيات. </w:t>
      </w:r>
    </w:p>
    <w:p w14:paraId="1F7598C1" w14:textId="2298FDE5" w:rsidR="00012F60" w:rsidRPr="00C806DC" w:rsidRDefault="00B672BA" w:rsidP="00B672BA">
      <w:pPr>
        <w:pStyle w:val="H23GA"/>
        <w:rPr>
          <w:rtl/>
        </w:rPr>
      </w:pPr>
      <w:r w:rsidRPr="00C806DC">
        <w:rPr>
          <w:rFonts w:ascii="Traditional Arabic"/>
          <w:rtl/>
        </w:rPr>
        <w:tab/>
      </w:r>
      <w:r w:rsidRPr="00C806DC">
        <w:rPr>
          <w:rtl/>
        </w:rPr>
        <w:t>6</w:t>
      </w:r>
      <w:r w:rsidRPr="00C806DC">
        <w:rPr>
          <w:rFonts w:ascii="Traditional Arabic"/>
          <w:rtl/>
        </w:rPr>
        <w:t>-</w:t>
      </w:r>
      <w:r w:rsidRPr="00C806DC">
        <w:rPr>
          <w:rtl/>
        </w:rPr>
        <w:tab/>
        <w:t>تدابير حماية الأطفال من الاختفاء القسري (المادة 2</w:t>
      </w:r>
      <w:r w:rsidR="00012F60" w:rsidRPr="00C806DC">
        <w:rPr>
          <w:rtl/>
        </w:rPr>
        <w:t>5)</w:t>
      </w:r>
    </w:p>
    <w:p w14:paraId="4A39634A" w14:textId="7D71EE97" w:rsidR="00B672BA" w:rsidRPr="00C806DC" w:rsidRDefault="00B672BA" w:rsidP="00B672BA">
      <w:pPr>
        <w:pStyle w:val="H4GA"/>
        <w:rPr>
          <w:lang w:val="ar-SA" w:eastAsia="zh-TW" w:bidi="en-GB"/>
        </w:rPr>
      </w:pPr>
      <w:r w:rsidRPr="00C806DC">
        <w:rPr>
          <w:rtl/>
        </w:rPr>
        <w:tab/>
      </w:r>
      <w:r w:rsidRPr="00C806DC">
        <w:rPr>
          <w:rtl/>
        </w:rPr>
        <w:tab/>
        <w:t>انتزاع الأطفال</w:t>
      </w:r>
    </w:p>
    <w:p w14:paraId="54DD043C" w14:textId="34C6E12F" w:rsidR="00012F60" w:rsidRPr="00012F60" w:rsidRDefault="00B672BA" w:rsidP="00B672BA">
      <w:pPr>
        <w:pStyle w:val="SingleTxtGA"/>
        <w:rPr>
          <w:lang w:val="en-US" w:eastAsia="zh-TW" w:bidi="en-GB"/>
        </w:rPr>
      </w:pPr>
      <w:r w:rsidRPr="00C806DC">
        <w:rPr>
          <w:rtl/>
        </w:rPr>
        <w:t>54</w:t>
      </w:r>
      <w:r w:rsidRPr="008F0655">
        <w:rPr>
          <w:rFonts w:ascii="Traditional Arabic"/>
          <w:rtl/>
        </w:rPr>
        <w:t>-</w:t>
      </w:r>
      <w:r w:rsidRPr="008F0655">
        <w:rPr>
          <w:rtl/>
        </w:rPr>
        <w:tab/>
        <w:t xml:space="preserve">تأسف اللجنة لأنها لم تتلق معلومات عن التدابير المنصوص عليها في القانون المحلي الرامية إلى منع الأفعال المحددة في الفقرة </w:t>
      </w:r>
      <w:r w:rsidRPr="00C806DC">
        <w:rPr>
          <w:rtl/>
        </w:rPr>
        <w:t>1</w:t>
      </w:r>
      <w:r w:rsidRPr="008F0655">
        <w:rPr>
          <w:rtl/>
        </w:rPr>
        <w:t xml:space="preserve"> من المادة </w:t>
      </w:r>
      <w:r w:rsidRPr="00C806DC">
        <w:rPr>
          <w:rtl/>
        </w:rPr>
        <w:t>25</w:t>
      </w:r>
      <w:r w:rsidRPr="008F0655">
        <w:rPr>
          <w:rtl/>
        </w:rPr>
        <w:t xml:space="preserve"> من الاتفاقية والمعاقبة عليها وإعادة الأطفال المعنيين إلى أسرهم الأصلية (المادة </w:t>
      </w:r>
      <w:r w:rsidRPr="00C806DC">
        <w:rPr>
          <w:rtl/>
        </w:rPr>
        <w:t>2</w:t>
      </w:r>
      <w:r w:rsidR="00012F60" w:rsidRPr="00C806DC">
        <w:rPr>
          <w:rtl/>
        </w:rPr>
        <w:t>5</w:t>
      </w:r>
      <w:r w:rsidR="00012F60" w:rsidRPr="00012F60">
        <w:rPr>
          <w:rFonts w:ascii="Traditional Arabic"/>
          <w:rtl/>
        </w:rPr>
        <w:t>)</w:t>
      </w:r>
      <w:r w:rsidR="00012F60" w:rsidRPr="00012F60">
        <w:rPr>
          <w:rtl/>
        </w:rPr>
        <w:t>.</w:t>
      </w:r>
    </w:p>
    <w:p w14:paraId="059CB778" w14:textId="3DF84C63" w:rsidR="00B672BA" w:rsidRPr="00C806DC" w:rsidRDefault="00B672BA" w:rsidP="00B672BA">
      <w:pPr>
        <w:pStyle w:val="SingleTxtGA"/>
        <w:rPr>
          <w:b/>
          <w:bCs/>
          <w:lang w:val="ar-SA" w:eastAsia="zh-TW" w:bidi="en-GB"/>
        </w:rPr>
      </w:pPr>
      <w:r w:rsidRPr="00C806DC">
        <w:rPr>
          <w:rtl/>
        </w:rPr>
        <w:t>55</w:t>
      </w:r>
      <w:r w:rsidRPr="008F0655">
        <w:rPr>
          <w:rFonts w:ascii="Traditional Arabic"/>
          <w:rtl/>
        </w:rPr>
        <w:t>-</w:t>
      </w:r>
      <w:r w:rsidRPr="008F0655">
        <w:rPr>
          <w:rtl/>
        </w:rPr>
        <w:tab/>
      </w:r>
      <w:r w:rsidRPr="00C806DC">
        <w:rPr>
          <w:b/>
          <w:bCs/>
          <w:rtl/>
        </w:rPr>
        <w:t>توصي اللجنة الدول الأطراف بما يلي:</w:t>
      </w:r>
    </w:p>
    <w:p w14:paraId="683737DB" w14:textId="67676B82" w:rsidR="00B672BA" w:rsidRPr="00C806DC" w:rsidRDefault="00B672BA" w:rsidP="00B672BA">
      <w:pPr>
        <w:pStyle w:val="SingleTxtGA"/>
        <w:rPr>
          <w:rFonts w:ascii="Times New Roman Bold" w:hAnsi="Times New Roman Bold" w:hint="eastAsia"/>
          <w:b/>
          <w:bCs/>
          <w:spacing w:val="-6"/>
          <w:lang w:val="ar-SA" w:eastAsia="zh-TW" w:bidi="en-GB"/>
        </w:rPr>
      </w:pPr>
      <w:r w:rsidRPr="00C806DC">
        <w:rPr>
          <w:b/>
          <w:bCs/>
          <w:rtl/>
        </w:rPr>
        <w:lastRenderedPageBreak/>
        <w:tab/>
        <w:t>(أ</w:t>
      </w:r>
      <w:r w:rsidRPr="00C806DC">
        <w:rPr>
          <w:rFonts w:ascii="Traditional Arabic"/>
          <w:b/>
          <w:bCs/>
          <w:rtl/>
        </w:rPr>
        <w:t>)</w:t>
      </w:r>
      <w:r w:rsidRPr="00C806DC">
        <w:rPr>
          <w:b/>
          <w:bCs/>
          <w:rtl/>
        </w:rPr>
        <w:tab/>
        <w:t xml:space="preserve">استعراض تشريعاتها الجنائية بغية إدراج الأفعال الواردة في الفقرة 1 من المادة 25 </w:t>
      </w:r>
      <w:r w:rsidRPr="00C806DC">
        <w:rPr>
          <w:rFonts w:ascii="Times New Roman Bold" w:hAnsi="Times New Roman Bold"/>
          <w:b/>
          <w:bCs/>
          <w:spacing w:val="-6"/>
          <w:rtl/>
        </w:rPr>
        <w:t>من الاتفاقية باعتبارها جرائم محددة، والنص على عقوبات مناسبة لهذه الجرائم، مع مراعاة خطورتها الشديدة؛</w:t>
      </w:r>
    </w:p>
    <w:p w14:paraId="2966AE6B" w14:textId="1B5174B6" w:rsidR="00B672BA" w:rsidRPr="00C806DC" w:rsidRDefault="00B672BA" w:rsidP="00B672BA">
      <w:pPr>
        <w:pStyle w:val="SingleTxtGA"/>
        <w:rPr>
          <w:b/>
          <w:bCs/>
          <w:lang w:val="ar-SA" w:eastAsia="zh-TW" w:bidi="en-GB"/>
        </w:rPr>
      </w:pPr>
      <w:r w:rsidRPr="00C806DC">
        <w:rPr>
          <w:b/>
          <w:bCs/>
          <w:rtl/>
        </w:rPr>
        <w:tab/>
        <w:t>(ب</w:t>
      </w:r>
      <w:r w:rsidRPr="00C806DC">
        <w:rPr>
          <w:rFonts w:ascii="Traditional Arabic"/>
          <w:b/>
          <w:bCs/>
          <w:rtl/>
        </w:rPr>
        <w:t>)</w:t>
      </w:r>
      <w:r w:rsidRPr="00C806DC">
        <w:rPr>
          <w:b/>
          <w:bCs/>
          <w:rtl/>
        </w:rPr>
        <w:tab/>
        <w:t xml:space="preserve">وضع إجراءات محددة بغرض إعادة القصر المشار إليهم في </w:t>
      </w:r>
      <w:r w:rsidRPr="00C806DC">
        <w:rPr>
          <w:rFonts w:hint="cs"/>
          <w:b/>
          <w:bCs/>
          <w:rtl/>
        </w:rPr>
        <w:t xml:space="preserve">الفقرة </w:t>
      </w:r>
      <w:r w:rsidRPr="00C806DC">
        <w:rPr>
          <w:b/>
          <w:bCs/>
          <w:rtl/>
        </w:rPr>
        <w:t>1</w:t>
      </w:r>
      <w:r w:rsidRPr="00C806DC">
        <w:rPr>
          <w:rFonts w:ascii="Traditional Arabic"/>
          <w:b/>
          <w:bCs/>
          <w:rtl/>
        </w:rPr>
        <w:t>(</w:t>
      </w:r>
      <w:r w:rsidRPr="00C806DC">
        <w:rPr>
          <w:b/>
          <w:bCs/>
          <w:rtl/>
        </w:rPr>
        <w:t>أ</w:t>
      </w:r>
      <w:r w:rsidRPr="00C806DC">
        <w:rPr>
          <w:rFonts w:ascii="Traditional Arabic"/>
          <w:b/>
          <w:bCs/>
          <w:rtl/>
        </w:rPr>
        <w:t>)</w:t>
      </w:r>
      <w:r w:rsidRPr="00C806DC">
        <w:rPr>
          <w:rFonts w:ascii="Traditional Arabic" w:hint="cs"/>
          <w:b/>
          <w:bCs/>
          <w:rtl/>
        </w:rPr>
        <w:t xml:space="preserve"> من </w:t>
      </w:r>
      <w:r w:rsidRPr="00C806DC">
        <w:rPr>
          <w:b/>
          <w:bCs/>
          <w:rtl/>
        </w:rPr>
        <w:t>المادة</w:t>
      </w:r>
      <w:r w:rsidR="0042139B" w:rsidRPr="00C806DC">
        <w:rPr>
          <w:rFonts w:hint="cs"/>
          <w:b/>
          <w:bCs/>
          <w:rtl/>
        </w:rPr>
        <w:t> </w:t>
      </w:r>
      <w:r w:rsidRPr="00C806DC">
        <w:rPr>
          <w:b/>
          <w:bCs/>
          <w:rtl/>
        </w:rPr>
        <w:t xml:space="preserve">25 </w:t>
      </w:r>
      <w:r w:rsidRPr="00C806DC">
        <w:rPr>
          <w:rFonts w:hint="cs"/>
          <w:b/>
          <w:bCs/>
          <w:rtl/>
        </w:rPr>
        <w:t xml:space="preserve">من الاتفاقية </w:t>
      </w:r>
      <w:r w:rsidRPr="00C806DC">
        <w:rPr>
          <w:b/>
          <w:bCs/>
          <w:rtl/>
        </w:rPr>
        <w:t>إلى أسرهم الأصلية؛</w:t>
      </w:r>
    </w:p>
    <w:p w14:paraId="633DFAE3" w14:textId="1CCC5BC4" w:rsidR="00B672BA" w:rsidRPr="00C806DC" w:rsidRDefault="00B672BA" w:rsidP="00B672BA">
      <w:pPr>
        <w:pStyle w:val="SingleTxtGA"/>
        <w:rPr>
          <w:b/>
          <w:bCs/>
          <w:lang w:eastAsia="zh-TW" w:bidi="en-GB"/>
        </w:rPr>
      </w:pPr>
      <w:r w:rsidRPr="00C806DC">
        <w:rPr>
          <w:b/>
          <w:bCs/>
          <w:rtl/>
        </w:rPr>
        <w:tab/>
        <w:t>(ج</w:t>
      </w:r>
      <w:r w:rsidRPr="00C806DC">
        <w:rPr>
          <w:rFonts w:ascii="Traditional Arabic"/>
          <w:b/>
          <w:bCs/>
          <w:rtl/>
        </w:rPr>
        <w:t>)</w:t>
      </w:r>
      <w:r w:rsidRPr="00C806DC">
        <w:rPr>
          <w:b/>
          <w:bCs/>
          <w:rtl/>
        </w:rPr>
        <w:tab/>
        <w:t>تزويد الأشخاص المعنيين بالدعم الذي يحتاجون إليه لتحديد هويتهم ونسبهم وتسليط الضوء الكامل على الظروف التي تم تبنيهم فيها، وضمان حقهم في الجبر.</w:t>
      </w:r>
      <w:r w:rsidR="00832409" w:rsidRPr="00C806DC">
        <w:rPr>
          <w:rFonts w:hint="cs"/>
          <w:b/>
          <w:bCs/>
          <w:rtl/>
          <w:lang w:eastAsia="zh-TW"/>
        </w:rPr>
        <w:t xml:space="preserve"> </w:t>
      </w:r>
    </w:p>
    <w:p w14:paraId="5BCEC342" w14:textId="651B3E70" w:rsidR="00B672BA" w:rsidRPr="00C806DC" w:rsidRDefault="00B672BA" w:rsidP="00B672BA">
      <w:pPr>
        <w:pStyle w:val="H1GA"/>
        <w:rPr>
          <w:lang w:val="ar-SA" w:eastAsia="zh-TW" w:bidi="en-GB"/>
        </w:rPr>
      </w:pPr>
      <w:r w:rsidRPr="00C806DC">
        <w:rPr>
          <w:rtl/>
        </w:rPr>
        <w:tab/>
        <w:t>دال-</w:t>
      </w:r>
      <w:r w:rsidRPr="00C806DC">
        <w:rPr>
          <w:rtl/>
        </w:rPr>
        <w:tab/>
        <w:t>النشر والمتابعة</w:t>
      </w:r>
    </w:p>
    <w:p w14:paraId="2625B14A" w14:textId="719DA01A" w:rsidR="00B672BA" w:rsidRPr="00C806DC" w:rsidRDefault="00B672BA" w:rsidP="00B672BA">
      <w:pPr>
        <w:pStyle w:val="SingleTxtGA"/>
        <w:rPr>
          <w:b/>
          <w:bCs/>
          <w:rtl/>
          <w:lang w:val="en-US" w:eastAsia="zh-TW"/>
        </w:rPr>
      </w:pPr>
      <w:r w:rsidRPr="00C806DC">
        <w:rPr>
          <w:rtl/>
        </w:rPr>
        <w:t>56</w:t>
      </w:r>
      <w:r w:rsidRPr="008F0655">
        <w:rPr>
          <w:rFonts w:ascii="Traditional Arabic"/>
          <w:rtl/>
        </w:rPr>
        <w:t>-</w:t>
      </w:r>
      <w:r w:rsidRPr="008F0655">
        <w:rPr>
          <w:rtl/>
        </w:rPr>
        <w:tab/>
      </w:r>
      <w:r w:rsidRPr="00C806DC">
        <w:rPr>
          <w:b/>
          <w:bCs/>
          <w:rtl/>
        </w:rPr>
        <w:t>تود اللجنة أن تذكّر بالالتزامات التي قطعتها الدول بانضمامها إلى الاتفاقية، وتحث الدولةَ الطرف في هذا الصدد على أن تضمن اتفاق جميع ما تتخذه من تدابير، أياً كانت طبيعتها والسلطة التي أصدرتها، اتفاقاً تاماً مع الالتزامات التي قطعتها على نفسها بانضمامها إلى الاتفاقية وإلى صكوك دولية أخرى متصلة بالموضوع.</w:t>
      </w:r>
    </w:p>
    <w:p w14:paraId="0F0F3675" w14:textId="77777777" w:rsidR="00B672BA" w:rsidRPr="00C806DC" w:rsidRDefault="00B672BA" w:rsidP="00B672BA">
      <w:pPr>
        <w:pStyle w:val="SingleTxtGA"/>
        <w:rPr>
          <w:b/>
          <w:bCs/>
          <w:lang w:val="ar-SA" w:eastAsia="zh-TW" w:bidi="en-GB"/>
        </w:rPr>
      </w:pPr>
      <w:r w:rsidRPr="00C806DC">
        <w:rPr>
          <w:rtl/>
        </w:rPr>
        <w:t>57</w:t>
      </w:r>
      <w:r w:rsidRPr="008F0655">
        <w:rPr>
          <w:rFonts w:ascii="Traditional Arabic"/>
          <w:rtl/>
        </w:rPr>
        <w:t>-</w:t>
      </w:r>
      <w:r w:rsidRPr="008F0655">
        <w:rPr>
          <w:rtl/>
        </w:rPr>
        <w:tab/>
      </w:r>
      <w:r w:rsidRPr="00C806DC">
        <w:rPr>
          <w:b/>
          <w:bCs/>
          <w:rtl/>
        </w:rPr>
        <w:t xml:space="preserve">وتؤكد اللجنة أيضاً على </w:t>
      </w:r>
      <w:r w:rsidRPr="00C806DC">
        <w:rPr>
          <w:rFonts w:hint="cs"/>
          <w:b/>
          <w:bCs/>
          <w:rtl/>
        </w:rPr>
        <w:t>الأذى الشديد الذي يلحق</w:t>
      </w:r>
      <w:r w:rsidRPr="00C806DC">
        <w:rPr>
          <w:b/>
          <w:bCs/>
          <w:rtl/>
        </w:rPr>
        <w:t xml:space="preserve"> </w:t>
      </w:r>
      <w:r w:rsidRPr="00C806DC">
        <w:rPr>
          <w:rFonts w:hint="cs"/>
          <w:b/>
          <w:bCs/>
          <w:rtl/>
        </w:rPr>
        <w:t>ب</w:t>
      </w:r>
      <w:r w:rsidRPr="00C806DC">
        <w:rPr>
          <w:b/>
          <w:bCs/>
          <w:rtl/>
        </w:rPr>
        <w:t xml:space="preserve">النساء والأطفال جراء الاختفاء القسري. فالنساء اللواتي يخضعن لاختفاء قسري معرضات بوجه خاص للعنف الجنسي وغيره من أشكال العنف الجنساني. أما النساء اللائي لديهن أقارب </w:t>
      </w:r>
      <w:r w:rsidRPr="00C806DC">
        <w:rPr>
          <w:rFonts w:hint="cs"/>
          <w:b/>
          <w:bCs/>
          <w:rtl/>
        </w:rPr>
        <w:t xml:space="preserve">من </w:t>
      </w:r>
      <w:r w:rsidRPr="00C806DC">
        <w:rPr>
          <w:b/>
          <w:bCs/>
          <w:rtl/>
        </w:rPr>
        <w:t xml:space="preserve">ضحايا </w:t>
      </w:r>
      <w:r w:rsidRPr="00C806DC">
        <w:rPr>
          <w:rFonts w:hint="cs"/>
          <w:b/>
          <w:bCs/>
          <w:rtl/>
        </w:rPr>
        <w:t>ال</w:t>
      </w:r>
      <w:r w:rsidRPr="00C806DC">
        <w:rPr>
          <w:b/>
          <w:bCs/>
          <w:rtl/>
        </w:rPr>
        <w:t xml:space="preserve">اختفاء </w:t>
      </w:r>
      <w:r w:rsidRPr="00C806DC">
        <w:rPr>
          <w:rFonts w:hint="cs"/>
          <w:b/>
          <w:bCs/>
          <w:rtl/>
        </w:rPr>
        <w:t>ال</w:t>
      </w:r>
      <w:r w:rsidRPr="00C806DC">
        <w:rPr>
          <w:b/>
          <w:bCs/>
          <w:rtl/>
        </w:rPr>
        <w:t xml:space="preserve">قسري فمعرّضات بوجه خاص لآثار اقتصادية واجتماعية ضارة وللعنف والاضطهاد والانتقام من جراء سعيهن إلى تحديد أماكن وجود أقاربهن. والأطفال ضحايا الاختفاء القسري، سواء تعرضوا له بأنفسهم أو عانوا من عواقب اختفاء أحد أفراد الأسرة، معرضون بشكل خاص للعديد من انتهاكات حقوق الإنسان، بما في ذلك استبدال الهوية. ولذلك، تشدد اللجنة على ضرورة توخي </w:t>
      </w:r>
      <w:r w:rsidRPr="00C806DC">
        <w:rPr>
          <w:rFonts w:hint="cs"/>
          <w:b/>
          <w:bCs/>
          <w:rtl/>
        </w:rPr>
        <w:t xml:space="preserve">الدولة الطرف </w:t>
      </w:r>
      <w:r w:rsidRPr="00C806DC">
        <w:rPr>
          <w:b/>
          <w:bCs/>
          <w:rtl/>
        </w:rPr>
        <w:t>منظور</w:t>
      </w:r>
      <w:r w:rsidRPr="00C806DC">
        <w:rPr>
          <w:rFonts w:hint="cs"/>
          <w:b/>
          <w:bCs/>
          <w:rtl/>
        </w:rPr>
        <w:t>اً</w:t>
      </w:r>
      <w:r w:rsidRPr="00C806DC">
        <w:rPr>
          <w:b/>
          <w:bCs/>
          <w:rtl/>
        </w:rPr>
        <w:t xml:space="preserve"> جنساني</w:t>
      </w:r>
      <w:r w:rsidRPr="00C806DC">
        <w:rPr>
          <w:rFonts w:hint="cs"/>
          <w:b/>
          <w:bCs/>
          <w:rtl/>
        </w:rPr>
        <w:t>اً</w:t>
      </w:r>
      <w:r w:rsidRPr="00C806DC">
        <w:rPr>
          <w:b/>
          <w:bCs/>
          <w:rtl/>
        </w:rPr>
        <w:t xml:space="preserve"> يراعي </w:t>
      </w:r>
      <w:r w:rsidRPr="00C806DC">
        <w:rPr>
          <w:rFonts w:hint="cs"/>
          <w:b/>
          <w:bCs/>
          <w:rtl/>
        </w:rPr>
        <w:t>احتياجات</w:t>
      </w:r>
      <w:r w:rsidRPr="00C806DC">
        <w:rPr>
          <w:b/>
          <w:bCs/>
          <w:rtl/>
        </w:rPr>
        <w:t xml:space="preserve"> الأطفال عند إعمال الحقوق والوفاء بالالتزامات الناشئة عن الاتفاقية.</w:t>
      </w:r>
    </w:p>
    <w:p w14:paraId="55A8E06C" w14:textId="77777777" w:rsidR="00B672BA" w:rsidRPr="00C806DC" w:rsidRDefault="00B672BA" w:rsidP="00B672BA">
      <w:pPr>
        <w:pStyle w:val="SingleTxtGA"/>
        <w:rPr>
          <w:b/>
          <w:bCs/>
          <w:lang w:val="ar-SA" w:eastAsia="zh-TW" w:bidi="en-GB"/>
        </w:rPr>
      </w:pPr>
      <w:r w:rsidRPr="00C806DC">
        <w:rPr>
          <w:rtl/>
        </w:rPr>
        <w:t>58</w:t>
      </w:r>
      <w:r w:rsidRPr="008F0655">
        <w:rPr>
          <w:rFonts w:ascii="Traditional Arabic"/>
          <w:rtl/>
        </w:rPr>
        <w:t>-</w:t>
      </w:r>
      <w:r w:rsidRPr="00C806DC">
        <w:rPr>
          <w:b/>
          <w:bCs/>
          <w:rtl/>
        </w:rPr>
        <w:tab/>
        <w:t>وتشجِّع اللجنة الدولة الطرف على أن تنشر على نطاق واسع نص الاتفاقية، ونص تقريرها المقدم بموجب الفقرة 1 من المادة 29 من الاتفاقية، وردود</w:t>
      </w:r>
      <w:r w:rsidRPr="00C806DC">
        <w:rPr>
          <w:rFonts w:hint="cs"/>
          <w:b/>
          <w:bCs/>
          <w:rtl/>
        </w:rPr>
        <w:t>ها</w:t>
      </w:r>
      <w:r w:rsidRPr="00C806DC">
        <w:rPr>
          <w:b/>
          <w:bCs/>
          <w:rtl/>
        </w:rPr>
        <w:t xml:space="preserve"> الخطية على قائمة المسائل التي أعدتها اللجنة وهذه الملاحظات الختامية من أجل إذكاء وعي سلطاتها القضائية والتشريعية والإدارية والمجتمع المدني والمنظمات غير الحكومية العاملة فيها، وسكانها على وجه العموم. وتحث اللجنة الدولة الطرف أيضاً على تعزيز مشاركة المجتمع المدني، ولا سيما منظمات </w:t>
      </w:r>
      <w:r w:rsidRPr="00C806DC">
        <w:rPr>
          <w:rFonts w:hint="cs"/>
          <w:b/>
          <w:bCs/>
          <w:rtl/>
        </w:rPr>
        <w:t>أسر</w:t>
      </w:r>
      <w:r w:rsidRPr="00C806DC">
        <w:rPr>
          <w:b/>
          <w:bCs/>
          <w:rtl/>
        </w:rPr>
        <w:t xml:space="preserve"> الضحايا، في عملية تنفيذ هذه الملاحظات الختامية.</w:t>
      </w:r>
    </w:p>
    <w:p w14:paraId="4AB678BC" w14:textId="1E144039" w:rsidR="00B672BA" w:rsidRPr="00C806DC" w:rsidRDefault="00B672BA" w:rsidP="00B672BA">
      <w:pPr>
        <w:pStyle w:val="SingleTxtGA"/>
        <w:rPr>
          <w:b/>
          <w:bCs/>
          <w:lang w:val="ar-SA" w:eastAsia="zh-TW" w:bidi="en-GB"/>
        </w:rPr>
      </w:pPr>
      <w:r w:rsidRPr="00C806DC">
        <w:rPr>
          <w:rtl/>
        </w:rPr>
        <w:t>59</w:t>
      </w:r>
      <w:r w:rsidRPr="008F0655">
        <w:rPr>
          <w:rFonts w:ascii="Traditional Arabic"/>
          <w:rtl/>
        </w:rPr>
        <w:t>-</w:t>
      </w:r>
      <w:r w:rsidRPr="00C806DC">
        <w:rPr>
          <w:b/>
          <w:bCs/>
          <w:rtl/>
        </w:rPr>
        <w:tab/>
        <w:t>وبموجب الفقرة 4 من المادة 29 من الاتفاقية، تطلب اللجنة إلى الدولة الطرف أن تقدم</w:t>
      </w:r>
      <w:r w:rsidRPr="00C806DC">
        <w:rPr>
          <w:rFonts w:hint="cs"/>
          <w:b/>
          <w:bCs/>
          <w:rtl/>
        </w:rPr>
        <w:t xml:space="preserve"> إليها</w:t>
      </w:r>
      <w:r w:rsidRPr="00C806DC">
        <w:rPr>
          <w:b/>
          <w:bCs/>
          <w:rtl/>
        </w:rPr>
        <w:t>، في موعد أقصاه 23 أيلول/سبتمبر 2025، معلومات محددة ومحدَّثة عن تنفيذ جميع توصياتها، فضلاً عن أي معلومات أخرى جديدة تتعلق بالامتثال للالتزامات الواردة في الاتفاقية، وذلك في وثيقة تُعَد وفقاً للمبادئ التوجيهية المتعلقة بشكل ومضمون التقارير التي يجب على الدول الأطراف تقديمها عملا</w:t>
      </w:r>
      <w:r w:rsidR="00E86EA8" w:rsidRPr="00C806DC">
        <w:rPr>
          <w:rFonts w:hint="cs"/>
          <w:b/>
          <w:bCs/>
          <w:rtl/>
        </w:rPr>
        <w:t>ً</w:t>
      </w:r>
      <w:r w:rsidRPr="00C806DC">
        <w:rPr>
          <w:b/>
          <w:bCs/>
          <w:rtl/>
        </w:rPr>
        <w:t xml:space="preserve"> بالمادة 29 من الاتفاقية</w:t>
      </w:r>
      <w:r w:rsidR="00012F60" w:rsidRPr="00C806DC">
        <w:rPr>
          <w:rStyle w:val="FootnoteReference"/>
          <w:b/>
          <w:bCs/>
          <w:sz w:val="28"/>
          <w:rtl/>
        </w:rPr>
        <w:t>(</w:t>
      </w:r>
      <w:r w:rsidR="00012F60" w:rsidRPr="00C806DC">
        <w:rPr>
          <w:rStyle w:val="FootnoteReference"/>
          <w:b/>
          <w:bCs/>
          <w:sz w:val="28"/>
          <w:lang w:val="en-US"/>
        </w:rPr>
        <w:footnoteReference w:id="11"/>
      </w:r>
      <w:r w:rsidR="00012F60" w:rsidRPr="00C806DC">
        <w:rPr>
          <w:rStyle w:val="FootnoteReference"/>
          <w:b/>
          <w:bCs/>
          <w:sz w:val="28"/>
          <w:rtl/>
        </w:rPr>
        <w:t>)</w:t>
      </w:r>
      <w:r w:rsidR="00012F60" w:rsidRPr="00C806DC">
        <w:rPr>
          <w:b/>
          <w:bCs/>
          <w:rtl/>
        </w:rPr>
        <w:t xml:space="preserve">. </w:t>
      </w:r>
      <w:r w:rsidRPr="00C806DC">
        <w:rPr>
          <w:b/>
          <w:bCs/>
          <w:rtl/>
        </w:rPr>
        <w:t>وتبلغ اللجنة الدولة الطرف بأنها ترغب في المضي قدما</w:t>
      </w:r>
      <w:r w:rsidR="00E86EA8" w:rsidRPr="00C806DC">
        <w:rPr>
          <w:rFonts w:hint="cs"/>
          <w:b/>
          <w:bCs/>
          <w:rtl/>
        </w:rPr>
        <w:t>ً</w:t>
      </w:r>
      <w:r w:rsidRPr="00C806DC">
        <w:rPr>
          <w:b/>
          <w:bCs/>
          <w:rtl/>
        </w:rPr>
        <w:t xml:space="preserve"> في النظر في هذا التقرير في عام 2026، وتشجع الدولة الطرف على مواصلة التشاور مع منظمات المجتمع المدني، ولا</w:t>
      </w:r>
      <w:r w:rsidR="00616E0D" w:rsidRPr="00C806DC">
        <w:rPr>
          <w:rFonts w:hint="cs"/>
          <w:b/>
          <w:bCs/>
          <w:rtl/>
        </w:rPr>
        <w:t> </w:t>
      </w:r>
      <w:r w:rsidRPr="00C806DC">
        <w:rPr>
          <w:b/>
          <w:bCs/>
          <w:rtl/>
        </w:rPr>
        <w:t xml:space="preserve">سيما منظمات </w:t>
      </w:r>
      <w:r w:rsidRPr="00C806DC">
        <w:rPr>
          <w:rFonts w:hint="cs"/>
          <w:b/>
          <w:bCs/>
          <w:rtl/>
        </w:rPr>
        <w:t>أسر</w:t>
      </w:r>
      <w:r w:rsidRPr="00C806DC">
        <w:rPr>
          <w:b/>
          <w:bCs/>
          <w:rtl/>
        </w:rPr>
        <w:t xml:space="preserve"> الضحايا، أثناء عملية إعداد هذه المعلومات.</w:t>
      </w:r>
    </w:p>
    <w:p w14:paraId="5542948B" w14:textId="77777777" w:rsidR="00B672BA" w:rsidRPr="001D1625" w:rsidRDefault="00B672BA" w:rsidP="00B672BA">
      <w:pPr>
        <w:pStyle w:val="SingleTxtG"/>
        <w:spacing w:before="240" w:after="0"/>
        <w:jc w:val="center"/>
        <w:rPr>
          <w:sz w:val="28"/>
          <w:szCs w:val="28"/>
          <w:u w:val="single"/>
          <w:lang w:val="en-US"/>
        </w:rPr>
      </w:pPr>
      <w:r w:rsidRPr="00C806DC">
        <w:rPr>
          <w:b/>
          <w:bCs/>
          <w:sz w:val="28"/>
          <w:szCs w:val="28"/>
          <w:u w:val="single"/>
          <w:lang w:val="fr-FR"/>
        </w:rPr>
        <w:tab/>
      </w:r>
      <w:r w:rsidRPr="008F0655">
        <w:rPr>
          <w:sz w:val="28"/>
          <w:szCs w:val="28"/>
          <w:u w:val="single"/>
          <w:lang w:val="fr-FR"/>
        </w:rPr>
        <w:tab/>
      </w:r>
      <w:r w:rsidRPr="008F0655">
        <w:rPr>
          <w:sz w:val="28"/>
          <w:szCs w:val="28"/>
          <w:u w:val="single"/>
          <w:lang w:val="fr-FR"/>
        </w:rPr>
        <w:tab/>
      </w:r>
      <w:r w:rsidRPr="008F0655">
        <w:rPr>
          <w:sz w:val="28"/>
          <w:szCs w:val="28"/>
          <w:u w:val="single"/>
          <w:lang w:val="fr-FR"/>
        </w:rPr>
        <w:tab/>
      </w:r>
    </w:p>
    <w:sectPr w:rsidR="00B672BA" w:rsidRPr="001D1625" w:rsidSect="000F3CA7">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BAD659" w14:textId="77777777" w:rsidR="0096486C" w:rsidRPr="002901D9" w:rsidRDefault="0096486C" w:rsidP="00DF5E71">
      <w:pPr>
        <w:spacing w:after="60" w:line="240" w:lineRule="auto"/>
        <w:ind w:left="57"/>
        <w:rPr>
          <w:i/>
          <w:iCs/>
        </w:rPr>
      </w:pPr>
      <w:r>
        <w:rPr>
          <w:rFonts w:hint="cs"/>
          <w:i/>
          <w:iCs/>
          <w:rtl/>
        </w:rPr>
        <w:t>الحواشي</w:t>
      </w:r>
    </w:p>
  </w:endnote>
  <w:endnote w:type="continuationSeparator" w:id="0">
    <w:p w14:paraId="09FCDB77" w14:textId="77777777" w:rsidR="0096486C" w:rsidRDefault="0096486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7D529" w14:textId="2E691790" w:rsidR="00ED3AF2" w:rsidRPr="00ED3AF2" w:rsidRDefault="00ED3AF2" w:rsidP="00ED3AF2">
    <w:pPr>
      <w:pStyle w:val="Footer"/>
      <w:tabs>
        <w:tab w:val="right" w:pos="9638"/>
      </w:tabs>
      <w:rPr>
        <w:b/>
        <w:sz w:val="18"/>
        <w:lang w:val="en-US"/>
      </w:rPr>
    </w:pPr>
    <w:r>
      <w:rPr>
        <w:lang w:val="en-US"/>
      </w:rPr>
      <w:t>GE.22-15921</w:t>
    </w:r>
    <w:r>
      <w:rPr>
        <w:lang w:val="en-US"/>
      </w:rPr>
      <w:tab/>
    </w:r>
    <w:r w:rsidRPr="00ED3AF2">
      <w:rPr>
        <w:b/>
        <w:sz w:val="18"/>
        <w:lang w:val="en-US"/>
      </w:rPr>
      <w:fldChar w:fldCharType="begin"/>
    </w:r>
    <w:r w:rsidRPr="00ED3AF2">
      <w:rPr>
        <w:b/>
        <w:sz w:val="18"/>
        <w:lang w:val="en-US"/>
      </w:rPr>
      <w:instrText xml:space="preserve"> PAGE  \* MERGEFORMAT </w:instrText>
    </w:r>
    <w:r w:rsidRPr="00ED3AF2">
      <w:rPr>
        <w:b/>
        <w:sz w:val="18"/>
        <w:lang w:val="en-US"/>
      </w:rPr>
      <w:fldChar w:fldCharType="separate"/>
    </w:r>
    <w:r w:rsidRPr="00ED3AF2">
      <w:rPr>
        <w:b/>
        <w:noProof/>
        <w:sz w:val="18"/>
        <w:lang w:val="en-US"/>
      </w:rPr>
      <w:t>2</w:t>
    </w:r>
    <w:r w:rsidRPr="00ED3AF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1E6DD" w14:textId="5A67C168" w:rsidR="006959B0" w:rsidRPr="00ED3AF2" w:rsidRDefault="00ED3AF2" w:rsidP="00ED3AF2">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GE.22-15921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F92DB" w14:textId="549185FA" w:rsidR="00AB4F93" w:rsidRPr="00ED3AF2" w:rsidRDefault="00ED3AF2" w:rsidP="00ED3AF2">
    <w:pPr>
      <w:pStyle w:val="Footer"/>
      <w:spacing w:before="600"/>
      <w:ind w:left="567"/>
      <w:jc w:val="right"/>
      <w:rPr>
        <w:sz w:val="20"/>
        <w:lang w:val="en-US"/>
      </w:rPr>
    </w:pPr>
    <w:r>
      <w:rPr>
        <w:sz w:val="20"/>
        <w:lang w:val="en-US"/>
      </w:rPr>
      <w:t>GE.</w:t>
    </w:r>
    <w:r w:rsidR="007F55ED">
      <w:rPr>
        <w:noProof/>
      </w:rPr>
      <w:drawing>
        <wp:anchor distT="0" distB="0" distL="114300" distR="114300" simplePos="0" relativeHeight="251659264" behindDoc="1" locked="1" layoutInCell="0" allowOverlap="1" wp14:anchorId="57001974" wp14:editId="163AD7F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22-15921 (A)</w:t>
    </w:r>
    <w:r>
      <w:rPr>
        <w:noProof/>
        <w:sz w:val="20"/>
        <w:lang w:val="en-US"/>
      </w:rPr>
      <w:drawing>
        <wp:anchor distT="0" distB="0" distL="114300" distR="114300" simplePos="0" relativeHeight="251660288" behindDoc="0" locked="0" layoutInCell="1" allowOverlap="1" wp14:anchorId="09E12752" wp14:editId="78ED4F33">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802A21" w14:textId="77777777" w:rsidR="0096486C" w:rsidRPr="00CB28F9" w:rsidRDefault="0096486C" w:rsidP="00317B22">
      <w:pPr>
        <w:pStyle w:val="Footer"/>
        <w:bidi/>
        <w:spacing w:after="80" w:line="200" w:lineRule="exact"/>
        <w:ind w:left="680"/>
      </w:pPr>
      <w:r>
        <w:rPr>
          <w:rtl/>
        </w:rPr>
        <w:t>__________</w:t>
      </w:r>
    </w:p>
  </w:footnote>
  <w:footnote w:type="continuationSeparator" w:id="0">
    <w:p w14:paraId="765F2D8B" w14:textId="77777777" w:rsidR="0096486C" w:rsidRDefault="0096486C" w:rsidP="00656392">
      <w:pPr>
        <w:spacing w:line="240" w:lineRule="auto"/>
      </w:pPr>
      <w:r>
        <w:continuationSeparator/>
      </w:r>
    </w:p>
  </w:footnote>
  <w:footnote w:id="1">
    <w:p w14:paraId="63E019F9" w14:textId="369E3B08" w:rsidR="00B672BA" w:rsidRPr="00D2408C" w:rsidRDefault="00B672BA" w:rsidP="00D2408C">
      <w:pPr>
        <w:pStyle w:val="FootnoteText"/>
        <w:tabs>
          <w:tab w:val="clear" w:pos="1021"/>
        </w:tabs>
        <w:bidi/>
        <w:spacing w:after="60" w:line="280" w:lineRule="exact"/>
        <w:ind w:left="1247" w:right="1247" w:hanging="567"/>
        <w:jc w:val="lowKashida"/>
        <w:textDirection w:val="tbRlV"/>
        <w:rPr>
          <w:szCs w:val="18"/>
        </w:rPr>
      </w:pPr>
      <w:r w:rsidRPr="00D2408C">
        <w:rPr>
          <w:szCs w:val="18"/>
        </w:rPr>
        <w:t>*</w:t>
      </w:r>
      <w:r w:rsidRPr="00D2408C">
        <w:rPr>
          <w:szCs w:val="18"/>
          <w:rtl/>
        </w:rPr>
        <w:tab/>
        <w:t>اعتمدته اللجنة في دورتها الثالثة والعشرين (</w:t>
      </w:r>
      <w:r w:rsidRPr="00C806DC">
        <w:rPr>
          <w:szCs w:val="18"/>
          <w:rtl/>
        </w:rPr>
        <w:t>12</w:t>
      </w:r>
      <w:r w:rsidRPr="00D2408C">
        <w:rPr>
          <w:szCs w:val="18"/>
          <w:rtl/>
        </w:rPr>
        <w:t>-</w:t>
      </w:r>
      <w:r w:rsidRPr="00C806DC">
        <w:rPr>
          <w:szCs w:val="18"/>
          <w:rtl/>
        </w:rPr>
        <w:t>23</w:t>
      </w:r>
      <w:r w:rsidRPr="00D2408C">
        <w:rPr>
          <w:szCs w:val="18"/>
          <w:rtl/>
        </w:rPr>
        <w:t xml:space="preserve"> أيلول/سبتمبر </w:t>
      </w:r>
      <w:r w:rsidRPr="00C806DC">
        <w:rPr>
          <w:szCs w:val="18"/>
          <w:rtl/>
        </w:rPr>
        <w:t>2022</w:t>
      </w:r>
      <w:r w:rsidR="00012F60" w:rsidRPr="00012F60">
        <w:rPr>
          <w:szCs w:val="18"/>
          <w:rtl/>
        </w:rPr>
        <w:t xml:space="preserve">). </w:t>
      </w:r>
    </w:p>
  </w:footnote>
  <w:footnote w:id="2">
    <w:p w14:paraId="50E992FA" w14:textId="77777777" w:rsidR="00012F60" w:rsidRPr="00D2408C" w:rsidRDefault="00012F60" w:rsidP="00012F60">
      <w:pPr>
        <w:pStyle w:val="FootnoteText"/>
        <w:tabs>
          <w:tab w:val="clear" w:pos="1021"/>
        </w:tabs>
        <w:bidi/>
        <w:spacing w:after="60" w:line="280" w:lineRule="exact"/>
        <w:ind w:left="1247" w:right="1247" w:hanging="567"/>
        <w:jc w:val="lowKashida"/>
        <w:textDirection w:val="tbRlV"/>
        <w:rPr>
          <w:szCs w:val="18"/>
        </w:rPr>
      </w:pPr>
      <w:r>
        <w:rPr>
          <w:szCs w:val="18"/>
          <w:rtl/>
        </w:rPr>
        <w:t>(</w:t>
      </w:r>
      <w:r w:rsidRPr="00C806DC">
        <w:rPr>
          <w:szCs w:val="18"/>
        </w:rPr>
        <w:footnoteRef/>
      </w:r>
      <w:r>
        <w:rPr>
          <w:szCs w:val="18"/>
          <w:rtl/>
        </w:rPr>
        <w:t>)</w:t>
      </w:r>
      <w:r w:rsidRPr="00D2408C">
        <w:rPr>
          <w:szCs w:val="18"/>
          <w:rtl/>
        </w:rPr>
        <w:tab/>
      </w:r>
      <w:hyperlink r:id="rId1" w:history="1">
        <w:r w:rsidRPr="00012F60">
          <w:rPr>
            <w:rStyle w:val="Hyperlink"/>
          </w:rPr>
          <w:t>CED</w:t>
        </w:r>
        <w:r w:rsidRPr="00012F60">
          <w:rPr>
            <w:rStyle w:val="Hyperlink"/>
            <w:rFonts w:hint="cs"/>
          </w:rPr>
          <w:t>/</w:t>
        </w:r>
        <w:r w:rsidRPr="00012F60">
          <w:rPr>
            <w:rStyle w:val="Hyperlink"/>
          </w:rPr>
          <w:t>C/MLI/</w:t>
        </w:r>
        <w:r w:rsidRPr="00C806DC">
          <w:rPr>
            <w:rStyle w:val="Hyperlink"/>
          </w:rPr>
          <w:t>1</w:t>
        </w:r>
      </w:hyperlink>
      <w:r w:rsidRPr="00012F60">
        <w:rPr>
          <w:szCs w:val="18"/>
          <w:rtl/>
        </w:rPr>
        <w:t xml:space="preserve">. </w:t>
      </w:r>
    </w:p>
  </w:footnote>
  <w:footnote w:id="3">
    <w:p w14:paraId="68E09FB2" w14:textId="77777777" w:rsidR="00012F60" w:rsidRPr="00D2408C" w:rsidRDefault="00012F60" w:rsidP="00012F60">
      <w:pPr>
        <w:pStyle w:val="FootnoteText"/>
        <w:tabs>
          <w:tab w:val="clear" w:pos="1021"/>
        </w:tabs>
        <w:bidi/>
        <w:spacing w:after="60" w:line="280" w:lineRule="exact"/>
        <w:ind w:left="1247" w:right="1247" w:hanging="567"/>
        <w:jc w:val="lowKashida"/>
        <w:textDirection w:val="tbRlV"/>
        <w:rPr>
          <w:szCs w:val="18"/>
        </w:rPr>
      </w:pPr>
      <w:r>
        <w:rPr>
          <w:szCs w:val="18"/>
          <w:rtl/>
        </w:rPr>
        <w:t>(</w:t>
      </w:r>
      <w:r w:rsidRPr="00C806DC">
        <w:rPr>
          <w:szCs w:val="18"/>
        </w:rPr>
        <w:footnoteRef/>
      </w:r>
      <w:r>
        <w:rPr>
          <w:szCs w:val="18"/>
          <w:rtl/>
        </w:rPr>
        <w:t>)</w:t>
      </w:r>
      <w:r w:rsidRPr="00D2408C">
        <w:rPr>
          <w:szCs w:val="18"/>
          <w:rtl/>
        </w:rPr>
        <w:tab/>
        <w:t xml:space="preserve">انظر </w:t>
      </w:r>
      <w:hyperlink r:id="rId2" w:history="1">
        <w:r w:rsidRPr="00012F60">
          <w:rPr>
            <w:rStyle w:val="Hyperlink"/>
          </w:rPr>
          <w:t>CED</w:t>
        </w:r>
        <w:r w:rsidRPr="00012F60">
          <w:rPr>
            <w:rStyle w:val="Hyperlink"/>
            <w:rFonts w:hint="cs"/>
          </w:rPr>
          <w:t>/</w:t>
        </w:r>
        <w:r w:rsidRPr="00012F60">
          <w:rPr>
            <w:rStyle w:val="Hyperlink"/>
          </w:rPr>
          <w:t>C/SR.</w:t>
        </w:r>
        <w:r w:rsidRPr="00C806DC">
          <w:rPr>
            <w:rStyle w:val="Hyperlink"/>
          </w:rPr>
          <w:t>403</w:t>
        </w:r>
      </w:hyperlink>
      <w:r w:rsidRPr="00D2408C">
        <w:rPr>
          <w:szCs w:val="18"/>
          <w:rtl/>
        </w:rPr>
        <w:t>، و</w:t>
      </w:r>
      <w:hyperlink r:id="rId3" w:history="1">
        <w:r w:rsidRPr="00012F60">
          <w:rPr>
            <w:rStyle w:val="Hyperlink"/>
          </w:rPr>
          <w:t>CED/C/SR.</w:t>
        </w:r>
        <w:r w:rsidRPr="00C806DC">
          <w:rPr>
            <w:rStyle w:val="Hyperlink"/>
          </w:rPr>
          <w:t>404</w:t>
        </w:r>
      </w:hyperlink>
      <w:r w:rsidRPr="00012F60">
        <w:rPr>
          <w:szCs w:val="18"/>
          <w:rtl/>
        </w:rPr>
        <w:t xml:space="preserve">. </w:t>
      </w:r>
    </w:p>
  </w:footnote>
  <w:footnote w:id="4">
    <w:p w14:paraId="1CCFFD32" w14:textId="77777777" w:rsidR="00012F60" w:rsidRPr="00D2408C" w:rsidRDefault="00012F60" w:rsidP="00012F60">
      <w:pPr>
        <w:pStyle w:val="FootnoteText"/>
        <w:tabs>
          <w:tab w:val="clear" w:pos="1021"/>
        </w:tabs>
        <w:bidi/>
        <w:spacing w:after="60" w:line="280" w:lineRule="exact"/>
        <w:ind w:left="1247" w:right="1247" w:hanging="567"/>
        <w:jc w:val="lowKashida"/>
        <w:textDirection w:val="tbRlV"/>
        <w:rPr>
          <w:szCs w:val="18"/>
        </w:rPr>
      </w:pPr>
      <w:r>
        <w:rPr>
          <w:szCs w:val="18"/>
          <w:rtl/>
        </w:rPr>
        <w:t>(</w:t>
      </w:r>
      <w:r w:rsidRPr="00C806DC">
        <w:rPr>
          <w:szCs w:val="18"/>
        </w:rPr>
        <w:footnoteRef/>
      </w:r>
      <w:r>
        <w:rPr>
          <w:szCs w:val="18"/>
          <w:rtl/>
        </w:rPr>
        <w:t>)</w:t>
      </w:r>
      <w:r w:rsidRPr="00D2408C">
        <w:rPr>
          <w:szCs w:val="18"/>
          <w:rtl/>
        </w:rPr>
        <w:tab/>
      </w:r>
      <w:hyperlink r:id="rId4" w:history="1">
        <w:r w:rsidRPr="00012F60">
          <w:rPr>
            <w:rStyle w:val="Hyperlink"/>
          </w:rPr>
          <w:t>CED</w:t>
        </w:r>
        <w:r w:rsidRPr="00012F60">
          <w:rPr>
            <w:rStyle w:val="Hyperlink"/>
            <w:rFonts w:hint="cs"/>
          </w:rPr>
          <w:t>/</w:t>
        </w:r>
        <w:r w:rsidRPr="00012F60">
          <w:rPr>
            <w:rStyle w:val="Hyperlink"/>
          </w:rPr>
          <w:t>C/MLI/RQ/</w:t>
        </w:r>
        <w:r w:rsidRPr="00C806DC">
          <w:rPr>
            <w:rStyle w:val="Hyperlink"/>
          </w:rPr>
          <w:t>1</w:t>
        </w:r>
      </w:hyperlink>
      <w:r w:rsidRPr="00012F60">
        <w:rPr>
          <w:szCs w:val="18"/>
          <w:rtl/>
        </w:rPr>
        <w:t xml:space="preserve">. </w:t>
      </w:r>
    </w:p>
  </w:footnote>
  <w:footnote w:id="5">
    <w:p w14:paraId="5CFE4147" w14:textId="77777777" w:rsidR="00012F60" w:rsidRPr="00D2408C" w:rsidRDefault="00012F60" w:rsidP="00012F60">
      <w:pPr>
        <w:pStyle w:val="FootnoteText"/>
        <w:tabs>
          <w:tab w:val="clear" w:pos="1021"/>
        </w:tabs>
        <w:bidi/>
        <w:spacing w:after="60" w:line="280" w:lineRule="exact"/>
        <w:ind w:left="1247" w:right="1247" w:hanging="567"/>
        <w:jc w:val="lowKashida"/>
        <w:textDirection w:val="tbRlV"/>
        <w:rPr>
          <w:szCs w:val="18"/>
        </w:rPr>
      </w:pPr>
      <w:r>
        <w:rPr>
          <w:szCs w:val="18"/>
          <w:rtl/>
        </w:rPr>
        <w:t>(</w:t>
      </w:r>
      <w:r w:rsidRPr="00C806DC">
        <w:rPr>
          <w:szCs w:val="18"/>
        </w:rPr>
        <w:footnoteRef/>
      </w:r>
      <w:r>
        <w:rPr>
          <w:szCs w:val="18"/>
          <w:rtl/>
        </w:rPr>
        <w:t>)</w:t>
      </w:r>
      <w:r w:rsidRPr="00D2408C">
        <w:rPr>
          <w:szCs w:val="18"/>
          <w:rtl/>
        </w:rPr>
        <w:tab/>
      </w:r>
      <w:hyperlink r:id="rId5" w:history="1">
        <w:r w:rsidRPr="00012F60">
          <w:rPr>
            <w:rStyle w:val="Hyperlink"/>
          </w:rPr>
          <w:t>CED</w:t>
        </w:r>
        <w:r w:rsidRPr="00012F60">
          <w:rPr>
            <w:rStyle w:val="Hyperlink"/>
            <w:rFonts w:hint="cs"/>
          </w:rPr>
          <w:t>/</w:t>
        </w:r>
        <w:r w:rsidRPr="00012F60">
          <w:rPr>
            <w:rStyle w:val="Hyperlink"/>
          </w:rPr>
          <w:t>C/MLI/Q/</w:t>
        </w:r>
        <w:r w:rsidRPr="00C806DC">
          <w:rPr>
            <w:rStyle w:val="Hyperlink"/>
          </w:rPr>
          <w:t>1</w:t>
        </w:r>
      </w:hyperlink>
      <w:r w:rsidRPr="00012F60">
        <w:rPr>
          <w:szCs w:val="18"/>
          <w:rtl/>
        </w:rPr>
        <w:t xml:space="preserve">. </w:t>
      </w:r>
    </w:p>
  </w:footnote>
  <w:footnote w:id="6">
    <w:p w14:paraId="0129A27C" w14:textId="77777777" w:rsidR="00012F60" w:rsidRPr="00D2408C" w:rsidRDefault="00012F60" w:rsidP="00012F60">
      <w:pPr>
        <w:pStyle w:val="FootnoteText"/>
        <w:tabs>
          <w:tab w:val="clear" w:pos="1021"/>
        </w:tabs>
        <w:bidi/>
        <w:spacing w:after="60" w:line="280" w:lineRule="exact"/>
        <w:ind w:left="1247" w:right="1247" w:hanging="567"/>
        <w:jc w:val="lowKashida"/>
        <w:textDirection w:val="tbRlV"/>
        <w:rPr>
          <w:szCs w:val="18"/>
        </w:rPr>
      </w:pPr>
      <w:r>
        <w:rPr>
          <w:szCs w:val="18"/>
          <w:rtl/>
        </w:rPr>
        <w:t>(</w:t>
      </w:r>
      <w:r w:rsidRPr="00C806DC">
        <w:rPr>
          <w:szCs w:val="18"/>
        </w:rPr>
        <w:footnoteRef/>
      </w:r>
      <w:r>
        <w:rPr>
          <w:szCs w:val="18"/>
          <w:rtl/>
        </w:rPr>
        <w:t>)</w:t>
      </w:r>
      <w:r w:rsidRPr="00D2408C">
        <w:rPr>
          <w:szCs w:val="18"/>
          <w:rtl/>
        </w:rPr>
        <w:tab/>
      </w:r>
      <w:hyperlink r:id="rId6" w:history="1">
        <w:r w:rsidRPr="00012F60">
          <w:rPr>
            <w:rStyle w:val="Hyperlink"/>
          </w:rPr>
          <w:t>CED/C/MLI/RQ/</w:t>
        </w:r>
        <w:r w:rsidRPr="00C806DC">
          <w:rPr>
            <w:rStyle w:val="Hyperlink"/>
          </w:rPr>
          <w:t>1</w:t>
        </w:r>
      </w:hyperlink>
      <w:r w:rsidRPr="00D2408C">
        <w:rPr>
          <w:szCs w:val="18"/>
          <w:rtl/>
        </w:rPr>
        <w:t xml:space="preserve">، الفقرة </w:t>
      </w:r>
      <w:r w:rsidRPr="00C806DC">
        <w:rPr>
          <w:szCs w:val="18"/>
          <w:rtl/>
        </w:rPr>
        <w:t>5</w:t>
      </w:r>
      <w:r w:rsidRPr="00012F60">
        <w:rPr>
          <w:szCs w:val="18"/>
          <w:rtl/>
        </w:rPr>
        <w:t xml:space="preserve">. </w:t>
      </w:r>
    </w:p>
  </w:footnote>
  <w:footnote w:id="7">
    <w:p w14:paraId="5BF929C9" w14:textId="77777777" w:rsidR="00012F60" w:rsidRPr="00D2408C" w:rsidRDefault="00012F60" w:rsidP="00012F60">
      <w:pPr>
        <w:pStyle w:val="FootnoteText"/>
        <w:tabs>
          <w:tab w:val="clear" w:pos="1021"/>
        </w:tabs>
        <w:bidi/>
        <w:spacing w:after="60" w:line="280" w:lineRule="exact"/>
        <w:ind w:left="1247" w:right="1247" w:hanging="567"/>
        <w:jc w:val="lowKashida"/>
        <w:textDirection w:val="tbRlV"/>
        <w:rPr>
          <w:szCs w:val="18"/>
        </w:rPr>
      </w:pPr>
      <w:r>
        <w:rPr>
          <w:szCs w:val="18"/>
          <w:rtl/>
        </w:rPr>
        <w:t>(</w:t>
      </w:r>
      <w:r w:rsidRPr="00C806DC">
        <w:rPr>
          <w:szCs w:val="18"/>
        </w:rPr>
        <w:footnoteRef/>
      </w:r>
      <w:r>
        <w:rPr>
          <w:szCs w:val="18"/>
          <w:rtl/>
        </w:rPr>
        <w:t>)</w:t>
      </w:r>
      <w:r w:rsidRPr="00D2408C">
        <w:rPr>
          <w:szCs w:val="18"/>
          <w:rtl/>
        </w:rPr>
        <w:t xml:space="preserve"> </w:t>
      </w:r>
      <w:r w:rsidRPr="00D2408C">
        <w:rPr>
          <w:szCs w:val="18"/>
          <w:rtl/>
        </w:rPr>
        <w:tab/>
      </w:r>
      <w:hyperlink r:id="rId7" w:history="1">
        <w:r w:rsidRPr="00012F60">
          <w:rPr>
            <w:rStyle w:val="Hyperlink"/>
          </w:rPr>
          <w:t>CED</w:t>
        </w:r>
        <w:r w:rsidRPr="00012F60">
          <w:rPr>
            <w:rStyle w:val="Hyperlink"/>
            <w:rFonts w:hint="cs"/>
          </w:rPr>
          <w:t>/</w:t>
        </w:r>
        <w:r w:rsidRPr="00012F60">
          <w:rPr>
            <w:rStyle w:val="Hyperlink"/>
          </w:rPr>
          <w:t>C/</w:t>
        </w:r>
        <w:r w:rsidRPr="00C806DC">
          <w:rPr>
            <w:rStyle w:val="Hyperlink"/>
          </w:rPr>
          <w:t>7</w:t>
        </w:r>
      </w:hyperlink>
      <w:r w:rsidRPr="00012F60">
        <w:rPr>
          <w:szCs w:val="18"/>
          <w:rtl/>
        </w:rPr>
        <w:t xml:space="preserve">. </w:t>
      </w:r>
    </w:p>
  </w:footnote>
  <w:footnote w:id="8">
    <w:p w14:paraId="6AE97D82" w14:textId="77777777" w:rsidR="00012F60" w:rsidRPr="00D2408C" w:rsidRDefault="00012F60" w:rsidP="00012F60">
      <w:pPr>
        <w:pStyle w:val="FootnoteText"/>
        <w:tabs>
          <w:tab w:val="clear" w:pos="1021"/>
        </w:tabs>
        <w:bidi/>
        <w:spacing w:after="60" w:line="280" w:lineRule="exact"/>
        <w:ind w:left="1247" w:right="1247" w:hanging="567"/>
        <w:jc w:val="lowKashida"/>
        <w:textDirection w:val="tbRlV"/>
        <w:rPr>
          <w:szCs w:val="18"/>
        </w:rPr>
      </w:pPr>
      <w:r>
        <w:rPr>
          <w:szCs w:val="18"/>
          <w:rtl/>
        </w:rPr>
        <w:t>(</w:t>
      </w:r>
      <w:r w:rsidRPr="00C806DC">
        <w:rPr>
          <w:szCs w:val="18"/>
        </w:rPr>
        <w:footnoteRef/>
      </w:r>
      <w:r>
        <w:rPr>
          <w:szCs w:val="18"/>
          <w:rtl/>
        </w:rPr>
        <w:t>)</w:t>
      </w:r>
      <w:r w:rsidRPr="00D2408C">
        <w:rPr>
          <w:szCs w:val="18"/>
          <w:rtl/>
        </w:rPr>
        <w:t xml:space="preserve"> </w:t>
      </w:r>
      <w:r w:rsidRPr="00D2408C">
        <w:rPr>
          <w:szCs w:val="18"/>
          <w:rtl/>
        </w:rPr>
        <w:tab/>
      </w:r>
      <w:hyperlink r:id="rId8" w:history="1">
        <w:r w:rsidRPr="00012F60">
          <w:rPr>
            <w:rStyle w:val="Hyperlink"/>
          </w:rPr>
          <w:t>A/</w:t>
        </w:r>
        <w:r w:rsidRPr="00C806DC">
          <w:rPr>
            <w:rStyle w:val="Hyperlink"/>
          </w:rPr>
          <w:t>70</w:t>
        </w:r>
        <w:r w:rsidRPr="00012F60">
          <w:rPr>
            <w:rStyle w:val="Hyperlink"/>
          </w:rPr>
          <w:t>/</w:t>
        </w:r>
        <w:r w:rsidRPr="00C806DC">
          <w:rPr>
            <w:rStyle w:val="Hyperlink"/>
          </w:rPr>
          <w:t>56</w:t>
        </w:r>
      </w:hyperlink>
      <w:r w:rsidRPr="00D2408C">
        <w:rPr>
          <w:szCs w:val="18"/>
          <w:rtl/>
        </w:rPr>
        <w:t>، المرفق الثالث</w:t>
      </w:r>
      <w:r>
        <w:rPr>
          <w:szCs w:val="18"/>
          <w:rtl/>
        </w:rPr>
        <w:t xml:space="preserve">. </w:t>
      </w:r>
    </w:p>
  </w:footnote>
  <w:footnote w:id="9">
    <w:p w14:paraId="03354F8C" w14:textId="77777777" w:rsidR="00012F60" w:rsidRPr="00D2408C" w:rsidRDefault="00012F60" w:rsidP="00012F60">
      <w:pPr>
        <w:pStyle w:val="FootnoteText"/>
        <w:tabs>
          <w:tab w:val="clear" w:pos="1021"/>
        </w:tabs>
        <w:bidi/>
        <w:spacing w:after="60" w:line="280" w:lineRule="exact"/>
        <w:ind w:left="1247" w:right="1247" w:hanging="567"/>
        <w:jc w:val="lowKashida"/>
        <w:textDirection w:val="tbRlV"/>
        <w:rPr>
          <w:szCs w:val="18"/>
        </w:rPr>
      </w:pPr>
      <w:r>
        <w:rPr>
          <w:szCs w:val="18"/>
          <w:rtl/>
        </w:rPr>
        <w:t>(</w:t>
      </w:r>
      <w:r w:rsidRPr="00C806DC">
        <w:rPr>
          <w:szCs w:val="18"/>
        </w:rPr>
        <w:footnoteRef/>
      </w:r>
      <w:r>
        <w:rPr>
          <w:szCs w:val="18"/>
          <w:rtl/>
        </w:rPr>
        <w:t>)</w:t>
      </w:r>
      <w:r w:rsidRPr="00D2408C">
        <w:rPr>
          <w:szCs w:val="18"/>
          <w:rtl/>
        </w:rPr>
        <w:tab/>
        <w:t xml:space="preserve">انظر </w:t>
      </w:r>
      <w:hyperlink r:id="rId9" w:history="1">
        <w:r w:rsidRPr="00012F60">
          <w:rPr>
            <w:rStyle w:val="Hyperlink"/>
          </w:rPr>
          <w:t>CEDAW</w:t>
        </w:r>
        <w:r w:rsidRPr="00012F60">
          <w:rPr>
            <w:rStyle w:val="Hyperlink"/>
            <w:rFonts w:hint="cs"/>
          </w:rPr>
          <w:t>/</w:t>
        </w:r>
        <w:r w:rsidRPr="00012F60">
          <w:rPr>
            <w:rStyle w:val="Hyperlink"/>
          </w:rPr>
          <w:t>C/MLI/CO/</w:t>
        </w:r>
        <w:r w:rsidRPr="00C806DC">
          <w:rPr>
            <w:rStyle w:val="Hyperlink"/>
          </w:rPr>
          <w:t>6</w:t>
        </w:r>
        <w:r w:rsidRPr="00012F60">
          <w:rPr>
            <w:rStyle w:val="Hyperlink"/>
          </w:rPr>
          <w:t>-</w:t>
        </w:r>
        <w:r w:rsidRPr="00C806DC">
          <w:rPr>
            <w:rStyle w:val="Hyperlink"/>
          </w:rPr>
          <w:t>7</w:t>
        </w:r>
      </w:hyperlink>
      <w:r w:rsidRPr="00012F60">
        <w:rPr>
          <w:szCs w:val="18"/>
          <w:rtl/>
        </w:rPr>
        <w:t xml:space="preserve">. </w:t>
      </w:r>
    </w:p>
  </w:footnote>
  <w:footnote w:id="10">
    <w:p w14:paraId="128ED325" w14:textId="77777777" w:rsidR="00012F60" w:rsidRPr="00D2408C" w:rsidRDefault="00012F60" w:rsidP="00012F60">
      <w:pPr>
        <w:pStyle w:val="FootnoteText"/>
        <w:tabs>
          <w:tab w:val="clear" w:pos="1021"/>
        </w:tabs>
        <w:bidi/>
        <w:spacing w:after="60" w:line="280" w:lineRule="exact"/>
        <w:ind w:left="1247" w:right="1247" w:hanging="567"/>
        <w:jc w:val="lowKashida"/>
        <w:textDirection w:val="tbRlV"/>
        <w:rPr>
          <w:szCs w:val="18"/>
          <w:rtl/>
        </w:rPr>
      </w:pPr>
      <w:r>
        <w:rPr>
          <w:szCs w:val="18"/>
          <w:rtl/>
        </w:rPr>
        <w:t>(</w:t>
      </w:r>
      <w:r w:rsidRPr="00C806DC">
        <w:rPr>
          <w:szCs w:val="18"/>
        </w:rPr>
        <w:footnoteRef/>
      </w:r>
      <w:r>
        <w:rPr>
          <w:szCs w:val="18"/>
          <w:rtl/>
        </w:rPr>
        <w:t>)</w:t>
      </w:r>
      <w:r w:rsidRPr="00D2408C">
        <w:rPr>
          <w:szCs w:val="18"/>
          <w:rtl/>
        </w:rPr>
        <w:tab/>
      </w:r>
      <w:r w:rsidRPr="00012F60">
        <w:t>Haut-Commissariat des Nations Unies aux droits de l’homme, « </w:t>
      </w:r>
      <w:hyperlink r:id="rId10" w:history="1">
        <w:r w:rsidRPr="00012F60">
          <w:rPr>
            <w:rStyle w:val="Hyperlink"/>
          </w:rPr>
          <w:t>Mali : L’expert de l’ONU gravement préoccupé par la détérioration de la situation sécuritaire et des droits humains »</w:t>
        </w:r>
      </w:hyperlink>
      <w:r w:rsidRPr="00012F60">
        <w:t xml:space="preserve">, communiqué de presse, </w:t>
      </w:r>
      <w:r w:rsidRPr="00C806DC">
        <w:t>15</w:t>
      </w:r>
      <w:r w:rsidRPr="00012F60">
        <w:t> août </w:t>
      </w:r>
      <w:r w:rsidRPr="00C806DC">
        <w:t>2022</w:t>
      </w:r>
      <w:r w:rsidRPr="00012F60">
        <w:rPr>
          <w:szCs w:val="18"/>
          <w:rtl/>
        </w:rPr>
        <w:t xml:space="preserve">. </w:t>
      </w:r>
    </w:p>
  </w:footnote>
  <w:footnote w:id="11">
    <w:p w14:paraId="09F08588" w14:textId="77777777" w:rsidR="00012F60" w:rsidRPr="00D2408C" w:rsidRDefault="00012F60" w:rsidP="00012F60">
      <w:pPr>
        <w:pStyle w:val="FootnoteText"/>
        <w:tabs>
          <w:tab w:val="clear" w:pos="1021"/>
        </w:tabs>
        <w:bidi/>
        <w:spacing w:after="60" w:line="280" w:lineRule="exact"/>
        <w:ind w:left="1247" w:right="1247" w:hanging="567"/>
        <w:jc w:val="lowKashida"/>
        <w:textDirection w:val="tbRlV"/>
        <w:rPr>
          <w:szCs w:val="18"/>
        </w:rPr>
      </w:pPr>
      <w:r>
        <w:rPr>
          <w:szCs w:val="18"/>
          <w:rtl/>
        </w:rPr>
        <w:t>(</w:t>
      </w:r>
      <w:r w:rsidRPr="00C806DC">
        <w:rPr>
          <w:szCs w:val="18"/>
        </w:rPr>
        <w:footnoteRef/>
      </w:r>
      <w:r>
        <w:rPr>
          <w:szCs w:val="18"/>
          <w:rtl/>
        </w:rPr>
        <w:t>)</w:t>
      </w:r>
      <w:r w:rsidRPr="00D2408C">
        <w:rPr>
          <w:szCs w:val="18"/>
          <w:rtl/>
        </w:rPr>
        <w:tab/>
        <w:t xml:space="preserve">الوثيقة </w:t>
      </w:r>
      <w:hyperlink r:id="rId11" w:history="1">
        <w:r w:rsidRPr="00012F60">
          <w:rPr>
            <w:rStyle w:val="Hyperlink"/>
          </w:rPr>
          <w:t>CED/C/</w:t>
        </w:r>
        <w:r w:rsidRPr="00C806DC">
          <w:rPr>
            <w:rStyle w:val="Hyperlink"/>
          </w:rPr>
          <w:t>2</w:t>
        </w:r>
      </w:hyperlink>
      <w:r w:rsidRPr="00D2408C">
        <w:rPr>
          <w:szCs w:val="18"/>
          <w:rtl/>
        </w:rPr>
        <w:t xml:space="preserve">، الفقرة </w:t>
      </w:r>
      <w:r w:rsidRPr="00C806DC">
        <w:rPr>
          <w:szCs w:val="18"/>
          <w:rtl/>
        </w:rPr>
        <w:t>39</w:t>
      </w:r>
      <w:r w:rsidRPr="00012F60">
        <w:rPr>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2EADD" w14:textId="6E6F826F" w:rsidR="00ED3AF2" w:rsidRPr="00ED3AF2" w:rsidRDefault="00ED3AF2" w:rsidP="00ED3AF2">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847E9">
      <w:t>CED/C/MLI/CO/1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0593B" w14:textId="5CD4D9AA" w:rsidR="00ED3AF2" w:rsidRPr="00ED3AF2" w:rsidRDefault="00ED3AF2" w:rsidP="00ED3AF2">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847E9">
      <w:t>CED/C/MLI/CO/1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8"/>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86C"/>
    <w:rsid w:val="00001E1B"/>
    <w:rsid w:val="000076D5"/>
    <w:rsid w:val="00012F60"/>
    <w:rsid w:val="00027F2D"/>
    <w:rsid w:val="00043663"/>
    <w:rsid w:val="000505CF"/>
    <w:rsid w:val="00074AAF"/>
    <w:rsid w:val="000A1B1A"/>
    <w:rsid w:val="000D701C"/>
    <w:rsid w:val="000E2A71"/>
    <w:rsid w:val="000F3CA7"/>
    <w:rsid w:val="000F4E15"/>
    <w:rsid w:val="0010772C"/>
    <w:rsid w:val="00123777"/>
    <w:rsid w:val="00150FA8"/>
    <w:rsid w:val="00160263"/>
    <w:rsid w:val="00176DB4"/>
    <w:rsid w:val="00181F96"/>
    <w:rsid w:val="001A1371"/>
    <w:rsid w:val="001A5338"/>
    <w:rsid w:val="001B0833"/>
    <w:rsid w:val="001B346A"/>
    <w:rsid w:val="001D1625"/>
    <w:rsid w:val="001E1CAD"/>
    <w:rsid w:val="001E290D"/>
    <w:rsid w:val="002144FA"/>
    <w:rsid w:val="0021768C"/>
    <w:rsid w:val="0023469A"/>
    <w:rsid w:val="00240B83"/>
    <w:rsid w:val="00243C8A"/>
    <w:rsid w:val="002456E8"/>
    <w:rsid w:val="00267A0E"/>
    <w:rsid w:val="002901D9"/>
    <w:rsid w:val="002976C2"/>
    <w:rsid w:val="002C11AF"/>
    <w:rsid w:val="0030459D"/>
    <w:rsid w:val="00317B22"/>
    <w:rsid w:val="003247EB"/>
    <w:rsid w:val="003260FF"/>
    <w:rsid w:val="003366B1"/>
    <w:rsid w:val="00343D95"/>
    <w:rsid w:val="00374341"/>
    <w:rsid w:val="003C0DA4"/>
    <w:rsid w:val="003D1062"/>
    <w:rsid w:val="00420D7B"/>
    <w:rsid w:val="0042139B"/>
    <w:rsid w:val="00450B21"/>
    <w:rsid w:val="00453B63"/>
    <w:rsid w:val="00455780"/>
    <w:rsid w:val="004B0A1C"/>
    <w:rsid w:val="004D298E"/>
    <w:rsid w:val="004E1586"/>
    <w:rsid w:val="00504F9A"/>
    <w:rsid w:val="00534020"/>
    <w:rsid w:val="0054472E"/>
    <w:rsid w:val="005662A9"/>
    <w:rsid w:val="005827D4"/>
    <w:rsid w:val="005847E9"/>
    <w:rsid w:val="0059622A"/>
    <w:rsid w:val="005C5878"/>
    <w:rsid w:val="005C7CEA"/>
    <w:rsid w:val="005D3C0B"/>
    <w:rsid w:val="005E5217"/>
    <w:rsid w:val="005E67F5"/>
    <w:rsid w:val="005F0FA4"/>
    <w:rsid w:val="005F2681"/>
    <w:rsid w:val="005F30EE"/>
    <w:rsid w:val="0060473A"/>
    <w:rsid w:val="00616E0D"/>
    <w:rsid w:val="00656392"/>
    <w:rsid w:val="00675E34"/>
    <w:rsid w:val="0068781D"/>
    <w:rsid w:val="006959B0"/>
    <w:rsid w:val="006A69CA"/>
    <w:rsid w:val="006B3E27"/>
    <w:rsid w:val="006B6507"/>
    <w:rsid w:val="006C104C"/>
    <w:rsid w:val="006C7CF4"/>
    <w:rsid w:val="006D39EA"/>
    <w:rsid w:val="006D698E"/>
    <w:rsid w:val="0072456F"/>
    <w:rsid w:val="00733704"/>
    <w:rsid w:val="00737C1F"/>
    <w:rsid w:val="00741B4D"/>
    <w:rsid w:val="00765DBD"/>
    <w:rsid w:val="00774AF4"/>
    <w:rsid w:val="00776878"/>
    <w:rsid w:val="0078071A"/>
    <w:rsid w:val="00787C17"/>
    <w:rsid w:val="007F55ED"/>
    <w:rsid w:val="00807312"/>
    <w:rsid w:val="0080769D"/>
    <w:rsid w:val="008313E3"/>
    <w:rsid w:val="00832409"/>
    <w:rsid w:val="00852A9A"/>
    <w:rsid w:val="008C2897"/>
    <w:rsid w:val="008C6E7E"/>
    <w:rsid w:val="008D6989"/>
    <w:rsid w:val="008F49E1"/>
    <w:rsid w:val="008F729B"/>
    <w:rsid w:val="0090370F"/>
    <w:rsid w:val="00914E2A"/>
    <w:rsid w:val="00922C60"/>
    <w:rsid w:val="009269D2"/>
    <w:rsid w:val="00927CFF"/>
    <w:rsid w:val="009305F0"/>
    <w:rsid w:val="00942135"/>
    <w:rsid w:val="009521B0"/>
    <w:rsid w:val="0096486C"/>
    <w:rsid w:val="00980103"/>
    <w:rsid w:val="00987935"/>
    <w:rsid w:val="00994130"/>
    <w:rsid w:val="009A7E9F"/>
    <w:rsid w:val="009C0872"/>
    <w:rsid w:val="009E5018"/>
    <w:rsid w:val="009F017D"/>
    <w:rsid w:val="009F515B"/>
    <w:rsid w:val="00A12B37"/>
    <w:rsid w:val="00A14C94"/>
    <w:rsid w:val="00A20FF4"/>
    <w:rsid w:val="00A35293"/>
    <w:rsid w:val="00A4027E"/>
    <w:rsid w:val="00AB4F93"/>
    <w:rsid w:val="00AB6758"/>
    <w:rsid w:val="00AC4F00"/>
    <w:rsid w:val="00B13614"/>
    <w:rsid w:val="00B13763"/>
    <w:rsid w:val="00B27391"/>
    <w:rsid w:val="00B33568"/>
    <w:rsid w:val="00B34CB6"/>
    <w:rsid w:val="00B40C02"/>
    <w:rsid w:val="00B477A4"/>
    <w:rsid w:val="00B54045"/>
    <w:rsid w:val="00B54456"/>
    <w:rsid w:val="00B62784"/>
    <w:rsid w:val="00B65387"/>
    <w:rsid w:val="00B672BA"/>
    <w:rsid w:val="00B950F3"/>
    <w:rsid w:val="00BB449E"/>
    <w:rsid w:val="00BC2E44"/>
    <w:rsid w:val="00BD2E35"/>
    <w:rsid w:val="00BD42F7"/>
    <w:rsid w:val="00C05EA5"/>
    <w:rsid w:val="00C27D06"/>
    <w:rsid w:val="00C438D7"/>
    <w:rsid w:val="00C806DC"/>
    <w:rsid w:val="00C81B50"/>
    <w:rsid w:val="00C92253"/>
    <w:rsid w:val="00CB28F9"/>
    <w:rsid w:val="00CC276B"/>
    <w:rsid w:val="00CD1801"/>
    <w:rsid w:val="00CF7E4E"/>
    <w:rsid w:val="00D10EF1"/>
    <w:rsid w:val="00D2408C"/>
    <w:rsid w:val="00D4271A"/>
    <w:rsid w:val="00D42810"/>
    <w:rsid w:val="00D914A7"/>
    <w:rsid w:val="00DD13C3"/>
    <w:rsid w:val="00DD596E"/>
    <w:rsid w:val="00DD621E"/>
    <w:rsid w:val="00DF0575"/>
    <w:rsid w:val="00DF5E71"/>
    <w:rsid w:val="00E70E04"/>
    <w:rsid w:val="00E72512"/>
    <w:rsid w:val="00E76499"/>
    <w:rsid w:val="00E866BF"/>
    <w:rsid w:val="00E86EA8"/>
    <w:rsid w:val="00EB6F59"/>
    <w:rsid w:val="00EC05A7"/>
    <w:rsid w:val="00EC166D"/>
    <w:rsid w:val="00EC4B6B"/>
    <w:rsid w:val="00ED3AF2"/>
    <w:rsid w:val="00ED3FF1"/>
    <w:rsid w:val="00EE2A27"/>
    <w:rsid w:val="00EF1EE5"/>
    <w:rsid w:val="00F156CA"/>
    <w:rsid w:val="00F223A2"/>
    <w:rsid w:val="00F52C23"/>
    <w:rsid w:val="00F6781A"/>
    <w:rsid w:val="00F75704"/>
    <w:rsid w:val="00F763B4"/>
    <w:rsid w:val="00F900C3"/>
    <w:rsid w:val="00FC678A"/>
    <w:rsid w:val="00FD3946"/>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4A1FB68"/>
  <w15:docId w15:val="{CAF02D2F-5DEA-40C5-B8CC-90C95089C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1AF"/>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2C11AF"/>
    <w:pPr>
      <w:bidi w:val="0"/>
      <w:outlineLvl w:val="0"/>
    </w:pPr>
  </w:style>
  <w:style w:type="paragraph" w:styleId="Heading2">
    <w:name w:val="heading 2"/>
    <w:basedOn w:val="Normal"/>
    <w:next w:val="Normal"/>
    <w:link w:val="Heading2Char"/>
    <w:uiPriority w:val="9"/>
    <w:unhideWhenUsed/>
    <w:rsid w:val="002C11A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2C11AF"/>
    <w:pPr>
      <w:keepNext/>
      <w:keepLines/>
      <w:spacing w:before="200"/>
      <w:outlineLvl w:val="2"/>
    </w:pPr>
    <w:rPr>
      <w:b/>
      <w:bCs/>
      <w:color w:val="4F81BD"/>
    </w:rPr>
  </w:style>
  <w:style w:type="paragraph" w:styleId="Heading4">
    <w:name w:val="heading 4"/>
    <w:basedOn w:val="Normal"/>
    <w:next w:val="Normal"/>
    <w:link w:val="Heading4Char"/>
    <w:uiPriority w:val="9"/>
    <w:unhideWhenUsed/>
    <w:rsid w:val="002C11A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2C11AF"/>
    <w:pPr>
      <w:keepNext/>
      <w:keepLines/>
      <w:spacing w:before="200"/>
      <w:outlineLvl w:val="4"/>
    </w:pPr>
    <w:rPr>
      <w:color w:val="243F60"/>
    </w:rPr>
  </w:style>
  <w:style w:type="paragraph" w:styleId="Heading6">
    <w:name w:val="heading 6"/>
    <w:basedOn w:val="Normal"/>
    <w:next w:val="Normal"/>
    <w:link w:val="Heading6Char"/>
    <w:uiPriority w:val="9"/>
    <w:unhideWhenUsed/>
    <w:rsid w:val="002C11AF"/>
    <w:pPr>
      <w:keepNext/>
      <w:keepLines/>
      <w:spacing w:before="200"/>
      <w:outlineLvl w:val="5"/>
    </w:pPr>
    <w:rPr>
      <w:i/>
      <w:iCs/>
      <w:color w:val="243F60"/>
    </w:rPr>
  </w:style>
  <w:style w:type="paragraph" w:styleId="Heading7">
    <w:name w:val="heading 7"/>
    <w:basedOn w:val="Normal"/>
    <w:next w:val="Normal"/>
    <w:link w:val="Heading7Char"/>
    <w:uiPriority w:val="9"/>
    <w:unhideWhenUsed/>
    <w:rsid w:val="002C11AF"/>
    <w:pPr>
      <w:keepNext/>
      <w:keepLines/>
      <w:spacing w:before="200"/>
      <w:outlineLvl w:val="6"/>
    </w:pPr>
    <w:rPr>
      <w:i/>
      <w:iCs/>
      <w:color w:val="404040"/>
    </w:rPr>
  </w:style>
  <w:style w:type="paragraph" w:styleId="Heading8">
    <w:name w:val="heading 8"/>
    <w:basedOn w:val="Normal"/>
    <w:next w:val="Normal"/>
    <w:link w:val="Heading8Char"/>
    <w:uiPriority w:val="9"/>
    <w:unhideWhenUsed/>
    <w:rsid w:val="002C11A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2C11A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2C11AF"/>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2C11AF"/>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Endnote Text1,Footnote Reference Number,Footnote Refernece,Footnote number"/>
    <w:link w:val="4GCharChar"/>
    <w:qFormat/>
    <w:rsid w:val="002C11AF"/>
    <w:rPr>
      <w:szCs w:val="18"/>
      <w:vertAlign w:val="superscript"/>
    </w:rPr>
  </w:style>
  <w:style w:type="paragraph" w:customStyle="1" w:styleId="HMGA">
    <w:name w:val="_ H __M_GA"/>
    <w:basedOn w:val="Normal"/>
    <w:next w:val="SingleTxtGA"/>
    <w:qFormat/>
    <w:rsid w:val="002C11A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2C11A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2C11A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2C11A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2C11A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2C11A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2C11A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2C11A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2C11A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2C11A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2C11A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2C11A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2C11A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2C11AF"/>
    <w:pPr>
      <w:numPr>
        <w:numId w:val="5"/>
      </w:numPr>
      <w:bidi w:val="0"/>
    </w:pPr>
    <w:rPr>
      <w:lang w:val="en-US"/>
    </w:rPr>
  </w:style>
  <w:style w:type="paragraph" w:customStyle="1" w:styleId="Roman1GA">
    <w:name w:val="_Roman 1_GA"/>
    <w:basedOn w:val="Bullet1GA"/>
    <w:qFormat/>
    <w:rsid w:val="002C11AF"/>
    <w:pPr>
      <w:numPr>
        <w:numId w:val="6"/>
      </w:numPr>
      <w:tabs>
        <w:tab w:val="clear" w:pos="2310"/>
        <w:tab w:val="left" w:pos="2486"/>
      </w:tabs>
      <w:ind w:left="2486" w:hanging="378"/>
    </w:pPr>
  </w:style>
  <w:style w:type="paragraph" w:customStyle="1" w:styleId="Roman2GA">
    <w:name w:val="_Roman 2_GA"/>
    <w:basedOn w:val="Bullet2GA"/>
    <w:qFormat/>
    <w:rsid w:val="002C11A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2C11A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2C11AF"/>
    <w:rPr>
      <w:rFonts w:ascii="Times New Roman" w:eastAsia="PMingLiU" w:hAnsi="Times New Roman" w:cs="Simplified Arabic"/>
      <w:sz w:val="18"/>
      <w:szCs w:val="20"/>
      <w:lang w:val="en-GB"/>
    </w:rPr>
  </w:style>
  <w:style w:type="character" w:customStyle="1" w:styleId="EndtnoteReference">
    <w:name w:val="Endtnote Reference"/>
    <w:aliases w:val="1_GA"/>
    <w:qFormat/>
    <w:rsid w:val="002C11A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2C11AF"/>
    <w:pPr>
      <w:suppressAutoHyphens/>
      <w:bidi w:val="0"/>
      <w:spacing w:line="240" w:lineRule="auto"/>
    </w:pPr>
    <w:rPr>
      <w:sz w:val="16"/>
      <w:lang w:val="en-GB"/>
    </w:rPr>
  </w:style>
  <w:style w:type="character" w:customStyle="1" w:styleId="FooterChar">
    <w:name w:val="Footer Char"/>
    <w:aliases w:val="3_GA Char,3_G Char"/>
    <w:link w:val="Footer"/>
    <w:rsid w:val="002C11AF"/>
    <w:rPr>
      <w:rFonts w:ascii="Times New Roman" w:eastAsia="PMingLiU" w:hAnsi="Times New Roman" w:cs="Simplified Arabic"/>
      <w:sz w:val="16"/>
      <w:lang w:val="en-GB"/>
    </w:rPr>
  </w:style>
  <w:style w:type="paragraph" w:customStyle="1" w:styleId="FootnoteText1">
    <w:name w:val="Footnote Text1"/>
    <w:aliases w:val="5_GA"/>
    <w:basedOn w:val="Normal"/>
    <w:qFormat/>
    <w:rsid w:val="002C11A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2C11AF"/>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2C11AF"/>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2C11AF"/>
    <w:rPr>
      <w:rFonts w:ascii="Times New Roman" w:eastAsia="PMingLiU" w:hAnsi="Times New Roman" w:cs="Simplified Arabic"/>
      <w:lang w:val="en-GB"/>
    </w:rPr>
  </w:style>
  <w:style w:type="character" w:styleId="PageNumber">
    <w:name w:val="page number"/>
    <w:aliases w:val="7_GA,7_G"/>
    <w:qFormat/>
    <w:rsid w:val="002C11AF"/>
    <w:rPr>
      <w:rFonts w:ascii="Times New Roman Bold" w:hAnsi="Times New Roman Bold"/>
      <w:b/>
      <w:i w:val="0"/>
      <w:sz w:val="18"/>
      <w:szCs w:val="18"/>
    </w:rPr>
  </w:style>
  <w:style w:type="paragraph" w:customStyle="1" w:styleId="XXLargeGA">
    <w:name w:val="XXLarge_GA"/>
    <w:basedOn w:val="Normal"/>
    <w:next w:val="SingleTxtGA"/>
    <w:qFormat/>
    <w:rsid w:val="002C11AF"/>
    <w:pPr>
      <w:suppressAutoHyphens/>
      <w:spacing w:line="820" w:lineRule="exact"/>
    </w:pPr>
    <w:rPr>
      <w:spacing w:val="-8"/>
      <w:w w:val="96"/>
      <w:sz w:val="57"/>
      <w:szCs w:val="86"/>
      <w:lang w:val="en-GB"/>
    </w:rPr>
  </w:style>
  <w:style w:type="character" w:customStyle="1" w:styleId="Heading2Char">
    <w:name w:val="Heading 2 Char"/>
    <w:link w:val="Heading2"/>
    <w:uiPriority w:val="9"/>
    <w:rsid w:val="002C11AF"/>
    <w:rPr>
      <w:rFonts w:ascii="Times New Roman" w:eastAsia="PMingLiU" w:hAnsi="Times New Roman" w:cs="Simplified Arabic"/>
      <w:b/>
      <w:bCs/>
      <w:color w:val="4F81BD"/>
      <w:sz w:val="26"/>
      <w:szCs w:val="26"/>
    </w:rPr>
  </w:style>
  <w:style w:type="character" w:styleId="BookTitle">
    <w:name w:val="Book Title"/>
    <w:uiPriority w:val="33"/>
    <w:rsid w:val="002C11AF"/>
    <w:rPr>
      <w:b/>
      <w:bCs/>
      <w:smallCaps/>
      <w:spacing w:val="5"/>
    </w:rPr>
  </w:style>
  <w:style w:type="character" w:customStyle="1" w:styleId="Heading3Char">
    <w:name w:val="Heading 3 Char"/>
    <w:link w:val="Heading3"/>
    <w:uiPriority w:val="9"/>
    <w:rsid w:val="002C11AF"/>
    <w:rPr>
      <w:rFonts w:ascii="Times New Roman" w:eastAsia="PMingLiU" w:hAnsi="Times New Roman" w:cs="Simplified Arabic"/>
      <w:b/>
      <w:bCs/>
      <w:color w:val="4F81BD"/>
      <w:sz w:val="20"/>
    </w:rPr>
  </w:style>
  <w:style w:type="character" w:customStyle="1" w:styleId="Heading4Char">
    <w:name w:val="Heading 4 Char"/>
    <w:link w:val="Heading4"/>
    <w:uiPriority w:val="9"/>
    <w:rsid w:val="002C11AF"/>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2C11AF"/>
    <w:rPr>
      <w:rFonts w:ascii="Times New Roman" w:eastAsia="PMingLiU" w:hAnsi="Times New Roman" w:cs="Simplified Arabic"/>
      <w:color w:val="243F60"/>
      <w:sz w:val="20"/>
    </w:rPr>
  </w:style>
  <w:style w:type="character" w:customStyle="1" w:styleId="Heading6Char">
    <w:name w:val="Heading 6 Char"/>
    <w:link w:val="Heading6"/>
    <w:uiPriority w:val="9"/>
    <w:rsid w:val="002C11AF"/>
    <w:rPr>
      <w:rFonts w:ascii="Times New Roman" w:eastAsia="PMingLiU" w:hAnsi="Times New Roman" w:cs="Simplified Arabic"/>
      <w:i/>
      <w:iCs/>
      <w:color w:val="243F60"/>
      <w:sz w:val="20"/>
    </w:rPr>
  </w:style>
  <w:style w:type="character" w:customStyle="1" w:styleId="Heading7Char">
    <w:name w:val="Heading 7 Char"/>
    <w:link w:val="Heading7"/>
    <w:uiPriority w:val="9"/>
    <w:rsid w:val="002C11AF"/>
    <w:rPr>
      <w:rFonts w:ascii="Times New Roman" w:eastAsia="PMingLiU" w:hAnsi="Times New Roman" w:cs="Simplified Arabic"/>
      <w:i/>
      <w:iCs/>
      <w:color w:val="404040"/>
      <w:sz w:val="20"/>
    </w:rPr>
  </w:style>
  <w:style w:type="character" w:customStyle="1" w:styleId="Heading8Char">
    <w:name w:val="Heading 8 Char"/>
    <w:link w:val="Heading8"/>
    <w:uiPriority w:val="9"/>
    <w:rsid w:val="002C11AF"/>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2C11AF"/>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2C11A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2C11AF"/>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2C11AF"/>
    <w:pPr>
      <w:numPr>
        <w:ilvl w:val="1"/>
      </w:numPr>
    </w:pPr>
    <w:rPr>
      <w:i/>
      <w:iCs/>
      <w:color w:val="4F81BD"/>
      <w:spacing w:val="15"/>
      <w:sz w:val="24"/>
      <w:szCs w:val="24"/>
    </w:rPr>
  </w:style>
  <w:style w:type="character" w:customStyle="1" w:styleId="SubtitleChar">
    <w:name w:val="Subtitle Char"/>
    <w:link w:val="Subtitle"/>
    <w:uiPriority w:val="11"/>
    <w:rsid w:val="002C11AF"/>
    <w:rPr>
      <w:rFonts w:ascii="Times New Roman" w:eastAsia="PMingLiU" w:hAnsi="Times New Roman" w:cs="Simplified Arabic"/>
      <w:i/>
      <w:iCs/>
      <w:color w:val="4F81BD"/>
      <w:spacing w:val="15"/>
      <w:sz w:val="24"/>
      <w:szCs w:val="24"/>
    </w:rPr>
  </w:style>
  <w:style w:type="character" w:styleId="SubtleEmphasis">
    <w:name w:val="Subtle Emphasis"/>
    <w:uiPriority w:val="19"/>
    <w:rsid w:val="002C11AF"/>
    <w:rPr>
      <w:i/>
      <w:iCs/>
      <w:color w:val="808080"/>
    </w:rPr>
  </w:style>
  <w:style w:type="table" w:styleId="ColorfulGrid-Accent6">
    <w:name w:val="Colorful Grid Accent 6"/>
    <w:basedOn w:val="TableNormal"/>
    <w:uiPriority w:val="73"/>
    <w:rsid w:val="002C11AF"/>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2C11AF"/>
    <w:rPr>
      <w:i/>
      <w:iCs/>
    </w:rPr>
  </w:style>
  <w:style w:type="character" w:styleId="IntenseEmphasis">
    <w:name w:val="Intense Emphasis"/>
    <w:uiPriority w:val="21"/>
    <w:rsid w:val="002C11AF"/>
    <w:rPr>
      <w:b/>
      <w:bCs/>
      <w:i/>
      <w:iCs/>
      <w:color w:val="4F81BD"/>
    </w:rPr>
  </w:style>
  <w:style w:type="character" w:styleId="Strong">
    <w:name w:val="Strong"/>
    <w:uiPriority w:val="22"/>
    <w:rsid w:val="002C11AF"/>
    <w:rPr>
      <w:b/>
      <w:bCs/>
    </w:rPr>
  </w:style>
  <w:style w:type="paragraph" w:styleId="Quote">
    <w:name w:val="Quote"/>
    <w:basedOn w:val="Normal"/>
    <w:next w:val="Normal"/>
    <w:link w:val="QuoteChar"/>
    <w:uiPriority w:val="29"/>
    <w:rsid w:val="002C11AF"/>
    <w:rPr>
      <w:i/>
      <w:iCs/>
      <w:color w:val="000000"/>
    </w:rPr>
  </w:style>
  <w:style w:type="character" w:customStyle="1" w:styleId="QuoteChar">
    <w:name w:val="Quote Char"/>
    <w:link w:val="Quote"/>
    <w:uiPriority w:val="29"/>
    <w:rsid w:val="002C11AF"/>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2C11A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2C11AF"/>
    <w:rPr>
      <w:rFonts w:ascii="Times New Roman" w:eastAsia="PMingLiU" w:hAnsi="Times New Roman" w:cs="Simplified Arabic"/>
      <w:b/>
      <w:bCs/>
      <w:i/>
      <w:iCs/>
      <w:color w:val="4F81BD"/>
      <w:sz w:val="20"/>
    </w:rPr>
  </w:style>
  <w:style w:type="character" w:styleId="SubtleReference">
    <w:name w:val="Subtle Reference"/>
    <w:uiPriority w:val="31"/>
    <w:rsid w:val="002C11AF"/>
    <w:rPr>
      <w:smallCaps/>
      <w:color w:val="C0504D"/>
      <w:u w:val="single"/>
    </w:rPr>
  </w:style>
  <w:style w:type="character" w:styleId="IntenseReference">
    <w:name w:val="Intense Reference"/>
    <w:uiPriority w:val="32"/>
    <w:rsid w:val="002C11AF"/>
    <w:rPr>
      <w:b/>
      <w:bCs/>
      <w:smallCaps/>
      <w:color w:val="C0504D"/>
      <w:spacing w:val="5"/>
      <w:u w:val="single"/>
    </w:rPr>
  </w:style>
  <w:style w:type="paragraph" w:styleId="ListParagraph">
    <w:name w:val="List Paragraph"/>
    <w:basedOn w:val="Normal"/>
    <w:uiPriority w:val="34"/>
    <w:rsid w:val="002C11AF"/>
    <w:pPr>
      <w:ind w:left="720"/>
      <w:contextualSpacing/>
    </w:pPr>
  </w:style>
  <w:style w:type="table" w:styleId="MediumShading1-Accent4">
    <w:name w:val="Medium Shading 1 Accent 4"/>
    <w:basedOn w:val="TableNormal"/>
    <w:uiPriority w:val="63"/>
    <w:rsid w:val="002C11AF"/>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2C11AF"/>
    <w:rPr>
      <w:rFonts w:eastAsia="MS Mincho"/>
      <w:sz w:val="18"/>
      <w:vertAlign w:val="superscript"/>
    </w:rPr>
  </w:style>
  <w:style w:type="table" w:styleId="TableGrid">
    <w:name w:val="Table Grid"/>
    <w:basedOn w:val="TableNormal"/>
    <w:rsid w:val="002C11AF"/>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C11AF"/>
    <w:pPr>
      <w:spacing w:line="240" w:lineRule="auto"/>
    </w:pPr>
    <w:rPr>
      <w:sz w:val="16"/>
      <w:szCs w:val="16"/>
    </w:rPr>
  </w:style>
  <w:style w:type="character" w:customStyle="1" w:styleId="BalloonTextChar">
    <w:name w:val="Balloon Text Char"/>
    <w:link w:val="BalloonText"/>
    <w:uiPriority w:val="99"/>
    <w:semiHidden/>
    <w:rsid w:val="002C11AF"/>
    <w:rPr>
      <w:rFonts w:ascii="Times New Roman" w:eastAsia="PMingLiU" w:hAnsi="Times New Roman" w:cs="Simplified Arabic"/>
      <w:sz w:val="16"/>
      <w:szCs w:val="16"/>
    </w:rPr>
  </w:style>
  <w:style w:type="character" w:styleId="Hyperlink">
    <w:name w:val="Hyperlink"/>
    <w:uiPriority w:val="99"/>
    <w:unhideWhenUsed/>
    <w:rsid w:val="002C11AF"/>
    <w:rPr>
      <w:color w:val="0000FF"/>
      <w:u w:val="none"/>
    </w:rPr>
  </w:style>
  <w:style w:type="paragraph" w:styleId="TOC1">
    <w:name w:val="toc 1"/>
    <w:basedOn w:val="Normal"/>
    <w:link w:val="TOC1Char"/>
    <w:autoRedefine/>
    <w:uiPriority w:val="39"/>
    <w:unhideWhenUsed/>
    <w:rsid w:val="002C11A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2C11A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2C11A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2C11AF"/>
    <w:rPr>
      <w:rFonts w:eastAsia="DengXian"/>
      <w:color w:val="auto"/>
      <w:sz w:val="20"/>
      <w:szCs w:val="20"/>
      <w:u w:val="none"/>
      <w:lang w:eastAsia="zh-CN" w:bidi="ar-EG"/>
    </w:rPr>
  </w:style>
  <w:style w:type="paragraph" w:styleId="TOC4">
    <w:name w:val="toc 4"/>
    <w:basedOn w:val="Normal"/>
    <w:link w:val="TOC4Char"/>
    <w:autoRedefine/>
    <w:uiPriority w:val="39"/>
    <w:unhideWhenUsed/>
    <w:rsid w:val="002C11A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2C11A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2C11AF"/>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2C11AF"/>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2C11A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2C11AF"/>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2C11AF"/>
    <w:rPr>
      <w:color w:val="605E5C"/>
      <w:shd w:val="clear" w:color="auto" w:fill="E1DFDD"/>
    </w:rPr>
  </w:style>
  <w:style w:type="character" w:customStyle="1" w:styleId="TOC1Char">
    <w:name w:val="TOC 1 Char"/>
    <w:basedOn w:val="DefaultParagraphFont"/>
    <w:link w:val="TOC1"/>
    <w:uiPriority w:val="39"/>
    <w:rsid w:val="002C11AF"/>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2C11AF"/>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2C11AF"/>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2C11AF"/>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2C11AF"/>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2C11AF"/>
    <w:rPr>
      <w:rFonts w:ascii="Times New Roman" w:eastAsia="PMingLiU" w:hAnsi="Times New Roman" w:cs="Simplified Arabic"/>
      <w:sz w:val="20"/>
      <w:szCs w:val="20"/>
      <w:lang w:val="en-GB"/>
    </w:rPr>
  </w:style>
  <w:style w:type="paragraph" w:customStyle="1" w:styleId="SessionDate">
    <w:name w:val="Session_Date"/>
    <w:basedOn w:val="Normal"/>
    <w:qFormat/>
    <w:rsid w:val="002C11AF"/>
    <w:pPr>
      <w:spacing w:before="240" w:after="240" w:line="460" w:lineRule="exact"/>
      <w:ind w:left="1247"/>
    </w:pPr>
    <w:rPr>
      <w:b/>
      <w:bCs/>
      <w:sz w:val="32"/>
      <w:szCs w:val="44"/>
    </w:rPr>
  </w:style>
  <w:style w:type="paragraph" w:customStyle="1" w:styleId="SessionNumber">
    <w:name w:val="Session_Number"/>
    <w:basedOn w:val="Normal"/>
    <w:qFormat/>
    <w:rsid w:val="002C11AF"/>
    <w:pPr>
      <w:spacing w:line="480" w:lineRule="exact"/>
      <w:ind w:left="1247"/>
    </w:pPr>
    <w:rPr>
      <w:b/>
      <w:bCs/>
      <w:sz w:val="28"/>
      <w:szCs w:val="38"/>
    </w:rPr>
  </w:style>
  <w:style w:type="paragraph" w:customStyle="1" w:styleId="CityandYear">
    <w:name w:val="City and Year"/>
    <w:basedOn w:val="SingleTxtGA"/>
    <w:qFormat/>
    <w:rsid w:val="002C11AF"/>
    <w:pPr>
      <w:spacing w:line="480" w:lineRule="exact"/>
    </w:pPr>
    <w:rPr>
      <w:b/>
      <w:bCs/>
      <w:sz w:val="30"/>
      <w:szCs w:val="38"/>
      <w:lang w:eastAsia="ar-SA"/>
    </w:rPr>
  </w:style>
  <w:style w:type="paragraph" w:customStyle="1" w:styleId="NormalA">
    <w:name w:val="Normal_A"/>
    <w:basedOn w:val="Normal"/>
    <w:qFormat/>
    <w:rsid w:val="002C11AF"/>
  </w:style>
  <w:style w:type="paragraph" w:customStyle="1" w:styleId="H1G">
    <w:name w:val="_ H_1_G"/>
    <w:basedOn w:val="Normal"/>
    <w:next w:val="Normal"/>
    <w:link w:val="H1GChar"/>
    <w:qFormat/>
    <w:rsid w:val="002C11AF"/>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2C11AF"/>
    <w:pPr>
      <w:suppressAutoHyphens/>
      <w:bidi w:val="0"/>
      <w:spacing w:after="120"/>
      <w:ind w:left="1134" w:right="1134"/>
      <w:jc w:val="both"/>
    </w:pPr>
    <w:rPr>
      <w:szCs w:val="20"/>
      <w:lang w:val="en-GB"/>
    </w:rPr>
  </w:style>
  <w:style w:type="paragraph" w:customStyle="1" w:styleId="HChG">
    <w:name w:val="_ H _Ch_G"/>
    <w:basedOn w:val="Normal"/>
    <w:next w:val="Normal"/>
    <w:link w:val="HChGChar"/>
    <w:qFormat/>
    <w:rsid w:val="002C11AF"/>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link w:val="H23GChar"/>
    <w:qFormat/>
    <w:rsid w:val="002C11AF"/>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2C11AF"/>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2C11A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2C11AF"/>
    <w:rPr>
      <w:sz w:val="44"/>
      <w:szCs w:val="44"/>
      <w:lang w:val="en-US" w:bidi="ar-DZ"/>
    </w:rPr>
  </w:style>
  <w:style w:type="paragraph" w:customStyle="1" w:styleId="FootnoteGA0">
    <w:name w:val="Footnote_GA"/>
    <w:basedOn w:val="Normal"/>
    <w:qFormat/>
    <w:rsid w:val="002C11AF"/>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2C11AF"/>
    <w:pPr>
      <w:keepNext/>
      <w:keepLines/>
      <w:spacing w:after="120" w:line="400" w:lineRule="exact"/>
      <w:outlineLvl w:val="0"/>
    </w:pPr>
    <w:rPr>
      <w:b/>
      <w:bCs/>
      <w:kern w:val="14"/>
      <w:sz w:val="24"/>
      <w:szCs w:val="32"/>
    </w:rPr>
  </w:style>
  <w:style w:type="paragraph" w:customStyle="1" w:styleId="HCh">
    <w:name w:val="_ H _Ch"/>
    <w:basedOn w:val="H1"/>
    <w:next w:val="SingleTxt"/>
    <w:qFormat/>
    <w:rsid w:val="002C11AF"/>
    <w:pPr>
      <w:spacing w:line="440" w:lineRule="exact"/>
    </w:pPr>
    <w:rPr>
      <w:spacing w:val="-2"/>
      <w:sz w:val="28"/>
      <w:szCs w:val="36"/>
    </w:rPr>
  </w:style>
  <w:style w:type="character" w:styleId="CommentReference">
    <w:name w:val="annotation reference"/>
    <w:uiPriority w:val="99"/>
    <w:semiHidden/>
    <w:rsid w:val="002C11AF"/>
    <w:rPr>
      <w:sz w:val="6"/>
      <w:szCs w:val="9"/>
    </w:rPr>
  </w:style>
  <w:style w:type="paragraph" w:customStyle="1" w:styleId="HM">
    <w:name w:val="_ H __M"/>
    <w:basedOn w:val="HCh"/>
    <w:next w:val="Normal"/>
    <w:qFormat/>
    <w:rsid w:val="002C11AF"/>
    <w:pPr>
      <w:suppressAutoHyphens/>
      <w:spacing w:line="520" w:lineRule="exact"/>
    </w:pPr>
    <w:rPr>
      <w:spacing w:val="-3"/>
      <w:sz w:val="34"/>
      <w:szCs w:val="48"/>
    </w:rPr>
  </w:style>
  <w:style w:type="paragraph" w:customStyle="1" w:styleId="SingleTxt">
    <w:name w:val="__Single Txt"/>
    <w:basedOn w:val="Normal"/>
    <w:qFormat/>
    <w:rsid w:val="002C11AF"/>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2C11AF"/>
    <w:pPr>
      <w:suppressAutoHyphens/>
      <w:spacing w:line="360" w:lineRule="exact"/>
      <w:outlineLvl w:val="1"/>
    </w:pPr>
    <w:rPr>
      <w:spacing w:val="2"/>
      <w:sz w:val="20"/>
      <w:szCs w:val="28"/>
    </w:rPr>
  </w:style>
  <w:style w:type="paragraph" w:customStyle="1" w:styleId="H4">
    <w:name w:val="_ H_4"/>
    <w:basedOn w:val="Normal"/>
    <w:next w:val="Normal"/>
    <w:qFormat/>
    <w:rsid w:val="002C11AF"/>
    <w:pPr>
      <w:keepNext/>
      <w:keepLines/>
      <w:spacing w:after="120" w:line="360" w:lineRule="exact"/>
      <w:outlineLvl w:val="3"/>
    </w:pPr>
    <w:rPr>
      <w:i/>
      <w:iCs/>
      <w:kern w:val="14"/>
      <w:szCs w:val="28"/>
    </w:rPr>
  </w:style>
  <w:style w:type="paragraph" w:customStyle="1" w:styleId="H56">
    <w:name w:val="_ H_5/6"/>
    <w:basedOn w:val="Normal"/>
    <w:next w:val="Normal"/>
    <w:qFormat/>
    <w:rsid w:val="002C11AF"/>
    <w:pPr>
      <w:keepNext/>
      <w:keepLines/>
      <w:spacing w:after="120" w:line="360" w:lineRule="exact"/>
      <w:outlineLvl w:val="4"/>
    </w:pPr>
    <w:rPr>
      <w:kern w:val="14"/>
      <w:szCs w:val="28"/>
    </w:rPr>
  </w:style>
  <w:style w:type="paragraph" w:customStyle="1" w:styleId="DualTxt">
    <w:name w:val="__Dual Txt"/>
    <w:basedOn w:val="Normal"/>
    <w:qFormat/>
    <w:rsid w:val="002C11AF"/>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2C11AF"/>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2C11AF"/>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2C11AF"/>
    <w:pPr>
      <w:spacing w:after="120" w:line="440" w:lineRule="exact"/>
      <w:jc w:val="center"/>
    </w:pPr>
    <w:rPr>
      <w:b/>
      <w:bCs/>
      <w:sz w:val="25"/>
      <w:szCs w:val="38"/>
    </w:rPr>
  </w:style>
  <w:style w:type="paragraph" w:customStyle="1" w:styleId="JH1">
    <w:name w:val="J_H_1"/>
    <w:basedOn w:val="JCH"/>
    <w:qFormat/>
    <w:rsid w:val="002C11AF"/>
    <w:pPr>
      <w:spacing w:line="420" w:lineRule="exact"/>
    </w:pPr>
    <w:rPr>
      <w:sz w:val="23"/>
      <w:szCs w:val="34"/>
    </w:rPr>
  </w:style>
  <w:style w:type="paragraph" w:customStyle="1" w:styleId="JH2">
    <w:name w:val="J_H_2"/>
    <w:basedOn w:val="JH1"/>
    <w:qFormat/>
    <w:rsid w:val="002C11AF"/>
    <w:pPr>
      <w:spacing w:line="400" w:lineRule="exact"/>
    </w:pPr>
    <w:rPr>
      <w:sz w:val="20"/>
      <w:szCs w:val="30"/>
    </w:rPr>
  </w:style>
  <w:style w:type="paragraph" w:customStyle="1" w:styleId="JSmall">
    <w:name w:val="J_Small"/>
    <w:basedOn w:val="JSingleTxt"/>
    <w:next w:val="JSingleTxt"/>
    <w:qFormat/>
    <w:rsid w:val="002C11A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2C11AF"/>
    <w:pPr>
      <w:tabs>
        <w:tab w:val="right" w:leader="dot" w:pos="360"/>
      </w:tabs>
      <w:spacing w:line="310" w:lineRule="exact"/>
      <w:jc w:val="right"/>
    </w:pPr>
    <w:rPr>
      <w:spacing w:val="5"/>
      <w:w w:val="104"/>
      <w:kern w:val="14"/>
      <w:sz w:val="17"/>
      <w:szCs w:val="25"/>
    </w:rPr>
  </w:style>
  <w:style w:type="character" w:styleId="LineNumber">
    <w:name w:val="line number"/>
    <w:qFormat/>
    <w:rsid w:val="002C11AF"/>
    <w:rPr>
      <w:sz w:val="14"/>
      <w:szCs w:val="16"/>
    </w:rPr>
  </w:style>
  <w:style w:type="paragraph" w:customStyle="1" w:styleId="SmallX">
    <w:name w:val="SmallX"/>
    <w:basedOn w:val="Small"/>
    <w:next w:val="Normal"/>
    <w:qFormat/>
    <w:rsid w:val="002C11AF"/>
    <w:pPr>
      <w:spacing w:line="240" w:lineRule="exact"/>
    </w:pPr>
    <w:rPr>
      <w:spacing w:val="6"/>
      <w:w w:val="106"/>
      <w:sz w:val="14"/>
      <w:szCs w:val="21"/>
    </w:rPr>
  </w:style>
  <w:style w:type="paragraph" w:customStyle="1" w:styleId="XLarge">
    <w:name w:val="XLarge"/>
    <w:basedOn w:val="HM"/>
    <w:qFormat/>
    <w:rsid w:val="002C11AF"/>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2C11AF"/>
    <w:pPr>
      <w:spacing w:line="820" w:lineRule="exact"/>
    </w:pPr>
    <w:rPr>
      <w:spacing w:val="-8"/>
      <w:w w:val="96"/>
      <w:sz w:val="57"/>
      <w:szCs w:val="86"/>
    </w:rPr>
  </w:style>
  <w:style w:type="paragraph" w:customStyle="1" w:styleId="Distribution">
    <w:name w:val="Distribution"/>
    <w:basedOn w:val="Normal"/>
    <w:next w:val="Normal"/>
    <w:qFormat/>
    <w:rsid w:val="002C11AF"/>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2C11AF"/>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2C11AF"/>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2C11AF"/>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2C11AF"/>
    <w:pPr>
      <w:tabs>
        <w:tab w:val="left" w:pos="662"/>
        <w:tab w:val="left" w:pos="1267"/>
        <w:tab w:val="left" w:pos="1987"/>
        <w:tab w:val="left" w:pos="2650"/>
      </w:tabs>
      <w:spacing w:after="0"/>
      <w:ind w:left="662" w:hanging="662"/>
    </w:pPr>
  </w:style>
  <w:style w:type="paragraph" w:customStyle="1" w:styleId="Committee">
    <w:name w:val="Committee"/>
    <w:basedOn w:val="H1"/>
    <w:qFormat/>
    <w:rsid w:val="002C11AF"/>
    <w:pPr>
      <w:tabs>
        <w:tab w:val="left" w:pos="662"/>
        <w:tab w:val="left" w:pos="1267"/>
        <w:tab w:val="left" w:pos="1987"/>
        <w:tab w:val="left" w:pos="2650"/>
      </w:tabs>
      <w:ind w:right="1264"/>
    </w:pPr>
  </w:style>
  <w:style w:type="paragraph" w:customStyle="1" w:styleId="AgendaItemNormal">
    <w:name w:val="Agenda_Item_Normal"/>
    <w:next w:val="Normal"/>
    <w:qFormat/>
    <w:rsid w:val="002C11AF"/>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2C11AF"/>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2C11AF"/>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2C11A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2C11AF"/>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2C11AF"/>
    <w:rPr>
      <w:i w:val="0"/>
      <w:color w:val="0000FF"/>
      <w:u w:val="none"/>
    </w:rPr>
  </w:style>
  <w:style w:type="paragraph" w:customStyle="1" w:styleId="Bullet1">
    <w:name w:val="Bullet 1"/>
    <w:basedOn w:val="Normal"/>
    <w:qFormat/>
    <w:rsid w:val="002C11AF"/>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2C11AF"/>
    <w:pPr>
      <w:numPr>
        <w:numId w:val="14"/>
      </w:numPr>
      <w:spacing w:after="120" w:line="360" w:lineRule="exact"/>
      <w:ind w:right="1264"/>
    </w:pPr>
    <w:rPr>
      <w:kern w:val="14"/>
      <w:szCs w:val="28"/>
    </w:rPr>
  </w:style>
  <w:style w:type="paragraph" w:customStyle="1" w:styleId="Bullet3">
    <w:name w:val="Bullet 3"/>
    <w:basedOn w:val="SingleTxt"/>
    <w:qFormat/>
    <w:rsid w:val="002C11AF"/>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2C11AF"/>
    <w:pPr>
      <w:ind w:right="5760"/>
      <w:outlineLvl w:val="1"/>
    </w:pPr>
    <w:rPr>
      <w:spacing w:val="2"/>
      <w:sz w:val="20"/>
      <w:szCs w:val="28"/>
    </w:rPr>
  </w:style>
  <w:style w:type="paragraph" w:customStyle="1" w:styleId="STitleM">
    <w:name w:val="S_Title_M"/>
    <w:basedOn w:val="Normal"/>
    <w:next w:val="Normal"/>
    <w:qFormat/>
    <w:rsid w:val="002C11AF"/>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2C11AF"/>
    <w:pPr>
      <w:spacing w:line="600" w:lineRule="exact"/>
      <w:ind w:left="1267" w:right="1267"/>
    </w:pPr>
    <w:rPr>
      <w:w w:val="103"/>
      <w:sz w:val="60"/>
      <w:szCs w:val="60"/>
    </w:rPr>
  </w:style>
  <w:style w:type="paragraph" w:customStyle="1" w:styleId="STitleL">
    <w:name w:val="S_Title_L"/>
    <w:basedOn w:val="XLarge"/>
    <w:next w:val="Normal"/>
    <w:qFormat/>
    <w:rsid w:val="002C11AF"/>
    <w:rPr>
      <w:spacing w:val="-8"/>
      <w:w w:val="96"/>
      <w:sz w:val="57"/>
    </w:rPr>
  </w:style>
  <w:style w:type="paragraph" w:styleId="CommentText">
    <w:name w:val="annotation text"/>
    <w:basedOn w:val="Normal"/>
    <w:link w:val="CommentTextChar"/>
    <w:uiPriority w:val="99"/>
    <w:unhideWhenUsed/>
    <w:rsid w:val="002C11AF"/>
    <w:pPr>
      <w:spacing w:line="240" w:lineRule="auto"/>
    </w:pPr>
    <w:rPr>
      <w:kern w:val="14"/>
    </w:rPr>
  </w:style>
  <w:style w:type="character" w:customStyle="1" w:styleId="CommentTextChar">
    <w:name w:val="Comment Text Char"/>
    <w:basedOn w:val="DefaultParagraphFont"/>
    <w:link w:val="CommentText"/>
    <w:uiPriority w:val="99"/>
    <w:rsid w:val="002C11AF"/>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2C11AF"/>
    <w:rPr>
      <w:b/>
      <w:bCs/>
    </w:rPr>
  </w:style>
  <w:style w:type="character" w:customStyle="1" w:styleId="CommentSubjectChar">
    <w:name w:val="Comment Subject Char"/>
    <w:basedOn w:val="CommentTextChar"/>
    <w:link w:val="CommentSubject"/>
    <w:uiPriority w:val="99"/>
    <w:semiHidden/>
    <w:rsid w:val="002C11AF"/>
    <w:rPr>
      <w:rFonts w:ascii="Times New Roman" w:eastAsia="PMingLiU" w:hAnsi="Times New Roman" w:cs="Simplified Arabic"/>
      <w:b/>
      <w:bCs/>
      <w:kern w:val="14"/>
      <w:sz w:val="20"/>
    </w:rPr>
  </w:style>
  <w:style w:type="paragraph" w:customStyle="1" w:styleId="Bullet1G">
    <w:name w:val="_Bullet 1_G"/>
    <w:basedOn w:val="Normal"/>
    <w:qFormat/>
    <w:rsid w:val="002C11AF"/>
    <w:pPr>
      <w:numPr>
        <w:numId w:val="16"/>
      </w:numPr>
      <w:bidi w:val="0"/>
      <w:spacing w:after="120"/>
      <w:ind w:right="1134"/>
      <w:jc w:val="both"/>
    </w:pPr>
    <w:rPr>
      <w:sz w:val="22"/>
    </w:rPr>
  </w:style>
  <w:style w:type="character" w:customStyle="1" w:styleId="SingleTxtGChar">
    <w:name w:val="_ Single Txt_G Char"/>
    <w:link w:val="SingleTxtG"/>
    <w:rsid w:val="002C11AF"/>
    <w:rPr>
      <w:rFonts w:ascii="Times New Roman" w:eastAsia="PMingLiU" w:hAnsi="Times New Roman" w:cs="Simplified Arabic"/>
      <w:sz w:val="20"/>
      <w:szCs w:val="20"/>
      <w:lang w:val="en-GB"/>
    </w:rPr>
  </w:style>
  <w:style w:type="paragraph" w:customStyle="1" w:styleId="Preparedby">
    <w:name w:val="Prepared by:"/>
    <w:basedOn w:val="H23GA"/>
    <w:qFormat/>
    <w:rsid w:val="002C11AF"/>
    <w:rPr>
      <w:sz w:val="32"/>
      <w:szCs w:val="32"/>
    </w:rPr>
  </w:style>
  <w:style w:type="paragraph" w:customStyle="1" w:styleId="ParaNoG">
    <w:name w:val="_ParaNo._G"/>
    <w:basedOn w:val="SingleTxtG"/>
    <w:rsid w:val="002C11AF"/>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2C11AF"/>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2C11AF"/>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2C11AF"/>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2C11A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2C11AF"/>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2C11A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2C11AF"/>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2C11AF"/>
    <w:pPr>
      <w:spacing w:after="0" w:line="240" w:lineRule="auto"/>
    </w:pPr>
    <w:rPr>
      <w:rFonts w:eastAsiaTheme="minorEastAsia"/>
      <w:sz w:val="24"/>
      <w:szCs w:val="24"/>
      <w:lang w:val="fr-FR" w:eastAsia="fr-FR"/>
    </w:rPr>
  </w:style>
  <w:style w:type="paragraph" w:customStyle="1" w:styleId="Default">
    <w:name w:val="Default"/>
    <w:semiHidden/>
    <w:rsid w:val="002C11AF"/>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2C11AF"/>
  </w:style>
  <w:style w:type="character" w:customStyle="1" w:styleId="preferred">
    <w:name w:val="preferred"/>
    <w:basedOn w:val="DefaultParagraphFont"/>
    <w:rsid w:val="002C11AF"/>
  </w:style>
  <w:style w:type="character" w:customStyle="1" w:styleId="admitted">
    <w:name w:val="admitted"/>
    <w:basedOn w:val="DefaultParagraphFont"/>
    <w:rsid w:val="002C11AF"/>
  </w:style>
  <w:style w:type="character" w:customStyle="1" w:styleId="HChGChar">
    <w:name w:val="_ H _Ch_G Char"/>
    <w:link w:val="HChG"/>
    <w:rsid w:val="00B672BA"/>
    <w:rPr>
      <w:rFonts w:ascii="Times New Roman" w:eastAsia="PMingLiU" w:hAnsi="Times New Roman" w:cs="Simplified Arabic"/>
      <w:b/>
      <w:sz w:val="28"/>
      <w:szCs w:val="20"/>
      <w:lang w:val="en-GB"/>
    </w:rPr>
  </w:style>
  <w:style w:type="character" w:customStyle="1" w:styleId="H1GChar">
    <w:name w:val="_ H_1_G Char"/>
    <w:link w:val="H1G"/>
    <w:locked/>
    <w:rsid w:val="00B672BA"/>
    <w:rPr>
      <w:rFonts w:ascii="Times New Roman" w:eastAsia="PMingLiU" w:hAnsi="Times New Roman" w:cs="Simplified Arabic"/>
      <w:b/>
      <w:sz w:val="24"/>
      <w:szCs w:val="20"/>
      <w:lang w:val="en-GB"/>
    </w:rPr>
  </w:style>
  <w:style w:type="character" w:customStyle="1" w:styleId="H23GChar">
    <w:name w:val="_ H_2/3_G Char"/>
    <w:link w:val="H23G"/>
    <w:locked/>
    <w:rsid w:val="00B672BA"/>
    <w:rPr>
      <w:rFonts w:ascii="Times New Roman" w:eastAsia="PMingLiU" w:hAnsi="Times New Roman" w:cs="Simplified Arabic"/>
      <w:b/>
      <w:sz w:val="20"/>
      <w:szCs w:val="20"/>
      <w:lang w:val="en-GB"/>
    </w:rPr>
  </w:style>
  <w:style w:type="paragraph" w:customStyle="1" w:styleId="4GCharChar">
    <w:name w:val="4_G Char Char"/>
    <w:aliases w:val="4_G Char Char Char,Heading 2 Char Char Char Char Char1 Char Char Char Char,Heading 2 Char1 Char Char Char Char Char,Heading 2 Char2 Char Char Char Char Char Char,ftref Char Char,ftref Char Char Char Char,ftref Char Char Char Char Char"/>
    <w:basedOn w:val="Normal"/>
    <w:link w:val="FootnoteReference"/>
    <w:rsid w:val="00B672BA"/>
    <w:pPr>
      <w:bidi w:val="0"/>
      <w:spacing w:after="160" w:line="240" w:lineRule="exact"/>
      <w:jc w:val="left"/>
    </w:pPr>
    <w:rPr>
      <w:rFonts w:asciiTheme="minorHAnsi" w:eastAsia="Times New Roman" w:hAnsiTheme="minorHAnsi" w:cstheme="minorBidi"/>
      <w:sz w:val="22"/>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A/70/56" TargetMode="External"/><Relationship Id="rId3" Type="http://schemas.openxmlformats.org/officeDocument/2006/relationships/hyperlink" Target="https://undocs.org/ar/CED/C/SR.404" TargetMode="External"/><Relationship Id="rId7" Type="http://schemas.openxmlformats.org/officeDocument/2006/relationships/hyperlink" Target="https://undocs.org/ar/CED/C/7" TargetMode="External"/><Relationship Id="rId2" Type="http://schemas.openxmlformats.org/officeDocument/2006/relationships/hyperlink" Target="https://undocs.org/ar/CED/C/SR.403" TargetMode="External"/><Relationship Id="rId1" Type="http://schemas.openxmlformats.org/officeDocument/2006/relationships/hyperlink" Target="https://undocs.org/ar/CED/C/MLI/1" TargetMode="External"/><Relationship Id="rId6" Type="http://schemas.openxmlformats.org/officeDocument/2006/relationships/hyperlink" Target="https://undocs.org/ar/CED/C/MLI/RQ/1" TargetMode="External"/><Relationship Id="rId11" Type="http://schemas.openxmlformats.org/officeDocument/2006/relationships/hyperlink" Target="https://undocs.org/ar/CED/C/2" TargetMode="External"/><Relationship Id="rId5" Type="http://schemas.openxmlformats.org/officeDocument/2006/relationships/hyperlink" Target="https://undocs.org/ar/CED/C/MLI/Q/1" TargetMode="External"/><Relationship Id="rId10" Type="http://schemas.openxmlformats.org/officeDocument/2006/relationships/hyperlink" Target="https://www.ohchr.org/fr/press-releases/2022/08/mali-un-expert-gravely-concerned-deterioration-security-and-human-rights" TargetMode="External"/><Relationship Id="rId4" Type="http://schemas.openxmlformats.org/officeDocument/2006/relationships/hyperlink" Target="https://undocs.org/ar/CED/C/MLI/RQ/1" TargetMode="External"/><Relationship Id="rId9" Type="http://schemas.openxmlformats.org/officeDocument/2006/relationships/hyperlink" Target="https://undocs.org/ar/CEDAW/C/MLI/CO/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4013</Words>
  <Characters>21917</Characters>
  <Application>Microsoft Office Word</Application>
  <DocSecurity>0</DocSecurity>
  <Lines>347</Lines>
  <Paragraphs>110</Paragraphs>
  <ScaleCrop>false</ScaleCrop>
  <HeadingPairs>
    <vt:vector size="2" baseType="variant">
      <vt:variant>
        <vt:lpstr>Title</vt:lpstr>
      </vt:variant>
      <vt:variant>
        <vt:i4>1</vt:i4>
      </vt:variant>
    </vt:vector>
  </HeadingPairs>
  <TitlesOfParts>
    <vt:vector size="1" baseType="lpstr">
      <vt:lpstr>CED/C/MLI/CO/1</vt:lpstr>
    </vt:vector>
  </TitlesOfParts>
  <Company>DCM</Company>
  <LinksUpToDate>false</LinksUpToDate>
  <CharactersWithSpaces>25820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CED/C/MLI/CO/1</dc:title>
  <dc:subject>GE.2215921(A)</dc:subject>
  <dc:creator>Ihab RIZ - </dc:creator>
  <cp:keywords>GE.(A)</cp:keywords>
  <dc:description>General_x000d_
_x000d_
Arabic_x000d_
English</dc:description>
  <cp:lastModifiedBy>Jamila Chedad</cp:lastModifiedBy>
  <cp:revision>3</cp:revision>
  <cp:lastPrinted>2022-12-20T14:48:00Z</cp:lastPrinted>
  <dcterms:created xsi:type="dcterms:W3CDTF">2022-12-20T14:48:00Z</dcterms:created>
  <dcterms:modified xsi:type="dcterms:W3CDTF">2022-12-20T14:49:00Z</dcterms:modified>
</cp:coreProperties>
</file>