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395825522" r:id="rId8"/>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 xml:space="preserve">Convención sobre los Derechos del Niño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 xml:space="preserve">CRC  </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r>
      <w:r>
        <w:rPr>
          <w:sz w:val="22"/>
          <w:lang w:val="es-ES_tradnl"/>
        </w:rPr>
        <w:t>Distr</w:t>
      </w:r>
      <w:r>
        <w:rPr>
          <w:lang w:val="es-ES_tradnl"/>
        </w:rPr>
        <w:t>.</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CRC/C/SR.557</w:t>
      </w:r>
    </w:p>
    <w:p w:rsidR="00000000" w:rsidRDefault="00000000">
      <w:pPr>
        <w:tabs>
          <w:tab w:val="left" w:pos="6840"/>
        </w:tabs>
        <w:rPr>
          <w:sz w:val="22"/>
          <w:lang w:val="pt-PT"/>
        </w:rPr>
      </w:pPr>
      <w:r>
        <w:rPr>
          <w:sz w:val="22"/>
          <w:lang w:val="pt-PT"/>
        </w:rPr>
        <w:tab/>
        <w:t>9 de junio de 1999</w:t>
      </w:r>
    </w:p>
    <w:p w:rsidR="00000000" w:rsidRDefault="00000000">
      <w:pPr>
        <w:tabs>
          <w:tab w:val="left" w:pos="6840"/>
        </w:tabs>
        <w:rPr>
          <w:sz w:val="22"/>
          <w:lang w:val="pt-PT"/>
        </w:rPr>
      </w:pPr>
    </w:p>
    <w:p w:rsidR="00000000" w:rsidRDefault="00000000">
      <w:pPr>
        <w:tabs>
          <w:tab w:val="left" w:pos="6840"/>
        </w:tabs>
        <w:rPr>
          <w:sz w:val="22"/>
          <w:lang w:val="es-ES_tradnl"/>
        </w:rPr>
      </w:pPr>
      <w:r>
        <w:rPr>
          <w:sz w:val="22"/>
          <w:lang w:val="pt-PT"/>
        </w:rPr>
        <w:tab/>
      </w:r>
      <w:r>
        <w:rPr>
          <w:sz w:val="22"/>
          <w:lang w:val="es-ES_tradnl"/>
        </w:rPr>
        <w:t>ESPAÑOL</w:t>
      </w:r>
    </w:p>
    <w:p w:rsidR="00000000" w:rsidRDefault="00000000">
      <w:pPr>
        <w:tabs>
          <w:tab w:val="left" w:pos="6840"/>
        </w:tabs>
        <w:rPr>
          <w:sz w:val="22"/>
          <w:lang w:val="es-ES_tradnl"/>
        </w:rPr>
      </w:pPr>
      <w:r>
        <w:rPr>
          <w:sz w:val="22"/>
          <w:lang w:val="es-ES_tradnl"/>
        </w:rPr>
        <w:tab/>
        <w:t>Original:  INGLÉS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21º período de sesiones</w:t>
      </w:r>
    </w:p>
    <w:p w:rsidR="00000000" w:rsidRDefault="00000000">
      <w:pPr>
        <w:jc w:val="center"/>
        <w:rPr>
          <w:sz w:val="22"/>
        </w:rPr>
      </w:pPr>
    </w:p>
    <w:p w:rsidR="00000000" w:rsidRDefault="00000000">
      <w:pPr>
        <w:pStyle w:val="Header"/>
        <w:jc w:val="center"/>
      </w:pPr>
      <w:r>
        <w:t>ACTA RESUMIDA DE LA SEGUNDA PARTE (PÚBLICA)* DE LA 557ª SESIÓN</w:t>
      </w:r>
    </w:p>
    <w:p w:rsidR="00000000" w:rsidRDefault="00000000">
      <w:pPr>
        <w:pStyle w:val="Header"/>
        <w:jc w:val="center"/>
      </w:pPr>
      <w:r>
        <w:t xml:space="preserve"> </w:t>
      </w:r>
    </w:p>
    <w:p w:rsidR="00000000" w:rsidRDefault="00000000">
      <w:pPr>
        <w:pStyle w:val="Header"/>
        <w:jc w:val="center"/>
      </w:pPr>
      <w:r>
        <w:t>celebrada en el Palacio de las Naciones, Ginebra,</w:t>
      </w:r>
    </w:p>
    <w:p w:rsidR="00000000" w:rsidRDefault="00000000">
      <w:pPr>
        <w:pStyle w:val="Header"/>
        <w:jc w:val="center"/>
      </w:pPr>
      <w:r>
        <w:t>el viernes 4 de junio de 1999, a las 10.30 horas</w:t>
      </w:r>
    </w:p>
    <w:p w:rsidR="00000000" w:rsidRDefault="00000000">
      <w:pPr>
        <w:pStyle w:val="Header"/>
        <w:jc w:val="center"/>
      </w:pPr>
    </w:p>
    <w:p w:rsidR="00000000" w:rsidRDefault="00000000">
      <w:pPr>
        <w:pStyle w:val="Header"/>
        <w:jc w:val="center"/>
      </w:pPr>
      <w:r>
        <w:rPr>
          <w:u w:val="single"/>
        </w:rPr>
        <w:t>Presidenta</w:t>
      </w:r>
      <w:r>
        <w:t>:   Sra. MBOI</w:t>
      </w:r>
    </w:p>
    <w:p w:rsidR="00000000" w:rsidRDefault="00000000">
      <w:pPr>
        <w:pStyle w:val="Header"/>
        <w:jc w:val="center"/>
      </w:pPr>
    </w:p>
    <w:p w:rsidR="00000000" w:rsidRDefault="00000000">
      <w:pPr>
        <w:pStyle w:val="Header"/>
        <w:jc w:val="center"/>
      </w:pPr>
    </w:p>
    <w:p w:rsidR="00000000" w:rsidRDefault="00000000">
      <w:pPr>
        <w:pStyle w:val="Header"/>
        <w:jc w:val="center"/>
      </w:pPr>
      <w:r>
        <w:t>SUMARIO</w:t>
      </w:r>
    </w:p>
    <w:p w:rsidR="00000000" w:rsidRDefault="00000000">
      <w:pPr>
        <w:pStyle w:val="Header"/>
        <w:jc w:val="center"/>
      </w:pPr>
    </w:p>
    <w:p w:rsidR="00000000" w:rsidRDefault="00000000">
      <w:pPr>
        <w:pStyle w:val="Header"/>
      </w:pPr>
      <w:r>
        <w:t>APROBACIÓN DEL INFORME DEL COMITÉ SOBRE SU 21º PERÍODO DE SESIONES</w:t>
      </w:r>
    </w:p>
    <w:p w:rsidR="00000000" w:rsidRDefault="00000000">
      <w:pPr>
        <w:pStyle w:val="Header"/>
      </w:pPr>
    </w:p>
    <w:p w:rsidR="00000000" w:rsidRDefault="00000000">
      <w:pPr>
        <w:pStyle w:val="Header"/>
      </w:pPr>
      <w:r>
        <w:t>CLAUSURA DEL PERÍODO DE SESIONES</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22"/>
        </w:rPr>
        <w:t>____________________</w:t>
      </w:r>
    </w:p>
    <w:p w:rsidR="00000000" w:rsidRDefault="00000000">
      <w:pPr>
        <w:rPr>
          <w:sz w:val="22"/>
        </w:rPr>
      </w:pPr>
    </w:p>
    <w:p w:rsidR="00000000" w:rsidRDefault="00000000">
      <w:pPr>
        <w:pStyle w:val="FootnoteText"/>
        <w:spacing w:after="0" w:line="240" w:lineRule="auto"/>
        <w:rPr>
          <w:sz w:val="22"/>
        </w:rPr>
      </w:pPr>
      <w:r>
        <w:rPr>
          <w:sz w:val="22"/>
        </w:rPr>
        <w:tab/>
        <w:t>*</w:t>
      </w:r>
      <w:r>
        <w:rPr>
          <w:sz w:val="22"/>
        </w:rPr>
        <w:tab/>
        <w:t>No se levantaron actas resumidas de las sesiones 553ª a 556ª, ni de la primera parte (privada) de la 557ª sesión.</w:t>
      </w:r>
    </w:p>
    <w:p w:rsidR="00000000" w:rsidRDefault="00000000">
      <w:pPr>
        <w:rPr>
          <w:sz w:val="22"/>
        </w:rPr>
      </w:pPr>
      <w:r>
        <w:rPr>
          <w:sz w:val="22"/>
        </w:rPr>
        <w:t>____________________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rPr>
          <w:sz w:val="22"/>
        </w:rPr>
      </w:pPr>
    </w:p>
    <w:p w:rsidR="00000000" w:rsidRDefault="00000000">
      <w:pPr>
        <w:rPr>
          <w:sz w:val="22"/>
          <w:lang w:val="en-GB"/>
        </w:rPr>
      </w:pPr>
      <w:r>
        <w:rPr>
          <w:sz w:val="22"/>
          <w:lang w:val="en-GB"/>
        </w:rPr>
        <w:t>GE.99-42272  (EXT)</w:t>
      </w:r>
    </w:p>
    <w:p w:rsidR="00000000" w:rsidRDefault="00000000">
      <w:pPr>
        <w:rPr>
          <w:sz w:val="22"/>
          <w:lang w:val="en-GB"/>
        </w:rPr>
      </w:pPr>
      <w:r>
        <w:rPr>
          <w:sz w:val="22"/>
          <w:lang w:val="en-GB"/>
        </w:rPr>
        <w:tab/>
      </w:r>
    </w:p>
    <w:p w:rsidR="00000000" w:rsidRDefault="00000000">
      <w:pPr>
        <w:pStyle w:val="Header"/>
        <w:jc w:val="center"/>
      </w:pPr>
      <w:r>
        <w:br w:type="page"/>
      </w:r>
      <w:r>
        <w:rPr>
          <w:u w:val="single"/>
        </w:rPr>
        <w:t>El debate abarcado por el acta resumida se inicia a las 11.30 horas</w:t>
      </w:r>
      <w:r>
        <w:t>.</w:t>
      </w:r>
    </w:p>
    <w:p w:rsidR="00000000" w:rsidRDefault="00000000">
      <w:pPr>
        <w:pStyle w:val="Header"/>
      </w:pPr>
    </w:p>
    <w:p w:rsidR="00000000" w:rsidRDefault="00000000">
      <w:pPr>
        <w:pStyle w:val="Header"/>
      </w:pPr>
      <w:r>
        <w:t>APROBACIÓN DEL INFORME DEL COMITÉ SOBRE SU 21º PERÍODO DE SESIONES (CRC/C/87)</w:t>
      </w:r>
    </w:p>
    <w:p w:rsidR="00000000" w:rsidRDefault="00000000">
      <w:pPr>
        <w:pStyle w:val="Header"/>
      </w:pPr>
    </w:p>
    <w:p w:rsidR="00000000" w:rsidRDefault="00000000">
      <w:pPr>
        <w:rPr>
          <w:sz w:val="22"/>
        </w:rPr>
      </w:pPr>
      <w:r>
        <w:rPr>
          <w:sz w:val="22"/>
        </w:rPr>
        <w:t>1.</w:t>
      </w:r>
      <w:r>
        <w:rPr>
          <w:sz w:val="22"/>
        </w:rPr>
        <w:tab/>
        <w:t xml:space="preserve">La </w:t>
      </w:r>
      <w:r>
        <w:rPr>
          <w:sz w:val="22"/>
          <w:u w:val="single"/>
        </w:rPr>
        <w:t>PRESIDENTA</w:t>
      </w:r>
      <w:r>
        <w:rPr>
          <w:sz w:val="22"/>
        </w:rPr>
        <w:t xml:space="preserve"> dice que con su nueva composición el Comité está equipado mejor que nunca para dar un enfoque holístico a la Convención.  Las delegaciones, los observadores y las organizaciones no gubernamentales también han aportado contribuciones destacadas a la labor del período de sesiones.  En consecuencia, en opinión del Comité el 21º período de sesiones ha sido uno de los más interesantes e informativos que jamás haya celebrado.  Las delegaciones han sido de una impresionante calidad, y han estado sumamente dispuestas a intercambiar ideas con el Comité, conscientes de sus responsabilidades en virtud de la Convención y dedicadas a adelantar la causa de los niños y sus derechos.  Las circunstancias, prioridades y culturas nacionales facilitan en algunos casos, y en otros entorpecen, la plena e imparcial aplicación de la Convención.  Por lo tanto, el Comité confía en que sus preguntas, sugerencias y recomendaciones alienten y apoyen a los Estados miembros en el proceso de promoción de los derechos del niño en todas partes.</w:t>
      </w:r>
    </w:p>
    <w:p w:rsidR="00000000" w:rsidRDefault="00000000">
      <w:pPr>
        <w:pStyle w:val="Header"/>
      </w:pPr>
    </w:p>
    <w:p w:rsidR="00000000" w:rsidRDefault="00000000">
      <w:pPr>
        <w:pStyle w:val="Header"/>
      </w:pPr>
      <w:r>
        <w:t>2.</w:t>
      </w:r>
      <w:r>
        <w:tab/>
        <w:t>Invita al Comité a que considere la aprobación del informe sobre su 21º período de sesiones (CRC/C/87).  El capítulo I del informe se titula "Cuestiones de organización y otras cuestiones".</w:t>
      </w:r>
    </w:p>
    <w:p w:rsidR="00000000" w:rsidRDefault="00000000">
      <w:pPr>
        <w:pStyle w:val="Header"/>
      </w:pPr>
    </w:p>
    <w:p w:rsidR="00000000" w:rsidRDefault="00000000">
      <w:pPr>
        <w:pStyle w:val="Header"/>
      </w:pPr>
      <w:r>
        <w:t>3.</w:t>
      </w:r>
      <w:r>
        <w:tab/>
        <w:t>De no haber objeciones, considera que el Comité desea aprobar el capítulo I del informe.</w:t>
      </w:r>
    </w:p>
    <w:p w:rsidR="00000000" w:rsidRDefault="00000000">
      <w:pPr>
        <w:pStyle w:val="Header"/>
      </w:pPr>
    </w:p>
    <w:p w:rsidR="00000000" w:rsidRDefault="00000000">
      <w:pPr>
        <w:pStyle w:val="Header"/>
      </w:pPr>
      <w:r>
        <w:t>4.</w:t>
      </w:r>
      <w:r>
        <w:tab/>
      </w:r>
      <w:r>
        <w:rPr>
          <w:u w:val="single"/>
        </w:rPr>
        <w:t>Queda aprobado el capítulo I del informe</w:t>
      </w:r>
      <w:r>
        <w:t>.</w:t>
      </w:r>
    </w:p>
    <w:p w:rsidR="00000000" w:rsidRDefault="00000000">
      <w:pPr>
        <w:pStyle w:val="Header"/>
      </w:pPr>
    </w:p>
    <w:p w:rsidR="00000000" w:rsidRDefault="00000000">
      <w:pPr>
        <w:pStyle w:val="Header"/>
      </w:pPr>
      <w:r>
        <w:t>5.</w:t>
      </w:r>
      <w:r>
        <w:tab/>
        <w:t xml:space="preserve">La </w:t>
      </w:r>
      <w:r>
        <w:rPr>
          <w:u w:val="single"/>
        </w:rPr>
        <w:t>PRESIDENTA</w:t>
      </w:r>
      <w:r>
        <w:t xml:space="preserve"> invita al Comité a que considere el capítulo III del informe, titulado "Panorama general de las demás actividades del Comité".  Refiriéndose a la sección D, recuerda a los miembros que se ha convenido en aplazar el próximo debate temático del Comité hasta el año 2000, y celebrar una reunión de dos días de duración en el 22º período de sesiones, titulada:  "La Convención sobre los Derechos del Niño:  un decenio de logros y desafíos".  En el anexo IV del informe figuran los pormenores de la próxima reunión.</w:t>
      </w:r>
    </w:p>
    <w:p w:rsidR="00000000" w:rsidRDefault="00000000">
      <w:pPr>
        <w:pStyle w:val="Header"/>
      </w:pPr>
    </w:p>
    <w:p w:rsidR="00000000" w:rsidRDefault="00000000">
      <w:pPr>
        <w:pStyle w:val="Header"/>
      </w:pPr>
      <w:r>
        <w:t>6.</w:t>
      </w:r>
      <w:r>
        <w:tab/>
        <w:t>De no haber objeciones, considera que el Comité desea aprobar el capítulo III del informe.</w:t>
      </w:r>
    </w:p>
    <w:p w:rsidR="00000000" w:rsidRDefault="00000000">
      <w:pPr>
        <w:pStyle w:val="Header"/>
      </w:pPr>
    </w:p>
    <w:p w:rsidR="00000000" w:rsidRDefault="00000000">
      <w:pPr>
        <w:pStyle w:val="Header"/>
      </w:pPr>
      <w:r>
        <w:t>7.</w:t>
      </w:r>
      <w:r>
        <w:tab/>
      </w:r>
      <w:r>
        <w:rPr>
          <w:u w:val="single"/>
        </w:rPr>
        <w:t>Queda aprobado el capítulo III del informe</w:t>
      </w:r>
      <w:r>
        <w:t>.</w:t>
      </w:r>
    </w:p>
    <w:p w:rsidR="00000000" w:rsidRDefault="00000000">
      <w:pPr>
        <w:pStyle w:val="Header"/>
      </w:pPr>
    </w:p>
    <w:p w:rsidR="00000000" w:rsidRDefault="00000000">
      <w:pPr>
        <w:pStyle w:val="Header"/>
      </w:pPr>
      <w:r>
        <w:t>8.</w:t>
      </w:r>
      <w:r>
        <w:tab/>
        <w:t xml:space="preserve">La </w:t>
      </w:r>
      <w:r>
        <w:rPr>
          <w:u w:val="single"/>
        </w:rPr>
        <w:t>PRESIDENTA</w:t>
      </w:r>
      <w:r>
        <w:t xml:space="preserve"> invita al Comité a que examine el proyecto de programa provisional para su siguiente período de sesiones, que figura en el capítulo IV del informe.</w:t>
      </w:r>
    </w:p>
    <w:p w:rsidR="00000000" w:rsidRDefault="00000000">
      <w:pPr>
        <w:pStyle w:val="Header"/>
      </w:pPr>
    </w:p>
    <w:p w:rsidR="00000000" w:rsidRDefault="00000000">
      <w:pPr>
        <w:pStyle w:val="Header"/>
      </w:pPr>
      <w:r>
        <w:t>9.</w:t>
      </w:r>
      <w:r>
        <w:tab/>
      </w:r>
      <w:r>
        <w:rPr>
          <w:u w:val="single"/>
        </w:rPr>
        <w:t>Queda aprobado el proyecto de programa provisional para el 22º período de sesiones</w:t>
      </w:r>
      <w:r>
        <w:t>.</w:t>
      </w:r>
    </w:p>
    <w:p w:rsidR="00000000" w:rsidRDefault="00000000">
      <w:pPr>
        <w:pStyle w:val="Header"/>
      </w:pPr>
    </w:p>
    <w:p w:rsidR="00000000" w:rsidRDefault="00000000">
      <w:pPr>
        <w:pStyle w:val="Header"/>
      </w:pPr>
      <w:r>
        <w:t>10.</w:t>
      </w:r>
      <w:r>
        <w:tab/>
        <w:t xml:space="preserve">La </w:t>
      </w:r>
      <w:r>
        <w:rPr>
          <w:u w:val="single"/>
        </w:rPr>
        <w:t>PRESIDENTA</w:t>
      </w:r>
      <w:r>
        <w:t xml:space="preserve"> invita al Relator a que presente el capítulo II del informe, titulado "Informes presentados por los Estados Partes en virtud del artículo 44 de la Convención", que contiene el proyecto de observaciones finales del Comité sobre los informes de Barbados, Saint Kitts y Nevis, Honduras, Benin, el Chad y Nicaragua.</w:t>
      </w:r>
    </w:p>
    <w:p w:rsidR="00000000" w:rsidRDefault="00000000">
      <w:pPr>
        <w:pStyle w:val="Header"/>
      </w:pPr>
    </w:p>
    <w:p w:rsidR="00000000" w:rsidRDefault="00000000">
      <w:pPr>
        <w:pStyle w:val="Header"/>
      </w:pPr>
      <w:r>
        <w:t>11.</w:t>
      </w:r>
      <w:r>
        <w:tab/>
        <w:t xml:space="preserve">El </w:t>
      </w:r>
      <w:r>
        <w:rPr>
          <w:u w:val="single"/>
        </w:rPr>
        <w:t>Sr. DOEK</w:t>
      </w:r>
      <w:r>
        <w:t xml:space="preserve"> (Relator) pone de relieve los puntos más destacados de las observaciones finales del Comité sobre los informes presentados por los Estados Partes.</w:t>
      </w:r>
    </w:p>
    <w:p w:rsidR="00000000" w:rsidRDefault="00000000">
      <w:pPr>
        <w:pStyle w:val="Header"/>
        <w:rPr>
          <w:u w:val="single"/>
        </w:rPr>
      </w:pPr>
    </w:p>
    <w:p w:rsidR="00000000" w:rsidRDefault="00000000">
      <w:pPr>
        <w:pStyle w:val="Header"/>
      </w:pPr>
      <w:r>
        <w:rPr>
          <w:u w:val="single"/>
        </w:rPr>
        <w:t>Observaciones finales del Comité de los Derechos del Niño:  Barbados</w:t>
      </w:r>
      <w:r>
        <w:t xml:space="preserve"> (CRC/C/15/Add.103)</w:t>
      </w:r>
    </w:p>
    <w:p w:rsidR="00000000" w:rsidRDefault="00000000">
      <w:pPr>
        <w:pStyle w:val="Header"/>
      </w:pPr>
    </w:p>
    <w:p w:rsidR="00000000" w:rsidRDefault="00000000">
      <w:pPr>
        <w:pStyle w:val="Header"/>
      </w:pPr>
      <w:r>
        <w:t>12.</w:t>
      </w:r>
      <w:r>
        <w:tab/>
      </w:r>
      <w:r>
        <w:rPr>
          <w:u w:val="single"/>
        </w:rPr>
        <w:t>Quedan aprobadas las observaciones finales sobre el informe inicial de Barbados (CRC/C/3/Add.45)</w:t>
      </w:r>
      <w:r>
        <w:t>.</w:t>
      </w:r>
    </w:p>
    <w:p w:rsidR="00000000" w:rsidRDefault="00000000">
      <w:pPr>
        <w:pStyle w:val="Header"/>
      </w:pPr>
    </w:p>
    <w:p w:rsidR="00000000" w:rsidRDefault="00000000">
      <w:pPr>
        <w:pStyle w:val="Header"/>
        <w:keepNext/>
        <w:keepLines/>
      </w:pPr>
      <w:r>
        <w:rPr>
          <w:u w:val="single"/>
        </w:rPr>
        <w:t>Observaciones finales del Comité de los Derechos del Niño:  Saint Kitts y Nevis</w:t>
      </w:r>
      <w:r>
        <w:t xml:space="preserve"> (CRC/C/15/Add.104)</w:t>
      </w:r>
    </w:p>
    <w:p w:rsidR="00000000" w:rsidRDefault="00000000">
      <w:pPr>
        <w:pStyle w:val="Header"/>
        <w:keepNext/>
        <w:keepLines/>
        <w:rPr>
          <w:u w:val="single"/>
        </w:rPr>
      </w:pPr>
    </w:p>
    <w:p w:rsidR="00000000" w:rsidRDefault="00000000">
      <w:pPr>
        <w:pStyle w:val="Header"/>
        <w:keepNext/>
        <w:keepLines/>
      </w:pPr>
      <w:r>
        <w:t>13.</w:t>
      </w:r>
      <w:r>
        <w:tab/>
      </w:r>
      <w:r>
        <w:rPr>
          <w:u w:val="single"/>
        </w:rPr>
        <w:t>Quedan aprobadas las observaciones finales sobre el informe inicial de Saint Kitts y Nevis (CRC/C/3/Add.51)</w:t>
      </w:r>
      <w:r>
        <w:t>.</w:t>
      </w:r>
    </w:p>
    <w:p w:rsidR="00000000" w:rsidRDefault="00000000">
      <w:pPr>
        <w:pStyle w:val="Header"/>
      </w:pPr>
    </w:p>
    <w:p w:rsidR="00000000" w:rsidRDefault="00000000">
      <w:pPr>
        <w:pStyle w:val="Header"/>
      </w:pPr>
      <w:r>
        <w:rPr>
          <w:u w:val="single"/>
        </w:rPr>
        <w:t>Observaciones finales del Comité de los Derechos del Niño:  Honduras</w:t>
      </w:r>
      <w:r>
        <w:t xml:space="preserve"> (CRC/C/15/Add.105)</w:t>
      </w:r>
    </w:p>
    <w:p w:rsidR="00000000" w:rsidRDefault="00000000">
      <w:pPr>
        <w:pStyle w:val="Header"/>
        <w:rPr>
          <w:u w:val="single"/>
        </w:rPr>
      </w:pPr>
    </w:p>
    <w:p w:rsidR="00000000" w:rsidRDefault="00000000">
      <w:pPr>
        <w:pStyle w:val="Header"/>
      </w:pPr>
      <w:r>
        <w:t>14.</w:t>
      </w:r>
      <w:r>
        <w:tab/>
      </w:r>
      <w:r>
        <w:rPr>
          <w:u w:val="single"/>
        </w:rPr>
        <w:t>Quedan aprobadas las observaciones finales sobre el segundo informe periódico de Honduras (CRC/C/65/Add.2)</w:t>
      </w:r>
      <w:r>
        <w:t>.</w:t>
      </w:r>
    </w:p>
    <w:p w:rsidR="00000000" w:rsidRDefault="00000000">
      <w:pPr>
        <w:pStyle w:val="Header"/>
        <w:rPr>
          <w:u w:val="single"/>
        </w:rPr>
      </w:pPr>
    </w:p>
    <w:p w:rsidR="00000000" w:rsidRDefault="00000000">
      <w:pPr>
        <w:pStyle w:val="Header"/>
      </w:pPr>
      <w:r>
        <w:rPr>
          <w:u w:val="single"/>
        </w:rPr>
        <w:t>Observaciones finales del Comité de los Derechos del Niño:  Benin</w:t>
      </w:r>
      <w:r>
        <w:t xml:space="preserve"> (CRC/C/15/Add.106)</w:t>
      </w:r>
    </w:p>
    <w:p w:rsidR="00000000" w:rsidRDefault="00000000">
      <w:pPr>
        <w:pStyle w:val="Header"/>
      </w:pPr>
    </w:p>
    <w:p w:rsidR="00000000" w:rsidRDefault="00000000">
      <w:pPr>
        <w:pStyle w:val="Header"/>
      </w:pPr>
      <w:r>
        <w:t>15.</w:t>
      </w:r>
      <w:r>
        <w:tab/>
      </w:r>
      <w:r>
        <w:rPr>
          <w:u w:val="single"/>
        </w:rPr>
        <w:t>Quedan aprobadas las observaciones finales sobre el informe inicial de Benin (CRC/C/33/Add.52)</w:t>
      </w:r>
      <w:r>
        <w:t>.</w:t>
      </w:r>
    </w:p>
    <w:p w:rsidR="00000000" w:rsidRDefault="00000000">
      <w:pPr>
        <w:pStyle w:val="Header"/>
        <w:rPr>
          <w:u w:val="single"/>
        </w:rPr>
      </w:pPr>
    </w:p>
    <w:p w:rsidR="00000000" w:rsidRDefault="00000000">
      <w:pPr>
        <w:pStyle w:val="Header"/>
      </w:pPr>
      <w:r>
        <w:rPr>
          <w:u w:val="single"/>
        </w:rPr>
        <w:t>Observaciones finales del Comité de los Derechos del Niño:  Chad</w:t>
      </w:r>
      <w:r>
        <w:t xml:space="preserve"> (CRC/C/15/Add.107)</w:t>
      </w:r>
    </w:p>
    <w:p w:rsidR="00000000" w:rsidRDefault="00000000">
      <w:pPr>
        <w:pStyle w:val="Header"/>
        <w:rPr>
          <w:u w:val="single"/>
        </w:rPr>
      </w:pPr>
    </w:p>
    <w:p w:rsidR="00000000" w:rsidRDefault="00000000">
      <w:pPr>
        <w:pStyle w:val="Header"/>
      </w:pPr>
      <w:r>
        <w:t>16.</w:t>
      </w:r>
      <w:r>
        <w:tab/>
      </w:r>
      <w:r>
        <w:rPr>
          <w:u w:val="single"/>
        </w:rPr>
        <w:t>Quedan aprobadas las observaciones finales sobre el informe inicial del Chad (CRC/C/3/Add.50)</w:t>
      </w:r>
      <w:r>
        <w:t>.</w:t>
      </w:r>
    </w:p>
    <w:p w:rsidR="00000000" w:rsidRDefault="00000000">
      <w:pPr>
        <w:pStyle w:val="Header"/>
      </w:pPr>
    </w:p>
    <w:p w:rsidR="00000000" w:rsidRDefault="00000000">
      <w:pPr>
        <w:pStyle w:val="Header"/>
      </w:pPr>
      <w:r>
        <w:rPr>
          <w:u w:val="single"/>
        </w:rPr>
        <w:t>Observaciones finales del Comité de los Derechos del Niño:  Nicaragua</w:t>
      </w:r>
      <w:r>
        <w:t xml:space="preserve"> (CRC/C/15/Add.108)</w:t>
      </w:r>
    </w:p>
    <w:p w:rsidR="00000000" w:rsidRDefault="00000000">
      <w:pPr>
        <w:pStyle w:val="Header"/>
        <w:rPr>
          <w:u w:val="single"/>
        </w:rPr>
      </w:pPr>
    </w:p>
    <w:p w:rsidR="00000000" w:rsidRDefault="00000000">
      <w:pPr>
        <w:pStyle w:val="Header"/>
      </w:pPr>
      <w:r>
        <w:t>17.</w:t>
      </w:r>
      <w:r>
        <w:tab/>
      </w:r>
      <w:r>
        <w:rPr>
          <w:u w:val="single"/>
        </w:rPr>
        <w:t>Quedan aprobadas las observaciones finales sobre el segundo informe periódico de Nicaragua (CRC/C/65/Add.4)</w:t>
      </w:r>
      <w:r>
        <w:t>.</w:t>
      </w:r>
    </w:p>
    <w:p w:rsidR="00000000" w:rsidRDefault="00000000">
      <w:pPr>
        <w:pStyle w:val="Header"/>
        <w:rPr>
          <w:u w:val="single"/>
        </w:rPr>
      </w:pPr>
    </w:p>
    <w:p w:rsidR="00000000" w:rsidRDefault="00000000">
      <w:pPr>
        <w:pStyle w:val="Header"/>
      </w:pPr>
      <w:r>
        <w:t>18.</w:t>
      </w:r>
      <w:r>
        <w:tab/>
      </w:r>
      <w:r>
        <w:rPr>
          <w:u w:val="single"/>
        </w:rPr>
        <w:t>Queda aprobado el capítulo II del informe en su totalidad</w:t>
      </w:r>
      <w:r>
        <w:t>.</w:t>
      </w:r>
    </w:p>
    <w:p w:rsidR="00000000" w:rsidRDefault="00000000">
      <w:pPr>
        <w:pStyle w:val="Header"/>
      </w:pPr>
    </w:p>
    <w:p w:rsidR="00000000" w:rsidRDefault="00000000">
      <w:pPr>
        <w:pStyle w:val="Header"/>
      </w:pPr>
      <w:r>
        <w:t>19.</w:t>
      </w:r>
      <w:r>
        <w:tab/>
        <w:t xml:space="preserve">La </w:t>
      </w:r>
      <w:r>
        <w:rPr>
          <w:u w:val="single"/>
        </w:rPr>
        <w:t>PRESIDENTA</w:t>
      </w:r>
      <w:r>
        <w:t xml:space="preserve"> dice que de no haber objeciones, considerará que el Comité desea aprobar el proyecto de informe sobre su 21º período de sesiones (CRC/C/87) en su totalidad.</w:t>
      </w:r>
    </w:p>
    <w:p w:rsidR="00000000" w:rsidRDefault="00000000">
      <w:pPr>
        <w:pStyle w:val="Header"/>
      </w:pPr>
    </w:p>
    <w:p w:rsidR="00000000" w:rsidRDefault="00000000">
      <w:pPr>
        <w:pStyle w:val="Header"/>
      </w:pPr>
      <w:r>
        <w:t>20.</w:t>
      </w:r>
      <w:r>
        <w:tab/>
      </w:r>
      <w:r>
        <w:rPr>
          <w:u w:val="single"/>
        </w:rPr>
        <w:t>Queda aprobado el proyecto de informe del Comité sobre su 21º período de sesiones</w:t>
      </w:r>
      <w:r>
        <w:t>.</w:t>
      </w:r>
    </w:p>
    <w:p w:rsidR="00000000" w:rsidRDefault="00000000">
      <w:pPr>
        <w:pStyle w:val="Header"/>
      </w:pPr>
    </w:p>
    <w:p w:rsidR="00000000" w:rsidRDefault="00000000">
      <w:pPr>
        <w:pStyle w:val="Header"/>
      </w:pPr>
      <w:r>
        <w:t>CLAUSURA DEL PERÍODO DE SESIONES</w:t>
      </w:r>
    </w:p>
    <w:p w:rsidR="00000000" w:rsidRDefault="00000000">
      <w:pPr>
        <w:pStyle w:val="Header"/>
      </w:pPr>
    </w:p>
    <w:p w:rsidR="00000000" w:rsidRDefault="00000000">
      <w:pPr>
        <w:pStyle w:val="Header"/>
      </w:pPr>
      <w:r>
        <w:t>21.</w:t>
      </w:r>
      <w:r>
        <w:tab/>
        <w:t xml:space="preserve">Tras un intercambio de cortesías, la </w:t>
      </w:r>
      <w:r>
        <w:rPr>
          <w:u w:val="single"/>
        </w:rPr>
        <w:t>PRESIDENTA</w:t>
      </w:r>
      <w:r>
        <w:t xml:space="preserve"> declara clausurado el 21º período de sesiones del Comité.</w:t>
      </w:r>
    </w:p>
    <w:p w:rsidR="00000000" w:rsidRDefault="00000000">
      <w:pPr>
        <w:pStyle w:val="Header"/>
      </w:pPr>
    </w:p>
    <w:p w:rsidR="00000000" w:rsidRDefault="00000000">
      <w:pPr>
        <w:pStyle w:val="Header"/>
        <w:jc w:val="center"/>
      </w:pPr>
      <w:r>
        <w:rPr>
          <w:u w:val="single"/>
        </w:rPr>
        <w:t>Se levanta la sesión a las 12.45 horas</w:t>
      </w:r>
      <w:r>
        <w:t>.</w:t>
      </w:r>
    </w:p>
    <w:p w:rsidR="00000000" w:rsidRDefault="00000000">
      <w:pPr>
        <w:rPr>
          <w:sz w:val="22"/>
        </w:rPr>
      </w:pPr>
    </w:p>
    <w:p w:rsidR="00000000" w:rsidRDefault="00000000">
      <w:pPr>
        <w:rPr>
          <w:sz w:val="22"/>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pt-PT"/>
      </w:rPr>
    </w:pPr>
    <w:r>
      <w:rPr>
        <w:lang w:val="pt-PT"/>
      </w:rPr>
      <w:t>CRC/C/SR.557</w:t>
    </w:r>
  </w:p>
  <w:p w:rsidR="00000000" w:rsidRDefault="00000000">
    <w:pPr>
      <w:pStyle w:val="Header"/>
      <w:rPr>
        <w:lang w:val="pt-PT"/>
      </w:rPr>
    </w:pPr>
    <w:r>
      <w:rPr>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60"/>
        <w:tab w:val="right" w:pos="9070"/>
      </w:tabs>
      <w:rPr>
        <w:lang w:val="pt-PT"/>
      </w:rPr>
    </w:pPr>
    <w:r>
      <w:tab/>
    </w:r>
    <w:r>
      <w:rPr>
        <w:lang w:val="pt-PT"/>
      </w:rPr>
      <w:t>CRC/C/SR.557</w:t>
    </w:r>
  </w:p>
  <w:p w:rsidR="00000000" w:rsidRDefault="00000000">
    <w:pPr>
      <w:pStyle w:val="Header"/>
      <w:tabs>
        <w:tab w:val="left" w:pos="7560"/>
        <w:tab w:val="right" w:pos="9070"/>
      </w:tabs>
      <w:rPr>
        <w:rStyle w:val="PageNumber"/>
      </w:rPr>
    </w:pPr>
    <w:r>
      <w:rPr>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7200"/>
      </w:tabs>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845C3"/>
    <w:multiLevelType w:val="hybridMultilevel"/>
    <w:tmpl w:val="0504D3F8"/>
    <w:lvl w:ilvl="0" w:tplc="0C0A000F">
      <w:start w:val="17"/>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248387B"/>
    <w:multiLevelType w:val="hybridMultilevel"/>
    <w:tmpl w:val="F8E4037C"/>
    <w:lvl w:ilvl="0" w:tplc="A8289EC8">
      <w:start w:val="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8874167"/>
    <w:multiLevelType w:val="hybridMultilevel"/>
    <w:tmpl w:val="295C3856"/>
    <w:lvl w:ilvl="0" w:tplc="C6DC8C28">
      <w:start w:val="4"/>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A8B30CF"/>
    <w:multiLevelType w:val="hybridMultilevel"/>
    <w:tmpl w:val="ADE23B5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7AE10BF"/>
    <w:multiLevelType w:val="hybridMultilevel"/>
    <w:tmpl w:val="0A129704"/>
    <w:lvl w:ilvl="0" w:tplc="03D0ADB8">
      <w:start w:val="12"/>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CB1603A"/>
    <w:multiLevelType w:val="hybridMultilevel"/>
    <w:tmpl w:val="6334614C"/>
    <w:lvl w:ilvl="0" w:tplc="CD00FBB2">
      <w:start w:val="9"/>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EE60FBC"/>
    <w:multiLevelType w:val="hybridMultilevel"/>
    <w:tmpl w:val="9B349550"/>
    <w:lvl w:ilvl="0" w:tplc="0C0A000F">
      <w:start w:val="1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407228"/>
    <w:multiLevelType w:val="hybridMultilevel"/>
    <w:tmpl w:val="FF2E4866"/>
    <w:lvl w:ilvl="0" w:tplc="0C0A000F">
      <w:start w:val="6"/>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2D8B5A92"/>
    <w:multiLevelType w:val="hybridMultilevel"/>
    <w:tmpl w:val="DA20834C"/>
    <w:lvl w:ilvl="0" w:tplc="C6DC8C28">
      <w:start w:val="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35750E95"/>
    <w:multiLevelType w:val="hybridMultilevel"/>
    <w:tmpl w:val="EAA69256"/>
    <w:lvl w:ilvl="0" w:tplc="0C0A000F">
      <w:start w:val="1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3787052D"/>
    <w:multiLevelType w:val="hybridMultilevel"/>
    <w:tmpl w:val="90660248"/>
    <w:lvl w:ilvl="0" w:tplc="C6DC8C28">
      <w:start w:val="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3B8777D2"/>
    <w:multiLevelType w:val="hybridMultilevel"/>
    <w:tmpl w:val="26889B5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2724E55"/>
    <w:multiLevelType w:val="hybridMultilevel"/>
    <w:tmpl w:val="5C0CB1EA"/>
    <w:lvl w:ilvl="0" w:tplc="0C0A000F">
      <w:start w:val="1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3B369A9"/>
    <w:multiLevelType w:val="hybridMultilevel"/>
    <w:tmpl w:val="A3848C1C"/>
    <w:lvl w:ilvl="0" w:tplc="0C0A000F">
      <w:start w:val="1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46F90A45"/>
    <w:multiLevelType w:val="hybridMultilevel"/>
    <w:tmpl w:val="CAD62D14"/>
    <w:lvl w:ilvl="0" w:tplc="5380E604">
      <w:start w:val="18"/>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4761090B"/>
    <w:multiLevelType w:val="hybridMultilevel"/>
    <w:tmpl w:val="E12AA316"/>
    <w:lvl w:ilvl="0" w:tplc="3FD41FF2">
      <w:start w:val="12"/>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5A3B5470"/>
    <w:multiLevelType w:val="hybridMultilevel"/>
    <w:tmpl w:val="D480C3B4"/>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60C076F1"/>
    <w:multiLevelType w:val="hybridMultilevel"/>
    <w:tmpl w:val="521095AC"/>
    <w:lvl w:ilvl="0" w:tplc="C6DC8C28">
      <w:start w:val="4"/>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61DD19D3"/>
    <w:multiLevelType w:val="hybridMultilevel"/>
    <w:tmpl w:val="865C1224"/>
    <w:lvl w:ilvl="0" w:tplc="0C0A000F">
      <w:start w:val="1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63255336"/>
    <w:multiLevelType w:val="hybridMultilevel"/>
    <w:tmpl w:val="82A803B4"/>
    <w:lvl w:ilvl="0" w:tplc="C6DC8C28">
      <w:start w:val="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66104AF7"/>
    <w:multiLevelType w:val="hybridMultilevel"/>
    <w:tmpl w:val="F30CABCC"/>
    <w:lvl w:ilvl="0" w:tplc="0C0A000F">
      <w:start w:val="2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697E6232"/>
    <w:multiLevelType w:val="hybridMultilevel"/>
    <w:tmpl w:val="C55E3F6C"/>
    <w:lvl w:ilvl="0" w:tplc="0C0A000F">
      <w:start w:val="19"/>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6A22622E"/>
    <w:multiLevelType w:val="hybridMultilevel"/>
    <w:tmpl w:val="20AEFA8C"/>
    <w:lvl w:ilvl="0" w:tplc="5E2089E2">
      <w:start w:val="7"/>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6E743A68"/>
    <w:multiLevelType w:val="hybridMultilevel"/>
    <w:tmpl w:val="B6742E72"/>
    <w:lvl w:ilvl="0" w:tplc="0C0A000F">
      <w:start w:val="16"/>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11"/>
  </w:num>
  <w:num w:numId="4">
    <w:abstractNumId w:val="19"/>
  </w:num>
  <w:num w:numId="5">
    <w:abstractNumId w:val="10"/>
  </w:num>
  <w:num w:numId="6">
    <w:abstractNumId w:val="17"/>
  </w:num>
  <w:num w:numId="7">
    <w:abstractNumId w:val="8"/>
  </w:num>
  <w:num w:numId="8">
    <w:abstractNumId w:val="2"/>
  </w:num>
  <w:num w:numId="9">
    <w:abstractNumId w:val="16"/>
  </w:num>
  <w:num w:numId="10">
    <w:abstractNumId w:val="7"/>
  </w:num>
  <w:num w:numId="11">
    <w:abstractNumId w:val="22"/>
  </w:num>
  <w:num w:numId="12">
    <w:abstractNumId w:val="5"/>
  </w:num>
  <w:num w:numId="13">
    <w:abstractNumId w:val="6"/>
  </w:num>
  <w:num w:numId="14">
    <w:abstractNumId w:val="13"/>
  </w:num>
  <w:num w:numId="15">
    <w:abstractNumId w:val="15"/>
  </w:num>
  <w:num w:numId="16">
    <w:abstractNumId w:val="4"/>
  </w:num>
  <w:num w:numId="17">
    <w:abstractNumId w:val="18"/>
  </w:num>
  <w:num w:numId="18">
    <w:abstractNumId w:val="9"/>
  </w:num>
  <w:num w:numId="19">
    <w:abstractNumId w:val="12"/>
  </w:num>
  <w:num w:numId="20">
    <w:abstractNumId w:val="23"/>
  </w:num>
  <w:num w:numId="21">
    <w:abstractNumId w:val="0"/>
  </w:num>
  <w:num w:numId="22">
    <w:abstractNumId w:val="14"/>
  </w:num>
  <w:num w:numId="23">
    <w:abstractNumId w:val="21"/>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rPr>
      <w:sz w:val="22"/>
    </w:r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128</TotalTime>
  <Pages>3</Pages>
  <Words>861</Words>
  <Characters>4912</Characters>
  <Application>Microsoft Office Word</Application>
  <DocSecurity>4</DocSecurity>
  <Lines>40</Lines>
  <Paragraphs>9</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
      <vt:lpstr/>
    </vt:vector>
  </TitlesOfParts>
  <Company>Mi PC</Company>
  <LinksUpToDate>false</LinksUpToDate>
  <CharactersWithSpaces>6032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9</cp:revision>
  <cp:lastPrinted>2002-11-12T14:41:00Z</cp:lastPrinted>
  <dcterms:created xsi:type="dcterms:W3CDTF">2002-10-28T13:18:00Z</dcterms:created>
  <dcterms:modified xsi:type="dcterms:W3CDTF">2002-11-12T14:41:00Z</dcterms:modified>
</cp:coreProperties>
</file>