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0C4" w:rsidRPr="00DC6C1A" w:rsidRDefault="00FE40C4" w:rsidP="00FE40C4">
      <w:pPr>
        <w:spacing w:line="240" w:lineRule="auto"/>
        <w:rPr>
          <w:sz w:val="6"/>
        </w:rPr>
        <w:sectPr w:rsidR="00FE40C4" w:rsidRPr="00DC6C1A" w:rsidSect="00F866A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DC6C1A">
        <w:rPr>
          <w:rStyle w:val="CommentReference"/>
          <w:szCs w:val="20"/>
        </w:rPr>
        <w:commentReference w:id="0"/>
      </w:r>
      <w:bookmarkStart w:id="1" w:name="_GoBack"/>
      <w:bookmarkEnd w:id="1"/>
    </w:p>
    <w:p w:rsidR="00DC6C1A" w:rsidRDefault="00DC6C1A" w:rsidP="00DC6C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contra la Mujer </w:t>
      </w:r>
    </w:p>
    <w:p w:rsidR="00DC6C1A" w:rsidRPr="001D0961" w:rsidRDefault="00DC6C1A" w:rsidP="00DC6C1A">
      <w:pPr>
        <w:rPr>
          <w:b/>
        </w:rPr>
      </w:pPr>
      <w:r w:rsidRPr="001D0961">
        <w:rPr>
          <w:b/>
        </w:rPr>
        <w:t>66º período de sesiones</w:t>
      </w:r>
    </w:p>
    <w:p w:rsidR="00DC6C1A" w:rsidRPr="001D0961" w:rsidRDefault="00DC6C1A" w:rsidP="00DC6C1A">
      <w:r w:rsidRPr="001D0961">
        <w:t>13 de febrero a 3 de marzo de 2017</w:t>
      </w:r>
    </w:p>
    <w:p w:rsidR="00DC6C1A" w:rsidRPr="001D0961" w:rsidRDefault="00DC6C1A" w:rsidP="00DC6C1A">
      <w:r w:rsidRPr="001D0961">
        <w:t xml:space="preserve">Tema 2 del programa provisional </w:t>
      </w:r>
    </w:p>
    <w:p w:rsidR="00DC6C1A" w:rsidRPr="001D0961" w:rsidRDefault="00DC6C1A" w:rsidP="00DC6C1A">
      <w:pPr>
        <w:rPr>
          <w:b/>
        </w:rPr>
      </w:pPr>
      <w:r w:rsidRPr="001D0961">
        <w:rPr>
          <w:b/>
        </w:rPr>
        <w:t xml:space="preserve">Aprobación del programa y organización de los trabajos </w:t>
      </w:r>
    </w:p>
    <w:p w:rsidR="00DC6C1A" w:rsidRPr="001D0961" w:rsidRDefault="00DC6C1A" w:rsidP="00DC6C1A">
      <w:pPr>
        <w:pStyle w:val="SingleTxt"/>
        <w:spacing w:after="0" w:line="120" w:lineRule="exact"/>
        <w:rPr>
          <w:sz w:val="10"/>
        </w:rPr>
      </w:pPr>
    </w:p>
    <w:p w:rsidR="00DC6C1A" w:rsidRPr="001D0961" w:rsidRDefault="00DC6C1A" w:rsidP="00DC6C1A">
      <w:pPr>
        <w:pStyle w:val="SingleTxt"/>
        <w:spacing w:after="0" w:line="120" w:lineRule="exact"/>
        <w:rPr>
          <w:sz w:val="10"/>
        </w:rPr>
      </w:pPr>
    </w:p>
    <w:p w:rsidR="00DC6C1A" w:rsidRPr="001D0961" w:rsidRDefault="00DC6C1A" w:rsidP="00DC6C1A">
      <w:pPr>
        <w:pStyle w:val="SingleTxt"/>
        <w:spacing w:after="0" w:line="120" w:lineRule="exact"/>
        <w:rPr>
          <w:sz w:val="10"/>
        </w:rPr>
      </w:pPr>
    </w:p>
    <w:p w:rsidR="00DC6C1A" w:rsidRPr="001D0961" w:rsidRDefault="00DC6C1A" w:rsidP="00DC6C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1D0961">
        <w:tab/>
      </w:r>
      <w:r w:rsidRPr="001D0961">
        <w:tab/>
        <w:t xml:space="preserve">Programa provisional anotado </w:t>
      </w:r>
    </w:p>
    <w:p w:rsidR="00DC6C1A" w:rsidRPr="001D0961" w:rsidRDefault="00DC6C1A" w:rsidP="00DC6C1A">
      <w:pPr>
        <w:pStyle w:val="SingleTxt"/>
        <w:spacing w:after="0" w:line="120" w:lineRule="exact"/>
        <w:rPr>
          <w:sz w:val="10"/>
        </w:rPr>
      </w:pPr>
    </w:p>
    <w:p w:rsidR="00DC6C1A" w:rsidRPr="001D0961" w:rsidRDefault="00DC6C1A" w:rsidP="00DC6C1A">
      <w:pPr>
        <w:pStyle w:val="SingleTxt"/>
        <w:spacing w:after="0" w:line="120" w:lineRule="exact"/>
        <w:rPr>
          <w:sz w:val="10"/>
        </w:rPr>
      </w:pPr>
    </w:p>
    <w:p w:rsidR="00DC6C1A" w:rsidRPr="001D0961" w:rsidRDefault="00DC6C1A" w:rsidP="00DC6C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1D0961">
        <w:tab/>
      </w:r>
      <w:r w:rsidRPr="001D0961">
        <w:tab/>
        <w:t xml:space="preserve">Programa provisional </w:t>
      </w:r>
    </w:p>
    <w:p w:rsidR="00DC6C1A" w:rsidRPr="001D0961" w:rsidRDefault="00DC6C1A" w:rsidP="00DC6C1A">
      <w:pPr>
        <w:pStyle w:val="SingleTxt"/>
        <w:spacing w:after="0" w:line="120" w:lineRule="exact"/>
        <w:rPr>
          <w:sz w:val="10"/>
        </w:rPr>
      </w:pPr>
    </w:p>
    <w:p w:rsidR="00DC6C1A" w:rsidRPr="001D0961" w:rsidRDefault="00DC6C1A" w:rsidP="00C91EC3">
      <w:pPr>
        <w:pStyle w:val="SingleTxt"/>
        <w:ind w:left="1742" w:hanging="475"/>
      </w:pPr>
      <w:r w:rsidRPr="001D0961">
        <w:t>1.</w:t>
      </w:r>
      <w:r w:rsidRPr="001D0961">
        <w:tab/>
        <w:t>Apertura del período de sesiones.</w:t>
      </w:r>
    </w:p>
    <w:p w:rsidR="00DC6C1A" w:rsidRPr="001D0961" w:rsidRDefault="00DC6C1A" w:rsidP="00C91EC3">
      <w:pPr>
        <w:pStyle w:val="SingleTxt"/>
        <w:ind w:left="1742" w:hanging="475"/>
      </w:pPr>
      <w:r w:rsidRPr="001D0961">
        <w:t>2.</w:t>
      </w:r>
      <w:r w:rsidRPr="001D0961">
        <w:tab/>
        <w:t>Aprobación del programa y organización de los trabajos.</w:t>
      </w:r>
    </w:p>
    <w:p w:rsidR="00DC6C1A" w:rsidRPr="001D0961" w:rsidRDefault="00DC6C1A" w:rsidP="00C91EC3">
      <w:pPr>
        <w:pStyle w:val="SingleTxt"/>
        <w:ind w:left="1742" w:hanging="475"/>
      </w:pPr>
      <w:r w:rsidRPr="001D0961">
        <w:t>3.</w:t>
      </w:r>
      <w:r w:rsidRPr="001D0961">
        <w:tab/>
        <w:t>Informe de la Presidenta sobre las actividades realizadas entre los períodos de sesiones 65º y 66º del Comité.</w:t>
      </w:r>
    </w:p>
    <w:p w:rsidR="00DC6C1A" w:rsidRPr="001D0961" w:rsidRDefault="00DC6C1A" w:rsidP="00C91EC3">
      <w:pPr>
        <w:pStyle w:val="SingleTxt"/>
        <w:ind w:left="1742" w:hanging="475"/>
      </w:pPr>
      <w:r w:rsidRPr="001D0961">
        <w:t>4.</w:t>
      </w:r>
      <w:r w:rsidRPr="001D0961">
        <w:tab/>
        <w:t>Examen de los informes presentados por los Estados partes en virtud del artículo 18 de la Convención para la Eliminación de Todas las Formas de Discriminación contra la Mujer.</w:t>
      </w:r>
    </w:p>
    <w:p w:rsidR="00DC6C1A" w:rsidRPr="001D0961" w:rsidRDefault="00DC6C1A" w:rsidP="00C91EC3">
      <w:pPr>
        <w:pStyle w:val="SingleTxt"/>
        <w:ind w:left="1742" w:hanging="475"/>
      </w:pPr>
      <w:r w:rsidRPr="001D0961">
        <w:t>5.</w:t>
      </w:r>
      <w:r w:rsidRPr="001D0961">
        <w:tab/>
        <w:t>Seguimiento del examen de los informes presentados por los Estados partes en virtud del artículo 18 de la Convención.</w:t>
      </w:r>
    </w:p>
    <w:p w:rsidR="00DC6C1A" w:rsidRPr="001D0961" w:rsidRDefault="00DC6C1A" w:rsidP="00C91EC3">
      <w:pPr>
        <w:pStyle w:val="SingleTxt"/>
        <w:ind w:left="1742" w:hanging="475"/>
      </w:pPr>
      <w:r w:rsidRPr="001D0961">
        <w:t>6.</w:t>
      </w:r>
      <w:r w:rsidRPr="001D0961">
        <w:tab/>
        <w:t>Aplicación de los artículos 21 y 22 de la Convención.</w:t>
      </w:r>
    </w:p>
    <w:p w:rsidR="00DC6C1A" w:rsidRPr="001D0961" w:rsidRDefault="00DC6C1A" w:rsidP="00C91EC3">
      <w:pPr>
        <w:pStyle w:val="SingleTxt"/>
        <w:ind w:left="1742" w:hanging="475"/>
      </w:pPr>
      <w:r w:rsidRPr="001D0961">
        <w:t>7.</w:t>
      </w:r>
      <w:r w:rsidRPr="001D0961">
        <w:tab/>
        <w:t>Medios de agilizar los trabajos del Comité.</w:t>
      </w:r>
    </w:p>
    <w:p w:rsidR="00DC6C1A" w:rsidRPr="001D0961" w:rsidRDefault="00DC6C1A" w:rsidP="00C91EC3">
      <w:pPr>
        <w:pStyle w:val="SingleTxt"/>
        <w:ind w:left="1742" w:hanging="475"/>
      </w:pPr>
      <w:r w:rsidRPr="001D0961">
        <w:t>8.</w:t>
      </w:r>
      <w:r w:rsidRPr="001D0961">
        <w:tab/>
        <w:t>Actividades del Comité en relación con el Protocolo Facultativo de la Convención.</w:t>
      </w:r>
    </w:p>
    <w:p w:rsidR="00DC6C1A" w:rsidRPr="001D0961" w:rsidRDefault="00DC6C1A" w:rsidP="00C91EC3">
      <w:pPr>
        <w:pStyle w:val="SingleTxt"/>
        <w:ind w:left="1742" w:hanging="475"/>
      </w:pPr>
      <w:r w:rsidRPr="001D0961">
        <w:t>9.</w:t>
      </w:r>
      <w:r w:rsidRPr="001D0961">
        <w:tab/>
        <w:t>Programa provisional del 67º período de sesiones del Comité.</w:t>
      </w:r>
    </w:p>
    <w:p w:rsidR="00DC6C1A" w:rsidRPr="001D0961" w:rsidRDefault="00DC6C1A" w:rsidP="00DC6C1A">
      <w:pPr>
        <w:pStyle w:val="SingleTxt"/>
      </w:pPr>
      <w:r w:rsidRPr="001D0961">
        <w:t>10.</w:t>
      </w:r>
      <w:r w:rsidRPr="001D0961">
        <w:tab/>
        <w:t>Aprobación del informe del Comité sobre su 66º período de sesiones.</w:t>
      </w:r>
    </w:p>
    <w:p w:rsidR="00C91EC3" w:rsidRPr="001D0961" w:rsidRDefault="00C91EC3" w:rsidP="00C91EC3">
      <w:pPr>
        <w:pStyle w:val="SingleTxt"/>
        <w:spacing w:after="0" w:line="120" w:lineRule="exact"/>
        <w:rPr>
          <w:sz w:val="10"/>
        </w:rPr>
      </w:pPr>
    </w:p>
    <w:p w:rsidR="00DC6C1A" w:rsidRPr="001D0961" w:rsidRDefault="00DC6C1A" w:rsidP="00C91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 xml:space="preserve">Anotaciones </w:t>
      </w:r>
    </w:p>
    <w:p w:rsidR="00C91EC3" w:rsidRPr="001D0961" w:rsidRDefault="00C91EC3" w:rsidP="00C91EC3">
      <w:pPr>
        <w:pStyle w:val="SingleTxt"/>
        <w:spacing w:after="0" w:line="120" w:lineRule="exact"/>
        <w:rPr>
          <w:sz w:val="10"/>
        </w:rPr>
      </w:pPr>
    </w:p>
    <w:p w:rsidR="00DC6C1A" w:rsidRPr="001D0961" w:rsidRDefault="00DC6C1A" w:rsidP="00C91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1.</w:t>
      </w:r>
      <w:r w:rsidRPr="001D0961">
        <w:tab/>
        <w:t>Apertura del período de sesiones</w:t>
      </w:r>
    </w:p>
    <w:p w:rsidR="00C91EC3" w:rsidRPr="001D0961" w:rsidRDefault="00C91EC3" w:rsidP="00C91EC3">
      <w:pPr>
        <w:pStyle w:val="SingleTxt"/>
        <w:spacing w:after="0" w:line="120" w:lineRule="exact"/>
        <w:rPr>
          <w:sz w:val="10"/>
        </w:rPr>
      </w:pPr>
    </w:p>
    <w:p w:rsidR="00DC6C1A" w:rsidRPr="001D0961" w:rsidRDefault="00DC6C1A" w:rsidP="00DC6C1A">
      <w:pPr>
        <w:pStyle w:val="SingleTxt"/>
      </w:pPr>
      <w:r w:rsidRPr="001D0961">
        <w:t>La Presidenta del Comité para la Eliminación de la Discriminación contra la Mujer inaugurará el 66º período de sesiones del Comité para la Eliminación de la Discriminación contra la Mujer.</w:t>
      </w:r>
    </w:p>
    <w:p w:rsidR="00DC6C1A" w:rsidRPr="001D0961" w:rsidRDefault="00DC6C1A" w:rsidP="00C91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lastRenderedPageBreak/>
        <w:tab/>
        <w:t>2.</w:t>
      </w:r>
      <w:r w:rsidRPr="001D0961">
        <w:tab/>
        <w:t xml:space="preserve">Aprobación del programa y organización de los trabajos </w:t>
      </w:r>
    </w:p>
    <w:p w:rsidR="00C91EC3" w:rsidRPr="001D0961" w:rsidRDefault="00C91EC3" w:rsidP="00C91EC3">
      <w:pPr>
        <w:pStyle w:val="SingleTxt"/>
        <w:spacing w:after="0" w:line="120" w:lineRule="exact"/>
        <w:rPr>
          <w:sz w:val="10"/>
        </w:rPr>
      </w:pPr>
    </w:p>
    <w:p w:rsidR="00DC6C1A" w:rsidRPr="001D0961" w:rsidRDefault="00DC6C1A" w:rsidP="00C91EC3">
      <w:pPr>
        <w:pStyle w:val="SingleTxt"/>
        <w:rPr>
          <w:sz w:val="10"/>
        </w:rPr>
      </w:pPr>
      <w:r w:rsidRPr="001D0961">
        <w:t xml:space="preserve">En virtud del artículo 9 del Reglamento, la aprobación del programa será el primer tema sustantivo del programa provisional de cada período de sesiones. En el artículo 7 se establece que el Secretario General, </w:t>
      </w:r>
    </w:p>
    <w:p w:rsidR="00DC6C1A" w:rsidRPr="001D0961" w:rsidRDefault="00DC6C1A" w:rsidP="00DC6C1A">
      <w:pPr>
        <w:pStyle w:val="SingleTxt"/>
      </w:pPr>
      <w:r w:rsidRPr="001D0961">
        <w:t>en consulta con la Presidencia del Comité, preparará el programa provisional de cada período de sesiones de conformidad con las disposiciones pertinentes de los artículos 17 a 22 de la Convención.</w:t>
      </w:r>
    </w:p>
    <w:p w:rsidR="00DC6C1A" w:rsidRPr="001D0961" w:rsidRDefault="00DC6C1A" w:rsidP="00DC6C1A">
      <w:pPr>
        <w:pStyle w:val="SingleTxt"/>
      </w:pPr>
      <w:r w:rsidRPr="001D0961">
        <w:t>En su 65º período de sesiones, el Comité aprobó el programa provisional de su 64º período de sesiones.</w:t>
      </w:r>
    </w:p>
    <w:p w:rsidR="00DF48DE" w:rsidRPr="001D0961" w:rsidRDefault="00DF48DE" w:rsidP="00DF48DE">
      <w:pPr>
        <w:pStyle w:val="SingleTxt"/>
        <w:spacing w:after="0" w:line="120" w:lineRule="exact"/>
        <w:rPr>
          <w:sz w:val="10"/>
        </w:rPr>
      </w:pPr>
    </w:p>
    <w:p w:rsidR="00DC6C1A" w:rsidRPr="001D0961" w:rsidRDefault="00DF48DE" w:rsidP="00DF4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00DC6C1A" w:rsidRPr="001D0961">
        <w:t>3.</w:t>
      </w:r>
      <w:r w:rsidR="00DC6C1A" w:rsidRPr="001D0961">
        <w:tab/>
        <w:t>Informe de la Presidenta sobre las actividades realizadas entre los períodos de sesiones 65º y 66º del Comité</w:t>
      </w:r>
    </w:p>
    <w:p w:rsidR="00DF48DE" w:rsidRPr="001D0961" w:rsidRDefault="00DF48DE" w:rsidP="00DF48DE">
      <w:pPr>
        <w:pStyle w:val="SingleTxt"/>
        <w:spacing w:after="0" w:line="120" w:lineRule="exact"/>
        <w:rPr>
          <w:sz w:val="10"/>
        </w:rPr>
      </w:pPr>
    </w:p>
    <w:p w:rsidR="00DC6C1A" w:rsidRPr="001D0961" w:rsidRDefault="00DC6C1A" w:rsidP="00DC6C1A">
      <w:pPr>
        <w:pStyle w:val="SingleTxt"/>
      </w:pPr>
      <w:r w:rsidRPr="001D0961">
        <w:t>La Presidenta informará al Comité sobre las actividades y los acontecimientos relacionados con la labor del Comité que hayan ocurrido desde el período de sesiones anterior.</w:t>
      </w:r>
    </w:p>
    <w:p w:rsidR="00DC6C1A" w:rsidRPr="001D0961" w:rsidRDefault="00DC6C1A" w:rsidP="00DF48DE">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Documentación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Programa provisional anotado (</w:t>
      </w:r>
      <w:hyperlink r:id="rId15" w:history="1">
        <w:r w:rsidRPr="001D0961">
          <w:rPr>
            <w:rStyle w:val="Hyperlink"/>
            <w:u w:val="none"/>
          </w:rPr>
          <w:t>CEDAW/C/66/1</w:t>
        </w:r>
      </w:hyperlink>
      <w:r w:rsidRPr="001D0961">
        <w:t>)</w:t>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4.</w:t>
      </w:r>
      <w:r w:rsidRPr="001D0961">
        <w:tab/>
        <w:t>Examen de los informes presentados por los Estados partes en virtud del artículo 18 de la Convención para la Eliminación de Todas las Formas de Discriminación contra la Mujer</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Conforme a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además de cuando el Comité lo solicite.</w:t>
      </w:r>
    </w:p>
    <w:p w:rsidR="00DC6C1A" w:rsidRPr="001D0961" w:rsidRDefault="00DC6C1A" w:rsidP="00DC6C1A">
      <w:pPr>
        <w:pStyle w:val="SingleTxt"/>
      </w:pPr>
      <w:r w:rsidRPr="001D0961">
        <w:t>En el 66º período de sesiones del Comité está previsto que se examinen los informes de los siguientes Estados partes: Alemania, El Salvador, Irlanda (de conformidad con el procedimiento simplificado), Jordania, Micronesia (Federación de Estados de). Rwanda, Sri Lanka y Ucrania</w:t>
      </w:r>
    </w:p>
    <w:p w:rsidR="00DC6C1A" w:rsidRPr="001D0961" w:rsidRDefault="00DC6C1A" w:rsidP="00DC6C1A">
      <w:pPr>
        <w:pStyle w:val="SingleTxt"/>
      </w:pPr>
      <w:r w:rsidRPr="001D0961">
        <w:t>Con arreglo a lo dispuesto en el artículo 51 del reglamento, los representantes de los Estados partes asistirán a las sesiones del Comité en las que se examinarán sus respectivos informes, participarán en las deliberaciones y responderán a las preguntas relativas a dicho informe.</w:t>
      </w:r>
    </w:p>
    <w:p w:rsidR="00DC6C1A" w:rsidRPr="001D0961" w:rsidRDefault="00DC6C1A" w:rsidP="00DC6C1A">
      <w:pPr>
        <w:pStyle w:val="SingleTxt"/>
      </w:pPr>
      <w:r w:rsidRPr="001D0961">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presentados por los Estados partes en la Convención, así como una lista de los informes presentados por los Estados partes en la Convención que todavía no hayan sido examinados por el Comité.</w:t>
      </w:r>
    </w:p>
    <w:p w:rsidR="00DC6C1A" w:rsidRPr="001D0961" w:rsidRDefault="00DC6C1A" w:rsidP="00DC6C1A">
      <w:pPr>
        <w:pStyle w:val="SingleTxt"/>
      </w:pPr>
      <w:r w:rsidRPr="001D0961">
        <w:lastRenderedPageBreak/>
        <w:t>Antes de cada período de sesiones se reúne un grupo de trabajo del Comité encargado de preparar una lista de cuestiones y preguntas relativas a los informes, que se transmite a los Estados partes antes de las sesiones reservadas para el examen de los informes. El grupo de trabajo anterior al 66º período de sesiones se reunió del 25 al 29 de julio de 2016 en Ginebra. El Comité tendrá ante sí el informe del grupo de trabajo anterior al período de sesiones (</w:t>
      </w:r>
      <w:hyperlink r:id="rId16" w:history="1">
        <w:r w:rsidRPr="001D0961">
          <w:rPr>
            <w:rStyle w:val="Hyperlink"/>
            <w:u w:val="none"/>
          </w:rPr>
          <w:t>CEDAW/C/PSWG/66/1</w:t>
        </w:r>
      </w:hyperlink>
      <w:r w:rsidRPr="001D0961">
        <w:t>) y las respuestas de los Estados partes a las listas de cuestiones y preguntas.</w:t>
      </w:r>
    </w:p>
    <w:p w:rsidR="00DC6C1A" w:rsidRPr="001D0961" w:rsidRDefault="00DC6C1A"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 xml:space="preserve">Documentación </w:t>
      </w:r>
    </w:p>
    <w:p w:rsidR="001D0961" w:rsidRPr="001D0961" w:rsidRDefault="001D0961" w:rsidP="001D0961">
      <w:pPr>
        <w:pStyle w:val="SingleTxt"/>
        <w:spacing w:after="0" w:line="120" w:lineRule="exact"/>
        <w:rPr>
          <w:sz w:val="10"/>
        </w:rPr>
      </w:pPr>
    </w:p>
    <w:p w:rsidR="00DC6C1A" w:rsidRPr="001D0961" w:rsidRDefault="00DC6C1A" w:rsidP="001D0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 xml:space="preserve">Informes </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Informes periódicos octavo y noveno combinados de El Salvador (</w:t>
      </w:r>
      <w:hyperlink r:id="rId17" w:history="1">
        <w:r w:rsidRPr="001D0961">
          <w:rPr>
            <w:rStyle w:val="Hyperlink"/>
            <w:u w:val="none"/>
          </w:rPr>
          <w:t>CEDAW/C/SLV/8-9</w:t>
        </w:r>
      </w:hyperlink>
      <w:r w:rsidRPr="001D0961">
        <w:t>)</w:t>
      </w:r>
    </w:p>
    <w:p w:rsidR="00DC6C1A" w:rsidRPr="001D0961" w:rsidRDefault="00DC6C1A" w:rsidP="00DC6C1A">
      <w:pPr>
        <w:pStyle w:val="SingleTxt"/>
      </w:pPr>
      <w:r w:rsidRPr="001D0961">
        <w:t>Informes periódicos séptimo y octavo combinados de Alemania  (</w:t>
      </w:r>
      <w:hyperlink r:id="rId18" w:history="1">
        <w:r w:rsidRPr="001D0961">
          <w:rPr>
            <w:rStyle w:val="Hyperlink"/>
            <w:u w:val="none"/>
          </w:rPr>
          <w:t>CEDAW/C/DEU/7-8</w:t>
        </w:r>
      </w:hyperlink>
      <w:r w:rsidRPr="001D0961">
        <w:t>)</w:t>
      </w:r>
    </w:p>
    <w:p w:rsidR="00DC6C1A" w:rsidRPr="001D0961" w:rsidRDefault="00DC6C1A" w:rsidP="00DC6C1A">
      <w:pPr>
        <w:pStyle w:val="SingleTxt"/>
      </w:pPr>
      <w:r w:rsidRPr="001D0961">
        <w:t>Informes periódicos sexto y séptimo combinados de Irlanda (</w:t>
      </w:r>
      <w:hyperlink r:id="rId19" w:history="1">
        <w:r w:rsidRPr="001D0961">
          <w:rPr>
            <w:rStyle w:val="Hyperlink"/>
            <w:u w:val="none"/>
          </w:rPr>
          <w:t>CEDAW/C/IRL/6-7;</w:t>
        </w:r>
      </w:hyperlink>
      <w:r w:rsidRPr="001D0961">
        <w:t xml:space="preserve"> presentados de conformidad con el procedimiento simplificado)</w:t>
      </w:r>
    </w:p>
    <w:p w:rsidR="00DC6C1A" w:rsidRPr="001D0961" w:rsidRDefault="00DC6C1A" w:rsidP="00DC6C1A">
      <w:pPr>
        <w:pStyle w:val="SingleTxt"/>
      </w:pPr>
      <w:r w:rsidRPr="001D0961">
        <w:t>Sexto informe periódico de Jordania (</w:t>
      </w:r>
      <w:hyperlink r:id="rId20" w:history="1">
        <w:r w:rsidRPr="001D0961">
          <w:rPr>
            <w:rStyle w:val="Hyperlink"/>
            <w:u w:val="none"/>
          </w:rPr>
          <w:t>CEDAW/C/JOR/6</w:t>
        </w:r>
      </w:hyperlink>
      <w:r w:rsidRPr="001D0961">
        <w:t>)</w:t>
      </w:r>
    </w:p>
    <w:p w:rsidR="00DC6C1A" w:rsidRPr="001D0961" w:rsidRDefault="00DC6C1A" w:rsidP="00DC6C1A">
      <w:pPr>
        <w:pStyle w:val="SingleTxt"/>
      </w:pPr>
      <w:r w:rsidRPr="001D0961">
        <w:t>Informe inicial e informe periódico tercero combinados de los Estados Federados de Micronesia (</w:t>
      </w:r>
      <w:hyperlink r:id="rId21" w:history="1">
        <w:r w:rsidRPr="001D0961">
          <w:rPr>
            <w:rStyle w:val="Hyperlink"/>
            <w:u w:val="none"/>
          </w:rPr>
          <w:t>CEDAW/C/FSM/1-3</w:t>
        </w:r>
      </w:hyperlink>
      <w:r w:rsidRPr="001D0961">
        <w:t>)</w:t>
      </w:r>
    </w:p>
    <w:p w:rsidR="00DC6C1A" w:rsidRPr="001D0961" w:rsidRDefault="00DC6C1A" w:rsidP="00DC6C1A">
      <w:pPr>
        <w:pStyle w:val="SingleTxt"/>
        <w:rPr>
          <w:spacing w:val="2"/>
        </w:rPr>
      </w:pPr>
      <w:r w:rsidRPr="001D0961">
        <w:rPr>
          <w:spacing w:val="2"/>
        </w:rPr>
        <w:t>Informes periódicos séptimo a noveno combinados de Rwanda (</w:t>
      </w:r>
      <w:hyperlink r:id="rId22" w:history="1">
        <w:r w:rsidRPr="001D0961">
          <w:rPr>
            <w:rStyle w:val="Hyperlink"/>
            <w:spacing w:val="2"/>
            <w:u w:val="none"/>
          </w:rPr>
          <w:t>CEDAW/C/RWA/7-9</w:t>
        </w:r>
      </w:hyperlink>
      <w:r w:rsidRPr="001D0961">
        <w:rPr>
          <w:spacing w:val="2"/>
        </w:rPr>
        <w:t>)</w:t>
      </w:r>
    </w:p>
    <w:p w:rsidR="00DC6C1A" w:rsidRPr="001D0961" w:rsidRDefault="00DC6C1A" w:rsidP="00DC6C1A">
      <w:pPr>
        <w:pStyle w:val="SingleTxt"/>
      </w:pPr>
      <w:r w:rsidRPr="001D0961">
        <w:t>Octavo informe periódico de Sri Lanka (</w:t>
      </w:r>
      <w:hyperlink r:id="rId23" w:history="1">
        <w:r w:rsidRPr="001D0961">
          <w:rPr>
            <w:rStyle w:val="Hyperlink"/>
            <w:u w:val="none"/>
          </w:rPr>
          <w:t>CEDAW/C/LKA/8</w:t>
        </w:r>
      </w:hyperlink>
      <w:r w:rsidRPr="001D0961">
        <w:t>)</w:t>
      </w:r>
    </w:p>
    <w:p w:rsidR="00DC6C1A" w:rsidRPr="001D0961" w:rsidRDefault="00DC6C1A" w:rsidP="00DC6C1A">
      <w:pPr>
        <w:pStyle w:val="SingleTxt"/>
      </w:pPr>
      <w:r w:rsidRPr="001D0961">
        <w:t>Octavo informe periódico de Ucrania (</w:t>
      </w:r>
      <w:hyperlink r:id="rId24" w:history="1">
        <w:r w:rsidRPr="001D0961">
          <w:rPr>
            <w:rStyle w:val="Hyperlink"/>
            <w:u w:val="none"/>
          </w:rPr>
          <w:t>CEDAW/C/UKR/8</w:t>
        </w:r>
      </w:hyperlink>
      <w:r w:rsidRPr="001D0961">
        <w:t>)</w:t>
      </w:r>
    </w:p>
    <w:p w:rsidR="001D0961" w:rsidRPr="001D0961" w:rsidRDefault="001D0961" w:rsidP="001D0961">
      <w:pPr>
        <w:pStyle w:val="SingleTxt"/>
        <w:spacing w:after="0" w:line="120" w:lineRule="exact"/>
        <w:rPr>
          <w:sz w:val="10"/>
        </w:rPr>
      </w:pPr>
    </w:p>
    <w:p w:rsidR="00DC6C1A" w:rsidRPr="001D0961" w:rsidRDefault="00DC6C1A" w:rsidP="001D0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 xml:space="preserve">Lista de cuestiones y preguntas  </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Alemania (</w:t>
      </w:r>
      <w:hyperlink r:id="rId25" w:history="1">
        <w:r w:rsidRPr="001D0961">
          <w:rPr>
            <w:rStyle w:val="Hyperlink"/>
            <w:u w:val="none"/>
          </w:rPr>
          <w:t>CEDAW/C/DEU/Q/7-8</w:t>
        </w:r>
      </w:hyperlink>
      <w:r w:rsidRPr="001D0961">
        <w:t>)</w:t>
      </w:r>
    </w:p>
    <w:p w:rsidR="00DC6C1A" w:rsidRPr="001D0961" w:rsidRDefault="00DC6C1A" w:rsidP="00DC6C1A">
      <w:pPr>
        <w:pStyle w:val="SingleTxt"/>
      </w:pPr>
      <w:r w:rsidRPr="001D0961">
        <w:t>El Salvador (</w:t>
      </w:r>
      <w:hyperlink r:id="rId26" w:history="1">
        <w:r w:rsidRPr="001D0961">
          <w:rPr>
            <w:rStyle w:val="Hyperlink"/>
            <w:u w:val="none"/>
          </w:rPr>
          <w:t>CEDAW/C/SLV/Q/8-9</w:t>
        </w:r>
      </w:hyperlink>
      <w:r w:rsidRPr="001D0961">
        <w:t>)</w:t>
      </w:r>
    </w:p>
    <w:p w:rsidR="00DC6C1A" w:rsidRPr="001D0961" w:rsidRDefault="00DC6C1A" w:rsidP="00DC6C1A">
      <w:pPr>
        <w:pStyle w:val="SingleTxt"/>
      </w:pPr>
      <w:r w:rsidRPr="001D0961">
        <w:t>Irlanda (</w:t>
      </w:r>
      <w:hyperlink r:id="rId27" w:history="1">
        <w:r w:rsidRPr="001D0961">
          <w:rPr>
            <w:rStyle w:val="Hyperlink"/>
            <w:u w:val="none"/>
          </w:rPr>
          <w:t>CEDAW/C/IRL/QPR/6-7</w:t>
        </w:r>
      </w:hyperlink>
      <w:r w:rsidRPr="001D0961">
        <w:t>)</w:t>
      </w:r>
    </w:p>
    <w:p w:rsidR="00DC6C1A" w:rsidRPr="001D0961" w:rsidRDefault="00DC6C1A" w:rsidP="00DC6C1A">
      <w:pPr>
        <w:pStyle w:val="SingleTxt"/>
      </w:pPr>
      <w:r w:rsidRPr="001D0961">
        <w:t>Jordania (</w:t>
      </w:r>
      <w:hyperlink r:id="rId28" w:history="1">
        <w:r w:rsidRPr="001D0961">
          <w:rPr>
            <w:rStyle w:val="Hyperlink"/>
            <w:u w:val="none"/>
          </w:rPr>
          <w:t>CEDAW/C/JOR/Q/6</w:t>
        </w:r>
      </w:hyperlink>
      <w:r w:rsidRPr="001D0961">
        <w:t>)</w:t>
      </w:r>
    </w:p>
    <w:p w:rsidR="00DC6C1A" w:rsidRPr="001D0961" w:rsidRDefault="00DC6C1A" w:rsidP="00DC6C1A">
      <w:pPr>
        <w:pStyle w:val="SingleTxt"/>
      </w:pPr>
      <w:r w:rsidRPr="001D0961">
        <w:t>Micronesia (Estados Federados de) (</w:t>
      </w:r>
      <w:hyperlink r:id="rId29" w:history="1">
        <w:r w:rsidRPr="001D0961">
          <w:rPr>
            <w:rStyle w:val="Hyperlink"/>
            <w:u w:val="none"/>
          </w:rPr>
          <w:t>CEDAW/C/FSM/Q/1-3</w:t>
        </w:r>
      </w:hyperlink>
      <w:r w:rsidRPr="001D0961">
        <w:t>)</w:t>
      </w:r>
    </w:p>
    <w:p w:rsidR="00DC6C1A" w:rsidRPr="001D0961" w:rsidRDefault="00DC6C1A" w:rsidP="00DC6C1A">
      <w:pPr>
        <w:pStyle w:val="SingleTxt"/>
      </w:pPr>
      <w:r w:rsidRPr="001D0961">
        <w:t>Rwanda (</w:t>
      </w:r>
      <w:hyperlink r:id="rId30" w:history="1">
        <w:r w:rsidRPr="001D0961">
          <w:rPr>
            <w:rStyle w:val="Hyperlink"/>
            <w:u w:val="none"/>
          </w:rPr>
          <w:t>CEDAW/C/RWA/Q/7-9</w:t>
        </w:r>
      </w:hyperlink>
      <w:r w:rsidRPr="001D0961">
        <w:t>)</w:t>
      </w:r>
    </w:p>
    <w:p w:rsidR="00DC6C1A" w:rsidRPr="001D0961" w:rsidRDefault="00DC6C1A" w:rsidP="00DC6C1A">
      <w:pPr>
        <w:pStyle w:val="SingleTxt"/>
        <w:rPr>
          <w:lang w:val="en-US"/>
        </w:rPr>
      </w:pPr>
      <w:r w:rsidRPr="001D0961">
        <w:rPr>
          <w:lang w:val="en-US"/>
        </w:rPr>
        <w:t>Sri Lanka (</w:t>
      </w:r>
      <w:hyperlink r:id="rId31" w:history="1">
        <w:r w:rsidRPr="001D0961">
          <w:rPr>
            <w:rStyle w:val="Hyperlink"/>
            <w:u w:val="none"/>
            <w:lang w:val="en-US"/>
          </w:rPr>
          <w:t>CEDAW/C/LKA/Q/8</w:t>
        </w:r>
      </w:hyperlink>
      <w:r w:rsidRPr="001D0961">
        <w:rPr>
          <w:lang w:val="en-US"/>
        </w:rPr>
        <w:t>)</w:t>
      </w:r>
    </w:p>
    <w:p w:rsidR="00DC6C1A" w:rsidRPr="001D0961" w:rsidRDefault="00DC6C1A" w:rsidP="00DC6C1A">
      <w:pPr>
        <w:pStyle w:val="SingleTxt"/>
      </w:pPr>
      <w:r w:rsidRPr="001D0961">
        <w:t>Ucrania (</w:t>
      </w:r>
      <w:hyperlink r:id="rId32" w:history="1">
        <w:r w:rsidRPr="001D0961">
          <w:rPr>
            <w:rStyle w:val="Hyperlink"/>
            <w:u w:val="none"/>
          </w:rPr>
          <w:t>CEDAW/C/UKR/Q/8</w:t>
        </w:r>
      </w:hyperlink>
      <w:r w:rsidRPr="001D0961">
        <w:t>)</w:t>
      </w:r>
    </w:p>
    <w:p w:rsidR="00DC6C1A" w:rsidRPr="001D0961" w:rsidRDefault="00DC6C1A" w:rsidP="001D0961">
      <w:pPr>
        <w:pStyle w:val="SingleTxt"/>
        <w:spacing w:after="0" w:line="120" w:lineRule="exact"/>
        <w:rPr>
          <w:sz w:val="10"/>
        </w:rPr>
      </w:pPr>
    </w:p>
    <w:p w:rsidR="00DC6C1A" w:rsidRPr="001D0961" w:rsidRDefault="00DC6C1A" w:rsidP="001D0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 xml:space="preserve">Respuestas a las listas de cuestiones y preguntas </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Alemania (</w:t>
      </w:r>
      <w:hyperlink r:id="rId33" w:history="1">
        <w:r w:rsidRPr="001D0961">
          <w:rPr>
            <w:rStyle w:val="Hyperlink"/>
            <w:u w:val="none"/>
          </w:rPr>
          <w:t>CEDAW/C/DEU/Q/7-8/Add.1</w:t>
        </w:r>
      </w:hyperlink>
      <w:r w:rsidRPr="001D0961">
        <w:t>)</w:t>
      </w:r>
    </w:p>
    <w:p w:rsidR="00DC6C1A" w:rsidRPr="001D0961" w:rsidRDefault="00DC6C1A" w:rsidP="00DC6C1A">
      <w:pPr>
        <w:pStyle w:val="SingleTxt"/>
      </w:pPr>
      <w:r w:rsidRPr="001D0961">
        <w:t>El Salvador (</w:t>
      </w:r>
      <w:hyperlink r:id="rId34" w:history="1">
        <w:r w:rsidRPr="001D0961">
          <w:rPr>
            <w:rStyle w:val="Hyperlink"/>
            <w:u w:val="none"/>
          </w:rPr>
          <w:t>CEDAW/C/SLV/Q/8-9/Add.1</w:t>
        </w:r>
      </w:hyperlink>
      <w:r w:rsidRPr="001D0961">
        <w:t>)</w:t>
      </w:r>
    </w:p>
    <w:p w:rsidR="00DC6C1A" w:rsidRPr="001D0961" w:rsidRDefault="00DC6C1A" w:rsidP="00DC6C1A">
      <w:pPr>
        <w:pStyle w:val="SingleTxt"/>
      </w:pPr>
      <w:r w:rsidRPr="001D0961">
        <w:t>Jordania (</w:t>
      </w:r>
      <w:hyperlink r:id="rId35" w:history="1">
        <w:r w:rsidRPr="001D0961">
          <w:rPr>
            <w:rStyle w:val="Hyperlink"/>
            <w:u w:val="none"/>
          </w:rPr>
          <w:t>CEDAW/C/JOR/Q/6/Add.1</w:t>
        </w:r>
      </w:hyperlink>
      <w:r w:rsidRPr="001D0961">
        <w:t>)</w:t>
      </w:r>
    </w:p>
    <w:p w:rsidR="00DC6C1A" w:rsidRPr="001D0961" w:rsidRDefault="00DC6C1A" w:rsidP="00DC6C1A">
      <w:pPr>
        <w:pStyle w:val="SingleTxt"/>
      </w:pPr>
      <w:r w:rsidRPr="001D0961">
        <w:t>Micronesia (Estados Federados de) (</w:t>
      </w:r>
      <w:hyperlink r:id="rId36" w:history="1">
        <w:r w:rsidRPr="001D0961">
          <w:rPr>
            <w:rStyle w:val="Hyperlink"/>
            <w:u w:val="none"/>
          </w:rPr>
          <w:t>CEDAW/C/FSM/Q/1-3/Add.1</w:t>
        </w:r>
      </w:hyperlink>
      <w:r w:rsidRPr="001D0961">
        <w:t>)</w:t>
      </w:r>
    </w:p>
    <w:p w:rsidR="00DC6C1A" w:rsidRPr="001D0961" w:rsidRDefault="00DC6C1A" w:rsidP="00DC6C1A">
      <w:pPr>
        <w:pStyle w:val="SingleTxt"/>
      </w:pPr>
      <w:r w:rsidRPr="001D0961">
        <w:lastRenderedPageBreak/>
        <w:t>Rwanda (</w:t>
      </w:r>
      <w:hyperlink r:id="rId37" w:history="1">
        <w:r w:rsidRPr="001D0961">
          <w:rPr>
            <w:rStyle w:val="Hyperlink"/>
            <w:u w:val="none"/>
          </w:rPr>
          <w:t>CEDAW/C/RWA/Q/7-9/Add.1</w:t>
        </w:r>
      </w:hyperlink>
      <w:r w:rsidRPr="001D0961">
        <w:t>)</w:t>
      </w:r>
    </w:p>
    <w:p w:rsidR="00DC6C1A" w:rsidRPr="001D0961" w:rsidRDefault="00DC6C1A" w:rsidP="00DC6C1A">
      <w:pPr>
        <w:pStyle w:val="SingleTxt"/>
      </w:pPr>
      <w:r w:rsidRPr="001D0961">
        <w:t>Sri Lanka (</w:t>
      </w:r>
      <w:hyperlink r:id="rId38" w:history="1">
        <w:r w:rsidRPr="001D0961">
          <w:rPr>
            <w:rStyle w:val="Hyperlink"/>
            <w:u w:val="none"/>
          </w:rPr>
          <w:t>CEDAW/C/LKA/Q/8/Add.1</w:t>
        </w:r>
      </w:hyperlink>
      <w:r w:rsidRPr="001D0961">
        <w:t>)</w:t>
      </w:r>
    </w:p>
    <w:p w:rsidR="00DC6C1A" w:rsidRPr="001D0961" w:rsidRDefault="00DC6C1A" w:rsidP="00DC6C1A">
      <w:pPr>
        <w:pStyle w:val="SingleTxt"/>
      </w:pPr>
      <w:r w:rsidRPr="001D0961">
        <w:t>Ucrania (</w:t>
      </w:r>
      <w:hyperlink r:id="rId39" w:history="1">
        <w:r w:rsidRPr="001D0961">
          <w:rPr>
            <w:rStyle w:val="Hyperlink"/>
            <w:u w:val="none"/>
          </w:rPr>
          <w:t>CEDAW/C/UKR/Q/8/Add.1</w:t>
        </w:r>
      </w:hyperlink>
      <w:r w:rsidRPr="001D0961">
        <w:t>)</w:t>
      </w:r>
    </w:p>
    <w:p w:rsidR="001D0961" w:rsidRPr="001D0961" w:rsidRDefault="001D0961" w:rsidP="001D0961">
      <w:pPr>
        <w:pStyle w:val="SingleTxt"/>
        <w:spacing w:after="0" w:line="120" w:lineRule="exact"/>
        <w:rPr>
          <w:sz w:val="10"/>
        </w:rPr>
      </w:pPr>
    </w:p>
    <w:p w:rsidR="00DC6C1A" w:rsidRPr="001D0961" w:rsidRDefault="00DC6C1A" w:rsidP="001D096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0961">
        <w:tab/>
        <w:t>5.</w:t>
      </w:r>
      <w:r w:rsidRPr="001D0961">
        <w:tab/>
        <w:t>Seguimiento del examen de los informes presentados por los Estados partes en virtud del artículo 18 de la Convención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El Comité examinará cuestiones relacionadas con el seguimiento de las observaciones finales.</w:t>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6.</w:t>
      </w:r>
      <w:r w:rsidRPr="001D0961">
        <w:tab/>
        <w:t>Aplicación de los artículos 21 y 22 de la Convención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DC6C1A" w:rsidRPr="001D0961" w:rsidRDefault="00DC6C1A" w:rsidP="00DC6C1A">
      <w:pPr>
        <w:pStyle w:val="SingleTxt"/>
      </w:pPr>
      <w:r w:rsidRPr="001D0961">
        <w:t>En virtud del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1D0961" w:rsidRPr="001D0961" w:rsidRDefault="001D0961" w:rsidP="001D0961">
      <w:pPr>
        <w:pStyle w:val="SingleTxt"/>
        <w:spacing w:after="0" w:line="120" w:lineRule="exact"/>
        <w:rPr>
          <w:sz w:val="10"/>
        </w:rPr>
      </w:pPr>
    </w:p>
    <w:p w:rsidR="00DC6C1A" w:rsidRPr="001D0961" w:rsidRDefault="001D0961"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r>
      <w:r w:rsidR="00DC6C1A" w:rsidRPr="001D0961">
        <w:t>Documentación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Informes presentados por los organismos especializados de las Naciones Unidas sobre la aplicación de la Convención en sus ámbitos de competencia</w:t>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7.</w:t>
      </w:r>
      <w:r w:rsidRPr="001D0961">
        <w:tab/>
        <w:t>Medios de agilizar los trabajos del Comité</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 xml:space="preserve">El Comité examinará cuestiones relacionadas con sus métodos de trabajo. </w:t>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8.</w:t>
      </w:r>
      <w:r w:rsidRPr="001D0961">
        <w:tab/>
        <w:t>Actividades del Comité en relación con el Protocolo Facultativo de la Convención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El 37º período de sesiones del Grupo de Trabajo sobre las Comunicaciones Presentadas en virtud del Protocolo Facultativo se celebrará del 7 al 10 de febrero de 2017 en Ginebra.</w:t>
      </w:r>
    </w:p>
    <w:p w:rsidR="00DC6C1A" w:rsidRPr="001D0961" w:rsidRDefault="00DC6C1A" w:rsidP="00DC6C1A">
      <w:pPr>
        <w:pStyle w:val="SingleTxt"/>
      </w:pPr>
      <w:r w:rsidRPr="001D0961">
        <w:t xml:space="preserve">El sexto período de sesiones del Grupo de Trabajo sobre Investigaciones con arreglo al Protocolo Facultativo se celebrará los días 9 y 10 de febrero de 2017 en Ginebra. </w:t>
      </w:r>
    </w:p>
    <w:p w:rsidR="00DC6C1A" w:rsidRPr="001D0961" w:rsidRDefault="00DC6C1A" w:rsidP="00DC6C1A">
      <w:pPr>
        <w:pStyle w:val="SingleTxt"/>
      </w:pPr>
      <w:r w:rsidRPr="001D0961">
        <w:t>En su 66º período de sesiones, el Comité continuará cumpliendo su mandato en virtud de los artículos 2 y 8 del Protocolo Facultativo de la Convención.</w:t>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t>9.</w:t>
      </w:r>
      <w:r w:rsidRPr="001D0961">
        <w:tab/>
        <w:t>Programa provisional del 67º período de sesiones del Comité</w:t>
      </w:r>
      <w:r w:rsidRPr="001D0961">
        <w:tab/>
      </w:r>
      <w:r w:rsidRPr="001D0961">
        <w:tab/>
      </w:r>
    </w:p>
    <w:p w:rsidR="001D0961" w:rsidRPr="001D0961" w:rsidRDefault="001D0961" w:rsidP="001D0961">
      <w:pPr>
        <w:pStyle w:val="SingleTxt"/>
        <w:spacing w:after="0" w:line="120" w:lineRule="exact"/>
        <w:rPr>
          <w:sz w:val="10"/>
        </w:rPr>
      </w:pPr>
    </w:p>
    <w:p w:rsidR="00DC6C1A" w:rsidRPr="001D0961" w:rsidRDefault="00DC6C1A"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1D0961">
        <w:tab/>
      </w:r>
      <w:r w:rsidRPr="001D0961">
        <w:tab/>
        <w:t>Documentación</w:t>
      </w:r>
    </w:p>
    <w:p w:rsidR="001D0961" w:rsidRPr="001D0961" w:rsidRDefault="001D0961" w:rsidP="001D0961">
      <w:pPr>
        <w:pStyle w:val="SingleTxt"/>
        <w:spacing w:after="0" w:line="120" w:lineRule="exact"/>
        <w:rPr>
          <w:sz w:val="10"/>
        </w:rPr>
      </w:pPr>
    </w:p>
    <w:p w:rsidR="00DC6C1A" w:rsidRPr="001D0961" w:rsidRDefault="00DC6C1A" w:rsidP="00DC6C1A">
      <w:pPr>
        <w:pStyle w:val="SingleTxt"/>
      </w:pPr>
      <w:r w:rsidRPr="001D0961">
        <w:t>Programa provisional anotado del 67º período de sesiones (</w:t>
      </w:r>
      <w:hyperlink r:id="rId40" w:history="1">
        <w:r w:rsidRPr="001D0961">
          <w:rPr>
            <w:rStyle w:val="Hyperlink"/>
            <w:u w:val="none"/>
          </w:rPr>
          <w:t>CEDAW/C/67/1</w:t>
        </w:r>
      </w:hyperlink>
      <w:r w:rsidRPr="001D0961">
        <w:t>)</w:t>
      </w:r>
    </w:p>
    <w:p w:rsidR="001D0961" w:rsidRPr="001D0961" w:rsidRDefault="001D0961" w:rsidP="001D0961">
      <w:pPr>
        <w:pStyle w:val="SingleTxt"/>
        <w:spacing w:after="0" w:line="120" w:lineRule="exact"/>
        <w:rPr>
          <w:sz w:val="10"/>
        </w:rPr>
      </w:pPr>
    </w:p>
    <w:p w:rsidR="00DC6C1A" w:rsidRPr="001D0961" w:rsidRDefault="001D0961" w:rsidP="001D0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Pr>
          <w:noProof/>
          <w:w w:val="100"/>
          <w:lang w:val="en-US"/>
        </w:rPr>
        <mc:AlternateContent>
          <mc:Choice Requires="wps">
            <w:drawing>
              <wp:anchor distT="0" distB="0" distL="114300" distR="114300" simplePos="0" relativeHeight="251659264" behindDoc="0" locked="0" layoutInCell="1" allowOverlap="1" wp14:anchorId="35F45BC9" wp14:editId="7A71F5B9">
                <wp:simplePos x="0" y="0"/>
                <wp:positionH relativeFrom="column">
                  <wp:posOffset>2669540</wp:posOffset>
                </wp:positionH>
                <wp:positionV relativeFrom="paragraph">
                  <wp:posOffset>519430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40.9pt" to="282.2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" strokecolor="#010000" strokeweight=".25pt"/>
            </w:pict>
          </mc:Fallback>
        </mc:AlternateContent>
      </w:r>
      <w:r w:rsidR="00DC6C1A" w:rsidRPr="001D0961">
        <w:tab/>
        <w:t>10.</w:t>
      </w:r>
      <w:r w:rsidR="00DC6C1A" w:rsidRPr="001D0961">
        <w:tab/>
        <w:t>Aprobación del informe del Comité sobre su 66º período de sesiones</w:t>
      </w:r>
    </w:p>
    <w:sectPr w:rsidR="00DC6C1A" w:rsidRPr="001D0961" w:rsidSect="00F866A5">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7T15:00:00Z" w:initials="Start">
    <w:p w:rsidR="00FE40C4" w:rsidRPr="00DC6C1A" w:rsidRDefault="00FE40C4">
      <w:pPr>
        <w:pStyle w:val="CommentText"/>
        <w:rPr>
          <w:lang w:val="en-US"/>
        </w:rPr>
      </w:pPr>
      <w:r>
        <w:fldChar w:fldCharType="begin"/>
      </w:r>
      <w:r w:rsidRPr="00DC6C1A">
        <w:rPr>
          <w:rStyle w:val="CommentReference"/>
          <w:lang w:val="en-US"/>
        </w:rPr>
        <w:instrText xml:space="preserve"> </w:instrText>
      </w:r>
      <w:r w:rsidRPr="00DC6C1A">
        <w:rPr>
          <w:lang w:val="en-US"/>
        </w:rPr>
        <w:instrText>PAGE \# "'Page: '#'</w:instrText>
      </w:r>
      <w:r w:rsidRPr="00DC6C1A">
        <w:rPr>
          <w:lang w:val="en-US"/>
        </w:rPr>
        <w:br/>
        <w:instrText>'"</w:instrText>
      </w:r>
      <w:r w:rsidRPr="00DC6C1A">
        <w:rPr>
          <w:rStyle w:val="CommentReference"/>
          <w:lang w:val="en-US"/>
        </w:rPr>
        <w:instrText xml:space="preserve"> </w:instrText>
      </w:r>
      <w:r>
        <w:fldChar w:fldCharType="end"/>
      </w:r>
      <w:r>
        <w:rPr>
          <w:rStyle w:val="CommentReference"/>
        </w:rPr>
        <w:annotationRef/>
      </w:r>
      <w:r w:rsidRPr="00DC6C1A">
        <w:rPr>
          <w:lang w:val="en-US"/>
        </w:rPr>
        <w:t>&lt;&lt;ODS JOB NO&gt;&gt;N1700831S&lt;&lt;ODS JOB NO&gt;&gt;</w:t>
      </w:r>
    </w:p>
    <w:p w:rsidR="00FE40C4" w:rsidRPr="00DC6C1A" w:rsidRDefault="00FE40C4">
      <w:pPr>
        <w:pStyle w:val="CommentText"/>
        <w:rPr>
          <w:lang w:val="en-US"/>
        </w:rPr>
      </w:pPr>
      <w:r w:rsidRPr="00DC6C1A">
        <w:rPr>
          <w:lang w:val="en-US"/>
        </w:rPr>
        <w:t>&lt;&lt;ODS DOC SYMBOL1&gt;&gt;CEDAW/C/66/1&lt;&lt;ODS DOC SYMBOL1&gt;&gt;</w:t>
      </w:r>
    </w:p>
    <w:p w:rsidR="00FE40C4" w:rsidRPr="00DC6C1A" w:rsidRDefault="00FE40C4">
      <w:pPr>
        <w:pStyle w:val="CommentText"/>
        <w:rPr>
          <w:lang w:val="en-US"/>
        </w:rPr>
      </w:pPr>
      <w:r w:rsidRPr="00DC6C1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CA2" w:rsidRDefault="00B94CA2" w:rsidP="00556720">
      <w:r>
        <w:separator/>
      </w:r>
    </w:p>
  </w:endnote>
  <w:endnote w:type="continuationSeparator" w:id="0">
    <w:p w:rsidR="00B94CA2" w:rsidRDefault="00B94C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E40C4" w:rsidTr="00FE40C4">
      <w:tblPrEx>
        <w:tblCellMar>
          <w:top w:w="0" w:type="dxa"/>
          <w:bottom w:w="0" w:type="dxa"/>
        </w:tblCellMar>
      </w:tblPrEx>
      <w:tc>
        <w:tcPr>
          <w:tcW w:w="5028" w:type="dxa"/>
          <w:shd w:val="clear" w:color="auto" w:fill="auto"/>
        </w:tcPr>
        <w:p w:rsidR="00FE40C4" w:rsidRPr="00FE40C4" w:rsidRDefault="00FE40C4" w:rsidP="00FE40C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02C8">
            <w:rPr>
              <w:b w:val="0"/>
              <w:color w:val="000000"/>
              <w:w w:val="103"/>
              <w:sz w:val="14"/>
            </w:rPr>
            <w:t>17-00403</w:t>
          </w:r>
          <w:r>
            <w:rPr>
              <w:b w:val="0"/>
              <w:color w:val="000000"/>
              <w:w w:val="103"/>
              <w:sz w:val="14"/>
            </w:rPr>
            <w:fldChar w:fldCharType="end"/>
          </w:r>
        </w:p>
      </w:tc>
      <w:tc>
        <w:tcPr>
          <w:tcW w:w="5028" w:type="dxa"/>
          <w:shd w:val="clear" w:color="auto" w:fill="auto"/>
        </w:tcPr>
        <w:p w:rsidR="00FE40C4" w:rsidRPr="00FE40C4" w:rsidRDefault="00FE40C4" w:rsidP="00FE40C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02C8">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02C8">
            <w:rPr>
              <w:color w:val="000000"/>
              <w:w w:val="103"/>
            </w:rPr>
            <w:t>4</w:t>
          </w:r>
          <w:r>
            <w:rPr>
              <w:color w:val="000000"/>
              <w:w w:val="103"/>
            </w:rPr>
            <w:fldChar w:fldCharType="end"/>
          </w:r>
        </w:p>
      </w:tc>
    </w:tr>
  </w:tbl>
  <w:p w:rsidR="00FE40C4" w:rsidRPr="00FE40C4" w:rsidRDefault="00FE40C4" w:rsidP="00FE40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E40C4" w:rsidTr="00FE40C4">
      <w:tblPrEx>
        <w:tblCellMar>
          <w:top w:w="0" w:type="dxa"/>
          <w:bottom w:w="0" w:type="dxa"/>
        </w:tblCellMar>
      </w:tblPrEx>
      <w:tc>
        <w:tcPr>
          <w:tcW w:w="5028" w:type="dxa"/>
          <w:shd w:val="clear" w:color="auto" w:fill="auto"/>
        </w:tcPr>
        <w:p w:rsidR="00FE40C4" w:rsidRPr="00FE40C4" w:rsidRDefault="00FE40C4" w:rsidP="00FE40C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F02C8">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F02C8">
            <w:rPr>
              <w:color w:val="000000"/>
              <w:w w:val="103"/>
            </w:rPr>
            <w:t>4</w:t>
          </w:r>
          <w:r>
            <w:rPr>
              <w:color w:val="000000"/>
              <w:w w:val="103"/>
            </w:rPr>
            <w:fldChar w:fldCharType="end"/>
          </w:r>
        </w:p>
      </w:tc>
      <w:tc>
        <w:tcPr>
          <w:tcW w:w="5028" w:type="dxa"/>
          <w:shd w:val="clear" w:color="auto" w:fill="auto"/>
        </w:tcPr>
        <w:p w:rsidR="00FE40C4" w:rsidRPr="00FE40C4" w:rsidRDefault="00FE40C4" w:rsidP="00FE40C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02C8">
            <w:rPr>
              <w:b w:val="0"/>
              <w:color w:val="000000"/>
              <w:w w:val="103"/>
              <w:sz w:val="14"/>
            </w:rPr>
            <w:t>17-00403</w:t>
          </w:r>
          <w:r>
            <w:rPr>
              <w:b w:val="0"/>
              <w:color w:val="000000"/>
              <w:w w:val="103"/>
              <w:sz w:val="14"/>
            </w:rPr>
            <w:fldChar w:fldCharType="end"/>
          </w:r>
        </w:p>
      </w:tc>
    </w:tr>
  </w:tbl>
  <w:p w:rsidR="00FE40C4" w:rsidRPr="00FE40C4" w:rsidRDefault="00FE40C4" w:rsidP="00FE40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0C4" w:rsidRPr="00FE40C4" w:rsidRDefault="00FE40C4" w:rsidP="00FE40C4">
    <w:pPr>
      <w:pStyle w:val="Footer"/>
      <w:spacing w:line="120" w:lineRule="exact"/>
      <w:rPr>
        <w:b w:val="0"/>
        <w:sz w:val="10"/>
      </w:rPr>
    </w:pPr>
    <w:r>
      <w:rPr>
        <w:b w:val="0"/>
        <w:sz w:val="10"/>
      </w:rPr>
      <w:drawing>
        <wp:anchor distT="0" distB="0" distL="114300" distR="114300" simplePos="0" relativeHeight="251658240" behindDoc="0" locked="0" layoutInCell="1" allowOverlap="1" wp14:anchorId="5B56A911" wp14:editId="26A0D0B6">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6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FE40C4" w:rsidTr="00FE40C4">
      <w:tblPrEx>
        <w:tblCellMar>
          <w:top w:w="0" w:type="dxa"/>
          <w:bottom w:w="0" w:type="dxa"/>
        </w:tblCellMar>
      </w:tblPrEx>
      <w:tc>
        <w:tcPr>
          <w:tcW w:w="3830" w:type="dxa"/>
        </w:tcPr>
        <w:p w:rsidR="00FE40C4" w:rsidRDefault="001D0961" w:rsidP="00FE40C4">
          <w:pPr>
            <w:pStyle w:val="ReleaseDate"/>
          </w:pPr>
          <w:r w:rsidRPr="001D0961">
            <w:t>17-00403</w:t>
          </w:r>
          <w:r>
            <w:t>X</w:t>
          </w:r>
          <w:r w:rsidRPr="001D0961">
            <w:t xml:space="preserve"> (S)  </w:t>
          </w:r>
        </w:p>
        <w:p w:rsidR="00FE40C4" w:rsidRPr="00FE40C4" w:rsidRDefault="00FE40C4" w:rsidP="00FE40C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*1700403*</w:t>
          </w:r>
        </w:p>
      </w:tc>
      <w:tc>
        <w:tcPr>
          <w:tcW w:w="5028" w:type="dxa"/>
        </w:tcPr>
        <w:p w:rsidR="00FE40C4" w:rsidRDefault="00FE40C4" w:rsidP="00FE40C4">
          <w:pPr>
            <w:pStyle w:val="Footer"/>
            <w:jc w:val="right"/>
            <w:rPr>
              <w:b w:val="0"/>
              <w:sz w:val="20"/>
            </w:rPr>
          </w:pPr>
          <w:r>
            <w:rPr>
              <w:b w:val="0"/>
              <w:sz w:val="20"/>
            </w:rPr>
            <w:drawing>
              <wp:inline distT="0" distB="0" distL="0" distR="0" wp14:anchorId="0273A04D" wp14:editId="28D956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E40C4" w:rsidRPr="00FE40C4" w:rsidRDefault="00FE40C4" w:rsidP="00FE40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CA2" w:rsidRDefault="00B94CA2" w:rsidP="00556720">
      <w:r>
        <w:separator/>
      </w:r>
    </w:p>
  </w:footnote>
  <w:footnote w:type="continuationSeparator" w:id="0">
    <w:p w:rsidR="00B94CA2" w:rsidRDefault="00B94CA2"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E40C4" w:rsidTr="00FE40C4">
      <w:tblPrEx>
        <w:tblCellMar>
          <w:top w:w="0" w:type="dxa"/>
          <w:bottom w:w="0" w:type="dxa"/>
        </w:tblCellMar>
      </w:tblPrEx>
      <w:trPr>
        <w:trHeight w:hRule="exact" w:val="864"/>
      </w:trPr>
      <w:tc>
        <w:tcPr>
          <w:tcW w:w="4838" w:type="dxa"/>
          <w:shd w:val="clear" w:color="auto" w:fill="auto"/>
          <w:vAlign w:val="bottom"/>
        </w:tcPr>
        <w:p w:rsidR="00FE40C4" w:rsidRPr="00FE40C4" w:rsidRDefault="00FE40C4" w:rsidP="00FE40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02C8">
            <w:rPr>
              <w:b/>
              <w:color w:val="000000"/>
            </w:rPr>
            <w:t>CEDAW/C/66/1</w:t>
          </w:r>
          <w:r>
            <w:rPr>
              <w:b/>
              <w:color w:val="000000"/>
            </w:rPr>
            <w:fldChar w:fldCharType="end"/>
          </w:r>
        </w:p>
      </w:tc>
      <w:tc>
        <w:tcPr>
          <w:tcW w:w="5028" w:type="dxa"/>
          <w:shd w:val="clear" w:color="auto" w:fill="auto"/>
          <w:vAlign w:val="bottom"/>
        </w:tcPr>
        <w:p w:rsidR="00FE40C4" w:rsidRDefault="00FE40C4" w:rsidP="00FE40C4">
          <w:pPr>
            <w:pStyle w:val="Header"/>
          </w:pPr>
        </w:p>
      </w:tc>
    </w:tr>
  </w:tbl>
  <w:p w:rsidR="00FE40C4" w:rsidRPr="00FE40C4" w:rsidRDefault="00FE40C4" w:rsidP="00FE40C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E40C4" w:rsidTr="00FE40C4">
      <w:tblPrEx>
        <w:tblCellMar>
          <w:top w:w="0" w:type="dxa"/>
          <w:bottom w:w="0" w:type="dxa"/>
        </w:tblCellMar>
      </w:tblPrEx>
      <w:trPr>
        <w:trHeight w:hRule="exact" w:val="864"/>
      </w:trPr>
      <w:tc>
        <w:tcPr>
          <w:tcW w:w="4838" w:type="dxa"/>
          <w:shd w:val="clear" w:color="auto" w:fill="auto"/>
          <w:vAlign w:val="bottom"/>
        </w:tcPr>
        <w:p w:rsidR="00FE40C4" w:rsidRDefault="00FE40C4" w:rsidP="00FE40C4">
          <w:pPr>
            <w:pStyle w:val="Header"/>
          </w:pPr>
        </w:p>
      </w:tc>
      <w:tc>
        <w:tcPr>
          <w:tcW w:w="5028" w:type="dxa"/>
          <w:shd w:val="clear" w:color="auto" w:fill="auto"/>
          <w:vAlign w:val="bottom"/>
        </w:tcPr>
        <w:p w:rsidR="00FE40C4" w:rsidRPr="00FE40C4" w:rsidRDefault="00FE40C4" w:rsidP="00FE40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02C8">
            <w:rPr>
              <w:b/>
              <w:color w:val="000000"/>
            </w:rPr>
            <w:t>CEDAW/C/66/1</w:t>
          </w:r>
          <w:r>
            <w:rPr>
              <w:b/>
              <w:color w:val="000000"/>
            </w:rPr>
            <w:fldChar w:fldCharType="end"/>
          </w:r>
        </w:p>
      </w:tc>
    </w:tr>
  </w:tbl>
  <w:p w:rsidR="00FE40C4" w:rsidRPr="00FE40C4" w:rsidRDefault="00FE40C4" w:rsidP="00FE40C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E40C4" w:rsidTr="00FE40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E40C4" w:rsidRDefault="00FE40C4" w:rsidP="00FE40C4">
          <w:pPr>
            <w:pStyle w:val="Header"/>
            <w:spacing w:after="120"/>
          </w:pPr>
        </w:p>
      </w:tc>
      <w:tc>
        <w:tcPr>
          <w:tcW w:w="2059" w:type="dxa"/>
          <w:tcBorders>
            <w:bottom w:val="single" w:sz="4" w:space="0" w:color="auto"/>
          </w:tcBorders>
          <w:shd w:val="clear" w:color="auto" w:fill="auto"/>
          <w:vAlign w:val="bottom"/>
        </w:tcPr>
        <w:p w:rsidR="00FE40C4" w:rsidRPr="00FE40C4" w:rsidRDefault="00FE40C4" w:rsidP="00FE40C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E40C4" w:rsidRDefault="00FE40C4" w:rsidP="00FE40C4">
          <w:pPr>
            <w:pStyle w:val="Header"/>
            <w:spacing w:after="120"/>
          </w:pPr>
        </w:p>
      </w:tc>
      <w:tc>
        <w:tcPr>
          <w:tcW w:w="6523" w:type="dxa"/>
          <w:gridSpan w:val="3"/>
          <w:tcBorders>
            <w:bottom w:val="single" w:sz="4" w:space="0" w:color="auto"/>
          </w:tcBorders>
          <w:shd w:val="clear" w:color="auto" w:fill="auto"/>
          <w:vAlign w:val="bottom"/>
        </w:tcPr>
        <w:p w:rsidR="00FE40C4" w:rsidRPr="00FE40C4" w:rsidRDefault="00FE40C4" w:rsidP="00FE40C4">
          <w:pPr>
            <w:spacing w:after="80" w:line="240" w:lineRule="auto"/>
            <w:jc w:val="right"/>
            <w:rPr>
              <w:position w:val="-4"/>
            </w:rPr>
          </w:pPr>
          <w:r>
            <w:rPr>
              <w:position w:val="-4"/>
              <w:sz w:val="40"/>
            </w:rPr>
            <w:t>CEDAW</w:t>
          </w:r>
          <w:r>
            <w:rPr>
              <w:position w:val="-4"/>
            </w:rPr>
            <w:t>/C/66/1</w:t>
          </w:r>
        </w:p>
      </w:tc>
    </w:tr>
    <w:tr w:rsidR="00FE40C4" w:rsidRPr="00FE40C4" w:rsidTr="00FE40C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E40C4" w:rsidRPr="00FE40C4" w:rsidRDefault="00FE40C4" w:rsidP="00FE40C4">
          <w:pPr>
            <w:pStyle w:val="Header"/>
            <w:spacing w:before="120"/>
            <w:jc w:val="center"/>
          </w:pPr>
          <w:r>
            <w:t xml:space="preserve"> </w:t>
          </w:r>
          <w:r>
            <w:drawing>
              <wp:inline distT="0" distB="0" distL="0" distR="0" wp14:anchorId="69E79763" wp14:editId="74A790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E40C4" w:rsidRPr="00FE40C4" w:rsidRDefault="00FE40C4" w:rsidP="00FE40C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E40C4" w:rsidRPr="00DC6C1A" w:rsidRDefault="00FE40C4" w:rsidP="00FE40C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E40C4" w:rsidRDefault="00FE40C4" w:rsidP="00FE40C4">
          <w:pPr>
            <w:pStyle w:val="Distribution"/>
            <w:spacing w:before="240"/>
          </w:pPr>
          <w:r>
            <w:t>Distr. general</w:t>
          </w:r>
        </w:p>
        <w:p w:rsidR="00FE40C4" w:rsidRDefault="00DC6C1A" w:rsidP="00FE40C4">
          <w:pPr>
            <w:pStyle w:val="Publication"/>
          </w:pPr>
          <w:r>
            <w:t>1</w:t>
          </w:r>
          <w:r w:rsidR="00B05ACB">
            <w:t>1</w:t>
          </w:r>
          <w:r w:rsidR="00FE40C4">
            <w:t xml:space="preserve"> de enero de 2017</w:t>
          </w:r>
        </w:p>
        <w:p w:rsidR="00FE40C4" w:rsidRDefault="00FE40C4" w:rsidP="00FE40C4">
          <w:r>
            <w:t>Español</w:t>
          </w:r>
        </w:p>
        <w:p w:rsidR="00FE40C4" w:rsidRDefault="00FE40C4" w:rsidP="00FE40C4">
          <w:pPr>
            <w:pStyle w:val="Original"/>
          </w:pPr>
          <w:r>
            <w:t>Original: inglés</w:t>
          </w:r>
        </w:p>
        <w:p w:rsidR="00FE40C4" w:rsidRPr="00FE40C4" w:rsidRDefault="00FE40C4" w:rsidP="00FE40C4"/>
      </w:tc>
    </w:tr>
  </w:tbl>
  <w:p w:rsidR="00FE40C4" w:rsidRPr="00B05ACB" w:rsidRDefault="00FE40C4" w:rsidP="00FE40C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0403*"/>
    <w:docVar w:name="CreationDt" w:val="27/01/2017 3:00: PM"/>
    <w:docVar w:name="DocCategory" w:val="Doc"/>
    <w:docVar w:name="DocType" w:val="Final"/>
    <w:docVar w:name="DutyStation" w:val="New York"/>
    <w:docVar w:name="FooterJN" w:val="17-00403"/>
    <w:docVar w:name="jobn" w:val="17-00403 (S)"/>
    <w:docVar w:name="jobnDT" w:val="17-00403 (S)   270117"/>
    <w:docVar w:name="jobnDTDT" w:val="17-00403 (S)   270117   270117"/>
    <w:docVar w:name="JobNo" w:val="1700403S"/>
    <w:docVar w:name="JobNo2" w:val="17008313:00: PM"/>
    <w:docVar w:name="LocalDrive" w:val="0"/>
    <w:docVar w:name="OandT" w:val=":Dag"/>
    <w:docVar w:name="sss1" w:val="CEDAW/C/66/1"/>
    <w:docVar w:name="sss2" w:val="-"/>
    <w:docVar w:name="Symbol1" w:val="CEDAW/C/66/1"/>
    <w:docVar w:name="Symbol2" w:val="-"/>
  </w:docVars>
  <w:rsids>
    <w:rsidRoot w:val="00B94CA2"/>
    <w:rsid w:val="00017FCF"/>
    <w:rsid w:val="00024D1E"/>
    <w:rsid w:val="000C4C9C"/>
    <w:rsid w:val="001D0961"/>
    <w:rsid w:val="00214645"/>
    <w:rsid w:val="002706A2"/>
    <w:rsid w:val="003E3B08"/>
    <w:rsid w:val="003E723B"/>
    <w:rsid w:val="0044179B"/>
    <w:rsid w:val="004B4C46"/>
    <w:rsid w:val="004D17DB"/>
    <w:rsid w:val="00556720"/>
    <w:rsid w:val="005C49C8"/>
    <w:rsid w:val="00613EA2"/>
    <w:rsid w:val="00674235"/>
    <w:rsid w:val="006A1CB6"/>
    <w:rsid w:val="006F02C8"/>
    <w:rsid w:val="00855FFA"/>
    <w:rsid w:val="008723C3"/>
    <w:rsid w:val="009E1969"/>
    <w:rsid w:val="00A20AC0"/>
    <w:rsid w:val="00B03D4A"/>
    <w:rsid w:val="00B05ACB"/>
    <w:rsid w:val="00B94CA2"/>
    <w:rsid w:val="00BF5B27"/>
    <w:rsid w:val="00BF6BE0"/>
    <w:rsid w:val="00C779E4"/>
    <w:rsid w:val="00C91EC3"/>
    <w:rsid w:val="00DC6C1A"/>
    <w:rsid w:val="00DC7B16"/>
    <w:rsid w:val="00DF48DE"/>
    <w:rsid w:val="00F27BF6"/>
    <w:rsid w:val="00F30184"/>
    <w:rsid w:val="00F5593E"/>
    <w:rsid w:val="00F866A5"/>
    <w:rsid w:val="00F94BC6"/>
    <w:rsid w:val="00FE40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EA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13EA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13EA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13EA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13EA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13EA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13EA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13EA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13EA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13EA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13E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13EA2"/>
    <w:pPr>
      <w:keepNext/>
      <w:keepLines/>
      <w:spacing w:line="270" w:lineRule="exact"/>
      <w:outlineLvl w:val="0"/>
    </w:pPr>
    <w:rPr>
      <w:b/>
      <w:kern w:val="14"/>
      <w:sz w:val="24"/>
    </w:rPr>
  </w:style>
  <w:style w:type="paragraph" w:customStyle="1" w:styleId="HCh">
    <w:name w:val="_ H _Ch"/>
    <w:basedOn w:val="H1"/>
    <w:next w:val="SingleTxt"/>
    <w:qFormat/>
    <w:rsid w:val="00613EA2"/>
    <w:pPr>
      <w:spacing w:line="300" w:lineRule="exact"/>
    </w:pPr>
    <w:rPr>
      <w:spacing w:val="-2"/>
      <w:sz w:val="28"/>
    </w:rPr>
  </w:style>
  <w:style w:type="paragraph" w:customStyle="1" w:styleId="HM">
    <w:name w:val="_ H __M"/>
    <w:basedOn w:val="HCh"/>
    <w:next w:val="Normal"/>
    <w:qFormat/>
    <w:rsid w:val="00613EA2"/>
    <w:pPr>
      <w:spacing w:line="360" w:lineRule="exact"/>
    </w:pPr>
    <w:rPr>
      <w:spacing w:val="-3"/>
      <w:w w:val="99"/>
      <w:sz w:val="34"/>
    </w:rPr>
  </w:style>
  <w:style w:type="paragraph" w:customStyle="1" w:styleId="H23">
    <w:name w:val="_ H_2/3"/>
    <w:basedOn w:val="H1"/>
    <w:next w:val="SingleTxt"/>
    <w:qFormat/>
    <w:rsid w:val="00613EA2"/>
    <w:pPr>
      <w:spacing w:line="240" w:lineRule="exact"/>
      <w:outlineLvl w:val="1"/>
    </w:pPr>
    <w:rPr>
      <w:spacing w:val="2"/>
      <w:sz w:val="20"/>
    </w:rPr>
  </w:style>
  <w:style w:type="paragraph" w:customStyle="1" w:styleId="H4">
    <w:name w:val="_ H_4"/>
    <w:basedOn w:val="Normal"/>
    <w:next w:val="SingleTxt"/>
    <w:qFormat/>
    <w:rsid w:val="00613EA2"/>
    <w:pPr>
      <w:keepNext/>
      <w:keepLines/>
      <w:tabs>
        <w:tab w:val="right" w:pos="360"/>
      </w:tabs>
      <w:outlineLvl w:val="3"/>
    </w:pPr>
    <w:rPr>
      <w:i/>
      <w:spacing w:val="3"/>
      <w:kern w:val="14"/>
    </w:rPr>
  </w:style>
  <w:style w:type="paragraph" w:customStyle="1" w:styleId="H56">
    <w:name w:val="_ H_5/6"/>
    <w:basedOn w:val="Normal"/>
    <w:next w:val="SingleTxt"/>
    <w:qFormat/>
    <w:rsid w:val="00613EA2"/>
    <w:pPr>
      <w:keepNext/>
      <w:keepLines/>
      <w:tabs>
        <w:tab w:val="right" w:pos="360"/>
      </w:tabs>
      <w:outlineLvl w:val="4"/>
    </w:pPr>
    <w:rPr>
      <w:kern w:val="14"/>
    </w:rPr>
  </w:style>
  <w:style w:type="paragraph" w:customStyle="1" w:styleId="DualTxt">
    <w:name w:val="__Dual Txt"/>
    <w:basedOn w:val="Normal"/>
    <w:qFormat/>
    <w:rsid w:val="00613EA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13EA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13EA2"/>
    <w:pPr>
      <w:spacing w:line="540" w:lineRule="exact"/>
    </w:pPr>
    <w:rPr>
      <w:spacing w:val="-8"/>
      <w:w w:val="96"/>
      <w:sz w:val="57"/>
    </w:rPr>
  </w:style>
  <w:style w:type="paragraph" w:customStyle="1" w:styleId="SS">
    <w:name w:val="__S_S"/>
    <w:basedOn w:val="HCh"/>
    <w:next w:val="Normal"/>
    <w:qFormat/>
    <w:rsid w:val="00613EA2"/>
    <w:pPr>
      <w:ind w:left="1267" w:right="1267"/>
    </w:pPr>
  </w:style>
  <w:style w:type="paragraph" w:customStyle="1" w:styleId="SingleTxt">
    <w:name w:val="__Single Txt"/>
    <w:basedOn w:val="Normal"/>
    <w:qFormat/>
    <w:rsid w:val="00613E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13EA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13EA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13EA2"/>
    <w:pPr>
      <w:keepNext/>
      <w:keepLines/>
      <w:spacing w:line="240" w:lineRule="exact"/>
      <w:ind w:left="0" w:right="0" w:firstLine="0"/>
      <w:outlineLvl w:val="1"/>
    </w:pPr>
    <w:rPr>
      <w:sz w:val="20"/>
    </w:rPr>
  </w:style>
  <w:style w:type="paragraph" w:styleId="BalloonText">
    <w:name w:val="Balloon Text"/>
    <w:basedOn w:val="Normal"/>
    <w:link w:val="BalloonTextChar"/>
    <w:semiHidden/>
    <w:rsid w:val="00613EA2"/>
    <w:rPr>
      <w:rFonts w:ascii="Tahoma" w:hAnsi="Tahoma" w:cs="Tahoma"/>
      <w:sz w:val="16"/>
      <w:szCs w:val="16"/>
    </w:rPr>
  </w:style>
  <w:style w:type="character" w:customStyle="1" w:styleId="BalloonTextChar">
    <w:name w:val="Balloon Text Char"/>
    <w:basedOn w:val="DefaultParagraphFont"/>
    <w:link w:val="BalloonText"/>
    <w:semiHidden/>
    <w:rsid w:val="00613EA2"/>
    <w:rPr>
      <w:rFonts w:ascii="Tahoma" w:eastAsiaTheme="minorHAnsi" w:hAnsi="Tahoma" w:cs="Tahoma"/>
      <w:spacing w:val="4"/>
      <w:w w:val="103"/>
      <w:sz w:val="16"/>
      <w:szCs w:val="16"/>
      <w:lang w:val="es-ES" w:eastAsia="en-US"/>
    </w:rPr>
  </w:style>
  <w:style w:type="paragraph" w:customStyle="1" w:styleId="Bullet1">
    <w:name w:val="Bullet 1"/>
    <w:basedOn w:val="Normal"/>
    <w:qFormat/>
    <w:rsid w:val="00613EA2"/>
    <w:pPr>
      <w:numPr>
        <w:numId w:val="17"/>
      </w:numPr>
      <w:spacing w:after="120"/>
      <w:ind w:right="1264"/>
      <w:jc w:val="both"/>
    </w:pPr>
  </w:style>
  <w:style w:type="paragraph" w:customStyle="1" w:styleId="Bullet2">
    <w:name w:val="Bullet 2"/>
    <w:basedOn w:val="Normal"/>
    <w:qFormat/>
    <w:rsid w:val="00613EA2"/>
    <w:pPr>
      <w:numPr>
        <w:numId w:val="18"/>
      </w:numPr>
      <w:spacing w:after="120"/>
      <w:ind w:right="1264"/>
      <w:jc w:val="both"/>
    </w:pPr>
  </w:style>
  <w:style w:type="paragraph" w:customStyle="1" w:styleId="Bullet3">
    <w:name w:val="Bullet 3"/>
    <w:basedOn w:val="SingleTxt"/>
    <w:qFormat/>
    <w:rsid w:val="00613EA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13EA2"/>
    <w:pPr>
      <w:spacing w:line="240" w:lineRule="auto"/>
    </w:pPr>
    <w:rPr>
      <w:b/>
      <w:bCs/>
      <w:color w:val="4F81BD"/>
      <w:sz w:val="18"/>
      <w:szCs w:val="18"/>
    </w:rPr>
  </w:style>
  <w:style w:type="character" w:styleId="CommentReference">
    <w:name w:val="annotation reference"/>
    <w:semiHidden/>
    <w:rsid w:val="00613EA2"/>
    <w:rPr>
      <w:sz w:val="6"/>
    </w:rPr>
  </w:style>
  <w:style w:type="paragraph" w:customStyle="1" w:styleId="Distribution">
    <w:name w:val="Distribution"/>
    <w:next w:val="Normal"/>
    <w:autoRedefine/>
    <w:qFormat/>
    <w:rsid w:val="00613EA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13E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13EA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13EA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13EA2"/>
    <w:pPr>
      <w:spacing w:after="80"/>
    </w:pPr>
  </w:style>
  <w:style w:type="character" w:customStyle="1" w:styleId="EndnoteTextChar">
    <w:name w:val="Endnote Text Char"/>
    <w:basedOn w:val="DefaultParagraphFont"/>
    <w:link w:val="EndnoteText"/>
    <w:semiHidden/>
    <w:rsid w:val="00613EA2"/>
    <w:rPr>
      <w:rFonts w:ascii="Times New Roman" w:eastAsiaTheme="minorHAnsi" w:hAnsi="Times New Roman" w:cs="Times New Roman"/>
      <w:spacing w:val="5"/>
      <w:w w:val="104"/>
      <w:sz w:val="17"/>
      <w:lang w:val="es-ES" w:eastAsia="en-US"/>
    </w:rPr>
  </w:style>
  <w:style w:type="paragraph" w:styleId="Footer">
    <w:name w:val="footer"/>
    <w:link w:val="FooterChar"/>
    <w:qFormat/>
    <w:rsid w:val="00613EA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13EA2"/>
    <w:rPr>
      <w:rFonts w:ascii="Times New Roman" w:eastAsiaTheme="minorHAnsi" w:hAnsi="Times New Roman" w:cs="Times New Roman"/>
      <w:b/>
      <w:noProof/>
      <w:sz w:val="17"/>
      <w:lang w:val="en-US" w:eastAsia="en-US"/>
    </w:rPr>
  </w:style>
  <w:style w:type="character" w:styleId="FootnoteReference">
    <w:name w:val="footnote reference"/>
    <w:semiHidden/>
    <w:rsid w:val="00613E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13EA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13EA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13EA2"/>
    <w:pPr>
      <w:spacing w:before="240"/>
    </w:pPr>
    <w:rPr>
      <w:b/>
      <w:spacing w:val="-2"/>
      <w:w w:val="100"/>
    </w:rPr>
  </w:style>
  <w:style w:type="paragraph" w:customStyle="1" w:styleId="HdChapterBdLg">
    <w:name w:val="Hd Chapter Bd Lg"/>
    <w:basedOn w:val="HdChapterBD"/>
    <w:next w:val="Normal"/>
    <w:qFormat/>
    <w:rsid w:val="00613EA2"/>
    <w:rPr>
      <w:spacing w:val="-3"/>
      <w:w w:val="99"/>
      <w:kern w:val="14"/>
      <w:sz w:val="34"/>
      <w:szCs w:val="34"/>
    </w:rPr>
  </w:style>
  <w:style w:type="paragraph" w:styleId="Header">
    <w:name w:val="header"/>
    <w:link w:val="HeaderChar"/>
    <w:qFormat/>
    <w:rsid w:val="00613EA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13EA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13EA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13EA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13EA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13EA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13EA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13EA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13EA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13EA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13EA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13EA2"/>
    <w:pPr>
      <w:keepNext/>
      <w:spacing w:before="190" w:line="270" w:lineRule="exact"/>
    </w:pPr>
    <w:rPr>
      <w:b/>
      <w:kern w:val="14"/>
      <w:sz w:val="24"/>
    </w:rPr>
  </w:style>
  <w:style w:type="paragraph" w:customStyle="1" w:styleId="JournalHeading2">
    <w:name w:val="Journal_Heading2"/>
    <w:basedOn w:val="Normal"/>
    <w:next w:val="Normal"/>
    <w:qFormat/>
    <w:rsid w:val="00613EA2"/>
    <w:pPr>
      <w:keepNext/>
      <w:keepLines/>
      <w:spacing w:before="240"/>
      <w:outlineLvl w:val="1"/>
    </w:pPr>
    <w:rPr>
      <w:b/>
      <w:spacing w:val="2"/>
      <w:kern w:val="14"/>
    </w:rPr>
  </w:style>
  <w:style w:type="paragraph" w:customStyle="1" w:styleId="JournalHeading4">
    <w:name w:val="Journal_Heading4"/>
    <w:basedOn w:val="Normal"/>
    <w:next w:val="Normal"/>
    <w:qFormat/>
    <w:rsid w:val="00613EA2"/>
    <w:pPr>
      <w:keepNext/>
      <w:keepLines/>
      <w:spacing w:before="240"/>
      <w:outlineLvl w:val="3"/>
    </w:pPr>
    <w:rPr>
      <w:i/>
      <w:kern w:val="14"/>
    </w:rPr>
  </w:style>
  <w:style w:type="character" w:styleId="LineNumber">
    <w:name w:val="line number"/>
    <w:qFormat/>
    <w:rsid w:val="00613EA2"/>
    <w:rPr>
      <w:sz w:val="14"/>
    </w:rPr>
  </w:style>
  <w:style w:type="paragraph" w:styleId="NoSpacing">
    <w:name w:val="No Spacing"/>
    <w:basedOn w:val="Normal"/>
    <w:uiPriority w:val="1"/>
    <w:rsid w:val="00613EA2"/>
    <w:pPr>
      <w:spacing w:line="240" w:lineRule="auto"/>
    </w:pPr>
  </w:style>
  <w:style w:type="paragraph" w:customStyle="1" w:styleId="NormalBullet">
    <w:name w:val="Normal Bullet"/>
    <w:basedOn w:val="Normal"/>
    <w:next w:val="Normal"/>
    <w:qFormat/>
    <w:rsid w:val="00613EA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13EA2"/>
    <w:pPr>
      <w:tabs>
        <w:tab w:val="left" w:leader="dot" w:pos="2218"/>
        <w:tab w:val="left" w:pos="2707"/>
        <w:tab w:val="right" w:leader="dot" w:pos="9835"/>
      </w:tabs>
    </w:pPr>
    <w:rPr>
      <w:kern w:val="14"/>
    </w:rPr>
  </w:style>
  <w:style w:type="paragraph" w:customStyle="1" w:styleId="Original">
    <w:name w:val="Original"/>
    <w:next w:val="Normal"/>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13EA2"/>
    <w:pPr>
      <w:tabs>
        <w:tab w:val="right" w:pos="9965"/>
      </w:tabs>
      <w:spacing w:line="210" w:lineRule="exact"/>
    </w:pPr>
    <w:rPr>
      <w:spacing w:val="5"/>
      <w:w w:val="104"/>
      <w:kern w:val="14"/>
      <w:sz w:val="17"/>
    </w:rPr>
  </w:style>
  <w:style w:type="paragraph" w:customStyle="1" w:styleId="SmallX">
    <w:name w:val="SmallX"/>
    <w:basedOn w:val="Small"/>
    <w:next w:val="Normal"/>
    <w:qFormat/>
    <w:rsid w:val="00613EA2"/>
    <w:pPr>
      <w:spacing w:line="180" w:lineRule="exact"/>
      <w:jc w:val="right"/>
    </w:pPr>
    <w:rPr>
      <w:spacing w:val="6"/>
      <w:w w:val="106"/>
      <w:sz w:val="14"/>
    </w:rPr>
  </w:style>
  <w:style w:type="paragraph" w:customStyle="1" w:styleId="TitleHCH">
    <w:name w:val="Title_H_CH"/>
    <w:basedOn w:val="HCh"/>
    <w:next w:val="SingleTxt"/>
    <w:qFormat/>
    <w:rsid w:val="00613E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13E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13EA2"/>
    <w:pPr>
      <w:outlineLvl w:val="9"/>
    </w:pPr>
    <w:rPr>
      <w:rFonts w:eastAsiaTheme="majorEastAsia" w:cstheme="majorBidi"/>
      <w:lang w:bidi="en-US"/>
    </w:rPr>
  </w:style>
  <w:style w:type="paragraph" w:customStyle="1" w:styleId="XLarge">
    <w:name w:val="XLarge"/>
    <w:basedOn w:val="HM"/>
    <w:qFormat/>
    <w:rsid w:val="00613EA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E40C4"/>
    <w:pPr>
      <w:spacing w:line="240" w:lineRule="auto"/>
    </w:pPr>
    <w:rPr>
      <w:szCs w:val="20"/>
    </w:rPr>
  </w:style>
  <w:style w:type="character" w:customStyle="1" w:styleId="CommentTextChar">
    <w:name w:val="Comment Text Char"/>
    <w:basedOn w:val="DefaultParagraphFont"/>
    <w:link w:val="CommentText"/>
    <w:uiPriority w:val="99"/>
    <w:semiHidden/>
    <w:rsid w:val="00FE40C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E40C4"/>
    <w:rPr>
      <w:b/>
      <w:bCs/>
    </w:rPr>
  </w:style>
  <w:style w:type="character" w:customStyle="1" w:styleId="CommentSubjectChar">
    <w:name w:val="Comment Subject Char"/>
    <w:basedOn w:val="CommentTextChar"/>
    <w:link w:val="CommentSubject"/>
    <w:uiPriority w:val="99"/>
    <w:semiHidden/>
    <w:rsid w:val="00FE40C4"/>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D0961"/>
    <w:rPr>
      <w:color w:val="0000FF" w:themeColor="hyperlink"/>
      <w:u w:val="single"/>
    </w:rPr>
  </w:style>
  <w:style w:type="character" w:styleId="FollowedHyperlink">
    <w:name w:val="FollowedHyperlink"/>
    <w:basedOn w:val="DefaultParagraphFont"/>
    <w:uiPriority w:val="99"/>
    <w:semiHidden/>
    <w:unhideWhenUsed/>
    <w:rsid w:val="001D09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EA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13EA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13EA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13EA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13EA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13EA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13EA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13EA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13EA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13EA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13E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13EA2"/>
    <w:pPr>
      <w:keepNext/>
      <w:keepLines/>
      <w:spacing w:line="270" w:lineRule="exact"/>
      <w:outlineLvl w:val="0"/>
    </w:pPr>
    <w:rPr>
      <w:b/>
      <w:kern w:val="14"/>
      <w:sz w:val="24"/>
    </w:rPr>
  </w:style>
  <w:style w:type="paragraph" w:customStyle="1" w:styleId="HCh">
    <w:name w:val="_ H _Ch"/>
    <w:basedOn w:val="H1"/>
    <w:next w:val="SingleTxt"/>
    <w:qFormat/>
    <w:rsid w:val="00613EA2"/>
    <w:pPr>
      <w:spacing w:line="300" w:lineRule="exact"/>
    </w:pPr>
    <w:rPr>
      <w:spacing w:val="-2"/>
      <w:sz w:val="28"/>
    </w:rPr>
  </w:style>
  <w:style w:type="paragraph" w:customStyle="1" w:styleId="HM">
    <w:name w:val="_ H __M"/>
    <w:basedOn w:val="HCh"/>
    <w:next w:val="Normal"/>
    <w:qFormat/>
    <w:rsid w:val="00613EA2"/>
    <w:pPr>
      <w:spacing w:line="360" w:lineRule="exact"/>
    </w:pPr>
    <w:rPr>
      <w:spacing w:val="-3"/>
      <w:w w:val="99"/>
      <w:sz w:val="34"/>
    </w:rPr>
  </w:style>
  <w:style w:type="paragraph" w:customStyle="1" w:styleId="H23">
    <w:name w:val="_ H_2/3"/>
    <w:basedOn w:val="H1"/>
    <w:next w:val="SingleTxt"/>
    <w:qFormat/>
    <w:rsid w:val="00613EA2"/>
    <w:pPr>
      <w:spacing w:line="240" w:lineRule="exact"/>
      <w:outlineLvl w:val="1"/>
    </w:pPr>
    <w:rPr>
      <w:spacing w:val="2"/>
      <w:sz w:val="20"/>
    </w:rPr>
  </w:style>
  <w:style w:type="paragraph" w:customStyle="1" w:styleId="H4">
    <w:name w:val="_ H_4"/>
    <w:basedOn w:val="Normal"/>
    <w:next w:val="SingleTxt"/>
    <w:qFormat/>
    <w:rsid w:val="00613EA2"/>
    <w:pPr>
      <w:keepNext/>
      <w:keepLines/>
      <w:tabs>
        <w:tab w:val="right" w:pos="360"/>
      </w:tabs>
      <w:outlineLvl w:val="3"/>
    </w:pPr>
    <w:rPr>
      <w:i/>
      <w:spacing w:val="3"/>
      <w:kern w:val="14"/>
    </w:rPr>
  </w:style>
  <w:style w:type="paragraph" w:customStyle="1" w:styleId="H56">
    <w:name w:val="_ H_5/6"/>
    <w:basedOn w:val="Normal"/>
    <w:next w:val="SingleTxt"/>
    <w:qFormat/>
    <w:rsid w:val="00613EA2"/>
    <w:pPr>
      <w:keepNext/>
      <w:keepLines/>
      <w:tabs>
        <w:tab w:val="right" w:pos="360"/>
      </w:tabs>
      <w:outlineLvl w:val="4"/>
    </w:pPr>
    <w:rPr>
      <w:kern w:val="14"/>
    </w:rPr>
  </w:style>
  <w:style w:type="paragraph" w:customStyle="1" w:styleId="DualTxt">
    <w:name w:val="__Dual Txt"/>
    <w:basedOn w:val="Normal"/>
    <w:qFormat/>
    <w:rsid w:val="00613EA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13EA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13EA2"/>
    <w:pPr>
      <w:spacing w:line="540" w:lineRule="exact"/>
    </w:pPr>
    <w:rPr>
      <w:spacing w:val="-8"/>
      <w:w w:val="96"/>
      <w:sz w:val="57"/>
    </w:rPr>
  </w:style>
  <w:style w:type="paragraph" w:customStyle="1" w:styleId="SS">
    <w:name w:val="__S_S"/>
    <w:basedOn w:val="HCh"/>
    <w:next w:val="Normal"/>
    <w:qFormat/>
    <w:rsid w:val="00613EA2"/>
    <w:pPr>
      <w:ind w:left="1267" w:right="1267"/>
    </w:pPr>
  </w:style>
  <w:style w:type="paragraph" w:customStyle="1" w:styleId="SingleTxt">
    <w:name w:val="__Single Txt"/>
    <w:basedOn w:val="Normal"/>
    <w:qFormat/>
    <w:rsid w:val="00613E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13EA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13EA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13EA2"/>
    <w:pPr>
      <w:keepNext/>
      <w:keepLines/>
      <w:spacing w:line="240" w:lineRule="exact"/>
      <w:ind w:left="0" w:right="0" w:firstLine="0"/>
      <w:outlineLvl w:val="1"/>
    </w:pPr>
    <w:rPr>
      <w:sz w:val="20"/>
    </w:rPr>
  </w:style>
  <w:style w:type="paragraph" w:styleId="BalloonText">
    <w:name w:val="Balloon Text"/>
    <w:basedOn w:val="Normal"/>
    <w:link w:val="BalloonTextChar"/>
    <w:semiHidden/>
    <w:rsid w:val="00613EA2"/>
    <w:rPr>
      <w:rFonts w:ascii="Tahoma" w:hAnsi="Tahoma" w:cs="Tahoma"/>
      <w:sz w:val="16"/>
      <w:szCs w:val="16"/>
    </w:rPr>
  </w:style>
  <w:style w:type="character" w:customStyle="1" w:styleId="BalloonTextChar">
    <w:name w:val="Balloon Text Char"/>
    <w:basedOn w:val="DefaultParagraphFont"/>
    <w:link w:val="BalloonText"/>
    <w:semiHidden/>
    <w:rsid w:val="00613EA2"/>
    <w:rPr>
      <w:rFonts w:ascii="Tahoma" w:eastAsiaTheme="minorHAnsi" w:hAnsi="Tahoma" w:cs="Tahoma"/>
      <w:spacing w:val="4"/>
      <w:w w:val="103"/>
      <w:sz w:val="16"/>
      <w:szCs w:val="16"/>
      <w:lang w:val="es-ES" w:eastAsia="en-US"/>
    </w:rPr>
  </w:style>
  <w:style w:type="paragraph" w:customStyle="1" w:styleId="Bullet1">
    <w:name w:val="Bullet 1"/>
    <w:basedOn w:val="Normal"/>
    <w:qFormat/>
    <w:rsid w:val="00613EA2"/>
    <w:pPr>
      <w:numPr>
        <w:numId w:val="17"/>
      </w:numPr>
      <w:spacing w:after="120"/>
      <w:ind w:right="1264"/>
      <w:jc w:val="both"/>
    </w:pPr>
  </w:style>
  <w:style w:type="paragraph" w:customStyle="1" w:styleId="Bullet2">
    <w:name w:val="Bullet 2"/>
    <w:basedOn w:val="Normal"/>
    <w:qFormat/>
    <w:rsid w:val="00613EA2"/>
    <w:pPr>
      <w:numPr>
        <w:numId w:val="18"/>
      </w:numPr>
      <w:spacing w:after="120"/>
      <w:ind w:right="1264"/>
      <w:jc w:val="both"/>
    </w:pPr>
  </w:style>
  <w:style w:type="paragraph" w:customStyle="1" w:styleId="Bullet3">
    <w:name w:val="Bullet 3"/>
    <w:basedOn w:val="SingleTxt"/>
    <w:qFormat/>
    <w:rsid w:val="00613EA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13EA2"/>
    <w:pPr>
      <w:spacing w:line="240" w:lineRule="auto"/>
    </w:pPr>
    <w:rPr>
      <w:b/>
      <w:bCs/>
      <w:color w:val="4F81BD"/>
      <w:sz w:val="18"/>
      <w:szCs w:val="18"/>
    </w:rPr>
  </w:style>
  <w:style w:type="character" w:styleId="CommentReference">
    <w:name w:val="annotation reference"/>
    <w:semiHidden/>
    <w:rsid w:val="00613EA2"/>
    <w:rPr>
      <w:sz w:val="6"/>
    </w:rPr>
  </w:style>
  <w:style w:type="paragraph" w:customStyle="1" w:styleId="Distribution">
    <w:name w:val="Distribution"/>
    <w:next w:val="Normal"/>
    <w:autoRedefine/>
    <w:qFormat/>
    <w:rsid w:val="00613EA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13E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13EA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13EA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13EA2"/>
    <w:pPr>
      <w:spacing w:after="80"/>
    </w:pPr>
  </w:style>
  <w:style w:type="character" w:customStyle="1" w:styleId="EndnoteTextChar">
    <w:name w:val="Endnote Text Char"/>
    <w:basedOn w:val="DefaultParagraphFont"/>
    <w:link w:val="EndnoteText"/>
    <w:semiHidden/>
    <w:rsid w:val="00613EA2"/>
    <w:rPr>
      <w:rFonts w:ascii="Times New Roman" w:eastAsiaTheme="minorHAnsi" w:hAnsi="Times New Roman" w:cs="Times New Roman"/>
      <w:spacing w:val="5"/>
      <w:w w:val="104"/>
      <w:sz w:val="17"/>
      <w:lang w:val="es-ES" w:eastAsia="en-US"/>
    </w:rPr>
  </w:style>
  <w:style w:type="paragraph" w:styleId="Footer">
    <w:name w:val="footer"/>
    <w:link w:val="FooterChar"/>
    <w:qFormat/>
    <w:rsid w:val="00613EA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13EA2"/>
    <w:rPr>
      <w:rFonts w:ascii="Times New Roman" w:eastAsiaTheme="minorHAnsi" w:hAnsi="Times New Roman" w:cs="Times New Roman"/>
      <w:b/>
      <w:noProof/>
      <w:sz w:val="17"/>
      <w:lang w:val="en-US" w:eastAsia="en-US"/>
    </w:rPr>
  </w:style>
  <w:style w:type="character" w:styleId="FootnoteReference">
    <w:name w:val="footnote reference"/>
    <w:semiHidden/>
    <w:rsid w:val="00613E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13EA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13EA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13EA2"/>
    <w:pPr>
      <w:spacing w:before="240"/>
    </w:pPr>
    <w:rPr>
      <w:b/>
      <w:spacing w:val="-2"/>
      <w:w w:val="100"/>
    </w:rPr>
  </w:style>
  <w:style w:type="paragraph" w:customStyle="1" w:styleId="HdChapterBdLg">
    <w:name w:val="Hd Chapter Bd Lg"/>
    <w:basedOn w:val="HdChapterBD"/>
    <w:next w:val="Normal"/>
    <w:qFormat/>
    <w:rsid w:val="00613EA2"/>
    <w:rPr>
      <w:spacing w:val="-3"/>
      <w:w w:val="99"/>
      <w:kern w:val="14"/>
      <w:sz w:val="34"/>
      <w:szCs w:val="34"/>
    </w:rPr>
  </w:style>
  <w:style w:type="paragraph" w:styleId="Header">
    <w:name w:val="header"/>
    <w:link w:val="HeaderChar"/>
    <w:qFormat/>
    <w:rsid w:val="00613EA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13EA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13EA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13EA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13EA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13EA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13EA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13EA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13EA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13EA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13EA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13EA2"/>
    <w:pPr>
      <w:keepNext/>
      <w:spacing w:before="190" w:line="270" w:lineRule="exact"/>
    </w:pPr>
    <w:rPr>
      <w:b/>
      <w:kern w:val="14"/>
      <w:sz w:val="24"/>
    </w:rPr>
  </w:style>
  <w:style w:type="paragraph" w:customStyle="1" w:styleId="JournalHeading2">
    <w:name w:val="Journal_Heading2"/>
    <w:basedOn w:val="Normal"/>
    <w:next w:val="Normal"/>
    <w:qFormat/>
    <w:rsid w:val="00613EA2"/>
    <w:pPr>
      <w:keepNext/>
      <w:keepLines/>
      <w:spacing w:before="240"/>
      <w:outlineLvl w:val="1"/>
    </w:pPr>
    <w:rPr>
      <w:b/>
      <w:spacing w:val="2"/>
      <w:kern w:val="14"/>
    </w:rPr>
  </w:style>
  <w:style w:type="paragraph" w:customStyle="1" w:styleId="JournalHeading4">
    <w:name w:val="Journal_Heading4"/>
    <w:basedOn w:val="Normal"/>
    <w:next w:val="Normal"/>
    <w:qFormat/>
    <w:rsid w:val="00613EA2"/>
    <w:pPr>
      <w:keepNext/>
      <w:keepLines/>
      <w:spacing w:before="240"/>
      <w:outlineLvl w:val="3"/>
    </w:pPr>
    <w:rPr>
      <w:i/>
      <w:kern w:val="14"/>
    </w:rPr>
  </w:style>
  <w:style w:type="character" w:styleId="LineNumber">
    <w:name w:val="line number"/>
    <w:qFormat/>
    <w:rsid w:val="00613EA2"/>
    <w:rPr>
      <w:sz w:val="14"/>
    </w:rPr>
  </w:style>
  <w:style w:type="paragraph" w:styleId="NoSpacing">
    <w:name w:val="No Spacing"/>
    <w:basedOn w:val="Normal"/>
    <w:uiPriority w:val="1"/>
    <w:rsid w:val="00613EA2"/>
    <w:pPr>
      <w:spacing w:line="240" w:lineRule="auto"/>
    </w:pPr>
  </w:style>
  <w:style w:type="paragraph" w:customStyle="1" w:styleId="NormalBullet">
    <w:name w:val="Normal Bullet"/>
    <w:basedOn w:val="Normal"/>
    <w:next w:val="Normal"/>
    <w:qFormat/>
    <w:rsid w:val="00613EA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13EA2"/>
    <w:pPr>
      <w:tabs>
        <w:tab w:val="left" w:leader="dot" w:pos="2218"/>
        <w:tab w:val="left" w:pos="2707"/>
        <w:tab w:val="right" w:leader="dot" w:pos="9835"/>
      </w:tabs>
    </w:pPr>
    <w:rPr>
      <w:kern w:val="14"/>
    </w:rPr>
  </w:style>
  <w:style w:type="paragraph" w:customStyle="1" w:styleId="Original">
    <w:name w:val="Original"/>
    <w:next w:val="Normal"/>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13EA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13EA2"/>
    <w:pPr>
      <w:tabs>
        <w:tab w:val="right" w:pos="9965"/>
      </w:tabs>
      <w:spacing w:line="210" w:lineRule="exact"/>
    </w:pPr>
    <w:rPr>
      <w:spacing w:val="5"/>
      <w:w w:val="104"/>
      <w:kern w:val="14"/>
      <w:sz w:val="17"/>
    </w:rPr>
  </w:style>
  <w:style w:type="paragraph" w:customStyle="1" w:styleId="SmallX">
    <w:name w:val="SmallX"/>
    <w:basedOn w:val="Small"/>
    <w:next w:val="Normal"/>
    <w:qFormat/>
    <w:rsid w:val="00613EA2"/>
    <w:pPr>
      <w:spacing w:line="180" w:lineRule="exact"/>
      <w:jc w:val="right"/>
    </w:pPr>
    <w:rPr>
      <w:spacing w:val="6"/>
      <w:w w:val="106"/>
      <w:sz w:val="14"/>
    </w:rPr>
  </w:style>
  <w:style w:type="paragraph" w:customStyle="1" w:styleId="TitleHCH">
    <w:name w:val="Title_H_CH"/>
    <w:basedOn w:val="HCh"/>
    <w:next w:val="SingleTxt"/>
    <w:qFormat/>
    <w:rsid w:val="00613E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13E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13EA2"/>
    <w:pPr>
      <w:outlineLvl w:val="9"/>
    </w:pPr>
    <w:rPr>
      <w:rFonts w:eastAsiaTheme="majorEastAsia" w:cstheme="majorBidi"/>
      <w:lang w:bidi="en-US"/>
    </w:rPr>
  </w:style>
  <w:style w:type="paragraph" w:customStyle="1" w:styleId="XLarge">
    <w:name w:val="XLarge"/>
    <w:basedOn w:val="HM"/>
    <w:qFormat/>
    <w:rsid w:val="00613EA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E40C4"/>
    <w:pPr>
      <w:spacing w:line="240" w:lineRule="auto"/>
    </w:pPr>
    <w:rPr>
      <w:szCs w:val="20"/>
    </w:rPr>
  </w:style>
  <w:style w:type="character" w:customStyle="1" w:styleId="CommentTextChar">
    <w:name w:val="Comment Text Char"/>
    <w:basedOn w:val="DefaultParagraphFont"/>
    <w:link w:val="CommentText"/>
    <w:uiPriority w:val="99"/>
    <w:semiHidden/>
    <w:rsid w:val="00FE40C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E40C4"/>
    <w:rPr>
      <w:b/>
      <w:bCs/>
    </w:rPr>
  </w:style>
  <w:style w:type="character" w:customStyle="1" w:styleId="CommentSubjectChar">
    <w:name w:val="Comment Subject Char"/>
    <w:basedOn w:val="CommentTextChar"/>
    <w:link w:val="CommentSubject"/>
    <w:uiPriority w:val="99"/>
    <w:semiHidden/>
    <w:rsid w:val="00FE40C4"/>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D0961"/>
    <w:rPr>
      <w:color w:val="0000FF" w:themeColor="hyperlink"/>
      <w:u w:val="single"/>
    </w:rPr>
  </w:style>
  <w:style w:type="character" w:styleId="FollowedHyperlink">
    <w:name w:val="FollowedHyperlink"/>
    <w:basedOn w:val="DefaultParagraphFont"/>
    <w:uiPriority w:val="99"/>
    <w:semiHidden/>
    <w:unhideWhenUsed/>
    <w:rsid w:val="001D09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093608">
      <w:bodyDiv w:val="1"/>
      <w:marLeft w:val="0"/>
      <w:marRight w:val="0"/>
      <w:marTop w:val="0"/>
      <w:marBottom w:val="0"/>
      <w:divBdr>
        <w:top w:val="none" w:sz="0" w:space="0" w:color="auto"/>
        <w:left w:val="none" w:sz="0" w:space="0" w:color="auto"/>
        <w:bottom w:val="none" w:sz="0" w:space="0" w:color="auto"/>
        <w:right w:val="none" w:sz="0" w:space="0" w:color="auto"/>
      </w:divBdr>
    </w:div>
    <w:div w:id="184643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DEU/7" TargetMode="External"/><Relationship Id="rId26" Type="http://schemas.openxmlformats.org/officeDocument/2006/relationships/hyperlink" Target="http://undocs.org/sp/CEDAW/C/SLV/Q/8" TargetMode="External"/><Relationship Id="rId39" Type="http://schemas.openxmlformats.org/officeDocument/2006/relationships/hyperlink" Target="http://undocs.org/sp/CEDAW/C/UKR/Q/8/Add.1" TargetMode="External"/><Relationship Id="rId3" Type="http://schemas.microsoft.com/office/2007/relationships/stylesWithEffects" Target="stylesWithEffects.xml"/><Relationship Id="rId21" Type="http://schemas.openxmlformats.org/officeDocument/2006/relationships/hyperlink" Target="http://undocs.org/sp/CEDAW/C/FSM/1" TargetMode="External"/><Relationship Id="rId34" Type="http://schemas.openxmlformats.org/officeDocument/2006/relationships/hyperlink" Target="http://undocs.org/sp/CEDAW/C/SLV/Q/8"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SLV/8" TargetMode="External"/><Relationship Id="rId25" Type="http://schemas.openxmlformats.org/officeDocument/2006/relationships/hyperlink" Target="http://undocs.org/sp/CEDAW/C/DEU/Q/7" TargetMode="External"/><Relationship Id="rId33" Type="http://schemas.openxmlformats.org/officeDocument/2006/relationships/hyperlink" Target="http://undocs.org/sp/CEDAW/C/DEU/Q/7" TargetMode="External"/><Relationship Id="rId38" Type="http://schemas.openxmlformats.org/officeDocument/2006/relationships/hyperlink" Target="http://undocs.org/sp/CEDAW/C/LKA/Q/8/Add.1" TargetMode="External"/><Relationship Id="rId2" Type="http://schemas.openxmlformats.org/officeDocument/2006/relationships/styles" Target="styles.xml"/><Relationship Id="rId16" Type="http://schemas.openxmlformats.org/officeDocument/2006/relationships/hyperlink" Target="http://undocs.org/sp/CEDAW/C/PSWG/66/1" TargetMode="External"/><Relationship Id="rId20" Type="http://schemas.openxmlformats.org/officeDocument/2006/relationships/hyperlink" Target="http://undocs.org/sp/CEDAW/C/JOR/6" TargetMode="External"/><Relationship Id="rId29" Type="http://schemas.openxmlformats.org/officeDocument/2006/relationships/hyperlink" Target="http://undocs.org/sp/CEDAW/C/FSM/Q/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CEDAW/C/UKR/8" TargetMode="External"/><Relationship Id="rId32" Type="http://schemas.openxmlformats.org/officeDocument/2006/relationships/hyperlink" Target="http://undocs.org/sp/CEDAW/C/UKR/Q/8" TargetMode="External"/><Relationship Id="rId37" Type="http://schemas.openxmlformats.org/officeDocument/2006/relationships/hyperlink" Target="http://undocs.org/sp/CEDAW/C/RWA/Q/7" TargetMode="External"/><Relationship Id="rId40" Type="http://schemas.openxmlformats.org/officeDocument/2006/relationships/hyperlink" Target="http://undocs.org/sp/CEDAW/C/67/1" TargetMode="External"/><Relationship Id="rId5" Type="http://schemas.openxmlformats.org/officeDocument/2006/relationships/webSettings" Target="webSettings.xml"/><Relationship Id="rId15" Type="http://schemas.openxmlformats.org/officeDocument/2006/relationships/hyperlink" Target="http://undocs.org/sp/CEDAW/C/66/1" TargetMode="External"/><Relationship Id="rId23" Type="http://schemas.openxmlformats.org/officeDocument/2006/relationships/hyperlink" Target="http://undocs.org/sp/CEDAW/C/LKA/8" TargetMode="External"/><Relationship Id="rId28" Type="http://schemas.openxmlformats.org/officeDocument/2006/relationships/hyperlink" Target="http://undocs.org/sp/CEDAW/C/JOR/Q/6" TargetMode="External"/><Relationship Id="rId36" Type="http://schemas.openxmlformats.org/officeDocument/2006/relationships/hyperlink" Target="http://undocs.org/sp/CEDAW/C/FSM/Q/1" TargetMode="External"/><Relationship Id="rId10" Type="http://schemas.openxmlformats.org/officeDocument/2006/relationships/footer" Target="footer1.xml"/><Relationship Id="rId19" Type="http://schemas.openxmlformats.org/officeDocument/2006/relationships/hyperlink" Target="http://undocs.org/sp/CEDAW/C/IRL/6" TargetMode="External"/><Relationship Id="rId31" Type="http://schemas.openxmlformats.org/officeDocument/2006/relationships/hyperlink" Target="http://undocs.org/sp/CEDAW/C/LKA/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RWA/7" TargetMode="External"/><Relationship Id="rId27" Type="http://schemas.openxmlformats.org/officeDocument/2006/relationships/hyperlink" Target="http://undocs.org/sp/CEDAW/C/IRL/QPR/6" TargetMode="External"/><Relationship Id="rId30" Type="http://schemas.openxmlformats.org/officeDocument/2006/relationships/hyperlink" Target="http://undocs.org/sp/CEDAW/C/RWA/Q/7" TargetMode="External"/><Relationship Id="rId35" Type="http://schemas.openxmlformats.org/officeDocument/2006/relationships/hyperlink" Target="http://undocs.org/sp/CEDAW/C/JOR/Q/6/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1454</Words>
  <Characters>8042</Characters>
  <Application>Microsoft Office Word</Application>
  <DocSecurity>0</DocSecurity>
  <Lines>211</Lines>
  <Paragraphs>109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3</cp:revision>
  <cp:lastPrinted>2017-01-27T20:38:00Z</cp:lastPrinted>
  <dcterms:created xsi:type="dcterms:W3CDTF">2017-01-27T20:38:00Z</dcterms:created>
  <dcterms:modified xsi:type="dcterms:W3CDTF">2017-01-27T20:38:00Z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1700403</vt:lpwstr>
  </property>
  <property fmtid="{D5CDD505-2E9C-101B-9397-08002B2CF9AE}" pid="4" name="ODSRefJobNo">
    <vt:lpwstr>1700831</vt:lpwstr>
  </property>
  <property fmtid="{D5CDD505-2E9C-101B-9397-08002B2CF9AE}" pid="5" name="Symbol1">
    <vt:lpwstr>CEDAW/C/66/1</vt:lpwstr>
  </property>
  <property fmtid="{D5CDD505-2E9C-101B-9397-08002B2CF9AE}" pid="6" name="Symbol2">
    <vt:lpwstr/>
  </property>
  <property fmtid="{D5CDD505-2E9C-101B-9397-08002B2CF9AE}" pid="7" name="Distribution">
    <vt:lpwstr>general</vt:lpwstr>
  </property>
  <property fmtid="{D5CDD505-2E9C-101B-9397-08002B2CF9AE}" pid="8" name="Publication Date">
    <vt:lpwstr>27 de enero de 2017</vt:lpwstr>
  </property>
  <property fmtid="{D5CDD505-2E9C-101B-9397-08002B2CF9AE}" pid="9" name="Original">
    <vt:lpwstr>inglés</vt:lpwstr>
  </property>
  <property fmtid="{D5CDD505-2E9C-101B-9397-08002B2CF9AE}" pid="10" name="Release Date">
    <vt:lpwstr>270117</vt:lpwstr>
  </property>
  <property fmtid="{D5CDD505-2E9C-101B-9397-08002B2CF9AE}" pid="11" name="Comment">
    <vt:lpwstr/>
  </property>
  <property fmtid="{D5CDD505-2E9C-101B-9397-08002B2CF9AE}" pid="12" name="DraftPages">
    <vt:lpwstr> </vt:lpwstr>
  </property>
  <property fmtid="{D5CDD505-2E9C-101B-9397-08002B2CF9AE}" pid="13" name="Operator">
    <vt:lpwstr>External/:Dag</vt:lpwstr>
  </property>
  <property fmtid="{D5CDD505-2E9C-101B-9397-08002B2CF9AE}" pid="14" name="Translator">
    <vt:lpwstr>External/:Dag</vt:lpwstr>
  </property>
</Properties>
</file>