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4D1" w:rsidRDefault="003214D1">
      <w:pPr>
        <w:pStyle w:val="H1"/>
        <w:spacing w:line="60" w:lineRule="exact"/>
        <w:rPr>
          <w:sz w:val="6"/>
        </w:rPr>
      </w:pPr>
      <w:r>
        <w:rPr>
          <w:rStyle w:val="CommentReference"/>
          <w:rFonts w:ascii="SimSun" w:eastAsia="SimSun" w:hint="eastAsia"/>
          <w:vanish/>
          <w:color w:val="auto"/>
        </w:rPr>
        <w:commentReference w:id="0"/>
      </w:r>
    </w:p>
    <w:p w:rsidR="003214D1" w:rsidRDefault="003214D1">
      <w:pPr>
        <w:pStyle w:val="H1"/>
        <w:rPr>
          <w:rFonts w:hint="eastAsia"/>
        </w:rPr>
      </w:pPr>
      <w:r>
        <w:rPr>
          <w:rFonts w:hint="eastAsia"/>
        </w:rPr>
        <w:t>消除对妇女歧视委员会</w:t>
      </w:r>
    </w:p>
    <w:p w:rsidR="003214D1" w:rsidRDefault="003214D1">
      <w:pPr>
        <w:pStyle w:val="H23"/>
        <w:rPr>
          <w:rFonts w:hint="eastAsia"/>
        </w:rPr>
      </w:pPr>
      <w:r>
        <w:rPr>
          <w:rFonts w:hint="eastAsia"/>
        </w:rPr>
        <w:t>第二十届会议</w:t>
      </w:r>
    </w:p>
    <w:p w:rsidR="003214D1" w:rsidRDefault="003214D1">
      <w:pPr>
        <w:spacing w:line="120" w:lineRule="exact"/>
        <w:rPr>
          <w:sz w:val="12"/>
        </w:rPr>
      </w:pPr>
    </w:p>
    <w:p w:rsidR="003214D1" w:rsidRDefault="003214D1">
      <w:pPr>
        <w:spacing w:line="120" w:lineRule="exact"/>
        <w:rPr>
          <w:sz w:val="10"/>
        </w:rPr>
      </w:pPr>
    </w:p>
    <w:p w:rsidR="003214D1" w:rsidRDefault="003214D1">
      <w:pPr>
        <w:pStyle w:val="H23"/>
        <w:rPr>
          <w:rFonts w:hint="eastAsia"/>
        </w:rPr>
      </w:pPr>
      <w:r>
        <w:rPr>
          <w:rFonts w:hint="eastAsia"/>
        </w:rPr>
        <w:t>第409次会议简要记录</w:t>
      </w:r>
    </w:p>
    <w:p w:rsidR="003214D1" w:rsidRDefault="003214D1">
      <w:pPr>
        <w:rPr>
          <w:rFonts w:hint="eastAsia"/>
        </w:rPr>
      </w:pPr>
      <w:r>
        <w:rPr>
          <w:rFonts w:hint="eastAsia"/>
        </w:rPr>
        <w:t>1999年1月22日，星期五，下午3时在纽约总部举行</w:t>
      </w:r>
    </w:p>
    <w:p w:rsidR="003214D1" w:rsidRDefault="003214D1">
      <w:pPr>
        <w:spacing w:line="120" w:lineRule="exact"/>
        <w:rPr>
          <w:rFonts w:hint="eastAsia"/>
          <w:sz w:val="10"/>
        </w:rPr>
      </w:pPr>
    </w:p>
    <w:p w:rsidR="003214D1" w:rsidRDefault="003214D1">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hint="eastAsia"/>
        </w:rPr>
        <w:t>冈萨雷斯女士</w:t>
      </w:r>
    </w:p>
    <w:p w:rsidR="003214D1" w:rsidRDefault="003214D1">
      <w:pPr>
        <w:tabs>
          <w:tab w:val="left" w:pos="1267"/>
          <w:tab w:val="right" w:leader="dot" w:pos="8568"/>
        </w:tabs>
        <w:spacing w:line="120" w:lineRule="exact"/>
        <w:ind w:right="1267"/>
        <w:rPr>
          <w:color w:val="000000"/>
          <w:sz w:val="10"/>
        </w:rPr>
      </w:pPr>
    </w:p>
    <w:p w:rsidR="003214D1" w:rsidRDefault="003214D1">
      <w:pPr>
        <w:tabs>
          <w:tab w:val="left" w:pos="1267"/>
          <w:tab w:val="right" w:leader="dot" w:pos="8568"/>
        </w:tabs>
        <w:spacing w:line="120" w:lineRule="exact"/>
        <w:ind w:right="1267"/>
        <w:rPr>
          <w:color w:val="000000"/>
          <w:sz w:val="10"/>
        </w:rPr>
      </w:pPr>
    </w:p>
    <w:p w:rsidR="003214D1" w:rsidRDefault="003214D1">
      <w:pPr>
        <w:pStyle w:val="HCh"/>
        <w:rPr>
          <w:rFonts w:eastAsia="SimSun" w:hint="eastAsia"/>
        </w:rPr>
      </w:pPr>
      <w:r>
        <w:rPr>
          <w:rFonts w:eastAsia="SimSun" w:hint="eastAsia"/>
        </w:rPr>
        <w:t>目录</w:t>
      </w:r>
    </w:p>
    <w:p w:rsidR="003214D1" w:rsidRDefault="003214D1">
      <w:pPr>
        <w:pStyle w:val="HCh"/>
        <w:spacing w:line="240" w:lineRule="auto"/>
        <w:rPr>
          <w:rFonts w:eastAsia="SimSun"/>
          <w:sz w:val="14"/>
        </w:rPr>
      </w:pPr>
    </w:p>
    <w:p w:rsidR="003214D1" w:rsidRDefault="003214D1">
      <w:pPr>
        <w:pStyle w:val="SingleTxt"/>
        <w:rPr>
          <w:rFonts w:hint="eastAsia"/>
        </w:rPr>
      </w:pPr>
      <w:r>
        <w:rPr>
          <w:rFonts w:hint="eastAsia"/>
        </w:rPr>
        <w:t>审议缔约国根据《公约》第十八条提交的报告（</w:t>
      </w:r>
      <w:r>
        <w:rPr>
          <w:rFonts w:ascii="KaiTi_GB2312" w:eastAsia="KaiTi_GB2312" w:hint="eastAsia"/>
          <w:color w:val="0000FF"/>
        </w:rPr>
        <w:t>续</w:t>
      </w:r>
      <w:r>
        <w:rPr>
          <w:rFonts w:hint="eastAsia"/>
        </w:rPr>
        <w:t>）</w:t>
      </w:r>
    </w:p>
    <w:p w:rsidR="003214D1" w:rsidRDefault="003214D1">
      <w:pPr>
        <w:pStyle w:val="SingleTxt"/>
        <w:rPr>
          <w:rFonts w:ascii="KaiTi_GB2312" w:eastAsia="KaiTi_GB2312"/>
          <w:color w:val="0000FF"/>
        </w:rPr>
      </w:pPr>
      <w:r>
        <w:rPr>
          <w:rFonts w:hint="eastAsia"/>
        </w:rPr>
        <w:tab/>
      </w:r>
      <w:r>
        <w:rPr>
          <w:rFonts w:ascii="KaiTi_GB2312" w:eastAsia="KaiTi_GB2312" w:hint="eastAsia"/>
          <w:color w:val="0000FF"/>
        </w:rPr>
        <w:t>吉尔吉斯斯坦初次报告</w:t>
      </w:r>
    </w:p>
    <w:p w:rsidR="003214D1" w:rsidRDefault="003214D1">
      <w:pPr>
        <w:pStyle w:val="SingleTxt"/>
        <w:sectPr w:rsidR="003214D1">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742" w:right="1195" w:bottom="1898" w:left="1195" w:header="576" w:footer="1030" w:gutter="0"/>
          <w:pgNumType w:start="1"/>
          <w:cols w:space="425"/>
          <w:titlePg/>
          <w:docGrid w:type="lines" w:linePitch="312"/>
        </w:sectPr>
      </w:pPr>
    </w:p>
    <w:p w:rsidR="003214D1" w:rsidRDefault="003214D1">
      <w:pPr>
        <w:pStyle w:val="SingleTxt"/>
        <w:spacing w:after="0" w:line="20" w:lineRule="exact"/>
        <w:ind w:left="0" w:right="0"/>
        <w:sectPr w:rsidR="003214D1">
          <w:pgSz w:w="12242" w:h="15842" w:code="1"/>
          <w:pgMar w:top="1742" w:right="1195" w:bottom="1898" w:left="1195" w:header="576" w:footer="1030" w:gutter="0"/>
          <w:cols w:space="425"/>
          <w:noEndnote/>
          <w:docGrid w:type="lines" w:linePitch="312"/>
        </w:sectPr>
      </w:pPr>
    </w:p>
    <w:p w:rsidR="003214D1" w:rsidRDefault="003214D1">
      <w:pPr>
        <w:pStyle w:val="DualTxt"/>
        <w:rPr>
          <w:rFonts w:ascii="KaiTi_GB2312" w:eastAsia="KaiTi_GB2312" w:hint="eastAsia"/>
          <w:color w:val="0000FF"/>
        </w:rPr>
      </w:pPr>
      <w:r>
        <w:rPr>
          <w:rFonts w:hint="eastAsia"/>
        </w:rPr>
        <w:tab/>
      </w:r>
      <w:r>
        <w:rPr>
          <w:rFonts w:ascii="KaiTi_GB2312" w:eastAsia="KaiTi_GB2312" w:hint="eastAsia"/>
          <w:color w:val="0000FF"/>
        </w:rPr>
        <w:t>下午3时10分开会</w:t>
      </w:r>
    </w:p>
    <w:p w:rsidR="003214D1" w:rsidRDefault="003214D1">
      <w:pPr>
        <w:pStyle w:val="DualTxt"/>
        <w:rPr>
          <w:rFonts w:hint="eastAsia"/>
        </w:rPr>
      </w:pPr>
      <w:r>
        <w:rPr>
          <w:rFonts w:ascii="SimHei" w:eastAsia="SimHei" w:hint="eastAsia"/>
          <w:color w:val="FF0000"/>
        </w:rPr>
        <w:t>审议缔约国根据《公约》第十八条提交的报告</w:t>
      </w:r>
      <w:r>
        <w:rPr>
          <w:rFonts w:hint="eastAsia"/>
        </w:rPr>
        <w:t>（</w:t>
      </w:r>
      <w:r>
        <w:rPr>
          <w:rFonts w:ascii="KaiTi_GB2312" w:eastAsia="KaiTi_GB2312" w:hint="eastAsia"/>
          <w:color w:val="0000FF"/>
        </w:rPr>
        <w:t>续</w:t>
      </w:r>
      <w:r>
        <w:rPr>
          <w:rFonts w:hint="eastAsia"/>
        </w:rPr>
        <w:t>）</w:t>
      </w:r>
    </w:p>
    <w:p w:rsidR="003214D1" w:rsidRDefault="003214D1">
      <w:pPr>
        <w:pStyle w:val="DualTxt"/>
        <w:rPr>
          <w:rFonts w:hint="eastAsia"/>
        </w:rPr>
      </w:pPr>
      <w:r>
        <w:rPr>
          <w:rFonts w:hint="eastAsia"/>
        </w:rPr>
        <w:tab/>
      </w:r>
      <w:r>
        <w:rPr>
          <w:rFonts w:ascii="KaiTi_GB2312" w:eastAsia="KaiTi_GB2312" w:hint="eastAsia"/>
          <w:color w:val="0000FF"/>
        </w:rPr>
        <w:t>吉尔吉斯斯坦的初次报告</w:t>
      </w:r>
      <w:r>
        <w:rPr>
          <w:rFonts w:hint="eastAsia"/>
        </w:rPr>
        <w:t>（CEDAW/C/KGZ/1）</w:t>
      </w:r>
    </w:p>
    <w:p w:rsidR="003214D1" w:rsidRDefault="003214D1">
      <w:pPr>
        <w:pStyle w:val="DualTxt"/>
        <w:rPr>
          <w:rFonts w:hint="eastAsia"/>
        </w:rPr>
      </w:pPr>
      <w:r>
        <w:rPr>
          <w:rFonts w:hint="eastAsia"/>
        </w:rPr>
        <w:t>1.</w:t>
      </w:r>
      <w:r>
        <w:tab/>
      </w:r>
      <w:r>
        <w:rPr>
          <w:rFonts w:hint="eastAsia"/>
        </w:rPr>
        <w:t>应主席邀请，Ismailova女士(吉尔吉斯斯坦)在委员会会议桌就座。</w:t>
      </w:r>
    </w:p>
    <w:p w:rsidR="003214D1" w:rsidRDefault="003214D1">
      <w:pPr>
        <w:pStyle w:val="DualTxt"/>
        <w:rPr>
          <w:rFonts w:hint="eastAsia"/>
        </w:rPr>
      </w:pPr>
      <w:r>
        <w:rPr>
          <w:rFonts w:hint="eastAsia"/>
        </w:rPr>
        <w:t>2.</w:t>
      </w:r>
      <w:r>
        <w:tab/>
      </w:r>
      <w:r>
        <w:rPr>
          <w:rFonts w:ascii="SimHei" w:eastAsia="SimHei" w:hint="eastAsia"/>
          <w:color w:val="FF0000"/>
        </w:rPr>
        <w:t>主席</w:t>
      </w:r>
      <w:r>
        <w:rPr>
          <w:rFonts w:hint="eastAsia"/>
        </w:rPr>
        <w:t>邀请专家继续向吉尔吉斯斯坦政府代表提问。</w:t>
      </w:r>
    </w:p>
    <w:p w:rsidR="003214D1" w:rsidRDefault="003214D1">
      <w:pPr>
        <w:pStyle w:val="DualTxt"/>
        <w:rPr>
          <w:rFonts w:ascii="KaiTi_GB2312" w:eastAsia="KaiTi_GB2312" w:hint="eastAsia"/>
          <w:color w:val="0000FF"/>
        </w:rPr>
      </w:pPr>
      <w:r>
        <w:rPr>
          <w:rFonts w:ascii="KaiTi_GB2312" w:eastAsia="KaiTi_GB2312" w:hint="eastAsia"/>
          <w:color w:val="0000FF"/>
        </w:rPr>
        <w:t>第1条</w:t>
      </w:r>
    </w:p>
    <w:p w:rsidR="003214D1" w:rsidRDefault="003214D1">
      <w:pPr>
        <w:pStyle w:val="DualTxt"/>
        <w:spacing w:line="340" w:lineRule="exact"/>
        <w:rPr>
          <w:rFonts w:hint="eastAsia"/>
        </w:rPr>
      </w:pPr>
      <w:r>
        <w:rPr>
          <w:rFonts w:hint="eastAsia"/>
        </w:rPr>
        <w:t>3.</w:t>
      </w:r>
      <w: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hint="eastAsia"/>
        </w:rPr>
        <w:t>询问《吉尔吉斯斯坦宪法》是否为歧视下了定义，是否正在努力促进司法人员、公务员和其他政府官员对歧视的更多了解，其中包括非刻意的歧视。她还欢迎提供关于全国家庭、妇女和青年事务委员会(第66段)的补充资料，包括其任务、人员配置和预算以及其作用与全国家庭和妇女事务委员会(第44段)有何不同。最后，专家们感到澄清下列问题是有益的，即准备如何确保州妇女倡议中心(第67段)不间断地得到资金，鉴于这些中心开展的工作的重要性，是否准备在国家预算中编列其经费。</w:t>
      </w:r>
    </w:p>
    <w:p w:rsidR="003214D1" w:rsidRDefault="003214D1">
      <w:pPr>
        <w:pStyle w:val="DualTxt"/>
        <w:spacing w:line="340" w:lineRule="exact"/>
        <w:rPr>
          <w:rFonts w:hint="eastAsia"/>
        </w:rPr>
      </w:pPr>
      <w:r>
        <w:rPr>
          <w:rFonts w:hint="eastAsia"/>
        </w:rPr>
        <w:t>4.</w:t>
      </w:r>
      <w:r>
        <w:rPr>
          <w:rFonts w:hint="eastAsia"/>
        </w:rPr>
        <w:tab/>
      </w:r>
      <w:r>
        <w:rPr>
          <w:rFonts w:ascii="SimHei" w:eastAsia="SimHei" w:hint="eastAsia"/>
          <w:color w:val="FF0000"/>
        </w:rPr>
        <w:t>Hazelle女士</w:t>
      </w:r>
      <w:r>
        <w:rPr>
          <w:rFonts w:hint="eastAsia"/>
        </w:rPr>
        <w:t>说，她欢迎提供有关全国家庭、妇女和青年事务委员会职权范围和目标以及有关州妇女倡议中心的补充资料。令人有些关切的是，由于缺乏财政资源，区域行政部门工作人员是在自愿基础上工作的。这种状况使人怀疑政府有效解决过渡时期妇女状况的急剧恶化问题(第66段)的决心。</w:t>
      </w:r>
    </w:p>
    <w:p w:rsidR="003214D1" w:rsidRDefault="003214D1">
      <w:pPr>
        <w:pStyle w:val="DualTxt"/>
        <w:spacing w:line="340" w:lineRule="exact"/>
        <w:rPr>
          <w:rFonts w:hint="eastAsia"/>
        </w:rPr>
      </w:pPr>
      <w:r>
        <w:rPr>
          <w:rFonts w:hint="eastAsia"/>
        </w:rPr>
        <w:t>5.</w:t>
      </w:r>
      <w:r>
        <w:rPr>
          <w:rFonts w:hint="eastAsia"/>
        </w:rPr>
        <w:tab/>
      </w:r>
      <w:r>
        <w:rPr>
          <w:rFonts w:ascii="SimHei" w:eastAsia="SimHei" w:hint="eastAsia"/>
          <w:color w:val="FF0000"/>
        </w:rPr>
        <w:t>Kim Yung-chung女士</w:t>
      </w:r>
      <w:r>
        <w:rPr>
          <w:rFonts w:hint="eastAsia"/>
        </w:rPr>
        <w:t>说，她也感到关切的是，区域行政部门工作人员工作没有报酬。她想了解妇女倡议中心是否在其活动和其他妇女组织的活动间进行协调。</w:t>
      </w:r>
    </w:p>
    <w:p w:rsidR="003214D1" w:rsidRDefault="003214D1">
      <w:pPr>
        <w:pStyle w:val="DualTxt"/>
        <w:rPr>
          <w:rFonts w:hint="eastAsia"/>
        </w:rPr>
      </w:pPr>
      <w:r>
        <w:rPr>
          <w:rFonts w:ascii="KaiTi_GB2312" w:eastAsia="KaiTi_GB2312" w:hint="eastAsia"/>
          <w:color w:val="0000FF"/>
        </w:rPr>
        <w:t>第2条</w:t>
      </w:r>
    </w:p>
    <w:p w:rsidR="003214D1" w:rsidRDefault="003214D1">
      <w:pPr>
        <w:pStyle w:val="DualTxt"/>
        <w:rPr>
          <w:rFonts w:hint="eastAsia"/>
        </w:rPr>
      </w:pPr>
      <w:r>
        <w:rPr>
          <w:rFonts w:hint="eastAsia"/>
        </w:rPr>
        <w:t>6.</w:t>
      </w:r>
      <w:r>
        <w:rPr>
          <w:rFonts w:hint="eastAsia"/>
        </w:rPr>
        <w:tab/>
      </w:r>
      <w:r>
        <w:rPr>
          <w:rFonts w:ascii="SimHei" w:eastAsia="SimHei" w:hint="eastAsia"/>
          <w:color w:val="FF0000"/>
        </w:rPr>
        <w:t>Hazelle女士</w:t>
      </w:r>
      <w:r>
        <w:rPr>
          <w:rFonts w:hint="eastAsia"/>
        </w:rPr>
        <w:t>注意到，报告(CEDAW/C/KGZ/1)的第74段载有一份清单，列出根据“阿亚尔扎特”全国方案采取的、用来解决对妇女的暴力行为的措施。了解下列情况是有益的，即根据该纲要开展了哪些具体行动，是否有监测成果的机制以及政府哪个部负责该方案的总体执行。</w:t>
      </w:r>
    </w:p>
    <w:p w:rsidR="003214D1" w:rsidRDefault="003214D1">
      <w:pPr>
        <w:pStyle w:val="DualTxt"/>
        <w:rPr>
          <w:rFonts w:hint="eastAsia"/>
        </w:rPr>
      </w:pPr>
      <w:r>
        <w:rPr>
          <w:rFonts w:hint="eastAsia"/>
        </w:rPr>
        <w:t>7.</w:t>
      </w:r>
      <w:r>
        <w:rPr>
          <w:rFonts w:hint="eastAsia"/>
        </w:rPr>
        <w:tab/>
        <w:t>在对妇女的暴力行为问题上，得到有关对妇女的家庭暴力的发生率的统计数据以及关于任何已经生效的针对此类暴力行为的立法的资料将有帮助。例如，委员会或许想知道，《刑法》或其他国内法中是否规定了对家庭暴力的处罚。鉴于该国社会的父权制性质，向执法机构人员宣传促进两性平等的必要性极为重要。她对成立两个强奸危机中心(第75段)表示欢迎，但遗憾的是报告未谈及是否也向强奸受害人提供其它类型的服务，诸如咨询、住所、法院保护令等。</w:t>
      </w:r>
    </w:p>
    <w:p w:rsidR="003214D1" w:rsidRDefault="003214D1">
      <w:pPr>
        <w:pStyle w:val="DualTxt"/>
        <w:rPr>
          <w:rFonts w:hint="eastAsia"/>
        </w:rPr>
      </w:pPr>
      <w:r>
        <w:rPr>
          <w:rFonts w:hint="eastAsia"/>
        </w:rPr>
        <w:t>8.</w:t>
      </w:r>
      <w:r>
        <w:rPr>
          <w:rFonts w:hint="eastAsia"/>
        </w:rPr>
        <w:tab/>
      </w:r>
      <w:r>
        <w:rPr>
          <w:rFonts w:ascii="SimHei" w:eastAsia="SimHei" w:hint="eastAsia"/>
          <w:color w:val="FF0000"/>
        </w:rPr>
        <w:t>Goonesekere女士</w:t>
      </w:r>
      <w:r>
        <w:rPr>
          <w:rFonts w:hint="eastAsia"/>
        </w:rPr>
        <w:t>说，她想得到关于在妇女权利领域制定政策的体制安排的资料，特别是有关得到它提供的服务及这种安排与执法机构间的相互作用的资料。她也想了解那些向妇女施暴的人被判了什么刑。</w:t>
      </w:r>
    </w:p>
    <w:p w:rsidR="003214D1" w:rsidRDefault="003214D1">
      <w:pPr>
        <w:pStyle w:val="DualTxt"/>
        <w:rPr>
          <w:rFonts w:hint="eastAsia"/>
        </w:rPr>
      </w:pPr>
      <w:r>
        <w:rPr>
          <w:rFonts w:hint="eastAsia"/>
        </w:rPr>
        <w:t>9.</w:t>
      </w:r>
      <w:r>
        <w:rPr>
          <w:rFonts w:hint="eastAsia"/>
        </w:rPr>
        <w:tab/>
      </w:r>
      <w:r>
        <w:rPr>
          <w:rFonts w:ascii="SimHei" w:eastAsia="SimHei" w:hint="eastAsia"/>
          <w:color w:val="FF0000"/>
        </w:rPr>
        <w:t>主席</w:t>
      </w:r>
      <w:r>
        <w:rPr>
          <w:rFonts w:hint="eastAsia"/>
        </w:rPr>
        <w:t>以专家的身份发言，对报告第75段提到，女同性恋是性方面的暴力行为，她要求澄清。</w:t>
      </w:r>
    </w:p>
    <w:p w:rsidR="003214D1" w:rsidRDefault="003214D1">
      <w:pPr>
        <w:pStyle w:val="DualTxt"/>
        <w:rPr>
          <w:rFonts w:hint="eastAsia"/>
        </w:rPr>
      </w:pPr>
      <w:r>
        <w:rPr>
          <w:rFonts w:ascii="KaiTi_GB2312" w:eastAsia="KaiTi_GB2312" w:hint="eastAsia"/>
          <w:color w:val="0000FF"/>
        </w:rPr>
        <w:t>第3条</w:t>
      </w:r>
    </w:p>
    <w:p w:rsidR="003214D1" w:rsidRDefault="003214D1">
      <w:pPr>
        <w:pStyle w:val="DualTxt"/>
        <w:spacing w:line="340" w:lineRule="exact"/>
        <w:rPr>
          <w:rFonts w:hint="eastAsia"/>
        </w:rPr>
      </w:pPr>
      <w:r>
        <w:rPr>
          <w:rFonts w:hint="eastAsia"/>
        </w:rPr>
        <w:t>10.</w:t>
      </w:r>
      <w:r>
        <w:rPr>
          <w:rFonts w:hint="eastAsia"/>
        </w:rPr>
        <w:tab/>
      </w:r>
      <w:r>
        <w:rPr>
          <w:rFonts w:ascii="SimHei" w:eastAsia="SimHei" w:hint="eastAsia"/>
          <w:color w:val="FF0000"/>
        </w:rPr>
        <w:t>Ouedraogo女士</w:t>
      </w:r>
      <w:r>
        <w:rPr>
          <w:rFonts w:hint="eastAsia"/>
        </w:rPr>
        <w:t>询问，什么是“阿亚尔扎特”全国方案的具体目标，何为评估其成果的机制，如果有的话，妇女在多大程度上参与了该方案的拟订。她也欢迎提供有关负责提高妇女地位的部与妇女的非政府组织之间的关系的资料。</w:t>
      </w:r>
    </w:p>
    <w:p w:rsidR="003214D1" w:rsidRDefault="003214D1">
      <w:pPr>
        <w:pStyle w:val="DualTxt"/>
        <w:spacing w:line="340" w:lineRule="exact"/>
        <w:rPr>
          <w:rFonts w:hint="eastAsia"/>
        </w:rPr>
      </w:pPr>
      <w:r>
        <w:rPr>
          <w:rFonts w:hint="eastAsia"/>
        </w:rPr>
        <w:t>11.</w:t>
      </w:r>
      <w:r>
        <w:rPr>
          <w:rFonts w:hint="eastAsia"/>
        </w:rPr>
        <w:tab/>
      </w:r>
      <w:r>
        <w:rPr>
          <w:rFonts w:ascii="SimHei" w:eastAsia="SimHei" w:hint="eastAsia"/>
          <w:color w:val="FF0000"/>
        </w:rPr>
        <w:t>Ferrer女士</w:t>
      </w:r>
      <w:r>
        <w:rPr>
          <w:rFonts w:hint="eastAsia"/>
        </w:rPr>
        <w:t>说，她欢迎提供关于妇女民主党的补充资料，包括其目标、成员以及与提高妇女地位的其他机制的关系等。</w:t>
      </w:r>
    </w:p>
    <w:p w:rsidR="003214D1" w:rsidRDefault="003214D1">
      <w:pPr>
        <w:pStyle w:val="DualTxt"/>
        <w:spacing w:line="330" w:lineRule="exact"/>
        <w:rPr>
          <w:rFonts w:hint="eastAsia"/>
        </w:rPr>
      </w:pPr>
      <w:r>
        <w:rPr>
          <w:rFonts w:hint="eastAsia"/>
        </w:rPr>
        <w:t>12.</w:t>
      </w:r>
      <w:r>
        <w:rPr>
          <w:rFonts w:hint="eastAsia"/>
        </w:rPr>
        <w:tab/>
      </w:r>
      <w:r>
        <w:rPr>
          <w:rFonts w:ascii="SimHei" w:eastAsia="SimHei" w:hint="eastAsia"/>
          <w:color w:val="FF0000"/>
        </w:rPr>
        <w:t>冯淬女士</w:t>
      </w:r>
      <w:r>
        <w:rPr>
          <w:rFonts w:hint="eastAsia"/>
        </w:rPr>
        <w:t>询问，吉尔吉斯斯坦向市场经济过渡所造成的经济、政治、社会和文化变化对吉尔吉斯妇女有什么影响。她想了解吉尔吉斯斯坦准备如何执行1998年2月11日第34号总统命令(第76段)规定的消除贫穷的措施。</w:t>
      </w:r>
    </w:p>
    <w:p w:rsidR="003214D1" w:rsidRDefault="003214D1">
      <w:pPr>
        <w:pStyle w:val="DualTxt"/>
        <w:rPr>
          <w:rFonts w:hint="eastAsia"/>
        </w:rPr>
      </w:pPr>
      <w:r>
        <w:rPr>
          <w:rFonts w:hint="eastAsia"/>
        </w:rPr>
        <w:t>13.</w:t>
      </w:r>
      <w:r>
        <w:rPr>
          <w:rFonts w:hint="eastAsia"/>
        </w:rPr>
        <w:tab/>
      </w:r>
      <w:r>
        <w:rPr>
          <w:rFonts w:ascii="SimHei" w:eastAsia="SimHei" w:hint="eastAsia"/>
          <w:color w:val="FF0000"/>
        </w:rPr>
        <w:t>Kim Yung-chung女士</w:t>
      </w:r>
      <w:r>
        <w:rPr>
          <w:rFonts w:hint="eastAsia"/>
        </w:rPr>
        <w:t>询问，妇女与工会研讨会(第76段)在培植妇女担任领导方面有何成果。</w:t>
      </w:r>
    </w:p>
    <w:p w:rsidR="003214D1" w:rsidRDefault="003214D1">
      <w:pPr>
        <w:pStyle w:val="DualTxt"/>
        <w:rPr>
          <w:rFonts w:hint="eastAsia"/>
        </w:rPr>
      </w:pPr>
      <w:r>
        <w:rPr>
          <w:rFonts w:ascii="KaiTi_GB2312" w:eastAsia="KaiTi_GB2312" w:hint="eastAsia"/>
          <w:color w:val="0000FF"/>
        </w:rPr>
        <w:t>第4条</w:t>
      </w:r>
    </w:p>
    <w:p w:rsidR="003214D1" w:rsidRDefault="003214D1">
      <w:pPr>
        <w:pStyle w:val="DualTxt"/>
        <w:rPr>
          <w:rFonts w:hint="eastAsia"/>
        </w:rPr>
      </w:pPr>
      <w:r>
        <w:rPr>
          <w:rFonts w:hint="eastAsia"/>
        </w:rPr>
        <w:t>14.</w:t>
      </w:r>
      <w:r>
        <w:rPr>
          <w:rFonts w:hint="eastAsia"/>
        </w:rPr>
        <w:tab/>
      </w:r>
      <w:r>
        <w:rPr>
          <w:rFonts w:ascii="SimHei" w:eastAsia="SimHei" w:hint="eastAsia"/>
          <w:color w:val="FF0000"/>
        </w:rPr>
        <w:t>Abaka女士</w:t>
      </w:r>
      <w:r>
        <w:rPr>
          <w:rFonts w:hint="eastAsia"/>
        </w:rPr>
        <w:t>表示，定额制度仅仅是用来加速男女实际上的平等而采取的临时特别措施，它并未解除缔约国完全执行公约第4条条款这一义务。谈及《劳工法典》的条款时，她希望了解一些保护妇女就业方面的政策是否实际上是大家长式的，并且会产生反效果。</w:t>
      </w:r>
    </w:p>
    <w:p w:rsidR="003214D1" w:rsidRDefault="003214D1">
      <w:pPr>
        <w:pStyle w:val="DualTxt"/>
        <w:rPr>
          <w:rFonts w:hint="eastAsia"/>
        </w:rPr>
      </w:pPr>
      <w:r>
        <w:rPr>
          <w:rFonts w:ascii="KaiTi_GB2312" w:eastAsia="KaiTi_GB2312" w:hint="eastAsia"/>
          <w:color w:val="0000FF"/>
        </w:rPr>
        <w:t>第5条</w:t>
      </w:r>
    </w:p>
    <w:p w:rsidR="003214D1" w:rsidRDefault="003214D1">
      <w:pPr>
        <w:pStyle w:val="DualTxt"/>
        <w:rPr>
          <w:rFonts w:hint="eastAsia"/>
        </w:rPr>
      </w:pPr>
      <w:r>
        <w:rPr>
          <w:rFonts w:hint="eastAsia"/>
        </w:rPr>
        <w:t>15.</w:t>
      </w:r>
      <w:r>
        <w:rPr>
          <w:rFonts w:hint="eastAsia"/>
        </w:rPr>
        <w:tab/>
      </w:r>
      <w:r>
        <w:rPr>
          <w:rFonts w:ascii="SimHei" w:eastAsia="SimHei" w:hint="eastAsia"/>
          <w:color w:val="FF0000"/>
        </w:rPr>
        <w:t>Corti女士</w:t>
      </w:r>
      <w:r>
        <w:rPr>
          <w:rFonts w:hint="eastAsia"/>
        </w:rPr>
        <w:t>说，她对吉尔吉斯斯坦境内对妇女施暴的行为非常普遍感到震惊。极为重要的是，政府应该进行有效的公众宣传活动，改变现行的将妇女作为性玩物的成见，并向强奸受害人提供援助。</w:t>
      </w:r>
    </w:p>
    <w:p w:rsidR="003214D1" w:rsidRDefault="003214D1">
      <w:pPr>
        <w:pStyle w:val="DualTxt"/>
        <w:rPr>
          <w:rFonts w:hint="eastAsia"/>
        </w:rPr>
      </w:pPr>
      <w:r>
        <w:rPr>
          <w:rFonts w:hint="eastAsia"/>
        </w:rPr>
        <w:t>16.</w:t>
      </w:r>
      <w:r>
        <w:rPr>
          <w:rFonts w:hint="eastAsia"/>
        </w:rPr>
        <w:tab/>
      </w:r>
      <w:r>
        <w:rPr>
          <w:rFonts w:ascii="SimHei" w:eastAsia="SimHei" w:hint="eastAsia"/>
          <w:color w:val="FF0000"/>
        </w:rPr>
        <w:t>Ferrer女士</w:t>
      </w:r>
      <w:r>
        <w:rPr>
          <w:rFonts w:hint="eastAsia"/>
        </w:rPr>
        <w:t>要求对吉尔吉斯斯坦社会上对妇女施暴的事件的增加作出解释，并询问有关立法执行的有效性如何。她不理解为什么消除性别成见的努力在实践中如此无效，为什么政府在努力促进丈夫作为挣钱养家者的地位(第87段)。委员会欢迎提供有关打击此类成见的教育和其他方案的资料，包括任何特别有关女童的方案的细节。她还询问为什么就性骚扰问题对刑法典的拟议订正遭到拒绝(第82段)。</w:t>
      </w:r>
    </w:p>
    <w:p w:rsidR="003214D1" w:rsidRDefault="003214D1">
      <w:pPr>
        <w:pStyle w:val="DualTxt"/>
        <w:rPr>
          <w:rFonts w:hint="eastAsia"/>
        </w:rPr>
      </w:pPr>
      <w:r>
        <w:rPr>
          <w:rFonts w:hint="eastAsia"/>
        </w:rPr>
        <w:t>17.</w:t>
      </w:r>
      <w:r>
        <w:rPr>
          <w:rFonts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hint="eastAsia"/>
        </w:rPr>
        <w:t>询问，为什么女同性恋在吉尔吉斯斯坦境内被定为犯罪行为，如何能将性取向等同于“性方面的暴力行为”。</w:t>
      </w:r>
    </w:p>
    <w:p w:rsidR="003214D1" w:rsidRDefault="003214D1">
      <w:pPr>
        <w:pStyle w:val="DualTxt"/>
        <w:rPr>
          <w:rFonts w:hint="eastAsia"/>
        </w:rPr>
      </w:pPr>
      <w:r>
        <w:rPr>
          <w:rFonts w:ascii="KaiTi_GB2312" w:eastAsia="KaiTi_GB2312" w:hint="eastAsia"/>
          <w:color w:val="0000FF"/>
        </w:rPr>
        <w:t>第6条</w:t>
      </w:r>
    </w:p>
    <w:p w:rsidR="003214D1" w:rsidRDefault="003214D1">
      <w:pPr>
        <w:pStyle w:val="DualTxt"/>
        <w:rPr>
          <w:rFonts w:hint="eastAsia"/>
        </w:rPr>
      </w:pPr>
      <w:r>
        <w:rPr>
          <w:rFonts w:hint="eastAsia"/>
        </w:rPr>
        <w:t>18.</w:t>
      </w:r>
      <w:r>
        <w:rPr>
          <w:rFonts w:hint="eastAsia"/>
        </w:rPr>
        <w:tab/>
      </w:r>
      <w:r>
        <w:rPr>
          <w:rFonts w:ascii="SimHei" w:eastAsia="SimHei" w:hint="eastAsia"/>
          <w:color w:val="FF0000"/>
        </w:rPr>
        <w:t>Khan女士</w:t>
      </w:r>
      <w:r>
        <w:rPr>
          <w:rFonts w:hint="eastAsia"/>
        </w:rPr>
        <w:t>对缔约国批准广泛的国际文书表示欢迎。吉尔吉斯斯坦迅速提交其定期报告(仅在批准公约一年之内)显示其认真致力于妇女权利。</w:t>
      </w:r>
    </w:p>
    <w:p w:rsidR="003214D1" w:rsidRDefault="003214D1">
      <w:pPr>
        <w:pStyle w:val="DualTxt"/>
        <w:rPr>
          <w:rFonts w:hint="eastAsia"/>
        </w:rPr>
      </w:pPr>
      <w:r>
        <w:rPr>
          <w:rFonts w:hint="eastAsia"/>
        </w:rPr>
        <w:t>19.</w:t>
      </w:r>
      <w:r>
        <w:rPr>
          <w:rFonts w:hint="eastAsia"/>
        </w:rPr>
        <w:tab/>
        <w:t>最近卖淫和人口贩运的增加可能是下列原因造成的：经济转型对妇女生活的不利影响、巨大的农村人口和贫穷人口的存在以及劳动力的迁徙(外部和内部)。现有的遏制贩运增长的国家机制似乎不足以解决这一现象。她想知道是否已努力揭露执法机构方面的任何同谋行为，以及判断是否有国际团伙和移民参与性交易。委员会欢迎提供有关与邻国合作以及关于那些针对最易受害于性交易的妇女的方案的资料。</w:t>
      </w:r>
    </w:p>
    <w:p w:rsidR="003214D1" w:rsidRDefault="003214D1">
      <w:pPr>
        <w:pStyle w:val="DualTxt"/>
        <w:rPr>
          <w:rFonts w:hint="eastAsia"/>
        </w:rPr>
      </w:pPr>
      <w:r>
        <w:rPr>
          <w:rFonts w:hint="eastAsia"/>
        </w:rPr>
        <w:t>20.</w:t>
      </w:r>
      <w:r>
        <w:rPr>
          <w:rFonts w:hint="eastAsia"/>
        </w:rPr>
        <w:tab/>
        <w:t>鉴于其长期心理创伤，轮奸是委员会特别关切的问题。关于查知的轮奸案件数目的数据是有用的，有关向受害人提供的康复设施的性质和范围的进一步资料也有用。</w:t>
      </w:r>
    </w:p>
    <w:p w:rsidR="003214D1" w:rsidRDefault="003214D1">
      <w:pPr>
        <w:pStyle w:val="DualTxt"/>
        <w:rPr>
          <w:rFonts w:hint="eastAsia"/>
        </w:rPr>
      </w:pPr>
      <w:r>
        <w:rPr>
          <w:rFonts w:hint="eastAsia"/>
        </w:rPr>
        <w:t>21.</w:t>
      </w:r>
      <w:r>
        <w:rPr>
          <w:rFonts w:hint="eastAsia"/>
        </w:rPr>
        <w:tab/>
        <w:t>酗酒和药物滥用的总体增加无疑与对妇女的暴力行为的增加有关。她询问农村妇女是否能够有平等接触宣传和支助方案的机会。</w:t>
      </w:r>
    </w:p>
    <w:p w:rsidR="003214D1" w:rsidRDefault="003214D1">
      <w:pPr>
        <w:pStyle w:val="DualTxt"/>
        <w:rPr>
          <w:rFonts w:hint="eastAsia"/>
        </w:rPr>
      </w:pPr>
      <w:r>
        <w:rPr>
          <w:rFonts w:hint="eastAsia"/>
        </w:rPr>
        <w:t>22.</w:t>
      </w:r>
      <w:r>
        <w:rPr>
          <w:rFonts w:hint="eastAsia"/>
        </w:rPr>
        <w:tab/>
        <w:t>委员会也欢迎提供有关解决一夫多妻制现象的惩罚措施的资料，推测这一现象是在独立后重新抬头的。委员会希望了解为什么社会现会允许这种做法。</w:t>
      </w:r>
    </w:p>
    <w:p w:rsidR="003214D1" w:rsidRDefault="003214D1">
      <w:pPr>
        <w:pStyle w:val="DualTxt"/>
        <w:rPr>
          <w:rFonts w:hint="eastAsia"/>
        </w:rPr>
      </w:pPr>
      <w:r>
        <w:rPr>
          <w:rFonts w:hint="eastAsia"/>
        </w:rPr>
        <w:t>23.</w:t>
      </w:r>
      <w:r>
        <w:rPr>
          <w:rFonts w:hint="eastAsia"/>
        </w:rPr>
        <w:tab/>
      </w:r>
      <w:r>
        <w:rPr>
          <w:rFonts w:ascii="SimHei" w:eastAsia="SimHei" w:hint="eastAsia"/>
          <w:color w:val="FF0000"/>
        </w:rPr>
        <w:t>Acar女士</w:t>
      </w:r>
      <w:r>
        <w:rPr>
          <w:rFonts w:hint="eastAsia"/>
        </w:rPr>
        <w:t>说，她不明白规定所有旅游者12天按时返回(第91段)的命令怎样能够控制卖淫活动。这似乎意味着侵犯了行动自由权。</w:t>
      </w:r>
    </w:p>
    <w:p w:rsidR="003214D1" w:rsidRDefault="003214D1">
      <w:pPr>
        <w:pStyle w:val="DualTxt"/>
        <w:rPr>
          <w:rFonts w:hint="eastAsia"/>
        </w:rPr>
      </w:pPr>
      <w:r>
        <w:rPr>
          <w:rFonts w:hint="eastAsia"/>
        </w:rPr>
        <w:t>24.</w:t>
      </w:r>
      <w:r>
        <w:rPr>
          <w:rFonts w:hint="eastAsia"/>
        </w:rPr>
        <w:tab/>
      </w:r>
      <w:r>
        <w:rPr>
          <w:rFonts w:ascii="SimHei" w:eastAsia="SimHei" w:hint="eastAsia"/>
          <w:color w:val="FF0000"/>
        </w:rPr>
        <w:t>Goonesekere女士</w:t>
      </w:r>
      <w:r>
        <w:rPr>
          <w:rFonts w:hint="eastAsia"/>
        </w:rPr>
        <w:t xml:space="preserve">认为，报告对性旅游问题和事实上的一夫多妻问题轻描淡写，这两者通常是相互关联的。吉尔吉斯斯坦境内对贩运人口的判刑似乎很宽松，好象当地被起诉的性犯罪很少(第90段)。她想了解对旅游机构执照发放方面的管制措施的实际有效性如何，现有哪些向被贩运人口受害人提供支助的制度。 </w:t>
      </w:r>
    </w:p>
    <w:p w:rsidR="003214D1" w:rsidRDefault="003214D1">
      <w:pPr>
        <w:pStyle w:val="DualTxt"/>
        <w:rPr>
          <w:rFonts w:hint="eastAsia"/>
        </w:rPr>
      </w:pPr>
      <w:r>
        <w:rPr>
          <w:rFonts w:ascii="KaiTi_GB2312" w:eastAsia="KaiTi_GB2312" w:hint="eastAsia"/>
          <w:color w:val="0000FF"/>
        </w:rPr>
        <w:t>第7条</w:t>
      </w:r>
    </w:p>
    <w:p w:rsidR="003214D1" w:rsidRDefault="003214D1">
      <w:pPr>
        <w:pStyle w:val="DualTxt"/>
        <w:rPr>
          <w:rFonts w:hint="eastAsia"/>
        </w:rPr>
      </w:pPr>
      <w:r>
        <w:rPr>
          <w:rFonts w:hint="eastAsia"/>
        </w:rPr>
        <w:t>25.</w:t>
      </w:r>
      <w:r>
        <w:rPr>
          <w:rFonts w:hint="eastAsia"/>
        </w:rPr>
        <w:tab/>
      </w:r>
      <w:r>
        <w:rPr>
          <w:rFonts w:ascii="SimHei" w:eastAsia="SimHei" w:hint="eastAsia"/>
          <w:color w:val="FF0000"/>
        </w:rPr>
        <w:t>Corti女士</w:t>
      </w:r>
      <w:r>
        <w:rPr>
          <w:rFonts w:hint="eastAsia"/>
        </w:rPr>
        <w:t>对妇女参与经济的各个部门表示欢迎，并称，对一个新独立的国家来说，妇女高度参与文化活动特别值得称道。但是，妇女在立法决策职位上任职人数不足；这是该国必须解决的最重要的问题之一。</w:t>
      </w:r>
    </w:p>
    <w:p w:rsidR="003214D1" w:rsidRDefault="003214D1">
      <w:pPr>
        <w:pStyle w:val="DualTxt"/>
        <w:spacing w:line="340" w:lineRule="exact"/>
        <w:rPr>
          <w:rFonts w:hint="eastAsia"/>
        </w:rPr>
      </w:pPr>
      <w:r>
        <w:rPr>
          <w:rFonts w:hint="eastAsia"/>
        </w:rPr>
        <w:t>26.</w:t>
      </w:r>
      <w:r>
        <w:rPr>
          <w:rFonts w:hint="eastAsia"/>
        </w:rPr>
        <w:tab/>
      </w:r>
      <w:r>
        <w:rPr>
          <w:rFonts w:ascii="SimHei" w:eastAsia="SimHei" w:hint="eastAsia"/>
          <w:color w:val="FF0000"/>
        </w:rPr>
        <w:t>Myakayaka-Manzini女士</w:t>
      </w:r>
      <w:r>
        <w:rPr>
          <w:rFonts w:hint="eastAsia"/>
        </w:rPr>
        <w:t>对男子代表其妻子或女儿投票的做法表示担忧；这肯定构成了违反每个个人投票的权利。对阻碍投票权情况的报告程序作一描述，以及提供迄今已有报告的案件的数据将是有益的。</w:t>
      </w:r>
    </w:p>
    <w:p w:rsidR="003214D1" w:rsidRDefault="003214D1">
      <w:pPr>
        <w:pStyle w:val="DualTxt"/>
        <w:rPr>
          <w:rFonts w:hint="eastAsia"/>
        </w:rPr>
      </w:pPr>
      <w:r>
        <w:rPr>
          <w:rFonts w:hint="eastAsia"/>
        </w:rPr>
        <w:t>27.</w:t>
      </w:r>
      <w:r>
        <w:rPr>
          <w:rFonts w:hint="eastAsia"/>
        </w:rPr>
        <w:tab/>
        <w:t>从报告中不能清楚了解实际上何地正在辩论提高妇女参与政治决策的定额制度问题，以及妇女是否参加了这一辩论。她欢迎提供资料，说明议会各委员会已采取哪些措施来确保在作出影响妇女的决定时，可以听到议会外的妇女的意见，也欢迎关于该国政治制度的补充资料。</w:t>
      </w:r>
    </w:p>
    <w:p w:rsidR="003214D1" w:rsidRDefault="003214D1">
      <w:pPr>
        <w:pStyle w:val="DualTxt"/>
        <w:rPr>
          <w:rFonts w:hint="eastAsia"/>
        </w:rPr>
      </w:pPr>
      <w:r>
        <w:rPr>
          <w:rFonts w:hint="eastAsia"/>
        </w:rPr>
        <w:t>28.</w:t>
      </w:r>
      <w:r>
        <w:rPr>
          <w:rFonts w:hint="eastAsia"/>
        </w:rPr>
        <w:tab/>
      </w:r>
      <w:r>
        <w:rPr>
          <w:rFonts w:ascii="SimHei" w:eastAsia="SimHei" w:hint="eastAsia"/>
          <w:color w:val="FF0000"/>
        </w:rPr>
        <w:t>Khan女士</w:t>
      </w:r>
      <w:r>
        <w:rPr>
          <w:rFonts w:hint="eastAsia"/>
        </w:rPr>
        <w:t>对妇女从事在传统观念中属于妇女的经济部门的职业以及在管理职位中的妇女仅占13％表示担忧。既然妇女有能力为男主管写发言稿和报告(第80段)，为什么妇女参与决策的机会却减少了？她想了解社会或宗教态度是否有变化，或者是不是妇女只不过因为托儿设施的减少而觉得家务负担更重。</w:t>
      </w:r>
    </w:p>
    <w:p w:rsidR="003214D1" w:rsidRDefault="003214D1">
      <w:pPr>
        <w:pStyle w:val="DualTxt"/>
        <w:rPr>
          <w:rFonts w:hint="eastAsia"/>
        </w:rPr>
      </w:pPr>
      <w:r>
        <w:rPr>
          <w:rFonts w:hint="eastAsia"/>
        </w:rPr>
        <w:t>29.</w:t>
      </w:r>
      <w:r>
        <w:rPr>
          <w:rFonts w:hint="eastAsia"/>
        </w:rPr>
        <w:tab/>
        <w:t>她要求提供资料，说明正在采取哪些平权措施来促进“阿亚尔扎特”全国方案的目标。她询问，是否已进行任何研究，以确定公共舆论对定额有分歧的原因。必须让公众了解，为解决不平等问题和消除歧视而采取的临时措施绝不是为了坚持对男人采取不平等的或不同的标准，民主社会的定额制度不象共产主义时的定额制度，它是为了确保有能力的妇女有平等的参与机会。</w:t>
      </w:r>
    </w:p>
    <w:p w:rsidR="003214D1" w:rsidRDefault="003214D1">
      <w:pPr>
        <w:pStyle w:val="DualTxt"/>
        <w:rPr>
          <w:rFonts w:hint="eastAsia"/>
        </w:rPr>
      </w:pPr>
      <w:r>
        <w:rPr>
          <w:rFonts w:ascii="KaiTi_GB2312" w:eastAsia="KaiTi_GB2312" w:hint="eastAsia"/>
          <w:color w:val="0000FF"/>
        </w:rPr>
        <w:t>第11条</w:t>
      </w:r>
    </w:p>
    <w:p w:rsidR="003214D1" w:rsidRDefault="003214D1">
      <w:pPr>
        <w:pStyle w:val="DualTxt"/>
        <w:rPr>
          <w:rFonts w:hint="eastAsia"/>
        </w:rPr>
      </w:pPr>
      <w:r>
        <w:rPr>
          <w:rFonts w:hint="eastAsia"/>
        </w:rPr>
        <w:t>30.</w:t>
      </w:r>
      <w:r>
        <w:rPr>
          <w:rFonts w:hint="eastAsia"/>
        </w:rPr>
        <w:tab/>
      </w:r>
      <w:r>
        <w:rPr>
          <w:rFonts w:ascii="SimHei" w:eastAsia="SimHei" w:hint="eastAsia"/>
          <w:color w:val="FF0000"/>
        </w:rPr>
        <w:t>Acar女士</w:t>
      </w:r>
      <w:r>
        <w:rPr>
          <w:rFonts w:hint="eastAsia"/>
        </w:rPr>
        <w:t>问，有多少男人实际上根据吉尔吉斯法律请了他们有权休的父母假。如果从妇女的全部工作时间中扣除她们为抚养孩子而离开工作的时间，那妇女就面临着退休方面的歧视。</w:t>
      </w:r>
    </w:p>
    <w:p w:rsidR="003214D1" w:rsidRDefault="003214D1">
      <w:pPr>
        <w:pStyle w:val="DualTxt"/>
        <w:rPr>
          <w:rFonts w:hint="eastAsia"/>
        </w:rPr>
      </w:pPr>
      <w:r>
        <w:rPr>
          <w:rFonts w:hint="eastAsia"/>
        </w:rPr>
        <w:t>31.</w:t>
      </w:r>
      <w:r>
        <w:rPr>
          <w:rFonts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hint="eastAsia"/>
        </w:rPr>
        <w:t>询问，为什么妇女倾向于向其工会提出受歧视的控告，是否因为她们担心如果她们上法院会失去工作。她希望得到有关任何在查有实据的案件中得到赔偿的资料，也希望得到该国劳工立法中是否有任何关于非故意歧视的定义的细节。建议吉尔吉斯斯坦境内的妇女组织熟悉欧洲劳工立法以及在欧洲法院受理的25个有关案件。</w:t>
      </w:r>
    </w:p>
    <w:p w:rsidR="003214D1" w:rsidRDefault="003214D1">
      <w:pPr>
        <w:pStyle w:val="DualTxt"/>
        <w:rPr>
          <w:rFonts w:hint="eastAsia"/>
        </w:rPr>
      </w:pPr>
      <w:r>
        <w:rPr>
          <w:rFonts w:hint="eastAsia"/>
        </w:rPr>
        <w:t>32.</w:t>
      </w:r>
      <w:r>
        <w:rPr>
          <w:rFonts w:hint="eastAsia"/>
        </w:rPr>
        <w:tab/>
        <w:t>吉尔吉斯斯坦也许需要审查对其保护性立法，以确保它没有无意中对妇女歧视。在自由市场经济中，过多的保护性立法可能会使雇主担心，如果他们雇用妇女会受到限制。她询问是否有法律专家提出任何修订劳工立法的提案。</w:t>
      </w:r>
    </w:p>
    <w:p w:rsidR="003214D1" w:rsidRDefault="003214D1">
      <w:pPr>
        <w:pStyle w:val="DualTxt"/>
        <w:rPr>
          <w:rFonts w:hint="eastAsia"/>
        </w:rPr>
      </w:pPr>
      <w:r>
        <w:rPr>
          <w:rFonts w:ascii="KaiTi_GB2312" w:eastAsia="KaiTi_GB2312" w:hint="eastAsia"/>
          <w:color w:val="0000FF"/>
        </w:rPr>
        <w:t>第12条</w:t>
      </w:r>
    </w:p>
    <w:p w:rsidR="003214D1" w:rsidRDefault="003214D1">
      <w:pPr>
        <w:pStyle w:val="DualTxt"/>
        <w:rPr>
          <w:rFonts w:hint="eastAsia"/>
        </w:rPr>
      </w:pPr>
      <w:r>
        <w:rPr>
          <w:rFonts w:hint="eastAsia"/>
        </w:rPr>
        <w:t>33.</w:t>
      </w:r>
      <w:r>
        <w:rPr>
          <w:rFonts w:hint="eastAsia"/>
        </w:rPr>
        <w:tab/>
      </w:r>
      <w:r>
        <w:rPr>
          <w:rFonts w:ascii="SimHei" w:eastAsia="SimHei" w:hint="eastAsia"/>
          <w:color w:val="FF0000"/>
        </w:rPr>
        <w:t>Abaka女士</w:t>
      </w:r>
      <w:r>
        <w:rPr>
          <w:rFonts w:hint="eastAsia"/>
        </w:rPr>
        <w:t>询问，政府是否有总的保健政策，如果有的话，政策是否对性别问题敏感。她还要求提供有关预防艾滋病/艾滋病毒的义务措施(第131段)的进一步资料。</w:t>
      </w:r>
    </w:p>
    <w:p w:rsidR="003214D1" w:rsidRDefault="003214D1">
      <w:pPr>
        <w:pStyle w:val="DualTxt"/>
        <w:rPr>
          <w:rFonts w:hint="eastAsia"/>
        </w:rPr>
      </w:pPr>
      <w:r>
        <w:rPr>
          <w:rFonts w:hint="eastAsia"/>
        </w:rPr>
        <w:t>34.</w:t>
      </w:r>
      <w:r>
        <w:rPr>
          <w:rFonts w:hint="eastAsia"/>
        </w:rPr>
        <w:tab/>
        <w:t>她对这一情况感到关切，即尽管农村妇女对经济，特别是在食物生产领域作出了重要贡献，但农村地区比城区的开业医生、医院和婚姻咨询业者少得多。迫切需要解决这一状况，因为这明显构成了在获得保健机会方面的歧视。</w:t>
      </w:r>
    </w:p>
    <w:p w:rsidR="003214D1" w:rsidRDefault="003214D1">
      <w:pPr>
        <w:pStyle w:val="DualTxt"/>
        <w:rPr>
          <w:rFonts w:hint="eastAsia"/>
        </w:rPr>
      </w:pPr>
      <w:r>
        <w:rPr>
          <w:rFonts w:hint="eastAsia"/>
        </w:rPr>
        <w:t>35.根据报告第134段，只有缴费才提供病毒肝炎和脑膜炎的疫苗。尽管她意识到该国政府在过渡期面临严重的困难，大量人口生活在贫困之中，但一国人民的健康是其发展所必需的，是一个不能延迟的问题。应该将给此类传染性高的疾病注射疫苗作为基本保健制度的一部分。</w:t>
      </w:r>
    </w:p>
    <w:p w:rsidR="003214D1" w:rsidRDefault="003214D1">
      <w:pPr>
        <w:pStyle w:val="DualTxt"/>
        <w:rPr>
          <w:rFonts w:hint="eastAsia"/>
        </w:rPr>
      </w:pPr>
      <w:r>
        <w:rPr>
          <w:rFonts w:hint="eastAsia"/>
        </w:rPr>
        <w:t>36.</w:t>
      </w:r>
      <w:r>
        <w:rPr>
          <w:rFonts w:hint="eastAsia"/>
        </w:rPr>
        <w:tab/>
        <w:t>尽管她欢迎自由流产的立法，但她不明白第135段“小产”、“中产”以及“根据医学或社会原因流产”等用语，要求对这些用语进行解释。她想了解为什么继续存在非法人工流产，为什么有这么多流产后脓毒并发症病例，在农村地区是否容易得到流产服务。她询问，是否有任何方法来监测提供了流产的服务导致流产实际数目的增加还是减少。例如，在瑞典，能及时进行流产，但因为避孕容易，所以流产减少。</w:t>
      </w:r>
    </w:p>
    <w:p w:rsidR="003214D1" w:rsidRDefault="003214D1">
      <w:pPr>
        <w:pStyle w:val="DualTxt"/>
        <w:rPr>
          <w:rFonts w:hint="eastAsia"/>
        </w:rPr>
      </w:pPr>
      <w:r>
        <w:rPr>
          <w:rFonts w:hint="eastAsia"/>
        </w:rPr>
        <w:t>37.</w:t>
      </w:r>
      <w:r>
        <w:rPr>
          <w:rFonts w:hint="eastAsia"/>
        </w:rPr>
        <w:tab/>
        <w:t>她希望很快将可在农村地区建立计划生育办公室(第136段)。注意到该报告中说，生殖健康政策的目的是在每次生育间保持2.5至3年的最佳间隔期(第136段)，她说，将生育间隔作为生殖健康政策的一个主要目标这一观念是个常见的误解；治疗不育症也应成为一个重要的优先事项。她感到满意的是该国政府正在努力降低产妇死亡率，并想了解是否有解决营养不良问题的任何方案，这是产妇死亡的一个常见原因。</w:t>
      </w:r>
    </w:p>
    <w:p w:rsidR="003214D1" w:rsidRDefault="003214D1">
      <w:pPr>
        <w:pStyle w:val="DualTxt"/>
        <w:spacing w:line="300" w:lineRule="exact"/>
        <w:rPr>
          <w:rFonts w:hint="eastAsia"/>
        </w:rPr>
      </w:pPr>
      <w:r>
        <w:rPr>
          <w:rFonts w:hint="eastAsia"/>
        </w:rPr>
        <w:t>38.</w:t>
      </w:r>
      <w:r>
        <w:rPr>
          <w:rFonts w:hint="eastAsia"/>
        </w:rPr>
        <w:tab/>
        <w:t>政府已设立许多打击药物滥用的方案。但是，贫穷经常是这一问题的起因，她建议，应根据《公约》第4条在这一方面采取临时特别措施。最后，她询问，多少男人和妇女受到结核病的影响，象许多国家一样,这一疾病在吉尔吉斯斯坦境内正在上升，是否进行了任何研究来判断这一疾病与艾滋病毒/艾滋病是否存在联系，这一疾病经常伴随艾滋病毒/艾滋病。</w:t>
      </w:r>
    </w:p>
    <w:p w:rsidR="003214D1" w:rsidRDefault="003214D1">
      <w:pPr>
        <w:pStyle w:val="DualTxt"/>
        <w:rPr>
          <w:rFonts w:hint="eastAsia"/>
        </w:rPr>
      </w:pPr>
      <w:r>
        <w:rPr>
          <w:rFonts w:hint="eastAsia"/>
        </w:rPr>
        <w:t>39.</w:t>
      </w:r>
      <w:r>
        <w:rPr>
          <w:rFonts w:hint="eastAsia"/>
        </w:rPr>
        <w:tab/>
      </w:r>
      <w:r>
        <w:rPr>
          <w:rFonts w:ascii="SimHei" w:eastAsia="SimHei" w:hint="eastAsia"/>
          <w:color w:val="FF0000"/>
        </w:rPr>
        <w:t>Goonesekere女士</w:t>
      </w:r>
      <w:r>
        <w:rPr>
          <w:rFonts w:hint="eastAsia"/>
        </w:rPr>
        <w:t xml:space="preserve">说，流产后脓毒并发症造成的高死亡率是需要注意的严重问题。她还对妇女所面临的许多职业健康危险感到担忧，尽管劳工法典有许多保护她们的条款。报告没有提供任何关于环境破坏对妇女健康的影响的资料；在这一方面，她询问新的投资者是否需要对其拟议活动提供环境影响评估。 </w:t>
      </w:r>
    </w:p>
    <w:p w:rsidR="003214D1" w:rsidRDefault="003214D1">
      <w:pPr>
        <w:pStyle w:val="DualTxt"/>
        <w:spacing w:line="300" w:lineRule="exact"/>
        <w:rPr>
          <w:rFonts w:hint="eastAsia"/>
        </w:rPr>
      </w:pPr>
      <w:r>
        <w:rPr>
          <w:rFonts w:ascii="KaiTi_GB2312" w:eastAsia="KaiTi_GB2312" w:hint="eastAsia"/>
          <w:color w:val="0000FF"/>
        </w:rPr>
        <w:t>第13条</w:t>
      </w:r>
    </w:p>
    <w:p w:rsidR="003214D1" w:rsidRDefault="003214D1">
      <w:pPr>
        <w:pStyle w:val="DualTxt"/>
        <w:rPr>
          <w:rFonts w:hint="eastAsia"/>
        </w:rPr>
      </w:pPr>
      <w:r>
        <w:rPr>
          <w:rFonts w:hint="eastAsia"/>
        </w:rPr>
        <w:t>40.</w:t>
      </w:r>
      <w:r>
        <w:rPr>
          <w:rFonts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hint="eastAsia"/>
        </w:rPr>
        <w:t>说，她对报告第76段说许多劳动适龄妇女从事所谓的“穿梭贸易”（即长途奔波做生意）感到担忧，据说这种生意困难、危险，而且很多不成功。她询问这些妇女主要是失业的城市妇女还是流离失所的农村妇女，其技能和背景如何。她还想了解此类人员是否需许可证，如果她们没有的话，是否会遭到警察的骚扰，她们是否交税，是否有对这些妇女进行市场经济职位再培训的任何大规模国家方案，有多少妇女参与其中。</w:t>
      </w:r>
    </w:p>
    <w:p w:rsidR="003214D1" w:rsidRDefault="003214D1">
      <w:pPr>
        <w:pStyle w:val="DualTxt"/>
        <w:spacing w:line="300" w:lineRule="exact"/>
        <w:rPr>
          <w:rFonts w:hint="eastAsia"/>
        </w:rPr>
      </w:pPr>
      <w:r>
        <w:rPr>
          <w:rFonts w:ascii="KaiTi_GB2312" w:eastAsia="KaiTi_GB2312" w:hint="eastAsia"/>
          <w:color w:val="0000FF"/>
        </w:rPr>
        <w:t>第14条</w:t>
      </w:r>
    </w:p>
    <w:p w:rsidR="003214D1" w:rsidRDefault="003214D1">
      <w:pPr>
        <w:pStyle w:val="DualTxt"/>
        <w:rPr>
          <w:rFonts w:hint="eastAsia"/>
        </w:rPr>
      </w:pPr>
      <w:r>
        <w:rPr>
          <w:rFonts w:hint="eastAsia"/>
        </w:rPr>
        <w:t>41.</w:t>
      </w:r>
      <w:r>
        <w:rPr>
          <w:rFonts w:hint="eastAsia"/>
        </w:rPr>
        <w:tab/>
      </w:r>
      <w:r>
        <w:rPr>
          <w:rFonts w:ascii="SimHei" w:eastAsia="SimHei" w:hint="eastAsia"/>
          <w:color w:val="FF0000"/>
        </w:rPr>
        <w:t>Myakayaka-Manzini女士</w:t>
      </w:r>
      <w:r>
        <w:rPr>
          <w:rFonts w:hint="eastAsia"/>
        </w:rPr>
        <w:t>说，许多妇女为寻求工作和更好的生活水平，从最为贫穷的农村地区迁往城市地区，这是城区和农村地区存在巨大不平等的多数国家发生的一种自然现象。委员会收到的独立报告称，这些移民在其迁往的城市不被视为合法居民，被剥夺了获得社会服务、住房和求学的机会。此类做法在其他国家一直没有什么效果，无论如何，它们构成了对行动自由权的严重侵犯。</w:t>
      </w:r>
    </w:p>
    <w:p w:rsidR="003214D1" w:rsidRDefault="003214D1">
      <w:pPr>
        <w:pStyle w:val="DualTxt"/>
        <w:rPr>
          <w:rFonts w:hint="eastAsia"/>
        </w:rPr>
      </w:pPr>
      <w:r>
        <w:rPr>
          <w:rFonts w:hint="eastAsia"/>
        </w:rPr>
        <w:t>42.</w:t>
      </w:r>
      <w:r>
        <w:rPr>
          <w:rFonts w:hint="eastAsia"/>
        </w:rPr>
        <w:tab/>
        <w:t>她询问有多少妇女受益于向女企业家提供贷款的项目，这一方案的影响如何。她还要求提供关于农村地区的托儿服务的供应状况的资料，想了解工作实际上是使妇女受益还是仅仅增加了她们的负担。</w:t>
      </w:r>
    </w:p>
    <w:p w:rsidR="003214D1" w:rsidRDefault="003214D1">
      <w:pPr>
        <w:pStyle w:val="DualTxt"/>
        <w:spacing w:line="300" w:lineRule="exact"/>
        <w:rPr>
          <w:rFonts w:hint="eastAsia"/>
        </w:rPr>
      </w:pPr>
      <w:r>
        <w:rPr>
          <w:rFonts w:hint="eastAsia"/>
        </w:rPr>
        <w:t>43.</w:t>
      </w:r>
      <w:r>
        <w:rPr>
          <w:rFonts w:hint="eastAsia"/>
        </w:rPr>
        <w:tab/>
      </w:r>
      <w:r>
        <w:rPr>
          <w:rFonts w:ascii="SimHei" w:eastAsia="SimHei" w:hint="eastAsia"/>
          <w:color w:val="FF0000"/>
        </w:rPr>
        <w:t>Taya女士</w:t>
      </w:r>
      <w:r>
        <w:rPr>
          <w:rFonts w:hint="eastAsia"/>
        </w:rPr>
        <w:t xml:space="preserve">说，1998年5月，一起涉及氰化钠外溢的事故伤害了一个金矿项目的数百名工人，其中许多是女工。吉尔吉斯当局有关环境损害很小的声明与非政府组织的报告相矛盾。而且，一直不让当地人，包括受害人了解政府的结论所依据的数据。她要求提供这方面更多的资料，敦促该国政府在受害人向外国投资公司索赔方面提供实质性的援助。在未与受害人协商的情况下，在与该公司的谈判中，已将初步损害估计额由400万美元减至160万美元。后来的个人索赔又被视为无效，尽管宪法保障司法保护权。她注意到《公约》第14条(a)款保障农村妇女参与各级拟订和执行开发计划的权利，并询问为什么受害人被拒绝了司法手段。 </w:t>
      </w:r>
    </w:p>
    <w:p w:rsidR="003214D1" w:rsidRDefault="003214D1">
      <w:pPr>
        <w:pStyle w:val="DualTxt"/>
        <w:spacing w:line="340" w:lineRule="exact"/>
        <w:rPr>
          <w:rFonts w:hint="eastAsia"/>
        </w:rPr>
      </w:pPr>
      <w:r>
        <w:rPr>
          <w:rFonts w:hint="eastAsia"/>
        </w:rPr>
        <w:t>44.</w:t>
      </w:r>
      <w:r>
        <w:rPr>
          <w:rFonts w:hint="eastAsia"/>
        </w:rPr>
        <w:tab/>
      </w:r>
      <w:r>
        <w:rPr>
          <w:rFonts w:ascii="SimHei" w:eastAsia="SimHei" w:hint="eastAsia"/>
          <w:color w:val="FF0000"/>
        </w:rPr>
        <w:t>Ouedraogo女士</w:t>
      </w:r>
      <w:r>
        <w:rPr>
          <w:rFonts w:hint="eastAsia"/>
        </w:rPr>
        <w:t>说，委员会需要更详细的统计数字，尤其是吉尔吉斯斯坦又是第一次根据《公约》提交报告。她特别要求提供更多关于农村妇女在获得饮用水、电和象样的住房方面的详细资料。她想了解该国政府是否有减轻农村妇女负担的全面政策，其中包括向其提供适当技术。在烟草业工作的妇女慢性中毒以及孕妇晚期感染和中毒的发病率高，生育的孩子体重轻，肌肉张力亢进(第142段)，这一情况显示，农村妇女，其中许多人是文盲，并未被告知她们保护自己及孩子所需的资料。她想了解为什么许多全国妇女团体不解决这一问题，该国政府是否已设立传播此类资料的特别家庭方案。</w:t>
      </w:r>
    </w:p>
    <w:p w:rsidR="003214D1" w:rsidRDefault="003214D1">
      <w:pPr>
        <w:pStyle w:val="DualTxt"/>
        <w:spacing w:line="340" w:lineRule="exact"/>
        <w:rPr>
          <w:rFonts w:hint="eastAsia"/>
        </w:rPr>
      </w:pPr>
      <w:r>
        <w:rPr>
          <w:rFonts w:hint="eastAsia"/>
        </w:rPr>
        <w:t>45.</w:t>
      </w:r>
      <w:r>
        <w:rPr>
          <w:rFonts w:hint="eastAsia"/>
        </w:rPr>
        <w:tab/>
        <w:t>该国政府正在致力于解决农村贫穷问题，但需要更加全面的方法。她建议进行研究，查明那些需要援助的人，应设立特别贷款，以灵活偿款条件向妇女提供信贷。她还要求提供更多关于从事所谓“穿梭”贸易的妇女所进行的工作的类型的资料，想了解如果象报告所说的那样，大多不成功，她们为什么继续从事此类工作。</w:t>
      </w:r>
    </w:p>
    <w:p w:rsidR="003214D1" w:rsidRDefault="003214D1">
      <w:pPr>
        <w:pStyle w:val="DualTxt"/>
        <w:rPr>
          <w:rFonts w:hint="eastAsia"/>
        </w:rPr>
      </w:pPr>
      <w:r>
        <w:rPr>
          <w:rFonts w:hint="eastAsia"/>
        </w:rPr>
        <w:t>46.</w:t>
      </w:r>
      <w:r>
        <w:rPr>
          <w:rFonts w:hint="eastAsia"/>
        </w:rPr>
        <w:tab/>
      </w:r>
      <w:r>
        <w:rPr>
          <w:rFonts w:ascii="SimHei" w:eastAsia="SimHei" w:hint="eastAsia"/>
          <w:color w:val="FF0000"/>
        </w:rPr>
        <w:t>Ismailova女士</w:t>
      </w:r>
      <w:r>
        <w:rPr>
          <w:rFonts w:hint="eastAsia"/>
        </w:rPr>
        <w:t>(吉尔吉斯斯坦)感谢委员会成员们的意见，并说提交初次报告是在吉尔吉斯斯坦境内消除歧视和促进妇女地位的重要的一步。</w:t>
      </w:r>
    </w:p>
    <w:p w:rsidR="003214D1" w:rsidRDefault="003214D1">
      <w:pPr>
        <w:pStyle w:val="DualTxt"/>
      </w:pPr>
      <w:r>
        <w:rPr>
          <w:rFonts w:ascii="KaiTi_GB2312" w:eastAsia="KaiTi_GB2312" w:hint="eastAsia"/>
          <w:color w:val="0000FF"/>
        </w:rPr>
        <w:tab/>
        <w:t>下午5时散会</w:t>
      </w:r>
    </w:p>
    <w:sectPr w:rsidR="003214D1">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w:initials="DGAACS">
    <w:p w:rsidR="003214D1" w:rsidRDefault="003214D1">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NO&gt;&gt;N0224177C&lt;&lt;ODS JOB NO&gt;&gt;</w:t>
      </w:r>
    </w:p>
    <w:p w:rsidR="003214D1" w:rsidRDefault="003214D1">
      <w:pPr>
        <w:pStyle w:val="CommentText"/>
      </w:pPr>
      <w:r>
        <w:t>&lt;&lt;ODS DOC SYMBOL1&gt;&gt;CEDAW/C/SR.409&lt;&lt;ODS DOC SYMBOL1&gt;&gt;</w:t>
      </w:r>
    </w:p>
    <w:p w:rsidR="003214D1" w:rsidRDefault="003214D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06C34">
      <w:pPr>
        <w:spacing w:line="240" w:lineRule="auto"/>
      </w:pPr>
      <w:r>
        <w:separator/>
      </w:r>
    </w:p>
  </w:endnote>
  <w:endnote w:type="continuationSeparator" w:id="0">
    <w:p w:rsidR="00000000" w:rsidRDefault="00B06C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214D1">
      <w:tblPrEx>
        <w:tblCellMar>
          <w:top w:w="0" w:type="dxa"/>
          <w:bottom w:w="0" w:type="dxa"/>
        </w:tblCellMar>
      </w:tblPrEx>
      <w:tc>
        <w:tcPr>
          <w:tcW w:w="5034" w:type="dxa"/>
          <w:vAlign w:val="bottom"/>
        </w:tcPr>
        <w:p w:rsidR="003214D1" w:rsidRDefault="003214D1">
          <w:pPr>
            <w:pStyle w:val="Footer"/>
          </w:pPr>
          <w:r>
            <w:fldChar w:fldCharType="begin"/>
          </w:r>
          <w:r>
            <w:instrText xml:space="preserve"> PAGE  \* MERGEFORMAT </w:instrText>
          </w:r>
          <w:r>
            <w:fldChar w:fldCharType="separate"/>
          </w:r>
          <w:r>
            <w:t>2</w:t>
          </w:r>
          <w:r>
            <w:fldChar w:fldCharType="end"/>
          </w:r>
        </w:p>
      </w:tc>
      <w:tc>
        <w:tcPr>
          <w:tcW w:w="5034" w:type="dxa"/>
          <w:vAlign w:val="bottom"/>
        </w:tcPr>
        <w:p w:rsidR="003214D1" w:rsidRDefault="003214D1">
          <w:pPr>
            <w:pStyle w:val="Footer"/>
            <w:jc w:val="right"/>
          </w:pPr>
        </w:p>
      </w:tc>
    </w:tr>
  </w:tbl>
  <w:p w:rsidR="003214D1" w:rsidRDefault="003214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214D1">
      <w:tblPrEx>
        <w:tblCellMar>
          <w:top w:w="0" w:type="dxa"/>
          <w:bottom w:w="0" w:type="dxa"/>
        </w:tblCellMar>
      </w:tblPrEx>
      <w:tc>
        <w:tcPr>
          <w:tcW w:w="5034" w:type="dxa"/>
          <w:vAlign w:val="bottom"/>
        </w:tcPr>
        <w:p w:rsidR="003214D1" w:rsidRDefault="003214D1">
          <w:pPr>
            <w:pStyle w:val="Footer"/>
          </w:pPr>
        </w:p>
      </w:tc>
      <w:tc>
        <w:tcPr>
          <w:tcW w:w="5034" w:type="dxa"/>
          <w:vAlign w:val="bottom"/>
        </w:tcPr>
        <w:p w:rsidR="003214D1" w:rsidRDefault="003214D1">
          <w:pPr>
            <w:pStyle w:val="Footer"/>
            <w:jc w:val="right"/>
          </w:pPr>
          <w:r>
            <w:fldChar w:fldCharType="begin"/>
          </w:r>
          <w:r>
            <w:instrText xml:space="preserve"> PAGE  \* MERGEFORMAT </w:instrText>
          </w:r>
          <w:r>
            <w:fldChar w:fldCharType="separate"/>
          </w:r>
          <w:r>
            <w:t>5</w:t>
          </w:r>
          <w:r>
            <w:fldChar w:fldCharType="end"/>
          </w:r>
        </w:p>
      </w:tc>
    </w:tr>
  </w:tbl>
  <w:p w:rsidR="003214D1" w:rsidRDefault="003214D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4D1" w:rsidRDefault="003214D1">
    <w:pPr>
      <w:pStyle w:val="Footer"/>
    </w:pPr>
  </w:p>
  <w:p w:rsidR="003214D1" w:rsidRDefault="003214D1">
    <w:pPr>
      <w:pStyle w:val="Footer"/>
      <w:pBdr>
        <w:top w:val="single" w:sz="2" w:space="0" w:color="000000"/>
      </w:pBdr>
      <w:rPr>
        <w:sz w:val="2"/>
      </w:rPr>
    </w:pPr>
  </w:p>
  <w:p w:rsidR="003214D1" w:rsidRDefault="003214D1">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3214D1" w:rsidRDefault="003214D1">
    <w:pPr>
      <w:pStyle w:val="Footer"/>
      <w:rPr>
        <w:b w:val="0"/>
        <w:snapToGrid w:val="0"/>
        <w:w w:val="104"/>
        <w:sz w:val="21"/>
      </w:rPr>
    </w:pPr>
    <w:r>
      <w:rPr>
        <w:b w:val="0"/>
        <w:snapToGrid w:val="0"/>
        <w:w w:val="104"/>
        <w:sz w:val="21"/>
      </w:rPr>
      <w:t>02-24177 (C)</w:t>
    </w:r>
  </w:p>
  <w:p w:rsidR="003214D1" w:rsidRDefault="003214D1">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*0224177*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06C34">
      <w:pPr>
        <w:spacing w:line="240" w:lineRule="auto"/>
      </w:pPr>
      <w:r>
        <w:separator/>
      </w:r>
    </w:p>
  </w:footnote>
  <w:footnote w:type="continuationSeparator" w:id="0">
    <w:p w:rsidR="00000000" w:rsidRDefault="00B06C3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4D1" w:rsidRDefault="003214D1">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214D1">
                  <w:tblPrEx>
                    <w:tblCellMar>
                      <w:top w:w="0" w:type="dxa"/>
                      <w:bottom w:w="0" w:type="dxa"/>
                    </w:tblCellMar>
                  </w:tblPrEx>
                  <w:trPr>
                    <w:trHeight w:hRule="exact" w:val="864"/>
                  </w:trPr>
                  <w:tc>
                    <w:tcPr>
                      <w:tcW w:w="4838" w:type="dxa"/>
                      <w:vAlign w:val="bottom"/>
                    </w:tcPr>
                    <w:p w:rsidR="003214D1" w:rsidRDefault="003214D1">
                      <w:pPr>
                        <w:pStyle w:val="Header"/>
                        <w:spacing w:after="80"/>
                        <w:rPr>
                          <w:b/>
                          <w:sz w:val="17"/>
                        </w:rPr>
                      </w:pPr>
                      <w:r>
                        <w:rPr>
                          <w:b/>
                          <w:sz w:val="17"/>
                        </w:rPr>
                        <w:t>CEDAW/C/SR.409</w:t>
                      </w:r>
                    </w:p>
                  </w:tc>
                  <w:tc>
                    <w:tcPr>
                      <w:tcW w:w="5048" w:type="dxa"/>
                      <w:vAlign w:val="bottom"/>
                    </w:tcPr>
                    <w:p w:rsidR="003214D1" w:rsidRDefault="003214D1">
                      <w:pPr>
                        <w:pStyle w:val="Header"/>
                      </w:pPr>
                    </w:p>
                  </w:tc>
                </w:tr>
              </w:tbl>
              <w:p w:rsidR="003214D1" w:rsidRDefault="003214D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4D1" w:rsidRDefault="003214D1">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214D1">
                  <w:tblPrEx>
                    <w:tblCellMar>
                      <w:top w:w="0" w:type="dxa"/>
                      <w:bottom w:w="0" w:type="dxa"/>
                    </w:tblCellMar>
                  </w:tblPrEx>
                  <w:trPr>
                    <w:trHeight w:hRule="exact" w:val="864"/>
                  </w:trPr>
                  <w:tc>
                    <w:tcPr>
                      <w:tcW w:w="4838" w:type="dxa"/>
                      <w:vAlign w:val="bottom"/>
                    </w:tcPr>
                    <w:p w:rsidR="003214D1" w:rsidRDefault="003214D1">
                      <w:pPr>
                        <w:pStyle w:val="Header"/>
                      </w:pPr>
                    </w:p>
                  </w:tc>
                  <w:tc>
                    <w:tcPr>
                      <w:tcW w:w="5048" w:type="dxa"/>
                      <w:vAlign w:val="bottom"/>
                    </w:tcPr>
                    <w:p w:rsidR="003214D1" w:rsidRDefault="003214D1">
                      <w:pPr>
                        <w:pStyle w:val="Header"/>
                        <w:spacing w:after="80"/>
                        <w:jc w:val="right"/>
                        <w:rPr>
                          <w:b/>
                          <w:sz w:val="17"/>
                        </w:rPr>
                      </w:pPr>
                      <w:r>
                        <w:rPr>
                          <w:b/>
                          <w:sz w:val="17"/>
                        </w:rPr>
                        <w:t>CEDAW/C/SR.409</w:t>
                      </w:r>
                    </w:p>
                  </w:tc>
                </w:tr>
              </w:tbl>
              <w:p w:rsidR="003214D1" w:rsidRDefault="003214D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214D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214D1" w:rsidRDefault="003214D1">
          <w:pPr>
            <w:pStyle w:val="Header"/>
            <w:spacing w:after="120"/>
          </w:pPr>
        </w:p>
      </w:tc>
      <w:tc>
        <w:tcPr>
          <w:tcW w:w="1872" w:type="dxa"/>
          <w:tcBorders>
            <w:top w:val="nil"/>
            <w:left w:val="nil"/>
            <w:bottom w:val="single" w:sz="4" w:space="0" w:color="auto"/>
            <w:right w:val="nil"/>
          </w:tcBorders>
          <w:vAlign w:val="bottom"/>
        </w:tcPr>
        <w:p w:rsidR="003214D1" w:rsidRDefault="003214D1">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3214D1" w:rsidRDefault="003214D1">
          <w:pPr>
            <w:pStyle w:val="Header"/>
            <w:spacing w:after="120"/>
          </w:pPr>
        </w:p>
      </w:tc>
      <w:tc>
        <w:tcPr>
          <w:tcW w:w="6523" w:type="dxa"/>
          <w:gridSpan w:val="3"/>
          <w:tcBorders>
            <w:top w:val="nil"/>
            <w:left w:val="nil"/>
            <w:bottom w:val="single" w:sz="4" w:space="0" w:color="auto"/>
            <w:right w:val="nil"/>
          </w:tcBorders>
          <w:vAlign w:val="bottom"/>
        </w:tcPr>
        <w:p w:rsidR="003214D1" w:rsidRDefault="003214D1">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/C/SR.409</w:t>
          </w:r>
        </w:p>
      </w:tc>
    </w:tr>
    <w:tr w:rsidR="003214D1">
      <w:tblPrEx>
        <w:tblCellMar>
          <w:top w:w="0" w:type="dxa"/>
          <w:bottom w:w="0" w:type="dxa"/>
        </w:tblCellMar>
      </w:tblPrEx>
      <w:trPr>
        <w:trHeight w:hRule="exact" w:val="2880"/>
      </w:trPr>
      <w:tc>
        <w:tcPr>
          <w:tcW w:w="1267" w:type="dxa"/>
          <w:tcBorders>
            <w:left w:val="nil"/>
            <w:bottom w:val="single" w:sz="12" w:space="0" w:color="auto"/>
            <w:right w:val="nil"/>
          </w:tcBorders>
        </w:tcPr>
        <w:p w:rsidR="003214D1" w:rsidRDefault="003214D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214D1" w:rsidRDefault="003214D1">
          <w:pPr>
            <w:pStyle w:val="Header"/>
            <w:spacing w:before="109"/>
            <w:ind w:left="-72"/>
          </w:pPr>
        </w:p>
      </w:tc>
      <w:tc>
        <w:tcPr>
          <w:tcW w:w="5227" w:type="dxa"/>
          <w:gridSpan w:val="3"/>
          <w:tcBorders>
            <w:left w:val="nil"/>
            <w:bottom w:val="single" w:sz="12" w:space="0" w:color="auto"/>
            <w:right w:val="nil"/>
          </w:tcBorders>
        </w:tcPr>
        <w:p w:rsidR="003214D1" w:rsidRDefault="003214D1">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3214D1" w:rsidRDefault="003214D1">
          <w:pPr>
            <w:pStyle w:val="Header"/>
            <w:spacing w:before="109"/>
          </w:pPr>
        </w:p>
      </w:tc>
      <w:tc>
        <w:tcPr>
          <w:tcW w:w="3180" w:type="dxa"/>
          <w:gridSpan w:val="2"/>
          <w:tcBorders>
            <w:left w:val="nil"/>
            <w:bottom w:val="single" w:sz="12" w:space="0" w:color="auto"/>
            <w:right w:val="nil"/>
          </w:tcBorders>
        </w:tcPr>
        <w:p w:rsidR="003214D1" w:rsidRDefault="003214D1">
          <w:pPr>
            <w:spacing w:before="240" w:line="240" w:lineRule="exact"/>
            <w:rPr>
              <w:rFonts w:ascii="Times New Roman"/>
            </w:rPr>
          </w:pPr>
          <w:r>
            <w:rPr>
              <w:rFonts w:ascii="Times New Roman"/>
            </w:rPr>
            <w:t>Distr.: General</w:t>
          </w:r>
        </w:p>
        <w:p w:rsidR="003214D1" w:rsidRDefault="003214D1">
          <w:pPr>
            <w:spacing w:line="240" w:lineRule="exact"/>
            <w:rPr>
              <w:rFonts w:ascii="Times New Roman"/>
            </w:rPr>
          </w:pPr>
          <w:r>
            <w:rPr>
              <w:rFonts w:ascii="Times New Roman"/>
            </w:rPr>
            <w:t>8 December 2003</w:t>
          </w:r>
        </w:p>
        <w:p w:rsidR="003214D1" w:rsidRDefault="003214D1">
          <w:pPr>
            <w:spacing w:line="240" w:lineRule="exact"/>
            <w:rPr>
              <w:rFonts w:ascii="Times New Roman"/>
            </w:rPr>
          </w:pPr>
          <w:r>
            <w:rPr>
              <w:rFonts w:ascii="Times New Roman"/>
            </w:rPr>
            <w:t>Chinese</w:t>
          </w:r>
        </w:p>
        <w:p w:rsidR="003214D1" w:rsidRDefault="003214D1">
          <w:pPr>
            <w:spacing w:line="240" w:lineRule="exact"/>
            <w:rPr>
              <w:rFonts w:ascii="Times New Roman"/>
            </w:rPr>
          </w:pPr>
          <w:r>
            <w:rPr>
              <w:rFonts w:ascii="Times New Roman"/>
            </w:rPr>
            <w:t>Original: English</w:t>
          </w:r>
        </w:p>
      </w:tc>
    </w:tr>
  </w:tbl>
  <w:p w:rsidR="003214D1" w:rsidRDefault="003214D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12/2003 9:51: AM"/>
    <w:docVar w:name="DocCategory" w:val="SROthers"/>
    <w:docVar w:name="DocType" w:val="Final"/>
    <w:docVar w:name="JobNo" w:val="0224177C"/>
    <w:docVar w:name="OandT" w:val=" "/>
    <w:docVar w:name="Symbol1" w:val="CEDAW/C/SR.409"/>
    <w:docVar w:name="Symbol2" w:val="-"/>
  </w:docVars>
  <w:rsids>
    <w:rsidRoot w:val="003214D1"/>
    <w:rsid w:val="003214D1"/>
    <w:rsid w:val="00B06C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3214D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895</Words>
  <Characters>5105</Characters>
  <Application>Microsoft Office Word</Application>
  <DocSecurity>4</DocSecurity>
  <Lines>42</Lines>
  <Paragraphs>11</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5989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5</cp:revision>
  <cp:lastPrinted>2003-12-08T09:00:00Z</cp:lastPrinted>
  <dcterms:created xsi:type="dcterms:W3CDTF">2003-12-08T08:59:00Z</dcterms:created>
  <dcterms:modified xsi:type="dcterms:W3CDTF">2003-12-08T09:01:00Z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CEDAW/C/SR.409</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0224177C</vt:lpwstr>
  </property>
</Properties>
</file>