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A59A3" w:rsidP="004A59A3">
            <w:pPr>
              <w:jc w:val="right"/>
            </w:pPr>
            <w:r w:rsidRPr="004A59A3">
              <w:rPr>
                <w:sz w:val="40"/>
              </w:rPr>
              <w:t>CCPR</w:t>
            </w:r>
            <w:r>
              <w:t>/C/105/3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A59A3" w:rsidRDefault="004A59A3" w:rsidP="00464EEE">
            <w:pPr>
              <w:spacing w:before="240"/>
            </w:pPr>
            <w:r>
              <w:t>Distr. générale</w:t>
            </w:r>
          </w:p>
          <w:p w:rsidR="004A59A3" w:rsidRDefault="004A59A3" w:rsidP="004A59A3">
            <w:pPr>
              <w:spacing w:line="240" w:lineRule="exact"/>
            </w:pPr>
            <w:r>
              <w:t>17 août 2012</w:t>
            </w:r>
          </w:p>
          <w:p w:rsidR="004A59A3" w:rsidRDefault="004A59A3" w:rsidP="004A59A3">
            <w:pPr>
              <w:spacing w:line="240" w:lineRule="exact"/>
            </w:pPr>
            <w:r>
              <w:t>Français</w:t>
            </w:r>
          </w:p>
          <w:p w:rsidR="00AF1CE8" w:rsidRPr="00DB58B5" w:rsidRDefault="004A59A3" w:rsidP="004A59A3">
            <w:pPr>
              <w:spacing w:line="240" w:lineRule="exact"/>
            </w:pPr>
            <w:r>
              <w:t>Original: anglais</w:t>
            </w:r>
          </w:p>
        </w:tc>
      </w:tr>
    </w:tbl>
    <w:p w:rsidR="00DF3BF1" w:rsidRDefault="00DF3BF1" w:rsidP="004A59A3">
      <w:pPr>
        <w:spacing w:before="120"/>
        <w:rPr>
          <w:b/>
          <w:sz w:val="24"/>
          <w:szCs w:val="24"/>
        </w:rPr>
      </w:pPr>
      <w:r w:rsidRPr="00DF3BF1">
        <w:rPr>
          <w:b/>
          <w:sz w:val="24"/>
          <w:szCs w:val="24"/>
        </w:rPr>
        <w:t>Comité des droits de l’homme</w:t>
      </w:r>
    </w:p>
    <w:p w:rsidR="004A59A3" w:rsidRDefault="004A59A3" w:rsidP="004A59A3">
      <w:pPr>
        <w:pStyle w:val="HChG"/>
      </w:pPr>
      <w:r>
        <w:tab/>
      </w:r>
      <w:r>
        <w:tab/>
        <w:t xml:space="preserve">Éléments à examiner durant la demi-journée </w:t>
      </w:r>
      <w:r>
        <w:br/>
        <w:t xml:space="preserve">de débat général qui sera consacrée à la préparation </w:t>
      </w:r>
      <w:r>
        <w:br/>
        <w:t xml:space="preserve">d’une </w:t>
      </w:r>
      <w:r w:rsidR="00BE6208">
        <w:t>O</w:t>
      </w:r>
      <w:r>
        <w:t xml:space="preserve">bservation générale sur l’article 9 (Liberté </w:t>
      </w:r>
      <w:r w:rsidR="004F2552">
        <w:br/>
      </w:r>
      <w:r>
        <w:t xml:space="preserve">et sécurité de la personne) du Pacte international relatif </w:t>
      </w:r>
      <w:r w:rsidR="004F2552">
        <w:br/>
      </w:r>
      <w:r>
        <w:t xml:space="preserve">aux droits civils et politiques, tels qu’ils ont été arrêtés </w:t>
      </w:r>
      <w:r w:rsidR="004F2552">
        <w:br/>
      </w:r>
      <w:r>
        <w:t>par le Comité à sa 105</w:t>
      </w:r>
      <w:r w:rsidRPr="004A59A3">
        <w:rPr>
          <w:vertAlign w:val="superscript"/>
        </w:rPr>
        <w:t>e</w:t>
      </w:r>
      <w:r>
        <w:t xml:space="preserve"> session (9-27 juillet 2012)</w:t>
      </w:r>
    </w:p>
    <w:p w:rsidR="004A59A3" w:rsidRDefault="004A59A3" w:rsidP="004A59A3">
      <w:pPr>
        <w:pStyle w:val="SingleTxtG"/>
        <w:rPr>
          <w:rFonts w:eastAsia="MS Mincho"/>
        </w:rPr>
      </w:pPr>
      <w:r>
        <w:t>1.</w:t>
      </w:r>
      <w:r>
        <w:tab/>
        <w:t>À sa 104</w:t>
      </w:r>
      <w:r w:rsidRPr="004A59A3">
        <w:rPr>
          <w:vertAlign w:val="superscript"/>
        </w:rPr>
        <w:t>e</w:t>
      </w:r>
      <w:r>
        <w:t xml:space="preserve"> session (12-30 mars 2012), le Comité des droits de l’homme a décidé de commencer à rédiger une </w:t>
      </w:r>
      <w:r w:rsidR="00BE6208">
        <w:rPr>
          <w:rFonts w:eastAsia="MS Mincho"/>
        </w:rPr>
        <w:t>O</w:t>
      </w:r>
      <w:r>
        <w:rPr>
          <w:rFonts w:eastAsia="MS Mincho"/>
        </w:rPr>
        <w:t xml:space="preserve">bservation générale sur l’article 9 du Pacte international relatif aux droits civils et politiques, en développant l’ancienne Observation générale </w:t>
      </w:r>
      <w:r w:rsidRPr="003B4480">
        <w:rPr>
          <w:rFonts w:eastAsia="MS Mincho"/>
        </w:rPr>
        <w:t>n</w:t>
      </w:r>
      <w:r w:rsidRPr="003B4480">
        <w:rPr>
          <w:rFonts w:eastAsia="MS Mincho"/>
          <w:vertAlign w:val="superscript"/>
        </w:rPr>
        <w:t>o</w:t>
      </w:r>
      <w:r>
        <w:rPr>
          <w:rFonts w:eastAsia="MS Mincho"/>
        </w:rPr>
        <w:t> 8, datée de 1982, à la lumière de l’expérience acquise lors de l’examen des rapports des États et des communications ainsi que dans le cadre de l’adoption d’</w:t>
      </w:r>
      <w:r w:rsidR="00BE6208">
        <w:rPr>
          <w:rFonts w:eastAsia="MS Mincho"/>
        </w:rPr>
        <w:t>O</w:t>
      </w:r>
      <w:r>
        <w:rPr>
          <w:rFonts w:eastAsia="MS Mincho"/>
        </w:rPr>
        <w:t>bservations générales sur des questions connexes.</w:t>
      </w:r>
    </w:p>
    <w:p w:rsidR="004A59A3" w:rsidRDefault="004A59A3" w:rsidP="004A59A3">
      <w:pPr>
        <w:pStyle w:val="SingleTxtG"/>
        <w:rPr>
          <w:rFonts w:eastAsia="MS Mincho"/>
        </w:rPr>
      </w:pPr>
      <w:r>
        <w:rPr>
          <w:rFonts w:eastAsia="MS Mincho"/>
        </w:rPr>
        <w:t>2.</w:t>
      </w:r>
      <w:r>
        <w:rPr>
          <w:rFonts w:eastAsia="MS Mincho"/>
        </w:rPr>
        <w:tab/>
        <w:t>Le Comité prévoit de tenir une demi-journée de débat général à sa 106</w:t>
      </w:r>
      <w:r w:rsidRPr="004A59A3">
        <w:rPr>
          <w:rFonts w:eastAsia="MS Mincho"/>
          <w:vertAlign w:val="superscript"/>
        </w:rPr>
        <w:t>e</w:t>
      </w:r>
      <w:r>
        <w:rPr>
          <w:rFonts w:eastAsia="MS Mincho"/>
        </w:rPr>
        <w:t> session (15 octobre-2 novembre 2012), de manière à offrir aux institutions nationales de défense des droits de l’homme, à la société civile et aux milieux universitaires la possibilité de fournir des informations pertinentes sur la question avant que le Comité n’engage le processus de rédaction.</w:t>
      </w:r>
    </w:p>
    <w:p w:rsidR="004A59A3" w:rsidRDefault="004A59A3" w:rsidP="004A59A3">
      <w:pPr>
        <w:pStyle w:val="SingleTxtG"/>
        <w:rPr>
          <w:rFonts w:eastAsia="MS Mincho"/>
        </w:rPr>
      </w:pPr>
      <w:r>
        <w:rPr>
          <w:rFonts w:eastAsia="MS Mincho"/>
        </w:rPr>
        <w:t>3.</w:t>
      </w:r>
      <w:r>
        <w:rPr>
          <w:rFonts w:eastAsia="MS Mincho"/>
        </w:rPr>
        <w:tab/>
        <w:t xml:space="preserve">Au stade actuel, le </w:t>
      </w:r>
      <w:r w:rsidR="00AE75B2">
        <w:rPr>
          <w:rFonts w:eastAsia="MS Mincho"/>
        </w:rPr>
        <w:t xml:space="preserve">rapporteur du </w:t>
      </w:r>
      <w:r>
        <w:rPr>
          <w:rFonts w:eastAsia="MS Mincho"/>
        </w:rPr>
        <w:t xml:space="preserve">Comité </w:t>
      </w:r>
      <w:r w:rsidR="00AE75B2">
        <w:rPr>
          <w:rFonts w:eastAsia="MS Mincho"/>
        </w:rPr>
        <w:t>p</w:t>
      </w:r>
      <w:r w:rsidR="00E13781">
        <w:rPr>
          <w:rFonts w:eastAsia="MS Mincho"/>
        </w:rPr>
        <w:t>o</w:t>
      </w:r>
      <w:r w:rsidR="00AE75B2">
        <w:rPr>
          <w:rFonts w:eastAsia="MS Mincho"/>
        </w:rPr>
        <w:t>ur l’</w:t>
      </w:r>
      <w:r w:rsidR="00BE6208">
        <w:rPr>
          <w:rFonts w:eastAsia="MS Mincho"/>
        </w:rPr>
        <w:t>O</w:t>
      </w:r>
      <w:r w:rsidR="00AE75B2">
        <w:rPr>
          <w:rFonts w:eastAsia="MS Mincho"/>
        </w:rPr>
        <w:t xml:space="preserve">bservation générale, Gerald Neuman, </w:t>
      </w:r>
      <w:r>
        <w:rPr>
          <w:rFonts w:eastAsia="MS Mincho"/>
        </w:rPr>
        <w:t xml:space="preserve">envisage que les questions qui se posent au titre de l’article 9 et qui seront examinées dans l’Observation générale pourraient comporter les </w:t>
      </w:r>
      <w:r w:rsidR="00AE75B2">
        <w:rPr>
          <w:rFonts w:eastAsia="MS Mincho"/>
        </w:rPr>
        <w:t>éléments</w:t>
      </w:r>
      <w:r>
        <w:rPr>
          <w:rFonts w:eastAsia="MS Mincho"/>
        </w:rPr>
        <w:t xml:space="preserve"> énumérés plus bas. </w:t>
      </w:r>
      <w:r w:rsidR="00AE75B2">
        <w:rPr>
          <w:rFonts w:eastAsia="MS Mincho"/>
        </w:rPr>
        <w:t>Figurent en premi</w:t>
      </w:r>
      <w:r w:rsidR="006A6CAA">
        <w:rPr>
          <w:rFonts w:eastAsia="MS Mincho"/>
        </w:rPr>
        <w:t>ère</w:t>
      </w:r>
      <w:r w:rsidR="00AE75B2">
        <w:rPr>
          <w:rFonts w:eastAsia="MS Mincho"/>
        </w:rPr>
        <w:t xml:space="preserve"> position les éléments se rapportant à un paragraphe</w:t>
      </w:r>
      <w:r>
        <w:rPr>
          <w:rFonts w:eastAsia="MS Mincho"/>
        </w:rPr>
        <w:t xml:space="preserve"> de l’article 9; viennent ensuite les questions d’ordre général.</w:t>
      </w:r>
    </w:p>
    <w:p w:rsidR="00AE75B2" w:rsidRDefault="00AE75B2" w:rsidP="00AE75B2">
      <w:pPr>
        <w:pStyle w:val="H1G"/>
        <w:rPr>
          <w:rFonts w:eastAsia="MS Mincho"/>
        </w:rPr>
      </w:pPr>
      <w:r>
        <w:rPr>
          <w:rFonts w:eastAsia="MS Mincho"/>
        </w:rPr>
        <w:tab/>
        <w:t>A.</w:t>
      </w:r>
      <w:r>
        <w:rPr>
          <w:rFonts w:eastAsia="MS Mincho"/>
        </w:rPr>
        <w:tab/>
        <w:t>Éléments se rapportant aux paragraphes de l’article 9</w:t>
      </w:r>
    </w:p>
    <w:p w:rsidR="00AE75B2" w:rsidRDefault="004A59A3" w:rsidP="004A59A3">
      <w:pPr>
        <w:pStyle w:val="H23G"/>
        <w:rPr>
          <w:rFonts w:eastAsia="MS Mincho"/>
        </w:rPr>
      </w:pPr>
      <w:r>
        <w:rPr>
          <w:rFonts w:eastAsia="MS Mincho"/>
        </w:rPr>
        <w:tab/>
      </w:r>
      <w:r>
        <w:rPr>
          <w:rFonts w:eastAsia="MS Mincho"/>
        </w:rPr>
        <w:tab/>
        <w:t>Article 9, paragraphe 1</w:t>
      </w:r>
    </w:p>
    <w:p w:rsidR="004A59A3" w:rsidRDefault="00AE75B2" w:rsidP="00AE75B2">
      <w:pPr>
        <w:pStyle w:val="SingleTxtG"/>
        <w:rPr>
          <w:rFonts w:eastAsia="MS Mincho"/>
        </w:rPr>
      </w:pPr>
      <w:r>
        <w:rPr>
          <w:rFonts w:eastAsia="MS Mincho"/>
        </w:rPr>
        <w:t>4.</w:t>
      </w:r>
      <w:r>
        <w:rPr>
          <w:rFonts w:eastAsia="MS Mincho"/>
        </w:rPr>
        <w:tab/>
        <w:t>En ce qui concerne le paragraphe 1 de l’article 9 (</w:t>
      </w:r>
      <w:r w:rsidR="004A59A3">
        <w:rPr>
          <w:rFonts w:eastAsia="MS Mincho"/>
        </w:rPr>
        <w:t>«Tout individu a droit à la liberté et à la sécurité»</w:t>
      </w:r>
      <w:r>
        <w:rPr>
          <w:rFonts w:eastAsia="MS Mincho"/>
        </w:rPr>
        <w:t>), on pourra examiner les éléments suivants:</w:t>
      </w:r>
    </w:p>
    <w:p w:rsidR="004A59A3" w:rsidRDefault="00AE75B2" w:rsidP="00E13781">
      <w:pPr>
        <w:pStyle w:val="SingleTxtG"/>
        <w:ind w:firstLine="567"/>
        <w:rPr>
          <w:rFonts w:eastAsia="MS Mincho"/>
        </w:rPr>
      </w:pPr>
      <w:r>
        <w:rPr>
          <w:rFonts w:eastAsia="MS Mincho"/>
        </w:rPr>
        <w:t>a)</w:t>
      </w:r>
      <w:r w:rsidR="004A59A3">
        <w:rPr>
          <w:rFonts w:eastAsia="MS Mincho"/>
        </w:rPr>
        <w:tab/>
        <w:t>Sens des termes «liberté de la personne»</w:t>
      </w:r>
      <w:r>
        <w:rPr>
          <w:rFonts w:eastAsia="MS Mincho"/>
        </w:rPr>
        <w:t>:</w:t>
      </w:r>
    </w:p>
    <w:p w:rsidR="004A59A3" w:rsidRDefault="00AE75B2" w:rsidP="006A6CAA">
      <w:pPr>
        <w:pStyle w:val="SingleTxtG"/>
        <w:ind w:left="2835" w:hanging="567"/>
        <w:rPr>
          <w:rFonts w:eastAsia="MS Mincho"/>
        </w:rPr>
      </w:pPr>
      <w:r>
        <w:rPr>
          <w:rFonts w:eastAsia="MS Mincho"/>
        </w:rPr>
        <w:t>i</w:t>
      </w:r>
      <w:r w:rsidR="004A59A3">
        <w:rPr>
          <w:rFonts w:eastAsia="MS Mincho"/>
        </w:rPr>
        <w:t>)</w:t>
      </w:r>
      <w:r w:rsidR="004A59A3">
        <w:rPr>
          <w:rFonts w:eastAsia="MS Mincho"/>
        </w:rPr>
        <w:tab/>
        <w:t>Lien avec d’autres articles du Pacte, par exemple les articles 11, 12, 13, 14</w:t>
      </w:r>
      <w:r>
        <w:rPr>
          <w:rFonts w:eastAsia="MS Mincho"/>
        </w:rPr>
        <w:t>;</w:t>
      </w:r>
    </w:p>
    <w:p w:rsidR="004A59A3" w:rsidRDefault="00AE75B2" w:rsidP="00E13781">
      <w:pPr>
        <w:pStyle w:val="SingleTxtG"/>
        <w:ind w:firstLine="567"/>
        <w:rPr>
          <w:rFonts w:eastAsia="MS Mincho"/>
        </w:rPr>
      </w:pPr>
      <w:r>
        <w:rPr>
          <w:rFonts w:eastAsia="MS Mincho"/>
        </w:rPr>
        <w:t>b)</w:t>
      </w:r>
      <w:r w:rsidR="004A59A3">
        <w:rPr>
          <w:rFonts w:eastAsia="MS Mincho"/>
        </w:rPr>
        <w:tab/>
        <w:t>Sens des termes «sécurité de la personne»</w:t>
      </w:r>
      <w:r>
        <w:rPr>
          <w:rFonts w:eastAsia="MS Mincho"/>
        </w:rPr>
        <w:t>:</w:t>
      </w:r>
    </w:p>
    <w:p w:rsidR="004A59A3" w:rsidRDefault="00AE75B2" w:rsidP="006A6CAA">
      <w:pPr>
        <w:pStyle w:val="SingleTxtG"/>
        <w:ind w:left="2835" w:hanging="567"/>
        <w:rPr>
          <w:rFonts w:eastAsia="MS Mincho"/>
        </w:rPr>
      </w:pPr>
      <w:r>
        <w:rPr>
          <w:rFonts w:eastAsia="MS Mincho"/>
        </w:rPr>
        <w:t>i</w:t>
      </w:r>
      <w:r w:rsidR="004A59A3">
        <w:rPr>
          <w:rFonts w:eastAsia="MS Mincho"/>
        </w:rPr>
        <w:t>)</w:t>
      </w:r>
      <w:r w:rsidR="004A59A3">
        <w:rPr>
          <w:rFonts w:eastAsia="MS Mincho"/>
        </w:rPr>
        <w:tab/>
        <w:t>Lien avec d’autres articles du Pacte, par exemple les articles 7</w:t>
      </w:r>
      <w:r>
        <w:rPr>
          <w:rFonts w:eastAsia="MS Mincho"/>
        </w:rPr>
        <w:t xml:space="preserve"> et</w:t>
      </w:r>
      <w:r w:rsidR="004A59A3">
        <w:rPr>
          <w:rFonts w:eastAsia="MS Mincho"/>
        </w:rPr>
        <w:t xml:space="preserve"> 10</w:t>
      </w:r>
      <w:r>
        <w:rPr>
          <w:rFonts w:eastAsia="MS Mincho"/>
        </w:rPr>
        <w:t>;</w:t>
      </w:r>
    </w:p>
    <w:p w:rsidR="004A59A3" w:rsidRDefault="00AE75B2" w:rsidP="00E13781">
      <w:pPr>
        <w:pStyle w:val="SingleTxtG"/>
        <w:ind w:firstLine="567"/>
        <w:rPr>
          <w:rFonts w:eastAsia="MS Mincho"/>
        </w:rPr>
      </w:pPr>
      <w:r>
        <w:rPr>
          <w:rFonts w:eastAsia="MS Mincho"/>
        </w:rPr>
        <w:t>c)</w:t>
      </w:r>
      <w:r w:rsidR="004A59A3">
        <w:rPr>
          <w:rFonts w:eastAsia="MS Mincho"/>
        </w:rPr>
        <w:tab/>
        <w:t>Effets horizontaux du droit à la liberté de la personne et à la sécurité de la personne</w:t>
      </w:r>
      <w:r>
        <w:rPr>
          <w:rFonts w:eastAsia="MS Mincho"/>
        </w:rPr>
        <w:t>.</w:t>
      </w:r>
    </w:p>
    <w:p w:rsidR="004A59A3" w:rsidRDefault="00AE75B2" w:rsidP="00AE75B2">
      <w:pPr>
        <w:pStyle w:val="SingleTxtG"/>
        <w:rPr>
          <w:rFonts w:eastAsia="MS Mincho"/>
        </w:rPr>
      </w:pPr>
      <w:r>
        <w:rPr>
          <w:rFonts w:eastAsia="MS Mincho"/>
        </w:rPr>
        <w:t>5.</w:t>
      </w:r>
      <w:r>
        <w:rPr>
          <w:rFonts w:eastAsia="MS Mincho"/>
        </w:rPr>
        <w:tab/>
        <w:t xml:space="preserve">En ce qui concerne le </w:t>
      </w:r>
      <w:r w:rsidR="004A59A3">
        <w:rPr>
          <w:rFonts w:eastAsia="MS Mincho"/>
        </w:rPr>
        <w:t>paragraphe 1</w:t>
      </w:r>
      <w:r>
        <w:rPr>
          <w:rFonts w:eastAsia="MS Mincho"/>
        </w:rPr>
        <w:t xml:space="preserve"> de l’article 9 (</w:t>
      </w:r>
      <w:r w:rsidR="004A59A3">
        <w:rPr>
          <w:rFonts w:eastAsia="MS Mincho"/>
        </w:rPr>
        <w:t>«Nul ne peut faire l’objet d’une arrestation</w:t>
      </w:r>
      <w:r>
        <w:rPr>
          <w:rFonts w:eastAsia="MS Mincho"/>
        </w:rPr>
        <w:t xml:space="preserve"> </w:t>
      </w:r>
      <w:r w:rsidR="004A59A3">
        <w:rPr>
          <w:rFonts w:eastAsia="MS Mincho"/>
        </w:rPr>
        <w:t>ou d’une détention arbitraires»</w:t>
      </w:r>
      <w:r>
        <w:rPr>
          <w:rFonts w:eastAsia="MS Mincho"/>
        </w:rPr>
        <w:t>), on pourra examiner les éléments suivants:</w:t>
      </w:r>
    </w:p>
    <w:p w:rsidR="004A59A3" w:rsidRDefault="00AE75B2" w:rsidP="00E13781">
      <w:pPr>
        <w:pStyle w:val="SingleTxtG"/>
        <w:ind w:firstLine="567"/>
        <w:rPr>
          <w:rFonts w:eastAsia="MS Mincho"/>
        </w:rPr>
      </w:pPr>
      <w:r>
        <w:rPr>
          <w:rFonts w:eastAsia="MS Mincho"/>
        </w:rPr>
        <w:t>a)</w:t>
      </w:r>
      <w:r w:rsidR="004A59A3">
        <w:rPr>
          <w:rFonts w:eastAsia="MS Mincho"/>
        </w:rPr>
        <w:tab/>
        <w:t>Sens du terme «arrestation»</w:t>
      </w:r>
      <w:r>
        <w:rPr>
          <w:rFonts w:eastAsia="MS Mincho"/>
        </w:rPr>
        <w:t>;</w:t>
      </w:r>
    </w:p>
    <w:p w:rsidR="004A59A3" w:rsidRDefault="00AE75B2" w:rsidP="00E13781">
      <w:pPr>
        <w:pStyle w:val="SingleTxtG"/>
        <w:ind w:firstLine="567"/>
        <w:rPr>
          <w:rFonts w:eastAsia="MS Mincho"/>
        </w:rPr>
      </w:pPr>
      <w:r>
        <w:rPr>
          <w:rFonts w:eastAsia="MS Mincho"/>
        </w:rPr>
        <w:t>b)</w:t>
      </w:r>
      <w:r w:rsidR="004A59A3">
        <w:rPr>
          <w:rFonts w:eastAsia="MS Mincho"/>
        </w:rPr>
        <w:tab/>
        <w:t>Sens du terme «détention», en particulier en ce qui concerne les enfants</w:t>
      </w:r>
      <w:r>
        <w:rPr>
          <w:rFonts w:eastAsia="MS Mincho"/>
        </w:rPr>
        <w:t>;</w:t>
      </w:r>
    </w:p>
    <w:p w:rsidR="004A59A3" w:rsidRDefault="00AE75B2" w:rsidP="00E13781">
      <w:pPr>
        <w:pStyle w:val="SingleTxtG"/>
        <w:ind w:firstLine="567"/>
        <w:rPr>
          <w:rFonts w:eastAsia="MS Mincho"/>
        </w:rPr>
      </w:pPr>
      <w:r>
        <w:rPr>
          <w:rFonts w:eastAsia="MS Mincho"/>
        </w:rPr>
        <w:t>c)</w:t>
      </w:r>
      <w:r w:rsidR="004A59A3">
        <w:rPr>
          <w:rFonts w:eastAsia="MS Mincho"/>
        </w:rPr>
        <w:tab/>
        <w:t>Sens du terme «arbitraires» lorsqu’il est appliqué à l’arrestation et à la détention</w:t>
      </w:r>
      <w:r>
        <w:rPr>
          <w:rFonts w:eastAsia="MS Mincho"/>
        </w:rPr>
        <w:t>:</w:t>
      </w:r>
    </w:p>
    <w:p w:rsidR="004A59A3" w:rsidRDefault="00AE75B2" w:rsidP="00467E25">
      <w:pPr>
        <w:pStyle w:val="SingleTxtG"/>
        <w:ind w:left="1701" w:firstLine="567"/>
        <w:rPr>
          <w:rFonts w:eastAsia="MS Mincho"/>
        </w:rPr>
      </w:pPr>
      <w:r>
        <w:rPr>
          <w:rFonts w:eastAsia="MS Mincho"/>
        </w:rPr>
        <w:t>i</w:t>
      </w:r>
      <w:r w:rsidR="004A59A3">
        <w:rPr>
          <w:rFonts w:eastAsia="MS Mincho"/>
        </w:rPr>
        <w:t>)</w:t>
      </w:r>
      <w:r w:rsidR="004A59A3">
        <w:rPr>
          <w:rFonts w:eastAsia="MS Mincho"/>
        </w:rPr>
        <w:tab/>
        <w:t>Lien avec la phrase suivante</w:t>
      </w:r>
      <w:r>
        <w:rPr>
          <w:rFonts w:eastAsia="MS Mincho"/>
        </w:rPr>
        <w:t>;</w:t>
      </w:r>
    </w:p>
    <w:p w:rsidR="004A59A3" w:rsidRDefault="00AE75B2" w:rsidP="00467E25">
      <w:pPr>
        <w:pStyle w:val="SingleTxtG"/>
        <w:ind w:left="1701" w:firstLine="567"/>
        <w:rPr>
          <w:rFonts w:eastAsia="MS Mincho"/>
        </w:rPr>
      </w:pPr>
      <w:r>
        <w:rPr>
          <w:rFonts w:eastAsia="MS Mincho"/>
        </w:rPr>
        <w:t>ii</w:t>
      </w:r>
      <w:r w:rsidR="004A59A3">
        <w:rPr>
          <w:rFonts w:eastAsia="MS Mincho"/>
        </w:rPr>
        <w:t>)</w:t>
      </w:r>
      <w:r w:rsidR="004A59A3">
        <w:rPr>
          <w:rFonts w:eastAsia="MS Mincho"/>
        </w:rPr>
        <w:tab/>
        <w:t>Importance des mandats d’arrêt</w:t>
      </w:r>
      <w:r>
        <w:rPr>
          <w:rFonts w:eastAsia="MS Mincho"/>
        </w:rPr>
        <w:t>;</w:t>
      </w:r>
    </w:p>
    <w:p w:rsidR="004A59A3" w:rsidRDefault="00AE75B2" w:rsidP="00467E25">
      <w:pPr>
        <w:pStyle w:val="SingleTxtG"/>
        <w:ind w:left="1701" w:firstLine="567"/>
        <w:rPr>
          <w:rFonts w:eastAsia="MS Mincho"/>
        </w:rPr>
      </w:pPr>
      <w:r>
        <w:rPr>
          <w:rFonts w:eastAsia="MS Mincho"/>
        </w:rPr>
        <w:t>ii</w:t>
      </w:r>
      <w:r w:rsidR="007043D0">
        <w:rPr>
          <w:rFonts w:eastAsia="MS Mincho"/>
        </w:rPr>
        <w:t>i</w:t>
      </w:r>
      <w:r w:rsidR="004A59A3">
        <w:rPr>
          <w:rFonts w:eastAsia="MS Mincho"/>
        </w:rPr>
        <w:t>)</w:t>
      </w:r>
      <w:r w:rsidR="004A59A3">
        <w:rPr>
          <w:rFonts w:eastAsia="MS Mincho"/>
        </w:rPr>
        <w:tab/>
        <w:t>Le caractère non arbitraire comme condition de fond</w:t>
      </w:r>
      <w:r>
        <w:rPr>
          <w:rFonts w:eastAsia="MS Mincho"/>
        </w:rPr>
        <w:t>;</w:t>
      </w:r>
    </w:p>
    <w:p w:rsidR="004A59A3" w:rsidRDefault="00AE75B2" w:rsidP="00467E25">
      <w:pPr>
        <w:pStyle w:val="SingleTxtG"/>
        <w:ind w:left="1701" w:firstLine="567"/>
        <w:rPr>
          <w:rFonts w:eastAsia="MS Mincho"/>
        </w:rPr>
      </w:pPr>
      <w:r>
        <w:rPr>
          <w:rFonts w:eastAsia="MS Mincho"/>
        </w:rPr>
        <w:t>iv</w:t>
      </w:r>
      <w:r w:rsidR="004A59A3">
        <w:rPr>
          <w:rFonts w:eastAsia="MS Mincho"/>
        </w:rPr>
        <w:t>)</w:t>
      </w:r>
      <w:r w:rsidR="004A59A3">
        <w:rPr>
          <w:rFonts w:eastAsia="MS Mincho"/>
        </w:rPr>
        <w:tab/>
        <w:t>Pertinence d’autres dispositions du Pacte</w:t>
      </w:r>
      <w:r>
        <w:rPr>
          <w:rFonts w:eastAsia="MS Mincho"/>
        </w:rPr>
        <w:t>;</w:t>
      </w:r>
    </w:p>
    <w:p w:rsidR="004A59A3" w:rsidRDefault="00AE75B2" w:rsidP="00467E25">
      <w:pPr>
        <w:pStyle w:val="SingleTxtG"/>
        <w:ind w:left="1701" w:firstLine="567"/>
        <w:rPr>
          <w:rFonts w:eastAsia="MS Mincho"/>
        </w:rPr>
      </w:pPr>
      <w:r>
        <w:rPr>
          <w:rFonts w:eastAsia="MS Mincho"/>
        </w:rPr>
        <w:t>v</w:t>
      </w:r>
      <w:r w:rsidR="004A59A3">
        <w:rPr>
          <w:rFonts w:eastAsia="MS Mincho"/>
        </w:rPr>
        <w:t>)</w:t>
      </w:r>
      <w:r w:rsidR="004A59A3">
        <w:rPr>
          <w:rFonts w:eastAsia="MS Mincho"/>
        </w:rPr>
        <w:tab/>
        <w:t>Pertinence d’autres règles du droit international</w:t>
      </w:r>
      <w:r>
        <w:rPr>
          <w:rFonts w:eastAsia="MS Mincho"/>
        </w:rPr>
        <w:t>;</w:t>
      </w:r>
    </w:p>
    <w:p w:rsidR="004A59A3" w:rsidRDefault="00AE75B2" w:rsidP="00467E25">
      <w:pPr>
        <w:pStyle w:val="SingleTxtG"/>
        <w:ind w:left="1701" w:firstLine="567"/>
        <w:rPr>
          <w:rFonts w:eastAsia="MS Mincho"/>
        </w:rPr>
      </w:pPr>
      <w:r>
        <w:rPr>
          <w:rFonts w:eastAsia="MS Mincho"/>
        </w:rPr>
        <w:t>vi</w:t>
      </w:r>
      <w:r w:rsidR="004A59A3">
        <w:rPr>
          <w:rFonts w:eastAsia="MS Mincho"/>
        </w:rPr>
        <w:t>)</w:t>
      </w:r>
      <w:r w:rsidR="004A59A3">
        <w:rPr>
          <w:rFonts w:eastAsia="MS Mincho"/>
        </w:rPr>
        <w:tab/>
        <w:t>Importance des conditions de détention</w:t>
      </w:r>
      <w:r>
        <w:rPr>
          <w:rFonts w:eastAsia="MS Mincho"/>
        </w:rPr>
        <w:t>;</w:t>
      </w:r>
    </w:p>
    <w:p w:rsidR="004A59A3" w:rsidRDefault="00AE75B2" w:rsidP="00467E25">
      <w:pPr>
        <w:pStyle w:val="SingleTxtG"/>
        <w:ind w:left="1701" w:firstLine="567"/>
        <w:rPr>
          <w:rFonts w:eastAsia="MS Mincho"/>
        </w:rPr>
      </w:pPr>
      <w:r>
        <w:rPr>
          <w:rFonts w:eastAsia="MS Mincho"/>
        </w:rPr>
        <w:t>vii</w:t>
      </w:r>
      <w:r w:rsidR="004A59A3">
        <w:rPr>
          <w:rFonts w:eastAsia="MS Mincho"/>
        </w:rPr>
        <w:t>)</w:t>
      </w:r>
      <w:r w:rsidR="004A59A3">
        <w:rPr>
          <w:rFonts w:eastAsia="MS Mincho"/>
        </w:rPr>
        <w:tab/>
        <w:t>Motifs légitimes et non légitimes de la détention</w:t>
      </w:r>
      <w:r>
        <w:rPr>
          <w:rFonts w:eastAsia="MS Mincho"/>
        </w:rPr>
        <w:t>;</w:t>
      </w:r>
    </w:p>
    <w:p w:rsidR="004A59A3" w:rsidRDefault="00AE75B2" w:rsidP="00467E25">
      <w:pPr>
        <w:pStyle w:val="SingleTxtG"/>
        <w:ind w:left="1701" w:firstLine="567"/>
        <w:rPr>
          <w:rFonts w:eastAsia="MS Mincho"/>
        </w:rPr>
      </w:pPr>
      <w:r>
        <w:rPr>
          <w:rFonts w:eastAsia="MS Mincho"/>
        </w:rPr>
        <w:t>viii</w:t>
      </w:r>
      <w:r w:rsidR="004A59A3">
        <w:rPr>
          <w:rFonts w:eastAsia="MS Mincho"/>
        </w:rPr>
        <w:t>)</w:t>
      </w:r>
      <w:r w:rsidR="004A59A3">
        <w:rPr>
          <w:rFonts w:eastAsia="MS Mincho"/>
        </w:rPr>
        <w:tab/>
        <w:t xml:space="preserve">Éléments de preuve </w:t>
      </w:r>
      <w:r>
        <w:rPr>
          <w:rFonts w:eastAsia="MS Mincho"/>
        </w:rPr>
        <w:t xml:space="preserve">fondant </w:t>
      </w:r>
      <w:r w:rsidR="004A59A3">
        <w:rPr>
          <w:rFonts w:eastAsia="MS Mincho"/>
        </w:rPr>
        <w:t>l’arrestation ou la détention</w:t>
      </w:r>
      <w:r>
        <w:rPr>
          <w:rFonts w:eastAsia="MS Mincho"/>
        </w:rPr>
        <w:t>;</w:t>
      </w:r>
    </w:p>
    <w:p w:rsidR="004A59A3" w:rsidRDefault="004A59A3" w:rsidP="00467E25">
      <w:pPr>
        <w:pStyle w:val="SingleTxtG"/>
        <w:ind w:left="1701" w:firstLine="567"/>
        <w:rPr>
          <w:rFonts w:eastAsia="MS Mincho"/>
        </w:rPr>
      </w:pPr>
      <w:r>
        <w:rPr>
          <w:rFonts w:eastAsia="MS Mincho"/>
        </w:rPr>
        <w:t>i</w:t>
      </w:r>
      <w:r w:rsidR="00AE75B2">
        <w:rPr>
          <w:rFonts w:eastAsia="MS Mincho"/>
        </w:rPr>
        <w:t>x</w:t>
      </w:r>
      <w:r>
        <w:rPr>
          <w:rFonts w:eastAsia="MS Mincho"/>
        </w:rPr>
        <w:t>)</w:t>
      </w:r>
      <w:r>
        <w:rPr>
          <w:rFonts w:eastAsia="MS Mincho"/>
        </w:rPr>
        <w:tab/>
        <w:t>Critère du caractère non arbitraire dans des domaines particuliers</w:t>
      </w:r>
      <w:r w:rsidR="00AE75B2">
        <w:rPr>
          <w:rFonts w:eastAsia="MS Mincho"/>
        </w:rPr>
        <w:t>.</w:t>
      </w:r>
    </w:p>
    <w:p w:rsidR="004A59A3" w:rsidRDefault="00AE75B2" w:rsidP="005909F6">
      <w:pPr>
        <w:pStyle w:val="SingleTxtG"/>
        <w:rPr>
          <w:rFonts w:eastAsia="MS Mincho"/>
        </w:rPr>
      </w:pPr>
      <w:r>
        <w:rPr>
          <w:rFonts w:eastAsia="MS Mincho"/>
        </w:rPr>
        <w:t>6.</w:t>
      </w:r>
      <w:r>
        <w:rPr>
          <w:rFonts w:eastAsia="MS Mincho"/>
        </w:rPr>
        <w:tab/>
        <w:t>En ce qui concerne le paragraphe 1 de l’article 9 (</w:t>
      </w:r>
      <w:r w:rsidR="004A59A3">
        <w:rPr>
          <w:rFonts w:eastAsia="MS Mincho"/>
        </w:rPr>
        <w:t>«Nul ne peut être privé de sa liberté, si ce n’est</w:t>
      </w:r>
      <w:r>
        <w:rPr>
          <w:rFonts w:eastAsia="MS Mincho"/>
        </w:rPr>
        <w:t xml:space="preserve"> </w:t>
      </w:r>
      <w:r w:rsidR="004A59A3">
        <w:rPr>
          <w:rFonts w:eastAsia="MS Mincho"/>
        </w:rPr>
        <w:t>pour des motifs et conformément à la procédure prévus par la loi»</w:t>
      </w:r>
      <w:r>
        <w:rPr>
          <w:rFonts w:eastAsia="MS Mincho"/>
        </w:rPr>
        <w:t>, on pourra examiner les éléments suivants:</w:t>
      </w:r>
    </w:p>
    <w:p w:rsidR="004A59A3" w:rsidRDefault="00AE75B2" w:rsidP="00E13781">
      <w:pPr>
        <w:pStyle w:val="SingleTxtG"/>
        <w:ind w:firstLine="567"/>
        <w:rPr>
          <w:rFonts w:eastAsia="MS Mincho"/>
        </w:rPr>
      </w:pPr>
      <w:r>
        <w:rPr>
          <w:rFonts w:eastAsia="MS Mincho"/>
        </w:rPr>
        <w:t>a)</w:t>
      </w:r>
      <w:r w:rsidR="004A59A3">
        <w:rPr>
          <w:rFonts w:eastAsia="MS Mincho"/>
        </w:rPr>
        <w:tab/>
        <w:t>Sens des termes «privation de liberté», et question de savoir s’ils recouvrent autre chose que l’arrestation et la détention</w:t>
      </w:r>
      <w:r>
        <w:rPr>
          <w:rFonts w:eastAsia="MS Mincho"/>
        </w:rPr>
        <w:t>;</w:t>
      </w:r>
    </w:p>
    <w:p w:rsidR="004A59A3" w:rsidRDefault="00AE75B2" w:rsidP="00E13781">
      <w:pPr>
        <w:pStyle w:val="SingleTxtG"/>
        <w:ind w:firstLine="567"/>
        <w:rPr>
          <w:rFonts w:eastAsia="MS Mincho"/>
        </w:rPr>
      </w:pPr>
      <w:r>
        <w:rPr>
          <w:rFonts w:eastAsia="MS Mincho"/>
        </w:rPr>
        <w:t>b)</w:t>
      </w:r>
      <w:r w:rsidR="004A59A3">
        <w:rPr>
          <w:rFonts w:eastAsia="MS Mincho"/>
        </w:rPr>
        <w:tab/>
        <w:t>Condition selon laquelle la privation de liberté doit être «pour des motifs … prévus par la loi»</w:t>
      </w:r>
      <w:r>
        <w:rPr>
          <w:rFonts w:eastAsia="MS Mincho"/>
        </w:rPr>
        <w:t>;</w:t>
      </w:r>
    </w:p>
    <w:p w:rsidR="004A59A3" w:rsidRDefault="00AE75B2" w:rsidP="00E13781">
      <w:pPr>
        <w:pStyle w:val="SingleTxtG"/>
        <w:ind w:firstLine="567"/>
        <w:rPr>
          <w:rFonts w:eastAsia="MS Mincho"/>
        </w:rPr>
      </w:pPr>
      <w:r>
        <w:rPr>
          <w:rFonts w:eastAsia="MS Mincho"/>
        </w:rPr>
        <w:t>c)</w:t>
      </w:r>
      <w:r w:rsidR="004A59A3">
        <w:rPr>
          <w:rFonts w:eastAsia="MS Mincho"/>
        </w:rPr>
        <w:tab/>
        <w:t>Condition selon laquelle la privation doit être effectuée «conformément à la procédure prévu[e] par la loi»</w:t>
      </w:r>
      <w:r>
        <w:rPr>
          <w:rFonts w:eastAsia="MS Mincho"/>
        </w:rPr>
        <w:t>;</w:t>
      </w:r>
    </w:p>
    <w:p w:rsidR="004A59A3" w:rsidRDefault="00AE75B2" w:rsidP="00E13781">
      <w:pPr>
        <w:pStyle w:val="SingleTxtG"/>
        <w:ind w:firstLine="567"/>
        <w:rPr>
          <w:rFonts w:eastAsia="MS Mincho"/>
        </w:rPr>
      </w:pPr>
      <w:r>
        <w:rPr>
          <w:rFonts w:eastAsia="MS Mincho"/>
        </w:rPr>
        <w:t>d)</w:t>
      </w:r>
      <w:r w:rsidR="004A59A3">
        <w:rPr>
          <w:rFonts w:eastAsia="MS Mincho"/>
        </w:rPr>
        <w:tab/>
        <w:t>Sens des termes «prévus par la loi»</w:t>
      </w:r>
      <w:r>
        <w:rPr>
          <w:rFonts w:eastAsia="MS Mincho"/>
        </w:rPr>
        <w:t>.</w:t>
      </w:r>
    </w:p>
    <w:p w:rsidR="00E655C7" w:rsidRDefault="00E655C7" w:rsidP="00E655C7">
      <w:pPr>
        <w:pStyle w:val="H23G"/>
        <w:rPr>
          <w:rFonts w:eastAsia="MS Mincho"/>
        </w:rPr>
      </w:pPr>
      <w:r>
        <w:rPr>
          <w:rFonts w:eastAsia="MS Mincho"/>
        </w:rPr>
        <w:tab/>
      </w:r>
      <w:r>
        <w:rPr>
          <w:rFonts w:eastAsia="MS Mincho"/>
        </w:rPr>
        <w:tab/>
        <w:t>Article 9, paragraphe 2</w:t>
      </w:r>
    </w:p>
    <w:p w:rsidR="004A59A3" w:rsidRDefault="00E655C7" w:rsidP="00E655C7">
      <w:pPr>
        <w:pStyle w:val="SingleTxtG"/>
        <w:rPr>
          <w:rFonts w:eastAsia="MS Mincho"/>
        </w:rPr>
      </w:pPr>
      <w:r>
        <w:rPr>
          <w:rFonts w:eastAsia="MS Mincho"/>
        </w:rPr>
        <w:t>7.</w:t>
      </w:r>
      <w:r>
        <w:rPr>
          <w:rFonts w:eastAsia="MS Mincho"/>
        </w:rPr>
        <w:tab/>
        <w:t>En ce qui concerne le paragraphe 2 de l’article 9 (</w:t>
      </w:r>
      <w:r w:rsidR="004A59A3">
        <w:rPr>
          <w:rFonts w:eastAsia="MS Mincho"/>
        </w:rPr>
        <w:t>«Tout individu arrêté sera informé, au moment</w:t>
      </w:r>
      <w:r>
        <w:rPr>
          <w:rFonts w:eastAsia="MS Mincho"/>
        </w:rPr>
        <w:t xml:space="preserve"> </w:t>
      </w:r>
      <w:r w:rsidR="004A59A3">
        <w:rPr>
          <w:rFonts w:eastAsia="MS Mincho"/>
        </w:rPr>
        <w:t>de son arrestation, des raisons de cette arrestation et recevra notification,</w:t>
      </w:r>
      <w:r>
        <w:rPr>
          <w:rFonts w:eastAsia="MS Mincho"/>
        </w:rPr>
        <w:t xml:space="preserve"> </w:t>
      </w:r>
      <w:r w:rsidR="004A59A3">
        <w:rPr>
          <w:rFonts w:eastAsia="MS Mincho"/>
        </w:rPr>
        <w:t>dans le plus court délai, de toute accusation portée contre lui»</w:t>
      </w:r>
      <w:r>
        <w:rPr>
          <w:rFonts w:eastAsia="MS Mincho"/>
        </w:rPr>
        <w:t>), on pourra examiner les éléments suivants:</w:t>
      </w:r>
    </w:p>
    <w:p w:rsidR="004A59A3" w:rsidRDefault="00E655C7" w:rsidP="00E13781">
      <w:pPr>
        <w:pStyle w:val="SingleTxtG"/>
        <w:ind w:firstLine="567"/>
        <w:rPr>
          <w:rFonts w:eastAsia="MS Mincho"/>
        </w:rPr>
      </w:pPr>
      <w:r>
        <w:rPr>
          <w:rFonts w:eastAsia="MS Mincho"/>
        </w:rPr>
        <w:t>a)</w:t>
      </w:r>
      <w:r w:rsidR="004A59A3">
        <w:rPr>
          <w:rFonts w:eastAsia="MS Mincho"/>
        </w:rPr>
        <w:tab/>
        <w:t>Droit d’être informé des raisons de l’arrestation</w:t>
      </w:r>
      <w:r>
        <w:rPr>
          <w:rFonts w:eastAsia="MS Mincho"/>
        </w:rPr>
        <w:t>:</w:t>
      </w:r>
    </w:p>
    <w:p w:rsidR="004A59A3" w:rsidRDefault="00E655C7" w:rsidP="00467E25">
      <w:pPr>
        <w:pStyle w:val="SingleTxtG"/>
        <w:ind w:left="1701" w:firstLine="567"/>
        <w:rPr>
          <w:rFonts w:eastAsia="MS Mincho"/>
        </w:rPr>
      </w:pPr>
      <w:r>
        <w:rPr>
          <w:rFonts w:eastAsia="MS Mincho"/>
        </w:rPr>
        <w:t>i</w:t>
      </w:r>
      <w:r w:rsidR="004A59A3">
        <w:rPr>
          <w:rFonts w:eastAsia="MS Mincho"/>
        </w:rPr>
        <w:t>)</w:t>
      </w:r>
      <w:r w:rsidR="004A59A3">
        <w:rPr>
          <w:rFonts w:eastAsia="MS Mincho"/>
        </w:rPr>
        <w:tab/>
        <w:t>Champ d’application («arrêté»)</w:t>
      </w:r>
      <w:r>
        <w:rPr>
          <w:rFonts w:eastAsia="MS Mincho"/>
        </w:rPr>
        <w:t>;</w:t>
      </w:r>
    </w:p>
    <w:p w:rsidR="004A59A3" w:rsidRDefault="00E655C7" w:rsidP="00467E25">
      <w:pPr>
        <w:pStyle w:val="SingleTxtG"/>
        <w:ind w:left="1701" w:firstLine="567"/>
        <w:rPr>
          <w:rFonts w:eastAsia="MS Mincho"/>
        </w:rPr>
      </w:pPr>
      <w:r>
        <w:rPr>
          <w:rFonts w:eastAsia="MS Mincho"/>
        </w:rPr>
        <w:t>ii</w:t>
      </w:r>
      <w:r w:rsidR="004A59A3">
        <w:rPr>
          <w:rFonts w:eastAsia="MS Mincho"/>
        </w:rPr>
        <w:t>)</w:t>
      </w:r>
      <w:r w:rsidR="004A59A3">
        <w:rPr>
          <w:rFonts w:eastAsia="MS Mincho"/>
        </w:rPr>
        <w:tab/>
        <w:t>Moment où l’information est fournie</w:t>
      </w:r>
      <w:r>
        <w:rPr>
          <w:rFonts w:eastAsia="MS Mincho"/>
        </w:rPr>
        <w:t>;</w:t>
      </w:r>
    </w:p>
    <w:p w:rsidR="004A59A3" w:rsidRDefault="00E655C7" w:rsidP="00467E25">
      <w:pPr>
        <w:pStyle w:val="SingleTxtG"/>
        <w:ind w:left="1701" w:firstLine="567"/>
        <w:rPr>
          <w:rFonts w:eastAsia="MS Mincho"/>
        </w:rPr>
      </w:pPr>
      <w:r>
        <w:rPr>
          <w:rFonts w:eastAsia="MS Mincho"/>
        </w:rPr>
        <w:t>iii</w:t>
      </w:r>
      <w:r w:rsidR="004A59A3">
        <w:rPr>
          <w:rFonts w:eastAsia="MS Mincho"/>
        </w:rPr>
        <w:t>)</w:t>
      </w:r>
      <w:r w:rsidR="004A59A3">
        <w:rPr>
          <w:rFonts w:eastAsia="MS Mincho"/>
        </w:rPr>
        <w:tab/>
        <w:t>Détails et modalités de l’information</w:t>
      </w:r>
      <w:r>
        <w:rPr>
          <w:rFonts w:eastAsia="MS Mincho"/>
        </w:rPr>
        <w:t>:</w:t>
      </w:r>
    </w:p>
    <w:p w:rsidR="00E655C7" w:rsidRDefault="00E655C7" w:rsidP="00BE6208">
      <w:pPr>
        <w:pStyle w:val="SingleTxtG"/>
        <w:ind w:left="3402" w:hanging="567"/>
        <w:rPr>
          <w:rFonts w:eastAsia="MS Mincho"/>
        </w:rPr>
      </w:pPr>
      <w:r>
        <w:rPr>
          <w:rFonts w:eastAsia="MS Mincho"/>
        </w:rPr>
        <w:t>a.</w:t>
      </w:r>
      <w:r>
        <w:rPr>
          <w:rFonts w:eastAsia="MS Mincho"/>
        </w:rPr>
        <w:tab/>
        <w:t>Importance des obstacles à la communication (par ex</w:t>
      </w:r>
      <w:r w:rsidR="007043D0">
        <w:rPr>
          <w:rFonts w:eastAsia="MS Mincho"/>
        </w:rPr>
        <w:t>emple</w:t>
      </w:r>
      <w:r>
        <w:rPr>
          <w:rFonts w:eastAsia="MS Mincho"/>
        </w:rPr>
        <w:t>, langue);</w:t>
      </w:r>
    </w:p>
    <w:p w:rsidR="00E655C7" w:rsidRDefault="00E655C7" w:rsidP="00E13781">
      <w:pPr>
        <w:pStyle w:val="SingleTxtG"/>
        <w:ind w:firstLine="567"/>
        <w:rPr>
          <w:rFonts w:eastAsia="MS Mincho"/>
        </w:rPr>
      </w:pPr>
      <w:r>
        <w:rPr>
          <w:rFonts w:eastAsia="MS Mincho"/>
        </w:rPr>
        <w:t>b)</w:t>
      </w:r>
      <w:r>
        <w:rPr>
          <w:rFonts w:eastAsia="MS Mincho"/>
        </w:rPr>
        <w:tab/>
        <w:t>Droit d’être informé de toute accusation:</w:t>
      </w:r>
    </w:p>
    <w:p w:rsidR="00E655C7" w:rsidRDefault="00E655C7" w:rsidP="00466D1B">
      <w:pPr>
        <w:pStyle w:val="SingleTxtG"/>
        <w:ind w:left="1701" w:firstLine="567"/>
        <w:rPr>
          <w:rFonts w:eastAsia="MS Mincho"/>
        </w:rPr>
      </w:pPr>
      <w:r>
        <w:rPr>
          <w:rFonts w:eastAsia="MS Mincho"/>
        </w:rPr>
        <w:t>i)</w:t>
      </w:r>
      <w:r>
        <w:rPr>
          <w:rFonts w:eastAsia="MS Mincho"/>
        </w:rPr>
        <w:tab/>
        <w:t>Champ d’application («accusation»);</w:t>
      </w:r>
    </w:p>
    <w:p w:rsidR="00E655C7" w:rsidRDefault="00E655C7" w:rsidP="00467E25">
      <w:pPr>
        <w:pStyle w:val="SingleTxtG"/>
        <w:ind w:left="1701" w:firstLine="567"/>
        <w:rPr>
          <w:rFonts w:eastAsia="MS Mincho"/>
        </w:rPr>
      </w:pPr>
      <w:r>
        <w:rPr>
          <w:rFonts w:eastAsia="MS Mincho"/>
        </w:rPr>
        <w:t>ii)</w:t>
      </w:r>
      <w:r>
        <w:rPr>
          <w:rFonts w:eastAsia="MS Mincho"/>
        </w:rPr>
        <w:tab/>
        <w:t>Moment où l’information est fournie («dans le plus court délai»);</w:t>
      </w:r>
    </w:p>
    <w:p w:rsidR="00E655C7" w:rsidRDefault="00E655C7" w:rsidP="00467E25">
      <w:pPr>
        <w:pStyle w:val="SingleTxtG"/>
        <w:ind w:left="1701" w:firstLine="567"/>
        <w:rPr>
          <w:rFonts w:eastAsia="MS Mincho"/>
        </w:rPr>
      </w:pPr>
      <w:r>
        <w:rPr>
          <w:rFonts w:eastAsia="MS Mincho"/>
        </w:rPr>
        <w:t>iii)</w:t>
      </w:r>
      <w:r>
        <w:rPr>
          <w:rFonts w:eastAsia="MS Mincho"/>
        </w:rPr>
        <w:tab/>
        <w:t>Détails et modalités de l’information:</w:t>
      </w:r>
    </w:p>
    <w:p w:rsidR="00466D1B" w:rsidRDefault="00466D1B" w:rsidP="00466D1B">
      <w:pPr>
        <w:pStyle w:val="SingleTxtG"/>
        <w:ind w:left="3402" w:hanging="567"/>
        <w:rPr>
          <w:rFonts w:eastAsia="MS Mincho"/>
        </w:rPr>
      </w:pPr>
      <w:r>
        <w:rPr>
          <w:rFonts w:eastAsia="MS Mincho"/>
        </w:rPr>
        <w:t>a.</w:t>
      </w:r>
      <w:r>
        <w:rPr>
          <w:rFonts w:eastAsia="MS Mincho"/>
        </w:rPr>
        <w:tab/>
        <w:t>Importance des obstacles à la communication (par exemple, langue);</w:t>
      </w:r>
    </w:p>
    <w:p w:rsidR="00466D1B" w:rsidRDefault="00466D1B" w:rsidP="00466D1B">
      <w:pPr>
        <w:pStyle w:val="SingleTxtG"/>
        <w:ind w:firstLine="567"/>
      </w:pPr>
      <w:r>
        <w:t>c)</w:t>
      </w:r>
      <w:r>
        <w:tab/>
        <w:t xml:space="preserve">Lien avec </w:t>
      </w:r>
      <w:r w:rsidRPr="006A2AFC">
        <w:rPr>
          <w:rFonts w:eastAsia="MS Mincho"/>
        </w:rPr>
        <w:t>l</w:t>
      </w:r>
      <w:r>
        <w:rPr>
          <w:rFonts w:eastAsia="MS Mincho"/>
        </w:rPr>
        <w:t>’</w:t>
      </w:r>
      <w:r w:rsidRPr="006A2AFC">
        <w:rPr>
          <w:rFonts w:eastAsia="MS Mincho"/>
        </w:rPr>
        <w:t>article</w:t>
      </w:r>
      <w:r>
        <w:t xml:space="preserve"> 14, paragraphe 3 a).</w:t>
      </w:r>
    </w:p>
    <w:p w:rsidR="00466D1B" w:rsidRDefault="00466D1B" w:rsidP="00466D1B">
      <w:pPr>
        <w:pStyle w:val="H23G"/>
      </w:pPr>
      <w:r>
        <w:tab/>
      </w:r>
      <w:r>
        <w:tab/>
        <w:t>Article 9, paragraphe 3</w:t>
      </w:r>
    </w:p>
    <w:p w:rsidR="00466D1B" w:rsidRDefault="00466D1B" w:rsidP="00466D1B">
      <w:pPr>
        <w:pStyle w:val="SingleTxtG"/>
      </w:pPr>
      <w:r>
        <w:t>8.</w:t>
      </w:r>
      <w:r>
        <w:tab/>
        <w:t>En ce qui concerne le paragraphe 3 de l’article 9 («Tout individu arrêté ou détenu du chef d’une infraction pénale sera traduit dans le plus court délai devant un juge ou toute autre autorité habilitée par la loi à exercer des fonctions judiciaires, et devra être jugé dans un délai raisonnable ou libéré. La détention de personnes qui attendent de passer en jugement ne doit pas être de règle, mais la mise en liberté peut être subordonnée à des garanties assurant la comparution de l’intéressé à l’audience, à tous les autres actes de la procédure et, le cas échéant, pour l’exécution du jugement»), on pourra examiner les éléments suivants:</w:t>
      </w:r>
    </w:p>
    <w:p w:rsidR="00466D1B" w:rsidRDefault="00466D1B" w:rsidP="00466D1B">
      <w:pPr>
        <w:pStyle w:val="SingleTxtG"/>
        <w:ind w:firstLine="567"/>
      </w:pPr>
      <w:r>
        <w:t>a)</w:t>
      </w:r>
      <w:r>
        <w:tab/>
      </w:r>
      <w:r w:rsidRPr="006A2AFC">
        <w:rPr>
          <w:rFonts w:eastAsia="MS Mincho"/>
        </w:rPr>
        <w:t>Champ</w:t>
      </w:r>
      <w:r>
        <w:t xml:space="preserve"> d’application:</w:t>
      </w:r>
    </w:p>
    <w:p w:rsidR="00466D1B" w:rsidRDefault="00466D1B" w:rsidP="00466D1B">
      <w:pPr>
        <w:pStyle w:val="SingleTxtG"/>
        <w:ind w:firstLine="1134"/>
      </w:pPr>
      <w:r>
        <w:t>i)</w:t>
      </w:r>
      <w:r>
        <w:tab/>
        <w:t>«Arrêté ou détenu du chef d’une infraction pénale»;</w:t>
      </w:r>
    </w:p>
    <w:p w:rsidR="00466D1B" w:rsidRDefault="00466D1B" w:rsidP="00466D1B">
      <w:pPr>
        <w:pStyle w:val="SingleTxtG"/>
        <w:ind w:firstLine="1134"/>
      </w:pPr>
      <w:r>
        <w:tab/>
        <w:t>ii)</w:t>
      </w:r>
      <w:r>
        <w:tab/>
        <w:t>«Personnes qui attendent de passer en jugement»;</w:t>
      </w:r>
    </w:p>
    <w:p w:rsidR="00466D1B" w:rsidRDefault="00466D1B" w:rsidP="00466D1B">
      <w:pPr>
        <w:pStyle w:val="SingleTxtG"/>
        <w:ind w:firstLine="567"/>
      </w:pPr>
      <w:r>
        <w:t>b)</w:t>
      </w:r>
      <w:r>
        <w:tab/>
        <w:t xml:space="preserve">Lien </w:t>
      </w:r>
      <w:r w:rsidRPr="006A2AFC">
        <w:rPr>
          <w:rFonts w:eastAsia="MS Mincho"/>
        </w:rPr>
        <w:t>entre</w:t>
      </w:r>
      <w:r>
        <w:t xml:space="preserve"> les première et deuxième phrases;</w:t>
      </w:r>
    </w:p>
    <w:p w:rsidR="00466D1B" w:rsidRDefault="00466D1B" w:rsidP="00466D1B">
      <w:pPr>
        <w:pStyle w:val="SingleTxtG"/>
        <w:ind w:firstLine="567"/>
      </w:pPr>
      <w:r>
        <w:t>c)</w:t>
      </w:r>
      <w:r>
        <w:tab/>
        <w:t xml:space="preserve">Sens </w:t>
      </w:r>
      <w:r w:rsidRPr="006A2AFC">
        <w:rPr>
          <w:rFonts w:eastAsia="MS Mincho"/>
        </w:rPr>
        <w:t>des</w:t>
      </w:r>
      <w:r>
        <w:t xml:space="preserve"> termes «dans le plus court délai»;</w:t>
      </w:r>
    </w:p>
    <w:p w:rsidR="00466D1B" w:rsidRDefault="00466D1B" w:rsidP="00466D1B">
      <w:pPr>
        <w:pStyle w:val="SingleTxtG"/>
        <w:ind w:firstLine="567"/>
      </w:pPr>
      <w:r>
        <w:t>d)</w:t>
      </w:r>
      <w:r>
        <w:tab/>
        <w:t>Sens des termes «s</w:t>
      </w:r>
      <w:r w:rsidRPr="006A2AFC">
        <w:rPr>
          <w:rFonts w:eastAsia="MS Mincho"/>
        </w:rPr>
        <w:t>era</w:t>
      </w:r>
      <w:r>
        <w:t xml:space="preserve"> traduit … devant»;</w:t>
      </w:r>
    </w:p>
    <w:p w:rsidR="00466D1B" w:rsidRDefault="00466D1B" w:rsidP="00466D1B">
      <w:pPr>
        <w:pStyle w:val="SingleTxtG"/>
        <w:ind w:firstLine="567"/>
      </w:pPr>
      <w:r>
        <w:t>e)</w:t>
      </w:r>
      <w:r>
        <w:tab/>
      </w:r>
      <w:r w:rsidRPr="006A2AFC">
        <w:rPr>
          <w:rFonts w:eastAsia="MS Mincho"/>
        </w:rPr>
        <w:t>Sens</w:t>
      </w:r>
      <w:r>
        <w:t xml:space="preserve"> des termes «un juge ou une autre autorité habilitée par la loi à exercer des fonctions judiciaires»;</w:t>
      </w:r>
    </w:p>
    <w:p w:rsidR="00466D1B" w:rsidRDefault="00466D1B" w:rsidP="00466D1B">
      <w:pPr>
        <w:pStyle w:val="SingleTxtG"/>
        <w:ind w:firstLine="567"/>
      </w:pPr>
      <w:r>
        <w:t>f)</w:t>
      </w:r>
      <w:r>
        <w:tab/>
      </w:r>
      <w:r>
        <w:rPr>
          <w:rFonts w:eastAsia="MS Mincho"/>
        </w:rPr>
        <w:t>Attributions</w:t>
      </w:r>
      <w:r>
        <w:t xml:space="preserve"> du juge;</w:t>
      </w:r>
    </w:p>
    <w:p w:rsidR="00466D1B" w:rsidRDefault="00466D1B" w:rsidP="00466D1B">
      <w:pPr>
        <w:pStyle w:val="SingleTxtG"/>
        <w:ind w:firstLine="567"/>
      </w:pPr>
      <w:r>
        <w:t>g)</w:t>
      </w:r>
      <w:r>
        <w:tab/>
      </w:r>
      <w:r w:rsidRPr="006A2AFC">
        <w:rPr>
          <w:rFonts w:eastAsia="MS Mincho"/>
        </w:rPr>
        <w:t>Critère</w:t>
      </w:r>
      <w:r>
        <w:t xml:space="preserve"> du «délai raisonnable»:</w:t>
      </w:r>
    </w:p>
    <w:p w:rsidR="00466D1B" w:rsidRDefault="00466D1B" w:rsidP="00466D1B">
      <w:pPr>
        <w:pStyle w:val="SingleTxtG"/>
        <w:ind w:left="2835" w:hanging="567"/>
      </w:pPr>
      <w:r>
        <w:t>i)</w:t>
      </w:r>
      <w:r>
        <w:tab/>
        <w:t>Point de départ et fin de la période considérée comme un «délai raisonnable»;</w:t>
      </w:r>
    </w:p>
    <w:p w:rsidR="00466D1B" w:rsidRDefault="00466D1B" w:rsidP="00466D1B">
      <w:pPr>
        <w:pStyle w:val="SingleTxtG"/>
        <w:ind w:left="2835" w:hanging="567"/>
      </w:pPr>
      <w:r>
        <w:t>ii)</w:t>
      </w:r>
      <w:r>
        <w:tab/>
        <w:t>Lien avec l’article 14, paragraphe 3 c);</w:t>
      </w:r>
    </w:p>
    <w:p w:rsidR="00466D1B" w:rsidRDefault="00466D1B" w:rsidP="00466D1B">
      <w:pPr>
        <w:pStyle w:val="SingleTxtG"/>
        <w:ind w:firstLine="567"/>
      </w:pPr>
      <w:r>
        <w:t>h)</w:t>
      </w:r>
      <w:r>
        <w:tab/>
      </w:r>
      <w:r w:rsidRPr="006A2AFC">
        <w:rPr>
          <w:rFonts w:eastAsia="MS Mincho"/>
        </w:rPr>
        <w:t>Sens</w:t>
      </w:r>
      <w:r>
        <w:t xml:space="preserve"> du deuxième volet du droit de la personne exprimé par les termes «ou libéré»;</w:t>
      </w:r>
    </w:p>
    <w:p w:rsidR="00466D1B" w:rsidRDefault="00466D1B" w:rsidP="00466D1B">
      <w:pPr>
        <w:pStyle w:val="SingleTxtG"/>
        <w:ind w:firstLine="567"/>
      </w:pPr>
      <w:r>
        <w:t>i)</w:t>
      </w:r>
      <w:r>
        <w:tab/>
      </w:r>
      <w:r w:rsidRPr="006A2AFC">
        <w:rPr>
          <w:rFonts w:eastAsia="MS Mincho"/>
        </w:rPr>
        <w:t>Justifications</w:t>
      </w:r>
      <w:r>
        <w:t xml:space="preserve"> de la détention avant le jugement;</w:t>
      </w:r>
    </w:p>
    <w:p w:rsidR="00466D1B" w:rsidRDefault="00466D1B" w:rsidP="00466D1B">
      <w:pPr>
        <w:pStyle w:val="SingleTxtG"/>
        <w:ind w:firstLine="567"/>
      </w:pPr>
      <w:r>
        <w:t>j)</w:t>
      </w:r>
      <w:r>
        <w:tab/>
      </w:r>
      <w:r w:rsidRPr="006A2AFC">
        <w:rPr>
          <w:rFonts w:eastAsia="MS Mincho"/>
        </w:rPr>
        <w:t>Garanties</w:t>
      </w:r>
      <w:r>
        <w:t xml:space="preserve"> autorisées pour assurer la comparution;</w:t>
      </w:r>
    </w:p>
    <w:p w:rsidR="00466D1B" w:rsidRDefault="00466D1B" w:rsidP="00466D1B">
      <w:pPr>
        <w:pStyle w:val="SingleTxtG"/>
        <w:ind w:firstLine="567"/>
      </w:pPr>
      <w:r>
        <w:t>k)</w:t>
      </w:r>
      <w:r>
        <w:tab/>
      </w:r>
      <w:r w:rsidRPr="006A2AFC">
        <w:rPr>
          <w:rFonts w:eastAsia="MS Mincho"/>
        </w:rPr>
        <w:t>Autres</w:t>
      </w:r>
      <w:r>
        <w:t xml:space="preserve"> raisons de refuser la libération.</w:t>
      </w:r>
    </w:p>
    <w:p w:rsidR="00466D1B" w:rsidRDefault="00466D1B" w:rsidP="00466D1B">
      <w:pPr>
        <w:pStyle w:val="H23G"/>
      </w:pPr>
      <w:r>
        <w:tab/>
      </w:r>
      <w:r>
        <w:tab/>
        <w:t>Article 9, paragraphe 4</w:t>
      </w:r>
    </w:p>
    <w:p w:rsidR="00466D1B" w:rsidRDefault="00466D1B" w:rsidP="00466D1B">
      <w:pPr>
        <w:pStyle w:val="SingleTxtG"/>
      </w:pPr>
      <w:r>
        <w:t>9.</w:t>
      </w:r>
      <w:r>
        <w:tab/>
        <w:t>En ce qui concerne le paragraphe 4 de l’article 9 («Quiconque se trouve privé de sa liberté par arrestation ou détention a le droit d’introduire un recours devant un tribunal afin que celui-ci statue sans délai sur la légalité de sa détention et ordonne sa libération si la détention est illégale»), on pourra examiner les éléments suivants:</w:t>
      </w:r>
    </w:p>
    <w:p w:rsidR="00466D1B" w:rsidRDefault="00466D1B" w:rsidP="00466D1B">
      <w:pPr>
        <w:pStyle w:val="SingleTxtG"/>
        <w:ind w:firstLine="567"/>
      </w:pPr>
      <w:r>
        <w:t>a)</w:t>
      </w:r>
      <w:r>
        <w:tab/>
      </w:r>
      <w:r w:rsidRPr="006A2AFC">
        <w:rPr>
          <w:rFonts w:eastAsia="MS Mincho"/>
        </w:rPr>
        <w:t>Champ</w:t>
      </w:r>
      <w:r>
        <w:t xml:space="preserve"> d’application:</w:t>
      </w:r>
    </w:p>
    <w:p w:rsidR="00466D1B" w:rsidRDefault="00466D1B" w:rsidP="00466D1B">
      <w:pPr>
        <w:pStyle w:val="SingleTxtG"/>
        <w:ind w:firstLine="1134"/>
      </w:pPr>
      <w:r>
        <w:tab/>
        <w:t>i)</w:t>
      </w:r>
      <w:r>
        <w:tab/>
        <w:t>Cas de privation de liberté relevant de l’article 9, paragraphe 4;</w:t>
      </w:r>
    </w:p>
    <w:p w:rsidR="00466D1B" w:rsidRDefault="00466D1B" w:rsidP="00466D1B">
      <w:pPr>
        <w:pStyle w:val="SingleTxtG"/>
        <w:ind w:firstLine="1134"/>
      </w:pPr>
      <w:r>
        <w:tab/>
        <w:t>ii)</w:t>
      </w:r>
      <w:r>
        <w:tab/>
        <w:t>Application aux détentions préalablement ordonnées par un tribunal;</w:t>
      </w:r>
    </w:p>
    <w:p w:rsidR="00466D1B" w:rsidRDefault="00466D1B" w:rsidP="00466D1B">
      <w:pPr>
        <w:pStyle w:val="SingleTxtG"/>
        <w:ind w:firstLine="1134"/>
      </w:pPr>
      <w:r>
        <w:tab/>
        <w:t>iii)</w:t>
      </w:r>
      <w:r>
        <w:tab/>
        <w:t>Application aux détentions préalablement examinées par un tribunal;</w:t>
      </w:r>
    </w:p>
    <w:p w:rsidR="00466D1B" w:rsidRDefault="00466D1B" w:rsidP="00466D1B">
      <w:pPr>
        <w:pStyle w:val="SingleTxtG"/>
        <w:ind w:firstLine="567"/>
      </w:pPr>
      <w:r>
        <w:t>b)</w:t>
      </w:r>
      <w:r>
        <w:tab/>
      </w:r>
      <w:r w:rsidRPr="006A2AFC">
        <w:rPr>
          <w:rFonts w:eastAsia="MS Mincho"/>
        </w:rPr>
        <w:t>Sens</w:t>
      </w:r>
      <w:r>
        <w:t xml:space="preserve"> des termes «un tribunal»;</w:t>
      </w:r>
    </w:p>
    <w:p w:rsidR="00466D1B" w:rsidRDefault="00466D1B" w:rsidP="00466D1B">
      <w:pPr>
        <w:pStyle w:val="SingleTxtG"/>
        <w:ind w:firstLine="567"/>
      </w:pPr>
      <w:r>
        <w:t>c)</w:t>
      </w:r>
      <w:r>
        <w:tab/>
      </w:r>
      <w:r w:rsidRPr="006A2AFC">
        <w:rPr>
          <w:rFonts w:eastAsia="MS Mincho"/>
        </w:rPr>
        <w:t>Nature</w:t>
      </w:r>
      <w:r>
        <w:t xml:space="preserve"> de la procédure:</w:t>
      </w:r>
    </w:p>
    <w:p w:rsidR="00466D1B" w:rsidRDefault="00466D1B" w:rsidP="00466D1B">
      <w:pPr>
        <w:pStyle w:val="SingleTxtG"/>
        <w:ind w:firstLine="1134"/>
      </w:pPr>
      <w:r>
        <w:tab/>
        <w:t>i)</w:t>
      </w:r>
      <w:r>
        <w:tab/>
        <w:t>Droits du détenu;</w:t>
      </w:r>
    </w:p>
    <w:p w:rsidR="00466D1B" w:rsidRDefault="00466D1B" w:rsidP="00466D1B">
      <w:pPr>
        <w:pStyle w:val="SingleTxtG"/>
        <w:ind w:firstLine="1134"/>
      </w:pPr>
      <w:r>
        <w:tab/>
        <w:t>ii)</w:t>
      </w:r>
      <w:r>
        <w:tab/>
        <w:t>Droits procéduraux annexes;</w:t>
      </w:r>
    </w:p>
    <w:p w:rsidR="00466D1B" w:rsidRDefault="00466D1B" w:rsidP="00466D1B">
      <w:pPr>
        <w:pStyle w:val="SingleTxtG"/>
        <w:ind w:firstLine="567"/>
      </w:pPr>
      <w:r>
        <w:t>d)</w:t>
      </w:r>
      <w:r>
        <w:tab/>
      </w:r>
      <w:r w:rsidRPr="006A2AFC">
        <w:rPr>
          <w:rFonts w:eastAsia="MS Mincho"/>
        </w:rPr>
        <w:t>Critère</w:t>
      </w:r>
      <w:r>
        <w:t xml:space="preserve"> de définition des termes «sans délai»;</w:t>
      </w:r>
    </w:p>
    <w:p w:rsidR="00466D1B" w:rsidRDefault="00466D1B" w:rsidP="00466D1B">
      <w:pPr>
        <w:pStyle w:val="SingleTxtG"/>
        <w:ind w:firstLine="567"/>
      </w:pPr>
      <w:r>
        <w:t>e)</w:t>
      </w:r>
      <w:r>
        <w:tab/>
        <w:t>Sens du terme «[il]légale»;</w:t>
      </w:r>
    </w:p>
    <w:p w:rsidR="00466D1B" w:rsidRDefault="00466D1B" w:rsidP="00466D1B">
      <w:pPr>
        <w:pStyle w:val="SingleTxtG"/>
        <w:ind w:firstLine="567"/>
      </w:pPr>
      <w:r>
        <w:t>f)</w:t>
      </w:r>
      <w:r>
        <w:tab/>
      </w:r>
      <w:r w:rsidRPr="006A2AFC">
        <w:rPr>
          <w:rFonts w:eastAsia="MS Mincho"/>
        </w:rPr>
        <w:t>Faculté</w:t>
      </w:r>
      <w:r>
        <w:t xml:space="preserve"> qu’a le tribunal de statuer sur la légalité;</w:t>
      </w:r>
    </w:p>
    <w:p w:rsidR="00466D1B" w:rsidRDefault="00466D1B" w:rsidP="00466D1B">
      <w:pPr>
        <w:pStyle w:val="SingleTxtG"/>
        <w:ind w:firstLine="567"/>
      </w:pPr>
      <w:r>
        <w:t>g)</w:t>
      </w:r>
      <w:r>
        <w:tab/>
      </w:r>
      <w:r w:rsidRPr="006A2AFC">
        <w:rPr>
          <w:rFonts w:eastAsia="MS Mincho"/>
        </w:rPr>
        <w:t>Faculté</w:t>
      </w:r>
      <w:r>
        <w:t xml:space="preserve"> du tribunal d’ordonner la libération;</w:t>
      </w:r>
    </w:p>
    <w:p w:rsidR="00466D1B" w:rsidRDefault="00466D1B" w:rsidP="00466D1B">
      <w:pPr>
        <w:pStyle w:val="SingleTxtG"/>
        <w:ind w:firstLine="567"/>
      </w:pPr>
      <w:r>
        <w:t>h)</w:t>
      </w:r>
      <w:r>
        <w:tab/>
        <w:t>Effet de la décision du tribunal.</w:t>
      </w:r>
    </w:p>
    <w:p w:rsidR="00466D1B" w:rsidRDefault="00466D1B" w:rsidP="00466D1B">
      <w:pPr>
        <w:pStyle w:val="H23G"/>
      </w:pPr>
      <w:r>
        <w:tab/>
      </w:r>
      <w:r>
        <w:tab/>
        <w:t>Article 9, paragraphe 5</w:t>
      </w:r>
    </w:p>
    <w:p w:rsidR="00466D1B" w:rsidRDefault="00466D1B" w:rsidP="00466D1B">
      <w:pPr>
        <w:pStyle w:val="SingleTxtG"/>
      </w:pPr>
      <w:r>
        <w:t>10.</w:t>
      </w:r>
      <w:r>
        <w:tab/>
        <w:t>En ce qui concerne le paragraphe 5 de l’article 9 («</w:t>
      </w:r>
      <w:r w:rsidRPr="00D64826">
        <w:t>Tout individu victime d</w:t>
      </w:r>
      <w:r>
        <w:t>’</w:t>
      </w:r>
      <w:r w:rsidRPr="00D64826">
        <w:t>arrestation ou de détention illégale</w:t>
      </w:r>
      <w:r>
        <w:t xml:space="preserve"> </w:t>
      </w:r>
      <w:r w:rsidRPr="00D64826">
        <w:t>a droit à réparation»</w:t>
      </w:r>
      <w:r>
        <w:t>), on pourra examiner les éléments suivants:</w:t>
      </w:r>
    </w:p>
    <w:p w:rsidR="00466D1B" w:rsidRDefault="00466D1B" w:rsidP="00466D1B">
      <w:pPr>
        <w:pStyle w:val="SingleTxtG"/>
        <w:ind w:firstLine="567"/>
      </w:pPr>
      <w:r>
        <w:t>a)</w:t>
      </w:r>
      <w:r>
        <w:tab/>
        <w:t>Lien avec l’article 2, paragraphe 3 et l’article 14, paragraphe 6;</w:t>
      </w:r>
    </w:p>
    <w:p w:rsidR="00466D1B" w:rsidRDefault="00466D1B" w:rsidP="00466D1B">
      <w:pPr>
        <w:pStyle w:val="SingleTxtG"/>
        <w:ind w:firstLine="567"/>
      </w:pPr>
      <w:r>
        <w:t>b)</w:t>
      </w:r>
      <w:r>
        <w:tab/>
      </w:r>
      <w:r w:rsidRPr="006A2AFC">
        <w:rPr>
          <w:rFonts w:eastAsia="MS Mincho"/>
        </w:rPr>
        <w:t>Champ</w:t>
      </w:r>
      <w:r>
        <w:t xml:space="preserve"> d’application: degré d’illégalité ouvrant droit à réparation pour la victime:</w:t>
      </w:r>
    </w:p>
    <w:p w:rsidR="00466D1B" w:rsidRDefault="00466D1B" w:rsidP="00466D1B">
      <w:pPr>
        <w:pStyle w:val="SingleTxtG"/>
        <w:ind w:firstLine="1134"/>
      </w:pPr>
      <w:r>
        <w:tab/>
        <w:t>i)</w:t>
      </w:r>
      <w:r>
        <w:tab/>
        <w:t>Violation du droit interne, du droit international, de l’article 9;</w:t>
      </w:r>
    </w:p>
    <w:p w:rsidR="00466D1B" w:rsidRDefault="00466D1B" w:rsidP="00466D1B">
      <w:pPr>
        <w:pStyle w:val="SingleTxtG"/>
        <w:ind w:firstLine="1134"/>
      </w:pPr>
      <w:r>
        <w:tab/>
        <w:t>ii)</w:t>
      </w:r>
      <w:r>
        <w:tab/>
        <w:t>Degré de la faute;</w:t>
      </w:r>
    </w:p>
    <w:p w:rsidR="00466D1B" w:rsidRDefault="00466D1B" w:rsidP="00466D1B">
      <w:pPr>
        <w:pStyle w:val="SingleTxtG"/>
        <w:ind w:firstLine="1134"/>
      </w:pPr>
      <w:r>
        <w:tab/>
        <w:t>iii)</w:t>
      </w:r>
      <w:r>
        <w:tab/>
        <w:t>Effet de l’acquittement ou de l’annulation d’une décision antérieure;</w:t>
      </w:r>
    </w:p>
    <w:p w:rsidR="00466D1B" w:rsidRDefault="00466D1B" w:rsidP="00466D1B">
      <w:pPr>
        <w:pStyle w:val="SingleTxtG"/>
        <w:ind w:firstLine="1134"/>
      </w:pPr>
      <w:r>
        <w:tab/>
        <w:t>iv)</w:t>
      </w:r>
      <w:r>
        <w:tab/>
        <w:t>Disponibilité d’autres moyens de défense;</w:t>
      </w:r>
    </w:p>
    <w:p w:rsidR="00466D1B" w:rsidRDefault="00466D1B" w:rsidP="00466D1B">
      <w:pPr>
        <w:pStyle w:val="SingleTxtG"/>
        <w:ind w:firstLine="567"/>
      </w:pPr>
      <w:r>
        <w:t>c)</w:t>
      </w:r>
      <w:r>
        <w:tab/>
      </w:r>
      <w:r w:rsidRPr="006A2AFC">
        <w:rPr>
          <w:rFonts w:eastAsia="MS Mincho"/>
        </w:rPr>
        <w:t>Indemnisation</w:t>
      </w:r>
      <w:r>
        <w:t>/réparation par qui;</w:t>
      </w:r>
    </w:p>
    <w:p w:rsidR="00466D1B" w:rsidRDefault="00466D1B" w:rsidP="00466D1B">
      <w:pPr>
        <w:pStyle w:val="SingleTxtG"/>
        <w:ind w:firstLine="567"/>
      </w:pPr>
      <w:r>
        <w:t>d)</w:t>
      </w:r>
      <w:r>
        <w:tab/>
      </w:r>
      <w:r w:rsidRPr="006A2AFC">
        <w:rPr>
          <w:rFonts w:eastAsia="MS Mincho"/>
        </w:rPr>
        <w:t>Procédure</w:t>
      </w:r>
      <w:r>
        <w:t xml:space="preserve"> à suivre pour faire valoir le droit à indemnisation/réparation;</w:t>
      </w:r>
    </w:p>
    <w:p w:rsidR="00466D1B" w:rsidRDefault="00466D1B" w:rsidP="00466D1B">
      <w:pPr>
        <w:pStyle w:val="SingleTxtG"/>
        <w:ind w:firstLine="567"/>
      </w:pPr>
      <w:r>
        <w:t>e)</w:t>
      </w:r>
      <w:r>
        <w:tab/>
      </w:r>
      <w:r w:rsidRPr="006A2AFC">
        <w:rPr>
          <w:rFonts w:eastAsia="MS Mincho"/>
        </w:rPr>
        <w:t>Montant</w:t>
      </w:r>
      <w:r>
        <w:t xml:space="preserve"> de l’indemnisation/la réparation.</w:t>
      </w:r>
    </w:p>
    <w:p w:rsidR="00466D1B" w:rsidRDefault="00466D1B" w:rsidP="00466D1B">
      <w:pPr>
        <w:pStyle w:val="H1G"/>
      </w:pPr>
      <w:r>
        <w:tab/>
        <w:t>B.</w:t>
      </w:r>
      <w:r>
        <w:tab/>
        <w:t>Questions générales</w:t>
      </w:r>
    </w:p>
    <w:p w:rsidR="00466D1B" w:rsidRDefault="00466D1B" w:rsidP="00466D1B">
      <w:pPr>
        <w:pStyle w:val="SingleTxtG"/>
      </w:pPr>
      <w:r>
        <w:t>11.</w:t>
      </w:r>
      <w:r>
        <w:tab/>
        <w:t>On pourra examiner les questions d’ordre général suivantes:</w:t>
      </w:r>
    </w:p>
    <w:p w:rsidR="00466D1B" w:rsidRDefault="00466D1B" w:rsidP="00466D1B">
      <w:pPr>
        <w:pStyle w:val="SingleTxtG"/>
        <w:ind w:firstLine="567"/>
      </w:pPr>
      <w:r>
        <w:t>a)</w:t>
      </w:r>
      <w:r>
        <w:tab/>
      </w:r>
      <w:r w:rsidRPr="006A2AFC">
        <w:rPr>
          <w:rFonts w:eastAsia="MS Mincho"/>
        </w:rPr>
        <w:t>Lien</w:t>
      </w:r>
      <w:r>
        <w:t xml:space="preserve"> avec d’autres articles;</w:t>
      </w:r>
    </w:p>
    <w:p w:rsidR="00466D1B" w:rsidRDefault="00466D1B" w:rsidP="00466D1B">
      <w:pPr>
        <w:pStyle w:val="SingleTxtG"/>
        <w:ind w:firstLine="567"/>
      </w:pPr>
      <w:r>
        <w:t>b)</w:t>
      </w:r>
      <w:r>
        <w:tab/>
      </w:r>
      <w:r w:rsidRPr="006A2AFC">
        <w:rPr>
          <w:rFonts w:eastAsia="MS Mincho"/>
        </w:rPr>
        <w:t>Caractère</w:t>
      </w:r>
      <w:r>
        <w:t xml:space="preserve"> absolu ou non absolu des clauses;</w:t>
      </w:r>
    </w:p>
    <w:p w:rsidR="00466D1B" w:rsidRDefault="00466D1B" w:rsidP="00466D1B">
      <w:pPr>
        <w:pStyle w:val="SingleTxtG"/>
        <w:ind w:firstLine="567"/>
      </w:pPr>
      <w:r>
        <w:t>c)</w:t>
      </w:r>
      <w:r>
        <w:tab/>
      </w:r>
      <w:r>
        <w:rPr>
          <w:rFonts w:eastAsia="MS Mincho"/>
        </w:rPr>
        <w:t>D</w:t>
      </w:r>
      <w:r>
        <w:t>érogabilité;</w:t>
      </w:r>
    </w:p>
    <w:p w:rsidR="00466D1B" w:rsidRDefault="00466D1B" w:rsidP="00466D1B">
      <w:pPr>
        <w:pStyle w:val="SingleTxtG"/>
        <w:ind w:firstLine="567"/>
      </w:pPr>
      <w:r>
        <w:t>d)</w:t>
      </w:r>
      <w:r>
        <w:tab/>
      </w:r>
      <w:r w:rsidRPr="006A2AFC">
        <w:rPr>
          <w:rFonts w:eastAsia="MS Mincho"/>
        </w:rPr>
        <w:t>Application</w:t>
      </w:r>
      <w:r>
        <w:t xml:space="preserve"> en période de conflit armé international et non international;</w:t>
      </w:r>
    </w:p>
    <w:p w:rsidR="00466D1B" w:rsidRDefault="00466D1B" w:rsidP="00466D1B">
      <w:pPr>
        <w:pStyle w:val="SingleTxtG"/>
        <w:ind w:firstLine="567"/>
      </w:pPr>
      <w:r>
        <w:t>e)</w:t>
      </w:r>
      <w:r>
        <w:tab/>
      </w:r>
      <w:r w:rsidRPr="006A2AFC">
        <w:rPr>
          <w:rFonts w:eastAsia="MS Mincho"/>
        </w:rPr>
        <w:t>Application</w:t>
      </w:r>
      <w:r>
        <w:t xml:space="preserve"> aux cas de détention non imputables à l’État;</w:t>
      </w:r>
    </w:p>
    <w:p w:rsidR="00466D1B" w:rsidRDefault="00466D1B" w:rsidP="00466D1B">
      <w:pPr>
        <w:pStyle w:val="SingleTxtG"/>
        <w:ind w:firstLine="567"/>
      </w:pPr>
      <w:r>
        <w:t>f)</w:t>
      </w:r>
      <w:r>
        <w:tab/>
      </w:r>
      <w:r w:rsidRPr="006A2AFC">
        <w:rPr>
          <w:rFonts w:eastAsia="MS Mincho"/>
        </w:rPr>
        <w:t>Application</w:t>
      </w:r>
      <w:r>
        <w:t xml:space="preserve"> aux disparitions forcées;</w:t>
      </w:r>
    </w:p>
    <w:p w:rsidR="00466D1B" w:rsidRDefault="00466D1B" w:rsidP="00466D1B">
      <w:pPr>
        <w:pStyle w:val="SingleTxtG"/>
        <w:ind w:firstLine="567"/>
      </w:pPr>
      <w:r>
        <w:t>g)</w:t>
      </w:r>
      <w:r>
        <w:tab/>
      </w:r>
      <w:r w:rsidRPr="006A2AFC">
        <w:rPr>
          <w:rFonts w:eastAsia="MS Mincho"/>
        </w:rPr>
        <w:t>Extraterritorialité</w:t>
      </w:r>
      <w:r>
        <w:rPr>
          <w:rFonts w:eastAsia="MS Mincho"/>
        </w:rPr>
        <w:t>;</w:t>
      </w:r>
    </w:p>
    <w:p w:rsidR="00466D1B" w:rsidRDefault="00466D1B" w:rsidP="00466D1B">
      <w:pPr>
        <w:pStyle w:val="SingleTxtG"/>
        <w:ind w:firstLine="567"/>
      </w:pPr>
      <w:r>
        <w:t>h)</w:t>
      </w:r>
      <w:r>
        <w:tab/>
      </w:r>
      <w:r>
        <w:rPr>
          <w:rFonts w:eastAsia="MS Mincho"/>
        </w:rPr>
        <w:t>I</w:t>
      </w:r>
      <w:r>
        <w:t>mportance des mandats;</w:t>
      </w:r>
    </w:p>
    <w:p w:rsidR="00466D1B" w:rsidRDefault="00466D1B" w:rsidP="00466D1B">
      <w:pPr>
        <w:pStyle w:val="SingleTxtG"/>
        <w:ind w:firstLine="567"/>
      </w:pPr>
      <w:r>
        <w:t>i)</w:t>
      </w:r>
      <w:r>
        <w:tab/>
      </w:r>
      <w:r w:rsidRPr="006A2AFC">
        <w:rPr>
          <w:rFonts w:eastAsia="MS Mincho"/>
        </w:rPr>
        <w:t>Autres</w:t>
      </w:r>
      <w:r>
        <w:t xml:space="preserve"> prescriptions et/ou bonnes pratiques procédurales:</w:t>
      </w:r>
    </w:p>
    <w:p w:rsidR="00466D1B" w:rsidRDefault="00466D1B" w:rsidP="00466D1B">
      <w:pPr>
        <w:pStyle w:val="SingleTxtG"/>
        <w:ind w:firstLine="1134"/>
      </w:pPr>
      <w:r>
        <w:tab/>
        <w:t>i)</w:t>
      </w:r>
      <w:r>
        <w:tab/>
        <w:t>Accès à un avocat;</w:t>
      </w:r>
    </w:p>
    <w:p w:rsidR="00466D1B" w:rsidRDefault="00466D1B" w:rsidP="00466D1B">
      <w:pPr>
        <w:pStyle w:val="SingleTxtG"/>
        <w:ind w:firstLine="1134"/>
      </w:pPr>
      <w:r>
        <w:tab/>
        <w:t>ii)</w:t>
      </w:r>
      <w:r>
        <w:tab/>
        <w:t>Contact avec la famille;</w:t>
      </w:r>
    </w:p>
    <w:p w:rsidR="00466D1B" w:rsidRDefault="00466D1B" w:rsidP="00466D1B">
      <w:pPr>
        <w:pStyle w:val="SingleTxtG"/>
        <w:ind w:firstLine="1134"/>
      </w:pPr>
      <w:r>
        <w:tab/>
        <w:t>iii)</w:t>
      </w:r>
      <w:r>
        <w:tab/>
        <w:t>Surveillance extérieure;</w:t>
      </w:r>
    </w:p>
    <w:p w:rsidR="00466D1B" w:rsidRDefault="00466D1B" w:rsidP="00466D1B">
      <w:pPr>
        <w:pStyle w:val="SingleTxtG"/>
        <w:ind w:firstLine="1134"/>
      </w:pPr>
      <w:r>
        <w:tab/>
        <w:t>iv)</w:t>
      </w:r>
      <w:r>
        <w:tab/>
        <w:t>Organes indépendants de réception des plaintes;</w:t>
      </w:r>
    </w:p>
    <w:p w:rsidR="00466D1B" w:rsidRDefault="00466D1B" w:rsidP="00466D1B">
      <w:pPr>
        <w:pStyle w:val="SingleTxtG"/>
        <w:ind w:firstLine="1134"/>
      </w:pPr>
      <w:r>
        <w:tab/>
        <w:t>v)</w:t>
      </w:r>
      <w:r>
        <w:tab/>
        <w:t>Enregistrement des arrestations, des détentions, des libérations;</w:t>
      </w:r>
    </w:p>
    <w:p w:rsidR="00466D1B" w:rsidRDefault="00466D1B" w:rsidP="00466D1B">
      <w:pPr>
        <w:pStyle w:val="SingleTxtG"/>
        <w:ind w:firstLine="567"/>
      </w:pPr>
      <w:r>
        <w:t>j)</w:t>
      </w:r>
      <w:r>
        <w:tab/>
        <w:t xml:space="preserve">Autres </w:t>
      </w:r>
      <w:r w:rsidRPr="006A2AFC">
        <w:rPr>
          <w:rFonts w:eastAsia="MS Mincho"/>
        </w:rPr>
        <w:t>modalités</w:t>
      </w:r>
      <w:r>
        <w:t xml:space="preserve"> de recours et de réparation, telles que le devoir d’enquêter et de punir;</w:t>
      </w:r>
    </w:p>
    <w:p w:rsidR="00466D1B" w:rsidRDefault="00466D1B" w:rsidP="00466D1B">
      <w:pPr>
        <w:pStyle w:val="SingleTxtG"/>
        <w:ind w:firstLine="567"/>
      </w:pPr>
      <w:r>
        <w:t>k)</w:t>
      </w:r>
      <w:r>
        <w:tab/>
        <w:t>Indicateurs.</w:t>
      </w:r>
    </w:p>
    <w:p w:rsidR="00466D1B" w:rsidRPr="002B58F1" w:rsidRDefault="00466D1B" w:rsidP="00466D1B">
      <w:pPr>
        <w:pStyle w:val="SingleTxtG"/>
        <w:spacing w:before="240" w:after="0"/>
        <w:jc w:val="center"/>
        <w:rPr>
          <w:u w:val="single"/>
        </w:rPr>
      </w:pPr>
      <w:r>
        <w:rPr>
          <w:u w:val="single"/>
        </w:rPr>
        <w:tab/>
      </w:r>
      <w:r>
        <w:rPr>
          <w:u w:val="single"/>
        </w:rPr>
        <w:tab/>
      </w:r>
      <w:r>
        <w:rPr>
          <w:u w:val="single"/>
        </w:rPr>
        <w:tab/>
      </w:r>
    </w:p>
    <w:sectPr w:rsidR="00466D1B" w:rsidRPr="002B58F1" w:rsidSect="004A59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C3B" w:rsidRDefault="00B62C3B"/>
  </w:endnote>
  <w:endnote w:type="continuationSeparator" w:id="0">
    <w:p w:rsidR="00B62C3B" w:rsidRDefault="00B62C3B"/>
  </w:endnote>
  <w:endnote w:type="continuationNotice" w:id="1">
    <w:p w:rsidR="00B62C3B" w:rsidRPr="00903B66" w:rsidRDefault="00B62C3B"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9A3" w:rsidRPr="004A59A3" w:rsidRDefault="004A59A3" w:rsidP="004A59A3">
    <w:pPr>
      <w:pStyle w:val="Footer"/>
      <w:tabs>
        <w:tab w:val="right" w:pos="9638"/>
      </w:tabs>
    </w:pPr>
    <w:r w:rsidRPr="004A59A3">
      <w:rPr>
        <w:b/>
        <w:sz w:val="18"/>
      </w:rPr>
      <w:fldChar w:fldCharType="begin"/>
    </w:r>
    <w:r w:rsidRPr="004A59A3">
      <w:rPr>
        <w:b/>
        <w:sz w:val="18"/>
      </w:rPr>
      <w:instrText xml:space="preserve"> PAGE  \* MERGEFORMAT </w:instrText>
    </w:r>
    <w:r w:rsidRPr="004A59A3">
      <w:rPr>
        <w:b/>
        <w:sz w:val="18"/>
      </w:rPr>
      <w:fldChar w:fldCharType="separate"/>
    </w:r>
    <w:r w:rsidR="004F2552">
      <w:rPr>
        <w:b/>
        <w:noProof/>
        <w:sz w:val="18"/>
      </w:rPr>
      <w:t>4</w:t>
    </w:r>
    <w:r w:rsidRPr="004A59A3">
      <w:rPr>
        <w:b/>
        <w:sz w:val="18"/>
      </w:rPr>
      <w:fldChar w:fldCharType="end"/>
    </w:r>
    <w:r>
      <w:rPr>
        <w:b/>
        <w:sz w:val="18"/>
      </w:rPr>
      <w:tab/>
    </w:r>
    <w:r>
      <w:t>GE.12-45051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9A3" w:rsidRPr="004A59A3" w:rsidRDefault="004A59A3" w:rsidP="004A59A3">
    <w:pPr>
      <w:pStyle w:val="Footer"/>
      <w:tabs>
        <w:tab w:val="right" w:pos="9638"/>
      </w:tabs>
      <w:rPr>
        <w:b/>
        <w:sz w:val="18"/>
      </w:rPr>
    </w:pPr>
    <w:r>
      <w:t>GE.12-45051</w:t>
    </w:r>
    <w:r>
      <w:tab/>
    </w:r>
    <w:r w:rsidRPr="004A59A3">
      <w:rPr>
        <w:b/>
        <w:sz w:val="18"/>
      </w:rPr>
      <w:fldChar w:fldCharType="begin"/>
    </w:r>
    <w:r w:rsidRPr="004A59A3">
      <w:rPr>
        <w:b/>
        <w:sz w:val="18"/>
      </w:rPr>
      <w:instrText xml:space="preserve"> PAGE  \* MERGEFORMAT </w:instrText>
    </w:r>
    <w:r w:rsidRPr="004A59A3">
      <w:rPr>
        <w:b/>
        <w:sz w:val="18"/>
      </w:rPr>
      <w:fldChar w:fldCharType="separate"/>
    </w:r>
    <w:r w:rsidR="004F2552">
      <w:rPr>
        <w:b/>
        <w:noProof/>
        <w:sz w:val="18"/>
      </w:rPr>
      <w:t>5</w:t>
    </w:r>
    <w:r w:rsidRPr="004A59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C3B" w:rsidRDefault="004A59A3">
    <w:pPr>
      <w:pStyle w:val="Footer"/>
    </w:pPr>
    <w:r>
      <w:rPr>
        <w:sz w:val="20"/>
      </w:rPr>
      <w:t>GE.12-45051</w:t>
    </w:r>
    <w:r w:rsidR="00B62C3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909F6">
      <w:rPr>
        <w:sz w:val="20"/>
      </w:rPr>
      <w:t xml:space="preserve">    140912    </w:t>
    </w:r>
    <w:r w:rsidR="00856020">
      <w:rPr>
        <w:sz w:val="20"/>
      </w:rPr>
      <w:t>140912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C3B" w:rsidRPr="00D27D5E" w:rsidRDefault="00B62C3B" w:rsidP="00D27D5E">
      <w:pPr>
        <w:tabs>
          <w:tab w:val="right" w:pos="2155"/>
        </w:tabs>
        <w:spacing w:after="80"/>
        <w:ind w:left="680"/>
        <w:rPr>
          <w:u w:val="single"/>
        </w:rPr>
      </w:pPr>
      <w:r>
        <w:rPr>
          <w:u w:val="single"/>
        </w:rPr>
        <w:tab/>
      </w:r>
    </w:p>
  </w:footnote>
  <w:footnote w:type="continuationSeparator" w:id="0">
    <w:p w:rsidR="00B62C3B" w:rsidRPr="00091505" w:rsidRDefault="00B62C3B" w:rsidP="00091505">
      <w:pPr>
        <w:tabs>
          <w:tab w:val="right" w:pos="2155"/>
        </w:tabs>
        <w:spacing w:after="80"/>
        <w:ind w:left="680"/>
        <w:rPr>
          <w:u w:val="single"/>
        </w:rPr>
      </w:pPr>
      <w:r w:rsidRPr="00091505">
        <w:rPr>
          <w:u w:val="single"/>
        </w:rPr>
        <w:tab/>
      </w:r>
    </w:p>
  </w:footnote>
  <w:footnote w:type="continuationNotice" w:id="1">
    <w:p w:rsidR="00B62C3B" w:rsidRPr="00903B66" w:rsidRDefault="00B62C3B"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9A3" w:rsidRPr="004A59A3" w:rsidRDefault="004A59A3">
    <w:pPr>
      <w:pStyle w:val="Header"/>
    </w:pPr>
    <w:r>
      <w:t>CCPR/C/105/3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9A3" w:rsidRPr="004A59A3" w:rsidRDefault="004A59A3" w:rsidP="004A59A3">
    <w:pPr>
      <w:pStyle w:val="Header"/>
      <w:jc w:val="right"/>
    </w:pPr>
    <w:r>
      <w:t>CCPR/C/105/3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3"/>
  </w:num>
  <w:num w:numId="2">
    <w:abstractNumId w:val="2"/>
  </w:num>
  <w:num w:numId="3">
    <w:abstractNumId w:val="1"/>
  </w:num>
  <w:num w:numId="4">
    <w:abstractNumId w:val="0"/>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C3B"/>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0E3B"/>
    <w:rsid w:val="002659F1"/>
    <w:rsid w:val="0027751F"/>
    <w:rsid w:val="00287E79"/>
    <w:rsid w:val="002928F9"/>
    <w:rsid w:val="002A5D07"/>
    <w:rsid w:val="002E0222"/>
    <w:rsid w:val="002E1A7F"/>
    <w:rsid w:val="003016B7"/>
    <w:rsid w:val="003515AA"/>
    <w:rsid w:val="00366F5B"/>
    <w:rsid w:val="00374106"/>
    <w:rsid w:val="003976D5"/>
    <w:rsid w:val="003D6C68"/>
    <w:rsid w:val="00413931"/>
    <w:rsid w:val="004159D0"/>
    <w:rsid w:val="00426D2B"/>
    <w:rsid w:val="00464EEE"/>
    <w:rsid w:val="00466D1B"/>
    <w:rsid w:val="00467E25"/>
    <w:rsid w:val="004A59A3"/>
    <w:rsid w:val="004F2552"/>
    <w:rsid w:val="00543D5E"/>
    <w:rsid w:val="00571F41"/>
    <w:rsid w:val="005909F6"/>
    <w:rsid w:val="005E5D1F"/>
    <w:rsid w:val="00611D43"/>
    <w:rsid w:val="00612D48"/>
    <w:rsid w:val="00616B45"/>
    <w:rsid w:val="00630D9B"/>
    <w:rsid w:val="00631953"/>
    <w:rsid w:val="006439EC"/>
    <w:rsid w:val="006A6CAA"/>
    <w:rsid w:val="006B4590"/>
    <w:rsid w:val="006C340C"/>
    <w:rsid w:val="0070347C"/>
    <w:rsid w:val="007043D0"/>
    <w:rsid w:val="0071451B"/>
    <w:rsid w:val="007176C1"/>
    <w:rsid w:val="00725DC9"/>
    <w:rsid w:val="00737DEE"/>
    <w:rsid w:val="00775D99"/>
    <w:rsid w:val="00796940"/>
    <w:rsid w:val="007C7846"/>
    <w:rsid w:val="007F55CB"/>
    <w:rsid w:val="00844750"/>
    <w:rsid w:val="0085602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E75B2"/>
    <w:rsid w:val="00AF1CE8"/>
    <w:rsid w:val="00B32E2D"/>
    <w:rsid w:val="00B61990"/>
    <w:rsid w:val="00B62C3B"/>
    <w:rsid w:val="00B93051"/>
    <w:rsid w:val="00BE6208"/>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3781"/>
    <w:rsid w:val="00E144C5"/>
    <w:rsid w:val="00E368FF"/>
    <w:rsid w:val="00E655C7"/>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1358</Words>
  <Characters>7226</Characters>
  <Application>Microsoft Office Word</Application>
  <DocSecurity>4</DocSecurity>
  <Lines>168</Lines>
  <Paragraphs>132</Paragraphs>
  <ScaleCrop>false</ScaleCrop>
  <HeadingPairs>
    <vt:vector size="2" baseType="variant">
      <vt:variant>
        <vt:lpstr>Titre</vt:lpstr>
      </vt:variant>
      <vt:variant>
        <vt:i4>1</vt:i4>
      </vt:variant>
    </vt:vector>
  </HeadingPairs>
  <TitlesOfParts>
    <vt:vector size="1" baseType="lpstr">
      <vt:lpstr>CCPR/C/105/3</vt:lpstr>
    </vt:vector>
  </TitlesOfParts>
  <Company>CSD</Company>
  <LinksUpToDate>false</LinksUpToDate>
  <CharactersWithSpaces>8452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CCPR/C/105/3</dc:title>
  <dc:subject/>
  <dc:creator>Brèque</dc:creator>
  <cp:keywords/>
  <dc:description/>
  <cp:lastModifiedBy>Brèque</cp:lastModifiedBy>
  <cp:revision>2</cp:revision>
  <cp:lastPrinted>2009-10-07T16:31:00Z</cp:lastPrinted>
  <dcterms:created xsi:type="dcterms:W3CDTF">2012-09-14T11:38:00Z</dcterms:created>
  <dcterms:modified xsi:type="dcterms:W3CDTF">2012-09-14T11:38:00Z</dcterms:modified>
</cp:coreProperties>
</file>