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56AA42A" w14:textId="77777777" w:rsidTr="00281242">
        <w:trPr>
          <w:trHeight w:hRule="exact" w:val="851"/>
        </w:trPr>
        <w:tc>
          <w:tcPr>
            <w:tcW w:w="1274" w:type="dxa"/>
            <w:tcBorders>
              <w:bottom w:val="single" w:sz="4" w:space="0" w:color="auto"/>
            </w:tcBorders>
            <w:shd w:val="clear" w:color="auto" w:fill="auto"/>
          </w:tcPr>
          <w:p w14:paraId="4DCB7548" w14:textId="77777777" w:rsidR="006B3E27" w:rsidRPr="00BE5849" w:rsidRDefault="006B3E27" w:rsidP="002066F3">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15F3AE1"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D62768C" w14:textId="7D8FE6FB" w:rsidR="006B3E27" w:rsidRPr="003A672B" w:rsidRDefault="003A672B" w:rsidP="003A672B">
            <w:pPr>
              <w:bidi w:val="0"/>
              <w:rPr>
                <w:szCs w:val="20"/>
                <w:lang w:eastAsia="zh-TW"/>
              </w:rPr>
            </w:pPr>
            <w:r w:rsidRPr="00555B30">
              <w:rPr>
                <w:sz w:val="40"/>
                <w:szCs w:val="20"/>
                <w:lang w:eastAsia="zh-TW"/>
              </w:rPr>
              <w:t>A</w:t>
            </w:r>
            <w:r w:rsidRPr="00555B30">
              <w:rPr>
                <w:szCs w:val="20"/>
                <w:lang w:eastAsia="zh-TW"/>
              </w:rPr>
              <w:t>/HRC/</w:t>
            </w:r>
            <w:r w:rsidRPr="00A50078">
              <w:rPr>
                <w:szCs w:val="20"/>
                <w:lang w:eastAsia="zh-TW"/>
              </w:rPr>
              <w:t>50</w:t>
            </w:r>
            <w:r w:rsidRPr="00555B30">
              <w:rPr>
                <w:szCs w:val="20"/>
                <w:lang w:eastAsia="zh-TW"/>
              </w:rPr>
              <w:t>/L.</w:t>
            </w:r>
            <w:r w:rsidRPr="00A50078">
              <w:rPr>
                <w:szCs w:val="20"/>
                <w:lang w:eastAsia="zh-TW"/>
              </w:rPr>
              <w:t>2</w:t>
            </w:r>
          </w:p>
        </w:tc>
      </w:tr>
      <w:tr w:rsidR="006B3E27" w:rsidRPr="00AC03B4" w14:paraId="7C53023F" w14:textId="77777777" w:rsidTr="00281242">
        <w:trPr>
          <w:trHeight w:hRule="exact" w:val="2835"/>
        </w:trPr>
        <w:tc>
          <w:tcPr>
            <w:tcW w:w="1274" w:type="dxa"/>
            <w:tcBorders>
              <w:top w:val="single" w:sz="4" w:space="0" w:color="auto"/>
              <w:bottom w:val="single" w:sz="12" w:space="0" w:color="auto"/>
            </w:tcBorders>
            <w:shd w:val="clear" w:color="auto" w:fill="auto"/>
          </w:tcPr>
          <w:p w14:paraId="3728A7CA"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B750802" wp14:editId="43C10A3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DB9C3A1" w14:textId="77777777" w:rsidR="006B3E27" w:rsidRPr="00A50078" w:rsidRDefault="001773DB" w:rsidP="002F3D3A">
            <w:pPr>
              <w:spacing w:before="120" w:after="40" w:line="640" w:lineRule="exact"/>
              <w:ind w:left="57"/>
              <w:rPr>
                <w:b/>
                <w:bCs/>
                <w:sz w:val="50"/>
                <w:szCs w:val="50"/>
              </w:rPr>
            </w:pPr>
            <w:r w:rsidRPr="00A50078">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F8E7394" w14:textId="25BFB991" w:rsidR="00A614C2" w:rsidRPr="008312ED" w:rsidRDefault="00A614C2" w:rsidP="00A614C2">
            <w:pPr>
              <w:suppressAutoHyphens/>
              <w:bidi w:val="0"/>
              <w:spacing w:before="240" w:line="240" w:lineRule="exact"/>
              <w:jc w:val="left"/>
              <w:rPr>
                <w:rFonts w:eastAsia="Times New Roman" w:cs="Times New Roman"/>
                <w:szCs w:val="20"/>
                <w:lang w:val="en-GB"/>
              </w:rPr>
            </w:pPr>
            <w:r w:rsidRPr="008312ED">
              <w:rPr>
                <w:rFonts w:eastAsia="Times New Roman" w:cs="Times New Roman"/>
                <w:szCs w:val="20"/>
                <w:lang w:val="en-GB"/>
              </w:rPr>
              <w:t>Dist</w:t>
            </w:r>
            <w:r w:rsidR="00555B30" w:rsidRPr="008312ED">
              <w:rPr>
                <w:rFonts w:eastAsia="Times New Roman" w:cs="Times New Roman"/>
                <w:color w:val="000000"/>
                <w:szCs w:val="20"/>
                <w:lang w:val="en-GB"/>
              </w:rPr>
              <w:t>r.:</w:t>
            </w:r>
            <w:r w:rsidRPr="008312ED">
              <w:rPr>
                <w:rFonts w:eastAsia="Times New Roman" w:cs="Times New Roman"/>
                <w:szCs w:val="20"/>
                <w:lang w:val="en-GB"/>
              </w:rPr>
              <w:t xml:space="preserve"> Limited</w:t>
            </w:r>
          </w:p>
          <w:p w14:paraId="16F4E9BB" w14:textId="77777777" w:rsidR="00A614C2" w:rsidRPr="008312ED" w:rsidRDefault="00A614C2" w:rsidP="00A614C2">
            <w:pPr>
              <w:suppressAutoHyphens/>
              <w:bidi w:val="0"/>
              <w:spacing w:line="240" w:lineRule="exact"/>
              <w:jc w:val="left"/>
              <w:rPr>
                <w:rFonts w:eastAsia="Times New Roman" w:cs="Times New Roman"/>
                <w:szCs w:val="20"/>
                <w:lang w:val="en-GB"/>
              </w:rPr>
            </w:pPr>
            <w:r w:rsidRPr="008312ED">
              <w:rPr>
                <w:rFonts w:eastAsia="Times New Roman" w:cs="Times New Roman"/>
                <w:szCs w:val="20"/>
                <w:lang w:val="en-GB"/>
              </w:rPr>
              <w:t>30 June 2022</w:t>
            </w:r>
          </w:p>
          <w:p w14:paraId="4CB7733D" w14:textId="77777777" w:rsidR="00A614C2" w:rsidRPr="008312ED" w:rsidRDefault="00A614C2" w:rsidP="00A614C2">
            <w:pPr>
              <w:suppressAutoHyphens/>
              <w:bidi w:val="0"/>
              <w:spacing w:line="240" w:lineRule="exact"/>
              <w:jc w:val="left"/>
              <w:rPr>
                <w:rFonts w:eastAsia="Times New Roman" w:cs="Times New Roman"/>
                <w:szCs w:val="20"/>
                <w:lang w:val="en-GB"/>
              </w:rPr>
            </w:pPr>
            <w:r>
              <w:rPr>
                <w:rFonts w:eastAsia="Times New Roman" w:cs="Times New Roman"/>
                <w:lang w:val="en-GB"/>
              </w:rPr>
              <w:t>Arabic</w:t>
            </w:r>
          </w:p>
          <w:p w14:paraId="4A92C9C2" w14:textId="75963AE1" w:rsidR="003A672B" w:rsidRPr="00A614C2" w:rsidRDefault="00A614C2" w:rsidP="00A614C2">
            <w:pPr>
              <w:bidi w:val="0"/>
              <w:spacing w:line="240" w:lineRule="exact"/>
              <w:jc w:val="left"/>
              <w:rPr>
                <w:szCs w:val="20"/>
                <w:lang w:val="en-GB"/>
              </w:rPr>
            </w:pPr>
            <w:r w:rsidRPr="008312ED">
              <w:rPr>
                <w:rFonts w:eastAsia="Times New Roman" w:cs="Times New Roman"/>
                <w:lang w:val="en-GB"/>
              </w:rPr>
              <w:t>Origina</w:t>
            </w:r>
            <w:r w:rsidR="00555B30" w:rsidRPr="00555B30">
              <w:rPr>
                <w:rFonts w:eastAsia="Times New Roman" w:cs="Times New Roman"/>
                <w:color w:val="000000"/>
                <w:lang w:val="en-GB"/>
              </w:rPr>
              <w:t xml:space="preserve">l: </w:t>
            </w:r>
            <w:r w:rsidRPr="008312ED">
              <w:rPr>
                <w:rFonts w:eastAsia="Times New Roman" w:cs="Times New Roman"/>
                <w:lang w:val="en-GB"/>
              </w:rPr>
              <w:t>English</w:t>
            </w:r>
          </w:p>
        </w:tc>
      </w:tr>
    </w:tbl>
    <w:bookmarkEnd w:id="0"/>
    <w:p w14:paraId="63137CC3" w14:textId="77777777" w:rsidR="00A614C2" w:rsidRPr="00A50078" w:rsidRDefault="00A614C2" w:rsidP="00A614C2">
      <w:pPr>
        <w:pStyle w:val="SingleTxtGA"/>
        <w:spacing w:before="120" w:after="0"/>
        <w:ind w:left="0" w:right="4252"/>
        <w:jc w:val="left"/>
        <w:textDirection w:val="tbRlV"/>
        <w:rPr>
          <w:b/>
          <w:bCs/>
          <w:sz w:val="26"/>
          <w:szCs w:val="26"/>
        </w:rPr>
      </w:pPr>
      <w:r w:rsidRPr="00A50078">
        <w:rPr>
          <w:b/>
          <w:bCs/>
          <w:sz w:val="26"/>
          <w:szCs w:val="26"/>
          <w:rtl/>
        </w:rPr>
        <w:t>مجلس حقوق الإنسان</w:t>
      </w:r>
    </w:p>
    <w:p w14:paraId="7DA62904" w14:textId="77777777" w:rsidR="00A614C2" w:rsidRPr="00A50078" w:rsidRDefault="00A614C2" w:rsidP="00A614C2">
      <w:pPr>
        <w:pStyle w:val="SingleTxtGA"/>
        <w:spacing w:after="0"/>
        <w:ind w:left="0"/>
        <w:rPr>
          <w:b/>
          <w:bCs/>
          <w:rtl/>
        </w:rPr>
      </w:pPr>
      <w:r w:rsidRPr="00A50078">
        <w:rPr>
          <w:b/>
          <w:bCs/>
          <w:rtl/>
        </w:rPr>
        <w:t>الدورة الخمسون</w:t>
      </w:r>
    </w:p>
    <w:p w14:paraId="6A807909" w14:textId="77777777" w:rsidR="00A614C2" w:rsidRPr="008312ED" w:rsidRDefault="00A614C2" w:rsidP="00A614C2">
      <w:pPr>
        <w:pStyle w:val="SingleTxtGA"/>
        <w:spacing w:after="0"/>
        <w:ind w:left="0"/>
        <w:rPr>
          <w:rtl/>
        </w:rPr>
      </w:pPr>
      <w:r w:rsidRPr="00A50078">
        <w:rPr>
          <w:rtl/>
        </w:rPr>
        <w:t>13</w:t>
      </w:r>
      <w:r w:rsidRPr="008312ED">
        <w:rPr>
          <w:rtl/>
        </w:rPr>
        <w:t xml:space="preserve"> حزيران/</w:t>
      </w:r>
      <w:proofErr w:type="gramStart"/>
      <w:r w:rsidRPr="008312ED">
        <w:rPr>
          <w:rtl/>
        </w:rPr>
        <w:t>يونيه</w:t>
      </w:r>
      <w:proofErr w:type="gramEnd"/>
      <w:r w:rsidRPr="008312ED">
        <w:rPr>
          <w:rtl/>
        </w:rPr>
        <w:t xml:space="preserve"> – </w:t>
      </w:r>
      <w:r w:rsidRPr="00A50078">
        <w:rPr>
          <w:rtl/>
        </w:rPr>
        <w:t>8</w:t>
      </w:r>
      <w:r w:rsidRPr="008312ED">
        <w:rPr>
          <w:rtl/>
        </w:rPr>
        <w:t xml:space="preserve"> تموز/يوليه </w:t>
      </w:r>
      <w:r w:rsidRPr="00A50078">
        <w:rPr>
          <w:rtl/>
        </w:rPr>
        <w:t>2022</w:t>
      </w:r>
    </w:p>
    <w:p w14:paraId="5DB02E67" w14:textId="77777777" w:rsidR="00A614C2" w:rsidRPr="008312ED" w:rsidRDefault="00A614C2" w:rsidP="00A614C2">
      <w:pPr>
        <w:pStyle w:val="SingleTxtGA"/>
        <w:spacing w:after="0"/>
        <w:ind w:left="0"/>
        <w:rPr>
          <w:rtl/>
        </w:rPr>
      </w:pPr>
      <w:r w:rsidRPr="008312ED">
        <w:rPr>
          <w:rtl/>
        </w:rPr>
        <w:t xml:space="preserve">البند </w:t>
      </w:r>
      <w:r w:rsidRPr="00A50078">
        <w:rPr>
          <w:rtl/>
        </w:rPr>
        <w:t>3</w:t>
      </w:r>
      <w:r w:rsidRPr="008312ED">
        <w:rPr>
          <w:rtl/>
        </w:rPr>
        <w:t xml:space="preserve"> من جدول الأعمال</w:t>
      </w:r>
    </w:p>
    <w:p w14:paraId="4AF100FB" w14:textId="77777777" w:rsidR="00A614C2" w:rsidRPr="00A50078" w:rsidRDefault="00A614C2" w:rsidP="00A614C2">
      <w:pPr>
        <w:pStyle w:val="SingleTxtGA"/>
        <w:spacing w:after="0"/>
        <w:ind w:left="0" w:right="4962"/>
        <w:rPr>
          <w:b/>
          <w:bCs/>
          <w:rtl/>
        </w:rPr>
      </w:pPr>
      <w:r w:rsidRPr="00A50078">
        <w:rPr>
          <w:b/>
          <w:bCs/>
          <w:rtl/>
        </w:rPr>
        <w:t>تعزيز وحماية جميع حقوق الإنسان، المدنية والسياسية والاقتصادية والاجتماعية والثقافية، بما في ذلك الحق في التنمية</w:t>
      </w:r>
    </w:p>
    <w:p w14:paraId="1ABF75AD" w14:textId="08F7AC54" w:rsidR="00A614C2" w:rsidRPr="00A50078" w:rsidRDefault="00A614C2" w:rsidP="00A614C2">
      <w:pPr>
        <w:pStyle w:val="H23GA"/>
        <w:rPr>
          <w:rtl/>
        </w:rPr>
      </w:pPr>
      <w:r w:rsidRPr="00A50078">
        <w:rPr>
          <w:rtl/>
        </w:rPr>
        <w:tab/>
      </w:r>
      <w:r w:rsidRPr="00A50078">
        <w:rPr>
          <w:rtl/>
        </w:rPr>
        <w:tab/>
        <w:t>الأرجنتين، إسبانيا</w:t>
      </w:r>
      <w:r w:rsidR="008643A2" w:rsidRPr="00A50078">
        <w:rPr>
          <w:rStyle w:val="FootnoteReference"/>
          <w:szCs w:val="22"/>
          <w:vertAlign w:val="baseline"/>
          <w:rtl/>
        </w:rPr>
        <w:footnoteReference w:customMarkFollows="1" w:id="1"/>
        <w:t>*</w:t>
      </w:r>
      <w:r w:rsidRPr="00A50078">
        <w:rPr>
          <w:rtl/>
        </w:rPr>
        <w:t>، أستراليا*، إستونيا*، إسرائيل*، إكوادور*، ألبانيا*، ألمانيا، أندورا*، أوروغواي*، أوكرانيا، أيرلندا*، آيسلندا*، إيطاليا*، البرازيل، البرتغال*، بلجيكا*، بلغاريا*، بيرو*، تشيكيا، الجبل الأسود، جنوب أفريقيا*، جورجيا*، الدانمرك*، رومانيا*، سلوفاكيا*، سلوفينيا*، السويد*، سويسرا*، شيلي*، فرنسا، فنلندا، فيجي*، قبرص*، كرواتيا*، كندا*، كوستاريكا*، كولومبيا*، لاتفيا*، لكسمبرغ، ليتوانيا، ليختنشتاين*، مالطة*، مقدونيا الشمالية*، المكسيك، المملكة المتحدة لبريطانيا العظمى وأيرلندا الشمالية، النرويج*، النمسا*، نيوزيلندا*، هولندا، الولايات المتحدة الأمريكية، اليونان*: مشروع قرار</w:t>
      </w:r>
    </w:p>
    <w:p w14:paraId="3E12352E" w14:textId="30C025CC" w:rsidR="00A614C2" w:rsidRPr="00A50078" w:rsidRDefault="00A614C2" w:rsidP="00A614C2">
      <w:pPr>
        <w:pStyle w:val="H1GA"/>
        <w:rPr>
          <w:rtl/>
        </w:rPr>
      </w:pPr>
      <w:r w:rsidRPr="00A50078">
        <w:rPr>
          <w:rtl/>
        </w:rPr>
        <w:tab/>
        <w:t>50</w:t>
      </w:r>
      <w:r w:rsidR="00555B30" w:rsidRPr="00A50078">
        <w:rPr>
          <w:color w:val="000000"/>
          <w:rtl/>
        </w:rPr>
        <w:t>/..</w:t>
      </w:r>
      <w:r w:rsidRPr="00A50078">
        <w:rPr>
          <w:rtl/>
        </w:rPr>
        <w:t>.</w:t>
      </w:r>
      <w:r w:rsidRPr="00A50078">
        <w:rPr>
          <w:rtl/>
        </w:rPr>
        <w:tab/>
        <w:t>ولاية الخبير المستقل المعني بالحماية من العنف والتمييز القائمين على أساس الميل الجنسي والهوية الجنسانية</w:t>
      </w:r>
    </w:p>
    <w:p w14:paraId="5B8EFC8D" w14:textId="77777777" w:rsidR="00A614C2" w:rsidRPr="00A50078" w:rsidRDefault="00A614C2" w:rsidP="00A614C2">
      <w:pPr>
        <w:pStyle w:val="SingleTxtGA"/>
        <w:rPr>
          <w:i/>
          <w:iCs/>
          <w:rtl/>
        </w:rPr>
      </w:pPr>
      <w:r>
        <w:rPr>
          <w:rtl/>
        </w:rPr>
        <w:tab/>
      </w:r>
      <w:r w:rsidRPr="00A50078">
        <w:rPr>
          <w:i/>
          <w:iCs/>
          <w:rtl/>
        </w:rPr>
        <w:t>إن مجلس حقوق الإنسان،</w:t>
      </w:r>
    </w:p>
    <w:p w14:paraId="177B9B12" w14:textId="77777777" w:rsidR="00A614C2" w:rsidRDefault="00A614C2" w:rsidP="00A614C2">
      <w:pPr>
        <w:pStyle w:val="SingleTxtGA"/>
        <w:rPr>
          <w:rtl/>
        </w:rPr>
      </w:pPr>
      <w:r>
        <w:rPr>
          <w:rtl/>
        </w:rPr>
        <w:tab/>
      </w:r>
      <w:r w:rsidRPr="00A50078">
        <w:rPr>
          <w:i/>
          <w:iCs/>
          <w:rtl/>
        </w:rPr>
        <w:t>إذ يعيد تأكيد</w:t>
      </w:r>
      <w:r>
        <w:rPr>
          <w:rtl/>
        </w:rPr>
        <w:t xml:space="preserve"> الإعلان العالمي لحقوق الإنسان،</w:t>
      </w:r>
    </w:p>
    <w:p w14:paraId="7BF8BFF3" w14:textId="4DA4FE8D" w:rsidR="00A614C2" w:rsidRDefault="00A614C2" w:rsidP="00A614C2">
      <w:pPr>
        <w:pStyle w:val="SingleTxtGA"/>
        <w:rPr>
          <w:rtl/>
        </w:rPr>
      </w:pPr>
      <w:r>
        <w:rPr>
          <w:rtl/>
        </w:rPr>
        <w:tab/>
      </w:r>
      <w:r w:rsidRPr="00A50078">
        <w:rPr>
          <w:i/>
          <w:iCs/>
          <w:spacing w:val="-4"/>
          <w:rtl/>
        </w:rPr>
        <w:t>وإذ يشير</w:t>
      </w:r>
      <w:r w:rsidRPr="0017292F">
        <w:rPr>
          <w:spacing w:val="-4"/>
          <w:rtl/>
        </w:rPr>
        <w:t xml:space="preserve"> إلى قرار الجمعية العامة </w:t>
      </w:r>
      <w:r w:rsidRPr="00A50078">
        <w:rPr>
          <w:spacing w:val="-4"/>
          <w:rtl/>
        </w:rPr>
        <w:t>60</w:t>
      </w:r>
      <w:r w:rsidRPr="0017292F">
        <w:rPr>
          <w:spacing w:val="-4"/>
          <w:rtl/>
        </w:rPr>
        <w:t>/</w:t>
      </w:r>
      <w:r w:rsidRPr="00A50078">
        <w:rPr>
          <w:spacing w:val="-4"/>
          <w:rtl/>
        </w:rPr>
        <w:t>251</w:t>
      </w:r>
      <w:r w:rsidRPr="0017292F">
        <w:rPr>
          <w:spacing w:val="-4"/>
          <w:rtl/>
        </w:rPr>
        <w:t xml:space="preserve"> المؤرخ </w:t>
      </w:r>
      <w:r w:rsidRPr="00A50078">
        <w:rPr>
          <w:spacing w:val="-4"/>
          <w:rtl/>
        </w:rPr>
        <w:t>15</w:t>
      </w:r>
      <w:r w:rsidRPr="0017292F">
        <w:rPr>
          <w:spacing w:val="-4"/>
          <w:rtl/>
        </w:rPr>
        <w:t xml:space="preserve"> آذار/مارس </w:t>
      </w:r>
      <w:r w:rsidRPr="00A50078">
        <w:rPr>
          <w:spacing w:val="-4"/>
          <w:rtl/>
        </w:rPr>
        <w:t>2006</w:t>
      </w:r>
      <w:r w:rsidRPr="0017292F">
        <w:rPr>
          <w:spacing w:val="-4"/>
          <w:rtl/>
        </w:rPr>
        <w:t xml:space="preserve"> الذي أعلنت فيه الجمعية</w:t>
      </w:r>
      <w:r>
        <w:rPr>
          <w:rtl/>
        </w:rPr>
        <w:t xml:space="preserve"> أن مجلس حقوق الإنسان ينبغي أن يكون مسؤولاً عن تعزيز الاحترام العالمي لحماية جميع حقوق الإنسان والحريات الأساسية للجميع دون أي تمييز من أي نوع وبطريقة عادلة ومنصفة،</w:t>
      </w:r>
    </w:p>
    <w:p w14:paraId="10E8D93F" w14:textId="38A77420" w:rsidR="00A614C2" w:rsidRDefault="00A614C2" w:rsidP="00A614C2">
      <w:pPr>
        <w:pStyle w:val="SingleTxtGA"/>
        <w:rPr>
          <w:rFonts w:hint="cs"/>
          <w:rtl/>
        </w:rPr>
      </w:pPr>
      <w:r>
        <w:rPr>
          <w:rtl/>
        </w:rPr>
        <w:tab/>
      </w:r>
      <w:r w:rsidRPr="00A50078">
        <w:rPr>
          <w:i/>
          <w:iCs/>
          <w:rtl/>
        </w:rPr>
        <w:t>وإذ يشير أيضاً</w:t>
      </w:r>
      <w:r>
        <w:rPr>
          <w:rtl/>
        </w:rPr>
        <w:t xml:space="preserve"> إلى قرارات مجلس حقوق الإنسان </w:t>
      </w:r>
      <w:r w:rsidRPr="00A50078">
        <w:rPr>
          <w:rtl/>
        </w:rPr>
        <w:t>17</w:t>
      </w:r>
      <w:r>
        <w:rPr>
          <w:rtl/>
        </w:rPr>
        <w:t>/</w:t>
      </w:r>
      <w:r w:rsidRPr="00A50078">
        <w:rPr>
          <w:rtl/>
        </w:rPr>
        <w:t>19</w:t>
      </w:r>
      <w:r>
        <w:rPr>
          <w:rtl/>
        </w:rPr>
        <w:t xml:space="preserve"> المؤرخ </w:t>
      </w:r>
      <w:r w:rsidRPr="00A50078">
        <w:rPr>
          <w:rtl/>
        </w:rPr>
        <w:t>17</w:t>
      </w:r>
      <w:r>
        <w:rPr>
          <w:rtl/>
        </w:rPr>
        <w:t xml:space="preserve"> حزيران/</w:t>
      </w:r>
      <w:proofErr w:type="gramStart"/>
      <w:r>
        <w:rPr>
          <w:rtl/>
        </w:rPr>
        <w:t>يونيه</w:t>
      </w:r>
      <w:proofErr w:type="gramEnd"/>
      <w:r>
        <w:rPr>
          <w:rtl/>
        </w:rPr>
        <w:t xml:space="preserve"> </w:t>
      </w:r>
      <w:r w:rsidRPr="00A50078">
        <w:rPr>
          <w:rtl/>
        </w:rPr>
        <w:t>2011</w:t>
      </w:r>
      <w:r>
        <w:rPr>
          <w:rtl/>
        </w:rPr>
        <w:t>، و</w:t>
      </w:r>
      <w:r w:rsidRPr="00A50078">
        <w:rPr>
          <w:rtl/>
        </w:rPr>
        <w:t>27</w:t>
      </w:r>
      <w:r>
        <w:rPr>
          <w:rtl/>
        </w:rPr>
        <w:t>/</w:t>
      </w:r>
      <w:r w:rsidRPr="00A50078">
        <w:rPr>
          <w:rtl/>
        </w:rPr>
        <w:t>32</w:t>
      </w:r>
      <w:r>
        <w:rPr>
          <w:rtl/>
        </w:rPr>
        <w:t xml:space="preserve"> المؤرخ </w:t>
      </w:r>
      <w:r w:rsidRPr="00A50078">
        <w:rPr>
          <w:rtl/>
        </w:rPr>
        <w:t>26</w:t>
      </w:r>
      <w:r>
        <w:rPr>
          <w:rtl/>
        </w:rPr>
        <w:t xml:space="preserve"> أيلول/سبتمبر </w:t>
      </w:r>
      <w:r w:rsidRPr="00A50078">
        <w:rPr>
          <w:rtl/>
        </w:rPr>
        <w:t>2014</w:t>
      </w:r>
      <w:r>
        <w:rPr>
          <w:rtl/>
        </w:rPr>
        <w:t>، و</w:t>
      </w:r>
      <w:r w:rsidRPr="00A50078">
        <w:rPr>
          <w:rtl/>
        </w:rPr>
        <w:t>32</w:t>
      </w:r>
      <w:r>
        <w:rPr>
          <w:rtl/>
        </w:rPr>
        <w:t>/</w:t>
      </w:r>
      <w:r w:rsidRPr="00A50078">
        <w:rPr>
          <w:rtl/>
        </w:rPr>
        <w:t>2</w:t>
      </w:r>
      <w:r>
        <w:rPr>
          <w:rtl/>
        </w:rPr>
        <w:t xml:space="preserve"> المؤرخ </w:t>
      </w:r>
      <w:r w:rsidRPr="00A50078">
        <w:rPr>
          <w:rtl/>
        </w:rPr>
        <w:t>30</w:t>
      </w:r>
      <w:r>
        <w:rPr>
          <w:rtl/>
        </w:rPr>
        <w:t xml:space="preserve"> حزيران/يونيه </w:t>
      </w:r>
      <w:r w:rsidRPr="00A50078">
        <w:rPr>
          <w:rtl/>
        </w:rPr>
        <w:t>2016</w:t>
      </w:r>
      <w:r>
        <w:rPr>
          <w:rtl/>
        </w:rPr>
        <w:t>، و</w:t>
      </w:r>
      <w:r w:rsidRPr="00A50078">
        <w:rPr>
          <w:rtl/>
        </w:rPr>
        <w:t>41</w:t>
      </w:r>
      <w:r w:rsidR="00E40181">
        <w:rPr>
          <w:rFonts w:hint="cs"/>
          <w:rtl/>
        </w:rPr>
        <w:t>/</w:t>
      </w:r>
      <w:r w:rsidR="00E40181" w:rsidRPr="00A50078">
        <w:rPr>
          <w:rtl/>
        </w:rPr>
        <w:t>18</w:t>
      </w:r>
      <w:r>
        <w:rPr>
          <w:rtl/>
        </w:rPr>
        <w:t xml:space="preserve"> المؤرخ</w:t>
      </w:r>
      <w:r w:rsidR="0007192C">
        <w:rPr>
          <w:rFonts w:hint="cs"/>
          <w:rtl/>
        </w:rPr>
        <w:t> </w:t>
      </w:r>
      <w:r w:rsidRPr="00A50078">
        <w:rPr>
          <w:rtl/>
        </w:rPr>
        <w:t>12</w:t>
      </w:r>
      <w:r>
        <w:rPr>
          <w:rtl/>
        </w:rPr>
        <w:t xml:space="preserve"> تموز/يوليه </w:t>
      </w:r>
      <w:r w:rsidRPr="00A50078">
        <w:rPr>
          <w:rtl/>
        </w:rPr>
        <w:t>2019</w:t>
      </w:r>
      <w:r>
        <w:rPr>
          <w:rtl/>
        </w:rPr>
        <w:t>،</w:t>
      </w:r>
    </w:p>
    <w:p w14:paraId="4FE3050D" w14:textId="0BC37052" w:rsidR="00A614C2" w:rsidRPr="0007192C" w:rsidRDefault="00A614C2" w:rsidP="00A614C2">
      <w:pPr>
        <w:pStyle w:val="SingleTxtGA"/>
        <w:rPr>
          <w:spacing w:val="-2"/>
          <w:rtl/>
        </w:rPr>
      </w:pPr>
      <w:r w:rsidRPr="0007192C">
        <w:rPr>
          <w:spacing w:val="-2"/>
          <w:rtl/>
        </w:rPr>
        <w:tab/>
      </w:r>
      <w:r w:rsidRPr="00A50078">
        <w:rPr>
          <w:i/>
          <w:iCs/>
          <w:spacing w:val="-2"/>
          <w:rtl/>
        </w:rPr>
        <w:t>وإذ يشير كذلك</w:t>
      </w:r>
      <w:r w:rsidRPr="0007192C">
        <w:rPr>
          <w:spacing w:val="-2"/>
          <w:rtl/>
        </w:rPr>
        <w:t xml:space="preserve"> إلى قراري مجلس حقوق الإنسان </w:t>
      </w:r>
      <w:r w:rsidRPr="00A50078">
        <w:rPr>
          <w:spacing w:val="-2"/>
          <w:rtl/>
        </w:rPr>
        <w:t>5</w:t>
      </w:r>
      <w:r w:rsidRPr="0007192C">
        <w:rPr>
          <w:spacing w:val="-2"/>
          <w:rtl/>
        </w:rPr>
        <w:t>/</w:t>
      </w:r>
      <w:r w:rsidRPr="00A50078">
        <w:rPr>
          <w:spacing w:val="-2"/>
          <w:rtl/>
        </w:rPr>
        <w:t>1</w:t>
      </w:r>
      <w:r w:rsidRPr="0007192C">
        <w:rPr>
          <w:spacing w:val="-2"/>
          <w:rtl/>
        </w:rPr>
        <w:t xml:space="preserve"> و</w:t>
      </w:r>
      <w:r w:rsidRPr="00A50078">
        <w:rPr>
          <w:spacing w:val="-2"/>
          <w:rtl/>
        </w:rPr>
        <w:t>5</w:t>
      </w:r>
      <w:r w:rsidRPr="0007192C">
        <w:rPr>
          <w:spacing w:val="-2"/>
          <w:rtl/>
        </w:rPr>
        <w:t>/</w:t>
      </w:r>
      <w:r w:rsidRPr="00A50078">
        <w:rPr>
          <w:spacing w:val="-2"/>
          <w:rtl/>
        </w:rPr>
        <w:t>2</w:t>
      </w:r>
      <w:r w:rsidRPr="0007192C">
        <w:rPr>
          <w:spacing w:val="-2"/>
          <w:rtl/>
        </w:rPr>
        <w:t xml:space="preserve"> المؤرخين </w:t>
      </w:r>
      <w:r w:rsidRPr="00A50078">
        <w:rPr>
          <w:spacing w:val="-2"/>
          <w:rtl/>
        </w:rPr>
        <w:t>18</w:t>
      </w:r>
      <w:r w:rsidRPr="0007192C">
        <w:rPr>
          <w:spacing w:val="-2"/>
          <w:rtl/>
        </w:rPr>
        <w:t xml:space="preserve"> حزيران/</w:t>
      </w:r>
      <w:proofErr w:type="gramStart"/>
      <w:r w:rsidRPr="0007192C">
        <w:rPr>
          <w:spacing w:val="-2"/>
          <w:rtl/>
        </w:rPr>
        <w:t>يونيه</w:t>
      </w:r>
      <w:proofErr w:type="gramEnd"/>
      <w:r w:rsidRPr="0007192C">
        <w:rPr>
          <w:spacing w:val="-2"/>
          <w:rtl/>
        </w:rPr>
        <w:t xml:space="preserve"> </w:t>
      </w:r>
      <w:r w:rsidRPr="00A50078">
        <w:rPr>
          <w:spacing w:val="-2"/>
          <w:rtl/>
        </w:rPr>
        <w:t>2007</w:t>
      </w:r>
      <w:r w:rsidRPr="0007192C">
        <w:rPr>
          <w:spacing w:val="-2"/>
          <w:rtl/>
        </w:rPr>
        <w:t>،</w:t>
      </w:r>
    </w:p>
    <w:p w14:paraId="5345A248" w14:textId="77777777" w:rsidR="00A614C2" w:rsidRPr="00E40181" w:rsidRDefault="00A614C2" w:rsidP="00E40181">
      <w:pPr>
        <w:pStyle w:val="SingleTxtGA"/>
        <w:spacing w:line="350" w:lineRule="exact"/>
        <w:rPr>
          <w:spacing w:val="-3"/>
          <w:rtl/>
        </w:rPr>
      </w:pPr>
      <w:r>
        <w:rPr>
          <w:rtl/>
        </w:rPr>
        <w:lastRenderedPageBreak/>
        <w:tab/>
      </w:r>
      <w:r w:rsidRPr="00A50078">
        <w:rPr>
          <w:i/>
          <w:iCs/>
          <w:rtl/>
        </w:rPr>
        <w:t>وإذ يشير</w:t>
      </w:r>
      <w:r>
        <w:rPr>
          <w:rtl/>
        </w:rPr>
        <w:t xml:space="preserve"> إلى أن إعلان وبرنامج عمل فيينا يؤكدان أن جميع حقوق الإنسان عالمية وغير قابلة </w:t>
      </w:r>
      <w:r w:rsidRPr="00E40181">
        <w:rPr>
          <w:spacing w:val="-3"/>
          <w:rtl/>
        </w:rPr>
        <w:t>للتجزئة ومترابطة ومتشابكة، وأن المجتمع الدولي يجب أن يعامل حقوق الإنسان على الصعيد العالمي بطريقة عادلة ومتساوية، وعلى قدم المساواة، وبنفس التشديد، وأنه بينما يجب أن توضع في الاعتبار أهمية الخصائص الوطنية والإقليمية والخلفيات التاريخية والثقافية والدينية المختلفة، فمن واجب الدول، بصرف النظر عن نُظمها السياسية والاقتصادية والثقافية، أن تقوم بتعزيز وحماية جميع حقوق الإنسان والحريات الأساسية،</w:t>
      </w:r>
    </w:p>
    <w:p w14:paraId="316F86D7" w14:textId="77777777" w:rsidR="00A614C2" w:rsidRDefault="00A614C2" w:rsidP="00E40181">
      <w:pPr>
        <w:pStyle w:val="SingleTxtGA"/>
        <w:spacing w:line="350" w:lineRule="exact"/>
        <w:rPr>
          <w:rtl/>
        </w:rPr>
      </w:pPr>
      <w:r>
        <w:rPr>
          <w:rtl/>
        </w:rPr>
        <w:tab/>
      </w:r>
      <w:r w:rsidRPr="00A50078">
        <w:rPr>
          <w:i/>
          <w:iCs/>
          <w:rtl/>
        </w:rPr>
        <w:t>وإذ يسلم</w:t>
      </w:r>
      <w:r>
        <w:rPr>
          <w:rtl/>
        </w:rPr>
        <w:t xml:space="preserve"> بأن الأشخاص قد يتعرضون طوال حياتهم للعنف ولأشكال متعددة ومتداخلة ونُظمية من التمييز القائم على أساس ميولهم الجنسية أو هويتهم الجنسانية، وبالطريقة التي تتفاقم بها هذه الأسباب بفعل جملة أمور منها </w:t>
      </w:r>
      <w:proofErr w:type="gramStart"/>
      <w:r>
        <w:rPr>
          <w:rtl/>
        </w:rPr>
        <w:t>العرق</w:t>
      </w:r>
      <w:proofErr w:type="gramEnd"/>
      <w:r>
        <w:rPr>
          <w:rtl/>
        </w:rPr>
        <w:t xml:space="preserve"> أو الأصل الإثني أو الوضع الاجتماعي والاقتصادي أو الإعاقة أو السن، في الأماكن الخاصة والعامة، سواء على شبكة الإنترنت أو خارجها،</w:t>
      </w:r>
    </w:p>
    <w:p w14:paraId="1E94A20D" w14:textId="12710CA8" w:rsidR="00A614C2" w:rsidRDefault="00A614C2" w:rsidP="00E40181">
      <w:pPr>
        <w:pStyle w:val="SingleTxtGA"/>
        <w:spacing w:line="350" w:lineRule="exact"/>
        <w:rPr>
          <w:rtl/>
        </w:rPr>
      </w:pPr>
      <w:r>
        <w:rPr>
          <w:rtl/>
        </w:rPr>
        <w:tab/>
      </w:r>
      <w:r w:rsidRPr="00A50078">
        <w:rPr>
          <w:i/>
          <w:iCs/>
          <w:rtl/>
        </w:rPr>
        <w:t>وإذ يعيد تأكيد</w:t>
      </w:r>
      <w:r>
        <w:rPr>
          <w:rtl/>
        </w:rPr>
        <w:t xml:space="preserve"> أهمية عدم التمييز المنبثق من القانون الدولي لحقوق الإنسان وأهمية تعزيز تحقيق المساواة الفعلية للأشخاص الذين يواجهون تمييزاً على أساس الميل الجنسية والهوية الجنسانية، بسُبل منها القضاء على الأسباب الجذرية للتمييز الهيكلي ضدهم،</w:t>
      </w:r>
    </w:p>
    <w:p w14:paraId="47198C30" w14:textId="15FF4A72" w:rsidR="00A614C2" w:rsidRDefault="009560E6" w:rsidP="00E40181">
      <w:pPr>
        <w:pStyle w:val="SingleTxtGA"/>
        <w:spacing w:line="350" w:lineRule="exact"/>
        <w:rPr>
          <w:rtl/>
        </w:rPr>
      </w:pPr>
      <w:r w:rsidRPr="00A50078">
        <w:rPr>
          <w:i/>
          <w:iCs/>
          <w:rtl/>
        </w:rPr>
        <w:tab/>
      </w:r>
      <w:r w:rsidR="00A614C2" w:rsidRPr="00A50078">
        <w:rPr>
          <w:i/>
          <w:iCs/>
          <w:rtl/>
        </w:rPr>
        <w:t>وإذ يرحب</w:t>
      </w:r>
      <w:r w:rsidR="00A614C2">
        <w:rPr>
          <w:rtl/>
        </w:rPr>
        <w:t xml:space="preserve"> بالتطورات الإيجابية على الصُعد الدولي والإقليمي والوطني في مجال مكافحة العنف والتمييز القائمين على أساس الميل الجنسي والهوية الجنسانية، وبمساهمة ولاية الخبير المستقل المعني بالحماية من العنف والتمييز القائمين على أساس الميل الجنسي والهوية الجنسانية في هذا الصدد،</w:t>
      </w:r>
    </w:p>
    <w:p w14:paraId="3A23E182" w14:textId="77777777" w:rsidR="00A614C2" w:rsidRDefault="00A614C2" w:rsidP="00E40181">
      <w:pPr>
        <w:pStyle w:val="SingleTxtGA"/>
        <w:spacing w:line="350" w:lineRule="exact"/>
        <w:rPr>
          <w:rtl/>
        </w:rPr>
      </w:pPr>
      <w:r>
        <w:rPr>
          <w:rtl/>
        </w:rPr>
        <w:tab/>
      </w:r>
      <w:r w:rsidRPr="00A50078">
        <w:rPr>
          <w:i/>
          <w:iCs/>
          <w:rtl/>
        </w:rPr>
        <w:t>وإذ يسلم</w:t>
      </w:r>
      <w:r>
        <w:rPr>
          <w:rtl/>
        </w:rPr>
        <w:t xml:space="preserve"> بالمساهمات الإيجابية للمجتمع المدني في أعمال ولاية الخبير المستقل المعني بالحماية من العنف والتمييز القائمين على أساس الميل الجنسي والهوية الجنسانية، وإذ يشدد على مسؤولية الدول عن تهيئة وصون بيئة آمنة ومواتية يمكن فيها للمجتمع المدني، بما فيه المجتمع المدني الذي يعمل على </w:t>
      </w:r>
      <w:r w:rsidRPr="00E40181">
        <w:rPr>
          <w:spacing w:val="-3"/>
          <w:rtl/>
        </w:rPr>
        <w:t>معالجة هذه المسائل، أن يعمل في جو خال من العوائق وانعدام الأمن، سواء على شبكة الإنترنت أو خارجها،</w:t>
      </w:r>
    </w:p>
    <w:p w14:paraId="0D8F0A6D" w14:textId="77777777" w:rsidR="00A614C2" w:rsidRDefault="00A614C2" w:rsidP="00E40181">
      <w:pPr>
        <w:pStyle w:val="SingleTxtGA"/>
        <w:spacing w:line="350" w:lineRule="exact"/>
        <w:rPr>
          <w:rtl/>
        </w:rPr>
      </w:pPr>
      <w:r>
        <w:rPr>
          <w:rtl/>
        </w:rPr>
        <w:tab/>
      </w:r>
      <w:r w:rsidRPr="00A50078">
        <w:rPr>
          <w:i/>
          <w:iCs/>
          <w:rtl/>
        </w:rPr>
        <w:t>وإذ يعرب</w:t>
      </w:r>
      <w:r>
        <w:rPr>
          <w:rtl/>
        </w:rPr>
        <w:t xml:space="preserve"> عن بالغ قلقه إزاء القوانين والسياسات والممارسات القائمة التي تُجرم السلوك والعلاقات الجنسية المثلية بالتراضي وأوجه التعبير عن الهوية الجنسانية، وإزاء القوانين والسياسات والممارسات المستخدمة في مضايقة الأفراد واحتجازهم تعسفاً ومقاضاتهم والتمييز ضدهم على أساس ميولهم الجنسية وهويتهم الجنسانية،</w:t>
      </w:r>
    </w:p>
    <w:p w14:paraId="1E136D42" w14:textId="379DBDC0" w:rsidR="00555B30" w:rsidRPr="00555B30" w:rsidRDefault="00A614C2" w:rsidP="00E40181">
      <w:pPr>
        <w:pStyle w:val="SingleTxtGA"/>
        <w:spacing w:line="350" w:lineRule="exact"/>
        <w:rPr>
          <w:color w:val="000000"/>
          <w:rtl/>
        </w:rPr>
      </w:pPr>
      <w:r>
        <w:rPr>
          <w:rtl/>
        </w:rPr>
        <w:tab/>
      </w:r>
      <w:r w:rsidRPr="00A50078">
        <w:rPr>
          <w:rtl/>
        </w:rPr>
        <w:t>1</w:t>
      </w:r>
      <w:r>
        <w:rPr>
          <w:rtl/>
        </w:rPr>
        <w:t>-</w:t>
      </w:r>
      <w:r>
        <w:rPr>
          <w:rtl/>
        </w:rPr>
        <w:tab/>
      </w:r>
      <w:r w:rsidRPr="00A50078">
        <w:rPr>
          <w:i/>
          <w:iCs/>
          <w:rtl/>
        </w:rPr>
        <w:t>يرحب</w:t>
      </w:r>
      <w:r>
        <w:rPr>
          <w:rtl/>
        </w:rPr>
        <w:t xml:space="preserve"> بالعمل الذي قام به الخبير المستقل المعني بالحماية من العنف والتمييز القائمين على أساس الميل الجنسي والهوية الجنسانية في تنفيذ الولاية، وبالمشاورات الشاملة والشفافة والجامعة التي أُجريت مع الجهات المعنية صاحبة المصلحة، وبالتقارير المواضيعية والقيام بزيارات قطرية إلى مناطق مختلفة</w:t>
      </w:r>
      <w:r w:rsidR="00555B30" w:rsidRPr="00A50078">
        <w:rPr>
          <w:rStyle w:val="FootnoteReference"/>
          <w:szCs w:val="22"/>
          <w:rtl/>
        </w:rPr>
        <w:t>(</w:t>
      </w:r>
      <w:r w:rsidR="00555B30" w:rsidRPr="00A50078">
        <w:rPr>
          <w:rStyle w:val="FootnoteReference"/>
          <w:szCs w:val="22"/>
          <w:lang w:val="en-US"/>
        </w:rPr>
        <w:footnoteReference w:id="2"/>
      </w:r>
      <w:r w:rsidR="00555B30" w:rsidRPr="00555B30">
        <w:rPr>
          <w:color w:val="000000"/>
          <w:vertAlign w:val="superscript"/>
          <w:rtl/>
        </w:rPr>
        <w:t>)</w:t>
      </w:r>
      <w:r w:rsidR="00555B30" w:rsidRPr="00555B30">
        <w:rPr>
          <w:color w:val="000000"/>
          <w:rtl/>
        </w:rPr>
        <w:t>؛</w:t>
      </w:r>
    </w:p>
    <w:p w14:paraId="7B21185F" w14:textId="6A5346DB" w:rsidR="00A614C2" w:rsidRDefault="00A614C2" w:rsidP="00E40181">
      <w:pPr>
        <w:pStyle w:val="SingleTxtGA"/>
        <w:spacing w:line="350" w:lineRule="exact"/>
        <w:rPr>
          <w:rtl/>
        </w:rPr>
      </w:pPr>
      <w:r>
        <w:rPr>
          <w:rtl/>
        </w:rPr>
        <w:tab/>
      </w:r>
      <w:r w:rsidRPr="00A50078">
        <w:rPr>
          <w:rtl/>
        </w:rPr>
        <w:t>2</w:t>
      </w:r>
      <w:r>
        <w:rPr>
          <w:rtl/>
        </w:rPr>
        <w:t>-</w:t>
      </w:r>
      <w:r>
        <w:rPr>
          <w:rtl/>
        </w:rPr>
        <w:tab/>
      </w:r>
      <w:r w:rsidRPr="00A50078">
        <w:rPr>
          <w:i/>
          <w:iCs/>
          <w:rtl/>
        </w:rPr>
        <w:t>يشجب بقوة</w:t>
      </w:r>
      <w:r>
        <w:rPr>
          <w:rtl/>
        </w:rPr>
        <w:t xml:space="preserve"> أعمال العنف والتمييز المرتكبة ضد الأفراد في جميع مناطق العالم على أساس ميولهم الجنسية أو هويتهم الجنسانية؛</w:t>
      </w:r>
    </w:p>
    <w:p w14:paraId="3FB0E940" w14:textId="77777777" w:rsidR="00A614C2" w:rsidRDefault="00A614C2" w:rsidP="00E40181">
      <w:pPr>
        <w:pStyle w:val="SingleTxtGA"/>
        <w:spacing w:line="350" w:lineRule="exact"/>
        <w:rPr>
          <w:rtl/>
        </w:rPr>
      </w:pPr>
      <w:r>
        <w:rPr>
          <w:rtl/>
        </w:rPr>
        <w:tab/>
      </w:r>
      <w:r w:rsidRPr="00A50078">
        <w:rPr>
          <w:rtl/>
        </w:rPr>
        <w:t>3</w:t>
      </w:r>
      <w:r>
        <w:rPr>
          <w:rtl/>
        </w:rPr>
        <w:t>-</w:t>
      </w:r>
      <w:r>
        <w:rPr>
          <w:rtl/>
        </w:rPr>
        <w:tab/>
      </w:r>
      <w:r w:rsidRPr="00A50078">
        <w:rPr>
          <w:i/>
          <w:iCs/>
          <w:rtl/>
        </w:rPr>
        <w:t>يدعو</w:t>
      </w:r>
      <w:r>
        <w:rPr>
          <w:rtl/>
        </w:rPr>
        <w:t xml:space="preserve"> الدول إلى تعديل أو إلغاء القوانين والسياسات التي تميز ضد الأشخاص على أساس ميولهم الجنسية وهويتهم الجنسانية، وإلى اتخاذ تدابير فعالة لمنع أعمال العنف والتمييز القائمة على تلك الأسس، سواء على شبكة الإنترنت أو خارجها، والتحقيق فيها ومقاضاة مرتكبيها عند الاقتضاء؛</w:t>
      </w:r>
    </w:p>
    <w:p w14:paraId="00F11618" w14:textId="77777777" w:rsidR="00A614C2" w:rsidRDefault="00A614C2" w:rsidP="00E40181">
      <w:pPr>
        <w:pStyle w:val="SingleTxtGA"/>
        <w:spacing w:line="350" w:lineRule="exact"/>
        <w:rPr>
          <w:rtl/>
        </w:rPr>
      </w:pPr>
      <w:r>
        <w:rPr>
          <w:rtl/>
        </w:rPr>
        <w:tab/>
      </w:r>
      <w:r w:rsidRPr="00A50078">
        <w:rPr>
          <w:rtl/>
        </w:rPr>
        <w:t>4</w:t>
      </w:r>
      <w:r>
        <w:rPr>
          <w:rtl/>
        </w:rPr>
        <w:t>-</w:t>
      </w:r>
      <w:r>
        <w:rPr>
          <w:rtl/>
        </w:rPr>
        <w:tab/>
      </w:r>
      <w:r w:rsidRPr="00A50078">
        <w:rPr>
          <w:i/>
          <w:iCs/>
          <w:rtl/>
        </w:rPr>
        <w:t>يقرر</w:t>
      </w:r>
      <w:r>
        <w:rPr>
          <w:rtl/>
        </w:rPr>
        <w:t xml:space="preserve"> تمديد ولاية الخبير المستقل المعني بالحماية من العنف والتمييز القائمين على أساس الميل الجنسي والهوية الجنسانية لمدة ثلاث سنوات لتمكين المكلف بالولاية من مواصلة العمل وفقاً للولاية التي أنشأها مجلس حقوق الإنسان في قراره </w:t>
      </w:r>
      <w:r w:rsidRPr="00A50078">
        <w:rPr>
          <w:rtl/>
        </w:rPr>
        <w:t>32</w:t>
      </w:r>
      <w:r>
        <w:rPr>
          <w:rtl/>
        </w:rPr>
        <w:t>/</w:t>
      </w:r>
      <w:r w:rsidRPr="00A50078">
        <w:rPr>
          <w:rtl/>
        </w:rPr>
        <w:t>2</w:t>
      </w:r>
      <w:r>
        <w:rPr>
          <w:rtl/>
        </w:rPr>
        <w:t>؛</w:t>
      </w:r>
    </w:p>
    <w:p w14:paraId="3BE94207" w14:textId="77777777" w:rsidR="00A614C2" w:rsidRDefault="00A614C2" w:rsidP="00A614C2">
      <w:pPr>
        <w:pStyle w:val="SingleTxtGA"/>
        <w:rPr>
          <w:rtl/>
        </w:rPr>
      </w:pPr>
      <w:r>
        <w:rPr>
          <w:rtl/>
        </w:rPr>
        <w:lastRenderedPageBreak/>
        <w:tab/>
      </w:r>
      <w:r w:rsidRPr="00A50078">
        <w:rPr>
          <w:rtl/>
        </w:rPr>
        <w:t>5</w:t>
      </w:r>
      <w:r>
        <w:rPr>
          <w:rtl/>
        </w:rPr>
        <w:t>-</w:t>
      </w:r>
      <w:r>
        <w:rPr>
          <w:rtl/>
        </w:rPr>
        <w:tab/>
      </w:r>
      <w:r w:rsidRPr="00A50078">
        <w:rPr>
          <w:i/>
          <w:iCs/>
          <w:rtl/>
        </w:rPr>
        <w:t>يطلب</w:t>
      </w:r>
      <w:r>
        <w:rPr>
          <w:rtl/>
        </w:rPr>
        <w:t xml:space="preserve"> إلى الأمين العام ومفوضة الأمم المتحدة السامية لحقوق الإنسان مواصلة تزويد الخبير المستقل بجميع الموارد البشرية والتقنية والمالية اللازمة ليواصل الاضطلاع بولايته على نحو فعال؛</w:t>
      </w:r>
    </w:p>
    <w:p w14:paraId="7E96DFEE" w14:textId="77777777" w:rsidR="00A614C2" w:rsidRDefault="00A614C2" w:rsidP="00A614C2">
      <w:pPr>
        <w:pStyle w:val="SingleTxtGA"/>
        <w:rPr>
          <w:rtl/>
        </w:rPr>
      </w:pPr>
      <w:r>
        <w:rPr>
          <w:rtl/>
        </w:rPr>
        <w:tab/>
      </w:r>
      <w:r w:rsidRPr="00A50078">
        <w:rPr>
          <w:rtl/>
        </w:rPr>
        <w:t>6</w:t>
      </w:r>
      <w:r>
        <w:rPr>
          <w:rtl/>
        </w:rPr>
        <w:t>-</w:t>
      </w:r>
      <w:r>
        <w:rPr>
          <w:rtl/>
        </w:rPr>
        <w:tab/>
      </w:r>
      <w:r w:rsidRPr="00A50078">
        <w:rPr>
          <w:i/>
          <w:iCs/>
          <w:rtl/>
        </w:rPr>
        <w:t>يدعو</w:t>
      </w:r>
      <w:r>
        <w:rPr>
          <w:rtl/>
        </w:rPr>
        <w:t xml:space="preserve"> جميع الحكومات إلى التعاون مع الخبير المستقل ومساعدته عن طريق توفير جميع المعلومات اللازمة التي يطلبها المكلف بالولاية، والاستجابة لطلبات الخبير المستقل زيارة بلدانها ليتسنى له الاضطلاع بولايته على نحو أكثر فعالية؛</w:t>
      </w:r>
    </w:p>
    <w:p w14:paraId="7D19AD83" w14:textId="77777777" w:rsidR="00A614C2" w:rsidRDefault="00A614C2" w:rsidP="00A614C2">
      <w:pPr>
        <w:pStyle w:val="SingleTxtGA"/>
        <w:rPr>
          <w:rFonts w:hint="cs"/>
          <w:rtl/>
        </w:rPr>
      </w:pPr>
      <w:r>
        <w:rPr>
          <w:rtl/>
        </w:rPr>
        <w:tab/>
      </w:r>
      <w:r w:rsidRPr="00A50078">
        <w:rPr>
          <w:rtl/>
        </w:rPr>
        <w:t>7</w:t>
      </w:r>
      <w:r>
        <w:rPr>
          <w:rtl/>
        </w:rPr>
        <w:t>-</w:t>
      </w:r>
      <w:r>
        <w:rPr>
          <w:rtl/>
        </w:rPr>
        <w:tab/>
      </w:r>
      <w:r w:rsidRPr="00A50078">
        <w:rPr>
          <w:i/>
          <w:iCs/>
          <w:rtl/>
        </w:rPr>
        <w:t>يطلب</w:t>
      </w:r>
      <w:r>
        <w:rPr>
          <w:rtl/>
        </w:rPr>
        <w:t xml:space="preserve"> إلى الخبير المستقل أن يواصل تقديم تقرير سنوي عن تنفيذ الولاية إلى مجلس حقوق الإنسان والجمعية العامة وفقاً لبرنامج عمل كل منهما.</w:t>
      </w:r>
    </w:p>
    <w:p w14:paraId="5D2264C3" w14:textId="77777777" w:rsidR="00A614C2" w:rsidRPr="00BC3720" w:rsidRDefault="00A614C2" w:rsidP="00A614C2">
      <w:pPr>
        <w:pStyle w:val="SingleTxtGA"/>
        <w:jc w:val="center"/>
        <w:rPr>
          <w:u w:val="single"/>
          <w:rtl/>
        </w:rPr>
      </w:pPr>
      <w:r>
        <w:rPr>
          <w:u w:val="single"/>
          <w:rtl/>
        </w:rPr>
        <w:tab/>
      </w:r>
      <w:r>
        <w:rPr>
          <w:u w:val="single"/>
          <w:rtl/>
        </w:rPr>
        <w:tab/>
      </w:r>
      <w:r>
        <w:rPr>
          <w:u w:val="single"/>
          <w:rtl/>
        </w:rPr>
        <w:tab/>
      </w:r>
    </w:p>
    <w:sectPr w:rsidR="00A614C2" w:rsidRPr="00BC3720" w:rsidSect="003A672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BC4AC" w14:textId="77777777" w:rsidR="00843EA0" w:rsidRPr="002901D9" w:rsidRDefault="00843EA0" w:rsidP="00AD3834">
      <w:pPr>
        <w:spacing w:after="60" w:line="240" w:lineRule="auto"/>
        <w:ind w:left="57"/>
        <w:rPr>
          <w:i/>
          <w:iCs/>
        </w:rPr>
      </w:pPr>
      <w:r>
        <w:rPr>
          <w:rFonts w:hint="cs"/>
          <w:i/>
          <w:iCs/>
          <w:rtl/>
        </w:rPr>
        <w:t>الحواشي</w:t>
      </w:r>
    </w:p>
  </w:endnote>
  <w:endnote w:type="continuationSeparator" w:id="0">
    <w:p w14:paraId="7C37F0C2" w14:textId="77777777" w:rsidR="00843EA0" w:rsidRDefault="00843E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83CB" w14:textId="7DCCE88D" w:rsidR="002066F3" w:rsidRPr="002066F3" w:rsidRDefault="002066F3" w:rsidP="002066F3">
    <w:pPr>
      <w:pStyle w:val="Footer"/>
      <w:tabs>
        <w:tab w:val="right" w:pos="9638"/>
      </w:tabs>
      <w:rPr>
        <w:b/>
        <w:sz w:val="18"/>
        <w:lang w:val="en-US"/>
      </w:rPr>
    </w:pPr>
    <w:r>
      <w:rPr>
        <w:lang w:val="en-US"/>
      </w:rPr>
      <w:t>GE.22-10182</w:t>
    </w:r>
    <w:r>
      <w:rPr>
        <w:lang w:val="en-US"/>
      </w:rPr>
      <w:tab/>
    </w:r>
    <w:r w:rsidRPr="002066F3">
      <w:rPr>
        <w:b/>
        <w:sz w:val="18"/>
        <w:lang w:val="en-US"/>
      </w:rPr>
      <w:fldChar w:fldCharType="begin"/>
    </w:r>
    <w:r w:rsidRPr="002066F3">
      <w:rPr>
        <w:b/>
        <w:sz w:val="18"/>
        <w:lang w:val="en-US"/>
      </w:rPr>
      <w:instrText xml:space="preserve"> PAGE  \* MERGEFORMAT </w:instrText>
    </w:r>
    <w:r w:rsidRPr="002066F3">
      <w:rPr>
        <w:b/>
        <w:sz w:val="18"/>
        <w:lang w:val="en-US"/>
      </w:rPr>
      <w:fldChar w:fldCharType="separate"/>
    </w:r>
    <w:r w:rsidRPr="002066F3">
      <w:rPr>
        <w:b/>
        <w:noProof/>
        <w:sz w:val="18"/>
        <w:lang w:val="en-US"/>
      </w:rPr>
      <w:t>2</w:t>
    </w:r>
    <w:r w:rsidRPr="002066F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35FB" w14:textId="3A0518EC" w:rsidR="006959B0" w:rsidRPr="002066F3" w:rsidRDefault="002066F3" w:rsidP="002066F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GE.22-10182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CA1D" w14:textId="239F4864" w:rsidR="00FD4BC9" w:rsidRPr="002066F3" w:rsidRDefault="002066F3" w:rsidP="002066F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C0968C4" wp14:editId="68BE348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22-10182 (A)</w:t>
    </w:r>
    <w:r>
      <w:rPr>
        <w:noProof/>
        <w:sz w:val="20"/>
        <w:lang w:val="en-US"/>
      </w:rPr>
      <w:drawing>
        <wp:anchor distT="0" distB="0" distL="114300" distR="114300" simplePos="0" relativeHeight="251659264" behindDoc="0" locked="0" layoutInCell="1" allowOverlap="1" wp14:anchorId="77B8813C" wp14:editId="35169AC5">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1E9D9" w14:textId="77777777" w:rsidR="00843EA0" w:rsidRPr="00A350CC" w:rsidRDefault="00843EA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A8CA0AD" w14:textId="77777777" w:rsidR="00843EA0" w:rsidRDefault="00843EA0" w:rsidP="00656392">
      <w:pPr>
        <w:spacing w:line="240" w:lineRule="auto"/>
      </w:pPr>
      <w:r>
        <w:continuationSeparator/>
      </w:r>
    </w:p>
  </w:footnote>
  <w:footnote w:id="1">
    <w:p w14:paraId="209AC8FE" w14:textId="4E18F161" w:rsidR="008643A2" w:rsidRPr="008643A2" w:rsidRDefault="008643A2" w:rsidP="008643A2">
      <w:pPr>
        <w:pStyle w:val="FootnoteText1"/>
        <w:rPr>
          <w:rFonts w:hint="cs"/>
          <w:rtl/>
        </w:rPr>
      </w:pPr>
      <w:r>
        <w:rPr>
          <w:rtl/>
        </w:rPr>
        <w:t>*</w:t>
      </w:r>
      <w:r>
        <w:rPr>
          <w:rtl/>
        </w:rPr>
        <w:tab/>
      </w:r>
      <w:r w:rsidRPr="008643A2">
        <w:rPr>
          <w:rtl/>
        </w:rPr>
        <w:t>دولة غير عضو في مجلس حقوق الإنسان</w:t>
      </w:r>
      <w:r w:rsidR="00555B30">
        <w:rPr>
          <w:rtl/>
        </w:rPr>
        <w:t xml:space="preserve">. </w:t>
      </w:r>
    </w:p>
  </w:footnote>
  <w:footnote w:id="2">
    <w:p w14:paraId="398551CE" w14:textId="34858EB0" w:rsidR="00555B30" w:rsidRPr="008643A2" w:rsidRDefault="00555B30" w:rsidP="00555B30">
      <w:pPr>
        <w:pStyle w:val="FootnoteText1"/>
        <w:rPr>
          <w:rFonts w:hint="cs"/>
          <w:rtl/>
        </w:rPr>
      </w:pPr>
      <w:r w:rsidRPr="008643A2">
        <w:rPr>
          <w:rtl/>
        </w:rPr>
        <w:t>(</w:t>
      </w:r>
      <w:r w:rsidRPr="00A50078">
        <w:rPr>
          <w:rStyle w:val="FootnoteReference"/>
          <w:vertAlign w:val="baseline"/>
        </w:rPr>
        <w:footnoteRef/>
      </w:r>
      <w:r w:rsidRPr="008643A2">
        <w:rPr>
          <w:rtl/>
        </w:rPr>
        <w:t>)</w:t>
      </w:r>
      <w:r>
        <w:rPr>
          <w:rtl/>
        </w:rPr>
        <w:tab/>
      </w:r>
      <w:r w:rsidRPr="008643A2">
        <w:rPr>
          <w:rtl/>
        </w:rPr>
        <w:t xml:space="preserve">انظر </w:t>
      </w:r>
      <w:hyperlink r:id="rId1" w:history="1">
        <w:r w:rsidRPr="00555B30">
          <w:rPr>
            <w:rStyle w:val="Hyperlink"/>
            <w:lang w:val="en-AU"/>
          </w:rPr>
          <w:t>A/</w:t>
        </w:r>
        <w:r w:rsidRPr="00555B30">
          <w:rPr>
            <w:rStyle w:val="Hyperlink"/>
            <w:lang w:val="en-AU"/>
          </w:rPr>
          <w:t>HRC/</w:t>
        </w:r>
        <w:r w:rsidRPr="00A50078">
          <w:rPr>
            <w:rStyle w:val="Hyperlink"/>
            <w:lang w:val="en-AU"/>
          </w:rPr>
          <w:t>50</w:t>
        </w:r>
        <w:r w:rsidRPr="00555B30">
          <w:rPr>
            <w:rStyle w:val="Hyperlink"/>
            <w:lang w:val="en-AU"/>
          </w:rPr>
          <w:t>/</w:t>
        </w:r>
        <w:r w:rsidRPr="00A50078">
          <w:rPr>
            <w:rStyle w:val="Hyperlink"/>
            <w:lang w:val="en-AU"/>
          </w:rPr>
          <w:t>27</w:t>
        </w:r>
      </w:hyperlink>
      <w:r w:rsidRPr="008643A2">
        <w:rPr>
          <w:rtl/>
        </w:rPr>
        <w:t xml:space="preserve"> و</w:t>
      </w:r>
      <w:hyperlink r:id="rId2" w:history="1">
        <w:r w:rsidRPr="00555B30">
          <w:rPr>
            <w:rStyle w:val="Hyperlink"/>
          </w:rPr>
          <w:t>Add.</w:t>
        </w:r>
        <w:r w:rsidRPr="00A50078">
          <w:rPr>
            <w:rStyle w:val="Hyperlink"/>
          </w:rPr>
          <w:t>1</w:t>
        </w:r>
      </w:hyperlink>
      <w:r w:rsidRPr="00555B30">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D2A7" w14:textId="49221E79" w:rsidR="002066F3" w:rsidRPr="002066F3" w:rsidRDefault="002066F3" w:rsidP="002066F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A/HRC/50/L.2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4419" w14:textId="0B171229" w:rsidR="002066F3" w:rsidRPr="002066F3" w:rsidRDefault="002066F3" w:rsidP="002066F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A/HRC/50/L.2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1EC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EA0"/>
    <w:rsid w:val="000076D5"/>
    <w:rsid w:val="00014B0C"/>
    <w:rsid w:val="00031428"/>
    <w:rsid w:val="0004034F"/>
    <w:rsid w:val="00043663"/>
    <w:rsid w:val="000505CF"/>
    <w:rsid w:val="0007192C"/>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292F"/>
    <w:rsid w:val="00173B04"/>
    <w:rsid w:val="001773DB"/>
    <w:rsid w:val="00181F96"/>
    <w:rsid w:val="001830E1"/>
    <w:rsid w:val="00185E55"/>
    <w:rsid w:val="001A1371"/>
    <w:rsid w:val="001B346A"/>
    <w:rsid w:val="001C0E07"/>
    <w:rsid w:val="001C5395"/>
    <w:rsid w:val="001E1CAD"/>
    <w:rsid w:val="001E290D"/>
    <w:rsid w:val="001F54C9"/>
    <w:rsid w:val="002066F3"/>
    <w:rsid w:val="00207677"/>
    <w:rsid w:val="002144FA"/>
    <w:rsid w:val="002172D1"/>
    <w:rsid w:val="00231DAC"/>
    <w:rsid w:val="0023202A"/>
    <w:rsid w:val="0023469A"/>
    <w:rsid w:val="00243AC1"/>
    <w:rsid w:val="00243C8A"/>
    <w:rsid w:val="00267A0E"/>
    <w:rsid w:val="00281242"/>
    <w:rsid w:val="002855B5"/>
    <w:rsid w:val="002901D9"/>
    <w:rsid w:val="0029595A"/>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672B"/>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55B30"/>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43976"/>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3EA0"/>
    <w:rsid w:val="00847298"/>
    <w:rsid w:val="0084797F"/>
    <w:rsid w:val="00852A9A"/>
    <w:rsid w:val="008643A2"/>
    <w:rsid w:val="00867971"/>
    <w:rsid w:val="00871544"/>
    <w:rsid w:val="00880CC3"/>
    <w:rsid w:val="008930DB"/>
    <w:rsid w:val="00895D16"/>
    <w:rsid w:val="008A4DD3"/>
    <w:rsid w:val="008D1D80"/>
    <w:rsid w:val="008D4E87"/>
    <w:rsid w:val="008E0F95"/>
    <w:rsid w:val="008E2E2A"/>
    <w:rsid w:val="008F49E1"/>
    <w:rsid w:val="009016D3"/>
    <w:rsid w:val="0090370F"/>
    <w:rsid w:val="009269D2"/>
    <w:rsid w:val="00941CDA"/>
    <w:rsid w:val="00942135"/>
    <w:rsid w:val="009521B0"/>
    <w:rsid w:val="009549E9"/>
    <w:rsid w:val="00955B22"/>
    <w:rsid w:val="00955F0E"/>
    <w:rsid w:val="009560E6"/>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078"/>
    <w:rsid w:val="00A50EC0"/>
    <w:rsid w:val="00A54254"/>
    <w:rsid w:val="00A6138D"/>
    <w:rsid w:val="00A614C2"/>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B7867"/>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40181"/>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6B78CF07"/>
  <w15:docId w15:val="{BB3C48B1-2A83-446F-8680-F7A93C240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0/27/Add.1" TargetMode="External"/><Relationship Id="rId1" Type="http://schemas.openxmlformats.org/officeDocument/2006/relationships/hyperlink" Target="https://undocs.org/ar/A/HRC/50/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657</Words>
  <Characters>4417</Characters>
  <Application>Microsoft Office Word</Application>
  <DocSecurity>0</DocSecurity>
  <Lines>631</Lines>
  <Paragraphs>461</Paragraphs>
  <ScaleCrop>false</ScaleCrop>
  <HeadingPairs>
    <vt:vector size="2" baseType="variant">
      <vt:variant>
        <vt:lpstr>Title</vt:lpstr>
      </vt:variant>
      <vt:variant>
        <vt:i4>1</vt:i4>
      </vt:variant>
    </vt:vector>
  </HeadingPairs>
  <TitlesOfParts>
    <vt:vector size="1" baseType="lpstr">
      <vt:lpstr>A/HRC/50/L.2</vt:lpstr>
    </vt:vector>
  </TitlesOfParts>
  <Company>DCM</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A/HRC/50/L.2</dc:title>
  <dc:subject>GE.2210182(A)</dc:subject>
  <dc:creator>Gamal MAHMOUD - WDAH50</dc:creator>
  <cp:keywords>GE.2239297(A)</cp:keywords>
  <dc:description>Distr.: Limited_x000d_
30 June 2022_x000d_
Original: English</dc:description>
  <cp:lastModifiedBy>Gamal Mohamed Abdelhamid Mahmoud</cp:lastModifiedBy>
  <cp:revision>2</cp:revision>
  <dcterms:created xsi:type="dcterms:W3CDTF">2022-06-30T12:08:00Z</dcterms:created>
  <dcterms:modified xsi:type="dcterms:W3CDTF">2022-06-30T12:08:00Z</dcterms:modified>
  <cp:category>Final</cp:category>
</cp:coreProperties>
</file>