
<file path=[Content_Types].xml><?xml version="1.0" encoding="utf-8"?>
<Types xmlns="http://schemas.openxmlformats.org/package/2006/content-types">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pPr w:leftFromText="142" w:rightFromText="142" w:vertAnchor="page" w:horzAnchor="page" w:tblpX="1134" w:tblpY="284"/>
        <w:tblOverlap w:val="never"/>
        <w:tblW w:w="9639" w:type="dxa"/>
        <w:tblLayout w:type="fixed"/>
        <w:tblCellMar>
          <w:left w:w="0" w:type="dxa"/>
          <w:right w:w="0" w:type="dxa"/>
        </w:tblCellMar>
        <w:tblLook w:val="01E0" w:firstRow="1" w:lastRow="1" w:firstColumn="1" w:lastColumn="1" w:noHBand="0" w:noVBand="0"/>
      </w:tblPr>
      <w:tblGrid>
        <w:gridCol w:w="1276"/>
        <w:gridCol w:w="2268"/>
        <w:gridCol w:w="3260"/>
        <w:gridCol w:w="2835"/>
      </w:tblGrid>
      <w:tr w:rsidR="003D7914" w:rsidRPr="00DB58B5" w14:paraId="022A9FD4" w14:textId="77777777" w:rsidTr="00DD35CF">
        <w:trPr>
          <w:trHeight w:hRule="exact" w:val="851"/>
        </w:trPr>
        <w:tc>
          <w:tcPr>
            <w:tcW w:w="1276" w:type="dxa"/>
            <w:tcBorders>
              <w:bottom w:val="single" w:sz="4" w:space="0" w:color="auto"/>
            </w:tcBorders>
          </w:tcPr>
          <w:p w14:paraId="1E062C13" w14:textId="77777777" w:rsidR="003D7914" w:rsidRPr="00DB58B5" w:rsidRDefault="003D7914" w:rsidP="00E171BB"/>
        </w:tc>
        <w:tc>
          <w:tcPr>
            <w:tcW w:w="2268" w:type="dxa"/>
            <w:tcBorders>
              <w:bottom w:val="single" w:sz="4" w:space="0" w:color="auto"/>
            </w:tcBorders>
            <w:vAlign w:val="bottom"/>
          </w:tcPr>
          <w:p w14:paraId="6DD5A825" w14:textId="77777777" w:rsidR="003D7914" w:rsidRPr="00DB58B5" w:rsidRDefault="003D7914" w:rsidP="00DD35CF">
            <w:pPr>
              <w:spacing w:after="80" w:line="300" w:lineRule="exact"/>
              <w:rPr>
                <w:sz w:val="28"/>
              </w:rPr>
            </w:pPr>
            <w:r w:rsidRPr="00DB58B5">
              <w:rPr>
                <w:sz w:val="28"/>
              </w:rPr>
              <w:t>Nations Unies</w:t>
            </w:r>
          </w:p>
        </w:tc>
        <w:tc>
          <w:tcPr>
            <w:tcW w:w="6095" w:type="dxa"/>
            <w:gridSpan w:val="2"/>
            <w:tcBorders>
              <w:bottom w:val="single" w:sz="4" w:space="0" w:color="auto"/>
            </w:tcBorders>
            <w:vAlign w:val="bottom"/>
          </w:tcPr>
          <w:p w14:paraId="38A08C14" w14:textId="198609C2" w:rsidR="003D7914" w:rsidRPr="00DB58B5" w:rsidRDefault="00E171BB" w:rsidP="00E171BB">
            <w:pPr>
              <w:jc w:val="right"/>
            </w:pPr>
            <w:r w:rsidRPr="00E171BB">
              <w:rPr>
                <w:sz w:val="40"/>
              </w:rPr>
              <w:t>CMW</w:t>
            </w:r>
            <w:r>
              <w:t>/C/GIN/QPR/2</w:t>
            </w:r>
          </w:p>
        </w:tc>
      </w:tr>
      <w:tr w:rsidR="003D7914" w:rsidRPr="00DB58B5" w14:paraId="75F3923D" w14:textId="77777777" w:rsidTr="00DD35CF">
        <w:trPr>
          <w:trHeight w:hRule="exact" w:val="2835"/>
        </w:trPr>
        <w:tc>
          <w:tcPr>
            <w:tcW w:w="1276" w:type="dxa"/>
            <w:tcBorders>
              <w:top w:val="single" w:sz="4" w:space="0" w:color="auto"/>
              <w:bottom w:val="single" w:sz="12" w:space="0" w:color="auto"/>
            </w:tcBorders>
          </w:tcPr>
          <w:p w14:paraId="38424336" w14:textId="77777777" w:rsidR="003D7914" w:rsidRPr="00DB58B5" w:rsidRDefault="003D7914" w:rsidP="00DD35CF">
            <w:pPr>
              <w:spacing w:before="120"/>
              <w:jc w:val="center"/>
            </w:pPr>
            <w:r>
              <w:rPr>
                <w:noProof/>
                <w:lang w:eastAsia="fr-CH"/>
              </w:rPr>
              <w:drawing>
                <wp:inline distT="0" distB="0" distL="0" distR="0" wp14:anchorId="19AAAA58" wp14:editId="4355AD9D">
                  <wp:extent cx="714375" cy="590550"/>
                  <wp:effectExtent l="0" t="0" r="9525" b="0"/>
                  <wp:docPr id="1" name="Imag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14:paraId="61193520" w14:textId="77777777" w:rsidR="003D7914" w:rsidRPr="00740562" w:rsidRDefault="003D7914" w:rsidP="00DD35CF">
            <w:pPr>
              <w:spacing w:before="120" w:line="380" w:lineRule="exact"/>
              <w:rPr>
                <w:b/>
                <w:sz w:val="40"/>
                <w:szCs w:val="40"/>
              </w:rPr>
            </w:pPr>
            <w:r>
              <w:rPr>
                <w:b/>
                <w:sz w:val="34"/>
                <w:szCs w:val="34"/>
              </w:rPr>
              <w:t>Convention internationale</w:t>
            </w:r>
            <w:r>
              <w:rPr>
                <w:b/>
                <w:sz w:val="34"/>
                <w:szCs w:val="34"/>
              </w:rPr>
              <w:br/>
              <w:t>sur la protection des droits</w:t>
            </w:r>
            <w:r>
              <w:rPr>
                <w:b/>
                <w:sz w:val="34"/>
                <w:szCs w:val="34"/>
              </w:rPr>
              <w:br/>
              <w:t>de tous les travailleurs</w:t>
            </w:r>
            <w:r>
              <w:rPr>
                <w:b/>
                <w:sz w:val="34"/>
                <w:szCs w:val="34"/>
              </w:rPr>
              <w:br/>
              <w:t>migrants et des membres</w:t>
            </w:r>
            <w:r>
              <w:rPr>
                <w:b/>
                <w:sz w:val="34"/>
                <w:szCs w:val="34"/>
              </w:rPr>
              <w:br/>
              <w:t>de leur famille</w:t>
            </w:r>
          </w:p>
        </w:tc>
        <w:tc>
          <w:tcPr>
            <w:tcW w:w="2835" w:type="dxa"/>
            <w:tcBorders>
              <w:top w:val="single" w:sz="4" w:space="0" w:color="auto"/>
              <w:bottom w:val="single" w:sz="12" w:space="0" w:color="auto"/>
            </w:tcBorders>
          </w:tcPr>
          <w:p w14:paraId="19853AF5" w14:textId="77777777" w:rsidR="003D7914" w:rsidRDefault="00E171BB" w:rsidP="00DD35CF">
            <w:pPr>
              <w:spacing w:before="240"/>
            </w:pPr>
            <w:proofErr w:type="spellStart"/>
            <w:r>
              <w:t>Distr</w:t>
            </w:r>
            <w:proofErr w:type="spellEnd"/>
            <w:r>
              <w:t>. générale</w:t>
            </w:r>
          </w:p>
          <w:p w14:paraId="1F4C115F" w14:textId="77777777" w:rsidR="00E171BB" w:rsidRDefault="00E171BB" w:rsidP="00E171BB">
            <w:pPr>
              <w:spacing w:line="240" w:lineRule="exact"/>
            </w:pPr>
            <w:r>
              <w:t>13 mai 2025</w:t>
            </w:r>
          </w:p>
          <w:p w14:paraId="3D26BC33" w14:textId="61C91EBC" w:rsidR="00E171BB" w:rsidRDefault="00E171BB" w:rsidP="00E171BB">
            <w:pPr>
              <w:spacing w:line="240" w:lineRule="exact"/>
            </w:pPr>
          </w:p>
          <w:p w14:paraId="35393D63" w14:textId="77777777" w:rsidR="00E171BB" w:rsidRDefault="00E171BB" w:rsidP="00E171BB">
            <w:pPr>
              <w:spacing w:line="240" w:lineRule="exact"/>
            </w:pPr>
            <w:r>
              <w:t>Original : français</w:t>
            </w:r>
          </w:p>
          <w:p w14:paraId="1F17FA8C" w14:textId="6E9C18D2" w:rsidR="00E171BB" w:rsidRPr="00DB58B5" w:rsidRDefault="00E171BB" w:rsidP="00E171BB">
            <w:pPr>
              <w:spacing w:line="240" w:lineRule="exact"/>
            </w:pPr>
            <w:r>
              <w:t>Anglais, espagnol et français seulement</w:t>
            </w:r>
          </w:p>
        </w:tc>
      </w:tr>
    </w:tbl>
    <w:p w14:paraId="137185FA" w14:textId="77777777" w:rsidR="00E171BB" w:rsidRPr="006E0D40" w:rsidRDefault="00E171BB" w:rsidP="00E85286">
      <w:pPr>
        <w:spacing w:before="120"/>
        <w:rPr>
          <w:b/>
          <w:sz w:val="24"/>
          <w:szCs w:val="24"/>
        </w:rPr>
      </w:pPr>
      <w:r w:rsidRPr="006E0D40">
        <w:rPr>
          <w:b/>
          <w:sz w:val="24"/>
          <w:szCs w:val="24"/>
        </w:rPr>
        <w:t xml:space="preserve">Comité pour la protection des droits de tous les </w:t>
      </w:r>
      <w:r w:rsidRPr="006E0D40">
        <w:rPr>
          <w:b/>
          <w:sz w:val="24"/>
          <w:szCs w:val="24"/>
        </w:rPr>
        <w:br/>
        <w:t>travailleurs migrants et des membres de leur famille</w:t>
      </w:r>
    </w:p>
    <w:p w14:paraId="5A40C852" w14:textId="7A52587D" w:rsidR="00E171BB" w:rsidRPr="00E52E0C" w:rsidRDefault="00E171BB" w:rsidP="00E85286">
      <w:pPr>
        <w:pStyle w:val="HChG"/>
      </w:pPr>
      <w:r w:rsidRPr="0084046C">
        <w:tab/>
      </w:r>
      <w:r w:rsidRPr="0084046C">
        <w:tab/>
      </w:r>
      <w:r w:rsidRPr="008B6241">
        <w:rPr>
          <w:lang w:val="fr-FR"/>
        </w:rPr>
        <w:t xml:space="preserve">Liste de points établie avant la soumission </w:t>
      </w:r>
      <w:r>
        <w:rPr>
          <w:lang w:val="fr-FR"/>
        </w:rPr>
        <w:br/>
      </w:r>
      <w:r w:rsidRPr="008B6241">
        <w:rPr>
          <w:lang w:val="fr-FR"/>
        </w:rPr>
        <w:t>du</w:t>
      </w:r>
      <w:r>
        <w:rPr>
          <w:lang w:val="fr-FR"/>
        </w:rPr>
        <w:t xml:space="preserve"> deuxième rapport périodique de la Guinée</w:t>
      </w:r>
      <w:r w:rsidRPr="00E171BB">
        <w:rPr>
          <w:rStyle w:val="Appelnotedebasdep"/>
          <w:b w:val="0"/>
          <w:bCs/>
          <w:sz w:val="20"/>
          <w:vertAlign w:val="baseline"/>
        </w:rPr>
        <w:footnoteReference w:customMarkFollows="1" w:id="2"/>
        <w:t>*</w:t>
      </w:r>
    </w:p>
    <w:p w14:paraId="084E1106" w14:textId="77777777" w:rsidR="00E171BB" w:rsidRPr="007C6ED9" w:rsidRDefault="00E171BB" w:rsidP="00E171BB">
      <w:pPr>
        <w:pStyle w:val="HChG"/>
      </w:pPr>
      <w:r w:rsidRPr="007C6ED9">
        <w:tab/>
      </w:r>
      <w:r w:rsidRPr="007C6ED9">
        <w:tab/>
        <w:t>Section I</w:t>
      </w:r>
    </w:p>
    <w:p w14:paraId="35EFBB91" w14:textId="6E569EA1" w:rsidR="00E171BB" w:rsidRPr="007C6ED9" w:rsidRDefault="00E171BB" w:rsidP="00E171BB">
      <w:pPr>
        <w:pStyle w:val="H1G"/>
      </w:pPr>
      <w:r w:rsidRPr="007C6ED9">
        <w:tab/>
        <w:t>A.</w:t>
      </w:r>
      <w:r w:rsidRPr="007C6ED9">
        <w:tab/>
        <w:t>Renseignements d</w:t>
      </w:r>
      <w:r w:rsidR="00466E87">
        <w:t>’</w:t>
      </w:r>
      <w:r w:rsidRPr="007C6ED9">
        <w:t>ordre général</w:t>
      </w:r>
    </w:p>
    <w:p w14:paraId="48FB7FD8" w14:textId="77777777" w:rsidR="00E171BB" w:rsidRPr="007C6ED9" w:rsidRDefault="00E171BB" w:rsidP="00E171BB">
      <w:pPr>
        <w:pStyle w:val="SingleTxtG"/>
      </w:pPr>
      <w:r w:rsidRPr="007C6ED9">
        <w:t>1.</w:t>
      </w:r>
      <w:r w:rsidRPr="007C6ED9">
        <w:tab/>
        <w:t>Fournir des informations sur les nouvelles dispositions constitutionnelles ou les modifications du cadre juridique national se rapportant à la Convention en général et plus spécifiquement en ce qui concerne :</w:t>
      </w:r>
    </w:p>
    <w:p w14:paraId="736456F6" w14:textId="5EDE83FA" w:rsidR="00E171BB" w:rsidRPr="007C6ED9" w:rsidRDefault="00E171BB" w:rsidP="00E171BB">
      <w:pPr>
        <w:pStyle w:val="SingleTxtG"/>
        <w:ind w:firstLine="567"/>
      </w:pPr>
      <w:r w:rsidRPr="007C6ED9">
        <w:t>a)</w:t>
      </w:r>
      <w:r w:rsidRPr="007C6ED9">
        <w:tab/>
        <w:t>Les mesures prises par l</w:t>
      </w:r>
      <w:r w:rsidR="00466E87">
        <w:t>’</w:t>
      </w:r>
      <w:r w:rsidRPr="007C6ED9">
        <w:t xml:space="preserve">État </w:t>
      </w:r>
      <w:r>
        <w:t>Partie</w:t>
      </w:r>
      <w:r w:rsidRPr="007C6ED9">
        <w:t xml:space="preserve"> pour mettre sa législation en conformité avec les dispositions de la Convention, y compris des informations sur l</w:t>
      </w:r>
      <w:r w:rsidR="00466E87">
        <w:t>’</w:t>
      </w:r>
      <w:r w:rsidRPr="007C6ED9">
        <w:t>état d</w:t>
      </w:r>
      <w:r w:rsidR="00466E87">
        <w:t>’</w:t>
      </w:r>
      <w:r w:rsidRPr="007C6ED9">
        <w:t xml:space="preserve">avancement du nouveau </w:t>
      </w:r>
      <w:r>
        <w:t>C</w:t>
      </w:r>
      <w:r w:rsidRPr="007C6ED9">
        <w:t>ode du travail</w:t>
      </w:r>
      <w:r>
        <w:t>,</w:t>
      </w:r>
      <w:r w:rsidRPr="007C6ED9">
        <w:t xml:space="preserve"> sur les possibles réformes de la loi L/94/019/CTRN </w:t>
      </w:r>
      <w:r>
        <w:t>du 13 juin </w:t>
      </w:r>
      <w:r w:rsidRPr="007C6ED9">
        <w:t>1994 sur les conditions d</w:t>
      </w:r>
      <w:r w:rsidR="00466E87">
        <w:t>’</w:t>
      </w:r>
      <w:r w:rsidRPr="007C6ED9">
        <w:t>entrée et de séjour des étrangers en Guinée, notamment ses articles</w:t>
      </w:r>
      <w:r w:rsidR="00160D15">
        <w:t> </w:t>
      </w:r>
      <w:r w:rsidRPr="007C6ED9">
        <w:t xml:space="preserve">40, 51, 60, </w:t>
      </w:r>
      <w:r>
        <w:t xml:space="preserve">64, </w:t>
      </w:r>
      <w:r w:rsidRPr="007C6ED9">
        <w:t>70 et 73</w:t>
      </w:r>
      <w:r w:rsidRPr="00AD44F6">
        <w:rPr>
          <w:rStyle w:val="Appelnotedebasdep"/>
        </w:rPr>
        <w:footnoteReference w:id="3"/>
      </w:r>
      <w:r>
        <w:t>,</w:t>
      </w:r>
      <w:r w:rsidRPr="007C6ED9">
        <w:t xml:space="preserve"> et sur l</w:t>
      </w:r>
      <w:r w:rsidR="00466E87">
        <w:t>’</w:t>
      </w:r>
      <w:r w:rsidRPr="007C6ED9">
        <w:t>état d</w:t>
      </w:r>
      <w:r w:rsidR="00466E87">
        <w:t>’</w:t>
      </w:r>
      <w:r w:rsidRPr="007C6ED9">
        <w:t>avancement des décrets d</w:t>
      </w:r>
      <w:r w:rsidR="00466E87">
        <w:t>’</w:t>
      </w:r>
      <w:r w:rsidRPr="007C6ED9">
        <w:t>application permettant de donner pleinement effet à la loi L/2018/050/AN</w:t>
      </w:r>
      <w:r>
        <w:t xml:space="preserve"> du 20 juin 2018</w:t>
      </w:r>
      <w:r w:rsidRPr="007C6ED9">
        <w:t xml:space="preserve"> sur le droit d</w:t>
      </w:r>
      <w:r w:rsidR="00466E87">
        <w:t>’</w:t>
      </w:r>
      <w:r w:rsidRPr="007C6ED9">
        <w:t>asile</w:t>
      </w:r>
      <w:r>
        <w:t> ;</w:t>
      </w:r>
    </w:p>
    <w:p w14:paraId="6B68FEDF" w14:textId="0FE9EF4E" w:rsidR="00E171BB" w:rsidRPr="007C6ED9" w:rsidRDefault="00E171BB" w:rsidP="00E171BB">
      <w:pPr>
        <w:pStyle w:val="SingleTxtG"/>
        <w:ind w:firstLine="567"/>
      </w:pPr>
      <w:r w:rsidRPr="007C6ED9">
        <w:t>b)</w:t>
      </w:r>
      <w:r w:rsidRPr="007C6ED9">
        <w:tab/>
        <w:t>La nature et la portée des accords bilatéraux et multilatéraux conclus avec d</w:t>
      </w:r>
      <w:r w:rsidR="00466E87">
        <w:t>’</w:t>
      </w:r>
      <w:r w:rsidRPr="007C6ED9">
        <w:t>autres pays concernant les droits des travailleurs migrants et des membres de leur famille en vertu de la Convention</w:t>
      </w:r>
      <w:r>
        <w:t>, en précisant</w:t>
      </w:r>
      <w:r w:rsidRPr="007C6ED9">
        <w:t xml:space="preserve"> comment les accords mis en place protègent les droits des travailleurs migrants dans les pays de transit et de destination, en particulier en ce qui concerne la détention, le rapatriement ou l</w:t>
      </w:r>
      <w:r w:rsidR="00466E87">
        <w:t>’</w:t>
      </w:r>
      <w:r w:rsidRPr="007C6ED9">
        <w:t>expulsion, les procédures de regroupement familial et la sécurité sociale.</w:t>
      </w:r>
    </w:p>
    <w:p w14:paraId="3606933E" w14:textId="197A0136" w:rsidR="00E171BB" w:rsidRPr="007C6ED9" w:rsidRDefault="00E171BB" w:rsidP="00E171BB">
      <w:pPr>
        <w:pStyle w:val="SingleTxtG"/>
      </w:pPr>
      <w:r w:rsidRPr="007C6ED9">
        <w:t>2.</w:t>
      </w:r>
      <w:r w:rsidRPr="007C6ED9">
        <w:tab/>
        <w:t xml:space="preserve">Fournir des informations, </w:t>
      </w:r>
      <w:r>
        <w:t>statistiques</w:t>
      </w:r>
      <w:r w:rsidRPr="007C6ED9">
        <w:t xml:space="preserve"> à l</w:t>
      </w:r>
      <w:r w:rsidR="00466E87">
        <w:t>’</w:t>
      </w:r>
      <w:r w:rsidRPr="007C6ED9">
        <w:t>appui, sur la mise en œuvre de la Politique nationale de migration adoptée en 2021</w:t>
      </w:r>
      <w:r>
        <w:t>,</w:t>
      </w:r>
      <w:r w:rsidRPr="007C6ED9">
        <w:t xml:space="preserve"> et l</w:t>
      </w:r>
      <w:r w:rsidR="00466E87">
        <w:t>’</w:t>
      </w:r>
      <w:r w:rsidRPr="007C6ED9">
        <w:t>état d</w:t>
      </w:r>
      <w:r w:rsidR="00466E87">
        <w:t>’</w:t>
      </w:r>
      <w:r w:rsidRPr="007C6ED9">
        <w:t xml:space="preserve">avancement du Cadre national de concertation sur la migration, </w:t>
      </w:r>
      <w:r>
        <w:t>lancé</w:t>
      </w:r>
      <w:r w:rsidRPr="007C6ED9">
        <w:t xml:space="preserve"> en 2023 </w:t>
      </w:r>
      <w:r>
        <w:t xml:space="preserve">et </w:t>
      </w:r>
      <w:r w:rsidRPr="007C6ED9">
        <w:t>qui a pour but la création d</w:t>
      </w:r>
      <w:r w:rsidR="00466E87">
        <w:t>’</w:t>
      </w:r>
      <w:r w:rsidRPr="007C6ED9">
        <w:t>un système global et coordonné pour une meilleure gouvernance des migrations.</w:t>
      </w:r>
    </w:p>
    <w:p w14:paraId="354B9075" w14:textId="5E66F4B9" w:rsidR="00E171BB" w:rsidRPr="007C6ED9" w:rsidRDefault="00E171BB" w:rsidP="00E171BB">
      <w:pPr>
        <w:pStyle w:val="SingleTxtG"/>
      </w:pPr>
      <w:r w:rsidRPr="007C6ED9">
        <w:t>3.</w:t>
      </w:r>
      <w:r w:rsidRPr="007C6ED9">
        <w:tab/>
        <w:t>Donner des renseignements sur les mesures prises par l</w:t>
      </w:r>
      <w:r w:rsidR="00466E87">
        <w:t>’</w:t>
      </w:r>
      <w:r w:rsidRPr="007C6ED9">
        <w:t xml:space="preserve">État </w:t>
      </w:r>
      <w:r>
        <w:t>Partie</w:t>
      </w:r>
      <w:r w:rsidRPr="007C6ED9">
        <w:t xml:space="preserve"> pour mettre en place un système cohérent, robuste et complet de collecte de données ventilées sur les migrations de main-d</w:t>
      </w:r>
      <w:r w:rsidR="00466E87">
        <w:t>’</w:t>
      </w:r>
      <w:r w:rsidRPr="007C6ED9">
        <w:t>œuvre, y compris des mesures visant à rendre ces informations publiques</w:t>
      </w:r>
      <w:r>
        <w:t>,</w:t>
      </w:r>
      <w:r w:rsidRPr="007C6ED9">
        <w:t xml:space="preserve"> et sur l</w:t>
      </w:r>
      <w:r w:rsidR="00466E87">
        <w:t>’</w:t>
      </w:r>
      <w:r w:rsidRPr="007C6ED9">
        <w:t>état d</w:t>
      </w:r>
      <w:r w:rsidR="00466E87">
        <w:t>’</w:t>
      </w:r>
      <w:r w:rsidRPr="007C6ED9">
        <w:t xml:space="preserve">avancement du recensement national, permettant une cartographie de la population </w:t>
      </w:r>
      <w:r>
        <w:t xml:space="preserve">migrante </w:t>
      </w:r>
      <w:r w:rsidRPr="007C6ED9">
        <w:t>sur le territoire de l</w:t>
      </w:r>
      <w:r w:rsidR="00466E87">
        <w:t>’</w:t>
      </w:r>
      <w:r w:rsidRPr="007C6ED9">
        <w:t xml:space="preserve">État </w:t>
      </w:r>
      <w:r>
        <w:t>Partie</w:t>
      </w:r>
      <w:r w:rsidRPr="007C6ED9">
        <w:t>.</w:t>
      </w:r>
    </w:p>
    <w:p w14:paraId="2EF1B7AA" w14:textId="763AAEC9" w:rsidR="00E171BB" w:rsidRPr="007C6ED9" w:rsidRDefault="00E171BB" w:rsidP="00E171BB">
      <w:pPr>
        <w:pStyle w:val="SingleTxtG"/>
      </w:pPr>
      <w:r w:rsidRPr="007C6ED9">
        <w:t>4.</w:t>
      </w:r>
      <w:r w:rsidRPr="007C6ED9">
        <w:tab/>
        <w:t>Donner des renseignements actualisés sur l</w:t>
      </w:r>
      <w:r w:rsidR="00466E87">
        <w:t>’</w:t>
      </w:r>
      <w:r w:rsidRPr="007C6ED9">
        <w:t>organe gouvernemental chargé de coordonner la mise en œuvre de la Convention ainsi que sur les organes nationaux de coordination dans les différents domaines pertinents, notamment le Comité national de lutte contre la traite des personnes et pratiques assimilées ou l</w:t>
      </w:r>
      <w:r w:rsidR="00466E87">
        <w:t>’</w:t>
      </w:r>
      <w:r w:rsidRPr="007C6ED9">
        <w:t xml:space="preserve">Agence </w:t>
      </w:r>
      <w:r>
        <w:t>n</w:t>
      </w:r>
      <w:r w:rsidRPr="007C6ED9">
        <w:t xml:space="preserve">ationale de </w:t>
      </w:r>
      <w:r>
        <w:t>g</w:t>
      </w:r>
      <w:r w:rsidRPr="007C6ED9">
        <w:t xml:space="preserve">estion des </w:t>
      </w:r>
      <w:r>
        <w:lastRenderedPageBreak/>
        <w:t>u</w:t>
      </w:r>
      <w:r w:rsidRPr="007C6ED9">
        <w:t xml:space="preserve">rgences et </w:t>
      </w:r>
      <w:r>
        <w:t>c</w:t>
      </w:r>
      <w:r w:rsidRPr="007C6ED9">
        <w:t xml:space="preserve">atastrophes </w:t>
      </w:r>
      <w:r>
        <w:t>h</w:t>
      </w:r>
      <w:r w:rsidRPr="007C6ED9">
        <w:t>umanitaires. Fournir des informations sur les mesures prises pour améliorer la coordination à tous les échelons de l</w:t>
      </w:r>
      <w:r w:rsidR="00466E87">
        <w:t>’</w:t>
      </w:r>
      <w:r w:rsidRPr="007C6ED9">
        <w:t xml:space="preserve">État, y compris en milieu rural et dans les zones frontalières, et sur les ressources humaines, financières et techniques allouées aux organes concernés afin de promouvoir, de protéger et de faire respecter les droits des travailleurs migrants et des membres de leur famille. </w:t>
      </w:r>
    </w:p>
    <w:p w14:paraId="0A1FC276" w14:textId="77777777" w:rsidR="00E171BB" w:rsidRPr="007C6ED9" w:rsidRDefault="00E171BB" w:rsidP="00E171BB">
      <w:pPr>
        <w:pStyle w:val="SingleTxtG"/>
      </w:pPr>
      <w:r w:rsidRPr="007C6ED9">
        <w:t>5.</w:t>
      </w:r>
      <w:r w:rsidRPr="007C6ED9">
        <w:tab/>
        <w:t>Indiquer les mesures prises pour :</w:t>
      </w:r>
    </w:p>
    <w:p w14:paraId="7F73EA33" w14:textId="589E7DA3" w:rsidR="00E171BB" w:rsidRPr="007C6ED9" w:rsidRDefault="00E171BB" w:rsidP="00E171BB">
      <w:pPr>
        <w:pStyle w:val="SingleTxtG"/>
        <w:ind w:firstLine="567"/>
      </w:pPr>
      <w:r w:rsidRPr="007C6ED9">
        <w:t>a)</w:t>
      </w:r>
      <w:r w:rsidRPr="007C6ED9">
        <w:tab/>
        <w:t>Faire les déclarations prévues aux articles 76 et 77 de la Convention</w:t>
      </w:r>
      <w:r w:rsidRPr="00AD44F6">
        <w:rPr>
          <w:rStyle w:val="Appelnotedebasdep"/>
        </w:rPr>
        <w:footnoteReference w:id="4"/>
      </w:r>
      <w:r w:rsidRPr="007C6ED9">
        <w:t> ;</w:t>
      </w:r>
    </w:p>
    <w:p w14:paraId="1CECB5B8" w14:textId="42BE1679" w:rsidR="00E171BB" w:rsidRDefault="00E171BB" w:rsidP="00E171BB">
      <w:pPr>
        <w:pStyle w:val="SingleTxtG"/>
        <w:ind w:firstLine="567"/>
      </w:pPr>
      <w:r w:rsidRPr="007C6ED9">
        <w:t>b)</w:t>
      </w:r>
      <w:r w:rsidRPr="007C6ED9">
        <w:tab/>
        <w:t>Ratifier la Convention de 1949 sur les travailleurs migrants (révisée) (n</w:t>
      </w:r>
      <w:r w:rsidRPr="00AD44F6">
        <w:rPr>
          <w:vertAlign w:val="superscript"/>
        </w:rPr>
        <w:t>o</w:t>
      </w:r>
      <w:r w:rsidRPr="007C6ED9">
        <w:t> 97), la Convention de 1969 sur l</w:t>
      </w:r>
      <w:r w:rsidR="00466E87">
        <w:t>’</w:t>
      </w:r>
      <w:r w:rsidRPr="007C6ED9">
        <w:t>inspection du travail (agriculture) (n</w:t>
      </w:r>
      <w:r w:rsidRPr="00AD44F6">
        <w:rPr>
          <w:vertAlign w:val="superscript"/>
        </w:rPr>
        <w:t>o</w:t>
      </w:r>
      <w:r w:rsidRPr="007C6ED9">
        <w:t> 129)</w:t>
      </w:r>
      <w:r>
        <w:t>,</w:t>
      </w:r>
      <w:r w:rsidRPr="004C41D7">
        <w:t xml:space="preserve"> </w:t>
      </w:r>
      <w:r>
        <w:t>la</w:t>
      </w:r>
      <w:r w:rsidRPr="007C0697">
        <w:t xml:space="preserve"> Convention </w:t>
      </w:r>
      <w:r>
        <w:t xml:space="preserve">de 1981 </w:t>
      </w:r>
      <w:r w:rsidRPr="007C0697">
        <w:t>sur la sécurité et la santé des travailleurs</w:t>
      </w:r>
      <w:r>
        <w:t xml:space="preserve"> </w:t>
      </w:r>
      <w:r w:rsidRPr="007C0697">
        <w:t>(n</w:t>
      </w:r>
      <w:r w:rsidR="00160D15" w:rsidRPr="00160D15">
        <w:rPr>
          <w:vertAlign w:val="superscript"/>
        </w:rPr>
        <w:t>o</w:t>
      </w:r>
      <w:r w:rsidR="00160D15">
        <w:t> </w:t>
      </w:r>
      <w:r w:rsidRPr="007C0697">
        <w:t>155)</w:t>
      </w:r>
      <w:r>
        <w:t>,</w:t>
      </w:r>
      <w:r w:rsidRPr="009D74C7">
        <w:t xml:space="preserve"> </w:t>
      </w:r>
      <w:r w:rsidRPr="007C6ED9">
        <w:t>la Convention de 2019 sur la violence et le harcèlement (n</w:t>
      </w:r>
      <w:r w:rsidRPr="00A25974">
        <w:rPr>
          <w:vertAlign w:val="superscript"/>
        </w:rPr>
        <w:t>o</w:t>
      </w:r>
      <w:r w:rsidRPr="007C6ED9">
        <w:t> 190)</w:t>
      </w:r>
      <w:r>
        <w:t xml:space="preserve"> et le </w:t>
      </w:r>
      <w:r w:rsidRPr="00F05B8E">
        <w:t xml:space="preserve">Protocole de 2014 relatif à la </w:t>
      </w:r>
      <w:r>
        <w:t>C</w:t>
      </w:r>
      <w:r w:rsidRPr="00F05B8E">
        <w:t xml:space="preserve">onvention </w:t>
      </w:r>
      <w:r>
        <w:t xml:space="preserve">de 1930 </w:t>
      </w:r>
      <w:r w:rsidRPr="00F05B8E">
        <w:t>sur le travail forcé</w:t>
      </w:r>
      <w:r>
        <w:t xml:space="preserve"> (n</w:t>
      </w:r>
      <w:r w:rsidR="00160D15">
        <w:rPr>
          <w:vertAlign w:val="superscript"/>
        </w:rPr>
        <w:t>o</w:t>
      </w:r>
      <w:r w:rsidR="00160D15" w:rsidRPr="00160D15">
        <w:t> </w:t>
      </w:r>
      <w:r>
        <w:t xml:space="preserve">19) </w:t>
      </w:r>
      <w:r w:rsidRPr="007C6ED9">
        <w:t>de l</w:t>
      </w:r>
      <w:r w:rsidR="00466E87">
        <w:t>’</w:t>
      </w:r>
      <w:r w:rsidRPr="007C6ED9">
        <w:t>Organisation internationale du Travail</w:t>
      </w:r>
      <w:r>
        <w:t xml:space="preserve"> (OIT) ;</w:t>
      </w:r>
    </w:p>
    <w:p w14:paraId="40040BD1" w14:textId="3C19BA27" w:rsidR="00E171BB" w:rsidRPr="00222AF9" w:rsidRDefault="00E171BB" w:rsidP="00E171BB">
      <w:pPr>
        <w:pStyle w:val="SingleTxtG"/>
        <w:ind w:firstLine="567"/>
      </w:pPr>
      <w:r w:rsidRPr="00222AF9">
        <w:t>c)</w:t>
      </w:r>
      <w:r w:rsidRPr="00222AF9">
        <w:tab/>
        <w:t>Mettre en œuvre la Convention de 2011 sur les travailleuses et travailleurs domestiques (n</w:t>
      </w:r>
      <w:r w:rsidR="00160D15" w:rsidRPr="00160D15">
        <w:rPr>
          <w:vertAlign w:val="superscript"/>
        </w:rPr>
        <w:t>o</w:t>
      </w:r>
      <w:r w:rsidR="00160D15">
        <w:t> </w:t>
      </w:r>
      <w:r w:rsidRPr="00222AF9">
        <w:t xml:space="preserve">189) </w:t>
      </w:r>
      <w:r>
        <w:t>de l</w:t>
      </w:r>
      <w:r w:rsidR="00466E87">
        <w:t>’</w:t>
      </w:r>
      <w:r>
        <w:t xml:space="preserve">OIT, </w:t>
      </w:r>
      <w:r w:rsidRPr="00222AF9">
        <w:t>que l</w:t>
      </w:r>
      <w:r w:rsidR="00466E87">
        <w:t>’</w:t>
      </w:r>
      <w:r>
        <w:t>État</w:t>
      </w:r>
      <w:r w:rsidRPr="00222AF9">
        <w:t xml:space="preserve"> </w:t>
      </w:r>
      <w:r>
        <w:t>Partie</w:t>
      </w:r>
      <w:r w:rsidRPr="00222AF9">
        <w:t xml:space="preserve"> a ratifiée</w:t>
      </w:r>
      <w:r>
        <w:t> ;</w:t>
      </w:r>
    </w:p>
    <w:p w14:paraId="76461EB3" w14:textId="537ECC99" w:rsidR="00E171BB" w:rsidRPr="007C6ED9" w:rsidRDefault="00E171BB" w:rsidP="00E171BB">
      <w:pPr>
        <w:pStyle w:val="SingleTxtG"/>
        <w:ind w:firstLine="567"/>
      </w:pPr>
      <w:r>
        <w:t>d</w:t>
      </w:r>
      <w:r w:rsidRPr="007C6ED9">
        <w:t>)</w:t>
      </w:r>
      <w:r w:rsidRPr="007C6ED9">
        <w:tab/>
        <w:t>Procéder à la réforme de la Commission nationale des droits de l</w:t>
      </w:r>
      <w:r w:rsidR="00466E87">
        <w:t>’</w:t>
      </w:r>
      <w:r w:rsidRPr="007C6ED9">
        <w:t xml:space="preserve">homme afin, </w:t>
      </w:r>
      <w:r>
        <w:t xml:space="preserve">conformément aux </w:t>
      </w:r>
      <w:r w:rsidRPr="00D67586">
        <w:t>Principes concernant le statut des institutions nationales pour la promotion et la protection des droits de l</w:t>
      </w:r>
      <w:r w:rsidR="00466E87">
        <w:t>’</w:t>
      </w:r>
      <w:r w:rsidRPr="00D67586">
        <w:t xml:space="preserve">homme </w:t>
      </w:r>
      <w:r>
        <w:t>(Principes de Paris), de renforcer son indépendance, de la</w:t>
      </w:r>
      <w:r w:rsidRPr="007C6ED9">
        <w:t xml:space="preserve"> doter d</w:t>
      </w:r>
      <w:r w:rsidR="00466E87">
        <w:t>’</w:t>
      </w:r>
      <w:r w:rsidRPr="007C6ED9">
        <w:t>un mandat étendu en matière de promotion et de protection des droits des travailleurs migrants et des membres de leur famille, y compris d</w:t>
      </w:r>
      <w:r w:rsidR="00466E87">
        <w:t>’</w:t>
      </w:r>
      <w:r w:rsidRPr="007C6ED9">
        <w:t>un mécanisme de plainte et d</w:t>
      </w:r>
      <w:r w:rsidR="00466E87">
        <w:t>’</w:t>
      </w:r>
      <w:r w:rsidRPr="007C6ED9">
        <w:t>un mandat aux fins de visiter les centres de détention et autres lieux d</w:t>
      </w:r>
      <w:r w:rsidR="00466E87">
        <w:t>’</w:t>
      </w:r>
      <w:r w:rsidRPr="007C6ED9">
        <w:t xml:space="preserve">accueil de migrants, et </w:t>
      </w:r>
      <w:r>
        <w:t xml:space="preserve">de </w:t>
      </w:r>
      <w:r w:rsidRPr="007C6ED9">
        <w:t>lui allouer des moyens financiers, humains et techniques suffisants pour qu</w:t>
      </w:r>
      <w:r w:rsidR="00466E87">
        <w:t>’</w:t>
      </w:r>
      <w:r w:rsidRPr="007C6ED9">
        <w:t>elle puisse s</w:t>
      </w:r>
      <w:r w:rsidR="00466E87">
        <w:t>’</w:t>
      </w:r>
      <w:r w:rsidRPr="007C6ED9">
        <w:t xml:space="preserve">acquitter efficacement de </w:t>
      </w:r>
      <w:r>
        <w:t>ces</w:t>
      </w:r>
      <w:r w:rsidRPr="007C6ED9">
        <w:t xml:space="preserve"> tâche</w:t>
      </w:r>
      <w:r>
        <w:t>s</w:t>
      </w:r>
      <w:r w:rsidRPr="007C6ED9">
        <w:t>.</w:t>
      </w:r>
    </w:p>
    <w:p w14:paraId="7B14A7B1" w14:textId="77777777" w:rsidR="00E171BB" w:rsidRPr="007C6ED9" w:rsidRDefault="00E171BB" w:rsidP="00E171BB">
      <w:pPr>
        <w:pStyle w:val="SingleTxtG"/>
      </w:pPr>
      <w:r w:rsidRPr="007C6ED9">
        <w:t>6.</w:t>
      </w:r>
      <w:r w:rsidRPr="007C6ED9">
        <w:tab/>
        <w:t>Donner des renseignements sur :</w:t>
      </w:r>
    </w:p>
    <w:p w14:paraId="62723C71" w14:textId="5D532331" w:rsidR="00E171BB" w:rsidRPr="007C6ED9" w:rsidRDefault="00E171BB" w:rsidP="00E171BB">
      <w:pPr>
        <w:pStyle w:val="SingleTxtG"/>
        <w:ind w:firstLine="567"/>
      </w:pPr>
      <w:r w:rsidRPr="007C6ED9">
        <w:t>a)</w:t>
      </w:r>
      <w:r w:rsidRPr="007C6ED9">
        <w:tab/>
        <w:t>Les programmes existants de formation sur le contenu de la Convention, organisés par l</w:t>
      </w:r>
      <w:r w:rsidR="00466E87">
        <w:t>’</w:t>
      </w:r>
      <w:r w:rsidRPr="007C6ED9">
        <w:t xml:space="preserve">État </w:t>
      </w:r>
      <w:r>
        <w:t>Partie</w:t>
      </w:r>
      <w:r w:rsidRPr="007C6ED9">
        <w:t xml:space="preserve"> à l</w:t>
      </w:r>
      <w:r w:rsidR="00466E87">
        <w:t>’</w:t>
      </w:r>
      <w:r w:rsidRPr="007C6ED9">
        <w:t>intention des fonctionnaires travaillant dans des domaines liés aux migrations</w:t>
      </w:r>
      <w:r>
        <w:t>,</w:t>
      </w:r>
      <w:r w:rsidRPr="007C6ED9">
        <w:t xml:space="preserve"> y compris les agents de la force publique et de surveillance des frontières, les procureurs et les juges</w:t>
      </w:r>
      <w:r>
        <w:t>, les autorités chargées de l</w:t>
      </w:r>
      <w:r w:rsidR="00466E87">
        <w:t>’</w:t>
      </w:r>
      <w:r>
        <w:t>emploi et des services sociaux, notamment</w:t>
      </w:r>
      <w:r w:rsidRPr="007C6ED9">
        <w:t xml:space="preserve"> dans les régions frontalières, et </w:t>
      </w:r>
      <w:r>
        <w:t>les</w:t>
      </w:r>
      <w:r w:rsidRPr="007C6ED9">
        <w:t xml:space="preserve"> programmes de sensibilisation à l</w:t>
      </w:r>
      <w:r w:rsidR="00466E87">
        <w:t>’</w:t>
      </w:r>
      <w:r w:rsidRPr="007C6ED9">
        <w:t>intention du public</w:t>
      </w:r>
      <w:r w:rsidRPr="00AD44F6">
        <w:rPr>
          <w:rStyle w:val="Appelnotedebasdep"/>
        </w:rPr>
        <w:footnoteReference w:id="5"/>
      </w:r>
      <w:r w:rsidRPr="007C6ED9">
        <w:t xml:space="preserve"> ; </w:t>
      </w:r>
    </w:p>
    <w:p w14:paraId="5385A0BA" w14:textId="2A41E3FD" w:rsidR="00E171BB" w:rsidRPr="007C6ED9" w:rsidRDefault="00E171BB" w:rsidP="00E171BB">
      <w:pPr>
        <w:pStyle w:val="SingleTxtG"/>
        <w:ind w:firstLine="567"/>
      </w:pPr>
      <w:r w:rsidRPr="007C6ED9">
        <w:t>b)</w:t>
      </w:r>
      <w:r w:rsidRPr="007C6ED9">
        <w:tab/>
        <w:t>Les formations pour les fonctionnaires chargés de fournir une assistance juridique et consulaire aux ressortissants guinéens à l</w:t>
      </w:r>
      <w:r w:rsidR="00466E87">
        <w:t>’</w:t>
      </w:r>
      <w:r w:rsidRPr="007C6ED9">
        <w:t>étranger, notamment en ce qui concerne l</w:t>
      </w:r>
      <w:r w:rsidR="00466E87">
        <w:t>’</w:t>
      </w:r>
      <w:r>
        <w:t>interdiction de l</w:t>
      </w:r>
      <w:r w:rsidRPr="007C6ED9">
        <w:t xml:space="preserve">a discrimination, </w:t>
      </w:r>
      <w:r>
        <w:t>d</w:t>
      </w:r>
      <w:r w:rsidRPr="007C6ED9">
        <w:t xml:space="preserve">es abus et </w:t>
      </w:r>
      <w:r>
        <w:t xml:space="preserve">de </w:t>
      </w:r>
      <w:r w:rsidRPr="007C6ED9">
        <w:t>l</w:t>
      </w:r>
      <w:r w:rsidR="00466E87">
        <w:t>’</w:t>
      </w:r>
      <w:r w:rsidRPr="007C6ED9">
        <w:t>exploitation sur le lieu de travail</w:t>
      </w:r>
      <w:r>
        <w:t>, y</w:t>
      </w:r>
      <w:r w:rsidR="00160D15">
        <w:t> </w:t>
      </w:r>
      <w:r>
        <w:t>compris ceux basés sur le genre</w:t>
      </w:r>
      <w:r w:rsidRPr="007C6ED9">
        <w:t>, l</w:t>
      </w:r>
      <w:r w:rsidR="00466E87">
        <w:t>’</w:t>
      </w:r>
      <w:r w:rsidRPr="007C6ED9">
        <w:t>arrestation, la détention provisoire, la détention liée à l</w:t>
      </w:r>
      <w:r w:rsidR="00466E87">
        <w:t>’</w:t>
      </w:r>
      <w:r w:rsidRPr="007C6ED9">
        <w:t>immigration, l</w:t>
      </w:r>
      <w:r w:rsidR="00466E87">
        <w:t>’</w:t>
      </w:r>
      <w:r w:rsidRPr="007C6ED9">
        <w:t xml:space="preserve">expulsion et </w:t>
      </w:r>
      <w:r>
        <w:t>le</w:t>
      </w:r>
      <w:r w:rsidRPr="007C6ED9">
        <w:t xml:space="preserve"> rapatriement ;</w:t>
      </w:r>
    </w:p>
    <w:p w14:paraId="4873EC11" w14:textId="22EAEBDE" w:rsidR="00E171BB" w:rsidRPr="007C6ED9" w:rsidRDefault="00E171BB" w:rsidP="00E171BB">
      <w:pPr>
        <w:pStyle w:val="SingleTxtG"/>
        <w:ind w:firstLine="567"/>
      </w:pPr>
      <w:r w:rsidRPr="007C6ED9">
        <w:t>c)</w:t>
      </w:r>
      <w:r w:rsidRPr="007C6ED9">
        <w:tab/>
        <w:t>Les mesures prises pour associer les organisations de la société civile à l</w:t>
      </w:r>
      <w:r w:rsidR="00466E87">
        <w:t>’</w:t>
      </w:r>
      <w:r w:rsidRPr="007C6ED9">
        <w:t>application de la Convention, ainsi qu</w:t>
      </w:r>
      <w:r w:rsidR="00466E87">
        <w:t>’</w:t>
      </w:r>
      <w:r w:rsidRPr="007C6ED9">
        <w:t>à l</w:t>
      </w:r>
      <w:r w:rsidR="00466E87">
        <w:t>’</w:t>
      </w:r>
      <w:r w:rsidRPr="007C6ED9">
        <w:t>élaboration des rapports périodiques et des réponses à la présente liste de points.</w:t>
      </w:r>
    </w:p>
    <w:p w14:paraId="2234229E" w14:textId="5D6E5486" w:rsidR="00E171BB" w:rsidRPr="007C6ED9" w:rsidRDefault="00E171BB" w:rsidP="00E171BB">
      <w:pPr>
        <w:pStyle w:val="SingleTxtG"/>
      </w:pPr>
      <w:r w:rsidRPr="007C6ED9">
        <w:t>7.</w:t>
      </w:r>
      <w:r w:rsidRPr="007C6ED9">
        <w:tab/>
        <w:t>Indiquer s</w:t>
      </w:r>
      <w:r w:rsidR="00466E87">
        <w:t>’</w:t>
      </w:r>
      <w:r w:rsidRPr="007C6ED9">
        <w:t>il existe dans l</w:t>
      </w:r>
      <w:r w:rsidR="00466E87">
        <w:t>’</w:t>
      </w:r>
      <w:r w:rsidRPr="007C6ED9">
        <w:t xml:space="preserve">État </w:t>
      </w:r>
      <w:r>
        <w:t>Partie</w:t>
      </w:r>
      <w:r w:rsidRPr="007C6ED9">
        <w:t xml:space="preserve"> des agences de placement privées qui recrutent des travailleurs migrants pour les faire travailler à l</w:t>
      </w:r>
      <w:r w:rsidR="00466E87">
        <w:t>’</w:t>
      </w:r>
      <w:r w:rsidRPr="007C6ED9">
        <w:t>étranger, et donner des informations sur les lois, règles et règlements relatifs au recrutement privé, en particulier sur</w:t>
      </w:r>
      <w:r w:rsidR="00DC5317">
        <w:t xml:space="preserve"> </w:t>
      </w:r>
      <w:r w:rsidRPr="007C6ED9">
        <w:t>les modalités de délivrance et de renouvellement des licences de ces agences de placement</w:t>
      </w:r>
      <w:r>
        <w:t>,</w:t>
      </w:r>
      <w:r w:rsidRPr="007C6ED9">
        <w:t xml:space="preserve"> les plaintes déposées contre des agences de placement</w:t>
      </w:r>
      <w:r>
        <w:t>,</w:t>
      </w:r>
      <w:r w:rsidRPr="007C6ED9">
        <w:t xml:space="preserve"> qu</w:t>
      </w:r>
      <w:r w:rsidR="00466E87">
        <w:t>’</w:t>
      </w:r>
      <w:r w:rsidRPr="007C6ED9">
        <w:t>elles soient officielles ou informelles, les inspections effectuées, et les pénalités et sanctions imposées en cas de non-respect de la loi</w:t>
      </w:r>
      <w:r>
        <w:t>,</w:t>
      </w:r>
      <w:r w:rsidRPr="007C6ED9">
        <w:t xml:space="preserve"> et les mesures que l</w:t>
      </w:r>
      <w:r w:rsidR="00466E87">
        <w:t>’</w:t>
      </w:r>
      <w:r w:rsidRPr="007C6ED9">
        <w:t xml:space="preserve">État </w:t>
      </w:r>
      <w:r>
        <w:t>Partie</w:t>
      </w:r>
      <w:r w:rsidRPr="007C6ED9">
        <w:t xml:space="preserve"> a prises pour renforcer les mécanismes de réglementation et de surveillance des agences de placement privées</w:t>
      </w:r>
      <w:r>
        <w:t>,</w:t>
      </w:r>
      <w:r w:rsidRPr="007C6ED9">
        <w:t xml:space="preserve"> notamment par l</w:t>
      </w:r>
      <w:r w:rsidR="00466E87">
        <w:t>’</w:t>
      </w:r>
      <w:r w:rsidRPr="007C6ED9">
        <w:t>inspection du travail.</w:t>
      </w:r>
    </w:p>
    <w:p w14:paraId="4520C417" w14:textId="77777777" w:rsidR="00E171BB" w:rsidRPr="007C6ED9" w:rsidRDefault="00E171BB" w:rsidP="00E171BB">
      <w:pPr>
        <w:pStyle w:val="H1G"/>
      </w:pPr>
      <w:r w:rsidRPr="007C6ED9">
        <w:lastRenderedPageBreak/>
        <w:tab/>
        <w:t>B.</w:t>
      </w:r>
      <w:r w:rsidRPr="007C6ED9">
        <w:tab/>
        <w:t>Renseignements se rapportant aux articles de la Convention</w:t>
      </w:r>
    </w:p>
    <w:p w14:paraId="150F8525" w14:textId="77777777" w:rsidR="00E171BB" w:rsidRPr="007C6ED9" w:rsidRDefault="00E171BB" w:rsidP="00E171BB">
      <w:pPr>
        <w:pStyle w:val="H23G"/>
      </w:pPr>
      <w:r w:rsidRPr="007C6ED9">
        <w:tab/>
        <w:t>1.</w:t>
      </w:r>
      <w:r w:rsidRPr="007C6ED9">
        <w:tab/>
        <w:t>Principes généraux</w:t>
      </w:r>
    </w:p>
    <w:p w14:paraId="0F73874E" w14:textId="533B2B00" w:rsidR="00E171BB" w:rsidRPr="007C6ED9" w:rsidRDefault="00E171BB" w:rsidP="00E171BB">
      <w:pPr>
        <w:pStyle w:val="SingleTxtG"/>
      </w:pPr>
      <w:r w:rsidRPr="007C6ED9">
        <w:t>8.</w:t>
      </w:r>
      <w:r w:rsidRPr="007C6ED9">
        <w:tab/>
        <w:t>Indiquer si les dispositions de la Convention ont été directement appliquées par des agents de l</w:t>
      </w:r>
      <w:r w:rsidR="00466E87">
        <w:t>’</w:t>
      </w:r>
      <w:r w:rsidRPr="007C6ED9">
        <w:t>administration. Citer des exemples d</w:t>
      </w:r>
      <w:r w:rsidR="00466E87">
        <w:t>’</w:t>
      </w:r>
      <w:r w:rsidRPr="007C6ED9">
        <w:t>affaires et de décisions judiciaires dans lesquelles la Convention a été directement invoquée devant les tribunaux et fournir des renseignements à leur sujet. Donner également des renseignements concernant</w:t>
      </w:r>
      <w:r>
        <w:t> </w:t>
      </w:r>
      <w:r w:rsidRPr="007C6ED9">
        <w:t>:</w:t>
      </w:r>
    </w:p>
    <w:p w14:paraId="5E1A6AEA" w14:textId="7801B694" w:rsidR="00E171BB" w:rsidRPr="007C6ED9" w:rsidRDefault="00E171BB" w:rsidP="00E171BB">
      <w:pPr>
        <w:pStyle w:val="SingleTxtG"/>
        <w:ind w:firstLine="567"/>
      </w:pPr>
      <w:r w:rsidRPr="007C6ED9">
        <w:t>a)</w:t>
      </w:r>
      <w:r w:rsidRPr="007C6ED9">
        <w:tab/>
        <w:t>Le nombre d</w:t>
      </w:r>
      <w:r w:rsidR="00466E87">
        <w:t>’</w:t>
      </w:r>
      <w:r w:rsidRPr="007C6ED9">
        <w:t xml:space="preserve">affaires et de procédures engagées par des travailleurs migrants ou des membres de leur famille, y compris ceux </w:t>
      </w:r>
      <w:r>
        <w:t xml:space="preserve">qui se trouvent </w:t>
      </w:r>
      <w:r w:rsidRPr="007C6ED9">
        <w:t>en situation irrégulière</w:t>
      </w:r>
      <w:r>
        <w:t xml:space="preserve">, </w:t>
      </w:r>
      <w:r w:rsidRPr="007C6ED9">
        <w:t>et le résultat de celles-ci dans les cinq dernières années</w:t>
      </w:r>
      <w:r>
        <w:t> </w:t>
      </w:r>
      <w:r w:rsidRPr="007C6ED9">
        <w:t>;</w:t>
      </w:r>
    </w:p>
    <w:p w14:paraId="368479F6" w14:textId="554D559F" w:rsidR="00E171BB" w:rsidRPr="007C6ED9" w:rsidRDefault="00E171BB" w:rsidP="00E171BB">
      <w:pPr>
        <w:pStyle w:val="SingleTxtG"/>
        <w:ind w:firstLine="567"/>
      </w:pPr>
      <w:r w:rsidRPr="007C6ED9">
        <w:t>b)</w:t>
      </w:r>
      <w:r w:rsidRPr="007C6ED9">
        <w:tab/>
      </w:r>
      <w:r>
        <w:t>L</w:t>
      </w:r>
      <w:r w:rsidRPr="007C6ED9">
        <w:t xml:space="preserve">es campagnes de sensibilisation menées pour informer les travailleurs migrants et les membres de leur famille, y compris ceux </w:t>
      </w:r>
      <w:r>
        <w:t xml:space="preserve">qui se trouvent </w:t>
      </w:r>
      <w:r w:rsidRPr="007C6ED9">
        <w:t xml:space="preserve">en situation irrégulière, des recours judiciaires et autres dont ils disposent en cas de violation de leurs droits au titre de la Convention ; </w:t>
      </w:r>
    </w:p>
    <w:p w14:paraId="13479BE0" w14:textId="6DC94CA2" w:rsidR="00E171BB" w:rsidRPr="007C6ED9" w:rsidRDefault="00E171BB" w:rsidP="00E171BB">
      <w:pPr>
        <w:pStyle w:val="SingleTxtG"/>
        <w:ind w:firstLine="567"/>
      </w:pPr>
      <w:r w:rsidRPr="007C6ED9">
        <w:t>c)</w:t>
      </w:r>
      <w:r w:rsidRPr="007C6ED9">
        <w:tab/>
        <w:t>L</w:t>
      </w:r>
      <w:r w:rsidR="00466E87">
        <w:t>’</w:t>
      </w:r>
      <w:r w:rsidRPr="007C6ED9">
        <w:t>aide juridictionnelle éventuellement accordée aux travailleurs migrants vivant en Guinée et aux travailleurs migrants guinéens qui se trouvent à l</w:t>
      </w:r>
      <w:r w:rsidR="00466E87">
        <w:t>’</w:t>
      </w:r>
      <w:r w:rsidRPr="007C6ED9">
        <w:t>étranger.</w:t>
      </w:r>
    </w:p>
    <w:p w14:paraId="3D339B1F" w14:textId="6CAD791C" w:rsidR="00E171BB" w:rsidRPr="007C6ED9" w:rsidRDefault="00E171BB" w:rsidP="00E171BB">
      <w:pPr>
        <w:pStyle w:val="SingleTxtG"/>
      </w:pPr>
      <w:r w:rsidRPr="007C6ED9">
        <w:t>9.</w:t>
      </w:r>
      <w:r w:rsidRPr="007C6ED9">
        <w:tab/>
        <w:t xml:space="preserve">Fournir des informations, </w:t>
      </w:r>
      <w:r>
        <w:t>statistiques</w:t>
      </w:r>
      <w:r w:rsidRPr="007C6ED9">
        <w:t xml:space="preserve"> et exemples précis</w:t>
      </w:r>
      <w:r>
        <w:t xml:space="preserve"> à l</w:t>
      </w:r>
      <w:r w:rsidR="00466E87">
        <w:t>’</w:t>
      </w:r>
      <w:r>
        <w:t>appui</w:t>
      </w:r>
      <w:r w:rsidRPr="007C6ED9">
        <w:t>, sur la manière dont l</w:t>
      </w:r>
      <w:r w:rsidR="00466E87">
        <w:t>’</w:t>
      </w:r>
      <w:r w:rsidRPr="007C6ED9">
        <w:t xml:space="preserve">État </w:t>
      </w:r>
      <w:r>
        <w:t>Partie</w:t>
      </w:r>
      <w:r w:rsidRPr="007C6ED9">
        <w:t xml:space="preserve"> a géré la pandémie de maladie à coronavirus (COVID-19) et son impact sur l</w:t>
      </w:r>
      <w:r w:rsidR="00466E87">
        <w:t>’</w:t>
      </w:r>
      <w:r w:rsidRPr="007C6ED9">
        <w:t>élaboration, l</w:t>
      </w:r>
      <w:r w:rsidR="00466E87">
        <w:t>’</w:t>
      </w:r>
      <w:r w:rsidRPr="007C6ED9">
        <w:t xml:space="preserve">adaptation et la mise en œuvre des plans nationaux de prévention et de gestion des pandémies afin de protéger les droits des travailleurs migrants et des membres de leur famille, compte </w:t>
      </w:r>
      <w:r>
        <w:t xml:space="preserve">tenu </w:t>
      </w:r>
      <w:r w:rsidRPr="007C6ED9">
        <w:t>de la note</w:t>
      </w:r>
      <w:r>
        <w:t xml:space="preserve"> conjointe</w:t>
      </w:r>
      <w:r w:rsidRPr="007C6ED9">
        <w:t xml:space="preserve"> d</w:t>
      </w:r>
      <w:r w:rsidR="00466E87">
        <w:t>’</w:t>
      </w:r>
      <w:r w:rsidRPr="007C6ED9">
        <w:t>orientation publiée par le Comité et le Rapporteur spécial sur les droits humains des migrants concernant les incidences de la pandémie de COVID-19 sur les droits humains des migrants</w:t>
      </w:r>
      <w:r w:rsidRPr="00AD44F6">
        <w:rPr>
          <w:rStyle w:val="Appelnotedebasdep"/>
        </w:rPr>
        <w:footnoteReference w:id="6"/>
      </w:r>
      <w:r w:rsidRPr="007C6ED9">
        <w:t>. Expliquer notamment les mesures prises afin</w:t>
      </w:r>
      <w:r>
        <w:t> </w:t>
      </w:r>
      <w:r w:rsidRPr="007C6ED9">
        <w:t>:</w:t>
      </w:r>
    </w:p>
    <w:p w14:paraId="7FD2B752" w14:textId="68815E26" w:rsidR="00E171BB" w:rsidRPr="007C6ED9" w:rsidRDefault="00E171BB" w:rsidP="00E171BB">
      <w:pPr>
        <w:pStyle w:val="SingleTxtG"/>
        <w:ind w:firstLine="567"/>
      </w:pPr>
      <w:r w:rsidRPr="007C6ED9">
        <w:t>a)</w:t>
      </w:r>
      <w:r w:rsidRPr="007C6ED9">
        <w:tab/>
        <w:t>De garantir l</w:t>
      </w:r>
      <w:r w:rsidR="00466E87">
        <w:t>’</w:t>
      </w:r>
      <w:r w:rsidRPr="007C6ED9">
        <w:t>accès aux services de santé, y compris aux vaccins contre la COVID-19, sans discrimination et indépendamment de la nationalité ou du statut migratoire ;</w:t>
      </w:r>
    </w:p>
    <w:p w14:paraId="51CFB46E" w14:textId="560C1E9B" w:rsidR="00E171BB" w:rsidRPr="007C6ED9" w:rsidRDefault="00E171BB" w:rsidP="00E171BB">
      <w:pPr>
        <w:pStyle w:val="SingleTxtG"/>
        <w:ind w:firstLine="567"/>
      </w:pPr>
      <w:r w:rsidRPr="007C6ED9">
        <w:t>b)</w:t>
      </w:r>
      <w:r w:rsidRPr="007C6ED9">
        <w:tab/>
        <w:t xml:space="preserve">De prévenir la propagation de la maladie et </w:t>
      </w:r>
      <w:r>
        <w:t xml:space="preserve">de </w:t>
      </w:r>
      <w:r w:rsidRPr="007C6ED9">
        <w:t>maintenir le niveau souhaité de protection de la santé sur les lieux de travail</w:t>
      </w:r>
      <w:r>
        <w:t> </w:t>
      </w:r>
      <w:r w:rsidRPr="007C6ED9">
        <w:t>;</w:t>
      </w:r>
    </w:p>
    <w:p w14:paraId="2849D2AE" w14:textId="29FF0ED4" w:rsidR="00E171BB" w:rsidRPr="007C6ED9" w:rsidRDefault="00E171BB" w:rsidP="00E171BB">
      <w:pPr>
        <w:pStyle w:val="SingleTxtG"/>
        <w:ind w:firstLine="567"/>
      </w:pPr>
      <w:r w:rsidRPr="007C6ED9">
        <w:t>c)</w:t>
      </w:r>
      <w:r w:rsidRPr="007C6ED9">
        <w:tab/>
        <w:t>De veiller à ce que les familles des travailleurs migrants décédés de la maladie soient informées de leur décès et se voient remettre leur dépouille.</w:t>
      </w:r>
    </w:p>
    <w:p w14:paraId="33241436" w14:textId="77777777" w:rsidR="00E171BB" w:rsidRPr="007C6ED9" w:rsidRDefault="00E171BB" w:rsidP="00E171BB">
      <w:pPr>
        <w:pStyle w:val="H23G"/>
      </w:pPr>
      <w:r w:rsidRPr="007C6ED9">
        <w:tab/>
        <w:t>2.</w:t>
      </w:r>
      <w:r w:rsidRPr="007C6ED9">
        <w:tab/>
        <w:t>Deuxième partie de la Convention</w:t>
      </w:r>
    </w:p>
    <w:p w14:paraId="0A281B89" w14:textId="77777777" w:rsidR="00E171BB" w:rsidRPr="007C6ED9" w:rsidRDefault="00E171BB" w:rsidP="00E171BB">
      <w:pPr>
        <w:pStyle w:val="H23G"/>
      </w:pPr>
      <w:r w:rsidRPr="007C6ED9">
        <w:tab/>
      </w:r>
      <w:r w:rsidRPr="007C6ED9">
        <w:tab/>
        <w:t>Article 7</w:t>
      </w:r>
    </w:p>
    <w:p w14:paraId="3FB507EC" w14:textId="5F2E464E" w:rsidR="00E171BB" w:rsidRPr="000562C0" w:rsidRDefault="00E171BB" w:rsidP="00E171BB">
      <w:pPr>
        <w:pStyle w:val="SingleTxtG"/>
        <w:rPr>
          <w:spacing w:val="2"/>
        </w:rPr>
      </w:pPr>
      <w:r w:rsidRPr="000562C0">
        <w:rPr>
          <w:spacing w:val="2"/>
        </w:rPr>
        <w:t>10.</w:t>
      </w:r>
      <w:r w:rsidRPr="000562C0">
        <w:rPr>
          <w:spacing w:val="2"/>
        </w:rPr>
        <w:tab/>
        <w:t>Préciser si la législation nationale garantit à tous les travailleurs migrants et aux membres de leur famille les droits reconnus dans la Convention sans distinction aucune et si cette législation couvre l</w:t>
      </w:r>
      <w:r w:rsidR="00466E87" w:rsidRPr="000562C0">
        <w:rPr>
          <w:spacing w:val="2"/>
        </w:rPr>
        <w:t>’</w:t>
      </w:r>
      <w:r w:rsidRPr="000562C0">
        <w:rPr>
          <w:spacing w:val="2"/>
        </w:rPr>
        <w:t>ensemble des motifs de discrimination proscrits aux articles</w:t>
      </w:r>
      <w:r w:rsidR="00DC5317" w:rsidRPr="000562C0">
        <w:rPr>
          <w:spacing w:val="2"/>
        </w:rPr>
        <w:t> </w:t>
      </w:r>
      <w:r w:rsidRPr="000562C0">
        <w:rPr>
          <w:spacing w:val="2"/>
        </w:rPr>
        <w:t>1</w:t>
      </w:r>
      <w:r w:rsidRPr="000562C0">
        <w:rPr>
          <w:spacing w:val="2"/>
          <w:vertAlign w:val="superscript"/>
        </w:rPr>
        <w:t>er</w:t>
      </w:r>
      <w:r w:rsidRPr="000562C0">
        <w:rPr>
          <w:spacing w:val="2"/>
        </w:rPr>
        <w:t> (par. 1) et 7 de la Convention, notamment le sexe, la langue, l</w:t>
      </w:r>
      <w:r w:rsidR="00466E87" w:rsidRPr="000562C0">
        <w:rPr>
          <w:spacing w:val="2"/>
        </w:rPr>
        <w:t>’</w:t>
      </w:r>
      <w:r w:rsidRPr="000562C0">
        <w:rPr>
          <w:spacing w:val="2"/>
        </w:rPr>
        <w:t>origine nationale, ethnique ou sociale, la nationalité, l</w:t>
      </w:r>
      <w:r w:rsidR="00466E87" w:rsidRPr="000562C0">
        <w:rPr>
          <w:spacing w:val="2"/>
        </w:rPr>
        <w:t>’</w:t>
      </w:r>
      <w:r w:rsidRPr="000562C0">
        <w:rPr>
          <w:spacing w:val="2"/>
        </w:rPr>
        <w:t>âge, la situation économique, la fortune, la situation matrimoniale, la naissance ou toute autre situation. Fournir des informations sur toutes les mesures concrètes et effectives que l</w:t>
      </w:r>
      <w:r w:rsidR="00466E87" w:rsidRPr="000562C0">
        <w:rPr>
          <w:spacing w:val="2"/>
        </w:rPr>
        <w:t>’</w:t>
      </w:r>
      <w:r w:rsidRPr="000562C0">
        <w:rPr>
          <w:spacing w:val="2"/>
        </w:rPr>
        <w:t>État Partie a prises pour garantir la non</w:t>
      </w:r>
      <w:r w:rsidRPr="000562C0">
        <w:rPr>
          <w:spacing w:val="2"/>
        </w:rPr>
        <w:noBreakHyphen/>
        <w:t>discrimination, la protection des droits du travail et l</w:t>
      </w:r>
      <w:r w:rsidR="00466E87" w:rsidRPr="000562C0">
        <w:rPr>
          <w:spacing w:val="2"/>
        </w:rPr>
        <w:t>’</w:t>
      </w:r>
      <w:r w:rsidRPr="000562C0">
        <w:rPr>
          <w:spacing w:val="2"/>
        </w:rPr>
        <w:t>égalité des sexes dans tout ce qui touche à la politique migratoire, en droit comme en pratique. Décrire les mesures prises afin de prendre en compte la vulnérabilité accrue des femmes migrantes aux violences fondées sur le genre, y compris les violences sexuelles et notamment dans les zones transfrontalières.</w:t>
      </w:r>
    </w:p>
    <w:p w14:paraId="1EFDC892" w14:textId="77777777" w:rsidR="00E171BB" w:rsidRPr="007C6ED9" w:rsidRDefault="00E171BB" w:rsidP="00E171BB">
      <w:pPr>
        <w:pStyle w:val="H23G"/>
      </w:pPr>
      <w:r w:rsidRPr="007C6ED9">
        <w:lastRenderedPageBreak/>
        <w:tab/>
        <w:t>3.</w:t>
      </w:r>
      <w:r w:rsidRPr="007C6ED9">
        <w:tab/>
      </w:r>
      <w:r w:rsidRPr="00E171BB">
        <w:t>Troisième</w:t>
      </w:r>
      <w:r w:rsidRPr="007C6ED9">
        <w:t xml:space="preserve"> partie de la Convention</w:t>
      </w:r>
    </w:p>
    <w:p w14:paraId="090448BB" w14:textId="77777777" w:rsidR="00E171BB" w:rsidRPr="007C6ED9" w:rsidRDefault="00E171BB" w:rsidP="00E171BB">
      <w:pPr>
        <w:pStyle w:val="H23G"/>
      </w:pPr>
      <w:r w:rsidRPr="007C6ED9">
        <w:tab/>
      </w:r>
      <w:r w:rsidRPr="007C6ED9">
        <w:tab/>
        <w:t>Articles 8 à 15</w:t>
      </w:r>
    </w:p>
    <w:p w14:paraId="0466F08C" w14:textId="3831945D" w:rsidR="00E171BB" w:rsidRPr="007C6ED9" w:rsidRDefault="00E171BB" w:rsidP="00E171BB">
      <w:pPr>
        <w:pStyle w:val="SingleTxtG"/>
      </w:pPr>
      <w:r w:rsidRPr="007C6ED9">
        <w:t>11.</w:t>
      </w:r>
      <w:r w:rsidRPr="007C6ED9">
        <w:tab/>
        <w:t>Fournir des informations sur les cas recensés dans l</w:t>
      </w:r>
      <w:r w:rsidR="00466E87">
        <w:t>’</w:t>
      </w:r>
      <w:r w:rsidRPr="007C6ED9">
        <w:t xml:space="preserve">État </w:t>
      </w:r>
      <w:r>
        <w:t>Partie</w:t>
      </w:r>
      <w:r w:rsidRPr="007C6ED9">
        <w:t xml:space="preserve"> d</w:t>
      </w:r>
      <w:r w:rsidR="00466E87">
        <w:t>’</w:t>
      </w:r>
      <w:r w:rsidRPr="007C6ED9">
        <w:t>exploitation y</w:t>
      </w:r>
      <w:r w:rsidR="00DC5317">
        <w:t> </w:t>
      </w:r>
      <w:r w:rsidRPr="007C6ED9">
        <w:t xml:space="preserve">compris sexuelle et de servitude domestique de travailleurs migrants et de membres de leur famille, en situation </w:t>
      </w:r>
      <w:r>
        <w:t xml:space="preserve">tant </w:t>
      </w:r>
      <w:r w:rsidRPr="007C6ED9">
        <w:t>régulière qu</w:t>
      </w:r>
      <w:r w:rsidR="00466E87">
        <w:t>’</w:t>
      </w:r>
      <w:r w:rsidRPr="007C6ED9">
        <w:t>irrégulière, en particulier dans les secteurs de l</w:t>
      </w:r>
      <w:r w:rsidR="00466E87">
        <w:t>’</w:t>
      </w:r>
      <w:r w:rsidRPr="007C6ED9">
        <w:t>exploitation minière (y compris l</w:t>
      </w:r>
      <w:r w:rsidR="00466E87">
        <w:t>’</w:t>
      </w:r>
      <w:r w:rsidRPr="007C6ED9">
        <w:t>orpaillage), du travail domestique et de la prostitution. Détailler les mesures prises pour prévenir et combattre ces phénomènes.</w:t>
      </w:r>
    </w:p>
    <w:p w14:paraId="7C26F0B0" w14:textId="70368114" w:rsidR="00E171BB" w:rsidRPr="007C6ED9" w:rsidRDefault="00E171BB" w:rsidP="00E171BB">
      <w:pPr>
        <w:pStyle w:val="SingleTxtG"/>
      </w:pPr>
      <w:r w:rsidRPr="007C6ED9">
        <w:t>12.</w:t>
      </w:r>
      <w:r w:rsidRPr="007C6ED9">
        <w:tab/>
        <w:t>Compte tenu des informations reçues par le Comité qui font état de taux élevés de travail des enfants</w:t>
      </w:r>
      <w:r w:rsidRPr="00AD44F6">
        <w:rPr>
          <w:rStyle w:val="Appelnotedebasdep"/>
        </w:rPr>
        <w:footnoteReference w:id="7"/>
      </w:r>
      <w:r w:rsidRPr="007C6ED9">
        <w:t>, notamment de traite des enfants à des fins d</w:t>
      </w:r>
      <w:r w:rsidR="00466E87">
        <w:t>’</w:t>
      </w:r>
      <w:r w:rsidRPr="007C6ED9">
        <w:t>exploitation économique, y</w:t>
      </w:r>
      <w:r w:rsidR="000562C0">
        <w:t> </w:t>
      </w:r>
      <w:r w:rsidRPr="007C6ED9">
        <w:t>compris d</w:t>
      </w:r>
      <w:r w:rsidR="00466E87">
        <w:t>’</w:t>
      </w:r>
      <w:r w:rsidRPr="007C6ED9">
        <w:t>enfants en situation de rue</w:t>
      </w:r>
      <w:r w:rsidRPr="00AD44F6">
        <w:rPr>
          <w:rStyle w:val="Appelnotedebasdep"/>
        </w:rPr>
        <w:footnoteReference w:id="8"/>
      </w:r>
      <w:r w:rsidRPr="007C6ED9">
        <w:t xml:space="preserve"> et d</w:t>
      </w:r>
      <w:r w:rsidR="00466E87">
        <w:t>’</w:t>
      </w:r>
      <w:r w:rsidRPr="007C6ED9">
        <w:t>enfants migrants exploités à des fins sexuelles et dans des mines d</w:t>
      </w:r>
      <w:r w:rsidR="00466E87">
        <w:t>’</w:t>
      </w:r>
      <w:r w:rsidRPr="007C6ED9">
        <w:t xml:space="preserve">or et de diamants artisanales, notamment dans </w:t>
      </w:r>
      <w:r>
        <w:t>la</w:t>
      </w:r>
      <w:r w:rsidRPr="007C6ED9">
        <w:t xml:space="preserve"> </w:t>
      </w:r>
      <w:r>
        <w:t>p</w:t>
      </w:r>
      <w:r w:rsidRPr="007C6ED9">
        <w:t>réfecture de Sig</w:t>
      </w:r>
      <w:r>
        <w:t>ui</w:t>
      </w:r>
      <w:r w:rsidRPr="007C6ED9">
        <w:t>ri, fournir des informations sur les mesures prises par l</w:t>
      </w:r>
      <w:r w:rsidR="00466E87">
        <w:t>’</w:t>
      </w:r>
      <w:r w:rsidRPr="007C6ED9">
        <w:t xml:space="preserve">État </w:t>
      </w:r>
      <w:r>
        <w:t>Partie</w:t>
      </w:r>
      <w:r w:rsidRPr="007C6ED9">
        <w:t xml:space="preserve"> pour que les droits des enfants migrants, notamment </w:t>
      </w:r>
      <w:r>
        <w:t>ceux</w:t>
      </w:r>
      <w:r w:rsidRPr="007C6ED9">
        <w:t xml:space="preserve"> qui sont séparés, non accompagnés, ou en situation irrégulière ou en transit dans l</w:t>
      </w:r>
      <w:r w:rsidR="00466E87">
        <w:t>’</w:t>
      </w:r>
      <w:r w:rsidRPr="007C6ED9">
        <w:t xml:space="preserve">État </w:t>
      </w:r>
      <w:r>
        <w:t>Partie</w:t>
      </w:r>
      <w:r w:rsidRPr="007C6ED9">
        <w:t>, soient respectés et pour que ces enfants soient protégés contre toutes les formes d</w:t>
      </w:r>
      <w:r w:rsidR="00466E87">
        <w:t>’</w:t>
      </w:r>
      <w:r w:rsidRPr="007C6ED9">
        <w:t>exploitation</w:t>
      </w:r>
      <w:r w:rsidRPr="00AD44F6">
        <w:rPr>
          <w:rStyle w:val="Appelnotedebasdep"/>
        </w:rPr>
        <w:footnoteReference w:id="9"/>
      </w:r>
      <w:r w:rsidRPr="007C6ED9">
        <w:t>. Indiquer les mesures prises ou envisagées par l</w:t>
      </w:r>
      <w:r w:rsidR="00466E87">
        <w:t>’</w:t>
      </w:r>
      <w:r w:rsidRPr="007C6ED9">
        <w:t xml:space="preserve">État </w:t>
      </w:r>
      <w:r>
        <w:t>Partie</w:t>
      </w:r>
      <w:r w:rsidRPr="007C6ED9">
        <w:t xml:space="preserve"> pour protéger les enfants contre les pires formes de travail, notamment par l</w:t>
      </w:r>
      <w:r w:rsidR="00466E87">
        <w:t>’</w:t>
      </w:r>
      <w:r w:rsidRPr="007C6ED9">
        <w:t>application de la Convention de 1999 sur les pires formes de travail des enfants (n</w:t>
      </w:r>
      <w:r w:rsidRPr="00AD44F6">
        <w:rPr>
          <w:vertAlign w:val="superscript"/>
        </w:rPr>
        <w:t>o</w:t>
      </w:r>
      <w:r>
        <w:t> </w:t>
      </w:r>
      <w:r w:rsidRPr="007C6ED9">
        <w:t>182) de l</w:t>
      </w:r>
      <w:r w:rsidR="00466E87">
        <w:t>’</w:t>
      </w:r>
      <w:r>
        <w:t>OIT</w:t>
      </w:r>
      <w:r w:rsidRPr="007C6ED9">
        <w:t>, et par le renforcement de l</w:t>
      </w:r>
      <w:r w:rsidR="00466E87">
        <w:t>’</w:t>
      </w:r>
      <w:r w:rsidRPr="007C6ED9">
        <w:t>axe police-justice et du système d</w:t>
      </w:r>
      <w:r w:rsidR="00466E87">
        <w:t>’</w:t>
      </w:r>
      <w:r w:rsidRPr="007C6ED9">
        <w:t>inspection du travail</w:t>
      </w:r>
      <w:r w:rsidRPr="00AD44F6">
        <w:rPr>
          <w:rStyle w:val="Appelnotedebasdep"/>
        </w:rPr>
        <w:footnoteReference w:id="10"/>
      </w:r>
      <w:r w:rsidRPr="007C6ED9">
        <w:t>.</w:t>
      </w:r>
    </w:p>
    <w:p w14:paraId="7CEC9B3A" w14:textId="6EDBF10B" w:rsidR="00E171BB" w:rsidRPr="007C6ED9" w:rsidRDefault="00E171BB" w:rsidP="00E171BB">
      <w:pPr>
        <w:pStyle w:val="SingleTxtG"/>
      </w:pPr>
      <w:r w:rsidRPr="007C6ED9">
        <w:t>13.</w:t>
      </w:r>
      <w:r w:rsidRPr="007C6ED9">
        <w:tab/>
        <w:t>Indiquer le nombre de migrants, ventilé par âge, sexe, nationalité et/ou origine, actuellement placés en détention pour avoir violé la législation relative à la migration, en précisant le lieu, la durée moyenne et les conditions de détention, notamment s</w:t>
      </w:r>
      <w:r w:rsidR="00466E87">
        <w:t>’</w:t>
      </w:r>
      <w:r w:rsidRPr="007C6ED9">
        <w:t>ils sont séparés des détenus de droit commun</w:t>
      </w:r>
      <w:r>
        <w:t xml:space="preserve"> et si</w:t>
      </w:r>
      <w:r w:rsidRPr="007C6ED9">
        <w:t xml:space="preserve"> les femmes</w:t>
      </w:r>
      <w:r>
        <w:t xml:space="preserve"> sont séparées</w:t>
      </w:r>
      <w:r w:rsidRPr="007C6ED9">
        <w:t xml:space="preserve"> des hommes</w:t>
      </w:r>
      <w:r>
        <w:t>.</w:t>
      </w:r>
      <w:r w:rsidRPr="007C6ED9">
        <w:t xml:space="preserve"> </w:t>
      </w:r>
      <w:r>
        <w:t>Indiquer également</w:t>
      </w:r>
      <w:r w:rsidRPr="007C6ED9">
        <w:t xml:space="preserve"> si le recours à la détention pour les migrants en situation irrégulière est une mesure exceptionnelle et de dernier recours</w:t>
      </w:r>
      <w:r w:rsidRPr="00AD44F6">
        <w:rPr>
          <w:rStyle w:val="Appelnotedebasdep"/>
        </w:rPr>
        <w:footnoteReference w:id="11"/>
      </w:r>
      <w:r>
        <w:t>,</w:t>
      </w:r>
      <w:r w:rsidRPr="007C6ED9">
        <w:t xml:space="preserve"> </w:t>
      </w:r>
      <w:r>
        <w:t>e</w:t>
      </w:r>
      <w:r w:rsidRPr="007C6ED9">
        <w:t xml:space="preserve">t si des mesures </w:t>
      </w:r>
      <w:r>
        <w:t>de substitution</w:t>
      </w:r>
      <w:r w:rsidRPr="007C6ED9">
        <w:t xml:space="preserve"> à la détention sont adoptées pour les enfants et leur famille ainsi que pour les enfants non accompagnés</w:t>
      </w:r>
      <w:r w:rsidRPr="00AD44F6">
        <w:rPr>
          <w:rStyle w:val="Appelnotedebasdep"/>
        </w:rPr>
        <w:footnoteReference w:id="12"/>
      </w:r>
      <w:r w:rsidRPr="007C6ED9">
        <w:t xml:space="preserve">. </w:t>
      </w:r>
    </w:p>
    <w:p w14:paraId="1C0BF3B0" w14:textId="01DA07B4" w:rsidR="00E171BB" w:rsidRPr="007C6ED9" w:rsidRDefault="00E171BB" w:rsidP="00E171BB">
      <w:pPr>
        <w:pStyle w:val="SingleTxtG"/>
      </w:pPr>
      <w:r w:rsidRPr="007C6ED9">
        <w:t>14.</w:t>
      </w:r>
      <w:r w:rsidRPr="007C6ED9">
        <w:tab/>
        <w:t>Fournir des précisions concernant les circonstances exceptionnelles dans lesquelles les pouvoirs publics ont légalement la possibilité de mettre fin au séjour de tout étranger même si celui-ci est entré et a séjourné régulièrement en Guinée, et concernant les critères pour déclarer un étranger indésirable à titre personnel, conformément aux dispositions de l</w:t>
      </w:r>
      <w:r w:rsidR="00466E87">
        <w:t>’</w:t>
      </w:r>
      <w:r w:rsidRPr="007C6ED9">
        <w:t>article 64 de la loi L/94/019/CTRN</w:t>
      </w:r>
      <w:r w:rsidRPr="00AD44F6">
        <w:rPr>
          <w:rStyle w:val="Appelnotedebasdep"/>
        </w:rPr>
        <w:footnoteReference w:id="13"/>
      </w:r>
      <w:r>
        <w:t>.</w:t>
      </w:r>
      <w:r w:rsidRPr="007C6ED9">
        <w:t xml:space="preserve"> Expliquer si l</w:t>
      </w:r>
      <w:r w:rsidR="00466E87">
        <w:t>’</w:t>
      </w:r>
      <w:r>
        <w:t>État</w:t>
      </w:r>
      <w:r w:rsidRPr="007C6ED9">
        <w:t xml:space="preserve"> </w:t>
      </w:r>
      <w:r>
        <w:t>Partie</w:t>
      </w:r>
      <w:r w:rsidRPr="007C6ED9">
        <w:t xml:space="preserve"> a l</w:t>
      </w:r>
      <w:r w:rsidR="00466E87">
        <w:t>’</w:t>
      </w:r>
      <w:r w:rsidRPr="007C6ED9">
        <w:t>intention d</w:t>
      </w:r>
      <w:r w:rsidR="00466E87">
        <w:t>’</w:t>
      </w:r>
      <w:r w:rsidRPr="007C6ED9">
        <w:t>amender l</w:t>
      </w:r>
      <w:r w:rsidR="00466E87">
        <w:t>’</w:t>
      </w:r>
      <w:r w:rsidRPr="007C6ED9">
        <w:t>article 40 de la</w:t>
      </w:r>
      <w:r>
        <w:t>dite</w:t>
      </w:r>
      <w:r w:rsidRPr="007C6ED9">
        <w:t xml:space="preserve"> loi afin de donner au</w:t>
      </w:r>
      <w:r>
        <w:t>x</w:t>
      </w:r>
      <w:r w:rsidRPr="007C6ED9">
        <w:t xml:space="preserve"> travailleur</w:t>
      </w:r>
      <w:r>
        <w:t>s</w:t>
      </w:r>
      <w:r w:rsidRPr="007C6ED9">
        <w:t xml:space="preserve"> migrant</w:t>
      </w:r>
      <w:r>
        <w:t>s</w:t>
      </w:r>
      <w:r w:rsidRPr="007C6ED9">
        <w:t xml:space="preserve"> en situation irrégulière un délai suffisant pour pouvoir exercer un recours contre la décision </w:t>
      </w:r>
      <w:r>
        <w:t>d</w:t>
      </w:r>
      <w:r w:rsidR="00466E87">
        <w:t>’</w:t>
      </w:r>
      <w:r>
        <w:t xml:space="preserve">obligation </w:t>
      </w:r>
      <w:r w:rsidRPr="007C6ED9">
        <w:t>de quitter le territoire. Fournir également des informations sur le nombre de migrants ayant fait l</w:t>
      </w:r>
      <w:r w:rsidR="00466E87">
        <w:t>’</w:t>
      </w:r>
      <w:r w:rsidRPr="007C6ED9">
        <w:t>objet d</w:t>
      </w:r>
      <w:r w:rsidR="00466E87">
        <w:t>’</w:t>
      </w:r>
      <w:r w:rsidRPr="007C6ED9">
        <w:t>une procédure d</w:t>
      </w:r>
      <w:r w:rsidR="00466E87">
        <w:t>’</w:t>
      </w:r>
      <w:r w:rsidRPr="007C6ED9">
        <w:t>expulsion</w:t>
      </w:r>
      <w:r w:rsidRPr="00AD44F6">
        <w:rPr>
          <w:rStyle w:val="Appelnotedebasdep"/>
        </w:rPr>
        <w:footnoteReference w:id="14"/>
      </w:r>
      <w:r w:rsidRPr="007C6ED9">
        <w:t>.</w:t>
      </w:r>
    </w:p>
    <w:p w14:paraId="119064E8" w14:textId="77777777" w:rsidR="00E171BB" w:rsidRPr="007C6ED9" w:rsidRDefault="00E171BB" w:rsidP="00E171BB">
      <w:pPr>
        <w:pStyle w:val="H23G"/>
      </w:pPr>
      <w:r w:rsidRPr="007C6ED9">
        <w:tab/>
      </w:r>
      <w:r w:rsidRPr="007C6ED9">
        <w:tab/>
        <w:t>Articles 16 et 23</w:t>
      </w:r>
    </w:p>
    <w:p w14:paraId="6B7BD412" w14:textId="2823A60E" w:rsidR="00E171BB" w:rsidRPr="007C6ED9" w:rsidRDefault="00E171BB" w:rsidP="00E171BB">
      <w:pPr>
        <w:pStyle w:val="SingleTxtG"/>
      </w:pPr>
      <w:r w:rsidRPr="007C6ED9">
        <w:t>15.</w:t>
      </w:r>
      <w:r w:rsidRPr="007C6ED9">
        <w:tab/>
        <w:t>Fournir des informations sur l</w:t>
      </w:r>
      <w:r w:rsidR="00466E87">
        <w:t>’</w:t>
      </w:r>
      <w:r w:rsidRPr="007C6ED9">
        <w:t>accès des travailleurs migrants guinéens vivant à l</w:t>
      </w:r>
      <w:r w:rsidR="00466E87">
        <w:t>’</w:t>
      </w:r>
      <w:r w:rsidRPr="007C6ED9">
        <w:t>étranger à l</w:t>
      </w:r>
      <w:r w:rsidR="00466E87">
        <w:t>’</w:t>
      </w:r>
      <w:r w:rsidRPr="007C6ED9">
        <w:t xml:space="preserve">assistance </w:t>
      </w:r>
      <w:r>
        <w:t xml:space="preserve">et à la protection </w:t>
      </w:r>
      <w:r w:rsidRPr="007C6ED9">
        <w:t>consulaire</w:t>
      </w:r>
      <w:r>
        <w:t>s</w:t>
      </w:r>
      <w:r w:rsidRPr="007C6ED9">
        <w:t xml:space="preserve"> de l</w:t>
      </w:r>
      <w:r w:rsidR="00466E87">
        <w:t>’</w:t>
      </w:r>
      <w:r w:rsidRPr="007C6ED9">
        <w:t xml:space="preserve">État </w:t>
      </w:r>
      <w:r>
        <w:t>Partie</w:t>
      </w:r>
      <w:r w:rsidRPr="007C6ED9">
        <w:t>, notamment en cas de détention ou d</w:t>
      </w:r>
      <w:r w:rsidR="00466E87">
        <w:t>’</w:t>
      </w:r>
      <w:r w:rsidRPr="007C6ED9">
        <w:t>expulsion. Expliquer si les services consulaires apportent l</w:t>
      </w:r>
      <w:r w:rsidR="00466E87">
        <w:t>’</w:t>
      </w:r>
      <w:r w:rsidRPr="007C6ED9">
        <w:t>assistance requise à ceux qui sont privés de liberté ou visés par une décision d</w:t>
      </w:r>
      <w:r w:rsidR="00466E87">
        <w:t>’</w:t>
      </w:r>
      <w:r w:rsidRPr="007C6ED9">
        <w:t>expulsion dans les pays d</w:t>
      </w:r>
      <w:r w:rsidR="00466E87">
        <w:t>’</w:t>
      </w:r>
      <w:r w:rsidRPr="007C6ED9">
        <w:t>accueil ou de transit</w:t>
      </w:r>
      <w:r>
        <w:t>,</w:t>
      </w:r>
      <w:r w:rsidRPr="007C6ED9">
        <w:t xml:space="preserve"> et si des mesures sont prises afin que les autorités consulaires ou diplomatiques des États d</w:t>
      </w:r>
      <w:r w:rsidR="00466E87">
        <w:t>’</w:t>
      </w:r>
      <w:r w:rsidRPr="007C6ED9">
        <w:t>origine ou d</w:t>
      </w:r>
      <w:r w:rsidR="00466E87">
        <w:t>’</w:t>
      </w:r>
      <w:r w:rsidRPr="007C6ED9">
        <w:t>un État représentant les intérêts de ces États s</w:t>
      </w:r>
      <w:r>
        <w:t>oient</w:t>
      </w:r>
      <w:r w:rsidRPr="007C6ED9">
        <w:t xml:space="preserve"> systématiquement informées de la mise en détention dans l</w:t>
      </w:r>
      <w:r w:rsidR="00466E87">
        <w:t>’</w:t>
      </w:r>
      <w:r w:rsidRPr="007C6ED9">
        <w:t xml:space="preserve">État </w:t>
      </w:r>
      <w:r>
        <w:t>Partie</w:t>
      </w:r>
      <w:r w:rsidRPr="007C6ED9">
        <w:t xml:space="preserve"> de l</w:t>
      </w:r>
      <w:r w:rsidR="00466E87">
        <w:t>’</w:t>
      </w:r>
      <w:r w:rsidRPr="007C6ED9">
        <w:t>un de leurs ressortissants</w:t>
      </w:r>
      <w:r w:rsidRPr="00AD44F6">
        <w:rPr>
          <w:rStyle w:val="Appelnotedebasdep"/>
        </w:rPr>
        <w:footnoteReference w:id="15"/>
      </w:r>
      <w:r w:rsidRPr="007C6ED9">
        <w:t>.</w:t>
      </w:r>
    </w:p>
    <w:p w14:paraId="0883B4CC" w14:textId="75EEA707" w:rsidR="00E171BB" w:rsidRPr="007C6ED9" w:rsidRDefault="00E171BB" w:rsidP="000562C0">
      <w:pPr>
        <w:pStyle w:val="SingleTxtG"/>
        <w:keepNext/>
        <w:keepLines/>
      </w:pPr>
      <w:r w:rsidRPr="007C6ED9">
        <w:lastRenderedPageBreak/>
        <w:t>16.</w:t>
      </w:r>
      <w:r w:rsidRPr="007C6ED9">
        <w:tab/>
        <w:t>Fournir des informations sur les mesures de contrôle aux frontières, notamment en ce qui concerne les procédures applicables aux travailleurs migrants et aux demandeurs d</w:t>
      </w:r>
      <w:r w:rsidR="00466E87">
        <w:t>’</w:t>
      </w:r>
      <w:r w:rsidRPr="007C6ED9">
        <w:t>asile qui arrivent aux frontières de l</w:t>
      </w:r>
      <w:r w:rsidR="00466E87">
        <w:t>’</w:t>
      </w:r>
      <w:r w:rsidRPr="007C6ED9">
        <w:t xml:space="preserve">État </w:t>
      </w:r>
      <w:r>
        <w:t>Partie</w:t>
      </w:r>
      <w:r w:rsidRPr="007C6ED9">
        <w:t>, y compris en ce qui concerne les installations d</w:t>
      </w:r>
      <w:r w:rsidR="00466E87">
        <w:t>’</w:t>
      </w:r>
      <w:r w:rsidRPr="007C6ED9">
        <w:t>accueil, ainsi que sur la manière dont l</w:t>
      </w:r>
      <w:r w:rsidR="00466E87">
        <w:t>’</w:t>
      </w:r>
      <w:r w:rsidRPr="007C6ED9">
        <w:t xml:space="preserve">État </w:t>
      </w:r>
      <w:r>
        <w:t>Partie</w:t>
      </w:r>
      <w:r w:rsidRPr="007C6ED9">
        <w:t xml:space="preserve"> traite les demandes de protection afin de se conformer au principe de non-refoulement et à l</w:t>
      </w:r>
      <w:r w:rsidR="00466E87">
        <w:t>’</w:t>
      </w:r>
      <w:r w:rsidRPr="007C6ED9">
        <w:t>interdiction des expulsions arbitraires et collectives.</w:t>
      </w:r>
    </w:p>
    <w:p w14:paraId="3FBBAC22" w14:textId="77777777" w:rsidR="00E171BB" w:rsidRPr="007C6ED9" w:rsidRDefault="00E171BB" w:rsidP="00E171BB">
      <w:pPr>
        <w:pStyle w:val="H23G"/>
      </w:pPr>
      <w:r>
        <w:tab/>
      </w:r>
      <w:r>
        <w:tab/>
      </w:r>
      <w:r w:rsidRPr="007C6ED9">
        <w:t>Articles 25 à 30</w:t>
      </w:r>
    </w:p>
    <w:p w14:paraId="1DC76CC5" w14:textId="6D99BA40" w:rsidR="00E171BB" w:rsidRPr="007C6ED9" w:rsidRDefault="00E171BB" w:rsidP="00E171BB">
      <w:pPr>
        <w:pStyle w:val="SingleTxtG"/>
      </w:pPr>
      <w:r w:rsidRPr="007C6ED9">
        <w:t>17.</w:t>
      </w:r>
      <w:r w:rsidRPr="007C6ED9">
        <w:tab/>
        <w:t>Donner des renseignements sur</w:t>
      </w:r>
      <w:r>
        <w:t> </w:t>
      </w:r>
      <w:r w:rsidRPr="007C6ED9">
        <w:t>:</w:t>
      </w:r>
    </w:p>
    <w:p w14:paraId="06A481EF" w14:textId="0B98B9F7" w:rsidR="00E171BB" w:rsidRPr="007C6ED9" w:rsidRDefault="00E171BB" w:rsidP="00E171BB">
      <w:pPr>
        <w:pStyle w:val="SingleTxtG"/>
        <w:ind w:firstLine="567"/>
      </w:pPr>
      <w:r w:rsidRPr="007C6ED9">
        <w:t>a)</w:t>
      </w:r>
      <w:r w:rsidRPr="007C6ED9">
        <w:tab/>
        <w:t>Les dispositifs juridiques et les mécanismes de protection et d</w:t>
      </w:r>
      <w:r w:rsidR="00466E87">
        <w:t>’</w:t>
      </w:r>
      <w:r w:rsidRPr="007C6ED9">
        <w:t>application du droit du travail instaurés pour faire en sorte que les travailleurs migrants, y compris les femmes, bénéficient d</w:t>
      </w:r>
      <w:r w:rsidR="00466E87">
        <w:t>’</w:t>
      </w:r>
      <w:r w:rsidRPr="007C6ED9">
        <w:t>un traitement qui ne soit pas moins favorable que celui qui est appliqué aux nationaux en matière de rémunération et de conditions de travail</w:t>
      </w:r>
      <w:r>
        <w:t> </w:t>
      </w:r>
      <w:r w:rsidRPr="007C6ED9">
        <w:t>; toutes les mesures prises notamment par l</w:t>
      </w:r>
      <w:r w:rsidR="00466E87">
        <w:t>’</w:t>
      </w:r>
      <w:r w:rsidRPr="007C6ED9">
        <w:t>inspection du travail pour s</w:t>
      </w:r>
      <w:r w:rsidR="00466E87">
        <w:t>’</w:t>
      </w:r>
      <w:r w:rsidRPr="007C6ED9">
        <w:t>assurer de ces conditions de travail en particulier dans le secteur informel ; et toutes les mesures prises afin de faire en sorte que les travailleurs migrants ne soient pas privés des droits qui dérivent de ce principe en raison de l</w:t>
      </w:r>
      <w:r w:rsidR="00466E87">
        <w:t>’</w:t>
      </w:r>
      <w:r w:rsidRPr="007C6ED9">
        <w:t>irrégularité de leur situation en matière de séjour ou d</w:t>
      </w:r>
      <w:r w:rsidR="00466E87">
        <w:t>’</w:t>
      </w:r>
      <w:r w:rsidRPr="007C6ED9">
        <w:t>emploi</w:t>
      </w:r>
      <w:r>
        <w:t> </w:t>
      </w:r>
      <w:r w:rsidRPr="007C6ED9">
        <w:t>;</w:t>
      </w:r>
    </w:p>
    <w:p w14:paraId="7019626C" w14:textId="4434C9E5" w:rsidR="00E171BB" w:rsidRPr="007C6ED9" w:rsidRDefault="00E171BB" w:rsidP="00E171BB">
      <w:pPr>
        <w:pStyle w:val="SingleTxtG"/>
        <w:ind w:firstLine="567"/>
      </w:pPr>
      <w:r w:rsidRPr="007C6ED9">
        <w:t>b)</w:t>
      </w:r>
      <w:r w:rsidRPr="007C6ED9">
        <w:tab/>
        <w:t xml:space="preserve">Les mesures mises en place afin de garantir </w:t>
      </w:r>
      <w:r>
        <w:t xml:space="preserve">le droit à </w:t>
      </w:r>
      <w:r w:rsidRPr="007C6ED9">
        <w:t>l</w:t>
      </w:r>
      <w:r w:rsidR="00466E87">
        <w:t>’</w:t>
      </w:r>
      <w:r w:rsidRPr="007C6ED9">
        <w:t xml:space="preserve">enregistrement </w:t>
      </w:r>
      <w:r>
        <w:t>à la naissance, à un nom, et l</w:t>
      </w:r>
      <w:r w:rsidR="00466E87">
        <w:t>’</w:t>
      </w:r>
      <w:r>
        <w:t xml:space="preserve">accès à la nationalité </w:t>
      </w:r>
      <w:r w:rsidRPr="007C6ED9">
        <w:t>des enfants nés de travailleurs migrants guinéens à l</w:t>
      </w:r>
      <w:r w:rsidR="00466E87">
        <w:t>’</w:t>
      </w:r>
      <w:r w:rsidRPr="007C6ED9">
        <w:t>étranger, indépendamment du statut migratoire de leurs parents, et de veiller à ce qu</w:t>
      </w:r>
      <w:r w:rsidR="00466E87">
        <w:t>’</w:t>
      </w:r>
      <w:r w:rsidRPr="007C6ED9">
        <w:t>ils soient pourvus de documents d</w:t>
      </w:r>
      <w:r w:rsidR="00466E87">
        <w:t>’</w:t>
      </w:r>
      <w:r w:rsidRPr="007C6ED9">
        <w:t>identité personnels</w:t>
      </w:r>
      <w:r>
        <w:t>, ainsi que</w:t>
      </w:r>
      <w:r w:rsidRPr="007C6ED9">
        <w:t xml:space="preserve"> les mesures prises pour garantir l</w:t>
      </w:r>
      <w:r w:rsidR="00466E87">
        <w:t>’</w:t>
      </w:r>
      <w:r w:rsidRPr="007C6ED9">
        <w:t>enregistrement des enfants nés de travailleurs migrants étrangers dans l</w:t>
      </w:r>
      <w:r w:rsidR="00466E87">
        <w:t>’</w:t>
      </w:r>
      <w:r w:rsidRPr="007C6ED9">
        <w:t xml:space="preserve">État </w:t>
      </w:r>
      <w:r>
        <w:t>Partie</w:t>
      </w:r>
      <w:r w:rsidRPr="007C6ED9">
        <w:t>.</w:t>
      </w:r>
    </w:p>
    <w:p w14:paraId="18E1B6B5" w14:textId="09841AD7" w:rsidR="00E171BB" w:rsidRPr="007C6ED9" w:rsidRDefault="00E171BB" w:rsidP="00E171BB">
      <w:pPr>
        <w:pStyle w:val="SingleTxtG"/>
      </w:pPr>
      <w:r w:rsidRPr="007C6ED9">
        <w:t>18.</w:t>
      </w:r>
      <w:r w:rsidRPr="007C6ED9">
        <w:tab/>
        <w:t>Expliquer si les articles 311.6</w:t>
      </w:r>
      <w:r>
        <w:t xml:space="preserve"> et 322.4</w:t>
      </w:r>
      <w:r w:rsidRPr="007C6ED9">
        <w:t xml:space="preserve"> du Code du travail</w:t>
      </w:r>
      <w:r>
        <w:t>,</w:t>
      </w:r>
      <w:r w:rsidRPr="007C6ED9">
        <w:t xml:space="preserve"> </w:t>
      </w:r>
      <w:r>
        <w:t xml:space="preserve">qui </w:t>
      </w:r>
      <w:r w:rsidRPr="007C6ED9">
        <w:t>exigent que le travailleur migrant ait résidé trois ans dans l</w:t>
      </w:r>
      <w:r w:rsidR="00466E87">
        <w:t>’</w:t>
      </w:r>
      <w:r w:rsidRPr="007C6ED9">
        <w:t xml:space="preserve">État </w:t>
      </w:r>
      <w:r>
        <w:t>Partie</w:t>
      </w:r>
      <w:r w:rsidRPr="007C6ED9">
        <w:t xml:space="preserve"> pour pouvoir être chargé de la direction d</w:t>
      </w:r>
      <w:r w:rsidR="00466E87">
        <w:t>’</w:t>
      </w:r>
      <w:r w:rsidRPr="007C6ED9">
        <w:t>un syndicat ou d</w:t>
      </w:r>
      <w:r w:rsidR="00466E87">
        <w:t>’</w:t>
      </w:r>
      <w:r w:rsidRPr="007C6ED9">
        <w:t>une organisation patronale, sont toujours en vigueur ou s</w:t>
      </w:r>
      <w:r w:rsidR="00466E87">
        <w:t>’</w:t>
      </w:r>
      <w:r w:rsidRPr="007C6ED9">
        <w:t>ils ont été modifiés conformément à la recommandation du Comité dans ses précédentes observations finales</w:t>
      </w:r>
      <w:r w:rsidRPr="00AD44F6">
        <w:rPr>
          <w:rStyle w:val="Appelnotedebasdep"/>
        </w:rPr>
        <w:footnoteReference w:id="16"/>
      </w:r>
      <w:r w:rsidRPr="007C6ED9">
        <w:t>.</w:t>
      </w:r>
    </w:p>
    <w:p w14:paraId="262AFFC5" w14:textId="164F70CA" w:rsidR="00E171BB" w:rsidRPr="007C6ED9" w:rsidRDefault="00E171BB" w:rsidP="00E171BB">
      <w:pPr>
        <w:pStyle w:val="SingleTxtG"/>
      </w:pPr>
      <w:r w:rsidRPr="007C6ED9">
        <w:t>19.</w:t>
      </w:r>
      <w:r w:rsidRPr="007C6ED9">
        <w:tab/>
        <w:t>Fournir des informations sur l</w:t>
      </w:r>
      <w:r w:rsidR="00466E87">
        <w:t>’</w:t>
      </w:r>
      <w:r w:rsidRPr="007C6ED9">
        <w:t>existence d</w:t>
      </w:r>
      <w:r w:rsidR="00466E87">
        <w:t>’</w:t>
      </w:r>
      <w:r w:rsidRPr="007C6ED9">
        <w:t>accords bilatéraux et multilatéraux de sécurité sociale permettant d</w:t>
      </w:r>
      <w:r w:rsidR="00466E87">
        <w:t>’</w:t>
      </w:r>
      <w:r w:rsidRPr="007C6ED9">
        <w:t xml:space="preserve">assurer la protection sociale </w:t>
      </w:r>
      <w:r>
        <w:t>et la portabilité des droits sociaux des travailleurs migrants et des membres de leur famille</w:t>
      </w:r>
      <w:r w:rsidRPr="007C6ED9">
        <w:t xml:space="preserve">. Fournir </w:t>
      </w:r>
      <w:r>
        <w:t xml:space="preserve">également </w:t>
      </w:r>
      <w:r w:rsidRPr="007C6ED9">
        <w:t>des informations basées sur des statistiques ventilées</w:t>
      </w:r>
      <w:r>
        <w:t xml:space="preserve"> concernant</w:t>
      </w:r>
      <w:r w:rsidRPr="007C6ED9">
        <w:t xml:space="preserve"> l</w:t>
      </w:r>
      <w:r w:rsidR="00466E87">
        <w:t>’</w:t>
      </w:r>
      <w:r w:rsidRPr="007C6ED9">
        <w:t>accès, en droit et en pratique, des travailleurs migrants et des membres de leur famille, quel que soit leur statut migratoire :</w:t>
      </w:r>
    </w:p>
    <w:p w14:paraId="5AA2DD04" w14:textId="18A42FCF" w:rsidR="00E171BB" w:rsidRPr="007C6ED9" w:rsidRDefault="00E171BB" w:rsidP="00E171BB">
      <w:pPr>
        <w:pStyle w:val="SingleTxtG"/>
        <w:ind w:firstLine="567"/>
      </w:pPr>
      <w:r w:rsidRPr="007C6ED9">
        <w:t>a)</w:t>
      </w:r>
      <w:r w:rsidRPr="007C6ED9">
        <w:tab/>
        <w:t>Aux soins médicaux d</w:t>
      </w:r>
      <w:r w:rsidR="00466E87">
        <w:t>’</w:t>
      </w:r>
      <w:r w:rsidRPr="007C6ED9">
        <w:t>urgence qui sont nécessaires pour préserver leur vie ou éviter un dommage irréparable à leur santé, sur la base de l</w:t>
      </w:r>
      <w:r w:rsidR="00466E87">
        <w:t>’</w:t>
      </w:r>
      <w:r w:rsidRPr="007C6ED9">
        <w:t>égalité de traitement avec les ressortissants de l</w:t>
      </w:r>
      <w:r w:rsidR="00466E87">
        <w:t>’</w:t>
      </w:r>
      <w:r w:rsidRPr="007C6ED9">
        <w:t xml:space="preserve">État </w:t>
      </w:r>
      <w:r>
        <w:t>Partie, en précisant</w:t>
      </w:r>
      <w:r w:rsidRPr="007C6ED9">
        <w:t xml:space="preserve"> les campagnes de sensibilisation menées pour que ceux-ci soient informés de leurs droits</w:t>
      </w:r>
      <w:r w:rsidR="00B04B0D">
        <w:t> </w:t>
      </w:r>
      <w:r w:rsidRPr="007C6ED9">
        <w:t>;</w:t>
      </w:r>
    </w:p>
    <w:p w14:paraId="3505C1FD" w14:textId="749BEBF3" w:rsidR="00E171BB" w:rsidRPr="007C6ED9" w:rsidRDefault="00E171BB" w:rsidP="00E171BB">
      <w:pPr>
        <w:pStyle w:val="SingleTxtG"/>
        <w:ind w:firstLine="567"/>
      </w:pPr>
      <w:r w:rsidRPr="007C6ED9">
        <w:t>b)</w:t>
      </w:r>
      <w:r w:rsidRPr="007C6ED9">
        <w:tab/>
        <w:t>Aux allocations de maternité et aux allocations familiales.</w:t>
      </w:r>
    </w:p>
    <w:p w14:paraId="38EFD117" w14:textId="77777777" w:rsidR="00E171BB" w:rsidRPr="007C6ED9" w:rsidRDefault="00E171BB" w:rsidP="00E171BB">
      <w:pPr>
        <w:pStyle w:val="H23G"/>
      </w:pPr>
      <w:r w:rsidRPr="007C6ED9">
        <w:tab/>
        <w:t>4.</w:t>
      </w:r>
      <w:r w:rsidRPr="007C6ED9">
        <w:tab/>
        <w:t>Quatrième partie de la Convention</w:t>
      </w:r>
    </w:p>
    <w:p w14:paraId="63353273" w14:textId="591BCA96" w:rsidR="00E171BB" w:rsidRPr="007C6ED9" w:rsidRDefault="00E171BB" w:rsidP="00E171BB">
      <w:pPr>
        <w:pStyle w:val="SingleTxtG"/>
      </w:pPr>
      <w:r w:rsidRPr="007C6ED9">
        <w:t>20.</w:t>
      </w:r>
      <w:r w:rsidRPr="007C6ED9">
        <w:tab/>
        <w:t>Préciser les contours de l</w:t>
      </w:r>
      <w:r w:rsidR="00466E87">
        <w:t>’</w:t>
      </w:r>
      <w:r w:rsidRPr="007C6ED9">
        <w:t>article 51 de la loi L/94/019/CTRN</w:t>
      </w:r>
      <w:r>
        <w:t>,</w:t>
      </w:r>
      <w:r w:rsidRPr="007C6ED9">
        <w:t xml:space="preserve"> </w:t>
      </w:r>
      <w:r>
        <w:t>qui restreint le</w:t>
      </w:r>
      <w:r w:rsidRPr="007C6ED9">
        <w:t xml:space="preserve"> droit </w:t>
      </w:r>
      <w:r>
        <w:t xml:space="preserve">des étrangers </w:t>
      </w:r>
      <w:r w:rsidRPr="007C6ED9">
        <w:t>de circuler librement sur le territoire de l</w:t>
      </w:r>
      <w:r w:rsidR="00466E87">
        <w:t>’</w:t>
      </w:r>
      <w:r w:rsidRPr="007C6ED9">
        <w:t xml:space="preserve">État </w:t>
      </w:r>
      <w:r>
        <w:t>Partie</w:t>
      </w:r>
      <w:r w:rsidRPr="00AD44F6">
        <w:rPr>
          <w:rStyle w:val="Appelnotedebasdep"/>
        </w:rPr>
        <w:footnoteReference w:id="17"/>
      </w:r>
      <w:r w:rsidRPr="007C6ED9">
        <w:t>.</w:t>
      </w:r>
    </w:p>
    <w:p w14:paraId="0ADD507B" w14:textId="7E45432B" w:rsidR="00E171BB" w:rsidRPr="007C6ED9" w:rsidRDefault="00E171BB" w:rsidP="00E171BB">
      <w:pPr>
        <w:pStyle w:val="SingleTxtG"/>
      </w:pPr>
      <w:r w:rsidRPr="007C6ED9">
        <w:t>21.</w:t>
      </w:r>
      <w:r w:rsidRPr="007C6ED9">
        <w:tab/>
        <w:t>Fournir des informations concernant la possibilité pour les Guinéens vivant à l</w:t>
      </w:r>
      <w:r w:rsidR="00466E87">
        <w:t>’</w:t>
      </w:r>
      <w:r w:rsidRPr="007C6ED9">
        <w:t>étranger d</w:t>
      </w:r>
      <w:r w:rsidR="00466E87">
        <w:t>’</w:t>
      </w:r>
      <w:r>
        <w:t xml:space="preserve">exercer leurs droits politiques </w:t>
      </w:r>
      <w:r w:rsidRPr="007C6ED9">
        <w:t>e</w:t>
      </w:r>
      <w:r>
        <w:t>t</w:t>
      </w:r>
      <w:r w:rsidRPr="007C6ED9">
        <w:t xml:space="preserve"> </w:t>
      </w:r>
      <w:r>
        <w:t xml:space="preserve">de </w:t>
      </w:r>
      <w:r w:rsidRPr="007C6ED9">
        <w:t>prendre part aux affaires publiques dans l</w:t>
      </w:r>
      <w:r w:rsidR="00466E87">
        <w:t>’</w:t>
      </w:r>
      <w:r w:rsidRPr="007C6ED9">
        <w:t xml:space="preserve">État </w:t>
      </w:r>
      <w:r>
        <w:t>Partie,</w:t>
      </w:r>
      <w:r w:rsidRPr="007C6ED9">
        <w:t xml:space="preserve"> et concernant le taux de participation, aux élections présidentielles et législatives, des </w:t>
      </w:r>
      <w:r>
        <w:t>G</w:t>
      </w:r>
      <w:r w:rsidRPr="007C6ED9">
        <w:t>uinéens vivant à l</w:t>
      </w:r>
      <w:r w:rsidR="00466E87">
        <w:t>’</w:t>
      </w:r>
      <w:r w:rsidRPr="007C6ED9">
        <w:t>étranger. Apporter des précisions sur les campagnes de sensibilisation menée</w:t>
      </w:r>
      <w:r>
        <w:t>s</w:t>
      </w:r>
      <w:r w:rsidRPr="007C6ED9">
        <w:t xml:space="preserve"> à cet effet</w:t>
      </w:r>
      <w:r w:rsidRPr="00AD44F6">
        <w:rPr>
          <w:rStyle w:val="Appelnotedebasdep"/>
        </w:rPr>
        <w:footnoteReference w:id="18"/>
      </w:r>
      <w:r w:rsidRPr="007C6ED9">
        <w:t>.</w:t>
      </w:r>
    </w:p>
    <w:p w14:paraId="676524F8" w14:textId="602E275F" w:rsidR="00E171BB" w:rsidRPr="007C6ED9" w:rsidRDefault="00E171BB" w:rsidP="00E171BB">
      <w:pPr>
        <w:pStyle w:val="SingleTxtG"/>
      </w:pPr>
      <w:r w:rsidRPr="007C6ED9">
        <w:t>22.</w:t>
      </w:r>
      <w:r w:rsidRPr="007C6ED9">
        <w:tab/>
        <w:t>Fournir des informations sur la possibilité pour les travailleurs migrants de continuer à percevoir, quand ils quittent le territoire de l</w:t>
      </w:r>
      <w:r w:rsidR="00466E87">
        <w:t>’</w:t>
      </w:r>
      <w:r w:rsidRPr="007C6ED9">
        <w:t xml:space="preserve">État </w:t>
      </w:r>
      <w:r>
        <w:t>Partie</w:t>
      </w:r>
      <w:r w:rsidRPr="007C6ED9">
        <w:t>, les avantages sociaux et indemnités pour lesquels ils ont cotisé, et sur l</w:t>
      </w:r>
      <w:r w:rsidR="00466E87">
        <w:t>’</w:t>
      </w:r>
      <w:r w:rsidRPr="007C6ED9">
        <w:t>existence d</w:t>
      </w:r>
      <w:r w:rsidR="00466E87">
        <w:t>’</w:t>
      </w:r>
      <w:r w:rsidRPr="007C6ED9">
        <w:t xml:space="preserve">une procédure permettant le transfert de ces </w:t>
      </w:r>
      <w:r w:rsidRPr="007C6ED9">
        <w:lastRenderedPageBreak/>
        <w:t>fonds</w:t>
      </w:r>
      <w:r w:rsidRPr="00AD44F6">
        <w:rPr>
          <w:rStyle w:val="Appelnotedebasdep"/>
        </w:rPr>
        <w:footnoteReference w:id="19"/>
      </w:r>
      <w:r w:rsidRPr="007C6ED9">
        <w:t xml:space="preserve">. Fournir en particulier des informations sur les mesures prises pour mettre en œuvre la recommandation </w:t>
      </w:r>
      <w:r>
        <w:t>de la Commission d</w:t>
      </w:r>
      <w:r w:rsidR="00466E87">
        <w:t>’</w:t>
      </w:r>
      <w:r>
        <w:t>experts pour l</w:t>
      </w:r>
      <w:r w:rsidR="00466E87">
        <w:t>’</w:t>
      </w:r>
      <w:r>
        <w:t>application des conventions et recommandations</w:t>
      </w:r>
      <w:r w:rsidRPr="007C6ED9">
        <w:t xml:space="preserve"> de l</w:t>
      </w:r>
      <w:r w:rsidR="00466E87">
        <w:t>’</w:t>
      </w:r>
      <w:r w:rsidRPr="007C6ED9">
        <w:t>OIT visant à amender le Code de sécurité sociale pour s</w:t>
      </w:r>
      <w:r w:rsidR="00466E87">
        <w:t>’</w:t>
      </w:r>
      <w:r w:rsidRPr="007C6ED9">
        <w:t>assurer que les avantages sociaux et indemnités sont perçus même en cas d</w:t>
      </w:r>
      <w:r w:rsidR="00466E87">
        <w:t>’</w:t>
      </w:r>
      <w:r w:rsidRPr="007C6ED9">
        <w:t>absence d</w:t>
      </w:r>
      <w:r w:rsidR="00466E87">
        <w:t>’</w:t>
      </w:r>
      <w:r w:rsidRPr="007C6ED9">
        <w:t>accords bilatéraux et multilatéraux.</w:t>
      </w:r>
    </w:p>
    <w:p w14:paraId="2E483754" w14:textId="6399B155" w:rsidR="00E171BB" w:rsidRPr="007C6ED9" w:rsidRDefault="00E171BB" w:rsidP="00E171BB">
      <w:pPr>
        <w:pStyle w:val="SingleTxtG"/>
      </w:pPr>
      <w:r w:rsidRPr="007C6ED9">
        <w:t>23.</w:t>
      </w:r>
      <w:r w:rsidRPr="007C6ED9">
        <w:tab/>
        <w:t>Fournir des informations sur les partenariats mis en place avec des institutions financières pour faciliter l</w:t>
      </w:r>
      <w:r w:rsidR="00466E87">
        <w:t>’</w:t>
      </w:r>
      <w:r w:rsidRPr="007C6ED9">
        <w:t>envoi de fonds, par les travailleurs migrants guinéens vivant à l</w:t>
      </w:r>
      <w:r w:rsidR="00466E87">
        <w:t>’</w:t>
      </w:r>
      <w:r w:rsidRPr="007C6ED9">
        <w:t>étranger, vers l</w:t>
      </w:r>
      <w:r w:rsidR="00466E87">
        <w:t>’</w:t>
      </w:r>
      <w:r w:rsidRPr="007C6ED9">
        <w:t xml:space="preserve">État </w:t>
      </w:r>
      <w:r>
        <w:t>Partie, ainsi que sur</w:t>
      </w:r>
      <w:r w:rsidRPr="007C6ED9">
        <w:t xml:space="preserve"> les mesures prises pour réduire le coût de l</w:t>
      </w:r>
      <w:r w:rsidR="00466E87">
        <w:t>’</w:t>
      </w:r>
      <w:r w:rsidRPr="007C6ED9">
        <w:t>envoi et de la réception des fonds et pour rendre l</w:t>
      </w:r>
      <w:r w:rsidR="00466E87">
        <w:t>’</w:t>
      </w:r>
      <w:r w:rsidRPr="007C6ED9">
        <w:t>épargne plus accessible pour les travailleurs migrants et les membres de leur famille</w:t>
      </w:r>
      <w:r w:rsidRPr="00AD44F6">
        <w:rPr>
          <w:rStyle w:val="Appelnotedebasdep"/>
        </w:rPr>
        <w:footnoteReference w:id="20"/>
      </w:r>
      <w:r w:rsidRPr="007C6ED9">
        <w:t>.</w:t>
      </w:r>
    </w:p>
    <w:p w14:paraId="237F6750" w14:textId="20F6DF11" w:rsidR="00E171BB" w:rsidRPr="007C6ED9" w:rsidRDefault="00E171BB" w:rsidP="00E171BB">
      <w:pPr>
        <w:pStyle w:val="SingleTxtG"/>
      </w:pPr>
      <w:r w:rsidRPr="007C6ED9">
        <w:t>24.</w:t>
      </w:r>
      <w:r w:rsidRPr="007C6ED9">
        <w:tab/>
        <w:t>Indiquer les mesures prises pour veiller à ce que les travailleurs migrants dans l</w:t>
      </w:r>
      <w:r w:rsidR="00466E87">
        <w:t>’</w:t>
      </w:r>
      <w:r w:rsidRPr="007C6ED9">
        <w:t xml:space="preserve">État </w:t>
      </w:r>
      <w:r>
        <w:t>Partie</w:t>
      </w:r>
      <w:r w:rsidRPr="007C6ED9">
        <w:t xml:space="preserve"> ne perdent pas leur permis de séjour du seul fait que leur activité rémunérée a cessé avant l</w:t>
      </w:r>
      <w:r w:rsidR="00466E87">
        <w:t>’</w:t>
      </w:r>
      <w:r w:rsidRPr="007C6ED9">
        <w:t>expiration de leur permis de travail ou autorisation analogue</w:t>
      </w:r>
      <w:r w:rsidRPr="00AD44F6">
        <w:rPr>
          <w:rStyle w:val="Appelnotedebasdep"/>
        </w:rPr>
        <w:footnoteReference w:id="21"/>
      </w:r>
      <w:r w:rsidRPr="007C6ED9">
        <w:t>.</w:t>
      </w:r>
    </w:p>
    <w:p w14:paraId="69AB1AB6" w14:textId="77777777" w:rsidR="00E171BB" w:rsidRPr="007C6ED9" w:rsidRDefault="00E171BB" w:rsidP="00E171BB">
      <w:pPr>
        <w:pStyle w:val="H23G"/>
      </w:pPr>
      <w:r w:rsidRPr="007C6ED9">
        <w:tab/>
        <w:t>5.</w:t>
      </w:r>
      <w:r w:rsidRPr="007C6ED9">
        <w:tab/>
        <w:t>Sixième partie de la Convention</w:t>
      </w:r>
    </w:p>
    <w:p w14:paraId="642CB03A" w14:textId="3D8B11ED" w:rsidR="00E171BB" w:rsidRDefault="00E171BB" w:rsidP="00E171BB">
      <w:pPr>
        <w:pStyle w:val="SingleTxtG"/>
      </w:pPr>
      <w:r w:rsidRPr="007C6ED9">
        <w:t>25.</w:t>
      </w:r>
      <w:r w:rsidRPr="007C6ED9">
        <w:tab/>
        <w:t>Fournir des informations sur l</w:t>
      </w:r>
      <w:r w:rsidR="00466E87">
        <w:t>’</w:t>
      </w:r>
      <w:r w:rsidRPr="007C6ED9">
        <w:t>impact des mesures prises par l</w:t>
      </w:r>
      <w:r w:rsidR="00466E87">
        <w:t>’</w:t>
      </w:r>
      <w:r>
        <w:t>État</w:t>
      </w:r>
      <w:r w:rsidRPr="007C6ED9">
        <w:t xml:space="preserve"> </w:t>
      </w:r>
      <w:r>
        <w:t>Partie</w:t>
      </w:r>
      <w:r w:rsidRPr="007C6ED9">
        <w:t xml:space="preserve"> pour informer les candidats à l</w:t>
      </w:r>
      <w:r w:rsidR="00466E87">
        <w:t>’</w:t>
      </w:r>
      <w:r>
        <w:t>émigration</w:t>
      </w:r>
      <w:r w:rsidRPr="007C6ED9">
        <w:t xml:space="preserve"> des dangers liés aux voies d</w:t>
      </w:r>
      <w:r w:rsidR="00466E87">
        <w:t>’</w:t>
      </w:r>
      <w:r w:rsidRPr="007C6ED9">
        <w:t xml:space="preserve">immigration irrégulière </w:t>
      </w:r>
      <w:r>
        <w:t>et les sensibiliser à cet égard </w:t>
      </w:r>
      <w:r w:rsidRPr="007C6ED9">
        <w:t>; fournir également des informations, statistiques à l</w:t>
      </w:r>
      <w:r w:rsidR="00466E87">
        <w:t>’</w:t>
      </w:r>
      <w:r w:rsidRPr="007C6ED9">
        <w:t>appui, sur les mesures prises par l</w:t>
      </w:r>
      <w:r w:rsidR="00466E87">
        <w:t>’</w:t>
      </w:r>
      <w:r w:rsidRPr="007C6ED9">
        <w:t xml:space="preserve">État </w:t>
      </w:r>
      <w:r>
        <w:t>Partie</w:t>
      </w:r>
      <w:r w:rsidRPr="007C6ED9">
        <w:t xml:space="preserve"> pour informer les </w:t>
      </w:r>
      <w:r>
        <w:t>G</w:t>
      </w:r>
      <w:r w:rsidRPr="007C6ED9">
        <w:t>uinéens candidats à l</w:t>
      </w:r>
      <w:r w:rsidR="00466E87">
        <w:t>’</w:t>
      </w:r>
      <w:r w:rsidRPr="007C6ED9">
        <w:t>émigration sur les conditions d</w:t>
      </w:r>
      <w:r w:rsidR="00466E87">
        <w:t>’</w:t>
      </w:r>
      <w:r w:rsidRPr="007C6ED9">
        <w:t>entrée et de séjour dans les pays d</w:t>
      </w:r>
      <w:r>
        <w:t>e destination</w:t>
      </w:r>
      <w:r w:rsidRPr="00AD44F6">
        <w:rPr>
          <w:rStyle w:val="Appelnotedebasdep"/>
        </w:rPr>
        <w:footnoteReference w:id="22"/>
      </w:r>
      <w:r w:rsidRPr="007C6ED9">
        <w:t>.</w:t>
      </w:r>
    </w:p>
    <w:p w14:paraId="2171816E" w14:textId="71DB577E" w:rsidR="00E171BB" w:rsidRPr="007C6ED9" w:rsidRDefault="00E171BB" w:rsidP="00E171BB">
      <w:pPr>
        <w:pStyle w:val="SingleTxtG"/>
      </w:pPr>
      <w:r>
        <w:t>26.</w:t>
      </w:r>
      <w:r>
        <w:tab/>
      </w:r>
      <w:r w:rsidRPr="00BE3773">
        <w:t xml:space="preserve">Fournir des informations statistiques sur les Guinéens, y compris les enfants non accompagnés et séparés, qui ont migré </w:t>
      </w:r>
      <w:r>
        <w:t xml:space="preserve">vers les Amériques et </w:t>
      </w:r>
      <w:r w:rsidRPr="00BE3773">
        <w:t>par mer vers les îles Canaries ces dernières années</w:t>
      </w:r>
      <w:r>
        <w:t>, ainsi que</w:t>
      </w:r>
      <w:r w:rsidRPr="00BE3773">
        <w:t xml:space="preserve"> toutes les mesures adoptées pour protéger leurs droits. </w:t>
      </w:r>
      <w:r>
        <w:t>F</w:t>
      </w:r>
      <w:r w:rsidRPr="00BE3773">
        <w:t xml:space="preserve">ournir </w:t>
      </w:r>
      <w:r>
        <w:t xml:space="preserve">également </w:t>
      </w:r>
      <w:r w:rsidRPr="00BE3773">
        <w:t xml:space="preserve">des informations sur les Guinéens morts </w:t>
      </w:r>
      <w:r>
        <w:t>ou</w:t>
      </w:r>
      <w:r w:rsidRPr="00BE3773">
        <w:t xml:space="preserve"> disparus le long de ce</w:t>
      </w:r>
      <w:r>
        <w:t>s</w:t>
      </w:r>
      <w:r w:rsidRPr="00BE3773">
        <w:t xml:space="preserve"> route</w:t>
      </w:r>
      <w:r>
        <w:t>s</w:t>
      </w:r>
      <w:r w:rsidRPr="00BE3773">
        <w:t>, ainsi que sur les mesures prises pour venir en aide aux familles des victimes. Inclure des informations sur les mécanismes de coopération avec d</w:t>
      </w:r>
      <w:r w:rsidR="00466E87">
        <w:t>’</w:t>
      </w:r>
      <w:r w:rsidRPr="00BE3773">
        <w:t>autres États d</w:t>
      </w:r>
      <w:r w:rsidR="00466E87">
        <w:t>’</w:t>
      </w:r>
      <w:r w:rsidRPr="00BE3773">
        <w:t>Afrique de l</w:t>
      </w:r>
      <w:r w:rsidR="00466E87">
        <w:t>’</w:t>
      </w:r>
      <w:r w:rsidRPr="00BE3773">
        <w:t>Ouest, l</w:t>
      </w:r>
      <w:r w:rsidR="00466E87">
        <w:t>’</w:t>
      </w:r>
      <w:r>
        <w:t xml:space="preserve">Espagne, </w:t>
      </w:r>
      <w:r w:rsidRPr="00BE3773">
        <w:t>l</w:t>
      </w:r>
      <w:r w:rsidR="00466E87">
        <w:t>’</w:t>
      </w:r>
      <w:r w:rsidRPr="00BE3773">
        <w:t xml:space="preserve">Union européenne </w:t>
      </w:r>
      <w:r>
        <w:t xml:space="preserve">et des États américains </w:t>
      </w:r>
      <w:r w:rsidRPr="00BE3773">
        <w:t xml:space="preserve">pour prévenir </w:t>
      </w:r>
      <w:r>
        <w:t>c</w:t>
      </w:r>
      <w:r w:rsidRPr="00BE3773">
        <w:t>es tragédies et renforcer les efforts de recherche et de sauvetage, ainsi que l</w:t>
      </w:r>
      <w:r w:rsidR="00466E87">
        <w:t>’</w:t>
      </w:r>
      <w:r w:rsidRPr="00BE3773">
        <w:t>identification des personnes décédées.</w:t>
      </w:r>
    </w:p>
    <w:p w14:paraId="1A7F2311" w14:textId="00F13F24" w:rsidR="00E171BB" w:rsidRPr="007C6ED9" w:rsidRDefault="00E171BB" w:rsidP="00E171BB">
      <w:pPr>
        <w:pStyle w:val="SingleTxtG"/>
      </w:pPr>
      <w:r w:rsidRPr="007C6ED9">
        <w:t>2</w:t>
      </w:r>
      <w:r>
        <w:t>7</w:t>
      </w:r>
      <w:r w:rsidRPr="007C6ED9">
        <w:t>.</w:t>
      </w:r>
      <w:r w:rsidRPr="007C6ED9">
        <w:tab/>
        <w:t>Indiquer les mesures prises pour intensifier les efforts de l</w:t>
      </w:r>
      <w:r w:rsidR="00466E87">
        <w:t>’</w:t>
      </w:r>
      <w:r>
        <w:t>État</w:t>
      </w:r>
      <w:r w:rsidRPr="007C6ED9">
        <w:t xml:space="preserve"> </w:t>
      </w:r>
      <w:r>
        <w:t>Partie</w:t>
      </w:r>
      <w:r w:rsidRPr="007C6ED9">
        <w:t xml:space="preserve"> </w:t>
      </w:r>
      <w:r>
        <w:t>concernant</w:t>
      </w:r>
      <w:r w:rsidRPr="007C6ED9">
        <w:t xml:space="preserve"> la signature d</w:t>
      </w:r>
      <w:r w:rsidR="00466E87">
        <w:t>’</w:t>
      </w:r>
      <w:r w:rsidRPr="007C6ED9">
        <w:t xml:space="preserve">accords bilatéraux et multilatéraux avec les pays de destination et de transit </w:t>
      </w:r>
      <w:r>
        <w:t xml:space="preserve">visant à </w:t>
      </w:r>
      <w:r w:rsidRPr="007C6ED9">
        <w:t xml:space="preserve">favoriser la migration régulière, </w:t>
      </w:r>
      <w:r>
        <w:t xml:space="preserve">à </w:t>
      </w:r>
      <w:r w:rsidRPr="007C6ED9">
        <w:t>garantir des conditions saines, équitables et humaines pour les travailleurs migrants guinéens vivant à l</w:t>
      </w:r>
      <w:r w:rsidR="00466E87">
        <w:t>’</w:t>
      </w:r>
      <w:r w:rsidRPr="007C6ED9">
        <w:t xml:space="preserve">étranger, </w:t>
      </w:r>
      <w:r>
        <w:t xml:space="preserve">à assurer la portabilité de leurs droits sociaux et à </w:t>
      </w:r>
      <w:r w:rsidRPr="007C6ED9">
        <w:t>prévoir des garanties procédurales en leur faveur</w:t>
      </w:r>
      <w:r>
        <w:t>, y compris</w:t>
      </w:r>
      <w:r w:rsidRPr="007C6ED9">
        <w:t xml:space="preserve"> </w:t>
      </w:r>
      <w:r>
        <w:t xml:space="preserve">celles permettant aux migrants expulsés de ne pas faire </w:t>
      </w:r>
      <w:r w:rsidRPr="007C6ED9">
        <w:t>l</w:t>
      </w:r>
      <w:r w:rsidR="00466E87">
        <w:t>’</w:t>
      </w:r>
      <w:r w:rsidRPr="007C6ED9">
        <w:t>objet de mauvais traitements</w:t>
      </w:r>
      <w:r w:rsidRPr="00AD44F6">
        <w:rPr>
          <w:rStyle w:val="Appelnotedebasdep"/>
        </w:rPr>
        <w:footnoteReference w:id="23"/>
      </w:r>
      <w:r w:rsidRPr="007C6ED9">
        <w:t>.</w:t>
      </w:r>
    </w:p>
    <w:p w14:paraId="1A710F4E" w14:textId="2BB174E6" w:rsidR="00E171BB" w:rsidRPr="007C6ED9" w:rsidRDefault="00E171BB" w:rsidP="00E171BB">
      <w:pPr>
        <w:pStyle w:val="SingleTxtG"/>
      </w:pPr>
      <w:r w:rsidRPr="007C6ED9">
        <w:t>2</w:t>
      </w:r>
      <w:r>
        <w:t>8</w:t>
      </w:r>
      <w:r w:rsidRPr="007C6ED9">
        <w:t>.</w:t>
      </w:r>
      <w:r w:rsidRPr="007C6ED9">
        <w:tab/>
        <w:t xml:space="preserve">Fournir des informations sur </w:t>
      </w:r>
      <w:r>
        <w:t xml:space="preserve">la répartition géographique des services consulaires et diplomatiques et </w:t>
      </w:r>
      <w:r w:rsidRPr="007C6ED9">
        <w:t xml:space="preserve">les activités </w:t>
      </w:r>
      <w:r>
        <w:t>qu</w:t>
      </w:r>
      <w:r w:rsidR="00466E87">
        <w:t>’</w:t>
      </w:r>
      <w:r>
        <w:t xml:space="preserve">ils mènent </w:t>
      </w:r>
      <w:r w:rsidRPr="007C6ED9">
        <w:t>en vue de la protection des droits des travailleurs migrants guinéens et des membres de leur famille</w:t>
      </w:r>
      <w:r>
        <w:t>.</w:t>
      </w:r>
      <w:r w:rsidRPr="007C6ED9">
        <w:t xml:space="preserve"> </w:t>
      </w:r>
      <w:r>
        <w:t>D</w:t>
      </w:r>
      <w:r w:rsidRPr="007C6ED9">
        <w:t>onner des détails sur les moyens octroyés aux autorités consulaires ou diplomatiques de l</w:t>
      </w:r>
      <w:r w:rsidR="00466E87">
        <w:t>’</w:t>
      </w:r>
      <w:r>
        <w:t>État</w:t>
      </w:r>
      <w:r w:rsidRPr="007C6ED9">
        <w:t xml:space="preserve"> </w:t>
      </w:r>
      <w:r>
        <w:t>Partie</w:t>
      </w:r>
      <w:r w:rsidRPr="007C6ED9">
        <w:t xml:space="preserve"> pour qu</w:t>
      </w:r>
      <w:r w:rsidR="00466E87">
        <w:t>’</w:t>
      </w:r>
      <w:r w:rsidRPr="007C6ED9">
        <w:t>elles s</w:t>
      </w:r>
      <w:r w:rsidR="00466E87">
        <w:t>’</w:t>
      </w:r>
      <w:r w:rsidRPr="007C6ED9">
        <w:t>acquittent de leur mission et fournissent les renseignements requis et une aide appropriée aux travailleurs migrants guinéens et aux membres de leur famille vivant à l</w:t>
      </w:r>
      <w:r w:rsidR="00466E87">
        <w:t>’</w:t>
      </w:r>
      <w:r w:rsidRPr="007C6ED9">
        <w:t xml:space="preserve">étranger, y compris ceux </w:t>
      </w:r>
      <w:r>
        <w:t xml:space="preserve">qui se trouvent </w:t>
      </w:r>
      <w:r w:rsidRPr="007C6ED9">
        <w:t>en situation irrégulière, notamment en ce qui concerne l</w:t>
      </w:r>
      <w:r w:rsidR="00466E87">
        <w:t>’</w:t>
      </w:r>
      <w:r w:rsidRPr="007C6ED9">
        <w:t>octroi de papiers d</w:t>
      </w:r>
      <w:r w:rsidR="00466E87">
        <w:t>’</w:t>
      </w:r>
      <w:r w:rsidRPr="007C6ED9">
        <w:t>identité</w:t>
      </w:r>
      <w:r>
        <w:t>,</w:t>
      </w:r>
      <w:r w:rsidRPr="007C6ED9">
        <w:t xml:space="preserve"> les autorisations, les formalités requises et les démarches nécessaires pour leur départ, leur voyage, leur arrivée, leur séjour, leurs activités rémunérées, leur sortie et leur retour</w:t>
      </w:r>
      <w:r>
        <w:t>,</w:t>
      </w:r>
      <w:r w:rsidRPr="007C6ED9">
        <w:t xml:space="preserve"> </w:t>
      </w:r>
      <w:r>
        <w:t>de même que concernant</w:t>
      </w:r>
      <w:r w:rsidRPr="007C6ED9">
        <w:t xml:space="preserve"> les conditions de travail et de vie dans l</w:t>
      </w:r>
      <w:r w:rsidR="00466E87">
        <w:t>’</w:t>
      </w:r>
      <w:r w:rsidRPr="007C6ED9">
        <w:t>État d</w:t>
      </w:r>
      <w:r w:rsidR="00466E87">
        <w:t>’</w:t>
      </w:r>
      <w:r w:rsidRPr="007C6ED9">
        <w:t>emploi ainsi que les lois et règlements en matière douanière, monétaire, fiscale et autres</w:t>
      </w:r>
      <w:r w:rsidRPr="00AD44F6">
        <w:rPr>
          <w:rStyle w:val="Appelnotedebasdep"/>
        </w:rPr>
        <w:footnoteReference w:id="24"/>
      </w:r>
      <w:r w:rsidRPr="007C6ED9">
        <w:t>.</w:t>
      </w:r>
    </w:p>
    <w:p w14:paraId="7E64EBCA" w14:textId="5CD8E250" w:rsidR="00E171BB" w:rsidRPr="007C6ED9" w:rsidRDefault="00E171BB" w:rsidP="00FF6BFA">
      <w:pPr>
        <w:pStyle w:val="SingleTxtG"/>
        <w:keepNext/>
        <w:keepLines/>
      </w:pPr>
      <w:r w:rsidRPr="007C6ED9">
        <w:lastRenderedPageBreak/>
        <w:t>2</w:t>
      </w:r>
      <w:r>
        <w:t>9</w:t>
      </w:r>
      <w:r w:rsidRPr="007C6ED9">
        <w:t>.</w:t>
      </w:r>
      <w:r w:rsidRPr="007C6ED9">
        <w:tab/>
        <w:t>Indiquer les mesures prises pour faciliter le retour et la réinsertion durable des travailleurs migrants guinéens et des membres de leur famille dans l</w:t>
      </w:r>
      <w:r w:rsidR="00466E87">
        <w:t>’</w:t>
      </w:r>
      <w:r w:rsidRPr="007C6ED9">
        <w:t xml:space="preserve">État </w:t>
      </w:r>
      <w:r>
        <w:t>Partie</w:t>
      </w:r>
      <w:r w:rsidRPr="007C6ED9">
        <w:t xml:space="preserve">, </w:t>
      </w:r>
      <w:r>
        <w:t>conformément</w:t>
      </w:r>
      <w:r w:rsidRPr="007C6ED9">
        <w:t xml:space="preserve"> à l</w:t>
      </w:r>
      <w:r w:rsidR="00466E87">
        <w:t>’</w:t>
      </w:r>
      <w:r w:rsidRPr="007C6ED9">
        <w:t>article 67 de la Convention, en portant une attention particulière aux personnes âgées</w:t>
      </w:r>
      <w:r w:rsidRPr="00AD44F6">
        <w:rPr>
          <w:rStyle w:val="Appelnotedebasdep"/>
        </w:rPr>
        <w:footnoteReference w:id="25"/>
      </w:r>
      <w:r w:rsidRPr="007C6ED9">
        <w:t>.</w:t>
      </w:r>
    </w:p>
    <w:p w14:paraId="00B69707" w14:textId="5B82DAED" w:rsidR="00E171BB" w:rsidRPr="007C6ED9" w:rsidRDefault="00E171BB" w:rsidP="00E171BB">
      <w:pPr>
        <w:pStyle w:val="SingleTxtG"/>
      </w:pPr>
      <w:r>
        <w:t>30</w:t>
      </w:r>
      <w:r w:rsidRPr="007C6ED9">
        <w:t>.</w:t>
      </w:r>
      <w:r w:rsidRPr="007C6ED9">
        <w:tab/>
        <w:t xml:space="preserve">Fournir des données ventilées par sexe, âge et origine </w:t>
      </w:r>
      <w:r>
        <w:t>concernant les</w:t>
      </w:r>
      <w:r w:rsidRPr="007C6ED9">
        <w:t xml:space="preserve"> personnes victimes de trafic et de traite des personnes</w:t>
      </w:r>
      <w:r>
        <w:t>,</w:t>
      </w:r>
      <w:r w:rsidRPr="007C6ED9">
        <w:t xml:space="preserve"> et </w:t>
      </w:r>
      <w:r>
        <w:t xml:space="preserve">des renseignements </w:t>
      </w:r>
      <w:r w:rsidRPr="007C6ED9">
        <w:t>sur les formations et campagnes menées pour prévenir le trafic et la traite de travailleurs migrants, notamment auprès des forces de l</w:t>
      </w:r>
      <w:r w:rsidR="00466E87">
        <w:t>’</w:t>
      </w:r>
      <w:r w:rsidRPr="007C6ED9">
        <w:t xml:space="preserve">ordre, des </w:t>
      </w:r>
      <w:proofErr w:type="spellStart"/>
      <w:r w:rsidRPr="007C6ED9">
        <w:t>garde-frontières</w:t>
      </w:r>
      <w:proofErr w:type="spellEnd"/>
      <w:r w:rsidRPr="007C6ED9">
        <w:t>, des juges, des procureurs, des inspecteurs du travail, des enseignants, ainsi qu</w:t>
      </w:r>
      <w:r w:rsidR="00466E87">
        <w:t>’</w:t>
      </w:r>
      <w:r w:rsidRPr="007C6ED9">
        <w:t>auprès du personnel des services de santé et des ambassades et consulats de l</w:t>
      </w:r>
      <w:r w:rsidR="00466E87">
        <w:t>’</w:t>
      </w:r>
      <w:r w:rsidRPr="007C6ED9">
        <w:t xml:space="preserve">État </w:t>
      </w:r>
      <w:r>
        <w:t>Partie</w:t>
      </w:r>
      <w:r w:rsidRPr="007C6ED9">
        <w:t>. Fournir également des informations sur le nombre d</w:t>
      </w:r>
      <w:r w:rsidR="00466E87">
        <w:t>’</w:t>
      </w:r>
      <w:r w:rsidRPr="007C6ED9">
        <w:t xml:space="preserve">enquêtes menées, la durée de ces enquêtes et leur résultat, notamment en </w:t>
      </w:r>
      <w:r>
        <w:t>matière</w:t>
      </w:r>
      <w:r w:rsidRPr="007C6ED9">
        <w:t xml:space="preserve"> de condamnations de trafiquants et </w:t>
      </w:r>
      <w:r>
        <w:t xml:space="preserve">de </w:t>
      </w:r>
      <w:r w:rsidRPr="007C6ED9">
        <w:t>passeurs. Communiquer des informations sur les mesures de protection mises en place pour les victimes</w:t>
      </w:r>
      <w:r w:rsidRPr="00AD44F6">
        <w:rPr>
          <w:rStyle w:val="Appelnotedebasdep"/>
        </w:rPr>
        <w:footnoteReference w:id="26"/>
      </w:r>
      <w:r w:rsidRPr="007C6ED9">
        <w:t xml:space="preserve"> et sur les accords internationaux, régionaux et bilatéraux qui contiennent des dispositions spécifiques pour combattre le trafic et la traite des personnes</w:t>
      </w:r>
      <w:r w:rsidRPr="00AD44F6">
        <w:rPr>
          <w:rStyle w:val="Appelnotedebasdep"/>
        </w:rPr>
        <w:footnoteReference w:id="27"/>
      </w:r>
      <w:r w:rsidRPr="007C6ED9">
        <w:t xml:space="preserve">, notamment des femmes et des enfants soumis à la servitude domestique et à des réseaux de prostitution dans </w:t>
      </w:r>
      <w:r>
        <w:t>d</w:t>
      </w:r>
      <w:r w:rsidR="00466E87">
        <w:t>’</w:t>
      </w:r>
      <w:r>
        <w:t>autres</w:t>
      </w:r>
      <w:r w:rsidRPr="007C6ED9">
        <w:t xml:space="preserve"> pays</w:t>
      </w:r>
      <w:r w:rsidRPr="00AD44F6">
        <w:rPr>
          <w:rStyle w:val="Appelnotedebasdep"/>
        </w:rPr>
        <w:footnoteReference w:id="28"/>
      </w:r>
      <w:r w:rsidRPr="007C6ED9">
        <w:t>.</w:t>
      </w:r>
    </w:p>
    <w:p w14:paraId="77CC97B8" w14:textId="476497A6" w:rsidR="00E171BB" w:rsidRPr="007C6ED9" w:rsidRDefault="00E171BB" w:rsidP="00E171BB">
      <w:pPr>
        <w:pStyle w:val="SingleTxtG"/>
      </w:pPr>
      <w:r w:rsidRPr="007C6ED9">
        <w:t>3</w:t>
      </w:r>
      <w:r>
        <w:t>1</w:t>
      </w:r>
      <w:r w:rsidRPr="007C6ED9">
        <w:t>.</w:t>
      </w:r>
      <w:r w:rsidRPr="007C6ED9">
        <w:tab/>
        <w:t>Fournir des informations sur les mesures prises pour donner effet aux déclarations de l</w:t>
      </w:r>
      <w:r w:rsidR="00466E87">
        <w:t>’</w:t>
      </w:r>
      <w:r>
        <w:t>État</w:t>
      </w:r>
      <w:r w:rsidRPr="007C6ED9">
        <w:t xml:space="preserve"> </w:t>
      </w:r>
      <w:r>
        <w:t>Partie,</w:t>
      </w:r>
      <w:r w:rsidRPr="007C6ED9">
        <w:t xml:space="preserve"> lors du dernier dialogue </w:t>
      </w:r>
      <w:r>
        <w:t>constructif</w:t>
      </w:r>
      <w:r w:rsidRPr="007C6ED9">
        <w:t xml:space="preserve"> avec le Comité en 20</w:t>
      </w:r>
      <w:r>
        <w:t>1</w:t>
      </w:r>
      <w:r w:rsidRPr="007C6ED9">
        <w:t>4</w:t>
      </w:r>
      <w:r>
        <w:t>,</w:t>
      </w:r>
      <w:r w:rsidRPr="007C6ED9">
        <w:t xml:space="preserve"> </w:t>
      </w:r>
      <w:r>
        <w:t>concernant la régularisation de</w:t>
      </w:r>
      <w:r w:rsidRPr="007C6ED9">
        <w:t xml:space="preserve"> la situation des travailleurs migrants en situation irrégulière</w:t>
      </w:r>
      <w:r w:rsidRPr="00AD44F6">
        <w:rPr>
          <w:rStyle w:val="Appelnotedebasdep"/>
        </w:rPr>
        <w:footnoteReference w:id="29"/>
      </w:r>
      <w:r w:rsidRPr="007C6ED9">
        <w:t>.</w:t>
      </w:r>
    </w:p>
    <w:p w14:paraId="7EE5662D" w14:textId="77777777" w:rsidR="00E171BB" w:rsidRPr="007C6ED9" w:rsidRDefault="00E171BB" w:rsidP="00E171BB">
      <w:pPr>
        <w:pStyle w:val="HChG"/>
      </w:pPr>
      <w:r>
        <w:tab/>
      </w:r>
      <w:r>
        <w:tab/>
      </w:r>
      <w:r w:rsidRPr="007C6ED9">
        <w:t>Section II</w:t>
      </w:r>
    </w:p>
    <w:p w14:paraId="418DCD26" w14:textId="0B544411" w:rsidR="00E171BB" w:rsidRPr="007C6ED9" w:rsidRDefault="00E171BB" w:rsidP="00E171BB">
      <w:pPr>
        <w:pStyle w:val="SingleTxtG"/>
      </w:pPr>
      <w:r w:rsidRPr="007C6ED9">
        <w:t>3</w:t>
      </w:r>
      <w:r>
        <w:t>2</w:t>
      </w:r>
      <w:r w:rsidRPr="007C6ED9">
        <w:t>.</w:t>
      </w:r>
      <w:r w:rsidRPr="007C6ED9">
        <w:tab/>
        <w:t>Le Comité invite l</w:t>
      </w:r>
      <w:r w:rsidR="00466E87">
        <w:t>’</w:t>
      </w:r>
      <w:r w:rsidRPr="007C6ED9">
        <w:t xml:space="preserve">État </w:t>
      </w:r>
      <w:r>
        <w:t>Partie</w:t>
      </w:r>
      <w:r w:rsidRPr="007C6ED9">
        <w:t xml:space="preserve"> à soumettre des renseignements, en trois pages maximum, sur la protection des travailleurs migrants et des membres de leur famille en ce qui concerne :</w:t>
      </w:r>
    </w:p>
    <w:p w14:paraId="78040DEF" w14:textId="09FFA400" w:rsidR="00E171BB" w:rsidRPr="007C6ED9" w:rsidRDefault="00E171BB" w:rsidP="00E171BB">
      <w:pPr>
        <w:pStyle w:val="SingleTxtG"/>
        <w:ind w:firstLine="567"/>
      </w:pPr>
      <w:r w:rsidRPr="007C6ED9">
        <w:t>a)</w:t>
      </w:r>
      <w:r w:rsidRPr="007C6ED9">
        <w:tab/>
        <w:t>Les lois, les projets de loi et leurs règlements d</w:t>
      </w:r>
      <w:r w:rsidR="00466E87">
        <w:t>’</w:t>
      </w:r>
      <w:r w:rsidRPr="007C6ED9">
        <w:t>application respectifs ;</w:t>
      </w:r>
    </w:p>
    <w:p w14:paraId="4E976F94" w14:textId="0A56DECC" w:rsidR="00E171BB" w:rsidRPr="007C6ED9" w:rsidRDefault="00E171BB" w:rsidP="00E171BB">
      <w:pPr>
        <w:pStyle w:val="SingleTxtG"/>
        <w:ind w:firstLine="567"/>
      </w:pPr>
      <w:r w:rsidRPr="007C6ED9">
        <w:t>b)</w:t>
      </w:r>
      <w:r w:rsidRPr="007C6ED9">
        <w:tab/>
        <w:t>Les institutions (ainsi que leurs mandats) ou les réformes institutionnelles ;</w:t>
      </w:r>
    </w:p>
    <w:p w14:paraId="22A04E05" w14:textId="42452E90" w:rsidR="00E171BB" w:rsidRPr="007C6ED9" w:rsidRDefault="00E171BB" w:rsidP="00E171BB">
      <w:pPr>
        <w:pStyle w:val="SingleTxtG"/>
        <w:ind w:firstLine="567"/>
      </w:pPr>
      <w:r w:rsidRPr="007C6ED9">
        <w:t>c)</w:t>
      </w:r>
      <w:r w:rsidRPr="007C6ED9">
        <w:tab/>
        <w:t>Les politiques, programmes et plans d</w:t>
      </w:r>
      <w:r w:rsidR="00466E87">
        <w:t>’</w:t>
      </w:r>
      <w:r w:rsidRPr="007C6ED9">
        <w:t>action se rapportant aux questions de migration, ainsi que leur portée et leur financement ;</w:t>
      </w:r>
    </w:p>
    <w:p w14:paraId="7ADDD3B4" w14:textId="4844EA63" w:rsidR="00E171BB" w:rsidRPr="007C6ED9" w:rsidRDefault="00E171BB" w:rsidP="00E171BB">
      <w:pPr>
        <w:pStyle w:val="SingleTxtG"/>
        <w:ind w:firstLine="567"/>
      </w:pPr>
      <w:r w:rsidRPr="007C6ED9">
        <w:t>d)</w:t>
      </w:r>
      <w:r w:rsidRPr="007C6ED9">
        <w:tab/>
        <w:t>Les instruments relatifs aux droits humains et autres instruments pertinents récemment ratifiés ;</w:t>
      </w:r>
    </w:p>
    <w:p w14:paraId="2B0FA1F1" w14:textId="16E0BEFE" w:rsidR="00E171BB" w:rsidRPr="007C6ED9" w:rsidRDefault="00E171BB" w:rsidP="00E171BB">
      <w:pPr>
        <w:pStyle w:val="SingleTxtG"/>
        <w:ind w:firstLine="567"/>
      </w:pPr>
      <w:r w:rsidRPr="007C6ED9">
        <w:t>e)</w:t>
      </w:r>
      <w:r w:rsidRPr="007C6ED9">
        <w:tab/>
        <w:t>Les études approfondies récemment effectuées sur la situation des travailleurs migrants et des membres de leur famille.</w:t>
      </w:r>
    </w:p>
    <w:p w14:paraId="11C476A4" w14:textId="77777777" w:rsidR="00E171BB" w:rsidRPr="007C6ED9" w:rsidRDefault="00E171BB" w:rsidP="00E171BB">
      <w:pPr>
        <w:pStyle w:val="HChG"/>
      </w:pPr>
      <w:r w:rsidRPr="007C6ED9">
        <w:tab/>
      </w:r>
      <w:r w:rsidRPr="007C6ED9">
        <w:tab/>
        <w:t>Section III</w:t>
      </w:r>
    </w:p>
    <w:p w14:paraId="39082E1F" w14:textId="77777777" w:rsidR="00E171BB" w:rsidRPr="007C6ED9" w:rsidRDefault="00E171BB" w:rsidP="00E171BB">
      <w:pPr>
        <w:pStyle w:val="H23G"/>
      </w:pPr>
      <w:r w:rsidRPr="007C6ED9">
        <w:tab/>
      </w:r>
      <w:r w:rsidRPr="007C6ED9">
        <w:tab/>
        <w:t>Données, estimations officielles, statistiques et autres informations disponibles</w:t>
      </w:r>
    </w:p>
    <w:p w14:paraId="09DE2C1D" w14:textId="7FD3C1FA" w:rsidR="00E171BB" w:rsidRPr="007C6ED9" w:rsidRDefault="00E171BB" w:rsidP="00E171BB">
      <w:pPr>
        <w:pStyle w:val="SingleTxtG"/>
      </w:pPr>
      <w:r w:rsidRPr="007C6ED9">
        <w:t>3</w:t>
      </w:r>
      <w:r>
        <w:t>3</w:t>
      </w:r>
      <w:r w:rsidRPr="007C6ED9">
        <w:t>.</w:t>
      </w:r>
      <w:r w:rsidRPr="007C6ED9">
        <w:tab/>
        <w:t>Fournir, s</w:t>
      </w:r>
      <w:r w:rsidR="00466E87">
        <w:t>’</w:t>
      </w:r>
      <w:r w:rsidRPr="007C6ED9">
        <w:t>il en existe, des données statistiques ventilées et actualisées et des informations qualitatives pour les cinq dernières années (sauf indication contraire) concernant :</w:t>
      </w:r>
    </w:p>
    <w:p w14:paraId="2B4F07A3" w14:textId="717F95AF" w:rsidR="00E171BB" w:rsidRPr="007C6ED9" w:rsidRDefault="00E171BB" w:rsidP="00E171BB">
      <w:pPr>
        <w:pStyle w:val="SingleTxtG"/>
        <w:ind w:firstLine="567"/>
      </w:pPr>
      <w:r w:rsidRPr="007C6ED9">
        <w:t>a)</w:t>
      </w:r>
      <w:r w:rsidRPr="007C6ED9">
        <w:tab/>
        <w:t>Le volume et la nature des mouvements migratoires à destination et en provenance de l</w:t>
      </w:r>
      <w:r w:rsidR="00466E87">
        <w:t>’</w:t>
      </w:r>
      <w:r w:rsidRPr="007C6ED9">
        <w:t xml:space="preserve">État </w:t>
      </w:r>
      <w:r>
        <w:t>Partie</w:t>
      </w:r>
      <w:r w:rsidRPr="007C6ED9">
        <w:t xml:space="preserve"> et des mouvements de transit dans le pays, ventilés par sexe, âge, nationalité, domaine d</w:t>
      </w:r>
      <w:r w:rsidR="00466E87">
        <w:t>’</w:t>
      </w:r>
      <w:r w:rsidRPr="007C6ED9">
        <w:t>activité et statut migratoire</w:t>
      </w:r>
      <w:r>
        <w:t>,</w:t>
      </w:r>
      <w:r w:rsidRPr="007C6ED9">
        <w:t xml:space="preserve"> </w:t>
      </w:r>
      <w:r>
        <w:t>en précisant d</w:t>
      </w:r>
      <w:r w:rsidRPr="007C6ED9">
        <w:t>ans le cas des mineurs s</w:t>
      </w:r>
      <w:r w:rsidR="00466E87">
        <w:t>’</w:t>
      </w:r>
      <w:r w:rsidRPr="007C6ED9">
        <w:t>il s</w:t>
      </w:r>
      <w:r w:rsidR="00466E87">
        <w:t>’</w:t>
      </w:r>
      <w:r w:rsidRPr="007C6ED9">
        <w:t>agit de mineurs non accompagnés</w:t>
      </w:r>
      <w:r>
        <w:t>, ainsi que</w:t>
      </w:r>
      <w:r w:rsidRPr="007C6ED9">
        <w:t xml:space="preserve"> des informations sur les retours et la migration circulaire </w:t>
      </w:r>
      <w:r>
        <w:t>et, e</w:t>
      </w:r>
      <w:r w:rsidRPr="007C6ED9">
        <w:t>n l</w:t>
      </w:r>
      <w:r w:rsidR="00466E87">
        <w:t>’</w:t>
      </w:r>
      <w:r w:rsidRPr="007C6ED9">
        <w:t>absence de données statistiques sur les migrants en situation irrégulière, des études ou des estimations ;</w:t>
      </w:r>
    </w:p>
    <w:p w14:paraId="11E4CD69" w14:textId="26EE3DF2" w:rsidR="00E171BB" w:rsidRPr="007C6ED9" w:rsidRDefault="00E171BB" w:rsidP="00E171BB">
      <w:pPr>
        <w:pStyle w:val="SingleTxtG"/>
        <w:ind w:firstLine="567"/>
      </w:pPr>
      <w:r w:rsidRPr="007C6ED9">
        <w:lastRenderedPageBreak/>
        <w:t>b)</w:t>
      </w:r>
      <w:r w:rsidRPr="007C6ED9">
        <w:tab/>
        <w:t>Les travailleurs migrants détenus dans l</w:t>
      </w:r>
      <w:r w:rsidR="00466E87">
        <w:t>’</w:t>
      </w:r>
      <w:r w:rsidRPr="007C6ED9">
        <w:t xml:space="preserve">État </w:t>
      </w:r>
      <w:r>
        <w:t>Partie</w:t>
      </w:r>
      <w:r w:rsidRPr="007C6ED9">
        <w:t xml:space="preserve"> et les travailleurs migrants ressortissants de l</w:t>
      </w:r>
      <w:r w:rsidR="00466E87">
        <w:t>’</w:t>
      </w:r>
      <w:r w:rsidRPr="007C6ED9">
        <w:t xml:space="preserve">État </w:t>
      </w:r>
      <w:r>
        <w:t>Partie</w:t>
      </w:r>
      <w:r w:rsidRPr="007C6ED9">
        <w:t xml:space="preserve"> qui sont détenus à l</w:t>
      </w:r>
      <w:r w:rsidR="00466E87">
        <w:t>’</w:t>
      </w:r>
      <w:r w:rsidRPr="007C6ED9">
        <w:t xml:space="preserve">étranger dans les </w:t>
      </w:r>
      <w:r>
        <w:t>États</w:t>
      </w:r>
      <w:r w:rsidRPr="007C6ED9">
        <w:t xml:space="preserve"> d</w:t>
      </w:r>
      <w:r w:rsidR="00466E87">
        <w:t>’</w:t>
      </w:r>
      <w:r w:rsidRPr="007C6ED9">
        <w:t>emploi, en indiquant si ces détentions sont liées à l</w:t>
      </w:r>
      <w:r w:rsidR="00466E87">
        <w:t>’</w:t>
      </w:r>
      <w:r w:rsidRPr="007C6ED9">
        <w:t>immigration</w:t>
      </w:r>
      <w:r>
        <w:t xml:space="preserve"> et en fournissant</w:t>
      </w:r>
      <w:r w:rsidRPr="007C6ED9">
        <w:t xml:space="preserve"> des informations sur le lieu, la durée moyenne, le type de procédure, les motifs de placement en détention et les conditions de détention ;</w:t>
      </w:r>
    </w:p>
    <w:p w14:paraId="11A8FCC7" w14:textId="3D1B6F26" w:rsidR="00E171BB" w:rsidRPr="007C6ED9" w:rsidRDefault="00E171BB" w:rsidP="00E171BB">
      <w:pPr>
        <w:pStyle w:val="SingleTxtG"/>
        <w:ind w:firstLine="567"/>
      </w:pPr>
      <w:r w:rsidRPr="007C6ED9">
        <w:t>c)</w:t>
      </w:r>
      <w:r w:rsidRPr="007C6ED9">
        <w:tab/>
        <w:t>Les travailleurs migrants et les membres de leur famille qui ont été expulsés de l</w:t>
      </w:r>
      <w:r w:rsidR="00466E87">
        <w:t>’</w:t>
      </w:r>
      <w:r w:rsidRPr="007C6ED9">
        <w:t xml:space="preserve">État </w:t>
      </w:r>
      <w:r>
        <w:t>Partie ;</w:t>
      </w:r>
    </w:p>
    <w:p w14:paraId="1AF62AA6" w14:textId="1B5AFA3D" w:rsidR="00E171BB" w:rsidRPr="007C6ED9" w:rsidRDefault="00E171BB" w:rsidP="00E171BB">
      <w:pPr>
        <w:pStyle w:val="SingleTxtG"/>
        <w:ind w:firstLine="567"/>
      </w:pPr>
      <w:r w:rsidRPr="007C6ED9">
        <w:t>d)</w:t>
      </w:r>
      <w:r w:rsidRPr="007C6ED9">
        <w:tab/>
        <w:t>Les fonds envoyés par des ressortissants de l</w:t>
      </w:r>
      <w:r w:rsidR="00466E87">
        <w:t>’</w:t>
      </w:r>
      <w:r w:rsidRPr="007C6ED9">
        <w:t xml:space="preserve">État </w:t>
      </w:r>
      <w:r>
        <w:t>Partie</w:t>
      </w:r>
      <w:r w:rsidRPr="007C6ED9">
        <w:t xml:space="preserve"> qui travaillent à l</w:t>
      </w:r>
      <w:r w:rsidR="00466E87">
        <w:t>’</w:t>
      </w:r>
      <w:r w:rsidRPr="007C6ED9">
        <w:t>étranger, ventilés par pays d</w:t>
      </w:r>
      <w:r w:rsidR="00466E87">
        <w:t>’</w:t>
      </w:r>
      <w:r w:rsidRPr="007C6ED9">
        <w:t>installation ;</w:t>
      </w:r>
    </w:p>
    <w:p w14:paraId="70CED94D" w14:textId="677D69E0" w:rsidR="00E171BB" w:rsidRPr="007C6ED9" w:rsidRDefault="00E171BB" w:rsidP="00E171BB">
      <w:pPr>
        <w:pStyle w:val="SingleTxtG"/>
        <w:ind w:firstLine="567"/>
      </w:pPr>
      <w:r w:rsidRPr="007C6ED9">
        <w:t>e)</w:t>
      </w:r>
      <w:r w:rsidRPr="007C6ED9">
        <w:tab/>
        <w:t>Le nombre estimé de migrants guinéens disparus ou décédés, notamment en traversant les frontières, y compris dans le désert du Sahara</w:t>
      </w:r>
      <w:r>
        <w:t>, en précisant</w:t>
      </w:r>
      <w:r w:rsidRPr="007C6ED9">
        <w:t xml:space="preserve"> les conditions dans lesquelles ces disparitions et ces décès se sont produits.</w:t>
      </w:r>
    </w:p>
    <w:p w14:paraId="4A734540" w14:textId="5F1AB48D" w:rsidR="00E171BB" w:rsidRPr="007C6ED9" w:rsidRDefault="00E171BB" w:rsidP="00E171BB">
      <w:pPr>
        <w:pStyle w:val="SingleTxtG"/>
      </w:pPr>
      <w:r w:rsidRPr="007C6ED9">
        <w:t>3</w:t>
      </w:r>
      <w:r>
        <w:t>4</w:t>
      </w:r>
      <w:r w:rsidRPr="007C6ED9">
        <w:t>.</w:t>
      </w:r>
      <w:r w:rsidRPr="007C6ED9">
        <w:tab/>
        <w:t>Fournir toute autre information sur tout fait nouveau important et sur les mesures prises pour mettre en œuvre les dispositions de la Convention concernant la protection des droits des travailleurs migrants et des membres de leur famille que l</w:t>
      </w:r>
      <w:r w:rsidR="00466E87">
        <w:t>’</w:t>
      </w:r>
      <w:r w:rsidRPr="007C6ED9">
        <w:t xml:space="preserve">État </w:t>
      </w:r>
      <w:r>
        <w:t>Partie</w:t>
      </w:r>
      <w:r w:rsidRPr="007C6ED9">
        <w:t xml:space="preserve"> juge prioritaires.</w:t>
      </w:r>
    </w:p>
    <w:p w14:paraId="6E742A70" w14:textId="69F05CA9" w:rsidR="00446FE5" w:rsidRDefault="00E171BB" w:rsidP="00E171BB">
      <w:pPr>
        <w:pStyle w:val="SingleTxtG"/>
      </w:pPr>
      <w:r w:rsidRPr="007C6ED9">
        <w:t>3</w:t>
      </w:r>
      <w:r>
        <w:t>5</w:t>
      </w:r>
      <w:r w:rsidRPr="007C6ED9">
        <w:t>.</w:t>
      </w:r>
      <w:r w:rsidRPr="007C6ED9">
        <w:tab/>
        <w:t>Soumettre un document de base commun conforme aux directives harmonisées pour l</w:t>
      </w:r>
      <w:r w:rsidR="00466E87">
        <w:t>’</w:t>
      </w:r>
      <w:r w:rsidRPr="007C6ED9">
        <w:t>établissement des rapports</w:t>
      </w:r>
      <w:r w:rsidRPr="00AD44F6">
        <w:rPr>
          <w:rStyle w:val="Appelnotedebasdep"/>
        </w:rPr>
        <w:footnoteReference w:id="30"/>
      </w:r>
      <w:r w:rsidRPr="007C6ED9">
        <w:t xml:space="preserve">. Conformément au paragraphe 16 de la résolution </w:t>
      </w:r>
      <w:hyperlink r:id="rId8" w:history="1">
        <w:r w:rsidRPr="007C6ED9">
          <w:rPr>
            <w:rStyle w:val="Lienhypertexte"/>
          </w:rPr>
          <w:t>68</w:t>
        </w:r>
        <w:r w:rsidRPr="007C6ED9">
          <w:rPr>
            <w:rStyle w:val="Lienhypertexte"/>
          </w:rPr>
          <w:t>/</w:t>
        </w:r>
        <w:r w:rsidRPr="007C6ED9">
          <w:rPr>
            <w:rStyle w:val="Lienhypertexte"/>
          </w:rPr>
          <w:t>2</w:t>
        </w:r>
        <w:r w:rsidRPr="007C6ED9">
          <w:rPr>
            <w:rStyle w:val="Lienhypertexte"/>
          </w:rPr>
          <w:t>68</w:t>
        </w:r>
      </w:hyperlink>
      <w:r w:rsidRPr="007C6ED9">
        <w:t xml:space="preserve"> de l</w:t>
      </w:r>
      <w:r w:rsidR="00466E87">
        <w:t>’</w:t>
      </w:r>
      <w:r w:rsidRPr="007C6ED9">
        <w:t>Assemblée générale, le document de base commun ne doit pas compter plus de 42 400 mots.</w:t>
      </w:r>
    </w:p>
    <w:p w14:paraId="125F6B26" w14:textId="719E52AA" w:rsidR="00E171BB" w:rsidRPr="00E171BB" w:rsidRDefault="00E171BB" w:rsidP="00E171BB">
      <w:pPr>
        <w:pStyle w:val="SingleTxtG"/>
        <w:spacing w:before="240" w:after="0"/>
        <w:jc w:val="center"/>
        <w:rPr>
          <w:u w:val="single"/>
        </w:rPr>
      </w:pPr>
      <w:r>
        <w:rPr>
          <w:u w:val="single"/>
        </w:rPr>
        <w:tab/>
      </w:r>
      <w:r>
        <w:rPr>
          <w:u w:val="single"/>
        </w:rPr>
        <w:tab/>
      </w:r>
      <w:r>
        <w:rPr>
          <w:u w:val="single"/>
        </w:rPr>
        <w:tab/>
      </w:r>
    </w:p>
    <w:sectPr w:rsidR="00E171BB" w:rsidRPr="00E171BB" w:rsidSect="00E171BB">
      <w:headerReference w:type="even" r:id="rId9"/>
      <w:headerReference w:type="default" r:id="rId10"/>
      <w:footerReference w:type="even" r:id="rId11"/>
      <w:footerReference w:type="default" r:id="rId12"/>
      <w:footerReference w:type="first" r:id="rId13"/>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AF642FA" w14:textId="77777777" w:rsidR="0090080E" w:rsidRDefault="0090080E" w:rsidP="00F95C08">
      <w:pPr>
        <w:spacing w:line="240" w:lineRule="auto"/>
      </w:pPr>
    </w:p>
  </w:endnote>
  <w:endnote w:type="continuationSeparator" w:id="0">
    <w:p w14:paraId="37FD19A2" w14:textId="77777777" w:rsidR="0090080E" w:rsidRPr="00AC3823" w:rsidRDefault="0090080E" w:rsidP="00AC3823">
      <w:pPr>
        <w:pStyle w:val="Pieddepage"/>
      </w:pPr>
    </w:p>
  </w:endnote>
  <w:endnote w:type="continuationNotice" w:id="1">
    <w:p w14:paraId="7283399E" w14:textId="77777777" w:rsidR="0090080E" w:rsidRDefault="0090080E">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Unicode MS">
    <w:panose1 w:val="020B0604020202020204"/>
    <w:charset w:val="00"/>
    <w:family w:val="roman"/>
    <w:pitch w:val="default"/>
  </w:font>
  <w:font w:name="SimSun">
    <w:altName w:val="宋体"/>
    <w:panose1 w:val="02010600030101010101"/>
    <w:charset w:val="86"/>
    <w:family w:val="auto"/>
    <w:pitch w:val="variable"/>
    <w:sig w:usb0="000002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C8AC72D" w14:textId="6889682B" w:rsidR="00E171BB" w:rsidRPr="00E171BB" w:rsidRDefault="00E171BB" w:rsidP="00E171BB">
    <w:pPr>
      <w:pStyle w:val="Pieddepage"/>
      <w:tabs>
        <w:tab w:val="right" w:pos="9638"/>
      </w:tabs>
    </w:pPr>
    <w:r w:rsidRPr="00E171BB">
      <w:rPr>
        <w:b/>
        <w:sz w:val="18"/>
      </w:rPr>
      <w:fldChar w:fldCharType="begin"/>
    </w:r>
    <w:r w:rsidRPr="00E171BB">
      <w:rPr>
        <w:b/>
        <w:sz w:val="18"/>
      </w:rPr>
      <w:instrText xml:space="preserve"> PAGE  \* MERGEFORMAT </w:instrText>
    </w:r>
    <w:r w:rsidRPr="00E171BB">
      <w:rPr>
        <w:b/>
        <w:sz w:val="18"/>
      </w:rPr>
      <w:fldChar w:fldCharType="separate"/>
    </w:r>
    <w:r w:rsidRPr="00E171BB">
      <w:rPr>
        <w:b/>
        <w:noProof/>
        <w:sz w:val="18"/>
      </w:rPr>
      <w:t>2</w:t>
    </w:r>
    <w:r w:rsidRPr="00E171BB">
      <w:rPr>
        <w:b/>
        <w:sz w:val="18"/>
      </w:rPr>
      <w:fldChar w:fldCharType="end"/>
    </w:r>
    <w:r>
      <w:rPr>
        <w:b/>
        <w:sz w:val="18"/>
      </w:rPr>
      <w:tab/>
    </w:r>
    <w:r>
      <w:t>GE.25-07281</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B320CE2" w14:textId="401F783E" w:rsidR="00E171BB" w:rsidRPr="00E171BB" w:rsidRDefault="00E171BB" w:rsidP="00E171BB">
    <w:pPr>
      <w:pStyle w:val="Pieddepage"/>
      <w:tabs>
        <w:tab w:val="right" w:pos="9638"/>
      </w:tabs>
      <w:rPr>
        <w:b/>
        <w:sz w:val="18"/>
      </w:rPr>
    </w:pPr>
    <w:r>
      <w:t>GE.25-07281</w:t>
    </w:r>
    <w:r>
      <w:tab/>
    </w:r>
    <w:r w:rsidRPr="00E171BB">
      <w:rPr>
        <w:b/>
        <w:sz w:val="18"/>
      </w:rPr>
      <w:fldChar w:fldCharType="begin"/>
    </w:r>
    <w:r w:rsidRPr="00E171BB">
      <w:rPr>
        <w:b/>
        <w:sz w:val="18"/>
      </w:rPr>
      <w:instrText xml:space="preserve"> PAGE  \* MERGEFORMAT </w:instrText>
    </w:r>
    <w:r w:rsidRPr="00E171BB">
      <w:rPr>
        <w:b/>
        <w:sz w:val="18"/>
      </w:rPr>
      <w:fldChar w:fldCharType="separate"/>
    </w:r>
    <w:r w:rsidRPr="00E171BB">
      <w:rPr>
        <w:b/>
        <w:noProof/>
        <w:sz w:val="18"/>
      </w:rPr>
      <w:t>3</w:t>
    </w:r>
    <w:r w:rsidRPr="00E171BB">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786FF0B" w14:textId="0DF1F765" w:rsidR="003D7914" w:rsidRPr="00E171BB" w:rsidRDefault="00E171BB" w:rsidP="00E171BB">
    <w:pPr>
      <w:pStyle w:val="Pieddepage"/>
      <w:spacing w:before="120"/>
      <w:rPr>
        <w:sz w:val="20"/>
      </w:rPr>
    </w:pPr>
    <w:r>
      <w:rPr>
        <w:sz w:val="20"/>
      </w:rPr>
      <w:t>GE.</w:t>
    </w:r>
    <w:r w:rsidR="003D7914">
      <w:rPr>
        <w:noProof/>
        <w:lang w:eastAsia="fr-CH"/>
      </w:rPr>
      <w:drawing>
        <wp:anchor distT="0" distB="0" distL="114300" distR="114300" simplePos="0" relativeHeight="251659264" behindDoc="0" locked="0" layoutInCell="1" allowOverlap="0" wp14:anchorId="500A55C2" wp14:editId="61EB4357">
          <wp:simplePos x="0" y="0"/>
          <wp:positionH relativeFrom="margin">
            <wp:posOffset>4319905</wp:posOffset>
          </wp:positionH>
          <wp:positionV relativeFrom="margin">
            <wp:posOffset>9144000</wp:posOffset>
          </wp:positionV>
          <wp:extent cx="1105200" cy="234000"/>
          <wp:effectExtent l="0" t="0" r="0" b="0"/>
          <wp:wrapNone/>
          <wp:docPr id="2" name="Image 2" descr="recycle_Frenc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recycle_Frenc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105200" cy="234000"/>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0"/>
      </w:rPr>
      <w:t>25-07281  (F)</w:t>
    </w:r>
    <w:r>
      <w:rPr>
        <w:noProof/>
        <w:sz w:val="20"/>
      </w:rPr>
      <w:drawing>
        <wp:anchor distT="0" distB="0" distL="114300" distR="114300" simplePos="0" relativeHeight="251660288" behindDoc="0" locked="0" layoutInCell="1" allowOverlap="1" wp14:anchorId="42927C6D" wp14:editId="5A0849B7">
          <wp:simplePos x="0" y="0"/>
          <wp:positionH relativeFrom="margin">
            <wp:posOffset>5489575</wp:posOffset>
          </wp:positionH>
          <wp:positionV relativeFrom="margin">
            <wp:posOffset>8891905</wp:posOffset>
          </wp:positionV>
          <wp:extent cx="628650" cy="628650"/>
          <wp:effectExtent l="0" t="0" r="0" b="0"/>
          <wp:wrapNone/>
          <wp:docPr id="2001916703" name="Imag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28650" cy="628650"/>
                  </a:xfrm>
                  <a:prstGeom prst="rect">
                    <a:avLst/>
                  </a:prstGeom>
                  <a:noFill/>
                  <a:ln>
                    <a:noFill/>
                  </a:ln>
                </pic:spPr>
              </pic:pic>
            </a:graphicData>
          </a:graphic>
          <wp14:sizeRelH relativeFrom="page">
            <wp14:pctWidth>0</wp14:pctWidth>
          </wp14:sizeRelH>
          <wp14:sizeRelV relativeFrom="page">
            <wp14:pctHeight>0</wp14:pctHeight>
          </wp14:sizeRelV>
        </wp:anchor>
      </w:drawing>
    </w:r>
    <w:r w:rsidR="00B04B0D">
      <w:rPr>
        <w:sz w:val="20"/>
      </w:rPr>
      <w:t xml:space="preserve">    130525    130525</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D41B378" w14:textId="77777777" w:rsidR="0090080E" w:rsidRPr="00AC3823" w:rsidRDefault="0090080E" w:rsidP="00AC3823">
      <w:pPr>
        <w:pStyle w:val="Pieddepage"/>
        <w:tabs>
          <w:tab w:val="right" w:pos="2155"/>
        </w:tabs>
        <w:spacing w:after="80" w:line="240" w:lineRule="atLeast"/>
        <w:ind w:left="680"/>
        <w:rPr>
          <w:u w:val="single"/>
        </w:rPr>
      </w:pPr>
      <w:r>
        <w:rPr>
          <w:u w:val="single"/>
        </w:rPr>
        <w:tab/>
      </w:r>
    </w:p>
  </w:footnote>
  <w:footnote w:type="continuationSeparator" w:id="0">
    <w:p w14:paraId="788CF1FC" w14:textId="77777777" w:rsidR="0090080E" w:rsidRPr="00AC3823" w:rsidRDefault="0090080E" w:rsidP="00AC3823">
      <w:pPr>
        <w:pStyle w:val="Pieddepage"/>
        <w:tabs>
          <w:tab w:val="right" w:pos="2155"/>
        </w:tabs>
        <w:spacing w:after="80" w:line="240" w:lineRule="atLeast"/>
        <w:ind w:left="680"/>
        <w:rPr>
          <w:u w:val="single"/>
        </w:rPr>
      </w:pPr>
      <w:r>
        <w:rPr>
          <w:u w:val="single"/>
        </w:rPr>
        <w:tab/>
      </w:r>
    </w:p>
  </w:footnote>
  <w:footnote w:type="continuationNotice" w:id="1">
    <w:p w14:paraId="09ACA14B" w14:textId="77777777" w:rsidR="0090080E" w:rsidRPr="00AC3823" w:rsidRDefault="0090080E">
      <w:pPr>
        <w:spacing w:line="240" w:lineRule="auto"/>
        <w:rPr>
          <w:sz w:val="2"/>
          <w:szCs w:val="2"/>
        </w:rPr>
      </w:pPr>
    </w:p>
  </w:footnote>
  <w:footnote w:id="2">
    <w:p w14:paraId="6DC946EA" w14:textId="42DE6CD3" w:rsidR="00E171BB" w:rsidRPr="00E171BB" w:rsidRDefault="00E171BB">
      <w:pPr>
        <w:pStyle w:val="Notedebasdepage"/>
      </w:pPr>
      <w:r>
        <w:rPr>
          <w:rStyle w:val="Appelnotedebasdep"/>
        </w:rPr>
        <w:tab/>
      </w:r>
      <w:r w:rsidRPr="00E171BB">
        <w:rPr>
          <w:rStyle w:val="Appelnotedebasdep"/>
          <w:sz w:val="20"/>
          <w:vertAlign w:val="baseline"/>
        </w:rPr>
        <w:t>*</w:t>
      </w:r>
      <w:r>
        <w:rPr>
          <w:rStyle w:val="Appelnotedebasdep"/>
          <w:sz w:val="20"/>
          <w:vertAlign w:val="baseline"/>
        </w:rPr>
        <w:tab/>
      </w:r>
      <w:r>
        <w:t>Adoptée par le Comité à sa quarantième session (7-17 avril 2025).</w:t>
      </w:r>
    </w:p>
  </w:footnote>
  <w:footnote w:id="3">
    <w:p w14:paraId="501941E8" w14:textId="77777777" w:rsidR="00E171BB" w:rsidRPr="00AD44F6" w:rsidRDefault="00E171BB" w:rsidP="00E171BB">
      <w:pPr>
        <w:pStyle w:val="Notedebasdepage"/>
        <w:rPr>
          <w:lang w:val="fr-FR"/>
        </w:rPr>
      </w:pPr>
      <w:r>
        <w:tab/>
      </w:r>
      <w:r w:rsidRPr="00AD44F6">
        <w:rPr>
          <w:rStyle w:val="Appelnotedebasdep"/>
        </w:rPr>
        <w:footnoteRef/>
      </w:r>
      <w:r>
        <w:tab/>
      </w:r>
      <w:hyperlink r:id="rId1" w:history="1">
        <w:r w:rsidRPr="00D05884">
          <w:rPr>
            <w:rStyle w:val="Lienhypertexte"/>
            <w:rFonts w:eastAsia="Arial Unicode MS" w:cs="Arial Unicode MS"/>
            <w:lang w:val="fr-FR"/>
          </w:rPr>
          <w:t>CMW/C/GIN/C</w:t>
        </w:r>
        <w:r w:rsidRPr="00D05884">
          <w:rPr>
            <w:rStyle w:val="Lienhypertexte"/>
            <w:rFonts w:eastAsia="Arial Unicode MS" w:cs="Arial Unicode MS"/>
            <w:lang w:val="fr-FR"/>
          </w:rPr>
          <w:t>O</w:t>
        </w:r>
        <w:r w:rsidRPr="00D05884">
          <w:rPr>
            <w:rStyle w:val="Lienhypertexte"/>
            <w:rFonts w:eastAsia="Arial Unicode MS" w:cs="Arial Unicode MS"/>
            <w:lang w:val="fr-FR"/>
          </w:rPr>
          <w:t>/1</w:t>
        </w:r>
      </w:hyperlink>
      <w:r w:rsidRPr="00D05884">
        <w:rPr>
          <w:rStyle w:val="Hyperlink0"/>
          <w:color w:val="auto"/>
          <w:lang w:val="fr-FR"/>
        </w:rPr>
        <w:t>, par</w:t>
      </w:r>
      <w:r w:rsidRPr="00D05884">
        <w:rPr>
          <w:rFonts w:eastAsia="Arial Unicode MS" w:cs="Arial Unicode MS"/>
          <w:lang w:val="fr-FR"/>
        </w:rPr>
        <w:t>. 20, 21, 22 et 24</w:t>
      </w:r>
      <w:r>
        <w:rPr>
          <w:rFonts w:eastAsia="Arial Unicode MS" w:cs="Arial Unicode MS"/>
          <w:lang w:val="fr-FR"/>
        </w:rPr>
        <w:t xml:space="preserve">. Voir aussi </w:t>
      </w:r>
      <w:hyperlink r:id="rId2" w:history="1">
        <w:r w:rsidRPr="00BA0329">
          <w:rPr>
            <w:rStyle w:val="Lienhypertexte"/>
          </w:rPr>
          <w:t>CRC/C/GIN</w:t>
        </w:r>
        <w:r w:rsidRPr="00BA0329">
          <w:rPr>
            <w:rStyle w:val="Lienhypertexte"/>
          </w:rPr>
          <w:t>/</w:t>
        </w:r>
        <w:r w:rsidRPr="00BA0329">
          <w:rPr>
            <w:rStyle w:val="Lienhypertexte"/>
          </w:rPr>
          <w:t>CO/3-6</w:t>
        </w:r>
      </w:hyperlink>
      <w:r w:rsidRPr="00D81715">
        <w:t>, par. 41</w:t>
      </w:r>
      <w:r w:rsidRPr="00AD44F6">
        <w:t xml:space="preserve"> </w:t>
      </w:r>
      <w:r>
        <w:t>b).</w:t>
      </w:r>
    </w:p>
  </w:footnote>
  <w:footnote w:id="4">
    <w:p w14:paraId="74024336" w14:textId="77777777" w:rsidR="00E171BB" w:rsidRPr="007C6ED9" w:rsidRDefault="00E171BB" w:rsidP="00E171BB">
      <w:pPr>
        <w:pStyle w:val="Notedebasdepage"/>
        <w:rPr>
          <w:lang w:val="en-US"/>
        </w:rPr>
      </w:pPr>
      <w:r>
        <w:tab/>
      </w:r>
      <w:r w:rsidRPr="00AD44F6">
        <w:rPr>
          <w:rStyle w:val="Appelnotedebasdep"/>
        </w:rPr>
        <w:footnoteRef/>
      </w:r>
      <w:r w:rsidRPr="00AD44F6">
        <w:rPr>
          <w:lang w:val="en-GB"/>
        </w:rPr>
        <w:tab/>
      </w:r>
      <w:hyperlink r:id="rId3" w:history="1">
        <w:r>
          <w:rPr>
            <w:rStyle w:val="Lienhypertexte"/>
            <w:rFonts w:eastAsia="Arial Unicode MS" w:cs="Arial Unicode MS"/>
            <w:lang w:val="en-GB"/>
          </w:rPr>
          <w:t>CMW/</w:t>
        </w:r>
        <w:r>
          <w:rPr>
            <w:rStyle w:val="Lienhypertexte"/>
            <w:rFonts w:eastAsia="Arial Unicode MS" w:cs="Arial Unicode MS"/>
            <w:lang w:val="en-GB"/>
          </w:rPr>
          <w:t>C</w:t>
        </w:r>
        <w:r>
          <w:rPr>
            <w:rStyle w:val="Lienhypertexte"/>
            <w:rFonts w:eastAsia="Arial Unicode MS" w:cs="Arial Unicode MS"/>
            <w:lang w:val="en-GB"/>
          </w:rPr>
          <w:t>/GIN/CO/1</w:t>
        </w:r>
      </w:hyperlink>
      <w:r w:rsidRPr="00C31786">
        <w:rPr>
          <w:rStyle w:val="Hyperlink0"/>
          <w:color w:val="auto"/>
          <w:lang w:val="en-US"/>
        </w:rPr>
        <w:t>, par</w:t>
      </w:r>
      <w:r w:rsidRPr="009E680E">
        <w:rPr>
          <w:rFonts w:eastAsia="Arial Unicode MS" w:cs="Arial Unicode MS"/>
          <w:lang w:val="en-GB"/>
        </w:rPr>
        <w:t>.</w:t>
      </w:r>
      <w:r w:rsidRPr="00C31786">
        <w:rPr>
          <w:rFonts w:eastAsia="Arial Unicode MS" w:cs="Arial Unicode MS"/>
          <w:lang w:val="en-GB"/>
        </w:rPr>
        <w:t xml:space="preserve"> </w:t>
      </w:r>
      <w:r>
        <w:rPr>
          <w:rFonts w:eastAsia="Arial Unicode MS" w:cs="Arial Unicode MS"/>
          <w:lang w:val="en-GB"/>
        </w:rPr>
        <w:t>10.</w:t>
      </w:r>
    </w:p>
  </w:footnote>
  <w:footnote w:id="5">
    <w:p w14:paraId="15D957F8" w14:textId="77777777" w:rsidR="00E171BB" w:rsidRPr="00AD44F6" w:rsidRDefault="00E171BB" w:rsidP="00E171BB">
      <w:pPr>
        <w:pStyle w:val="Notedebasdepage"/>
        <w:rPr>
          <w:lang w:val="fr-FR"/>
        </w:rPr>
      </w:pPr>
      <w:r w:rsidRPr="00AD44F6">
        <w:rPr>
          <w:lang w:val="en-GB"/>
        </w:rPr>
        <w:tab/>
      </w:r>
      <w:r w:rsidRPr="00AD44F6">
        <w:rPr>
          <w:rStyle w:val="Appelnotedebasdep"/>
        </w:rPr>
        <w:footnoteRef/>
      </w:r>
      <w:r w:rsidRPr="00AD44F6">
        <w:rPr>
          <w:lang w:val="fr-FR"/>
        </w:rPr>
        <w:tab/>
      </w:r>
      <w:r>
        <w:t>Ibid.</w:t>
      </w:r>
      <w:r w:rsidRPr="00AD44F6">
        <w:rPr>
          <w:rStyle w:val="Hyperlink0"/>
          <w:color w:val="auto"/>
          <w:lang w:val="fr-FR"/>
        </w:rPr>
        <w:t>, par</w:t>
      </w:r>
      <w:r w:rsidRPr="00AD44F6">
        <w:rPr>
          <w:rFonts w:eastAsia="Arial Unicode MS" w:cs="Arial Unicode MS"/>
          <w:lang w:val="fr-FR"/>
        </w:rPr>
        <w:t>. 16.</w:t>
      </w:r>
    </w:p>
  </w:footnote>
  <w:footnote w:id="6">
    <w:p w14:paraId="4E10878E" w14:textId="4B4B1A25" w:rsidR="00E171BB" w:rsidRDefault="00E171BB" w:rsidP="00E171BB">
      <w:pPr>
        <w:pStyle w:val="Notedebasdepage"/>
      </w:pPr>
      <w:r>
        <w:tab/>
      </w:r>
      <w:r w:rsidRPr="00AD44F6">
        <w:rPr>
          <w:rStyle w:val="Appelnotedebasdep"/>
        </w:rPr>
        <w:footnoteRef/>
      </w:r>
      <w:r>
        <w:tab/>
        <w:t>Comité pour la protection des droits de tous les travailleurs migrants et des membres de leur famille et Rapporteur spécial sur les droits humains des migrants, « Note conjointe d</w:t>
      </w:r>
      <w:r w:rsidR="00466E87">
        <w:t>’</w:t>
      </w:r>
      <w:r>
        <w:t>orientation sur les impacts de la pandémie de COVID-19 sur les droits humains des migrants », 26 mai 2020.</w:t>
      </w:r>
    </w:p>
  </w:footnote>
  <w:footnote w:id="7">
    <w:p w14:paraId="6B2D30D8" w14:textId="77777777" w:rsidR="00E171BB" w:rsidRPr="00AD44F6" w:rsidRDefault="00E171BB" w:rsidP="00E171BB">
      <w:pPr>
        <w:pStyle w:val="Notedebasdepage"/>
        <w:rPr>
          <w:lang w:val="fr-FR"/>
        </w:rPr>
      </w:pPr>
      <w:r w:rsidRPr="00AD44F6">
        <w:rPr>
          <w:lang w:val="fr-FR"/>
        </w:rPr>
        <w:tab/>
      </w:r>
      <w:r w:rsidRPr="00AD44F6">
        <w:rPr>
          <w:rStyle w:val="Appelnotedebasdep"/>
        </w:rPr>
        <w:footnoteRef/>
      </w:r>
      <w:r w:rsidRPr="00AD44F6">
        <w:rPr>
          <w:lang w:val="fr-FR"/>
        </w:rPr>
        <w:tab/>
        <w:t xml:space="preserve">Voir </w:t>
      </w:r>
      <w:hyperlink r:id="rId4" w:history="1">
        <w:r w:rsidRPr="00AD44F6">
          <w:rPr>
            <w:rStyle w:val="Lienhypertexte"/>
            <w:lang w:val="fr-FR"/>
          </w:rPr>
          <w:t>E/C.12/GIN/CO/1</w:t>
        </w:r>
      </w:hyperlink>
      <w:r w:rsidRPr="00AD44F6">
        <w:rPr>
          <w:lang w:val="fr-FR"/>
        </w:rPr>
        <w:t xml:space="preserve">, par. 29 et 30. </w:t>
      </w:r>
      <w:r w:rsidRPr="00BB5C7B">
        <w:rPr>
          <w:lang w:val="fr-FR"/>
        </w:rPr>
        <w:t>Voi</w:t>
      </w:r>
      <w:r>
        <w:rPr>
          <w:lang w:val="fr-FR"/>
        </w:rPr>
        <w:t xml:space="preserve">r aussi </w:t>
      </w:r>
      <w:hyperlink r:id="rId5" w:history="1">
        <w:r w:rsidRPr="00AA7FCD">
          <w:rPr>
            <w:rStyle w:val="Lienhypertexte"/>
          </w:rPr>
          <w:t>CRC/C/OP</w:t>
        </w:r>
        <w:r w:rsidRPr="00AA7FCD">
          <w:rPr>
            <w:rStyle w:val="Lienhypertexte"/>
          </w:rPr>
          <w:t>A</w:t>
        </w:r>
        <w:r w:rsidRPr="00AA7FCD">
          <w:rPr>
            <w:rStyle w:val="Lienhypertexte"/>
          </w:rPr>
          <w:t>C/GIN/CO/1</w:t>
        </w:r>
      </w:hyperlink>
      <w:r w:rsidRPr="00BB5C7B">
        <w:t>, par. 16.</w:t>
      </w:r>
    </w:p>
  </w:footnote>
  <w:footnote w:id="8">
    <w:p w14:paraId="3FB7BBA4" w14:textId="77777777" w:rsidR="00E171BB" w:rsidRPr="00AD44F6" w:rsidRDefault="00E171BB" w:rsidP="00E171BB">
      <w:pPr>
        <w:pStyle w:val="Notedebasdepage"/>
      </w:pPr>
      <w:r>
        <w:tab/>
      </w:r>
      <w:r w:rsidRPr="00AD44F6">
        <w:rPr>
          <w:rStyle w:val="Appelnotedebasdep"/>
        </w:rPr>
        <w:footnoteRef/>
      </w:r>
      <w:r w:rsidRPr="00AD44F6">
        <w:tab/>
      </w:r>
      <w:hyperlink r:id="rId6" w:history="1">
        <w:r w:rsidRPr="00AD44F6">
          <w:rPr>
            <w:rStyle w:val="Lienhypertexte"/>
          </w:rPr>
          <w:t>CRC/C/GIN/CO/3-6</w:t>
        </w:r>
      </w:hyperlink>
      <w:r w:rsidRPr="00AD44F6">
        <w:t>, par. 43 et 44.</w:t>
      </w:r>
    </w:p>
  </w:footnote>
  <w:footnote w:id="9">
    <w:p w14:paraId="06A64F15" w14:textId="77777777" w:rsidR="00E171BB" w:rsidRPr="007C6ED9" w:rsidRDefault="00E171BB" w:rsidP="00E171BB">
      <w:pPr>
        <w:pStyle w:val="Notedebasdepage"/>
        <w:rPr>
          <w:lang w:val="en-US"/>
        </w:rPr>
      </w:pPr>
      <w:r w:rsidRPr="00AD44F6">
        <w:tab/>
      </w:r>
      <w:r w:rsidRPr="00AD44F6">
        <w:rPr>
          <w:rStyle w:val="Appelnotedebasdep"/>
        </w:rPr>
        <w:footnoteRef/>
      </w:r>
      <w:r w:rsidRPr="00AD44F6">
        <w:rPr>
          <w:lang w:val="en-GB"/>
        </w:rPr>
        <w:tab/>
        <w:t>Ibid., par. 42</w:t>
      </w:r>
      <w:r>
        <w:rPr>
          <w:lang w:val="en-GB"/>
        </w:rPr>
        <w:t> ;</w:t>
      </w:r>
      <w:r w:rsidRPr="00AD44F6">
        <w:rPr>
          <w:lang w:val="en-GB"/>
        </w:rPr>
        <w:t xml:space="preserve"> et </w:t>
      </w:r>
      <w:hyperlink r:id="rId7" w:history="1">
        <w:r w:rsidRPr="00AD44F6">
          <w:rPr>
            <w:rStyle w:val="Lienhypertexte"/>
            <w:lang w:val="en-GB"/>
          </w:rPr>
          <w:t>CRC/C/OPSC/G</w:t>
        </w:r>
        <w:r w:rsidRPr="00AD44F6">
          <w:rPr>
            <w:rStyle w:val="Lienhypertexte"/>
            <w:lang w:val="en-GB"/>
          </w:rPr>
          <w:t>I</w:t>
        </w:r>
        <w:r w:rsidRPr="00AD44F6">
          <w:rPr>
            <w:rStyle w:val="Lienhypertexte"/>
            <w:lang w:val="en-GB"/>
          </w:rPr>
          <w:t>N/CO/1</w:t>
        </w:r>
      </w:hyperlink>
      <w:r w:rsidRPr="00AD44F6">
        <w:rPr>
          <w:lang w:val="en-GB"/>
        </w:rPr>
        <w:t>, par. 21 a).</w:t>
      </w:r>
    </w:p>
  </w:footnote>
  <w:footnote w:id="10">
    <w:p w14:paraId="35349D90" w14:textId="77777777" w:rsidR="00E171BB" w:rsidRPr="007C6ED9" w:rsidRDefault="00E171BB" w:rsidP="00E171BB">
      <w:pPr>
        <w:pStyle w:val="Notedebasdepage"/>
        <w:rPr>
          <w:lang w:val="en-US"/>
        </w:rPr>
      </w:pPr>
      <w:r w:rsidRPr="00AD44F6">
        <w:rPr>
          <w:lang w:val="en-GB"/>
        </w:rPr>
        <w:tab/>
      </w:r>
      <w:r w:rsidRPr="00AD44F6">
        <w:rPr>
          <w:rStyle w:val="Appelnotedebasdep"/>
        </w:rPr>
        <w:footnoteRef/>
      </w:r>
      <w:r w:rsidRPr="00AD44F6">
        <w:rPr>
          <w:lang w:val="en-GB"/>
        </w:rPr>
        <w:tab/>
      </w:r>
      <w:hyperlink r:id="rId8" w:history="1">
        <w:r w:rsidRPr="00446320">
          <w:rPr>
            <w:rStyle w:val="Lienhypertexte"/>
            <w:lang w:val="en-GB"/>
          </w:rPr>
          <w:t>E/C.12/GIN/CO</w:t>
        </w:r>
        <w:r w:rsidRPr="00446320">
          <w:rPr>
            <w:rStyle w:val="Lienhypertexte"/>
            <w:lang w:val="en-GB"/>
          </w:rPr>
          <w:t>/</w:t>
        </w:r>
        <w:r w:rsidRPr="00446320">
          <w:rPr>
            <w:rStyle w:val="Lienhypertexte"/>
            <w:lang w:val="en-GB"/>
          </w:rPr>
          <w:t>1</w:t>
        </w:r>
      </w:hyperlink>
      <w:r w:rsidRPr="00446320">
        <w:rPr>
          <w:lang w:val="en-GB"/>
        </w:rPr>
        <w:t>, par. 17.</w:t>
      </w:r>
    </w:p>
  </w:footnote>
  <w:footnote w:id="11">
    <w:p w14:paraId="3E8D7B59" w14:textId="77777777" w:rsidR="00E171BB" w:rsidRPr="007C6ED9" w:rsidRDefault="00E171BB" w:rsidP="00E171BB">
      <w:pPr>
        <w:pStyle w:val="Notedebasdepage"/>
        <w:rPr>
          <w:lang w:val="en-US"/>
        </w:rPr>
      </w:pPr>
      <w:r w:rsidRPr="00AD44F6">
        <w:rPr>
          <w:lang w:val="en-GB"/>
        </w:rPr>
        <w:tab/>
      </w:r>
      <w:r w:rsidRPr="00AD44F6">
        <w:rPr>
          <w:rStyle w:val="Appelnotedebasdep"/>
        </w:rPr>
        <w:footnoteRef/>
      </w:r>
      <w:r w:rsidRPr="00AD44F6">
        <w:rPr>
          <w:lang w:val="en-GB"/>
        </w:rPr>
        <w:tab/>
      </w:r>
      <w:hyperlink r:id="rId9" w:history="1">
        <w:r w:rsidRPr="00DA62F2">
          <w:rPr>
            <w:rStyle w:val="Lienhypertexte"/>
            <w:lang w:val="en-GB"/>
          </w:rPr>
          <w:t>CMW/C/GI</w:t>
        </w:r>
        <w:r w:rsidRPr="00DA62F2">
          <w:rPr>
            <w:rStyle w:val="Lienhypertexte"/>
            <w:lang w:val="en-GB"/>
          </w:rPr>
          <w:t>N</w:t>
        </w:r>
        <w:r w:rsidRPr="00DA62F2">
          <w:rPr>
            <w:rStyle w:val="Lienhypertexte"/>
            <w:lang w:val="en-GB"/>
          </w:rPr>
          <w:t>/CO/1</w:t>
        </w:r>
      </w:hyperlink>
      <w:r w:rsidRPr="003B2CBD">
        <w:rPr>
          <w:lang w:val="en-GB"/>
        </w:rPr>
        <w:t>, par. 2</w:t>
      </w:r>
      <w:r>
        <w:rPr>
          <w:lang w:val="en-GB"/>
        </w:rPr>
        <w:t>2.</w:t>
      </w:r>
    </w:p>
  </w:footnote>
  <w:footnote w:id="12">
    <w:p w14:paraId="54C1DD99" w14:textId="77777777" w:rsidR="00E171BB" w:rsidRPr="007C6ED9" w:rsidRDefault="00E171BB" w:rsidP="00E171BB">
      <w:pPr>
        <w:pStyle w:val="Notedebasdepage"/>
        <w:rPr>
          <w:lang w:val="en-US"/>
        </w:rPr>
      </w:pPr>
      <w:r w:rsidRPr="00AD44F6">
        <w:rPr>
          <w:lang w:val="en-GB"/>
        </w:rPr>
        <w:tab/>
      </w:r>
      <w:r w:rsidRPr="00AD44F6">
        <w:rPr>
          <w:rStyle w:val="Appelnotedebasdep"/>
        </w:rPr>
        <w:footnoteRef/>
      </w:r>
      <w:r w:rsidRPr="00AD44F6">
        <w:rPr>
          <w:lang w:val="en-GB"/>
        </w:rPr>
        <w:tab/>
      </w:r>
      <w:hyperlink r:id="rId10" w:history="1">
        <w:r w:rsidRPr="00AD44F6">
          <w:rPr>
            <w:rStyle w:val="Lienhypertexte"/>
            <w:lang w:val="en-GB"/>
          </w:rPr>
          <w:t>CRC/C/GIN/</w:t>
        </w:r>
        <w:r w:rsidRPr="00AD44F6">
          <w:rPr>
            <w:rStyle w:val="Lienhypertexte"/>
            <w:lang w:val="en-GB"/>
          </w:rPr>
          <w:t>C</w:t>
        </w:r>
        <w:r w:rsidRPr="00AD44F6">
          <w:rPr>
            <w:rStyle w:val="Lienhypertexte"/>
            <w:lang w:val="en-GB"/>
          </w:rPr>
          <w:t>O/3-6</w:t>
        </w:r>
      </w:hyperlink>
      <w:r w:rsidRPr="00AD44F6">
        <w:rPr>
          <w:lang w:val="en-GB"/>
        </w:rPr>
        <w:t>, par. 41 c)</w:t>
      </w:r>
      <w:r>
        <w:rPr>
          <w:lang w:val="en-GB"/>
        </w:rPr>
        <w:t>,</w:t>
      </w:r>
      <w:r w:rsidRPr="00AD44F6">
        <w:rPr>
          <w:lang w:val="en-GB"/>
        </w:rPr>
        <w:t xml:space="preserve"> 45</w:t>
      </w:r>
      <w:r>
        <w:rPr>
          <w:lang w:val="en-GB"/>
        </w:rPr>
        <w:t xml:space="preserve"> et </w:t>
      </w:r>
      <w:r w:rsidRPr="00AD44F6">
        <w:rPr>
          <w:lang w:val="en-GB"/>
        </w:rPr>
        <w:t>46.</w:t>
      </w:r>
    </w:p>
  </w:footnote>
  <w:footnote w:id="13">
    <w:p w14:paraId="2C5F0F60" w14:textId="77777777" w:rsidR="00E171BB" w:rsidRPr="007C6ED9" w:rsidRDefault="00E171BB" w:rsidP="00E171BB">
      <w:pPr>
        <w:pStyle w:val="Notedebasdepage"/>
        <w:rPr>
          <w:lang w:val="en-US"/>
        </w:rPr>
      </w:pPr>
      <w:r w:rsidRPr="00AD44F6">
        <w:rPr>
          <w:lang w:val="en-GB"/>
        </w:rPr>
        <w:tab/>
      </w:r>
      <w:r w:rsidRPr="00AD44F6">
        <w:rPr>
          <w:rStyle w:val="Appelnotedebasdep"/>
        </w:rPr>
        <w:footnoteRef/>
      </w:r>
      <w:r w:rsidRPr="00AD44F6">
        <w:rPr>
          <w:lang w:val="en-GB"/>
        </w:rPr>
        <w:tab/>
      </w:r>
      <w:hyperlink r:id="rId11" w:history="1">
        <w:r w:rsidRPr="00DA62F2">
          <w:rPr>
            <w:rStyle w:val="Lienhypertexte"/>
            <w:szCs w:val="18"/>
            <w:lang w:val="en-GB"/>
          </w:rPr>
          <w:t>CMW/C/GIN/CO/1</w:t>
        </w:r>
      </w:hyperlink>
      <w:r w:rsidRPr="00512F5A">
        <w:rPr>
          <w:szCs w:val="18"/>
          <w:lang w:val="en-GB"/>
        </w:rPr>
        <w:t>, par. 22.</w:t>
      </w:r>
    </w:p>
  </w:footnote>
  <w:footnote w:id="14">
    <w:p w14:paraId="55DD92B7" w14:textId="77777777" w:rsidR="00E171BB" w:rsidRPr="00AD44F6" w:rsidRDefault="00E171BB" w:rsidP="00E171BB">
      <w:pPr>
        <w:pStyle w:val="Notedebasdepage"/>
        <w:rPr>
          <w:lang w:val="fr-FR"/>
        </w:rPr>
      </w:pPr>
      <w:r w:rsidRPr="00AD44F6">
        <w:rPr>
          <w:lang w:val="en-GB"/>
        </w:rPr>
        <w:tab/>
      </w:r>
      <w:r w:rsidRPr="00AD44F6">
        <w:rPr>
          <w:rStyle w:val="Appelnotedebasdep"/>
        </w:rPr>
        <w:footnoteRef/>
      </w:r>
      <w:r w:rsidRPr="00AD44F6">
        <w:rPr>
          <w:lang w:val="fr-FR"/>
        </w:rPr>
        <w:tab/>
      </w:r>
      <w:r>
        <w:t>Ibid.</w:t>
      </w:r>
      <w:r w:rsidRPr="00AD44F6">
        <w:rPr>
          <w:lang w:val="fr-FR"/>
        </w:rPr>
        <w:t>, par. 24.</w:t>
      </w:r>
    </w:p>
  </w:footnote>
  <w:footnote w:id="15">
    <w:p w14:paraId="30526334" w14:textId="77777777" w:rsidR="00E171BB" w:rsidRPr="00AD44F6" w:rsidRDefault="00E171BB" w:rsidP="00E171BB">
      <w:pPr>
        <w:pStyle w:val="Notedebasdepage"/>
        <w:rPr>
          <w:lang w:val="fr-FR"/>
        </w:rPr>
      </w:pPr>
      <w:r w:rsidRPr="00AD44F6">
        <w:rPr>
          <w:lang w:val="fr-FR"/>
        </w:rPr>
        <w:tab/>
      </w:r>
      <w:r w:rsidRPr="00AD44F6">
        <w:rPr>
          <w:rStyle w:val="Appelnotedebasdep"/>
        </w:rPr>
        <w:footnoteRef/>
      </w:r>
      <w:r w:rsidRPr="00AD44F6">
        <w:rPr>
          <w:lang w:val="fr-FR"/>
        </w:rPr>
        <w:tab/>
      </w:r>
      <w:r>
        <w:t>Ibid.</w:t>
      </w:r>
      <w:r w:rsidRPr="00AD44F6">
        <w:rPr>
          <w:lang w:val="fr-FR"/>
        </w:rPr>
        <w:t>, par. 26.</w:t>
      </w:r>
    </w:p>
  </w:footnote>
  <w:footnote w:id="16">
    <w:p w14:paraId="63B48ADE" w14:textId="77777777" w:rsidR="00E171BB" w:rsidRPr="00AD44F6" w:rsidRDefault="00E171BB" w:rsidP="00E171BB">
      <w:pPr>
        <w:pStyle w:val="Notedebasdepage"/>
        <w:rPr>
          <w:lang w:val="fr-FR"/>
        </w:rPr>
      </w:pPr>
      <w:r>
        <w:tab/>
      </w:r>
      <w:r w:rsidRPr="00AD44F6">
        <w:rPr>
          <w:rStyle w:val="Appelnotedebasdep"/>
        </w:rPr>
        <w:footnoteRef/>
      </w:r>
      <w:r>
        <w:tab/>
        <w:t>Ibid.</w:t>
      </w:r>
      <w:r w:rsidRPr="00AD44F6">
        <w:rPr>
          <w:lang w:val="fr-FR"/>
        </w:rPr>
        <w:t>, par. 28.</w:t>
      </w:r>
    </w:p>
  </w:footnote>
  <w:footnote w:id="17">
    <w:p w14:paraId="204063B5" w14:textId="77777777" w:rsidR="00E171BB" w:rsidRPr="00AD44F6" w:rsidRDefault="00E171BB" w:rsidP="00E171BB">
      <w:pPr>
        <w:pStyle w:val="Notedebasdepage"/>
        <w:rPr>
          <w:lang w:val="fr-FR"/>
        </w:rPr>
      </w:pPr>
      <w:r w:rsidRPr="00AD44F6">
        <w:rPr>
          <w:lang w:val="fr-FR"/>
        </w:rPr>
        <w:tab/>
      </w:r>
      <w:r w:rsidRPr="00AD44F6">
        <w:rPr>
          <w:rStyle w:val="Appelnotedebasdep"/>
        </w:rPr>
        <w:footnoteRef/>
      </w:r>
      <w:r w:rsidRPr="00AD44F6">
        <w:rPr>
          <w:lang w:val="fr-FR"/>
        </w:rPr>
        <w:tab/>
      </w:r>
      <w:r>
        <w:t>Ibid.</w:t>
      </w:r>
      <w:r w:rsidRPr="00AD44F6">
        <w:rPr>
          <w:lang w:val="fr-FR"/>
        </w:rPr>
        <w:t>, par. 36.</w:t>
      </w:r>
    </w:p>
  </w:footnote>
  <w:footnote w:id="18">
    <w:p w14:paraId="613DD04C" w14:textId="77777777" w:rsidR="00E171BB" w:rsidRPr="00AD44F6" w:rsidRDefault="00E171BB" w:rsidP="00E171BB">
      <w:pPr>
        <w:pStyle w:val="Notedebasdepage"/>
        <w:rPr>
          <w:lang w:val="fr-FR"/>
        </w:rPr>
      </w:pPr>
      <w:r w:rsidRPr="00AD44F6">
        <w:rPr>
          <w:lang w:val="fr-FR"/>
        </w:rPr>
        <w:tab/>
      </w:r>
      <w:r w:rsidRPr="00AD44F6">
        <w:rPr>
          <w:rStyle w:val="Appelnotedebasdep"/>
        </w:rPr>
        <w:footnoteRef/>
      </w:r>
      <w:r w:rsidRPr="00AD44F6">
        <w:rPr>
          <w:lang w:val="fr-FR"/>
        </w:rPr>
        <w:tab/>
      </w:r>
      <w:r>
        <w:t>Ibid.</w:t>
      </w:r>
      <w:r w:rsidRPr="00AD44F6">
        <w:rPr>
          <w:lang w:val="fr-FR"/>
        </w:rPr>
        <w:t>, par. 38.</w:t>
      </w:r>
    </w:p>
  </w:footnote>
  <w:footnote w:id="19">
    <w:p w14:paraId="1B6CE0A2" w14:textId="77777777" w:rsidR="00E171BB" w:rsidRPr="00AD44F6" w:rsidRDefault="00E171BB" w:rsidP="00E171BB">
      <w:pPr>
        <w:pStyle w:val="Notedebasdepage"/>
        <w:rPr>
          <w:lang w:val="fr-FR"/>
        </w:rPr>
      </w:pPr>
      <w:r w:rsidRPr="00AD44F6">
        <w:rPr>
          <w:lang w:val="fr-FR"/>
        </w:rPr>
        <w:tab/>
      </w:r>
      <w:r w:rsidRPr="00AD44F6">
        <w:rPr>
          <w:rStyle w:val="Appelnotedebasdep"/>
        </w:rPr>
        <w:footnoteRef/>
      </w:r>
      <w:r w:rsidRPr="00AD44F6">
        <w:rPr>
          <w:lang w:val="fr-FR"/>
        </w:rPr>
        <w:tab/>
      </w:r>
      <w:r>
        <w:t>Ibid.</w:t>
      </w:r>
      <w:r w:rsidRPr="00AD44F6">
        <w:rPr>
          <w:lang w:val="fr-FR"/>
        </w:rPr>
        <w:t>, par. 40.</w:t>
      </w:r>
    </w:p>
  </w:footnote>
  <w:footnote w:id="20">
    <w:p w14:paraId="3AF26558" w14:textId="77777777" w:rsidR="00E171BB" w:rsidRPr="00AD44F6" w:rsidRDefault="00E171BB" w:rsidP="00E171BB">
      <w:pPr>
        <w:pStyle w:val="Notedebasdepage"/>
        <w:rPr>
          <w:lang w:val="fr-FR"/>
        </w:rPr>
      </w:pPr>
      <w:r w:rsidRPr="00AD44F6">
        <w:rPr>
          <w:lang w:val="fr-FR"/>
        </w:rPr>
        <w:tab/>
      </w:r>
      <w:r w:rsidRPr="00AD44F6">
        <w:rPr>
          <w:rStyle w:val="Appelnotedebasdep"/>
        </w:rPr>
        <w:footnoteRef/>
      </w:r>
      <w:r w:rsidRPr="00AD44F6">
        <w:rPr>
          <w:lang w:val="fr-FR"/>
        </w:rPr>
        <w:tab/>
      </w:r>
      <w:r>
        <w:t>Ibid.</w:t>
      </w:r>
      <w:r w:rsidRPr="00AD44F6">
        <w:rPr>
          <w:lang w:val="fr-FR"/>
        </w:rPr>
        <w:t>, par. 42.</w:t>
      </w:r>
    </w:p>
  </w:footnote>
  <w:footnote w:id="21">
    <w:p w14:paraId="0026A72E" w14:textId="77777777" w:rsidR="00E171BB" w:rsidRPr="00AD44F6" w:rsidRDefault="00E171BB" w:rsidP="00E171BB">
      <w:pPr>
        <w:pStyle w:val="Notedebasdepage"/>
        <w:rPr>
          <w:lang w:val="fr-FR"/>
        </w:rPr>
      </w:pPr>
      <w:r w:rsidRPr="00AD44F6">
        <w:rPr>
          <w:lang w:val="fr-FR"/>
        </w:rPr>
        <w:tab/>
      </w:r>
      <w:r w:rsidRPr="00AD44F6">
        <w:rPr>
          <w:rStyle w:val="Appelnotedebasdep"/>
        </w:rPr>
        <w:footnoteRef/>
      </w:r>
      <w:r w:rsidRPr="00AD44F6">
        <w:rPr>
          <w:lang w:val="fr-FR"/>
        </w:rPr>
        <w:tab/>
      </w:r>
      <w:r>
        <w:t>Ibid.</w:t>
      </w:r>
      <w:r w:rsidRPr="00AD44F6">
        <w:rPr>
          <w:lang w:val="fr-FR"/>
        </w:rPr>
        <w:t>, par. 44.</w:t>
      </w:r>
    </w:p>
  </w:footnote>
  <w:footnote w:id="22">
    <w:p w14:paraId="65E84AC1" w14:textId="4AD10809" w:rsidR="00E171BB" w:rsidRPr="00AD44F6" w:rsidRDefault="00E171BB" w:rsidP="00E171BB">
      <w:pPr>
        <w:pStyle w:val="Notedebasdepage"/>
        <w:rPr>
          <w:lang w:val="fr-FR"/>
        </w:rPr>
      </w:pPr>
      <w:r w:rsidRPr="00AD44F6">
        <w:rPr>
          <w:lang w:val="fr-FR"/>
        </w:rPr>
        <w:tab/>
      </w:r>
      <w:r w:rsidRPr="00AD44F6">
        <w:rPr>
          <w:rStyle w:val="Appelnotedebasdep"/>
        </w:rPr>
        <w:footnoteRef/>
      </w:r>
      <w:r w:rsidRPr="00144CC5">
        <w:rPr>
          <w:lang w:val="fr-FR"/>
        </w:rPr>
        <w:tab/>
      </w:r>
      <w:r w:rsidRPr="00144CC5">
        <w:t>Ibid.</w:t>
      </w:r>
      <w:r w:rsidRPr="00144CC5">
        <w:rPr>
          <w:lang w:val="fr-FR"/>
        </w:rPr>
        <w:t>, par.</w:t>
      </w:r>
      <w:r w:rsidR="00FF6BFA">
        <w:rPr>
          <w:lang w:val="fr-FR"/>
        </w:rPr>
        <w:t xml:space="preserve"> </w:t>
      </w:r>
      <w:r w:rsidRPr="00144CC5">
        <w:rPr>
          <w:lang w:val="fr-FR"/>
        </w:rPr>
        <w:t>34</w:t>
      </w:r>
      <w:r w:rsidRPr="00AD44F6">
        <w:rPr>
          <w:lang w:val="fr-FR"/>
        </w:rPr>
        <w:t>.</w:t>
      </w:r>
    </w:p>
  </w:footnote>
  <w:footnote w:id="23">
    <w:p w14:paraId="1B88AD0D" w14:textId="77777777" w:rsidR="00E171BB" w:rsidRPr="00AD44F6" w:rsidRDefault="00E171BB" w:rsidP="00E171BB">
      <w:pPr>
        <w:pStyle w:val="Notedebasdepage"/>
        <w:rPr>
          <w:lang w:val="fr-FR"/>
        </w:rPr>
      </w:pPr>
      <w:r w:rsidRPr="00AD44F6">
        <w:rPr>
          <w:lang w:val="fr-FR"/>
        </w:rPr>
        <w:tab/>
      </w:r>
      <w:r w:rsidRPr="00AD44F6">
        <w:rPr>
          <w:rStyle w:val="Appelnotedebasdep"/>
        </w:rPr>
        <w:footnoteRef/>
      </w:r>
      <w:r w:rsidRPr="00AD44F6">
        <w:rPr>
          <w:lang w:val="fr-FR"/>
        </w:rPr>
        <w:tab/>
      </w:r>
      <w:r>
        <w:t>Ibid.</w:t>
      </w:r>
      <w:r w:rsidRPr="00AD44F6">
        <w:rPr>
          <w:lang w:val="fr-FR"/>
        </w:rPr>
        <w:t>, par. 46.</w:t>
      </w:r>
    </w:p>
  </w:footnote>
  <w:footnote w:id="24">
    <w:p w14:paraId="656392E7" w14:textId="77777777" w:rsidR="00E171BB" w:rsidRPr="00AD44F6" w:rsidRDefault="00E171BB" w:rsidP="00E171BB">
      <w:pPr>
        <w:pStyle w:val="Notedebasdepage"/>
        <w:rPr>
          <w:lang w:val="fr-FR"/>
        </w:rPr>
      </w:pPr>
      <w:r w:rsidRPr="00AD44F6">
        <w:rPr>
          <w:lang w:val="fr-FR"/>
        </w:rPr>
        <w:tab/>
      </w:r>
      <w:r w:rsidRPr="00AD44F6">
        <w:rPr>
          <w:rStyle w:val="Appelnotedebasdep"/>
        </w:rPr>
        <w:footnoteRef/>
      </w:r>
      <w:r w:rsidRPr="00AD44F6">
        <w:rPr>
          <w:lang w:val="fr-FR"/>
        </w:rPr>
        <w:tab/>
      </w:r>
      <w:r>
        <w:t>Ibid.</w:t>
      </w:r>
      <w:r w:rsidRPr="00AD44F6">
        <w:rPr>
          <w:lang w:val="fr-FR"/>
        </w:rPr>
        <w:t>, par. 48.</w:t>
      </w:r>
    </w:p>
  </w:footnote>
  <w:footnote w:id="25">
    <w:p w14:paraId="38079730" w14:textId="77777777" w:rsidR="00E171BB" w:rsidRPr="00AD44F6" w:rsidRDefault="00E171BB" w:rsidP="00E171BB">
      <w:pPr>
        <w:pStyle w:val="Notedebasdepage"/>
        <w:rPr>
          <w:lang w:val="fr-FR"/>
        </w:rPr>
      </w:pPr>
      <w:r w:rsidRPr="00AD44F6">
        <w:rPr>
          <w:lang w:val="fr-FR"/>
        </w:rPr>
        <w:tab/>
      </w:r>
      <w:r w:rsidRPr="00AD44F6">
        <w:rPr>
          <w:rStyle w:val="Appelnotedebasdep"/>
        </w:rPr>
        <w:footnoteRef/>
      </w:r>
      <w:r w:rsidRPr="00AD44F6">
        <w:rPr>
          <w:lang w:val="fr-FR"/>
        </w:rPr>
        <w:tab/>
      </w:r>
      <w:r>
        <w:t>Ibid.</w:t>
      </w:r>
      <w:r w:rsidRPr="00AD44F6">
        <w:rPr>
          <w:lang w:val="fr-FR"/>
        </w:rPr>
        <w:t>, par. 50.</w:t>
      </w:r>
    </w:p>
  </w:footnote>
  <w:footnote w:id="26">
    <w:p w14:paraId="163FDC2A" w14:textId="77777777" w:rsidR="00E171BB" w:rsidRPr="007C6ED9" w:rsidRDefault="00E171BB" w:rsidP="00E171BB">
      <w:pPr>
        <w:pStyle w:val="Notedebasdepage"/>
        <w:rPr>
          <w:lang w:val="en-US"/>
        </w:rPr>
      </w:pPr>
      <w:r w:rsidRPr="00AD44F6">
        <w:rPr>
          <w:lang w:val="fr-FR"/>
        </w:rPr>
        <w:tab/>
      </w:r>
      <w:r w:rsidRPr="00AD44F6">
        <w:rPr>
          <w:rStyle w:val="Appelnotedebasdep"/>
        </w:rPr>
        <w:footnoteRef/>
      </w:r>
      <w:r w:rsidRPr="00AD44F6">
        <w:rPr>
          <w:lang w:val="en-GB"/>
        </w:rPr>
        <w:tab/>
      </w:r>
      <w:hyperlink r:id="rId12" w:history="1">
        <w:r w:rsidRPr="00446320">
          <w:rPr>
            <w:rStyle w:val="Lienhypertexte"/>
            <w:lang w:val="en-GB"/>
          </w:rPr>
          <w:t>E/C.12/GIN/C</w:t>
        </w:r>
        <w:r w:rsidRPr="00446320">
          <w:rPr>
            <w:rStyle w:val="Lienhypertexte"/>
            <w:lang w:val="en-GB"/>
          </w:rPr>
          <w:t>O</w:t>
        </w:r>
        <w:r w:rsidRPr="00446320">
          <w:rPr>
            <w:rStyle w:val="Lienhypertexte"/>
            <w:lang w:val="en-GB"/>
          </w:rPr>
          <w:t>/1</w:t>
        </w:r>
      </w:hyperlink>
      <w:r w:rsidRPr="00B3296C">
        <w:rPr>
          <w:lang w:val="en-GB"/>
        </w:rPr>
        <w:t>, par. 36.</w:t>
      </w:r>
    </w:p>
  </w:footnote>
  <w:footnote w:id="27">
    <w:p w14:paraId="2AEDF4ED" w14:textId="77777777" w:rsidR="00E171BB" w:rsidRPr="007C6ED9" w:rsidRDefault="00E171BB" w:rsidP="00E171BB">
      <w:pPr>
        <w:pStyle w:val="Notedebasdepage"/>
        <w:rPr>
          <w:lang w:val="en-US"/>
        </w:rPr>
      </w:pPr>
      <w:r w:rsidRPr="00AD44F6">
        <w:rPr>
          <w:lang w:val="en-GB"/>
        </w:rPr>
        <w:tab/>
      </w:r>
      <w:r w:rsidRPr="00AD44F6">
        <w:rPr>
          <w:rStyle w:val="Appelnotedebasdep"/>
        </w:rPr>
        <w:footnoteRef/>
      </w:r>
      <w:r w:rsidRPr="00AD44F6">
        <w:rPr>
          <w:lang w:val="en-GB"/>
        </w:rPr>
        <w:tab/>
      </w:r>
      <w:hyperlink r:id="rId13" w:history="1">
        <w:r w:rsidRPr="009B5125">
          <w:rPr>
            <w:rStyle w:val="Lienhypertexte"/>
            <w:lang w:val="en-GB"/>
          </w:rPr>
          <w:t>CMW/C/</w:t>
        </w:r>
        <w:r w:rsidRPr="009B5125">
          <w:rPr>
            <w:rStyle w:val="Lienhypertexte"/>
            <w:lang w:val="en-GB"/>
          </w:rPr>
          <w:t>G</w:t>
        </w:r>
        <w:r w:rsidRPr="009B5125">
          <w:rPr>
            <w:rStyle w:val="Lienhypertexte"/>
            <w:lang w:val="en-GB"/>
          </w:rPr>
          <w:t>IN/CO/1</w:t>
        </w:r>
      </w:hyperlink>
      <w:r w:rsidRPr="008E3D53">
        <w:rPr>
          <w:lang w:val="en-GB"/>
        </w:rPr>
        <w:t>, par. 54 et 56</w:t>
      </w:r>
      <w:r>
        <w:rPr>
          <w:lang w:val="en-GB"/>
        </w:rPr>
        <w:t>.</w:t>
      </w:r>
    </w:p>
  </w:footnote>
  <w:footnote w:id="28">
    <w:p w14:paraId="05D9EE62" w14:textId="77777777" w:rsidR="00E171BB" w:rsidRPr="007C6ED9" w:rsidRDefault="00E171BB" w:rsidP="00E171BB">
      <w:pPr>
        <w:pStyle w:val="Notedebasdepage"/>
        <w:rPr>
          <w:lang w:val="en-US"/>
        </w:rPr>
      </w:pPr>
      <w:r w:rsidRPr="00AD44F6">
        <w:rPr>
          <w:lang w:val="en-GB"/>
        </w:rPr>
        <w:tab/>
      </w:r>
      <w:r w:rsidRPr="00AD44F6">
        <w:rPr>
          <w:rStyle w:val="Appelnotedebasdep"/>
        </w:rPr>
        <w:footnoteRef/>
      </w:r>
      <w:r w:rsidRPr="00AD44F6">
        <w:rPr>
          <w:lang w:val="en-GB"/>
        </w:rPr>
        <w:tab/>
      </w:r>
      <w:hyperlink r:id="rId14" w:history="1">
        <w:r w:rsidRPr="00941EFF">
          <w:rPr>
            <w:rStyle w:val="Lienhypertexte"/>
            <w:lang w:val="en-GB"/>
          </w:rPr>
          <w:t>CCPR/C/</w:t>
        </w:r>
        <w:r w:rsidRPr="00941EFF">
          <w:rPr>
            <w:rStyle w:val="Lienhypertexte"/>
            <w:lang w:val="en-GB"/>
          </w:rPr>
          <w:t>G</w:t>
        </w:r>
        <w:r w:rsidRPr="00941EFF">
          <w:rPr>
            <w:rStyle w:val="Lienhypertexte"/>
            <w:lang w:val="en-GB"/>
          </w:rPr>
          <w:t>IN/CO/3</w:t>
        </w:r>
      </w:hyperlink>
      <w:r>
        <w:rPr>
          <w:lang w:val="en-GB"/>
        </w:rPr>
        <w:t>, par. 39.</w:t>
      </w:r>
    </w:p>
  </w:footnote>
  <w:footnote w:id="29">
    <w:p w14:paraId="149AE79E" w14:textId="77777777" w:rsidR="00E171BB" w:rsidRPr="007C6ED9" w:rsidRDefault="00E171BB" w:rsidP="00E171BB">
      <w:pPr>
        <w:pStyle w:val="Notedebasdepage"/>
        <w:rPr>
          <w:lang w:val="en-US"/>
        </w:rPr>
      </w:pPr>
      <w:r w:rsidRPr="00AD44F6">
        <w:rPr>
          <w:lang w:val="en-GB"/>
        </w:rPr>
        <w:tab/>
      </w:r>
      <w:r w:rsidRPr="00AD44F6">
        <w:rPr>
          <w:rStyle w:val="Appelnotedebasdep"/>
        </w:rPr>
        <w:footnoteRef/>
      </w:r>
      <w:r w:rsidRPr="00AD44F6">
        <w:rPr>
          <w:lang w:val="en-GB"/>
        </w:rPr>
        <w:tab/>
      </w:r>
      <w:hyperlink r:id="rId15" w:history="1">
        <w:r w:rsidRPr="009B5125">
          <w:rPr>
            <w:rStyle w:val="Lienhypertexte"/>
            <w:lang w:val="en-GB"/>
          </w:rPr>
          <w:t>CMW/C/GIN/CO/1</w:t>
        </w:r>
      </w:hyperlink>
      <w:r w:rsidRPr="003B2CBD">
        <w:rPr>
          <w:lang w:val="en-GB"/>
        </w:rPr>
        <w:t>, par.</w:t>
      </w:r>
      <w:r>
        <w:rPr>
          <w:lang w:val="en-GB"/>
        </w:rPr>
        <w:t xml:space="preserve"> 58.</w:t>
      </w:r>
    </w:p>
  </w:footnote>
  <w:footnote w:id="30">
    <w:p w14:paraId="15B44CDA" w14:textId="77777777" w:rsidR="00E171BB" w:rsidRPr="007C6ED9" w:rsidRDefault="00E171BB" w:rsidP="00E171BB">
      <w:pPr>
        <w:pStyle w:val="Notedebasdepage"/>
        <w:rPr>
          <w:lang w:val="en-US"/>
        </w:rPr>
      </w:pPr>
      <w:r w:rsidRPr="00AD44F6">
        <w:rPr>
          <w:lang w:val="en-GB"/>
        </w:rPr>
        <w:tab/>
      </w:r>
      <w:r w:rsidRPr="00AD44F6">
        <w:rPr>
          <w:rStyle w:val="Appelnotedebasdep"/>
        </w:rPr>
        <w:footnoteRef/>
      </w:r>
      <w:r>
        <w:tab/>
      </w:r>
      <w:hyperlink r:id="rId16" w:history="1">
        <w:r w:rsidRPr="002E296C">
          <w:rPr>
            <w:rStyle w:val="Lienhypertexte"/>
            <w:lang w:val="en-GB"/>
          </w:rPr>
          <w:t>HRI/GEN/</w:t>
        </w:r>
        <w:r w:rsidRPr="002E296C">
          <w:rPr>
            <w:rStyle w:val="Lienhypertexte"/>
            <w:lang w:val="en-GB"/>
          </w:rPr>
          <w:t>2</w:t>
        </w:r>
        <w:r w:rsidRPr="002E296C">
          <w:rPr>
            <w:rStyle w:val="Lienhypertexte"/>
            <w:lang w:val="en-GB"/>
          </w:rPr>
          <w:t>/Rev.6</w:t>
        </w:r>
      </w:hyperlink>
      <w:r w:rsidRPr="002E296C">
        <w:rPr>
          <w:rStyle w:val="Aucun"/>
          <w:lang w:val="en-GB"/>
        </w:rPr>
        <w:t>.</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C147629" w14:textId="348FC832" w:rsidR="00E171BB" w:rsidRPr="00E171BB" w:rsidRDefault="00E171BB">
    <w:pPr>
      <w:pStyle w:val="En-tte"/>
    </w:pPr>
    <w:fldSimple w:instr=" TITLE  \* MERGEFORMAT ">
      <w:r w:rsidR="00752A66">
        <w:t>CMW/C/GIN/QPR/2</w:t>
      </w:r>
    </w:fldSimple>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1DF2A79" w14:textId="169A7FBE" w:rsidR="00E171BB" w:rsidRPr="00E171BB" w:rsidRDefault="00E171BB" w:rsidP="00E171BB">
    <w:pPr>
      <w:pStyle w:val="En-tte"/>
      <w:jc w:val="right"/>
    </w:pPr>
    <w:fldSimple w:instr=" TITLE  \* MERGEFORMAT ">
      <w:r w:rsidR="00752A66">
        <w:t>CMW/C/GIN/QPR/2</w:t>
      </w:r>
    </w:fldSimple>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7C"/>
    <w:multiLevelType w:val="singleLevel"/>
    <w:tmpl w:val="834EEA80"/>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8B08445C"/>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7D50032A"/>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844CBCBC"/>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F4A6243A"/>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0F9AED4E"/>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9A9AA684"/>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9E1AE610"/>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145C69F2"/>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CB0402C4"/>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D954887"/>
    <w:multiLevelType w:val="hybridMultilevel"/>
    <w:tmpl w:val="7340E35C"/>
    <w:lvl w:ilvl="0" w:tplc="F560206C">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1" w15:restartNumberingAfterBreak="0">
    <w:nsid w:val="3ACF4EB2"/>
    <w:multiLevelType w:val="hybridMultilevel"/>
    <w:tmpl w:val="37F668DE"/>
    <w:lvl w:ilvl="0" w:tplc="78607ACC">
      <w:start w:val="1"/>
      <w:numFmt w:val="bullet"/>
      <w:pStyle w:val="Bullet2G"/>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3708"/>
        </w:tabs>
        <w:ind w:left="3708" w:hanging="360"/>
      </w:pPr>
      <w:rPr>
        <w:rFonts w:ascii="Courier New" w:hAnsi="Courier New" w:hint="default"/>
      </w:rPr>
    </w:lvl>
    <w:lvl w:ilvl="2" w:tplc="040C0005" w:tentative="1">
      <w:start w:val="1"/>
      <w:numFmt w:val="bullet"/>
      <w:lvlText w:val=""/>
      <w:lvlJc w:val="left"/>
      <w:pPr>
        <w:tabs>
          <w:tab w:val="num" w:pos="4428"/>
        </w:tabs>
        <w:ind w:left="4428" w:hanging="360"/>
      </w:pPr>
      <w:rPr>
        <w:rFonts w:ascii="Wingdings" w:hAnsi="Wingdings" w:hint="default"/>
      </w:rPr>
    </w:lvl>
    <w:lvl w:ilvl="3" w:tplc="040C0001" w:tentative="1">
      <w:start w:val="1"/>
      <w:numFmt w:val="bullet"/>
      <w:lvlText w:val=""/>
      <w:lvlJc w:val="left"/>
      <w:pPr>
        <w:tabs>
          <w:tab w:val="num" w:pos="5148"/>
        </w:tabs>
        <w:ind w:left="5148" w:hanging="360"/>
      </w:pPr>
      <w:rPr>
        <w:rFonts w:ascii="Symbol" w:hAnsi="Symbol" w:hint="default"/>
      </w:rPr>
    </w:lvl>
    <w:lvl w:ilvl="4" w:tplc="040C0003" w:tentative="1">
      <w:start w:val="1"/>
      <w:numFmt w:val="bullet"/>
      <w:lvlText w:val="o"/>
      <w:lvlJc w:val="left"/>
      <w:pPr>
        <w:tabs>
          <w:tab w:val="num" w:pos="5868"/>
        </w:tabs>
        <w:ind w:left="5868" w:hanging="360"/>
      </w:pPr>
      <w:rPr>
        <w:rFonts w:ascii="Courier New" w:hAnsi="Courier New" w:hint="default"/>
      </w:rPr>
    </w:lvl>
    <w:lvl w:ilvl="5" w:tplc="040C0005" w:tentative="1">
      <w:start w:val="1"/>
      <w:numFmt w:val="bullet"/>
      <w:lvlText w:val=""/>
      <w:lvlJc w:val="left"/>
      <w:pPr>
        <w:tabs>
          <w:tab w:val="num" w:pos="6588"/>
        </w:tabs>
        <w:ind w:left="6588" w:hanging="360"/>
      </w:pPr>
      <w:rPr>
        <w:rFonts w:ascii="Wingdings" w:hAnsi="Wingdings" w:hint="default"/>
      </w:rPr>
    </w:lvl>
    <w:lvl w:ilvl="6" w:tplc="040C0001" w:tentative="1">
      <w:start w:val="1"/>
      <w:numFmt w:val="bullet"/>
      <w:lvlText w:val=""/>
      <w:lvlJc w:val="left"/>
      <w:pPr>
        <w:tabs>
          <w:tab w:val="num" w:pos="7308"/>
        </w:tabs>
        <w:ind w:left="7308" w:hanging="360"/>
      </w:pPr>
      <w:rPr>
        <w:rFonts w:ascii="Symbol" w:hAnsi="Symbol" w:hint="default"/>
      </w:rPr>
    </w:lvl>
    <w:lvl w:ilvl="7" w:tplc="040C0003" w:tentative="1">
      <w:start w:val="1"/>
      <w:numFmt w:val="bullet"/>
      <w:lvlText w:val="o"/>
      <w:lvlJc w:val="left"/>
      <w:pPr>
        <w:tabs>
          <w:tab w:val="num" w:pos="8028"/>
        </w:tabs>
        <w:ind w:left="8028" w:hanging="360"/>
      </w:pPr>
      <w:rPr>
        <w:rFonts w:ascii="Courier New" w:hAnsi="Courier New" w:hint="default"/>
      </w:rPr>
    </w:lvl>
    <w:lvl w:ilvl="8" w:tplc="040C0005" w:tentative="1">
      <w:start w:val="1"/>
      <w:numFmt w:val="bullet"/>
      <w:lvlText w:val=""/>
      <w:lvlJc w:val="left"/>
      <w:pPr>
        <w:tabs>
          <w:tab w:val="num" w:pos="8748"/>
        </w:tabs>
        <w:ind w:left="8748" w:hanging="360"/>
      </w:pPr>
      <w:rPr>
        <w:rFonts w:ascii="Wingdings" w:hAnsi="Wingdings" w:hint="default"/>
      </w:rPr>
    </w:lvl>
  </w:abstractNum>
  <w:abstractNum w:abstractNumId="12" w15:restartNumberingAfterBreak="0">
    <w:nsid w:val="68AD07B2"/>
    <w:multiLevelType w:val="hybridMultilevel"/>
    <w:tmpl w:val="D794D89A"/>
    <w:lvl w:ilvl="0" w:tplc="3B64B33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3141"/>
        </w:tabs>
        <w:ind w:left="3141" w:hanging="360"/>
      </w:pPr>
      <w:rPr>
        <w:rFonts w:ascii="Courier New" w:hAnsi="Courier New" w:hint="default"/>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num w:numId="1" w16cid:durableId="345641227">
    <w:abstractNumId w:val="12"/>
  </w:num>
  <w:num w:numId="2" w16cid:durableId="1678071644">
    <w:abstractNumId w:val="11"/>
  </w:num>
  <w:num w:numId="3" w16cid:durableId="965700707">
    <w:abstractNumId w:val="10"/>
  </w:num>
  <w:num w:numId="4" w16cid:durableId="965617988">
    <w:abstractNumId w:val="8"/>
  </w:num>
  <w:num w:numId="5" w16cid:durableId="1703479142">
    <w:abstractNumId w:val="3"/>
  </w:num>
  <w:num w:numId="6" w16cid:durableId="1156149543">
    <w:abstractNumId w:val="2"/>
  </w:num>
  <w:num w:numId="7" w16cid:durableId="1559777563">
    <w:abstractNumId w:val="1"/>
  </w:num>
  <w:num w:numId="8" w16cid:durableId="1111359595">
    <w:abstractNumId w:val="0"/>
  </w:num>
  <w:num w:numId="9" w16cid:durableId="1328751019">
    <w:abstractNumId w:val="9"/>
  </w:num>
  <w:num w:numId="10" w16cid:durableId="775101311">
    <w:abstractNumId w:val="7"/>
  </w:num>
  <w:num w:numId="11" w16cid:durableId="1285234668">
    <w:abstractNumId w:val="6"/>
  </w:num>
  <w:num w:numId="12" w16cid:durableId="1446274000">
    <w:abstractNumId w:val="5"/>
  </w:num>
  <w:num w:numId="13" w16cid:durableId="535193033">
    <w:abstractNumId w:val="4"/>
  </w:num>
  <w:num w:numId="14" w16cid:durableId="1848135096">
    <w:abstractNumId w:val="12"/>
  </w:num>
  <w:num w:numId="15" w16cid:durableId="164513509">
    <w:abstractNumId w:val="11"/>
  </w:num>
  <w:num w:numId="16" w16cid:durableId="932393506">
    <w:abstractNumId w:val="10"/>
  </w:num>
  <w:num w:numId="17" w16cid:durableId="1910993099">
    <w:abstractNumId w:val="12"/>
  </w:num>
  <w:num w:numId="18" w16cid:durableId="1069694734">
    <w:abstractNumId w:val="11"/>
  </w:num>
  <w:num w:numId="19" w16cid:durableId="519970373">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10"/>
  <w:proofState w:spelling="clean"/>
  <w:attachedTemplate r:id="rId1"/>
  <w:defaultTabStop w:val="567"/>
  <w:hyphenationZone w:val="425"/>
  <w:evenAndOddHeaders/>
  <w:characterSpacingControl w:val="doNotCompress"/>
  <w:hdrShapeDefaults>
    <o:shapedefaults v:ext="edit" spidmax="2050"/>
  </w:hdrShapeDefaults>
  <w:footnotePr>
    <w:footnote w:id="-1"/>
    <w:footnote w:id="0"/>
    <w:footnote w:id="1"/>
  </w:footnotePr>
  <w:endnotePr>
    <w:numFmt w:val="decimal"/>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0080E"/>
    <w:rsid w:val="00017F94"/>
    <w:rsid w:val="00023842"/>
    <w:rsid w:val="000334F9"/>
    <w:rsid w:val="00045960"/>
    <w:rsid w:val="000562C0"/>
    <w:rsid w:val="0007796D"/>
    <w:rsid w:val="000B7790"/>
    <w:rsid w:val="00111F2F"/>
    <w:rsid w:val="0014365E"/>
    <w:rsid w:val="00160D15"/>
    <w:rsid w:val="00176178"/>
    <w:rsid w:val="001F525A"/>
    <w:rsid w:val="002001BB"/>
    <w:rsid w:val="00223272"/>
    <w:rsid w:val="0024779E"/>
    <w:rsid w:val="00287FA6"/>
    <w:rsid w:val="00352072"/>
    <w:rsid w:val="003764F6"/>
    <w:rsid w:val="003D7914"/>
    <w:rsid w:val="00446FE5"/>
    <w:rsid w:val="00452396"/>
    <w:rsid w:val="00466E87"/>
    <w:rsid w:val="005505B7"/>
    <w:rsid w:val="00572646"/>
    <w:rsid w:val="00573BE5"/>
    <w:rsid w:val="00586ED3"/>
    <w:rsid w:val="00596AA9"/>
    <w:rsid w:val="0071601D"/>
    <w:rsid w:val="00752A66"/>
    <w:rsid w:val="007A62E6"/>
    <w:rsid w:val="0080684C"/>
    <w:rsid w:val="00871C75"/>
    <w:rsid w:val="008776DC"/>
    <w:rsid w:val="008F572B"/>
    <w:rsid w:val="0090080E"/>
    <w:rsid w:val="0092121E"/>
    <w:rsid w:val="009705C8"/>
    <w:rsid w:val="00A30353"/>
    <w:rsid w:val="00A73CD0"/>
    <w:rsid w:val="00AA06AE"/>
    <w:rsid w:val="00AC3823"/>
    <w:rsid w:val="00AE323C"/>
    <w:rsid w:val="00B00181"/>
    <w:rsid w:val="00B04B0D"/>
    <w:rsid w:val="00B765F7"/>
    <w:rsid w:val="00BA0CA9"/>
    <w:rsid w:val="00C02897"/>
    <w:rsid w:val="00D3439C"/>
    <w:rsid w:val="00DB1831"/>
    <w:rsid w:val="00DC5317"/>
    <w:rsid w:val="00DD35CF"/>
    <w:rsid w:val="00DD3BFD"/>
    <w:rsid w:val="00DF6678"/>
    <w:rsid w:val="00E06211"/>
    <w:rsid w:val="00E171BB"/>
    <w:rsid w:val="00E85286"/>
    <w:rsid w:val="00F660DF"/>
    <w:rsid w:val="00F95C08"/>
    <w:rsid w:val="00FD0BE6"/>
    <w:rsid w:val="00FF6BFA"/>
  </w:rsids>
  <m:mathPr>
    <m:mathFont m:val="Cambria Math"/>
    <m:brkBin m:val="before"/>
    <m:brkBinSub m:val="--"/>
    <m:smallFrac m:val="0"/>
    <m:dispDef/>
    <m:lMargin m:val="0"/>
    <m:rMargin m:val="0"/>
    <m:defJc m:val="centerGroup"/>
    <m:wrapIndent m:val="1440"/>
    <m:intLim m:val="subSup"/>
    <m:naryLim m:val="undOvr"/>
  </m:mathPr>
  <w:themeFontLang w:val="fr-CH"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2A42A5BA"/>
  <w15:docId w15:val="{74117942-BDB5-4F44-9598-90FF441E94F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imes New Roman" w:hAnsiTheme="minorHAnsi" w:cstheme="minorBidi"/>
        <w:sz w:val="22"/>
        <w:szCs w:val="22"/>
        <w:lang w:val="fr-CH" w:eastAsia="zh-CN"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qFormat="1"/>
    <w:lsdException w:name="endnote reference" w:semiHidden="1" w:uiPriority="0" w:unhideWhenUsed="1" w:qFormat="1"/>
    <w:lsdException w:name="endnote text" w:semiHidden="1" w:uiPriority="0"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semiHidden="1"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iPriority="0" w:unhideWhenUsed="1"/>
    <w:lsdException w:name="Strong" w:semiHidden="1" w:uiPriority="22" w:qFormat="1"/>
    <w:lsdException w:name="Emphasis" w:semiHidden="1"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semiHidden="1" w:uiPriority="34" w:qFormat="1"/>
    <w:lsdException w:name="Quote" w:semiHidden="1" w:uiPriority="29" w:qFormat="1"/>
    <w:lsdException w:name="Intense Quote" w:semiHidden="1"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qFormat="1"/>
    <w:lsdException w:name="Intense Emphasis" w:semiHidden="1" w:uiPriority="21" w:qFormat="1"/>
    <w:lsdException w:name="Subtle Reference" w:semiHidden="1" w:uiPriority="31" w:qFormat="1"/>
    <w:lsdException w:name="Intense Reference" w:semiHidden="1" w:uiPriority="32" w:qFormat="1"/>
    <w:lsdException w:name="Book Title" w:semiHidden="1"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06211"/>
    <w:pPr>
      <w:suppressAutoHyphens/>
      <w:kinsoku w:val="0"/>
      <w:overflowPunct w:val="0"/>
      <w:autoSpaceDE w:val="0"/>
      <w:autoSpaceDN w:val="0"/>
      <w:adjustRightInd w:val="0"/>
      <w:snapToGrid w:val="0"/>
      <w:spacing w:after="0" w:line="240" w:lineRule="atLeast"/>
    </w:pPr>
    <w:rPr>
      <w:rFonts w:ascii="Times New Roman" w:eastAsiaTheme="minorHAnsi" w:hAnsi="Times New Roman" w:cs="Times New Roman"/>
      <w:sz w:val="20"/>
      <w:szCs w:val="20"/>
      <w:lang w:eastAsia="en-US"/>
    </w:rPr>
  </w:style>
  <w:style w:type="paragraph" w:styleId="Titre1">
    <w:name w:val="heading 1"/>
    <w:aliases w:val="Table_G"/>
    <w:basedOn w:val="SingleTxtG"/>
    <w:next w:val="SingleTxtG"/>
    <w:link w:val="Titre1Car"/>
    <w:qFormat/>
    <w:rsid w:val="00E06211"/>
    <w:pPr>
      <w:keepNext/>
      <w:keepLines/>
      <w:spacing w:after="0" w:line="240" w:lineRule="auto"/>
      <w:ind w:right="0"/>
      <w:jc w:val="left"/>
      <w:outlineLvl w:val="0"/>
    </w:pPr>
  </w:style>
  <w:style w:type="paragraph" w:styleId="Titre2">
    <w:name w:val="heading 2"/>
    <w:basedOn w:val="Normal"/>
    <w:next w:val="Normal"/>
    <w:link w:val="Titre2Car"/>
    <w:semiHidden/>
    <w:qFormat/>
    <w:rsid w:val="00FD0BE6"/>
    <w:pPr>
      <w:outlineLvl w:val="1"/>
    </w:pPr>
  </w:style>
  <w:style w:type="paragraph" w:styleId="Titre3">
    <w:name w:val="heading 3"/>
    <w:basedOn w:val="Normal"/>
    <w:next w:val="Normal"/>
    <w:link w:val="Titre3Car"/>
    <w:semiHidden/>
    <w:qFormat/>
    <w:rsid w:val="00023842"/>
    <w:pPr>
      <w:outlineLvl w:val="2"/>
    </w:pPr>
  </w:style>
  <w:style w:type="paragraph" w:styleId="Titre4">
    <w:name w:val="heading 4"/>
    <w:basedOn w:val="Normal"/>
    <w:next w:val="Normal"/>
    <w:link w:val="Titre4Car"/>
    <w:semiHidden/>
    <w:qFormat/>
    <w:rsid w:val="00023842"/>
    <w:pPr>
      <w:outlineLvl w:val="3"/>
    </w:pPr>
  </w:style>
  <w:style w:type="paragraph" w:styleId="Titre5">
    <w:name w:val="heading 5"/>
    <w:basedOn w:val="Normal"/>
    <w:next w:val="Normal"/>
    <w:link w:val="Titre5Car"/>
    <w:semiHidden/>
    <w:qFormat/>
    <w:rsid w:val="00023842"/>
    <w:pPr>
      <w:outlineLvl w:val="4"/>
    </w:pPr>
  </w:style>
  <w:style w:type="paragraph" w:styleId="Titre6">
    <w:name w:val="heading 6"/>
    <w:basedOn w:val="Normal"/>
    <w:next w:val="Normal"/>
    <w:link w:val="Titre6Car"/>
    <w:semiHidden/>
    <w:qFormat/>
    <w:rsid w:val="00023842"/>
    <w:pPr>
      <w:outlineLvl w:val="5"/>
    </w:pPr>
  </w:style>
  <w:style w:type="paragraph" w:styleId="Titre7">
    <w:name w:val="heading 7"/>
    <w:basedOn w:val="Normal"/>
    <w:next w:val="Normal"/>
    <w:link w:val="Titre7Car"/>
    <w:semiHidden/>
    <w:qFormat/>
    <w:rsid w:val="00023842"/>
    <w:pPr>
      <w:outlineLvl w:val="6"/>
    </w:pPr>
  </w:style>
  <w:style w:type="paragraph" w:styleId="Titre8">
    <w:name w:val="heading 8"/>
    <w:basedOn w:val="Normal"/>
    <w:next w:val="Normal"/>
    <w:link w:val="Titre8Car"/>
    <w:semiHidden/>
    <w:qFormat/>
    <w:rsid w:val="00023842"/>
    <w:pPr>
      <w:outlineLvl w:val="7"/>
    </w:pPr>
  </w:style>
  <w:style w:type="paragraph" w:styleId="Titre9">
    <w:name w:val="heading 9"/>
    <w:basedOn w:val="Normal"/>
    <w:next w:val="Normal"/>
    <w:link w:val="Titre9Car"/>
    <w:semiHidden/>
    <w:qFormat/>
    <w:rsid w:val="00023842"/>
    <w:pPr>
      <w:outlineLvl w:val="8"/>
    </w:pPr>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styleId="En-tte">
    <w:name w:val="header"/>
    <w:aliases w:val="6_G"/>
    <w:basedOn w:val="Normal"/>
    <w:next w:val="Normal"/>
    <w:link w:val="En-tteCar"/>
    <w:qFormat/>
    <w:rsid w:val="00E06211"/>
    <w:pPr>
      <w:pBdr>
        <w:bottom w:val="single" w:sz="4" w:space="4" w:color="auto"/>
      </w:pBdr>
      <w:spacing w:line="240" w:lineRule="auto"/>
    </w:pPr>
    <w:rPr>
      <w:b/>
      <w:sz w:val="18"/>
    </w:rPr>
  </w:style>
  <w:style w:type="character" w:customStyle="1" w:styleId="En-tteCar">
    <w:name w:val="En-tête Car"/>
    <w:aliases w:val="6_G Car"/>
    <w:basedOn w:val="Policepardfaut"/>
    <w:link w:val="En-tte"/>
    <w:rsid w:val="00E06211"/>
    <w:rPr>
      <w:rFonts w:ascii="Times New Roman" w:eastAsiaTheme="minorHAnsi" w:hAnsi="Times New Roman" w:cs="Times New Roman"/>
      <w:b/>
      <w:sz w:val="18"/>
      <w:szCs w:val="20"/>
      <w:lang w:eastAsia="en-US"/>
    </w:rPr>
  </w:style>
  <w:style w:type="paragraph" w:styleId="Pieddepage">
    <w:name w:val="footer"/>
    <w:aliases w:val="3_G"/>
    <w:basedOn w:val="Normal"/>
    <w:next w:val="Normal"/>
    <w:link w:val="PieddepageCar"/>
    <w:qFormat/>
    <w:rsid w:val="00E06211"/>
    <w:pPr>
      <w:spacing w:line="240" w:lineRule="auto"/>
    </w:pPr>
    <w:rPr>
      <w:sz w:val="16"/>
    </w:rPr>
  </w:style>
  <w:style w:type="character" w:customStyle="1" w:styleId="PieddepageCar">
    <w:name w:val="Pied de page Car"/>
    <w:aliases w:val="3_G Car"/>
    <w:basedOn w:val="Policepardfaut"/>
    <w:link w:val="Pieddepage"/>
    <w:rsid w:val="00E06211"/>
    <w:rPr>
      <w:rFonts w:ascii="Times New Roman" w:eastAsiaTheme="minorHAnsi" w:hAnsi="Times New Roman" w:cs="Times New Roman"/>
      <w:sz w:val="16"/>
      <w:szCs w:val="20"/>
      <w:lang w:eastAsia="en-US"/>
    </w:rPr>
  </w:style>
  <w:style w:type="paragraph" w:customStyle="1" w:styleId="HMG">
    <w:name w:val="_ H __M_G"/>
    <w:basedOn w:val="Normal"/>
    <w:next w:val="Normal"/>
    <w:qFormat/>
    <w:rsid w:val="00E06211"/>
    <w:pPr>
      <w:keepNext/>
      <w:keepLines/>
      <w:tabs>
        <w:tab w:val="right" w:pos="851"/>
      </w:tabs>
      <w:spacing w:before="240" w:after="240" w:line="360" w:lineRule="exact"/>
      <w:ind w:left="1134" w:right="1134" w:hanging="1134"/>
      <w:outlineLvl w:val="0"/>
    </w:pPr>
    <w:rPr>
      <w:b/>
      <w:sz w:val="34"/>
    </w:rPr>
  </w:style>
  <w:style w:type="paragraph" w:customStyle="1" w:styleId="HChG">
    <w:name w:val="_ H _Ch_G"/>
    <w:basedOn w:val="Normal"/>
    <w:next w:val="Normal"/>
    <w:link w:val="HChGChar"/>
    <w:qFormat/>
    <w:rsid w:val="00E06211"/>
    <w:pPr>
      <w:keepNext/>
      <w:keepLines/>
      <w:tabs>
        <w:tab w:val="right" w:pos="851"/>
      </w:tabs>
      <w:spacing w:before="360" w:after="240" w:line="300" w:lineRule="exact"/>
      <w:ind w:left="1134" w:right="1134" w:hanging="1134"/>
      <w:outlineLvl w:val="1"/>
    </w:pPr>
    <w:rPr>
      <w:b/>
      <w:sz w:val="28"/>
    </w:rPr>
  </w:style>
  <w:style w:type="paragraph" w:customStyle="1" w:styleId="H1G">
    <w:name w:val="_ H_1_G"/>
    <w:basedOn w:val="Normal"/>
    <w:next w:val="Normal"/>
    <w:link w:val="H1GChar"/>
    <w:qFormat/>
    <w:rsid w:val="00E06211"/>
    <w:pPr>
      <w:keepNext/>
      <w:keepLines/>
      <w:tabs>
        <w:tab w:val="right" w:pos="851"/>
      </w:tabs>
      <w:spacing w:before="360" w:after="240" w:line="270" w:lineRule="exact"/>
      <w:ind w:left="1134" w:right="1134" w:hanging="1134"/>
      <w:outlineLvl w:val="2"/>
    </w:pPr>
    <w:rPr>
      <w:b/>
      <w:sz w:val="24"/>
    </w:rPr>
  </w:style>
  <w:style w:type="paragraph" w:customStyle="1" w:styleId="H23G">
    <w:name w:val="_ H_2/3_G"/>
    <w:basedOn w:val="Normal"/>
    <w:next w:val="Normal"/>
    <w:link w:val="H23GChar"/>
    <w:qFormat/>
    <w:rsid w:val="00E06211"/>
    <w:pPr>
      <w:keepNext/>
      <w:keepLines/>
      <w:tabs>
        <w:tab w:val="right" w:pos="851"/>
      </w:tabs>
      <w:spacing w:before="240" w:after="120" w:line="240" w:lineRule="exact"/>
      <w:ind w:left="1134" w:right="1134" w:hanging="1134"/>
      <w:outlineLvl w:val="3"/>
    </w:pPr>
    <w:rPr>
      <w:b/>
    </w:rPr>
  </w:style>
  <w:style w:type="paragraph" w:customStyle="1" w:styleId="H4G">
    <w:name w:val="_ H_4_G"/>
    <w:basedOn w:val="Normal"/>
    <w:next w:val="Normal"/>
    <w:qFormat/>
    <w:rsid w:val="00E06211"/>
    <w:pPr>
      <w:keepNext/>
      <w:keepLines/>
      <w:tabs>
        <w:tab w:val="right" w:pos="851"/>
      </w:tabs>
      <w:spacing w:before="240" w:after="120" w:line="240" w:lineRule="exact"/>
      <w:ind w:left="1134" w:right="1134" w:hanging="1134"/>
      <w:outlineLvl w:val="4"/>
    </w:pPr>
    <w:rPr>
      <w:i/>
    </w:rPr>
  </w:style>
  <w:style w:type="paragraph" w:customStyle="1" w:styleId="H56G">
    <w:name w:val="_ H_5/6_G"/>
    <w:basedOn w:val="Normal"/>
    <w:next w:val="Normal"/>
    <w:qFormat/>
    <w:rsid w:val="00E06211"/>
    <w:pPr>
      <w:keepNext/>
      <w:keepLines/>
      <w:tabs>
        <w:tab w:val="right" w:pos="851"/>
      </w:tabs>
      <w:spacing w:before="240" w:after="120" w:line="240" w:lineRule="exact"/>
      <w:ind w:left="1134" w:right="1134" w:hanging="1134"/>
      <w:outlineLvl w:val="5"/>
    </w:pPr>
  </w:style>
  <w:style w:type="paragraph" w:customStyle="1" w:styleId="SingleTxtG">
    <w:name w:val="_ Single Txt_G"/>
    <w:basedOn w:val="Normal"/>
    <w:link w:val="SingleTxtGChar"/>
    <w:qFormat/>
    <w:rsid w:val="00E06211"/>
    <w:pPr>
      <w:tabs>
        <w:tab w:val="left" w:pos="1701"/>
        <w:tab w:val="left" w:pos="2268"/>
        <w:tab w:val="left" w:pos="2835"/>
      </w:tabs>
      <w:spacing w:after="120"/>
      <w:ind w:left="1134" w:right="1134"/>
      <w:jc w:val="both"/>
    </w:pPr>
  </w:style>
  <w:style w:type="paragraph" w:customStyle="1" w:styleId="SLG">
    <w:name w:val="__S_L_G"/>
    <w:basedOn w:val="Normal"/>
    <w:next w:val="Normal"/>
    <w:rsid w:val="00E06211"/>
    <w:pPr>
      <w:keepNext/>
      <w:keepLines/>
      <w:spacing w:before="240" w:after="240" w:line="580" w:lineRule="exact"/>
      <w:ind w:left="1134" w:right="1134"/>
    </w:pPr>
    <w:rPr>
      <w:b/>
      <w:sz w:val="56"/>
    </w:rPr>
  </w:style>
  <w:style w:type="paragraph" w:customStyle="1" w:styleId="SMG">
    <w:name w:val="__S_M_G"/>
    <w:basedOn w:val="Normal"/>
    <w:next w:val="Normal"/>
    <w:rsid w:val="00E06211"/>
    <w:pPr>
      <w:keepNext/>
      <w:keepLines/>
      <w:spacing w:before="240" w:after="240" w:line="420" w:lineRule="exact"/>
      <w:ind w:left="1134" w:right="1134"/>
    </w:pPr>
    <w:rPr>
      <w:b/>
      <w:sz w:val="40"/>
    </w:rPr>
  </w:style>
  <w:style w:type="paragraph" w:customStyle="1" w:styleId="SSG">
    <w:name w:val="__S_S_G"/>
    <w:basedOn w:val="Normal"/>
    <w:next w:val="Normal"/>
    <w:rsid w:val="00E06211"/>
    <w:pPr>
      <w:keepNext/>
      <w:keepLines/>
      <w:spacing w:before="240" w:after="240" w:line="300" w:lineRule="exact"/>
      <w:ind w:left="1134" w:right="1134"/>
    </w:pPr>
    <w:rPr>
      <w:b/>
      <w:sz w:val="28"/>
    </w:rPr>
  </w:style>
  <w:style w:type="paragraph" w:customStyle="1" w:styleId="XLargeG">
    <w:name w:val="__XLarge_G"/>
    <w:basedOn w:val="Normal"/>
    <w:next w:val="Normal"/>
    <w:rsid w:val="00E06211"/>
    <w:pPr>
      <w:keepNext/>
      <w:keepLines/>
      <w:spacing w:before="240" w:after="240" w:line="420" w:lineRule="exact"/>
      <w:ind w:left="1134" w:right="1134"/>
    </w:pPr>
    <w:rPr>
      <w:b/>
      <w:sz w:val="40"/>
    </w:rPr>
  </w:style>
  <w:style w:type="paragraph" w:customStyle="1" w:styleId="Bullet1G">
    <w:name w:val="_Bullet 1_G"/>
    <w:basedOn w:val="Normal"/>
    <w:qFormat/>
    <w:rsid w:val="00E06211"/>
    <w:pPr>
      <w:numPr>
        <w:numId w:val="17"/>
      </w:numPr>
      <w:spacing w:after="120"/>
      <w:ind w:right="1134"/>
      <w:jc w:val="both"/>
    </w:pPr>
  </w:style>
  <w:style w:type="paragraph" w:customStyle="1" w:styleId="Bullet2G">
    <w:name w:val="_Bullet 2_G"/>
    <w:basedOn w:val="Normal"/>
    <w:qFormat/>
    <w:rsid w:val="00E06211"/>
    <w:pPr>
      <w:numPr>
        <w:numId w:val="18"/>
      </w:numPr>
      <w:spacing w:after="120"/>
      <w:ind w:right="1134"/>
      <w:jc w:val="both"/>
    </w:pPr>
  </w:style>
  <w:style w:type="paragraph" w:customStyle="1" w:styleId="ParNoG">
    <w:name w:val="_ParNo_G"/>
    <w:basedOn w:val="Normal"/>
    <w:qFormat/>
    <w:rsid w:val="00E06211"/>
    <w:pPr>
      <w:numPr>
        <w:numId w:val="19"/>
      </w:numPr>
      <w:tabs>
        <w:tab w:val="left" w:pos="1701"/>
        <w:tab w:val="left" w:pos="2268"/>
        <w:tab w:val="left" w:pos="2835"/>
      </w:tabs>
      <w:spacing w:after="120"/>
      <w:ind w:right="1134"/>
      <w:jc w:val="both"/>
    </w:pPr>
  </w:style>
  <w:style w:type="character" w:styleId="Appelnotedebasdep">
    <w:name w:val="footnote reference"/>
    <w:aliases w:val="4_G,16 Point,4_G Char,BVI fnr,Footnote,Footnote Reference Char,Footnote Refernece,Footnote symbol,Fußnotenzeichen_Raxen,Superscript 6 Point,Texto de nota al pie,ftref"/>
    <w:basedOn w:val="Policepardfaut"/>
    <w:link w:val="FootnoteReference1"/>
    <w:qFormat/>
    <w:rsid w:val="00E06211"/>
    <w:rPr>
      <w:rFonts w:ascii="Times New Roman" w:hAnsi="Times New Roman"/>
      <w:sz w:val="18"/>
      <w:vertAlign w:val="superscript"/>
      <w:lang w:val="fr-CH"/>
    </w:rPr>
  </w:style>
  <w:style w:type="character" w:styleId="Appeldenotedefin">
    <w:name w:val="endnote reference"/>
    <w:aliases w:val="1_G"/>
    <w:basedOn w:val="Appelnotedebasdep"/>
    <w:qFormat/>
    <w:rsid w:val="00E06211"/>
    <w:rPr>
      <w:rFonts w:ascii="Times New Roman" w:hAnsi="Times New Roman"/>
      <w:sz w:val="18"/>
      <w:vertAlign w:val="superscript"/>
      <w:lang w:val="fr-CH"/>
    </w:rPr>
  </w:style>
  <w:style w:type="table" w:styleId="Grilledutableau">
    <w:name w:val="Table Grid"/>
    <w:basedOn w:val="TableauNormal"/>
    <w:rsid w:val="00E06211"/>
    <w:pPr>
      <w:suppressAutoHyphens/>
      <w:spacing w:after="0" w:line="240" w:lineRule="atLeast"/>
    </w:pPr>
    <w:rPr>
      <w:rFonts w:ascii="Times New Roman" w:eastAsiaTheme="minorHAnsi" w:hAnsi="Times New Roman" w:cs="Times New Roman"/>
      <w:sz w:val="20"/>
      <w:szCs w:val="20"/>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Lienhypertexte">
    <w:name w:val="Hyperlink"/>
    <w:basedOn w:val="Policepardfaut"/>
    <w:unhideWhenUsed/>
    <w:rsid w:val="00E06211"/>
    <w:rPr>
      <w:color w:val="0000FF"/>
      <w:u w:val="none"/>
    </w:rPr>
  </w:style>
  <w:style w:type="character" w:styleId="Lienhypertextesuivivisit">
    <w:name w:val="FollowedHyperlink"/>
    <w:basedOn w:val="Policepardfaut"/>
    <w:unhideWhenUsed/>
    <w:rsid w:val="00E06211"/>
    <w:rPr>
      <w:color w:val="0000FF"/>
      <w:u w:val="none"/>
    </w:rPr>
  </w:style>
  <w:style w:type="paragraph" w:styleId="Notedebasdepage">
    <w:name w:val="footnote text"/>
    <w:aliases w:val="5_G,Char,F1,FOOTNOTES,Footnote Text Char Char,Footnote Text Char Char Char,Fußnote,Geneva,fn,fn Cha,footnote text Char,ft,ft Char,ft Char Char,ft Char Char Char,single space,single space Char,single space Char Char Char"/>
    <w:basedOn w:val="Normal"/>
    <w:link w:val="NotedebasdepageCar"/>
    <w:qFormat/>
    <w:rsid w:val="00E06211"/>
    <w:pPr>
      <w:tabs>
        <w:tab w:val="right" w:pos="1021"/>
      </w:tabs>
      <w:spacing w:line="220" w:lineRule="exact"/>
      <w:ind w:left="1134" w:right="1134" w:hanging="1134"/>
    </w:pPr>
    <w:rPr>
      <w:sz w:val="18"/>
    </w:rPr>
  </w:style>
  <w:style w:type="character" w:customStyle="1" w:styleId="NotedebasdepageCar">
    <w:name w:val="Note de bas de page Car"/>
    <w:aliases w:val="5_G Car,Char Car,F1 Car,FOOTNOTES Car,Footnote Text Char Char Car,Footnote Text Char Char Char Car,Fußnote Car,Geneva Car,fn Car,fn Cha Car,footnote text Char Car,ft Car,ft Char Car,ft Char Char Car,ft Char Char Char Car"/>
    <w:basedOn w:val="Policepardfaut"/>
    <w:link w:val="Notedebasdepage"/>
    <w:rsid w:val="00E06211"/>
    <w:rPr>
      <w:rFonts w:ascii="Times New Roman" w:eastAsiaTheme="minorHAnsi" w:hAnsi="Times New Roman" w:cs="Times New Roman"/>
      <w:sz w:val="18"/>
      <w:szCs w:val="20"/>
      <w:lang w:eastAsia="en-US"/>
    </w:rPr>
  </w:style>
  <w:style w:type="paragraph" w:styleId="Notedefin">
    <w:name w:val="endnote text"/>
    <w:aliases w:val="2_G"/>
    <w:basedOn w:val="Notedebasdepage"/>
    <w:link w:val="NotedefinCar"/>
    <w:qFormat/>
    <w:rsid w:val="00E06211"/>
  </w:style>
  <w:style w:type="character" w:customStyle="1" w:styleId="NotedefinCar">
    <w:name w:val="Note de fin Car"/>
    <w:aliases w:val="2_G Car"/>
    <w:basedOn w:val="Policepardfaut"/>
    <w:link w:val="Notedefin"/>
    <w:rsid w:val="00E06211"/>
    <w:rPr>
      <w:rFonts w:ascii="Times New Roman" w:eastAsiaTheme="minorHAnsi" w:hAnsi="Times New Roman" w:cs="Times New Roman"/>
      <w:sz w:val="18"/>
      <w:szCs w:val="20"/>
      <w:lang w:eastAsia="en-US"/>
    </w:rPr>
  </w:style>
  <w:style w:type="character" w:styleId="Numrodepage">
    <w:name w:val="page number"/>
    <w:aliases w:val="7_G"/>
    <w:basedOn w:val="Policepardfaut"/>
    <w:qFormat/>
    <w:rsid w:val="00E06211"/>
    <w:rPr>
      <w:rFonts w:ascii="Times New Roman" w:hAnsi="Times New Roman"/>
      <w:b/>
      <w:sz w:val="18"/>
      <w:lang w:val="fr-CH"/>
    </w:rPr>
  </w:style>
  <w:style w:type="character" w:customStyle="1" w:styleId="Titre1Car">
    <w:name w:val="Titre 1 Car"/>
    <w:aliases w:val="Table_G Car"/>
    <w:basedOn w:val="Policepardfaut"/>
    <w:link w:val="Titre1"/>
    <w:rsid w:val="00E06211"/>
    <w:rPr>
      <w:rFonts w:ascii="Times New Roman" w:eastAsiaTheme="minorHAnsi" w:hAnsi="Times New Roman" w:cs="Times New Roman"/>
      <w:sz w:val="20"/>
      <w:szCs w:val="20"/>
      <w:lang w:eastAsia="en-US"/>
    </w:rPr>
  </w:style>
  <w:style w:type="character" w:customStyle="1" w:styleId="Titre2Car">
    <w:name w:val="Titre 2 Car"/>
    <w:basedOn w:val="Policepardfaut"/>
    <w:link w:val="Titre2"/>
    <w:semiHidden/>
    <w:rsid w:val="00FD0BE6"/>
    <w:rPr>
      <w:rFonts w:ascii="Times New Roman" w:eastAsiaTheme="minorHAnsi" w:hAnsi="Times New Roman" w:cs="Times New Roman"/>
      <w:sz w:val="20"/>
      <w:szCs w:val="20"/>
      <w:lang w:eastAsia="en-US"/>
    </w:rPr>
  </w:style>
  <w:style w:type="character" w:customStyle="1" w:styleId="Titre3Car">
    <w:name w:val="Titre 3 Car"/>
    <w:basedOn w:val="Policepardfaut"/>
    <w:link w:val="Titre3"/>
    <w:semiHidden/>
    <w:rsid w:val="00023842"/>
    <w:rPr>
      <w:rFonts w:ascii="Times New Roman" w:eastAsia="Times New Roman" w:hAnsi="Times New Roman" w:cs="Times New Roman"/>
      <w:sz w:val="20"/>
      <w:szCs w:val="20"/>
      <w:lang w:eastAsia="en-US"/>
    </w:rPr>
  </w:style>
  <w:style w:type="character" w:customStyle="1" w:styleId="Titre4Car">
    <w:name w:val="Titre 4 Car"/>
    <w:basedOn w:val="Policepardfaut"/>
    <w:link w:val="Titre4"/>
    <w:semiHidden/>
    <w:rsid w:val="00023842"/>
    <w:rPr>
      <w:rFonts w:ascii="Times New Roman" w:eastAsia="Times New Roman" w:hAnsi="Times New Roman" w:cs="Times New Roman"/>
      <w:sz w:val="20"/>
      <w:szCs w:val="20"/>
      <w:lang w:eastAsia="en-US"/>
    </w:rPr>
  </w:style>
  <w:style w:type="character" w:customStyle="1" w:styleId="Titre5Car">
    <w:name w:val="Titre 5 Car"/>
    <w:basedOn w:val="Policepardfaut"/>
    <w:link w:val="Titre5"/>
    <w:semiHidden/>
    <w:rsid w:val="00023842"/>
    <w:rPr>
      <w:rFonts w:ascii="Times New Roman" w:eastAsia="Times New Roman" w:hAnsi="Times New Roman" w:cs="Times New Roman"/>
      <w:sz w:val="20"/>
      <w:szCs w:val="20"/>
      <w:lang w:eastAsia="en-US"/>
    </w:rPr>
  </w:style>
  <w:style w:type="character" w:customStyle="1" w:styleId="Titre6Car">
    <w:name w:val="Titre 6 Car"/>
    <w:basedOn w:val="Policepardfaut"/>
    <w:link w:val="Titre6"/>
    <w:semiHidden/>
    <w:rsid w:val="00023842"/>
    <w:rPr>
      <w:rFonts w:ascii="Times New Roman" w:eastAsia="Times New Roman" w:hAnsi="Times New Roman" w:cs="Times New Roman"/>
      <w:sz w:val="20"/>
      <w:szCs w:val="20"/>
      <w:lang w:eastAsia="en-US"/>
    </w:rPr>
  </w:style>
  <w:style w:type="character" w:customStyle="1" w:styleId="Titre7Car">
    <w:name w:val="Titre 7 Car"/>
    <w:basedOn w:val="Policepardfaut"/>
    <w:link w:val="Titre7"/>
    <w:semiHidden/>
    <w:rsid w:val="00023842"/>
    <w:rPr>
      <w:rFonts w:ascii="Times New Roman" w:eastAsia="Times New Roman" w:hAnsi="Times New Roman" w:cs="Times New Roman"/>
      <w:sz w:val="20"/>
      <w:szCs w:val="20"/>
      <w:lang w:eastAsia="en-US"/>
    </w:rPr>
  </w:style>
  <w:style w:type="character" w:customStyle="1" w:styleId="Titre8Car">
    <w:name w:val="Titre 8 Car"/>
    <w:basedOn w:val="Policepardfaut"/>
    <w:link w:val="Titre8"/>
    <w:semiHidden/>
    <w:rsid w:val="00023842"/>
    <w:rPr>
      <w:rFonts w:ascii="Times New Roman" w:eastAsia="Times New Roman" w:hAnsi="Times New Roman" w:cs="Times New Roman"/>
      <w:sz w:val="20"/>
      <w:szCs w:val="20"/>
      <w:lang w:eastAsia="en-US"/>
    </w:rPr>
  </w:style>
  <w:style w:type="character" w:customStyle="1" w:styleId="Titre9Car">
    <w:name w:val="Titre 9 Car"/>
    <w:basedOn w:val="Policepardfaut"/>
    <w:link w:val="Titre9"/>
    <w:semiHidden/>
    <w:rsid w:val="00023842"/>
    <w:rPr>
      <w:rFonts w:ascii="Times New Roman" w:eastAsia="Times New Roman" w:hAnsi="Times New Roman" w:cs="Times New Roman"/>
      <w:sz w:val="20"/>
      <w:szCs w:val="20"/>
      <w:lang w:eastAsia="en-US"/>
    </w:rPr>
  </w:style>
  <w:style w:type="paragraph" w:styleId="Textedebulles">
    <w:name w:val="Balloon Text"/>
    <w:basedOn w:val="Normal"/>
    <w:link w:val="TextedebullesCar"/>
    <w:uiPriority w:val="99"/>
    <w:semiHidden/>
    <w:unhideWhenUsed/>
    <w:rsid w:val="003D7914"/>
    <w:pPr>
      <w:spacing w:line="240" w:lineRule="auto"/>
    </w:pPr>
    <w:rPr>
      <w:rFonts w:ascii="Tahoma" w:hAnsi="Tahoma" w:cs="Tahoma"/>
      <w:sz w:val="16"/>
      <w:szCs w:val="16"/>
    </w:rPr>
  </w:style>
  <w:style w:type="character" w:customStyle="1" w:styleId="TextedebullesCar">
    <w:name w:val="Texte de bulles Car"/>
    <w:basedOn w:val="Policepardfaut"/>
    <w:link w:val="Textedebulles"/>
    <w:uiPriority w:val="99"/>
    <w:semiHidden/>
    <w:rsid w:val="003D7914"/>
    <w:rPr>
      <w:rFonts w:ascii="Tahoma" w:hAnsi="Tahoma" w:cs="Tahoma"/>
      <w:sz w:val="16"/>
      <w:szCs w:val="16"/>
      <w:lang w:eastAsia="en-US"/>
    </w:rPr>
  </w:style>
  <w:style w:type="character" w:customStyle="1" w:styleId="HChGChar">
    <w:name w:val="_ H _Ch_G Char"/>
    <w:link w:val="HChG"/>
    <w:locked/>
    <w:rsid w:val="008F572B"/>
    <w:rPr>
      <w:rFonts w:ascii="Times New Roman" w:eastAsiaTheme="minorHAnsi" w:hAnsi="Times New Roman" w:cs="Times New Roman"/>
      <w:b/>
      <w:sz w:val="28"/>
      <w:szCs w:val="20"/>
      <w:lang w:eastAsia="en-US"/>
    </w:rPr>
  </w:style>
  <w:style w:type="character" w:customStyle="1" w:styleId="SingleTxtGChar">
    <w:name w:val="_ Single Txt_G Char"/>
    <w:link w:val="SingleTxtG"/>
    <w:rsid w:val="008F572B"/>
    <w:rPr>
      <w:rFonts w:ascii="Times New Roman" w:eastAsiaTheme="minorHAnsi" w:hAnsi="Times New Roman" w:cs="Times New Roman"/>
      <w:sz w:val="20"/>
      <w:szCs w:val="20"/>
      <w:lang w:eastAsia="en-US"/>
    </w:rPr>
  </w:style>
  <w:style w:type="character" w:customStyle="1" w:styleId="H1GChar">
    <w:name w:val="_ H_1_G Char"/>
    <w:link w:val="H1G"/>
    <w:locked/>
    <w:rsid w:val="008F572B"/>
    <w:rPr>
      <w:rFonts w:ascii="Times New Roman" w:eastAsiaTheme="minorHAnsi" w:hAnsi="Times New Roman" w:cs="Times New Roman"/>
      <w:b/>
      <w:sz w:val="24"/>
      <w:szCs w:val="20"/>
      <w:lang w:eastAsia="en-US"/>
    </w:rPr>
  </w:style>
  <w:style w:type="character" w:customStyle="1" w:styleId="H23GChar">
    <w:name w:val="_ H_2/3_G Char"/>
    <w:link w:val="H23G"/>
    <w:locked/>
    <w:rsid w:val="008F572B"/>
    <w:rPr>
      <w:rFonts w:ascii="Times New Roman" w:eastAsiaTheme="minorHAnsi" w:hAnsi="Times New Roman" w:cs="Times New Roman"/>
      <w:b/>
      <w:sz w:val="20"/>
      <w:szCs w:val="20"/>
      <w:lang w:eastAsia="en-US"/>
    </w:rPr>
  </w:style>
  <w:style w:type="paragraph" w:customStyle="1" w:styleId="FootnoteReference1">
    <w:name w:val="Footnote Reference1"/>
    <w:basedOn w:val="Normal"/>
    <w:link w:val="Appelnotedebasdep"/>
    <w:rsid w:val="00E171BB"/>
    <w:pPr>
      <w:suppressAutoHyphens w:val="0"/>
      <w:kinsoku/>
      <w:overflowPunct/>
      <w:autoSpaceDE/>
      <w:autoSpaceDN/>
      <w:adjustRightInd/>
      <w:snapToGrid/>
      <w:spacing w:after="160" w:line="240" w:lineRule="exact"/>
    </w:pPr>
    <w:rPr>
      <w:rFonts w:eastAsia="Times New Roman" w:cstheme="minorBidi"/>
      <w:sz w:val="18"/>
      <w:szCs w:val="22"/>
      <w:vertAlign w:val="superscript"/>
      <w:lang w:eastAsia="zh-CN"/>
    </w:rPr>
  </w:style>
  <w:style w:type="character" w:customStyle="1" w:styleId="Hyperlink0">
    <w:name w:val="Hyperlink.0"/>
    <w:basedOn w:val="Policepardfaut"/>
    <w:rsid w:val="00E171BB"/>
    <w:rPr>
      <w:color w:val="0000FF"/>
      <w:u w:val="none" w:color="0000FF"/>
    </w:rPr>
  </w:style>
  <w:style w:type="character" w:customStyle="1" w:styleId="Aucun">
    <w:name w:val="Aucun"/>
    <w:rsid w:val="00E171BB"/>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undocs.org/fr/A/RES/68/268" TargetMode="External"/><Relationship Id="rId13" Type="http://schemas.openxmlformats.org/officeDocument/2006/relationships/footer" Target="footer3.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2.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1.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png"/></Relationships>
</file>

<file path=word/_rels/footnotes.xml.rels><?xml version="1.0" encoding="UTF-8" standalone="yes"?>
<Relationships xmlns="http://schemas.openxmlformats.org/package/2006/relationships"><Relationship Id="rId8" Type="http://schemas.openxmlformats.org/officeDocument/2006/relationships/hyperlink" Target="https://docs.un.org/fr/E/C.12/GIN/CO/1" TargetMode="External"/><Relationship Id="rId13" Type="http://schemas.openxmlformats.org/officeDocument/2006/relationships/hyperlink" Target="https://docs.un.org/fr/CMW/C/GIN/CO/1" TargetMode="External"/><Relationship Id="rId3" Type="http://schemas.openxmlformats.org/officeDocument/2006/relationships/hyperlink" Target="https://docs.un.org/fr/CMW/C/GIN/CO/1" TargetMode="External"/><Relationship Id="rId7" Type="http://schemas.openxmlformats.org/officeDocument/2006/relationships/hyperlink" Target="https://docs.un.org/fr/CRC/C/OPSC/GIN/CO/1" TargetMode="External"/><Relationship Id="rId12" Type="http://schemas.openxmlformats.org/officeDocument/2006/relationships/hyperlink" Target="https://docs.un.org/fr/E/C.12/GIN/CO/1" TargetMode="External"/><Relationship Id="rId2" Type="http://schemas.openxmlformats.org/officeDocument/2006/relationships/hyperlink" Target="https://docs.un.org/fr/CRC/C/GIN/CO/3-6" TargetMode="External"/><Relationship Id="rId16" Type="http://schemas.openxmlformats.org/officeDocument/2006/relationships/hyperlink" Target="http://undocs.org/fr/HRI/GEN/2/Rev.6" TargetMode="External"/><Relationship Id="rId1" Type="http://schemas.openxmlformats.org/officeDocument/2006/relationships/hyperlink" Target="https://undocs.org/fr/CMW/C/GIN/CO/1" TargetMode="External"/><Relationship Id="rId6" Type="http://schemas.openxmlformats.org/officeDocument/2006/relationships/hyperlink" Target="https://docs.un.org/fr/CRC/C/GIN/CO/3-6" TargetMode="External"/><Relationship Id="rId11" Type="http://schemas.openxmlformats.org/officeDocument/2006/relationships/hyperlink" Target="https://docs.un.org/fr/CMW/C/GIN/CO/1" TargetMode="External"/><Relationship Id="rId5" Type="http://schemas.openxmlformats.org/officeDocument/2006/relationships/hyperlink" Target="https://docs.un.org/fr/CRC/C/OPAC/GIN/CO/1" TargetMode="External"/><Relationship Id="rId15" Type="http://schemas.openxmlformats.org/officeDocument/2006/relationships/hyperlink" Target="https://docs.un.org/fr/CMW/C/GIN/CO/1" TargetMode="External"/><Relationship Id="rId10" Type="http://schemas.openxmlformats.org/officeDocument/2006/relationships/hyperlink" Target="https://docs.un.org/fr/CRC/C/GIN/CO/3-6" TargetMode="External"/><Relationship Id="rId4" Type="http://schemas.openxmlformats.org/officeDocument/2006/relationships/hyperlink" Target="https://docs.un.org/fr/E/C.12/GIN/CO/1" TargetMode="External"/><Relationship Id="rId9" Type="http://schemas.openxmlformats.org/officeDocument/2006/relationships/hyperlink" Target="https://docs.un.org/fr/CMW/C/GIN/CO/1" TargetMode="External"/><Relationship Id="rId14" Type="http://schemas.openxmlformats.org/officeDocument/2006/relationships/hyperlink" Target="https://docs.un.org/fr/CCPR/C/GIN/CO/3"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Templates\CMW.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CMW.dotm</Template>
  <TotalTime>0</TotalTime>
  <Pages>8</Pages>
  <Words>3789</Words>
  <Characters>21528</Characters>
  <Application>Microsoft Office Word</Application>
  <DocSecurity>0</DocSecurity>
  <Lines>347</Lines>
  <Paragraphs>90</Paragraphs>
  <ScaleCrop>false</ScaleCrop>
  <HeadingPairs>
    <vt:vector size="2" baseType="variant">
      <vt:variant>
        <vt:lpstr>Titre</vt:lpstr>
      </vt:variant>
      <vt:variant>
        <vt:i4>1</vt:i4>
      </vt:variant>
    </vt:vector>
  </HeadingPairs>
  <TitlesOfParts>
    <vt:vector size="1" baseType="lpstr">
      <vt:lpstr>CMW/C/GIN/QPR/2</vt:lpstr>
    </vt:vector>
  </TitlesOfParts>
  <Company>DCM</Company>
  <LinksUpToDate>false</LinksUpToDate>
  <CharactersWithSpaces>25227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CMW/C/GIN/QPR/2</dc:title>
  <dc:subject/>
  <dc:creator>Julien OKRZESIK</dc:creator>
  <cp:keywords/>
  <cp:lastModifiedBy>Julien OKRZESIK</cp:lastModifiedBy>
  <cp:revision>3</cp:revision>
  <cp:lastPrinted>2025-05-13T10:43:00Z</cp:lastPrinted>
  <dcterms:created xsi:type="dcterms:W3CDTF">2025-05-13T10:43:00Z</dcterms:created>
  <dcterms:modified xsi:type="dcterms:W3CDTF">2025-05-13T10:43:00Z</dcterms:modified>
</cp:coreProperties>
</file>