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0D81" w:rsidRDefault="00CF0D81" w:rsidP="00CF0D81">
      <w:pPr>
        <w:spacing w:line="60" w:lineRule="exact"/>
        <w:rPr>
          <w:sz w:val="6"/>
        </w:rPr>
        <w:sectPr w:rsidR="00CF0D81" w:rsidSect="00CF0D8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CF0D81" w:rsidRDefault="00CF0D81" w:rsidP="00CF0D81">
      <w:pPr>
        <w:spacing w:line="60" w:lineRule="exact"/>
        <w:rPr>
          <w:sz w:val="6"/>
        </w:rPr>
      </w:pPr>
    </w:p>
    <w:p w:rsidR="00293491" w:rsidRDefault="00293491" w:rsidP="002934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293491" w:rsidRDefault="00293491" w:rsidP="002934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第三十七届会议</w:t>
      </w:r>
    </w:p>
    <w:p w:rsidR="00293491" w:rsidRDefault="00293491" w:rsidP="00293491">
      <w:pPr>
        <w:pStyle w:val="SingleTxt"/>
        <w:spacing w:after="60"/>
        <w:ind w:left="0"/>
        <w:rPr>
          <w:rFonts w:hint="eastAsia"/>
        </w:rPr>
      </w:pPr>
      <w:r>
        <w:rPr>
          <w:rFonts w:hint="eastAsia"/>
        </w:rPr>
        <w:t>2007年1月15日至2月2日</w:t>
      </w:r>
    </w:p>
    <w:p w:rsidR="00293491" w:rsidRPr="00293491" w:rsidRDefault="00293491" w:rsidP="00293491">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293491" w:rsidRPr="00293491" w:rsidRDefault="00293491" w:rsidP="00293491">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293491" w:rsidRDefault="00293491" w:rsidP="00293491">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rFonts w:ascii="Times New Roman"/>
        </w:rPr>
        <w:tab/>
      </w:r>
      <w:r>
        <w:rPr>
          <w:rFonts w:ascii="Times New Roman"/>
        </w:rPr>
        <w:tab/>
      </w:r>
      <w:r>
        <w:rPr>
          <w:rFonts w:hint="eastAsia"/>
        </w:rPr>
        <w:t>消除对妇女歧视委员会的结论意见：秘鲁</w:t>
      </w:r>
    </w:p>
    <w:p w:rsidR="00293491" w:rsidRPr="00574B24" w:rsidRDefault="00293491" w:rsidP="00293491">
      <w:pPr>
        <w:pStyle w:val="SingleTxt"/>
        <w:spacing w:after="0" w:line="120" w:lineRule="exact"/>
        <w:rPr>
          <w:rFonts w:hint="eastAsia"/>
          <w:sz w:val="10"/>
        </w:rPr>
      </w:pPr>
    </w:p>
    <w:p w:rsidR="00293491" w:rsidRPr="00574B24" w:rsidRDefault="00293491" w:rsidP="00293491">
      <w:pPr>
        <w:pStyle w:val="SingleTxt"/>
        <w:spacing w:after="0" w:line="120" w:lineRule="exact"/>
        <w:rPr>
          <w:rFonts w:hint="eastAsia"/>
          <w:sz w:val="10"/>
        </w:rPr>
      </w:pPr>
    </w:p>
    <w:p w:rsidR="00293491" w:rsidRDefault="00293491" w:rsidP="00293491">
      <w:pPr>
        <w:pStyle w:val="SingleTxt"/>
      </w:pPr>
      <w:r>
        <w:rPr>
          <w:rFonts w:hint="eastAsia"/>
        </w:rPr>
        <w:t>1.</w:t>
      </w:r>
      <w:r>
        <w:rPr>
          <w:rFonts w:hint="eastAsia"/>
        </w:rPr>
        <w:tab/>
        <w:t>委员会在2007年1月19日第763和第764次会议（见CEDAW/C/SR.763和764）上，审议了秘鲁的第六次定期报告（CEDAW/C/PER/6）。委员会的议题和问题清单载于CEDAW/C/PER/Q/6，秘鲁的答复载于</w:t>
      </w:r>
      <w:r w:rsidR="001059D0">
        <w:rPr>
          <w:rFonts w:hint="eastAsia"/>
        </w:rPr>
        <w:t>CEDAW/C/PER/Q/6/</w:t>
      </w:r>
      <w:r>
        <w:rPr>
          <w:rFonts w:hint="eastAsia"/>
        </w:rPr>
        <w:t>Add.1。</w:t>
      </w:r>
    </w:p>
    <w:p w:rsidR="00293491" w:rsidRDefault="00293491" w:rsidP="002934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导言</w:t>
      </w:r>
    </w:p>
    <w:p w:rsidR="00293491" w:rsidRPr="00574B24" w:rsidRDefault="00293491" w:rsidP="00293491">
      <w:pPr>
        <w:pStyle w:val="SingleTxt"/>
        <w:spacing w:after="0" w:line="120" w:lineRule="exact"/>
        <w:rPr>
          <w:rFonts w:hint="eastAsia"/>
          <w:sz w:val="10"/>
        </w:rPr>
      </w:pPr>
    </w:p>
    <w:p w:rsidR="00293491" w:rsidRDefault="00293491" w:rsidP="00293491">
      <w:pPr>
        <w:pStyle w:val="SingleTxt"/>
        <w:rPr>
          <w:rFonts w:hint="eastAsia"/>
        </w:rPr>
      </w:pPr>
      <w:r>
        <w:rPr>
          <w:rFonts w:hint="eastAsia"/>
        </w:rPr>
        <w:t>2.</w:t>
      </w:r>
      <w:r>
        <w:rPr>
          <w:rFonts w:hint="eastAsia"/>
        </w:rPr>
        <w:tab/>
        <w:t>委员会感谢缔约国依照委员会编写报告准则提交的第六次定期报告，而且，该报告充分考虑到委员会以往的结论意见。委员会还赞赏缔约国就会前工作组提出的议题和问题清单提交书面答复，并赞赏就委员会提出的问题作出的口头说明和答复。</w:t>
      </w:r>
    </w:p>
    <w:p w:rsidR="00293491" w:rsidRDefault="00293491" w:rsidP="00293491">
      <w:pPr>
        <w:pStyle w:val="SingleTxt"/>
        <w:rPr>
          <w:rFonts w:hint="eastAsia"/>
        </w:rPr>
      </w:pPr>
      <w:r>
        <w:rPr>
          <w:rFonts w:hint="eastAsia"/>
        </w:rPr>
        <w:t>3.</w:t>
      </w:r>
      <w:r>
        <w:rPr>
          <w:rFonts w:hint="eastAsia"/>
        </w:rPr>
        <w:tab/>
        <w:t>委员会对代表团与委员会成员进行建设性对话表示赞赏。</w:t>
      </w:r>
    </w:p>
    <w:p w:rsidR="00293491" w:rsidRDefault="00293491" w:rsidP="00293491">
      <w:pPr>
        <w:pStyle w:val="SingleTxt"/>
        <w:spacing w:after="180"/>
      </w:pPr>
      <w:r>
        <w:rPr>
          <w:rFonts w:hint="eastAsia"/>
        </w:rPr>
        <w:t>4．</w:t>
      </w:r>
      <w:r>
        <w:tab/>
      </w:r>
      <w:r>
        <w:rPr>
          <w:rFonts w:hint="eastAsia"/>
        </w:rPr>
        <w:t>委员会赞扬缔约国根据《公约》规定及时作出的报告。</w:t>
      </w:r>
    </w:p>
    <w:p w:rsidR="00293491" w:rsidRDefault="00293491" w:rsidP="00293491">
      <w:pPr>
        <w:pStyle w:val="SingleTxt"/>
        <w:spacing w:after="180"/>
        <w:rPr>
          <w:rFonts w:hint="eastAsia"/>
        </w:rPr>
      </w:pPr>
      <w:r>
        <w:t>5.</w:t>
      </w:r>
      <w:r>
        <w:tab/>
      </w:r>
      <w:r>
        <w:rPr>
          <w:rFonts w:hint="eastAsia"/>
        </w:rPr>
        <w:t>委员会赞扬缔约国于2001年批准《公约》的任择议定书。</w:t>
      </w:r>
    </w:p>
    <w:p w:rsidR="00293491" w:rsidRDefault="00293491" w:rsidP="002934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积极方面</w:t>
      </w:r>
    </w:p>
    <w:p w:rsidR="00293491" w:rsidRPr="00574B24" w:rsidRDefault="00293491" w:rsidP="00293491">
      <w:pPr>
        <w:pStyle w:val="SingleTxt"/>
        <w:spacing w:after="0" w:line="120" w:lineRule="exact"/>
        <w:rPr>
          <w:rFonts w:hint="eastAsia"/>
          <w:sz w:val="10"/>
        </w:rPr>
      </w:pPr>
    </w:p>
    <w:p w:rsidR="00293491" w:rsidRDefault="00293491" w:rsidP="00293491">
      <w:pPr>
        <w:pStyle w:val="SingleTxt"/>
      </w:pPr>
      <w:r>
        <w:rPr>
          <w:rFonts w:hint="eastAsia"/>
        </w:rPr>
        <w:t>6.</w:t>
      </w:r>
      <w:r>
        <w:rPr>
          <w:rFonts w:hint="eastAsia"/>
        </w:rPr>
        <w:tab/>
        <w:t>委员会满意地注意到缔约国在执行《公约》方面所进行的努力，制定了许多法律、政策、计划和方案，其中包括《防止和制裁性骚扰行为法》（2003年）；《男女机会平等国家计划》（2003年）；《儿童和青少年问题国家行动计划》（2002年），以及重新改组提高妇女地位的国家机制（2002年）。</w:t>
      </w:r>
    </w:p>
    <w:p w:rsidR="00293491" w:rsidRDefault="00293491" w:rsidP="00293491">
      <w:pPr>
        <w:pStyle w:val="SingleTxt"/>
        <w:rPr>
          <w:rFonts w:hint="eastAsia"/>
        </w:rPr>
      </w:pPr>
      <w:r>
        <w:rPr>
          <w:rFonts w:hint="eastAsia"/>
        </w:rPr>
        <w:t>7.</w:t>
      </w:r>
      <w:r>
        <w:tab/>
      </w:r>
      <w:r>
        <w:rPr>
          <w:rFonts w:hint="eastAsia"/>
        </w:rPr>
        <w:t>委员会满意地注意到秘鲁努力增加政治职位中妇女的人数，包括女部长人数，以及确定国会议员候选人名单中男女候选人的最低比例为30％。</w:t>
      </w:r>
    </w:p>
    <w:p w:rsidR="00293491" w:rsidRDefault="00293491" w:rsidP="001059D0">
      <w:pPr>
        <w:pStyle w:val="SingleTxt"/>
        <w:rPr>
          <w:rFonts w:hint="eastAsia"/>
        </w:rPr>
      </w:pPr>
      <w:r>
        <w:rPr>
          <w:rFonts w:hint="eastAsia"/>
        </w:rPr>
        <w:t>8.</w:t>
      </w:r>
      <w:r>
        <w:tab/>
      </w:r>
      <w:r>
        <w:rPr>
          <w:rFonts w:hint="eastAsia"/>
        </w:rPr>
        <w:t>委员会赞扬国家、大学和民间社会团体参与处理与妇女有关的问题，以及非政府组织参与编写该报告。</w:t>
      </w:r>
    </w:p>
    <w:p w:rsidR="00293491" w:rsidRPr="007D2691" w:rsidRDefault="001059D0" w:rsidP="001059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293491" w:rsidRPr="007D2691">
        <w:rPr>
          <w:rFonts w:hint="eastAsia"/>
        </w:rPr>
        <w:t>主要关切领域和建议</w:t>
      </w:r>
    </w:p>
    <w:p w:rsidR="001059D0" w:rsidRPr="001059D0" w:rsidRDefault="001059D0" w:rsidP="001059D0">
      <w:pPr>
        <w:pStyle w:val="SingleTxt"/>
        <w:spacing w:after="0" w:line="120" w:lineRule="exact"/>
        <w:rPr>
          <w:rFonts w:hint="eastAsia"/>
          <w:sz w:val="10"/>
        </w:rPr>
      </w:pPr>
    </w:p>
    <w:p w:rsidR="00293491" w:rsidRPr="00BC3461" w:rsidRDefault="00293491" w:rsidP="00293491">
      <w:pPr>
        <w:pStyle w:val="SingleTxt"/>
        <w:rPr>
          <w:rFonts w:ascii="SimHei" w:eastAsia="SimHei" w:hint="eastAsia"/>
          <w:color w:val="FF0000"/>
        </w:rPr>
      </w:pPr>
      <w:r>
        <w:rPr>
          <w:rFonts w:hint="eastAsia"/>
        </w:rPr>
        <w:t>9</w:t>
      </w:r>
      <w:r>
        <w:t>.</w:t>
      </w:r>
      <w:r>
        <w:tab/>
      </w:r>
      <w:r w:rsidRPr="00BC3461">
        <w:rPr>
          <w:rFonts w:ascii="SimHei" w:eastAsia="SimHei" w:hint="eastAsia"/>
          <w:color w:val="FF0000"/>
        </w:rPr>
        <w:t>委员会指出，缔约国有义务有系统和持续地实施《公约》的所有各项规定，但同时认为，缔约国从现在到提出下一次定期报告期间应优先注意本结论意见所载关注事项和建议。因此，委员会吁请缔约国在其执行活动中着重这些领域，并在下一次定期报告中报告所采取的行动和取得的成果。它吁请缔约国将本结论意见提交政府各相关部门和议会，确保其得到充分执行。</w:t>
      </w:r>
    </w:p>
    <w:p w:rsidR="00293491" w:rsidRPr="00AE729B" w:rsidRDefault="00293491" w:rsidP="00293491">
      <w:pPr>
        <w:pStyle w:val="SingleTxt"/>
        <w:rPr>
          <w:rFonts w:hint="eastAsia"/>
        </w:rPr>
      </w:pPr>
      <w:r w:rsidRPr="00AE729B">
        <w:rPr>
          <w:rFonts w:hint="eastAsia"/>
        </w:rPr>
        <w:t>10</w:t>
      </w:r>
      <w:r w:rsidRPr="00AE729B">
        <w:t>.</w:t>
      </w:r>
      <w:r w:rsidRPr="00AE729B">
        <w:tab/>
      </w:r>
      <w:r w:rsidRPr="00AE729B">
        <w:rPr>
          <w:rFonts w:hint="eastAsia"/>
        </w:rPr>
        <w:t>委员会感到遗憾的是，报告没有按性别、城乡地区和族裔分列的可靠统计数据，因此难以准确评估妇女在《公约》所涉所有领域中的实际状况，也难以确定是否仍然存在直接或间接的歧视。委员会感到关切的是，由于这种详细数据有限，因此有可能妨碍该缔约国设计和执行有针对性的政策和方案，以及监测这些政策和方案在执行《公约》方面所起的作用。</w:t>
      </w:r>
    </w:p>
    <w:p w:rsidR="00293491" w:rsidRPr="00BC3461" w:rsidRDefault="00BC3461" w:rsidP="00293491">
      <w:pPr>
        <w:pStyle w:val="SingleTxt"/>
        <w:rPr>
          <w:rFonts w:ascii="SimHei" w:eastAsia="SimHei" w:hint="eastAsia"/>
          <w:color w:val="FF0000"/>
        </w:rPr>
      </w:pPr>
      <w:r w:rsidRPr="00BC3461">
        <w:rPr>
          <w:rFonts w:ascii="SimHei" w:eastAsia="SimHei" w:hint="eastAsia"/>
          <w:color w:val="FF0000"/>
        </w:rPr>
        <w:t>1</w:t>
      </w:r>
      <w:r w:rsidR="00293491" w:rsidRPr="00BC3461">
        <w:rPr>
          <w:rFonts w:ascii="SimHei" w:eastAsia="SimHei" w:hint="eastAsia"/>
          <w:color w:val="FF0000"/>
        </w:rPr>
        <w:t>1.</w:t>
      </w:r>
      <w:r w:rsidR="00293491" w:rsidRPr="00BC3461">
        <w:rPr>
          <w:rFonts w:ascii="SimHei" w:eastAsia="SimHei"/>
          <w:color w:val="FF0000"/>
        </w:rPr>
        <w:tab/>
      </w:r>
      <w:r w:rsidR="00293491" w:rsidRPr="00BC3461">
        <w:rPr>
          <w:rFonts w:ascii="SimHei" w:eastAsia="SimHei" w:hint="eastAsia"/>
          <w:color w:val="FF0000"/>
        </w:rPr>
        <w:t>委员会吁请缔约国迅速加强其在《公约》所涉所有领域中现有的数据收集系统，以便准确评估妇女的实际状况，监测长期趋势。委员会吁请缔约国通过可衡量的指标，监测采取的措施带来的影响，以及在实现妇女实际平等方面取得的进展。委员会鼓励缔约国利用这些数据和指标制定有效执行《公约》的法律、政策和方案。委员会还请缔约国在下一次报告中列出这些资料和数据，按城乡地区和族裔分列，说明为切实实现妇女实际平等而采取措施所产生的影响和取得的效果。</w:t>
      </w:r>
    </w:p>
    <w:p w:rsidR="00293491" w:rsidRPr="00AE729B" w:rsidRDefault="00293491" w:rsidP="00293491">
      <w:pPr>
        <w:pStyle w:val="SingleTxt"/>
        <w:rPr>
          <w:rFonts w:hint="eastAsia"/>
        </w:rPr>
      </w:pPr>
      <w:r w:rsidRPr="00AE729B">
        <w:rPr>
          <w:rFonts w:hint="eastAsia"/>
        </w:rPr>
        <w:t>12</w:t>
      </w:r>
      <w:r w:rsidRPr="00AE729B">
        <w:t>.</w:t>
      </w:r>
      <w:r w:rsidRPr="00AE729B">
        <w:tab/>
      </w:r>
      <w:r w:rsidRPr="00AE729B">
        <w:rPr>
          <w:rFonts w:hint="eastAsia"/>
          <w:spacing w:val="2"/>
        </w:rPr>
        <w:t>委员会关切地注意到，尽管《公约》提及平等的概念，但在缔约国的计划和方案中，对“公平”和“平等”两个词的解释似乎可以把它们当作同义词使用。</w:t>
      </w:r>
    </w:p>
    <w:p w:rsidR="00293491" w:rsidRPr="00BC3461" w:rsidRDefault="00293491" w:rsidP="00293491">
      <w:pPr>
        <w:pStyle w:val="SingleTxt"/>
        <w:rPr>
          <w:rFonts w:ascii="SimHei" w:eastAsia="SimHei" w:hint="eastAsia"/>
          <w:color w:val="FF0000"/>
        </w:rPr>
      </w:pPr>
      <w:r w:rsidRPr="00BC3461">
        <w:rPr>
          <w:rFonts w:ascii="SimHei" w:eastAsia="SimHei" w:hint="eastAsia"/>
          <w:color w:val="FF0000"/>
        </w:rPr>
        <w:t>13</w:t>
      </w:r>
      <w:r w:rsidRPr="00BC3461">
        <w:rPr>
          <w:rFonts w:ascii="SimHei" w:eastAsia="SimHei"/>
          <w:color w:val="FF0000"/>
        </w:rPr>
        <w:t>.</w:t>
      </w:r>
      <w:r w:rsidRPr="00BC3461">
        <w:rPr>
          <w:rFonts w:ascii="SimHei" w:eastAsia="SimHei"/>
          <w:color w:val="FF0000"/>
        </w:rPr>
        <w:tab/>
      </w:r>
      <w:r w:rsidRPr="00BC3461">
        <w:rPr>
          <w:rFonts w:ascii="SimHei" w:eastAsia="SimHei" w:hint="eastAsia"/>
          <w:color w:val="FF0000"/>
          <w:spacing w:val="4"/>
        </w:rPr>
        <w:t>委员会要求缔约国注意，“公平”和“平等”不是同义词，同时使用会造成概念混乱。公约的目的是消除对妇女的歧视，确保男女法律上和事实上（正式和实质性）平等。委员会建议缔约国在其计划和方案中始终使用“平等”一词。</w:t>
      </w:r>
    </w:p>
    <w:p w:rsidR="00293491" w:rsidRPr="00AE729B" w:rsidRDefault="00293491" w:rsidP="00293491">
      <w:pPr>
        <w:pStyle w:val="SingleTxt"/>
        <w:rPr>
          <w:rFonts w:hint="eastAsia"/>
        </w:rPr>
      </w:pPr>
      <w:r w:rsidRPr="00AE729B">
        <w:rPr>
          <w:rFonts w:hint="eastAsia"/>
        </w:rPr>
        <w:t>14.</w:t>
      </w:r>
      <w:r w:rsidRPr="00AE729B">
        <w:tab/>
      </w:r>
      <w:r w:rsidRPr="00AE729B">
        <w:rPr>
          <w:rFonts w:hint="eastAsia"/>
        </w:rPr>
        <w:t>尽管注意到改组妇女与社会发展部，并设立妇女事务副部长，委员会感到关切的是，促进提高妇女地位的国家机制可能不具备充分的决策权和足够的财政及人力资源，难以有效促进执行《公约》和性别平等。委员会还感到关切的是，没有关于男女平等的国家立法，这可能会限制国家机制努力支持将性别观点纳入政府所有部门主流的努力。</w:t>
      </w:r>
    </w:p>
    <w:p w:rsidR="00293491" w:rsidRPr="00BC3461" w:rsidRDefault="00293491" w:rsidP="00293491">
      <w:pPr>
        <w:pStyle w:val="SingleTxt"/>
        <w:spacing w:line="340" w:lineRule="exact"/>
        <w:rPr>
          <w:rFonts w:ascii="SimHei" w:eastAsia="SimHei"/>
          <w:color w:val="FF0000"/>
          <w:spacing w:val="2"/>
        </w:rPr>
      </w:pPr>
      <w:r w:rsidRPr="00BC3461">
        <w:rPr>
          <w:rFonts w:ascii="SimHei" w:eastAsia="SimHei" w:hint="eastAsia"/>
          <w:color w:val="FF0000"/>
        </w:rPr>
        <w:t>15.</w:t>
      </w:r>
      <w:r w:rsidRPr="00BC3461">
        <w:rPr>
          <w:rFonts w:ascii="SimHei" w:eastAsia="SimHei" w:hint="eastAsia"/>
          <w:color w:val="FF0000"/>
        </w:rPr>
        <w:tab/>
        <w:t>委员</w:t>
      </w:r>
      <w:r w:rsidRPr="00BC3461">
        <w:rPr>
          <w:rFonts w:ascii="SimHei" w:eastAsia="SimHei" w:hint="eastAsia"/>
          <w:color w:val="FF0000"/>
          <w:spacing w:val="2"/>
        </w:rPr>
        <w:t>会请缔约国确保提高妇女地位国家机制能具有充分的决策权，以及财政和人力资源，以便有效促进对执行《公约》采取实质性方法，该方法考虑到性别、社会性别和文化方面的差异。委员会吁请缔约国颁布男女平等的立法，规定提高妇女地位国家机制负起更强有力的任务，发挥与执行《公约》所有条款有关的职能，并支持和有效协调在所有政策领域和政府各级采用将性别观点纳入主流的战略。</w:t>
      </w:r>
    </w:p>
    <w:p w:rsidR="00293491" w:rsidRPr="001C6FF4" w:rsidRDefault="00293491" w:rsidP="00293491">
      <w:pPr>
        <w:pStyle w:val="SingleTxt"/>
        <w:spacing w:line="340" w:lineRule="exact"/>
        <w:rPr>
          <w:rFonts w:hint="eastAsia"/>
          <w:spacing w:val="2"/>
        </w:rPr>
      </w:pPr>
      <w:r>
        <w:rPr>
          <w:rFonts w:hint="eastAsia"/>
        </w:rPr>
        <w:t>16．</w:t>
      </w:r>
      <w:r>
        <w:tab/>
      </w:r>
      <w:r>
        <w:rPr>
          <w:rFonts w:hint="eastAsia"/>
        </w:rPr>
        <w:t>委</w:t>
      </w:r>
      <w:r w:rsidRPr="001C6FF4">
        <w:rPr>
          <w:rFonts w:hint="eastAsia"/>
          <w:spacing w:val="2"/>
        </w:rPr>
        <w:t>员会关切地注意到，旨在加速实现《公约》第四条第1款要求的男女事实和实质平等的暂行特别措施与为实施《公约》而通过的总的社会政策之间存在着差异，但报告提供的资料并没有</w:t>
      </w:r>
      <w:r>
        <w:rPr>
          <w:rFonts w:hint="eastAsia"/>
          <w:spacing w:val="2"/>
        </w:rPr>
        <w:t>认识到</w:t>
      </w:r>
      <w:r w:rsidRPr="001C6FF4">
        <w:rPr>
          <w:rFonts w:hint="eastAsia"/>
          <w:spacing w:val="2"/>
        </w:rPr>
        <w:t>两者之间的差异。委员会更为关切的是，在采取措施推动妇女参与政治的过程中，她们在其他公共机构，例如公共行政部门、司法机构以及地/市级机构中的人数也严重不足。</w:t>
      </w:r>
    </w:p>
    <w:p w:rsidR="00293491" w:rsidRPr="00CB17C7" w:rsidRDefault="00293491" w:rsidP="00293491">
      <w:pPr>
        <w:pStyle w:val="SingleTxt"/>
        <w:spacing w:line="340" w:lineRule="exact"/>
        <w:rPr>
          <w:rFonts w:ascii="SimHei" w:eastAsia="SimHei" w:hint="eastAsia"/>
          <w:color w:val="FF0000"/>
        </w:rPr>
      </w:pPr>
      <w:r>
        <w:rPr>
          <w:rFonts w:hint="eastAsia"/>
        </w:rPr>
        <w:t>17．</w:t>
      </w:r>
      <w:r>
        <w:tab/>
      </w:r>
      <w:r w:rsidRPr="00CB17C7">
        <w:rPr>
          <w:rFonts w:ascii="SimHei" w:eastAsia="SimHei" w:hint="eastAsia"/>
          <w:color w:val="FF0000"/>
        </w:rPr>
        <w:t>委员会建议缔约国采取具体措施，包括根据《公约》第四条第1款和第25号一般性建议，在所有领域中采取暂行特别措施，加速实现男女事实上的平等。委员会还鼓励缔约国广为宣传委员会在第25号一般性建议中制定的暂行特别措施的目的。委员会敦促缔约国实施战略计划，同时采取措施增加担任公职的妇女数量，包括公共行政部门、司法机构和地/市各级机构，同时确定时间表和具体目标。委员会进一步建议开展提高认识活动，宣传妇女参与决策对整个社会的重大意义。</w:t>
      </w:r>
    </w:p>
    <w:p w:rsidR="00293491" w:rsidRDefault="00293491" w:rsidP="00293491">
      <w:pPr>
        <w:pStyle w:val="SingleTxt"/>
        <w:spacing w:line="340" w:lineRule="exact"/>
        <w:rPr>
          <w:rFonts w:hint="eastAsia"/>
        </w:rPr>
      </w:pPr>
      <w:r>
        <w:rPr>
          <w:rFonts w:hint="eastAsia"/>
        </w:rPr>
        <w:t>18．</w:t>
      </w:r>
      <w:r>
        <w:tab/>
      </w:r>
      <w:r>
        <w:rPr>
          <w:rFonts w:hint="eastAsia"/>
        </w:rPr>
        <w:t>委员会注意到立法和政策级别上为减少对妇女暴力而制定的各项倡议，包括《禁止对妇女实施暴力国家计划》，但委员会仍然严重关切这种暴力的程度、密度和普遍性。尤其是，委员会仍十分关切下列问题：妇女在伸张正义方面遇到重重障碍，土著人妇女更是如此，她们还面临语言障碍；缺乏执行措施使肇事者逍遥法外，免受法律的惩罚，以及社会对针对妇女的暴力行为仍然持容忍态度。委员会对没有把乱伦性虐待列为犯罪行为表示关切。</w:t>
      </w:r>
    </w:p>
    <w:p w:rsidR="00293491" w:rsidRPr="001C6FF4" w:rsidRDefault="00293491" w:rsidP="00293491">
      <w:pPr>
        <w:pStyle w:val="SingleTxt"/>
        <w:spacing w:line="340" w:lineRule="exact"/>
        <w:rPr>
          <w:rFonts w:ascii="SimHei" w:eastAsia="SimHei" w:hint="eastAsia"/>
          <w:color w:val="FF0000"/>
          <w:spacing w:val="2"/>
        </w:rPr>
      </w:pPr>
      <w:r>
        <w:rPr>
          <w:rFonts w:hint="eastAsia"/>
        </w:rPr>
        <w:t>19．</w:t>
      </w:r>
      <w:r w:rsidRPr="00CB17C7">
        <w:rPr>
          <w:rFonts w:ascii="SimHei" w:eastAsia="SimHei"/>
          <w:color w:val="FF0000"/>
        </w:rPr>
        <w:tab/>
      </w:r>
      <w:r w:rsidRPr="00CB17C7">
        <w:rPr>
          <w:rFonts w:ascii="SimHei" w:eastAsia="SimHei" w:hint="eastAsia"/>
          <w:color w:val="FF0000"/>
        </w:rPr>
        <w:t>委</w:t>
      </w:r>
      <w:r w:rsidRPr="001C6FF4">
        <w:rPr>
          <w:rFonts w:ascii="SimHei" w:eastAsia="SimHei" w:hint="eastAsia"/>
          <w:color w:val="FF0000"/>
          <w:spacing w:val="2"/>
        </w:rPr>
        <w:t>员会敦促缔约国小组高度优先重视根据第19号一般性建议，制定和实施综合全面战略，打击和消除对妇女一切形式的暴力，惩罚罪犯，为受害者提供服务。这种战略还应包括提高认识措施和保持敏感性，特别是司法官员、执法人员和检察官、以及教员，医务工作者、社会工作者和传媒都应当提高认识。委员会呼吁缔约国确保实施和切实有效地执行现有法律，重申在以往结论性评论意见中提出的建议，即要求缔约国把乱伦性虐待列为犯罪行为。委员会还鼓励缔约国在努力打击普遍存在的以性别歧视妇女的世俗偏见的同时，努力打击对妇女的暴力行为。委员会还呼吁缔约国建立监测和评估机制，定期评估执法和旨在防止和解决对妇女暴力问题方案的影响和效力。委员会鼓励缔约国在下一次定期报告中提供资料，说明所采取步骤的影响，取得的进展，以及遇到的其它障碍。</w:t>
      </w:r>
    </w:p>
    <w:p w:rsidR="00293491" w:rsidRDefault="00293491" w:rsidP="00293491">
      <w:pPr>
        <w:pStyle w:val="SingleTxt"/>
        <w:rPr>
          <w:rFonts w:hint="eastAsia"/>
        </w:rPr>
      </w:pPr>
      <w:r>
        <w:rPr>
          <w:rFonts w:hint="eastAsia"/>
        </w:rPr>
        <w:t>20．</w:t>
      </w:r>
      <w:r>
        <w:tab/>
      </w:r>
      <w:r>
        <w:rPr>
          <w:rFonts w:hint="eastAsia"/>
        </w:rPr>
        <w:t>委员会确认真相委员会关于在1980至2000年武装冲突期间侵犯人权情况的报告，以及对农村受影响社区人民的集体赔偿，委员会对只有强奸才被认为是对妇女实施暴力的说法表示关切，汇编侵犯人权个别案例的工作尚未完成。委员会还严重关切至今仍未开始调查和起诉对妇女实施一切暴力行为的工作，而且到现在也没有准备为个别受害者提供任何补救措施。</w:t>
      </w:r>
    </w:p>
    <w:p w:rsidR="00293491" w:rsidRDefault="00293491" w:rsidP="00293491">
      <w:pPr>
        <w:pStyle w:val="SingleTxt"/>
        <w:rPr>
          <w:rFonts w:hint="eastAsia"/>
        </w:rPr>
      </w:pPr>
      <w:r>
        <w:rPr>
          <w:rFonts w:hint="eastAsia"/>
        </w:rPr>
        <w:t>21．</w:t>
      </w:r>
      <w:r w:rsidRPr="00CB17C7">
        <w:rPr>
          <w:rFonts w:ascii="SimHei" w:eastAsia="SimHei"/>
          <w:color w:val="FF0000"/>
        </w:rPr>
        <w:tab/>
      </w:r>
      <w:r w:rsidRPr="00CB17C7">
        <w:rPr>
          <w:rFonts w:ascii="SimHei" w:eastAsia="SimHei" w:hint="eastAsia"/>
          <w:color w:val="FF0000"/>
        </w:rPr>
        <w:t>委员会敦促缔约国扩大关于对妇女实施暴力的定义，尤其要列入性奴役、强迫怀孕、强迫卖淫、强迫结合和强迫从事家务劳动。委员会建议缔约国对在</w:t>
      </w:r>
      <w:r>
        <w:rPr>
          <w:rFonts w:ascii="SimHei" w:eastAsia="SimHei" w:hint="eastAsia"/>
          <w:color w:val="FF0000"/>
        </w:rPr>
        <w:t>1980</w:t>
      </w:r>
      <w:r w:rsidRPr="00CB17C7">
        <w:rPr>
          <w:rFonts w:ascii="SimHei" w:eastAsia="SimHei" w:hint="eastAsia"/>
          <w:color w:val="FF0000"/>
        </w:rPr>
        <w:t>至2000年武装冲突期间的女性暴力受害者提供必要的援助，这样他们就不用长途跋涉前往法官和检察官那里报案。委员会还呼吁缔约国调查和起诉对妇女的一切暴力行为，对遭受一切形式暴力的妇女提供个别赔偿。</w:t>
      </w:r>
    </w:p>
    <w:p w:rsidR="00293491" w:rsidRDefault="00293491" w:rsidP="00293491">
      <w:pPr>
        <w:pStyle w:val="SingleTxt"/>
        <w:rPr>
          <w:rFonts w:hint="eastAsia"/>
        </w:rPr>
      </w:pPr>
      <w:r>
        <w:rPr>
          <w:rFonts w:hint="eastAsia"/>
        </w:rPr>
        <w:t>22．</w:t>
      </w:r>
      <w:r>
        <w:tab/>
      </w:r>
      <w:r>
        <w:rPr>
          <w:rFonts w:hint="eastAsia"/>
        </w:rPr>
        <w:t>委员会关切地注意到，妇女获得公正的机会十分有限，特别是由于妇女对她们的权利了解不够，她们得不到法律援助，司法机构对《公约》缺乏足够的了解，法律诉讼旷日持久，对妇女来说实在是难以理解。委员会感到关切的是，在现行的法律制度中，起诉身心遭受暴力的案件仍然十分艰难。</w:t>
      </w:r>
    </w:p>
    <w:p w:rsidR="00293491" w:rsidRPr="001C6FF4" w:rsidRDefault="00293491" w:rsidP="00293491">
      <w:pPr>
        <w:pStyle w:val="SingleTxt"/>
        <w:rPr>
          <w:rFonts w:ascii="SimHei" w:eastAsia="SimHei" w:hint="eastAsia"/>
          <w:color w:val="FF0000"/>
          <w:spacing w:val="2"/>
        </w:rPr>
      </w:pPr>
      <w:r>
        <w:rPr>
          <w:rFonts w:hint="eastAsia"/>
        </w:rPr>
        <w:t>23．</w:t>
      </w:r>
      <w:r>
        <w:tab/>
      </w:r>
      <w:r w:rsidRPr="00CB17C7">
        <w:rPr>
          <w:rFonts w:ascii="SimHei" w:eastAsia="SimHei" w:hint="eastAsia"/>
          <w:color w:val="FF0000"/>
        </w:rPr>
        <w:t>委</w:t>
      </w:r>
      <w:r w:rsidRPr="001C6FF4">
        <w:rPr>
          <w:rFonts w:ascii="SimHei" w:eastAsia="SimHei" w:hint="eastAsia"/>
          <w:color w:val="FF0000"/>
          <w:spacing w:val="2"/>
        </w:rPr>
        <w:t>员会鼓励缔约国消除妇女在伸张正义方面遇到的重重障碍，帮助妇女提高法律意识，了解她们的权利和能力，从而有效地主张自己的权利。委员会进一步敦促缔约国采取其他措施，传播关于《公约》、《任择议定书》的程序和委员会一般性建议方面的信息，向检察官、法官和律师介绍《公约》和《任择议定书》的所有内容。委员会还建议针对妇女，包括农村妇女和关于妇女问题的非政府组织开展长期的提高认识和法律扫盲宣传，鼓励和赋予妇女权力，使她们能够利用现有程序和补救办法，对侵犯《公约》规定的各项权利寻求补救办法。</w:t>
      </w:r>
    </w:p>
    <w:p w:rsidR="00293491" w:rsidRDefault="00293491" w:rsidP="00293491">
      <w:pPr>
        <w:pStyle w:val="SingleTxt"/>
        <w:rPr>
          <w:rFonts w:hint="eastAsia"/>
        </w:rPr>
      </w:pPr>
      <w:r>
        <w:rPr>
          <w:rFonts w:hint="eastAsia"/>
        </w:rPr>
        <w:t>24．</w:t>
      </w:r>
      <w:r>
        <w:tab/>
      </w:r>
      <w:r>
        <w:rPr>
          <w:rFonts w:hint="eastAsia"/>
        </w:rPr>
        <w:t>委员会对缔约国对妇女的生殖健康和权利认识和保护不够表示关切。委员会尤其关切少女怀孕率高的问题，这是女孩接受教育和获得经济权力的重大障碍。委员会还对缺乏紧急避孕措施，特别是农村地区这种措施十分有限表示关切。委员会关切地注意到，非法人工流产仍是造成产妇死亡率居高不下的主要原因之一，对缔约国对治疗性流产的限制性解释表示关切，他们说这种人工流产是合法的，但它有可能使妇女去做不安全和非法的人工流产。委员会更感关切的是，缔约国没有遵守人权事务委员会在KL诉Peru的案件中提出的各项建议（CCPR/C/　85</w:t>
      </w:r>
      <w:r w:rsidR="00BC3461">
        <w:t>/D/</w:t>
      </w:r>
      <w:r>
        <w:rPr>
          <w:rFonts w:hint="eastAsia"/>
        </w:rPr>
        <w:t>1153/2003（2005））。</w:t>
      </w:r>
    </w:p>
    <w:p w:rsidR="00293491" w:rsidRPr="001C6FF4" w:rsidRDefault="00293491" w:rsidP="00293491">
      <w:pPr>
        <w:pStyle w:val="SingleTxt"/>
        <w:rPr>
          <w:spacing w:val="2"/>
        </w:rPr>
      </w:pPr>
      <w:r>
        <w:rPr>
          <w:rFonts w:hint="eastAsia"/>
        </w:rPr>
        <w:t>25.</w:t>
      </w:r>
      <w:r>
        <w:tab/>
      </w:r>
      <w:r w:rsidRPr="001C6FF4">
        <w:rPr>
          <w:rFonts w:ascii="SimHei" w:eastAsia="SimHei" w:hint="eastAsia"/>
          <w:color w:val="FF0000"/>
          <w:spacing w:val="2"/>
        </w:rPr>
        <w:t>委员会敦促缔约国加大为妇女和女童提供计划生育信息和服务工作的力度，包括紧急情况避孕方面的信息，推动扩大性教育，特别是在正规教学大纲中针对少男少女推动这方面的教育，并特别重视预防少女怀孕。委员会还敦促缔约国为妇女提供优质服务，处理因不</w:t>
      </w:r>
      <w:r>
        <w:rPr>
          <w:rFonts w:ascii="SimHei" w:eastAsia="SimHei" w:hint="eastAsia"/>
          <w:color w:val="FF0000"/>
          <w:spacing w:val="2"/>
        </w:rPr>
        <w:t>安全流产造成的并发症，以降低产妇死亡率。委员会敦促缔约国审查合法治疗性流产的限制性解释</w:t>
      </w:r>
      <w:r w:rsidRPr="001C6FF4">
        <w:rPr>
          <w:rFonts w:ascii="SimHei" w:eastAsia="SimHei" w:hint="eastAsia"/>
          <w:color w:val="FF0000"/>
          <w:spacing w:val="2"/>
        </w:rPr>
        <w:t>，高度重视防止少女怀孕问题，考虑审议涉及意外怀孕流产的法律，以根据委员会关于妇女与健康问题的第24号一般性建议以及《北京宣言和行动纲要》，取消对做人工流产的妇女的惩罚性规定。委员会还呼吁缔约国执行人权事务委员会在KL诉Peru案件中提出的各项建议。</w:t>
      </w:r>
    </w:p>
    <w:p w:rsidR="00293491" w:rsidRDefault="00293491" w:rsidP="00293491">
      <w:pPr>
        <w:pStyle w:val="SingleTxt"/>
        <w:rPr>
          <w:rFonts w:hint="eastAsia"/>
        </w:rPr>
      </w:pPr>
      <w:r>
        <w:rPr>
          <w:rFonts w:hint="eastAsia"/>
        </w:rPr>
        <w:t>26.</w:t>
      </w:r>
      <w:r>
        <w:rPr>
          <w:rFonts w:hint="eastAsia"/>
        </w:rPr>
        <w:tab/>
        <w:t>委员会关注女孩教育程度低的问题，尤其是女孩识字率低及旷课率和辍学率高的问题。委员会特别关注农村女孩的教育情况，她们在教育机会、教育素质及接受正规教育的年数方面继续处于非常不利的情况。这一情况造成农村有更多的功能性文盲妇女。</w:t>
      </w:r>
    </w:p>
    <w:p w:rsidR="00293491" w:rsidRDefault="001059D0" w:rsidP="00293491">
      <w:pPr>
        <w:pStyle w:val="SingleTxt"/>
        <w:rPr>
          <w:rFonts w:hint="eastAsia"/>
        </w:rPr>
      </w:pPr>
      <w:r>
        <w:rPr>
          <w:rFonts w:ascii="SimHei" w:eastAsia="SimHei" w:hint="eastAsia"/>
          <w:color w:val="FF0000"/>
        </w:rPr>
        <w:t>27</w:t>
      </w:r>
      <w:r w:rsidR="00293491" w:rsidRPr="00A47CF9">
        <w:rPr>
          <w:rFonts w:ascii="SimHei" w:eastAsia="SimHei" w:hint="eastAsia"/>
          <w:color w:val="FF0000"/>
        </w:rPr>
        <w:t>.</w:t>
      </w:r>
      <w:r w:rsidR="00293491" w:rsidRPr="00A47CF9">
        <w:rPr>
          <w:rFonts w:ascii="SimHei" w:eastAsia="SimHei" w:hint="eastAsia"/>
          <w:color w:val="FF0000"/>
        </w:rPr>
        <w:tab/>
        <w:t>委员会敦促缔约国立即采取一切适当措施，包括根据公约第4条第1款和委员会关于暂行特别措施的第25号一般性建议采取的暂行特别措施，以降低妇女文盲率及向妇女，特别是农村妇女提供正规和非正规教育。委员会还建议在国家一级加强努力确保提供初级义务教育。</w:t>
      </w:r>
    </w:p>
    <w:p w:rsidR="001059D0" w:rsidRDefault="001059D0" w:rsidP="00293491">
      <w:pPr>
        <w:pStyle w:val="SingleTxt"/>
        <w:rPr>
          <w:rFonts w:hint="eastAsia"/>
        </w:rPr>
      </w:pPr>
      <w:r>
        <w:rPr>
          <w:rFonts w:hint="eastAsia"/>
        </w:rPr>
        <w:t>28</w:t>
      </w:r>
      <w:r w:rsidR="00293491">
        <w:rPr>
          <w:rFonts w:hint="eastAsia"/>
        </w:rPr>
        <w:t>.</w:t>
      </w:r>
      <w:r w:rsidR="00293491">
        <w:rPr>
          <w:rFonts w:hint="eastAsia"/>
        </w:rPr>
        <w:tab/>
      </w:r>
      <w:r>
        <w:rPr>
          <w:rFonts w:hint="eastAsia"/>
        </w:rPr>
        <w:t>委员会关注到缔约国内那些持续贫穷和被社会排斥的妇女，包括在街头工作的儿童和女孩的境况，并注意到铲除贫穷战略中没有纳入社会性别观点。</w:t>
      </w:r>
    </w:p>
    <w:p w:rsidR="001059D0" w:rsidRDefault="001059D0" w:rsidP="00293491">
      <w:pPr>
        <w:pStyle w:val="SingleTxt"/>
        <w:rPr>
          <w:rFonts w:hint="eastAsia"/>
        </w:rPr>
      </w:pPr>
      <w:r>
        <w:rPr>
          <w:rFonts w:hint="eastAsia"/>
        </w:rPr>
        <w:t>29.</w:t>
      </w:r>
      <w:r>
        <w:rPr>
          <w:rFonts w:hint="eastAsia"/>
        </w:rPr>
        <w:tab/>
      </w:r>
      <w:r w:rsidRPr="00A47CF9">
        <w:rPr>
          <w:rFonts w:ascii="SimHei" w:eastAsia="SimHei" w:hint="eastAsia"/>
          <w:color w:val="FF0000"/>
        </w:rPr>
        <w:t>委员会促请缔约国加紧帮助妇女（包括在街头工作的儿童和女孩）摆脱贫穷，将社会性别观点纳入所有发展方案中，确保妇女能够充分及平等地参与这些方案的决策和执行过程。</w:t>
      </w:r>
    </w:p>
    <w:p w:rsidR="00293491" w:rsidRDefault="001059D0" w:rsidP="00293491">
      <w:pPr>
        <w:pStyle w:val="SingleTxt"/>
        <w:rPr>
          <w:rFonts w:hint="eastAsia"/>
        </w:rPr>
      </w:pPr>
      <w:r>
        <w:rPr>
          <w:rFonts w:hint="eastAsia"/>
        </w:rPr>
        <w:t>30.</w:t>
      </w:r>
      <w:r>
        <w:rPr>
          <w:rFonts w:hint="eastAsia"/>
        </w:rPr>
        <w:tab/>
      </w:r>
      <w:r w:rsidR="00293491">
        <w:rPr>
          <w:rFonts w:hint="eastAsia"/>
        </w:rPr>
        <w:t>虽然注意到缔约国最近采取行动克服妇女和女孩被贩卖的问题，但委员会仍然关注到没有获得足够的说明秘鲁作为贩卖来源、过境和目的国的原因和情况的资料，并关注到秘鲁没有采取足够措施来打击贩卖妇女和女孩的现象。</w:t>
      </w:r>
    </w:p>
    <w:p w:rsidR="00293491" w:rsidRDefault="001059D0" w:rsidP="00293491">
      <w:pPr>
        <w:pStyle w:val="SingleTxt"/>
        <w:rPr>
          <w:rFonts w:hint="eastAsia"/>
        </w:rPr>
      </w:pPr>
      <w:r>
        <w:rPr>
          <w:rFonts w:ascii="SimHei" w:eastAsia="SimHei" w:hint="eastAsia"/>
          <w:color w:val="FF0000"/>
        </w:rPr>
        <w:t>31</w:t>
      </w:r>
      <w:r w:rsidR="00293491" w:rsidRPr="00A47CF9">
        <w:rPr>
          <w:rFonts w:ascii="SimHei" w:eastAsia="SimHei" w:hint="eastAsia"/>
          <w:color w:val="FF0000"/>
        </w:rPr>
        <w:t>.</w:t>
      </w:r>
      <w:r w:rsidR="00293491" w:rsidRPr="00A47CF9">
        <w:rPr>
          <w:rFonts w:ascii="SimHei" w:eastAsia="SimHei" w:hint="eastAsia"/>
          <w:color w:val="FF0000"/>
        </w:rPr>
        <w:tab/>
        <w:t>委员会呼吁缔约国确保充分执行关于贩卖的立法以及打击贩卖人口的国家行动计划和其他措施。委员会促请缔约国收集和分析警察和国际来源的数据，起诉和惩罚贩卖者，并确保被贩卖的妇女和女孩的人权获得保护。委员会还建议缔约国整治贩卖人口的根源，加紧努力改善妇女的经济情况，以消除造成她们易被剥削和贩卖的因素，并建议缔约国采取措施，促进被贩卖伤害的妇女和女孩康复和重返社会。委员会请缔约国在其下次报告中提供关于贩卖妇女和女孩的问题及卖淫问题的综合信息和数据，以及制定措施打击这些现象及影响。</w:t>
      </w:r>
    </w:p>
    <w:p w:rsidR="00293491" w:rsidRDefault="001059D0" w:rsidP="00293491">
      <w:pPr>
        <w:pStyle w:val="SingleTxt"/>
        <w:rPr>
          <w:rFonts w:hint="eastAsia"/>
        </w:rPr>
      </w:pPr>
      <w:r>
        <w:rPr>
          <w:rFonts w:hint="eastAsia"/>
        </w:rPr>
        <w:t>32</w:t>
      </w:r>
      <w:r w:rsidR="00293491">
        <w:rPr>
          <w:rFonts w:hint="eastAsia"/>
        </w:rPr>
        <w:t>.</w:t>
      </w:r>
      <w:r w:rsidR="00293491">
        <w:rPr>
          <w:rFonts w:hint="eastAsia"/>
        </w:rPr>
        <w:tab/>
        <w:t>委员会关注地注意到大量妇女，特别是土著妇女和农村妇女没有任何出生登记文件，因而未能在缔约国申请国籍和享受社会福利。</w:t>
      </w:r>
    </w:p>
    <w:p w:rsidR="00293491" w:rsidRDefault="00293491" w:rsidP="00293491">
      <w:pPr>
        <w:pStyle w:val="SingleTxt"/>
        <w:rPr>
          <w:rFonts w:hint="eastAsia"/>
        </w:rPr>
      </w:pPr>
      <w:r w:rsidRPr="00A47CF9">
        <w:rPr>
          <w:rFonts w:ascii="SimHei" w:eastAsia="SimHei" w:hint="eastAsia"/>
          <w:color w:val="FF0000"/>
        </w:rPr>
        <w:t>3</w:t>
      </w:r>
      <w:r w:rsidR="001059D0">
        <w:rPr>
          <w:rFonts w:ascii="SimHei" w:eastAsia="SimHei" w:hint="eastAsia"/>
          <w:color w:val="FF0000"/>
        </w:rPr>
        <w:t>3</w:t>
      </w:r>
      <w:r w:rsidRPr="00A47CF9">
        <w:rPr>
          <w:rFonts w:ascii="SimHei" w:eastAsia="SimHei" w:hint="eastAsia"/>
          <w:color w:val="FF0000"/>
        </w:rPr>
        <w:t>.</w:t>
      </w:r>
      <w:r w:rsidRPr="00A47CF9">
        <w:rPr>
          <w:rFonts w:ascii="SimHei" w:eastAsia="SimHei" w:hint="eastAsia"/>
          <w:color w:val="FF0000"/>
        </w:rPr>
        <w:tab/>
      </w:r>
      <w:r w:rsidRPr="001059D0">
        <w:rPr>
          <w:rFonts w:ascii="SimHei" w:eastAsia="SimHei" w:hint="eastAsia"/>
          <w:color w:val="FF0000"/>
          <w:spacing w:val="2"/>
        </w:rPr>
        <w:t>委员会鼓励缔约国加快和协助没有文件的妇女登记，向她们颁发出生证明和身份文件。委员会促请缔约国为这些妇女，尤其是农村妇女订立具体目标和时间表，以便她们能够登记国籍，并请缔约国在下次报告中提供有关进展情况的资料</w:t>
      </w:r>
      <w:r w:rsidRPr="001059D0">
        <w:rPr>
          <w:rFonts w:hint="eastAsia"/>
          <w:spacing w:val="2"/>
        </w:rPr>
        <w:t>。</w:t>
      </w:r>
    </w:p>
    <w:p w:rsidR="00293491" w:rsidRDefault="00293491" w:rsidP="00293491">
      <w:pPr>
        <w:pStyle w:val="SingleTxt"/>
        <w:rPr>
          <w:rFonts w:hint="eastAsia"/>
        </w:rPr>
      </w:pPr>
      <w:r>
        <w:rPr>
          <w:rFonts w:hint="eastAsia"/>
        </w:rPr>
        <w:t>3</w:t>
      </w:r>
      <w:r w:rsidR="001059D0">
        <w:rPr>
          <w:rFonts w:hint="eastAsia"/>
        </w:rPr>
        <w:t>4</w:t>
      </w:r>
      <w:r>
        <w:rPr>
          <w:rFonts w:hint="eastAsia"/>
        </w:rPr>
        <w:t>.</w:t>
      </w:r>
      <w:r>
        <w:rPr>
          <w:rFonts w:hint="eastAsia"/>
        </w:rPr>
        <w:tab/>
        <w:t>委员会表示关注女孩和男孩的最低合法结婚年龄为16岁的问题，认为这样低的合法结婚年龄会妨碍女孩继续接受教育，使她们过早辍学，有可能会导致她们在经济自主和能力方面遇到困难。</w:t>
      </w:r>
    </w:p>
    <w:p w:rsidR="00293491" w:rsidRPr="00C46A0B" w:rsidRDefault="00293491" w:rsidP="00293491">
      <w:pPr>
        <w:pStyle w:val="SingleTxt"/>
        <w:rPr>
          <w:rFonts w:ascii="SimHei" w:eastAsia="SimHei" w:hint="eastAsia"/>
          <w:color w:val="FF0000"/>
        </w:rPr>
      </w:pPr>
      <w:r w:rsidRPr="00C46A0B">
        <w:rPr>
          <w:rFonts w:ascii="SimHei" w:eastAsia="SimHei" w:hint="eastAsia"/>
          <w:color w:val="FF0000"/>
        </w:rPr>
        <w:t>3</w:t>
      </w:r>
      <w:r w:rsidR="001059D0">
        <w:rPr>
          <w:rFonts w:ascii="SimHei" w:eastAsia="SimHei" w:hint="eastAsia"/>
          <w:color w:val="FF0000"/>
        </w:rPr>
        <w:t>5</w:t>
      </w:r>
      <w:r w:rsidRPr="00C46A0B">
        <w:rPr>
          <w:rFonts w:ascii="SimHei" w:eastAsia="SimHei" w:hint="eastAsia"/>
          <w:color w:val="FF0000"/>
        </w:rPr>
        <w:t>.</w:t>
      </w:r>
      <w:r w:rsidRPr="00C46A0B">
        <w:rPr>
          <w:rFonts w:ascii="SimHei" w:eastAsia="SimHei" w:hint="eastAsia"/>
          <w:color w:val="FF0000"/>
        </w:rPr>
        <w:tab/>
        <w:t>委员会促请缔约国采取措施</w:t>
      </w:r>
      <w:r w:rsidR="001059D0">
        <w:rPr>
          <w:rFonts w:ascii="SimHei" w:eastAsia="SimHei" w:hint="eastAsia"/>
          <w:color w:val="FF0000"/>
        </w:rPr>
        <w:t>将</w:t>
      </w:r>
      <w:r w:rsidRPr="00C46A0B">
        <w:rPr>
          <w:rFonts w:ascii="SimHei" w:eastAsia="SimHei" w:hint="eastAsia"/>
          <w:color w:val="FF0000"/>
        </w:rPr>
        <w:t>女孩和男孩的最低合法结婚年龄</w:t>
      </w:r>
      <w:r w:rsidR="001059D0">
        <w:rPr>
          <w:rFonts w:ascii="SimHei" w:eastAsia="SimHei" w:hint="eastAsia"/>
          <w:color w:val="FF0000"/>
        </w:rPr>
        <w:t>提高至18岁</w:t>
      </w:r>
      <w:r w:rsidRPr="00C46A0B">
        <w:rPr>
          <w:rFonts w:ascii="SimHei" w:eastAsia="SimHei" w:hint="eastAsia"/>
          <w:color w:val="FF0000"/>
        </w:rPr>
        <w:t>，以便与下列规定接轨：《儿童权利公约》第1条，《消除对妇女一切形式歧视公约》第16条第1款；委员会关于婚姻和家庭关系平等的第21号一般性建议。</w:t>
      </w:r>
    </w:p>
    <w:p w:rsidR="00293491" w:rsidRDefault="00293491" w:rsidP="00293491">
      <w:pPr>
        <w:pStyle w:val="SingleTxt"/>
        <w:spacing w:line="340" w:lineRule="exact"/>
        <w:rPr>
          <w:rFonts w:hint="eastAsia"/>
        </w:rPr>
      </w:pPr>
      <w:r>
        <w:rPr>
          <w:rFonts w:hint="eastAsia"/>
        </w:rPr>
        <w:t>3</w:t>
      </w:r>
      <w:r w:rsidR="001059D0">
        <w:rPr>
          <w:rFonts w:hint="eastAsia"/>
        </w:rPr>
        <w:t>6</w:t>
      </w:r>
      <w:r>
        <w:rPr>
          <w:rFonts w:hint="eastAsia"/>
        </w:rPr>
        <w:t>.</w:t>
      </w:r>
      <w:r>
        <w:rPr>
          <w:rFonts w:hint="eastAsia"/>
        </w:rPr>
        <w:tab/>
        <w:t>委员会关注到农村、土著和少数群体妇女。这些人的生活境况岌岌可危，没能获得公正司法待遇、保健服务、教育、信贷和社区服务。委员会关切普遍贫穷的情况和恶劣的社会经济状况，认为这是造成妇女人权被侵犯和农村、土著和少数妇女被歧视的部分原因。委员会也对非洲裔秘鲁妇女受到种族和其他形式的歧视表示关切。</w:t>
      </w:r>
    </w:p>
    <w:p w:rsidR="00293491" w:rsidRDefault="00293491" w:rsidP="00293491">
      <w:pPr>
        <w:pStyle w:val="SingleTxt"/>
        <w:spacing w:line="340" w:lineRule="exact"/>
        <w:rPr>
          <w:rFonts w:hint="eastAsia"/>
        </w:rPr>
      </w:pPr>
      <w:r w:rsidRPr="00A47CF9">
        <w:rPr>
          <w:rFonts w:ascii="SimHei" w:eastAsia="SimHei" w:hint="eastAsia"/>
          <w:color w:val="FF0000"/>
        </w:rPr>
        <w:t>3</w:t>
      </w:r>
      <w:r w:rsidR="001059D0">
        <w:rPr>
          <w:rFonts w:ascii="SimHei" w:eastAsia="SimHei" w:hint="eastAsia"/>
          <w:color w:val="FF0000"/>
        </w:rPr>
        <w:t>7</w:t>
      </w:r>
      <w:r w:rsidRPr="00A47CF9">
        <w:rPr>
          <w:rFonts w:ascii="SimHei" w:eastAsia="SimHei" w:hint="eastAsia"/>
          <w:color w:val="FF0000"/>
        </w:rPr>
        <w:t>.</w:t>
      </w:r>
      <w:r w:rsidRPr="00A47CF9">
        <w:rPr>
          <w:rFonts w:ascii="SimHei" w:eastAsia="SimHei" w:hint="eastAsia"/>
          <w:color w:val="FF0000"/>
        </w:rPr>
        <w:tab/>
        <w:t>委员会促请缔约国特别关注农村、土著和少数群体妇女，确保她们参与决策进程和充分获得公正司法待遇、教育、保健服务和信贷。委员会请缔约国在所有发展合作方案（包括与国际组织和双边捐助方进行的方案）中侧重妇女人权，以便通过所有现有的支助来源，铲除造成歧视农村、土著和少数群体妇女的社会经济根源。委员会鼓励缔约国采取更有效的措施消除对非洲裔秘鲁妇女的歧视以及加强努力打击和消除对秘鲁妇女和女孩的种族歧视</w:t>
      </w:r>
      <w:r>
        <w:rPr>
          <w:rFonts w:hint="eastAsia"/>
        </w:rPr>
        <w:t>。</w:t>
      </w:r>
    </w:p>
    <w:p w:rsidR="00293491" w:rsidRPr="00A47CF9" w:rsidRDefault="00293491" w:rsidP="00293491">
      <w:pPr>
        <w:pStyle w:val="SingleTxt"/>
        <w:spacing w:line="340" w:lineRule="exact"/>
        <w:rPr>
          <w:rFonts w:ascii="SimHei" w:eastAsia="SimHei" w:hint="eastAsia"/>
          <w:color w:val="FF0000"/>
        </w:rPr>
      </w:pPr>
      <w:r w:rsidRPr="00A47CF9">
        <w:rPr>
          <w:rFonts w:ascii="SimHei" w:eastAsia="SimHei" w:hint="eastAsia"/>
          <w:color w:val="FF0000"/>
        </w:rPr>
        <w:t>3</w:t>
      </w:r>
      <w:r w:rsidR="001059D0">
        <w:rPr>
          <w:rFonts w:ascii="SimHei" w:eastAsia="SimHei" w:hint="eastAsia"/>
          <w:color w:val="FF0000"/>
        </w:rPr>
        <w:t>8.</w:t>
      </w:r>
      <w:r w:rsidRPr="00A47CF9">
        <w:rPr>
          <w:rFonts w:ascii="SimHei" w:eastAsia="SimHei" w:hint="eastAsia"/>
          <w:color w:val="FF0000"/>
        </w:rPr>
        <w:tab/>
        <w:t>委员会促请缔约国在执行公约规定的义务时充分利用加强《公约》各项规定的《北京宣言和行动纲要》，并请缔约国将有关资料列入下次的定期报告中。</w:t>
      </w:r>
    </w:p>
    <w:p w:rsidR="00293491" w:rsidRPr="00A47CF9" w:rsidRDefault="00293491" w:rsidP="00293491">
      <w:pPr>
        <w:pStyle w:val="SingleTxt"/>
        <w:spacing w:line="340" w:lineRule="exact"/>
        <w:rPr>
          <w:rFonts w:ascii="SimHei" w:eastAsia="SimHei" w:hint="eastAsia"/>
          <w:color w:val="FF0000"/>
        </w:rPr>
      </w:pPr>
      <w:r w:rsidRPr="00A47CF9">
        <w:rPr>
          <w:rFonts w:ascii="SimHei" w:eastAsia="SimHei" w:hint="eastAsia"/>
          <w:color w:val="FF0000"/>
        </w:rPr>
        <w:t>3</w:t>
      </w:r>
      <w:r w:rsidR="001059D0">
        <w:rPr>
          <w:rFonts w:ascii="SimHei" w:eastAsia="SimHei" w:hint="eastAsia"/>
          <w:color w:val="FF0000"/>
        </w:rPr>
        <w:t>9</w:t>
      </w:r>
      <w:r w:rsidRPr="00A47CF9">
        <w:rPr>
          <w:rFonts w:ascii="SimHei" w:eastAsia="SimHei" w:hint="eastAsia"/>
          <w:color w:val="FF0000"/>
        </w:rPr>
        <w:t>.</w:t>
      </w:r>
      <w:r w:rsidRPr="00A47CF9">
        <w:rPr>
          <w:rFonts w:ascii="SimHei" w:eastAsia="SimHei" w:hint="eastAsia"/>
          <w:color w:val="FF0000"/>
        </w:rPr>
        <w:tab/>
        <w:t>委员会强调，为了实现千年发展目标，必须充分和有效执行《公约》。委员会呼吁将社会性别观点纳入各项旨在实现千年发展目标的工作中及明确反映《公约》的各项规定。委员会并请缔约国将有关资料列入下次的定期报告中。</w:t>
      </w:r>
    </w:p>
    <w:p w:rsidR="00293491" w:rsidRPr="00A47CF9" w:rsidRDefault="001059D0" w:rsidP="00293491">
      <w:pPr>
        <w:pStyle w:val="SingleTxt"/>
        <w:spacing w:line="340" w:lineRule="exact"/>
        <w:rPr>
          <w:rFonts w:ascii="SimHei" w:eastAsia="SimHei" w:hint="eastAsia"/>
          <w:color w:val="FF0000"/>
        </w:rPr>
      </w:pPr>
      <w:r>
        <w:rPr>
          <w:rFonts w:ascii="SimHei" w:eastAsia="SimHei" w:hint="eastAsia"/>
          <w:color w:val="FF0000"/>
        </w:rPr>
        <w:t>40</w:t>
      </w:r>
      <w:r w:rsidR="00293491" w:rsidRPr="00A47CF9">
        <w:rPr>
          <w:rFonts w:ascii="SimHei" w:eastAsia="SimHei" w:hint="eastAsia"/>
          <w:color w:val="FF0000"/>
        </w:rPr>
        <w:t>.</w:t>
      </w:r>
      <w:r w:rsidR="00293491" w:rsidRPr="00A47CF9">
        <w:rPr>
          <w:rFonts w:ascii="SimHei" w:eastAsia="SimHei" w:hint="eastAsia"/>
          <w:color w:val="FF0000"/>
        </w:rPr>
        <w:tab/>
        <w:t>委员会赞扬缔约国批准了7项主要国际人权文书。</w:t>
      </w:r>
      <w:r w:rsidR="00293491" w:rsidRPr="001059D0">
        <w:rPr>
          <w:rStyle w:val="FootnoteReference"/>
          <w:rFonts w:ascii="SimHei" w:eastAsia="SimHei"/>
          <w:color w:val="FF0000"/>
        </w:rPr>
        <w:footnoteReference w:id="1"/>
      </w:r>
      <w:r w:rsidR="00293491" w:rsidRPr="00A47CF9">
        <w:rPr>
          <w:rFonts w:ascii="SimHei" w:eastAsia="SimHei"/>
          <w:color w:val="FF0000"/>
        </w:rPr>
        <w:t xml:space="preserve"> </w:t>
      </w:r>
      <w:r w:rsidR="00293491" w:rsidRPr="00A47CF9">
        <w:rPr>
          <w:rFonts w:ascii="SimHei" w:eastAsia="SimHei" w:hint="eastAsia"/>
          <w:color w:val="FF0000"/>
        </w:rPr>
        <w:t>委员会注意到缔约国遵守这些文书，促进了妇女在生活各方面享受人权和基本自由。</w:t>
      </w:r>
    </w:p>
    <w:p w:rsidR="00293491" w:rsidRPr="00A47CF9" w:rsidRDefault="00293491" w:rsidP="00293491">
      <w:pPr>
        <w:pStyle w:val="SingleTxt"/>
        <w:spacing w:line="340" w:lineRule="exact"/>
        <w:rPr>
          <w:rFonts w:ascii="SimHei" w:eastAsia="SimHei" w:hint="eastAsia"/>
          <w:color w:val="FF0000"/>
        </w:rPr>
      </w:pPr>
      <w:r w:rsidRPr="00A47CF9">
        <w:rPr>
          <w:rFonts w:ascii="SimHei" w:eastAsia="SimHei" w:hint="eastAsia"/>
          <w:color w:val="FF0000"/>
        </w:rPr>
        <w:t>4</w:t>
      </w:r>
      <w:r w:rsidR="001059D0">
        <w:rPr>
          <w:rFonts w:ascii="SimHei" w:eastAsia="SimHei" w:hint="eastAsia"/>
          <w:color w:val="FF0000"/>
        </w:rPr>
        <w:t>1</w:t>
      </w:r>
      <w:r w:rsidRPr="00A47CF9">
        <w:rPr>
          <w:rFonts w:ascii="SimHei" w:eastAsia="SimHei" w:hint="eastAsia"/>
          <w:color w:val="FF0000"/>
        </w:rPr>
        <w:t>.</w:t>
      </w:r>
      <w:r w:rsidRPr="00A47CF9">
        <w:rPr>
          <w:rFonts w:ascii="SimHei" w:eastAsia="SimHei" w:hint="eastAsia"/>
          <w:color w:val="FF0000"/>
        </w:rPr>
        <w:tab/>
        <w:t>委员会请秘鲁广泛传播本结论意见，以便各界人士，包括政府官员、政界人士、议员以及妇女和人权组织了解缔约国已采取步骤确保妇女在法律和事实上获得平等待遇，并使这些人士认识到为此需要采取进一步的步骤。委员会请缔约国继续广泛宣传，特别是向妇女组织和人权组织宣传《公约》、《任择议定书》、委员会的一般性建议、《北京宣言和行动纲要》以及大会题为“2000年妇女</w:t>
      </w:r>
      <w:r>
        <w:rPr>
          <w:rFonts w:ascii="SimHei" w:eastAsia="SimHei" w:hint="eastAsia"/>
          <w:color w:val="FF0000"/>
        </w:rPr>
        <w:t>：</w:t>
      </w:r>
      <w:r w:rsidRPr="00A47CF9">
        <w:rPr>
          <w:rFonts w:ascii="SimHei" w:eastAsia="SimHei" w:hint="eastAsia"/>
          <w:color w:val="FF0000"/>
        </w:rPr>
        <w:t>二十一世纪两性平等、发展与和平”的第二十三届特别会议的成果。</w:t>
      </w:r>
    </w:p>
    <w:p w:rsidR="00293491" w:rsidRPr="00A47CF9" w:rsidRDefault="00293491" w:rsidP="00293491">
      <w:pPr>
        <w:pStyle w:val="SingleTxt"/>
        <w:rPr>
          <w:rFonts w:ascii="SimHei" w:eastAsia="SimHei" w:hint="eastAsia"/>
          <w:color w:val="FF0000"/>
        </w:rPr>
      </w:pPr>
      <w:r w:rsidRPr="00A47CF9">
        <w:rPr>
          <w:rFonts w:ascii="SimHei" w:eastAsia="SimHei" w:hint="eastAsia"/>
          <w:color w:val="FF0000"/>
        </w:rPr>
        <w:t>4</w:t>
      </w:r>
      <w:r w:rsidR="001059D0">
        <w:rPr>
          <w:rFonts w:ascii="SimHei" w:eastAsia="SimHei" w:hint="eastAsia"/>
          <w:color w:val="FF0000"/>
        </w:rPr>
        <w:t>2</w:t>
      </w:r>
      <w:r w:rsidRPr="00A47CF9">
        <w:rPr>
          <w:rFonts w:ascii="SimHei" w:eastAsia="SimHei" w:hint="eastAsia"/>
          <w:color w:val="FF0000"/>
        </w:rPr>
        <w:t>.</w:t>
      </w:r>
      <w:r w:rsidRPr="00A47CF9">
        <w:rPr>
          <w:rFonts w:ascii="SimHei" w:eastAsia="SimHei" w:hint="eastAsia"/>
          <w:color w:val="FF0000"/>
        </w:rPr>
        <w:tab/>
        <w:t>委员会请缔约国根据《公约》第18条在提交下一次定期报告时对本结论意见中表示的关切作出答复。鉴于缔约国第7次定期报告本应于2007年10月提交，第8次定期报告应于2011年10月提交，委员会请缔约国在2011年提交这两份报告的合并报告。</w:t>
      </w:r>
    </w:p>
    <w:p w:rsidR="00EA31C3" w:rsidRPr="001059D0" w:rsidRDefault="001059D0" w:rsidP="001059D0">
      <w:pPr>
        <w:pStyle w:val="SingleTxt"/>
        <w:spacing w:after="0" w:line="240" w:lineRule="auto"/>
        <w:rPr>
          <w:sz w:val="20"/>
        </w:rPr>
      </w:pPr>
      <w:r>
        <w:rPr>
          <w:noProof/>
          <w:sz w:val="20"/>
        </w:rPr>
        <w:pict>
          <v:line id="_x0000_s1026" style="position:absolute;left:0;text-align:left;z-index:1;mso-position-horizontal:center" from="0,30pt" to="1in,30pt" strokeweight=".25pt"/>
        </w:pict>
      </w:r>
    </w:p>
    <w:sectPr w:rsidR="00EA31C3" w:rsidRPr="001059D0" w:rsidSect="00CF0D81">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7T13:28:00Z" w:initials="Start">
    <w:p w:rsidR="00AE729B" w:rsidRDefault="00AE729B">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NO&gt;&gt;N0724409C&lt;&lt;ODS JOB NO&gt;&gt;</w:t>
      </w:r>
    </w:p>
    <w:p w:rsidR="00AE729B" w:rsidRDefault="00AE729B">
      <w:pPr>
        <w:pStyle w:val="CommentText"/>
      </w:pPr>
      <w:r>
        <w:t>&lt;&lt;ODS DOC SYMBOL1&gt;&gt;CEDAW/C/PER/CO/6&lt;&lt;ODS DOC SYMBOL1&gt;&gt;</w:t>
      </w:r>
    </w:p>
    <w:p w:rsidR="00AE729B" w:rsidRDefault="00AE729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714C" w:rsidRDefault="00D1714C">
      <w:r>
        <w:separator/>
      </w:r>
    </w:p>
  </w:endnote>
  <w:endnote w:type="continuationSeparator" w:id="0">
    <w:p w:rsidR="00D1714C" w:rsidRDefault="00D171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AE729B" w:rsidTr="00CF0D81">
      <w:tblPrEx>
        <w:tblCellMar>
          <w:top w:w="0" w:type="dxa"/>
          <w:bottom w:w="0" w:type="dxa"/>
        </w:tblCellMar>
      </w:tblPrEx>
      <w:tc>
        <w:tcPr>
          <w:tcW w:w="5033" w:type="dxa"/>
          <w:shd w:val="clear" w:color="auto" w:fill="auto"/>
          <w:vAlign w:val="bottom"/>
        </w:tcPr>
        <w:p w:rsidR="00AE729B" w:rsidRPr="00CF0D81" w:rsidRDefault="00AE729B" w:rsidP="00CF0D81">
          <w:pPr>
            <w:pStyle w:val="Footer"/>
            <w:jc w:val="left"/>
          </w:pPr>
          <w:r>
            <w:fldChar w:fldCharType="begin"/>
          </w:r>
          <w:r>
            <w:instrText xml:space="preserve"> PAGE  \* MERGEFORMAT </w:instrText>
          </w:r>
          <w:r>
            <w:fldChar w:fldCharType="separate"/>
          </w:r>
          <w:r>
            <w:t>2</w:t>
          </w:r>
          <w:r>
            <w:fldChar w:fldCharType="end"/>
          </w:r>
        </w:p>
      </w:tc>
      <w:tc>
        <w:tcPr>
          <w:tcW w:w="5033" w:type="dxa"/>
          <w:shd w:val="clear" w:color="auto" w:fill="auto"/>
          <w:vAlign w:val="bottom"/>
        </w:tcPr>
        <w:p w:rsidR="00AE729B" w:rsidRPr="00CF0D81" w:rsidRDefault="00AE729B" w:rsidP="00CF0D81">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07-24409</w:t>
          </w:r>
          <w:r>
            <w:rPr>
              <w:b w:val="0"/>
              <w:sz w:val="14"/>
            </w:rPr>
            <w:fldChar w:fldCharType="end"/>
          </w:r>
        </w:p>
      </w:tc>
    </w:tr>
  </w:tbl>
  <w:p w:rsidR="00AE729B" w:rsidRPr="00CF0D81" w:rsidRDefault="00AE729B" w:rsidP="00CF0D8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AE729B" w:rsidTr="00CF0D81">
      <w:tblPrEx>
        <w:tblCellMar>
          <w:top w:w="0" w:type="dxa"/>
          <w:bottom w:w="0" w:type="dxa"/>
        </w:tblCellMar>
      </w:tblPrEx>
      <w:tc>
        <w:tcPr>
          <w:tcW w:w="5033" w:type="dxa"/>
          <w:shd w:val="clear" w:color="auto" w:fill="auto"/>
          <w:vAlign w:val="bottom"/>
        </w:tcPr>
        <w:p w:rsidR="00AE729B" w:rsidRPr="00CF0D81" w:rsidRDefault="00AE729B" w:rsidP="00CF0D81">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07-24409</w:t>
          </w:r>
          <w:r>
            <w:rPr>
              <w:b w:val="0"/>
              <w:sz w:val="14"/>
            </w:rPr>
            <w:fldChar w:fldCharType="end"/>
          </w:r>
        </w:p>
      </w:tc>
      <w:tc>
        <w:tcPr>
          <w:tcW w:w="5033" w:type="dxa"/>
          <w:shd w:val="clear" w:color="auto" w:fill="auto"/>
          <w:vAlign w:val="bottom"/>
        </w:tcPr>
        <w:p w:rsidR="00AE729B" w:rsidRPr="00CF0D81" w:rsidRDefault="00AE729B" w:rsidP="00CF0D81">
          <w:pPr>
            <w:pStyle w:val="Footer"/>
            <w:jc w:val="right"/>
          </w:pPr>
          <w:r>
            <w:fldChar w:fldCharType="begin"/>
          </w:r>
          <w:r>
            <w:instrText xml:space="preserve"> PAGE  \* MERGEFORMAT </w:instrText>
          </w:r>
          <w:r>
            <w:fldChar w:fldCharType="separate"/>
          </w:r>
          <w:r>
            <w:t>2</w:t>
          </w:r>
          <w:r>
            <w:fldChar w:fldCharType="end"/>
          </w:r>
        </w:p>
      </w:tc>
    </w:tr>
  </w:tbl>
  <w:p w:rsidR="00AE729B" w:rsidRPr="00CF0D81" w:rsidRDefault="00AE729B" w:rsidP="00CF0D8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29B" w:rsidRDefault="00AE729B" w:rsidP="00CF0D81">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07-24409 (C)</w:t>
    </w:r>
    <w:r>
      <w:rPr>
        <w:b w:val="0"/>
        <w:sz w:val="21"/>
      </w:rPr>
      <w:fldChar w:fldCharType="end"/>
    </w:r>
    <w:r>
      <w:rPr>
        <w:b w:val="0"/>
        <w:sz w:val="21"/>
      </w:rPr>
      <w:t xml:space="preserve">    060307    070307</w:t>
    </w:r>
  </w:p>
  <w:p w:rsidR="00AE729B" w:rsidRPr="00CF0D81" w:rsidRDefault="00AE729B" w:rsidP="00CF0D81">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*0724409*</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714C" w:rsidRPr="001059D0" w:rsidRDefault="00D1714C" w:rsidP="001059D0">
      <w:pPr>
        <w:pStyle w:val="Footer"/>
        <w:spacing w:after="80"/>
        <w:ind w:left="792"/>
        <w:rPr>
          <w:sz w:val="16"/>
        </w:rPr>
      </w:pPr>
      <w:r w:rsidRPr="001059D0">
        <w:rPr>
          <w:sz w:val="16"/>
        </w:rPr>
        <w:t>__________________</w:t>
      </w:r>
    </w:p>
  </w:footnote>
  <w:footnote w:type="continuationSeparator" w:id="0">
    <w:p w:rsidR="00D1714C" w:rsidRPr="001059D0" w:rsidRDefault="00D1714C" w:rsidP="001059D0">
      <w:pPr>
        <w:pStyle w:val="Footer"/>
        <w:spacing w:after="80"/>
        <w:ind w:left="792"/>
        <w:rPr>
          <w:sz w:val="16"/>
        </w:rPr>
      </w:pPr>
      <w:r w:rsidRPr="001059D0">
        <w:rPr>
          <w:sz w:val="16"/>
        </w:rPr>
        <w:t>__________________</w:t>
      </w:r>
    </w:p>
  </w:footnote>
  <w:footnote w:id="1">
    <w:p w:rsidR="00AE729B" w:rsidRPr="0028242A" w:rsidRDefault="00AE729B" w:rsidP="001059D0">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Pr>
          <w:rFonts w:hint="eastAsia"/>
        </w:rPr>
        <w:t>《</w:t>
      </w:r>
      <w:r w:rsidRPr="0028242A">
        <w:rPr>
          <w:rFonts w:hint="eastAsia"/>
        </w:rPr>
        <w:t>经济、社会、文化权利国际公约</w:t>
      </w:r>
      <w:r>
        <w:rPr>
          <w:rFonts w:hint="eastAsia"/>
        </w:rPr>
        <w:t>》</w:t>
      </w:r>
      <w:r w:rsidRPr="0028242A">
        <w:rPr>
          <w:rFonts w:hint="eastAsia"/>
        </w:rPr>
        <w:t>、</w:t>
      </w:r>
      <w:r>
        <w:rPr>
          <w:rFonts w:hint="eastAsia"/>
        </w:rPr>
        <w:t>《</w:t>
      </w:r>
      <w:r w:rsidRPr="0028242A">
        <w:rPr>
          <w:rFonts w:hint="eastAsia"/>
        </w:rPr>
        <w:t>公民及政治权利国际公约</w:t>
      </w:r>
      <w:r>
        <w:rPr>
          <w:rFonts w:hint="eastAsia"/>
        </w:rPr>
        <w:t>》</w:t>
      </w:r>
      <w:r w:rsidRPr="0028242A">
        <w:rPr>
          <w:rFonts w:hint="eastAsia"/>
        </w:rPr>
        <w:t>、</w:t>
      </w:r>
      <w:r>
        <w:rPr>
          <w:rFonts w:hint="eastAsia"/>
        </w:rPr>
        <w:t>《</w:t>
      </w:r>
      <w:r w:rsidRPr="0028242A">
        <w:rPr>
          <w:rFonts w:hint="eastAsia"/>
        </w:rPr>
        <w:t>消除一切形式种族歧视国际公约</w:t>
      </w:r>
      <w:r>
        <w:rPr>
          <w:rFonts w:hint="eastAsia"/>
        </w:rPr>
        <w:t>》</w:t>
      </w:r>
      <w:r w:rsidRPr="0028242A">
        <w:rPr>
          <w:rFonts w:hint="eastAsia"/>
        </w:rPr>
        <w:t>、</w:t>
      </w:r>
      <w:r>
        <w:rPr>
          <w:rFonts w:hint="eastAsia"/>
        </w:rPr>
        <w:t>《</w:t>
      </w:r>
      <w:r w:rsidRPr="0028242A">
        <w:rPr>
          <w:rFonts w:hint="eastAsia"/>
        </w:rPr>
        <w:t>消除对妇女一切形式歧视公约</w:t>
      </w:r>
      <w:r>
        <w:rPr>
          <w:rFonts w:hint="eastAsia"/>
        </w:rPr>
        <w:t>》</w:t>
      </w:r>
      <w:r w:rsidRPr="0028242A">
        <w:rPr>
          <w:rFonts w:hint="eastAsia"/>
        </w:rPr>
        <w:t>、</w:t>
      </w:r>
      <w:r>
        <w:rPr>
          <w:rFonts w:hint="eastAsia"/>
        </w:rPr>
        <w:t>《</w:t>
      </w:r>
      <w:r w:rsidRPr="0028242A">
        <w:rPr>
          <w:rFonts w:hint="eastAsia"/>
        </w:rPr>
        <w:t>禁止酷刑和其他残忍、不人道或有辱人格的待遇或处罚公约</w:t>
      </w:r>
      <w:r>
        <w:rPr>
          <w:rFonts w:hint="eastAsia"/>
        </w:rPr>
        <w:t>》</w:t>
      </w:r>
      <w:r w:rsidRPr="0028242A">
        <w:rPr>
          <w:rFonts w:hint="eastAsia"/>
        </w:rPr>
        <w:t>、</w:t>
      </w:r>
      <w:r>
        <w:rPr>
          <w:rFonts w:hint="eastAsia"/>
        </w:rPr>
        <w:t>《</w:t>
      </w:r>
      <w:r w:rsidRPr="0028242A">
        <w:rPr>
          <w:rFonts w:hint="eastAsia"/>
        </w:rPr>
        <w:t>儿童权利公约</w:t>
      </w:r>
      <w:r>
        <w:rPr>
          <w:rFonts w:hint="eastAsia"/>
        </w:rPr>
        <w:t>》</w:t>
      </w:r>
      <w:r w:rsidRPr="0028242A">
        <w:rPr>
          <w:rFonts w:hint="eastAsia"/>
        </w:rPr>
        <w:t>和</w:t>
      </w:r>
      <w:r>
        <w:rPr>
          <w:rFonts w:hint="eastAsia"/>
        </w:rPr>
        <w:t>《</w:t>
      </w:r>
      <w:r w:rsidRPr="0028242A">
        <w:rPr>
          <w:rFonts w:hint="eastAsia"/>
        </w:rPr>
        <w:t>保护所有移徙工人及其家庭成员权利国际公约</w:t>
      </w:r>
      <w:r>
        <w:rPr>
          <w:rFonts w:hint="eastAsia"/>
        </w:rPr>
        <w:t>》</w:t>
      </w:r>
      <w:r w:rsidRPr="0028242A">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E729B" w:rsidTr="00CF0D81">
      <w:tblPrEx>
        <w:tblCellMar>
          <w:top w:w="0" w:type="dxa"/>
          <w:bottom w:w="0" w:type="dxa"/>
        </w:tblCellMar>
      </w:tblPrEx>
      <w:trPr>
        <w:trHeight w:hRule="exact" w:val="864"/>
      </w:trPr>
      <w:tc>
        <w:tcPr>
          <w:tcW w:w="4838" w:type="dxa"/>
          <w:shd w:val="clear" w:color="auto" w:fill="auto"/>
          <w:vAlign w:val="bottom"/>
        </w:tcPr>
        <w:p w:rsidR="00AE729B" w:rsidRPr="00CF0D81" w:rsidRDefault="00AE729B" w:rsidP="00CF0D81">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CEDAW/C/PER/CO/6</w:t>
          </w:r>
          <w:r>
            <w:rPr>
              <w:b/>
              <w:sz w:val="17"/>
            </w:rPr>
            <w:fldChar w:fldCharType="end"/>
          </w:r>
        </w:p>
      </w:tc>
      <w:tc>
        <w:tcPr>
          <w:tcW w:w="5033" w:type="dxa"/>
          <w:shd w:val="clear" w:color="auto" w:fill="auto"/>
          <w:vAlign w:val="bottom"/>
        </w:tcPr>
        <w:p w:rsidR="00AE729B" w:rsidRDefault="00AE729B" w:rsidP="00CF0D81">
          <w:pPr>
            <w:pStyle w:val="Header"/>
          </w:pPr>
        </w:p>
      </w:tc>
    </w:tr>
  </w:tbl>
  <w:p w:rsidR="00AE729B" w:rsidRPr="00CF0D81" w:rsidRDefault="00AE729B" w:rsidP="00CF0D8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E729B" w:rsidTr="00CF0D81">
      <w:tblPrEx>
        <w:tblCellMar>
          <w:top w:w="0" w:type="dxa"/>
          <w:bottom w:w="0" w:type="dxa"/>
        </w:tblCellMar>
      </w:tblPrEx>
      <w:trPr>
        <w:trHeight w:hRule="exact" w:val="864"/>
      </w:trPr>
      <w:tc>
        <w:tcPr>
          <w:tcW w:w="4838" w:type="dxa"/>
          <w:shd w:val="clear" w:color="auto" w:fill="auto"/>
          <w:vAlign w:val="bottom"/>
        </w:tcPr>
        <w:p w:rsidR="00AE729B" w:rsidRDefault="00AE729B" w:rsidP="00CF0D81">
          <w:pPr>
            <w:pStyle w:val="Header"/>
          </w:pPr>
        </w:p>
      </w:tc>
      <w:tc>
        <w:tcPr>
          <w:tcW w:w="5033" w:type="dxa"/>
          <w:shd w:val="clear" w:color="auto" w:fill="auto"/>
          <w:vAlign w:val="bottom"/>
        </w:tcPr>
        <w:p w:rsidR="00AE729B" w:rsidRPr="00CF0D81" w:rsidRDefault="00AE729B" w:rsidP="00CF0D81">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CEDAW/C/PER/CO/6</w:t>
          </w:r>
          <w:r>
            <w:rPr>
              <w:b/>
              <w:sz w:val="17"/>
            </w:rPr>
            <w:fldChar w:fldCharType="end"/>
          </w:r>
        </w:p>
      </w:tc>
    </w:tr>
  </w:tbl>
  <w:p w:rsidR="00AE729B" w:rsidRPr="00CF0D81" w:rsidRDefault="00AE729B" w:rsidP="00CF0D8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E729B" w:rsidTr="00CF0D8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E729B" w:rsidRDefault="00AE729B" w:rsidP="00CF0D81">
          <w:pPr>
            <w:pStyle w:val="Header"/>
            <w:spacing w:after="120"/>
          </w:pPr>
        </w:p>
      </w:tc>
      <w:tc>
        <w:tcPr>
          <w:tcW w:w="1872" w:type="dxa"/>
          <w:tcBorders>
            <w:bottom w:val="single" w:sz="4" w:space="0" w:color="auto"/>
          </w:tcBorders>
          <w:shd w:val="clear" w:color="auto" w:fill="auto"/>
          <w:vAlign w:val="bottom"/>
        </w:tcPr>
        <w:p w:rsidR="00AE729B" w:rsidRPr="00CF0D81" w:rsidRDefault="00AE729B" w:rsidP="00CF0D81">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AE729B" w:rsidRDefault="00AE729B" w:rsidP="00CF0D81">
          <w:pPr>
            <w:pStyle w:val="Header"/>
            <w:spacing w:after="120"/>
          </w:pPr>
        </w:p>
      </w:tc>
      <w:tc>
        <w:tcPr>
          <w:tcW w:w="6523" w:type="dxa"/>
          <w:gridSpan w:val="3"/>
          <w:tcBorders>
            <w:bottom w:val="single" w:sz="4" w:space="0" w:color="auto"/>
          </w:tcBorders>
          <w:shd w:val="clear" w:color="auto" w:fill="auto"/>
          <w:vAlign w:val="bottom"/>
        </w:tcPr>
        <w:p w:rsidR="00AE729B" w:rsidRPr="00CF0D81" w:rsidRDefault="00AE729B" w:rsidP="00CF0D81">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/C/PER/CO/6</w:t>
          </w:r>
        </w:p>
      </w:tc>
    </w:tr>
    <w:tr w:rsidR="00AE729B" w:rsidRPr="00CF0D81" w:rsidTr="00CF0D8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E729B" w:rsidRDefault="00AE729B" w:rsidP="00CF0D81">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AE729B" w:rsidRPr="00CF0D81" w:rsidRDefault="00AE729B" w:rsidP="00CF0D81">
          <w:pPr>
            <w:pStyle w:val="Header"/>
            <w:spacing w:before="109"/>
            <w:ind w:left="-72"/>
          </w:pPr>
        </w:p>
      </w:tc>
      <w:tc>
        <w:tcPr>
          <w:tcW w:w="5227" w:type="dxa"/>
          <w:gridSpan w:val="3"/>
          <w:tcBorders>
            <w:top w:val="single" w:sz="4" w:space="0" w:color="auto"/>
            <w:bottom w:val="single" w:sz="12" w:space="0" w:color="auto"/>
          </w:tcBorders>
          <w:shd w:val="clear" w:color="auto" w:fill="auto"/>
        </w:tcPr>
        <w:p w:rsidR="00AE729B" w:rsidRPr="00CF0D81" w:rsidRDefault="00AE729B" w:rsidP="00CF0D81">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AE729B" w:rsidRPr="00CF0D81" w:rsidRDefault="00AE729B" w:rsidP="00CF0D81">
          <w:pPr>
            <w:pStyle w:val="Header"/>
            <w:spacing w:before="109"/>
          </w:pPr>
        </w:p>
      </w:tc>
      <w:tc>
        <w:tcPr>
          <w:tcW w:w="3180" w:type="dxa"/>
          <w:gridSpan w:val="2"/>
          <w:tcBorders>
            <w:top w:val="single" w:sz="4" w:space="0" w:color="auto"/>
            <w:bottom w:val="single" w:sz="12" w:space="0" w:color="auto"/>
          </w:tcBorders>
          <w:shd w:val="clear" w:color="auto" w:fill="auto"/>
        </w:tcPr>
        <w:p w:rsidR="00AE729B" w:rsidRDefault="00AE729B" w:rsidP="00CF0D81">
          <w:pPr>
            <w:spacing w:before="240" w:line="240" w:lineRule="exact"/>
            <w:rPr>
              <w:rFonts w:ascii="Times New Roman"/>
            </w:rPr>
          </w:pPr>
          <w:r>
            <w:rPr>
              <w:rFonts w:ascii="Times New Roman"/>
            </w:rPr>
            <w:t>Distr.: General</w:t>
          </w:r>
        </w:p>
        <w:p w:rsidR="00AE729B" w:rsidRDefault="00AE729B" w:rsidP="00CF0D81">
          <w:pPr>
            <w:spacing w:line="240" w:lineRule="exact"/>
            <w:rPr>
              <w:rFonts w:ascii="Times New Roman"/>
            </w:rPr>
          </w:pPr>
          <w:r>
            <w:rPr>
              <w:rFonts w:ascii="Times New Roman"/>
            </w:rPr>
            <w:t>2 February 2007</w:t>
          </w:r>
        </w:p>
        <w:p w:rsidR="00AE729B" w:rsidRDefault="00AE729B" w:rsidP="00CF0D81">
          <w:pPr>
            <w:spacing w:line="240" w:lineRule="exact"/>
            <w:rPr>
              <w:rFonts w:ascii="Times New Roman"/>
            </w:rPr>
          </w:pPr>
          <w:r>
            <w:rPr>
              <w:rFonts w:ascii="Times New Roman"/>
            </w:rPr>
            <w:t>Chinese</w:t>
          </w:r>
        </w:p>
        <w:p w:rsidR="00AE729B" w:rsidRPr="00CF0D81" w:rsidRDefault="00AE729B" w:rsidP="00CF0D81">
          <w:pPr>
            <w:spacing w:line="240" w:lineRule="exact"/>
            <w:rPr>
              <w:rFonts w:ascii="Times New Roman"/>
            </w:rPr>
          </w:pPr>
          <w:r>
            <w:rPr>
              <w:rFonts w:ascii="Times New Roman"/>
            </w:rPr>
            <w:t>Original: English</w:t>
          </w:r>
        </w:p>
      </w:tc>
    </w:tr>
  </w:tbl>
  <w:p w:rsidR="00AE729B" w:rsidRPr="00CF0D81" w:rsidRDefault="00AE729B" w:rsidP="00CF0D8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409*"/>
    <w:docVar w:name="CreationDt" w:val="07/03/2007 08:51:42"/>
    <w:docVar w:name="DocCategory" w:val="Doc"/>
    <w:docVar w:name="DocType" w:val="Final"/>
    <w:docVar w:name="FooterJN" w:val="07-24409"/>
    <w:docVar w:name="jobn" w:val="07-24409 (C)"/>
    <w:docVar w:name="jobnDT" w:val="07-24409 (C)   070307"/>
    <w:docVar w:name="jobnDTDT" w:val="07-24409 (C)   070307   070307"/>
    <w:docVar w:name="JobNo" w:val="0724409C"/>
    <w:docVar w:name="OandT" w:val="CAI"/>
    <w:docVar w:name="sss1" w:val="CEDAW/C/PER/CO/6"/>
    <w:docVar w:name="sss2" w:val="-"/>
    <w:docVar w:name="Symbol1" w:val="CEDAW/C/PER/CO/6"/>
    <w:docVar w:name="Symbol2" w:val="-"/>
  </w:docVars>
  <w:rsids>
    <w:rsidRoot w:val="000060D1"/>
    <w:rsid w:val="000060D1"/>
    <w:rsid w:val="000125BC"/>
    <w:rsid w:val="00021A2B"/>
    <w:rsid w:val="00037B39"/>
    <w:rsid w:val="00044CA4"/>
    <w:rsid w:val="00045EFE"/>
    <w:rsid w:val="00067ABD"/>
    <w:rsid w:val="0007337D"/>
    <w:rsid w:val="000758DF"/>
    <w:rsid w:val="00076EB8"/>
    <w:rsid w:val="00095C67"/>
    <w:rsid w:val="000A17BB"/>
    <w:rsid w:val="000A31F9"/>
    <w:rsid w:val="000C1786"/>
    <w:rsid w:val="000D18C9"/>
    <w:rsid w:val="000E0D86"/>
    <w:rsid w:val="000E240F"/>
    <w:rsid w:val="000F1058"/>
    <w:rsid w:val="001059D0"/>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E20EC"/>
    <w:rsid w:val="001E5A51"/>
    <w:rsid w:val="00247382"/>
    <w:rsid w:val="00252E35"/>
    <w:rsid w:val="00257053"/>
    <w:rsid w:val="00266257"/>
    <w:rsid w:val="00271BE6"/>
    <w:rsid w:val="0027454D"/>
    <w:rsid w:val="00280671"/>
    <w:rsid w:val="002814F9"/>
    <w:rsid w:val="00282D17"/>
    <w:rsid w:val="00293491"/>
    <w:rsid w:val="002A4AEF"/>
    <w:rsid w:val="002B305F"/>
    <w:rsid w:val="002B564F"/>
    <w:rsid w:val="002C2254"/>
    <w:rsid w:val="002C3BC9"/>
    <w:rsid w:val="002C54DB"/>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424EF"/>
    <w:rsid w:val="00453BB0"/>
    <w:rsid w:val="00460162"/>
    <w:rsid w:val="004620A8"/>
    <w:rsid w:val="004A06D1"/>
    <w:rsid w:val="004A11FC"/>
    <w:rsid w:val="004C3255"/>
    <w:rsid w:val="004D1C19"/>
    <w:rsid w:val="004F29B8"/>
    <w:rsid w:val="0050413E"/>
    <w:rsid w:val="00515657"/>
    <w:rsid w:val="00521275"/>
    <w:rsid w:val="0052216F"/>
    <w:rsid w:val="005232CA"/>
    <w:rsid w:val="00523636"/>
    <w:rsid w:val="005335B9"/>
    <w:rsid w:val="00536CCE"/>
    <w:rsid w:val="005541E4"/>
    <w:rsid w:val="0058302A"/>
    <w:rsid w:val="005B7338"/>
    <w:rsid w:val="005C02AB"/>
    <w:rsid w:val="005D0F04"/>
    <w:rsid w:val="005F3273"/>
    <w:rsid w:val="005F34A3"/>
    <w:rsid w:val="00610CF2"/>
    <w:rsid w:val="006479F1"/>
    <w:rsid w:val="00650BEE"/>
    <w:rsid w:val="006520FA"/>
    <w:rsid w:val="0065377D"/>
    <w:rsid w:val="006740A7"/>
    <w:rsid w:val="00691524"/>
    <w:rsid w:val="006A654B"/>
    <w:rsid w:val="006E2924"/>
    <w:rsid w:val="006E7A26"/>
    <w:rsid w:val="006F2B3D"/>
    <w:rsid w:val="007319E0"/>
    <w:rsid w:val="00737B00"/>
    <w:rsid w:val="0075155C"/>
    <w:rsid w:val="00753A05"/>
    <w:rsid w:val="00761190"/>
    <w:rsid w:val="00776537"/>
    <w:rsid w:val="00783A25"/>
    <w:rsid w:val="007E1B5E"/>
    <w:rsid w:val="007F2278"/>
    <w:rsid w:val="00805783"/>
    <w:rsid w:val="00806F57"/>
    <w:rsid w:val="00806F90"/>
    <w:rsid w:val="00824C19"/>
    <w:rsid w:val="008378D1"/>
    <w:rsid w:val="00846462"/>
    <w:rsid w:val="0086691F"/>
    <w:rsid w:val="00884C8F"/>
    <w:rsid w:val="008C3296"/>
    <w:rsid w:val="008F2BB5"/>
    <w:rsid w:val="008F5472"/>
    <w:rsid w:val="008F5D0F"/>
    <w:rsid w:val="009122E0"/>
    <w:rsid w:val="00913351"/>
    <w:rsid w:val="0096193C"/>
    <w:rsid w:val="009769E1"/>
    <w:rsid w:val="00977E0D"/>
    <w:rsid w:val="00986C04"/>
    <w:rsid w:val="009A2F76"/>
    <w:rsid w:val="009E1774"/>
    <w:rsid w:val="009E2668"/>
    <w:rsid w:val="009E40A3"/>
    <w:rsid w:val="009E5C8C"/>
    <w:rsid w:val="009F10B1"/>
    <w:rsid w:val="009F47E3"/>
    <w:rsid w:val="009F6938"/>
    <w:rsid w:val="00A0537D"/>
    <w:rsid w:val="00A069AD"/>
    <w:rsid w:val="00A17A85"/>
    <w:rsid w:val="00A20856"/>
    <w:rsid w:val="00A24CA5"/>
    <w:rsid w:val="00A33D6D"/>
    <w:rsid w:val="00A5206D"/>
    <w:rsid w:val="00A72E47"/>
    <w:rsid w:val="00A95404"/>
    <w:rsid w:val="00A968C5"/>
    <w:rsid w:val="00AA3C28"/>
    <w:rsid w:val="00AB2786"/>
    <w:rsid w:val="00AD4308"/>
    <w:rsid w:val="00AE729B"/>
    <w:rsid w:val="00AF2A33"/>
    <w:rsid w:val="00B309DD"/>
    <w:rsid w:val="00B36621"/>
    <w:rsid w:val="00B36D64"/>
    <w:rsid w:val="00B41B48"/>
    <w:rsid w:val="00B56194"/>
    <w:rsid w:val="00B61A34"/>
    <w:rsid w:val="00B64E8E"/>
    <w:rsid w:val="00B8025A"/>
    <w:rsid w:val="00B827B1"/>
    <w:rsid w:val="00BB23A4"/>
    <w:rsid w:val="00BC2276"/>
    <w:rsid w:val="00BC3461"/>
    <w:rsid w:val="00BE365A"/>
    <w:rsid w:val="00BE47C4"/>
    <w:rsid w:val="00C052A2"/>
    <w:rsid w:val="00C06A4A"/>
    <w:rsid w:val="00C1391A"/>
    <w:rsid w:val="00C14CE6"/>
    <w:rsid w:val="00C2725D"/>
    <w:rsid w:val="00C42033"/>
    <w:rsid w:val="00CB2B1E"/>
    <w:rsid w:val="00CC3E8B"/>
    <w:rsid w:val="00CC4E84"/>
    <w:rsid w:val="00CD5641"/>
    <w:rsid w:val="00CE64AC"/>
    <w:rsid w:val="00CF0D81"/>
    <w:rsid w:val="00CF7718"/>
    <w:rsid w:val="00D1714C"/>
    <w:rsid w:val="00D177F1"/>
    <w:rsid w:val="00D323B5"/>
    <w:rsid w:val="00D42ACC"/>
    <w:rsid w:val="00D51DC5"/>
    <w:rsid w:val="00D676D7"/>
    <w:rsid w:val="00D874E1"/>
    <w:rsid w:val="00D9586D"/>
    <w:rsid w:val="00DC2506"/>
    <w:rsid w:val="00DC49FA"/>
    <w:rsid w:val="00DD3D6B"/>
    <w:rsid w:val="00DD4467"/>
    <w:rsid w:val="00DD61C8"/>
    <w:rsid w:val="00DD772B"/>
    <w:rsid w:val="00E25442"/>
    <w:rsid w:val="00E37EEB"/>
    <w:rsid w:val="00E710FB"/>
    <w:rsid w:val="00E806D9"/>
    <w:rsid w:val="00E82CA2"/>
    <w:rsid w:val="00E95594"/>
    <w:rsid w:val="00EA31C3"/>
    <w:rsid w:val="00EC6F21"/>
    <w:rsid w:val="00EE0913"/>
    <w:rsid w:val="00F01440"/>
    <w:rsid w:val="00F13305"/>
    <w:rsid w:val="00F40463"/>
    <w:rsid w:val="00F50336"/>
    <w:rsid w:val="00F62E3F"/>
    <w:rsid w:val="00F67F90"/>
    <w:rsid w:val="00F77B3E"/>
    <w:rsid w:val="00F833CB"/>
    <w:rsid w:val="00F87754"/>
    <w:rsid w:val="00F90A4B"/>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43</TotalTime>
  <Pages>1</Pages>
  <Words>894</Words>
  <Characters>5097</Characters>
  <Application>Microsoft Office Word</Application>
  <DocSecurity>4</DocSecurity>
  <Lines>42</Lines>
  <Paragraphs>11</Paragraphs>
  <ScaleCrop>false</ScaleCrop>
  <Company>United Nations</Company>
  <LinksUpToDate>false</LinksUpToDate>
  <CharactersWithSpaces>5980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yanhuan cai</dc:creator>
  <cp:keywords/>
  <dc:description/>
  <cp:lastModifiedBy>yanhuan cai</cp:lastModifiedBy>
  <cp:revision>7</cp:revision>
  <cp:lastPrinted>2007-03-07T12:32:00Z</cp:lastPrinted>
  <dcterms:created xsi:type="dcterms:W3CDTF">2007-03-07T07:50:00Z</dcterms:created>
  <dcterms:modified xsi:type="dcterms:W3CDTF">2007-03-07T12:32:00Z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0724409</vt:lpwstr>
  </property>
  <property fmtid="{D5CDD505-2E9C-101B-9397-08002B2CF9AE}" pid="3" name="Symbol1">
    <vt:lpwstr>CEDAW/C/PER/CO/6</vt:lpwstr>
  </property>
  <property fmtid="{D5CDD505-2E9C-101B-9397-08002B2CF9AE}" pid="4" name="Symbol2">
    <vt:lpwstr/>
  </property>
  <property fmtid="{D5CDD505-2E9C-101B-9397-08002B2CF9AE}" pid="5" name="Translator">
    <vt:lpwstr/>
  </property>
  <property fmtid="{D5CDD505-2E9C-101B-9397-08002B2CF9AE}" pid="6" name="Operator">
    <vt:lpwstr>CAI</vt:lpwstr>
  </property>
  <property fmtid="{D5CDD505-2E9C-101B-9397-08002B2CF9AE}" pid="7" name="DraftPages">
    <vt:lpwstr> </vt:lpwstr>
  </property>
  <property fmtid="{D5CDD505-2E9C-101B-9397-08002B2CF9AE}" pid="8" name="Comment">
    <vt:lpwstr/>
  </property>
</Properties>
</file>