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98066"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120"/>
            </w:pPr>
            <w:r>
              <w:t>Distr.</w:t>
            </w:r>
            <w:r>
              <w:br/>
              <w:t>GÉNÉRALE</w:t>
            </w:r>
          </w:p>
          <w:p w:rsidR="00000000" w:rsidRDefault="00000000">
            <w:pPr>
              <w:spacing w:after="240"/>
              <w:rPr>
                <w:lang w:val="de-CH"/>
              </w:rPr>
            </w:pPr>
            <w:r>
              <w:rPr>
                <w:lang w:val="de-CH"/>
              </w:rPr>
              <w:t>E/C.12/BOL/2</w:t>
            </w:r>
            <w:r>
              <w:rPr>
                <w:lang w:val="de-CH"/>
              </w:rPr>
              <w:br/>
              <w:t>20 août 2007</w:t>
            </w:r>
          </w:p>
          <w:p w:rsidR="00000000" w:rsidRDefault="00000000">
            <w:pPr>
              <w:spacing w:after="240"/>
              <w:rPr>
                <w:lang w:val="fr-FR"/>
              </w:rPr>
            </w:pPr>
            <w:r>
              <w:rPr>
                <w:lang w:val="fr-FR"/>
              </w:rPr>
              <w:t>FRANÇAIS</w:t>
            </w:r>
            <w:r>
              <w:rPr>
                <w:lang w:val="fr-FR"/>
              </w:rPr>
              <w:br/>
              <w:t>Original: ESPAGNOL</w:t>
            </w:r>
          </w:p>
        </w:tc>
      </w:tr>
    </w:tbl>
    <w:p w:rsidR="00000000" w:rsidRDefault="00000000">
      <w:pPr>
        <w:spacing w:before="240" w:after="1000"/>
        <w:rPr>
          <w:lang w:val="fr-FR"/>
        </w:rPr>
      </w:pPr>
      <w:r>
        <w:rPr>
          <w:lang w:val="fr-FR"/>
        </w:rPr>
        <w:t>Session de fond de 2007</w:t>
      </w:r>
    </w:p>
    <w:p w:rsidR="00000000" w:rsidRDefault="00000000">
      <w:pPr>
        <w:spacing w:after="240"/>
        <w:jc w:val="center"/>
        <w:rPr>
          <w:b/>
          <w:bCs/>
        </w:rPr>
      </w:pPr>
      <w:r>
        <w:rPr>
          <w:b/>
          <w:bCs/>
        </w:rPr>
        <w:t>APPLICATION DU PACTE INTERNATIONAL RELATIF AUX DROITS</w:t>
      </w:r>
      <w:r>
        <w:rPr>
          <w:b/>
          <w:bCs/>
        </w:rPr>
        <w:br/>
        <w:t>ÉCONOMIQUES, SOCIAUX ET CULTURELS</w:t>
      </w:r>
    </w:p>
    <w:p w:rsidR="00000000" w:rsidRDefault="00000000">
      <w:pPr>
        <w:spacing w:after="240"/>
        <w:jc w:val="center"/>
        <w:rPr>
          <w:b/>
          <w:bCs/>
        </w:rPr>
      </w:pPr>
      <w:r>
        <w:rPr>
          <w:b/>
          <w:bCs/>
        </w:rPr>
        <w:t>Deuxièmes rapports périodiques présentés par les États parties en vertu</w:t>
      </w:r>
      <w:r>
        <w:rPr>
          <w:b/>
          <w:bCs/>
        </w:rPr>
        <w:br/>
        <w:t>des articles 16 et 17 du Pacte</w:t>
      </w:r>
    </w:p>
    <w:p w:rsidR="00000000" w:rsidRDefault="00000000">
      <w:pPr>
        <w:spacing w:after="240"/>
        <w:jc w:val="center"/>
        <w:rPr>
          <w:b/>
          <w:bCs/>
          <w:vertAlign w:val="superscript"/>
        </w:rPr>
      </w:pPr>
      <w:r>
        <w:rPr>
          <w:b/>
          <w:bCs/>
        </w:rPr>
        <w:t>BOLIVIE</w:t>
      </w:r>
      <w:r>
        <w:rPr>
          <w:rStyle w:val="FootnoteReference"/>
        </w:rPr>
        <w:footnoteReference w:customMarkFollows="1" w:id="1"/>
        <w:t>*</w:t>
      </w:r>
      <w:r>
        <w:rPr>
          <w:b/>
          <w:bCs/>
        </w:rPr>
        <w:t xml:space="preserve"> </w:t>
      </w:r>
      <w:r>
        <w:rPr>
          <w:rStyle w:val="FootnoteReference"/>
        </w:rPr>
        <w:footnoteReference w:customMarkFollows="1" w:id="2"/>
        <w:t>**</w:t>
      </w:r>
      <w:r>
        <w:rPr>
          <w:bCs/>
        </w:rPr>
        <w:t xml:space="preserve"> </w:t>
      </w:r>
      <w:r>
        <w:rPr>
          <w:rStyle w:val="FootnoteReference"/>
          <w:bCs/>
        </w:rPr>
        <w:footnoteReference w:customMarkFollows="1" w:id="3"/>
        <w:t>***</w:t>
      </w:r>
    </w:p>
    <w:p w:rsidR="00000000" w:rsidRDefault="00000000">
      <w:pPr>
        <w:spacing w:after="240"/>
        <w:jc w:val="right"/>
      </w:pPr>
      <w:r>
        <w:t>[30 juin 2007]</w:t>
      </w:r>
    </w:p>
    <w:p w:rsidR="00000000" w:rsidRDefault="00000000">
      <w:pPr>
        <w:spacing w:after="240"/>
        <w:jc w:val="center"/>
        <w:rPr>
          <w:b/>
          <w:bCs/>
        </w:rPr>
      </w:pPr>
      <w:r>
        <w:br w:type="page"/>
      </w:r>
      <w:r>
        <w:rPr>
          <w:b/>
          <w:bCs/>
        </w:rPr>
        <w:t>RAPPORT PRÉSENTÉ PAR LA BOLIVIE AU COMITÉ DES DROITS ÉCONOMIQUES, SOCIAUX ET CULTURELS CONCERNANT</w:t>
      </w:r>
      <w:r>
        <w:rPr>
          <w:b/>
          <w:bCs/>
        </w:rPr>
        <w:br/>
        <w:t>L’APPLICATION DU PACTE INTERNATIONAL RELATIF</w:t>
      </w:r>
      <w:r>
        <w:rPr>
          <w:b/>
          <w:bCs/>
        </w:rPr>
        <w:br/>
        <w:t>AUX DROITS ÉCONOMIQUES, SOCIAUX</w:t>
      </w:r>
      <w:r>
        <w:rPr>
          <w:b/>
          <w:bCs/>
        </w:rPr>
        <w:br/>
        <w:t>ET CULTURELS</w:t>
      </w:r>
    </w:p>
    <w:p w:rsidR="00000000" w:rsidRDefault="00000000">
      <w:pPr>
        <w:pStyle w:val="Heading1"/>
        <w:rPr>
          <w:rFonts w:ascii="Times New Roman" w:hAnsi="Times New Roman" w:cs="Times New Roman"/>
          <w:caps w:val="0"/>
          <w:szCs w:val="20"/>
        </w:rPr>
      </w:pPr>
      <w:r>
        <w:rPr>
          <w:rFonts w:ascii="Times New Roman" w:hAnsi="Times New Roman" w:cs="Times New Roman"/>
          <w:caps w:val="0"/>
          <w:szCs w:val="20"/>
        </w:rPr>
        <w:t>PACTE RELATIF AUX DROITS ÉCONOMIQUES, SOCIAUX ET CULTURELS</w:t>
      </w:r>
    </w:p>
    <w:p w:rsidR="00000000" w:rsidRDefault="00000000">
      <w:pPr>
        <w:spacing w:after="240"/>
        <w:jc w:val="center"/>
        <w:rPr>
          <w:b/>
          <w:bCs/>
        </w:rPr>
      </w:pPr>
      <w:r>
        <w:rPr>
          <w:b/>
          <w:bCs/>
        </w:rPr>
        <w:t>Recommandations formulées par le Comité des droits économiques, sociaux</w:t>
      </w:r>
      <w:r>
        <w:rPr>
          <w:b/>
          <w:bCs/>
        </w:rPr>
        <w:br/>
        <w:t>et culturels concernant le rapport initial de l’État partie</w:t>
      </w:r>
    </w:p>
    <w:p w:rsidR="00000000" w:rsidRDefault="00000000">
      <w:pPr>
        <w:spacing w:after="240"/>
      </w:pPr>
      <w:r>
        <w:t>1.</w:t>
      </w:r>
      <w:r>
        <w:tab/>
        <w:t>Le rapport initial de l’État partie présenté au Comité des droits économiques, sociaux et culturels, conformément au Pacte international, a été examiné par le Comité (E/1990/5/Add.44) les 2 et 3 mai 2001, à ses 15</w:t>
      </w:r>
      <w:r>
        <w:rPr>
          <w:vertAlign w:val="superscript"/>
        </w:rPr>
        <w:t>e</w:t>
      </w:r>
      <w:r>
        <w:t>, 16</w:t>
      </w:r>
      <w:r>
        <w:rPr>
          <w:vertAlign w:val="superscript"/>
        </w:rPr>
        <w:t>e</w:t>
      </w:r>
      <w:r>
        <w:t xml:space="preserve"> et 17</w:t>
      </w:r>
      <w:r>
        <w:rPr>
          <w:vertAlign w:val="superscript"/>
        </w:rPr>
        <w:t>e</w:t>
      </w:r>
      <w:r>
        <w:t xml:space="preserve"> séances (E/C.12/2001/SR.15 à 17), au cours desquelles ont été approuvées les observations finales reproduites ci</w:t>
      </w:r>
      <w:r>
        <w:noBreakHyphen/>
        <w:t>après:</w:t>
      </w:r>
    </w:p>
    <w:p w:rsidR="00000000" w:rsidRDefault="00000000">
      <w:pPr>
        <w:spacing w:after="240"/>
        <w:ind w:left="567"/>
        <w:rPr>
          <w:b/>
          <w:bCs/>
        </w:rPr>
      </w:pPr>
      <w:r>
        <w:rPr>
          <w:b/>
          <w:bCs/>
        </w:rPr>
        <w:t>26.</w:t>
      </w:r>
      <w:r>
        <w:rPr>
          <w:b/>
          <w:bCs/>
        </w:rPr>
        <w:tab/>
        <w:t>Le Comité demande instamment à l’État partie de veiller à ce que le Pacte soit pris en compte dans la formulation et la mise en œuvre de toutes les politiques concernant les droits économiques, sociaux et culturels.</w:t>
      </w:r>
    </w:p>
    <w:p w:rsidR="00000000" w:rsidRDefault="00000000">
      <w:pPr>
        <w:spacing w:after="240"/>
      </w:pPr>
      <w:r>
        <w:t>2.</w:t>
      </w:r>
      <w:r>
        <w:tab/>
        <w:t xml:space="preserve">En vertu du décret suprême </w:t>
      </w:r>
      <w:r>
        <w:rPr>
          <w:rFonts w:eastAsia="MS Mincho"/>
        </w:rPr>
        <w:t>n</w:t>
      </w:r>
      <w:r>
        <w:rPr>
          <w:rFonts w:eastAsia="MS Mincho"/>
          <w:vertAlign w:val="superscript"/>
        </w:rPr>
        <w:t>o</w:t>
      </w:r>
      <w:r>
        <w:t> 27420 du 26 mars 2004, l’État bolivien est en train d’élaborer la Stratégie nationale en faveur des droits de l’homme</w:t>
      </w:r>
      <w:r>
        <w:rPr>
          <w:rStyle w:val="FootnoteReference"/>
        </w:rPr>
        <w:footnoteReference w:id="4"/>
      </w:r>
      <w:r>
        <w:t xml:space="preserve"> en tant que mécanisme permettant de formuler et d’exécuter les grandes lignes d’action publique propice à la défense et au respect des droits de l’homme, par les moyens suivants:</w:t>
      </w:r>
    </w:p>
    <w:p w:rsidR="00000000" w:rsidRDefault="00000000">
      <w:pPr>
        <w:numPr>
          <w:ilvl w:val="0"/>
          <w:numId w:val="104"/>
        </w:numPr>
        <w:spacing w:after="240"/>
      </w:pPr>
      <w:r>
        <w:t>Promouvoir l’incorporation des conclusions et recommandations des différents organismes internationaux de défense des droits de l’homme dans les programmes d’activité annuels de chacune des entités de l’État, afin de se conformer aux traités et conventions internationaux signés par l’État bolivien, dont les dernières recommandations du Comité des droits économiques, sociaux et culturels;</w:t>
      </w:r>
    </w:p>
    <w:p w:rsidR="00000000" w:rsidRDefault="00000000">
      <w:pPr>
        <w:numPr>
          <w:ilvl w:val="0"/>
          <w:numId w:val="104"/>
        </w:numPr>
        <w:spacing w:after="240"/>
      </w:pPr>
      <w:r>
        <w:t>Assurer le suivi de l’exécution des recommandations susmentionnées;</w:t>
      </w:r>
    </w:p>
    <w:p w:rsidR="00000000" w:rsidRDefault="00000000">
      <w:pPr>
        <w:numPr>
          <w:ilvl w:val="0"/>
          <w:numId w:val="104"/>
        </w:numPr>
        <w:spacing w:after="240"/>
      </w:pPr>
      <w:r>
        <w:t>Assurer le suivi de l’application des instruments internationaux afférents aux droits de l’homme ratifiés par la Bolivie, ainsi que des principes et règles minimaux des organismes internationaux spécialisés dans les droits de l’homme;</w:t>
      </w:r>
    </w:p>
    <w:p w:rsidR="00000000" w:rsidRDefault="00000000">
      <w:pPr>
        <w:numPr>
          <w:ilvl w:val="0"/>
          <w:numId w:val="104"/>
        </w:numPr>
        <w:spacing w:after="240"/>
      </w:pPr>
      <w:r>
        <w:t>Proposer des mécanismes d’exécution des décisions, résolutions et recommandations des organes internationaux de protection des droits de l’homme.</w:t>
      </w:r>
    </w:p>
    <w:p w:rsidR="00000000" w:rsidRDefault="00000000">
      <w:pPr>
        <w:pageBreakBefore/>
        <w:spacing w:after="240"/>
      </w:pPr>
      <w:r>
        <w:t>3.</w:t>
      </w:r>
      <w:r>
        <w:tab/>
        <w:t>L’application de la Stratégie est confiée à un Conseil interinstitutions</w:t>
      </w:r>
      <w:r>
        <w:rPr>
          <w:rStyle w:val="FootnoteReference"/>
        </w:rPr>
        <w:footnoteReference w:id="5"/>
      </w:r>
      <w:r>
        <w:t>, composé des membres suivants:</w:t>
      </w:r>
    </w:p>
    <w:p w:rsidR="00000000" w:rsidRDefault="00000000">
      <w:pPr>
        <w:spacing w:after="240"/>
        <w:ind w:firstLine="567"/>
      </w:pPr>
      <w:r>
        <w:t>a)</w:t>
      </w:r>
      <w:r>
        <w:tab/>
        <w:t>Ministre des relations extérieures et des cultes;</w:t>
      </w:r>
    </w:p>
    <w:p w:rsidR="00000000" w:rsidRDefault="00000000">
      <w:pPr>
        <w:spacing w:after="240"/>
        <w:ind w:firstLine="567"/>
      </w:pPr>
      <w:r>
        <w:t>b)</w:t>
      </w:r>
      <w:r>
        <w:tab/>
        <w:t>Ministre de la présidence;</w:t>
      </w:r>
    </w:p>
    <w:p w:rsidR="00000000" w:rsidRDefault="00000000">
      <w:pPr>
        <w:spacing w:after="240"/>
        <w:ind w:firstLine="567"/>
      </w:pPr>
      <w:r>
        <w:t>c)</w:t>
      </w:r>
      <w:r>
        <w:tab/>
        <w:t>Ministre de l’éducation;</w:t>
      </w:r>
    </w:p>
    <w:p w:rsidR="00000000" w:rsidRDefault="00000000">
      <w:pPr>
        <w:spacing w:after="240"/>
        <w:ind w:firstLine="567"/>
      </w:pPr>
      <w:r>
        <w:t>d)</w:t>
      </w:r>
      <w:r>
        <w:tab/>
        <w:t>Ministre des affaires autochtones et des peuples autochtones;</w:t>
      </w:r>
    </w:p>
    <w:p w:rsidR="00000000" w:rsidRDefault="00000000">
      <w:pPr>
        <w:spacing w:after="240"/>
        <w:ind w:firstLine="567"/>
      </w:pPr>
      <w:r>
        <w:t>e)</w:t>
      </w:r>
      <w:r>
        <w:tab/>
        <w:t>Ministre du développement durable;</w:t>
      </w:r>
    </w:p>
    <w:p w:rsidR="00000000" w:rsidRDefault="00000000">
      <w:pPr>
        <w:spacing w:after="240"/>
        <w:ind w:firstLine="567"/>
      </w:pPr>
      <w:r>
        <w:t>f)</w:t>
      </w:r>
      <w:r>
        <w:tab/>
        <w:t>Ministre du travail;</w:t>
      </w:r>
    </w:p>
    <w:p w:rsidR="00000000" w:rsidRDefault="00000000">
      <w:pPr>
        <w:spacing w:after="240"/>
        <w:ind w:firstLine="567"/>
      </w:pPr>
      <w:r>
        <w:t>g)</w:t>
      </w:r>
      <w:r>
        <w:tab/>
        <w:t>Ministre de la défense;</w:t>
      </w:r>
    </w:p>
    <w:p w:rsidR="00000000" w:rsidRDefault="00000000">
      <w:pPr>
        <w:spacing w:after="240"/>
        <w:ind w:firstLine="567"/>
      </w:pPr>
      <w:r>
        <w:t>h)</w:t>
      </w:r>
      <w:r>
        <w:tab/>
        <w:t>Ministre de la santé;</w:t>
      </w:r>
    </w:p>
    <w:p w:rsidR="00000000" w:rsidRDefault="00000000">
      <w:pPr>
        <w:spacing w:after="240"/>
        <w:ind w:firstLine="567"/>
      </w:pPr>
      <w:r>
        <w:t>i)</w:t>
      </w:r>
      <w:r>
        <w:tab/>
        <w:t>Pouvoir judiciaire;</w:t>
      </w:r>
    </w:p>
    <w:p w:rsidR="00000000" w:rsidRDefault="00000000">
      <w:pPr>
        <w:spacing w:after="240"/>
        <w:ind w:firstLine="567"/>
      </w:pPr>
      <w:r>
        <w:t>j)</w:t>
      </w:r>
      <w:r>
        <w:tab/>
        <w:t>Ministère public;</w:t>
      </w:r>
    </w:p>
    <w:p w:rsidR="00000000" w:rsidRDefault="00000000">
      <w:pPr>
        <w:spacing w:after="240"/>
        <w:ind w:firstLine="567"/>
      </w:pPr>
      <w:r>
        <w:t>k)</w:t>
      </w:r>
      <w:r>
        <w:tab/>
        <w:t>Représentants de la communauté des droits de l’homme (société civile).</w:t>
      </w:r>
    </w:p>
    <w:p w:rsidR="00000000" w:rsidRDefault="00000000">
      <w:pPr>
        <w:spacing w:after="240"/>
      </w:pPr>
      <w:r>
        <w:t>Le Conseil, présidé par le Ministre de la présidence, est chargé d’élaborer et de mettre en œuvre la Stratégie nationale en faveur des droits de l’homme. À cette fin, il doit mobiliser les ressources économiques nécessaires à sa mise en œuvre et à son exécution, par l’intermédiaire du Trésor public et grâce à la coopération internationale.</w:t>
      </w:r>
    </w:p>
    <w:p w:rsidR="00000000" w:rsidRDefault="00000000">
      <w:pPr>
        <w:spacing w:after="240"/>
      </w:pPr>
      <w:r>
        <w:t>4.</w:t>
      </w:r>
      <w:r>
        <w:tab/>
        <w:t>Les fonctions du Conseil interinstitutions sont les suivantes: promouvoir l’incorporation des conclusions et recommandations des différents comités des droits de l’homme de l’ONU ou d’autres organismes internationaux de défense des droits de l’homme dans le programme d’activité annuel de chacune des institutions de l’État, afin de donner effet aux traités et conventions traitant spécifiquement des droits de l’homme; assurer le suivi de l’exécution ou de l’application des conclusions et recommandations des différents comités de l’ONU et d’autres organismes internationaux de défense des droits de l’homme.</w:t>
      </w:r>
    </w:p>
    <w:p w:rsidR="00000000" w:rsidRDefault="00000000">
      <w:pPr>
        <w:spacing w:after="240"/>
      </w:pPr>
      <w:r>
        <w:t>5.</w:t>
      </w:r>
      <w:r>
        <w:tab/>
        <w:t>Par ailleurs, le Conseil interinstitutions assure aussi le suivi de l’application des règles contenues dans les instruments internationaux sur les droits de l’homme ratifiés par la Bolivie, ainsi que des directives, principes et règles minimaux émanant d’organes spécialisés en matière de droits de l’homme. Il propose des mécanismes en vue de l’exécution des décisions, résolutions et recommandations des organes internationaux de protection des droits de l’homme et il veille à l’exécution des engagements contractés à l’échelon international en matière de droits de l’homme.</w:t>
      </w:r>
    </w:p>
    <w:p w:rsidR="00000000" w:rsidRDefault="00000000">
      <w:pPr>
        <w:spacing w:after="240"/>
      </w:pPr>
      <w:r>
        <w:t>6.</w:t>
      </w:r>
      <w:r>
        <w:tab/>
        <w:t>Pour atteindre les objectifs fixés, la Stratégie nationale en faveur des droits de l’homme est confiée aussi à la Commission interministérielle</w:t>
      </w:r>
      <w:r>
        <w:rPr>
          <w:rStyle w:val="FootnoteReference"/>
        </w:rPr>
        <w:footnoteReference w:id="6"/>
      </w:r>
      <w:r>
        <w:rPr>
          <w:b/>
          <w:bCs/>
          <w:i/>
          <w:iCs/>
        </w:rPr>
        <w:t xml:space="preserve"> </w:t>
      </w:r>
      <w:r>
        <w:t>des droits de l’homme, qui est composée de tous les vice</w:t>
      </w:r>
      <w:r>
        <w:noBreakHyphen/>
        <w:t>ministères du pouvoir exécutif et qui a pour mission essentielle de rédiger les rapports officiels sur les droits de l’homme destinés aux différents organismes internationaux.</w:t>
      </w:r>
    </w:p>
    <w:p w:rsidR="00000000" w:rsidRDefault="00000000">
      <w:pPr>
        <w:spacing w:after="240"/>
      </w:pPr>
      <w:r>
        <w:t>7.</w:t>
      </w:r>
      <w:r>
        <w:tab/>
        <w:t>Enfin, pour coordonner l’ensemble du processus, la Stratégie nationale en faveur des droits de l’homme compte un secrétariat technique qui relève du Vice</w:t>
      </w:r>
      <w:r>
        <w:noBreakHyphen/>
        <w:t>Ministère de la justice. Le secrétariat est l’organe d’exécution de la Stratégie puisqu’il coordonne la communication permanente entre le Conseil interinstitutions, la Commission interministérielle et la société civile.</w:t>
      </w:r>
    </w:p>
    <w:p w:rsidR="00000000" w:rsidRDefault="00000000">
      <w:pPr>
        <w:spacing w:after="240"/>
      </w:pPr>
      <w:r>
        <w:t>8.</w:t>
      </w:r>
      <w:r>
        <w:tab/>
        <w:t>Le mécanisme d’application de la Stratégie nationale en faveur des droits de l’homme a commencé ses travaux dans l’année 2004 par la rédaction d’un document de politique générale sur les droits de l’homme qui sera achevé prochainement; ce texte sera soumis ensuite à la procédure d’approbation par le pouvoir législatif en tant que loi de la République. On espère pouvoir mettre déjà en application certaines des mesures prévues dans le document parallèlement au processus législatif. L’approbation de la Stratégie permettra à l’État de définir les objectifs à atteindre.</w:t>
      </w:r>
    </w:p>
    <w:p w:rsidR="00000000" w:rsidRDefault="00000000">
      <w:pPr>
        <w:spacing w:after="240"/>
      </w:pPr>
      <w:r>
        <w:t>9.</w:t>
      </w:r>
      <w:r>
        <w:tab/>
        <w:t>Enfin, il convient de souligner que l’année 2006 verra la création de l’Assemblée constituante. La société bolivienne aura alors la possibilité d’approuver une nouvelle Constitution politique qui aura sans aucun doute un caractère progressiste en matière de droits de l’homme, par rapport à l’actuelle Loi fondamentale de la République.</w:t>
      </w:r>
    </w:p>
    <w:p w:rsidR="00000000" w:rsidRDefault="00000000">
      <w:pPr>
        <w:spacing w:after="240"/>
        <w:ind w:left="567"/>
        <w:rPr>
          <w:b/>
          <w:bCs/>
        </w:rPr>
      </w:pPr>
      <w:r>
        <w:rPr>
          <w:b/>
          <w:bCs/>
        </w:rPr>
        <w:t>27.</w:t>
      </w:r>
      <w:r>
        <w:rPr>
          <w:b/>
          <w:bCs/>
        </w:rPr>
        <w:tab/>
        <w:t>Le Comité encourage l’État partie à ratifier le Protocole additionnel à la Convention américaine relative aux droits de l’homme (Protocole de San Salvador), qu’il a signé en 1988.</w:t>
      </w:r>
    </w:p>
    <w:p w:rsidR="00000000" w:rsidRDefault="00000000">
      <w:pPr>
        <w:spacing w:after="240"/>
      </w:pPr>
      <w:r>
        <w:t>10.</w:t>
      </w:r>
      <w:r>
        <w:tab/>
        <w:t>Le Protocole de San Salvador a été ratifié par la loi 3293 du 12 décembre 2005.</w:t>
      </w:r>
    </w:p>
    <w:p w:rsidR="00000000" w:rsidRDefault="00000000">
      <w:pPr>
        <w:spacing w:after="240"/>
        <w:ind w:left="567"/>
        <w:rPr>
          <w:b/>
          <w:bCs/>
        </w:rPr>
      </w:pPr>
      <w:r>
        <w:rPr>
          <w:b/>
          <w:bCs/>
        </w:rPr>
        <w:t>28.</w:t>
      </w:r>
      <w:r>
        <w:rPr>
          <w:b/>
          <w:bCs/>
        </w:rPr>
        <w:tab/>
        <w:t>Le Comité engage  l’État partie à veiller à ce que les droits économiques, sociaux et culturels consacrés dans le Pacte soient applicables directement dans son ordre juridique interne.</w:t>
      </w:r>
    </w:p>
    <w:p w:rsidR="00000000" w:rsidRDefault="00000000">
      <w:pPr>
        <w:spacing w:after="240"/>
      </w:pPr>
      <w:r>
        <w:t>11.</w:t>
      </w:r>
      <w:r>
        <w:tab/>
        <w:t>Les droits économiques, sociaux et culturels de la population bolivienne sont garantis d’une manière générale par la Constitution politique de l’État, qui reconnaît notamment les droits suivants: droit à la santé, droit de travailler et de se livrer au commerce, à l’industrie ou à une activité licite quelconque, droit de recevoir une instruction et d’acquérir une culture, droit à une juste rémunération du travail qui assure à l’intéressé ainsi qu’à sa famille une existence digne de l’être humain et droit à la sécurité sociale.</w:t>
      </w:r>
    </w:p>
    <w:p w:rsidR="00000000" w:rsidRDefault="00000000">
      <w:pPr>
        <w:spacing w:after="240"/>
      </w:pPr>
      <w:r>
        <w:t>12.</w:t>
      </w:r>
      <w:r>
        <w:tab/>
        <w:t>Ces principes sont conformes à d’autres principes du même instrument juridique, ainsi qu’en disposent les articles 156 à 192.</w:t>
      </w:r>
    </w:p>
    <w:p w:rsidR="00000000" w:rsidRDefault="00000000">
      <w:pPr>
        <w:spacing w:after="240"/>
      </w:pPr>
      <w:r>
        <w:t>13.</w:t>
      </w:r>
      <w:r>
        <w:tab/>
        <w:t>De même, la loi sur la réforme de l’éducation complète et définit, par les articles 2 (buts) et 3 (objectifs et politiques), plusieurs des dispositions relatives au système de l’éducation nationale.</w:t>
      </w:r>
    </w:p>
    <w:p w:rsidR="00000000" w:rsidRDefault="00000000">
      <w:pPr>
        <w:spacing w:after="240"/>
      </w:pPr>
      <w:r>
        <w:t>14.</w:t>
      </w:r>
      <w:r>
        <w:tab/>
        <w:t xml:space="preserve">En ce qui concerne les fonctions de l’organisme d’État chargé de mener à bien les plans et programmes relatifs à la culture, le décret suprême </w:t>
      </w:r>
      <w:r>
        <w:rPr>
          <w:rFonts w:eastAsia="MS Mincho"/>
        </w:rPr>
        <w:t>n</w:t>
      </w:r>
      <w:r>
        <w:rPr>
          <w:rFonts w:eastAsia="MS Mincho"/>
          <w:vertAlign w:val="superscript"/>
        </w:rPr>
        <w:t>o</w:t>
      </w:r>
      <w:r>
        <w:t> 26973 définit les attributions du Vice</w:t>
      </w:r>
      <w:r>
        <w:noBreakHyphen/>
        <w:t>Ministère de la culture.</w:t>
      </w:r>
    </w:p>
    <w:p w:rsidR="00000000" w:rsidRDefault="00000000">
      <w:pPr>
        <w:spacing w:after="240"/>
      </w:pPr>
      <w:r>
        <w:t>15.</w:t>
      </w:r>
      <w:r>
        <w:tab/>
        <w:t>En ce qui concerne la santé, en sus des fonctions et services exercés ou dispensés de façon courante par le Ministère de la santé, on peut citer la loi relative à l’assurance universelle maternelle et infantile; cette loi assure une couverture universelle, intégrale et gratuite et vise la prestation de soins de santé dans le cadre du Système national de santé et du Système de sécurité sociale de courte durée aux femmes enceintes depuis le début de la grossesse jusqu’au sixième mois après leur accouchement et aux enfants depuis la naissance jusqu’à l’âge de 5 ans.</w:t>
      </w:r>
    </w:p>
    <w:p w:rsidR="00000000" w:rsidRDefault="00000000">
      <w:pPr>
        <w:spacing w:after="240"/>
        <w:ind w:left="567"/>
        <w:rPr>
          <w:b/>
          <w:bCs/>
        </w:rPr>
      </w:pPr>
      <w:r>
        <w:rPr>
          <w:b/>
          <w:bCs/>
        </w:rPr>
        <w:t>29.</w:t>
      </w:r>
      <w:r>
        <w:rPr>
          <w:b/>
          <w:bCs/>
        </w:rPr>
        <w:tab/>
        <w:t>Le Comité demande à l’État partie d’inclure dans son deuxième rapport périodique des renseignements détaillés concernant l’effet de la décentralisation administrative sur l’exercice des droits économiques, sociaux et culturels par les citoyens boliviens.</w:t>
      </w:r>
    </w:p>
    <w:p w:rsidR="00000000" w:rsidRDefault="00000000">
      <w:pPr>
        <w:keepNext/>
        <w:spacing w:after="240"/>
      </w:pPr>
      <w:r>
        <w:t>16.</w:t>
      </w:r>
      <w:r>
        <w:tab/>
        <w:t xml:space="preserve">La Constitution établit dans ses articles 200 à 206 les principes généraux qui gouvernent la décentralisation, et qui sont régis par les dispositions juridiques suivantes: </w:t>
      </w:r>
    </w:p>
    <w:p w:rsidR="00000000" w:rsidRDefault="00000000">
      <w:pPr>
        <w:numPr>
          <w:ilvl w:val="0"/>
          <w:numId w:val="105"/>
        </w:numPr>
        <w:spacing w:after="240"/>
      </w:pPr>
      <w:r>
        <w:rPr>
          <w:b/>
          <w:bCs/>
        </w:rPr>
        <w:t>Loi sur la participation populaire</w:t>
      </w:r>
    </w:p>
    <w:p w:rsidR="00000000" w:rsidRDefault="00000000">
      <w:pPr>
        <w:pStyle w:val="BodyTextIndent"/>
        <w:ind w:firstLine="567"/>
      </w:pPr>
      <w:r>
        <w:t>La loi a pour objet de reconnaître, promouvoir et consolider le processus de participation populaire en associant les communautés autochtones, rurales et urbaines à la vie juridique, politique et économique du pays. Elle vise à améliorer la qualité de vie des femmes et des hommes, grâce à une répartition plus équitable et à une meilleure administration des ressources publiques. Elle renforce les instruments politiques et économiques nécessaires pour améliorer la démocratie représentative, en facilitant la participation des citoyens et en garantissant l’égalité des chances aux différents niveaux de représentation pour les femmes et pour les hommes.</w:t>
      </w:r>
    </w:p>
    <w:p w:rsidR="00000000" w:rsidRDefault="00000000">
      <w:pPr>
        <w:pStyle w:val="BodyTextIndent"/>
        <w:ind w:firstLine="567"/>
      </w:pPr>
      <w:r>
        <w:t>Afin d’atteindre les objectifs susmentionnés, la loi:</w:t>
      </w:r>
    </w:p>
    <w:p w:rsidR="00000000" w:rsidRDefault="00000000">
      <w:pPr>
        <w:numPr>
          <w:ilvl w:val="0"/>
          <w:numId w:val="51"/>
        </w:numPr>
        <w:spacing w:after="240"/>
      </w:pPr>
      <w:r>
        <w:t>Reconnaît la personnalité juridique aux organisations territoriales de base, urbaines et rurales, et assure la liaison avec les organismes publics;</w:t>
      </w:r>
    </w:p>
    <w:p w:rsidR="00000000" w:rsidRDefault="00000000">
      <w:pPr>
        <w:numPr>
          <w:ilvl w:val="0"/>
          <w:numId w:val="51"/>
        </w:numPr>
        <w:spacing w:after="240"/>
      </w:pPr>
      <w:r>
        <w:t>Délimite la section de province comme juridiction territoriale de la municipalité. Elle étend les compétences et augmente les ressources des administrations municipales, et elle leur transfère l’infrastructure physique de l’éducation, de la santé, des sports, des routes d’accès, de la micro</w:t>
      </w:r>
      <w:r>
        <w:noBreakHyphen/>
        <w:t>irrigation, avec obligation de l’administrer, de l’entretenir et de la rénover;</w:t>
      </w:r>
    </w:p>
    <w:p w:rsidR="00000000" w:rsidRDefault="00000000">
      <w:pPr>
        <w:keepLines/>
        <w:numPr>
          <w:ilvl w:val="0"/>
          <w:numId w:val="51"/>
        </w:numPr>
        <w:spacing w:after="240"/>
      </w:pPr>
      <w:r>
        <w:t>Consacre le principe de la répartition égalitaire, entre tous les habitants, des ressources budgétaires affectées et transférées aux départements, par l’intermédiaire des communes et des universités, et vise à corriger les déséquilibres historiques entre les zones urbaines et les zones rurales;</w:t>
      </w:r>
    </w:p>
    <w:p w:rsidR="00000000" w:rsidRDefault="00000000">
      <w:pPr>
        <w:numPr>
          <w:ilvl w:val="0"/>
          <w:numId w:val="51"/>
        </w:numPr>
        <w:spacing w:after="240"/>
      </w:pPr>
      <w:r>
        <w:t>Réorganise les attributions et les compétences des organismes publics afin qu’ils agissent conformément aux droits et devoirs reconnus par la présente loi.</w:t>
      </w:r>
    </w:p>
    <w:p w:rsidR="00000000" w:rsidRDefault="00000000">
      <w:pPr>
        <w:pStyle w:val="BodyTextIndent"/>
        <w:keepNext/>
        <w:ind w:firstLine="567"/>
      </w:pPr>
      <w:r>
        <w:t>À cet effet, sont reconnues les organisations territoriales de base suivante:</w:t>
      </w:r>
    </w:p>
    <w:p w:rsidR="00000000" w:rsidRDefault="00000000">
      <w:pPr>
        <w:pStyle w:val="BodyTextIndent2"/>
        <w:ind w:left="2268"/>
      </w:pPr>
      <w:r>
        <w:t>I.</w:t>
      </w:r>
      <w:r>
        <w:tab/>
        <w:t>Sont définies comme sujets de la participation populaire les organisations territoriales de base, représentées par les communautés paysannes, les peuples autochtones et les conseils de quartier et organisées selon leurs us et coutumes ou leurs statuts.</w:t>
      </w:r>
    </w:p>
    <w:p w:rsidR="00000000" w:rsidRDefault="00000000">
      <w:pPr>
        <w:spacing w:after="240"/>
        <w:ind w:left="2268" w:hanging="567"/>
      </w:pPr>
      <w:r>
        <w:t>II.</w:t>
      </w:r>
      <w:r>
        <w:tab/>
        <w:t xml:space="preserve">Sont reconnus comme représentants des organisations territoriales de base, les hommes et les femmes, les capitaines, </w:t>
      </w:r>
      <w:r>
        <w:rPr>
          <w:i/>
          <w:iCs/>
        </w:rPr>
        <w:t>jilacatas</w:t>
      </w:r>
      <w:r>
        <w:t xml:space="preserve">, </w:t>
      </w:r>
      <w:r>
        <w:rPr>
          <w:i/>
          <w:iCs/>
        </w:rPr>
        <w:t>curacas</w:t>
      </w:r>
      <w:r>
        <w:t xml:space="preserve">, </w:t>
      </w:r>
      <w:r>
        <w:rPr>
          <w:i/>
          <w:iCs/>
        </w:rPr>
        <w:t>mallcus</w:t>
      </w:r>
      <w:r>
        <w:t>, secrétaires généraux et autres, désignés selon leurs us et coutumes et leurs statuts.</w:t>
      </w:r>
    </w:p>
    <w:p w:rsidR="00000000" w:rsidRDefault="00000000">
      <w:pPr>
        <w:keepNext/>
        <w:numPr>
          <w:ilvl w:val="0"/>
          <w:numId w:val="106"/>
        </w:numPr>
        <w:spacing w:after="240"/>
        <w:rPr>
          <w:b/>
          <w:bCs/>
        </w:rPr>
      </w:pPr>
      <w:r>
        <w:rPr>
          <w:b/>
          <w:bCs/>
        </w:rPr>
        <w:t>Loi sur les municipalités</w:t>
      </w:r>
    </w:p>
    <w:p w:rsidR="00000000" w:rsidRDefault="00000000">
      <w:pPr>
        <w:pStyle w:val="BodyTextIndent"/>
        <w:ind w:firstLine="567"/>
      </w:pPr>
      <w:r>
        <w:t xml:space="preserve">Visée à l’article premier, la municipalité, collectivité locale autonome, est l’organe de droit public doté de la personnalité juridique et d’un budget propre, qui représente l’ensemble des habitants vivant dans une circonscription territoriale, et qui a pour mission de pourvoir aux besoins de la vie en commun. </w:t>
      </w:r>
    </w:p>
    <w:p w:rsidR="00000000" w:rsidRDefault="00000000">
      <w:pPr>
        <w:keepNext/>
        <w:numPr>
          <w:ilvl w:val="0"/>
          <w:numId w:val="106"/>
        </w:numPr>
        <w:spacing w:after="240"/>
        <w:rPr>
          <w:b/>
          <w:bCs/>
        </w:rPr>
      </w:pPr>
      <w:r>
        <w:rPr>
          <w:b/>
          <w:bCs/>
        </w:rPr>
        <w:t>Loi sur la décentralisation administrative</w:t>
      </w:r>
    </w:p>
    <w:p w:rsidR="00000000" w:rsidRDefault="00000000">
      <w:pPr>
        <w:pStyle w:val="BodyTextIndent"/>
        <w:keepNext/>
        <w:ind w:firstLine="567"/>
      </w:pPr>
      <w:r>
        <w:t>Elle a pour objet:</w:t>
      </w:r>
    </w:p>
    <w:p w:rsidR="00000000" w:rsidRDefault="00000000">
      <w:pPr>
        <w:numPr>
          <w:ilvl w:val="0"/>
          <w:numId w:val="51"/>
        </w:numPr>
        <w:spacing w:after="240"/>
      </w:pPr>
      <w:r>
        <w:t>D’établir la structure et l’organisation du pouvoir exécutif à l’échelon du département dans le régime de la décentralisation administrative;</w:t>
      </w:r>
    </w:p>
    <w:p w:rsidR="00000000" w:rsidRDefault="00000000">
      <w:pPr>
        <w:numPr>
          <w:ilvl w:val="0"/>
          <w:numId w:val="51"/>
        </w:numPr>
        <w:spacing w:after="240"/>
      </w:pPr>
      <w:r>
        <w:t>D’établir le régime des ressources économiques et financières du département;</w:t>
      </w:r>
    </w:p>
    <w:p w:rsidR="00000000" w:rsidRDefault="00000000">
      <w:pPr>
        <w:numPr>
          <w:ilvl w:val="0"/>
          <w:numId w:val="51"/>
        </w:numPr>
        <w:spacing w:after="240"/>
      </w:pPr>
      <w:r>
        <w:t>D’améliorer et de renforcer l’efficience et l’efficacité de l’administration publique dans la prestation directe de services de proximité à la population.</w:t>
      </w:r>
    </w:p>
    <w:p w:rsidR="00000000" w:rsidRDefault="00000000">
      <w:pPr>
        <w:spacing w:after="240"/>
      </w:pPr>
      <w:r>
        <w:t>Enfin, le 18 décembre 2005 ont été élus pour la première fois au suffrage direct les préfets des neuf départements du pays. C’est un moyen de décentraliser le pouvoir en faisant élire ces autorités par le peuple.</w:t>
      </w:r>
    </w:p>
    <w:p w:rsidR="00000000" w:rsidRDefault="00000000">
      <w:pPr>
        <w:keepLines/>
        <w:spacing w:after="240"/>
        <w:ind w:left="567"/>
        <w:rPr>
          <w:b/>
          <w:bCs/>
        </w:rPr>
      </w:pPr>
      <w:r>
        <w:rPr>
          <w:b/>
          <w:bCs/>
        </w:rPr>
        <w:t>30.</w:t>
      </w:r>
      <w:r>
        <w:rPr>
          <w:b/>
          <w:bCs/>
        </w:rPr>
        <w:tab/>
        <w:t>Le Comité demande instamment à l’État partie de prendre des mesures pour remédier à la marginalisation des populations autochtones dans tous les secteurs de la société et à la discrimination dont elles sont l’objet. Le Comité prie l’État partie de faire figurer dans son deuxième rapport périodique des renseignements détaillés sur les efforts qu’il fait en vue d’améliorer l’exercice des droits économiques, sociaux et culturels par les populations rurales, en particulier les populations autochtones.</w:t>
      </w:r>
    </w:p>
    <w:p w:rsidR="00000000" w:rsidRDefault="00000000">
      <w:pPr>
        <w:keepNext/>
        <w:spacing w:after="240"/>
      </w:pPr>
      <w:r>
        <w:t>17.</w:t>
      </w:r>
      <w:r>
        <w:tab/>
        <w:t>La Constitution dispose en son article 171 ce qui suit:</w:t>
      </w:r>
    </w:p>
    <w:p w:rsidR="00000000" w:rsidRDefault="00000000">
      <w:pPr>
        <w:spacing w:after="240"/>
        <w:ind w:left="567" w:firstLine="567"/>
      </w:pPr>
      <w:r>
        <w:t>«I.</w:t>
      </w:r>
      <w:r>
        <w:tab/>
        <w:t>Sont reconnus, respectés et protégés dans le cadre de la loi les droits sociaux, économiques et culturels des peuples autochtones qui habitent sur le territoire national, en particulier les droits relatifs à leurs terres communautaires d’origine dont l’utilisation et l’exploitation durable des ressources naturelles leur sont garanties, à leur identité, à leurs valeurs, à leur langue, à leurs coutumes et institutions.</w:t>
      </w:r>
    </w:p>
    <w:p w:rsidR="00000000" w:rsidRDefault="00000000">
      <w:pPr>
        <w:spacing w:after="240"/>
        <w:ind w:left="567" w:firstLine="567"/>
      </w:pPr>
      <w:r>
        <w:t>II.</w:t>
      </w:r>
      <w:r>
        <w:tab/>
        <w:t>L’État reconnaît la personnalité juridique aux communautés autochtones et paysannes et aux associations et syndicats paysans.</w:t>
      </w:r>
    </w:p>
    <w:p w:rsidR="00000000" w:rsidRDefault="00000000">
      <w:pPr>
        <w:spacing w:after="240"/>
        <w:ind w:left="567" w:firstLine="567"/>
      </w:pPr>
      <w:r>
        <w:t>III.</w:t>
      </w:r>
      <w:r>
        <w:tab/>
        <w:t>Les autorités naturelles des communautés autochtones et paysannes pourront exercer des fonctions d’administration et appliquer leurs règles propres dans le règlement des conflits, conformément à leurs coutumes et procédures, pour autant que ces règles ne soient pas contraires à la présente Constitution et à la loi. La loi assurera la compatibilité de ces fonctions avec les attributions des pouvoirs de l’État.».</w:t>
      </w:r>
    </w:p>
    <w:p w:rsidR="00000000" w:rsidRDefault="00000000">
      <w:pPr>
        <w:spacing w:after="240"/>
      </w:pPr>
      <w:r>
        <w:t>18.</w:t>
      </w:r>
      <w:r>
        <w:tab/>
        <w:t>Les présentes dispositions sont développées et énoncées de façon plus détaillée dans les articles 165 à 169 et 172 à 175.</w:t>
      </w:r>
    </w:p>
    <w:p w:rsidR="00000000" w:rsidRDefault="00000000">
      <w:pPr>
        <w:spacing w:after="240"/>
        <w:ind w:left="567"/>
      </w:pPr>
      <w:r>
        <w:rPr>
          <w:b/>
          <w:bCs/>
        </w:rPr>
        <w:t>31.</w:t>
      </w:r>
      <w:r>
        <w:rPr>
          <w:b/>
          <w:bCs/>
        </w:rPr>
        <w:tab/>
        <w:t>Le Comité demande instamment à l’État partie de prendre des mesures efficaces pour combattre la discrimination à l’égard des femmes dans la vie publique, économique et sociale.</w:t>
      </w:r>
    </w:p>
    <w:p w:rsidR="00000000" w:rsidRDefault="00000000">
      <w:pPr>
        <w:keepNext/>
        <w:spacing w:after="240"/>
      </w:pPr>
      <w:r>
        <w:t>19.</w:t>
      </w:r>
      <w:r>
        <w:tab/>
        <w:t>La Constitution dispose en son article 6 ce qui suit:</w:t>
      </w:r>
    </w:p>
    <w:p w:rsidR="00000000" w:rsidRDefault="00000000">
      <w:pPr>
        <w:spacing w:after="240"/>
        <w:ind w:left="567" w:firstLine="567"/>
      </w:pPr>
      <w:r>
        <w:t>«I.</w:t>
      </w:r>
      <w:r>
        <w:tab/>
        <w:t>Tout être humain a la personnalité et la capacité juridiques, conformément à la loi. Il jouit des droits, libertés et garanties reconnus par la présente Constitution, sans distinction de race, de sexe, de langue, de religion, d’opinion politique ou autre, d’origine, de situation économique ou sociale, ou de quelque autre nature que ce soit.».</w:t>
      </w:r>
    </w:p>
    <w:p w:rsidR="00000000" w:rsidRDefault="00000000">
      <w:pPr>
        <w:spacing w:after="240"/>
      </w:pPr>
      <w:r>
        <w:t>20.</w:t>
      </w:r>
      <w:r>
        <w:tab/>
        <w:t>Par ailleurs, l’État a pris des dispositions spéciales pour améliorer la protection des droits de la femme sur le territoire bolivien, à savoir:</w:t>
      </w:r>
    </w:p>
    <w:p w:rsidR="00000000" w:rsidRDefault="00000000">
      <w:pPr>
        <w:keepNext/>
        <w:spacing w:after="240"/>
        <w:ind w:left="567"/>
        <w:rPr>
          <w:b/>
          <w:bCs/>
        </w:rPr>
      </w:pPr>
      <w:r>
        <w:rPr>
          <w:b/>
          <w:bCs/>
        </w:rPr>
        <w:t xml:space="preserve">Décret suprême </w:t>
      </w:r>
      <w:r>
        <w:rPr>
          <w:rFonts w:eastAsia="MS Mincho"/>
          <w:b/>
          <w:bCs/>
        </w:rPr>
        <w:t>n</w:t>
      </w:r>
      <w:r>
        <w:rPr>
          <w:rFonts w:eastAsia="MS Mincho"/>
          <w:b/>
          <w:bCs/>
          <w:vertAlign w:val="superscript"/>
        </w:rPr>
        <w:t>o</w:t>
      </w:r>
      <w:r>
        <w:rPr>
          <w:b/>
          <w:bCs/>
        </w:rPr>
        <w:t> 24864 du 10 octobre 1997</w:t>
      </w:r>
    </w:p>
    <w:p w:rsidR="00000000" w:rsidRDefault="00000000">
      <w:pPr>
        <w:spacing w:after="240"/>
        <w:ind w:left="567" w:firstLine="567"/>
      </w:pPr>
      <w:r>
        <w:t>L’État garantit l’égalité des droits des hommes et des femmes dans les domaines politique, économique, social et culturel, ainsi que l’inclusion transversale de contenus sexospécifiques dans les politiques publiques afin d’obtenir une véritable équité entre les sexes par des mesures spécifiques.</w:t>
      </w:r>
    </w:p>
    <w:p w:rsidR="00000000" w:rsidRDefault="00000000">
      <w:pPr>
        <w:keepNext/>
        <w:spacing w:after="240"/>
        <w:ind w:left="567"/>
        <w:rPr>
          <w:b/>
          <w:bCs/>
        </w:rPr>
      </w:pPr>
      <w:r>
        <w:rPr>
          <w:b/>
          <w:bCs/>
        </w:rPr>
        <w:t xml:space="preserve">Décret suprême </w:t>
      </w:r>
      <w:r>
        <w:rPr>
          <w:rFonts w:eastAsia="MS Mincho"/>
          <w:b/>
          <w:bCs/>
        </w:rPr>
        <w:t>n</w:t>
      </w:r>
      <w:r>
        <w:rPr>
          <w:rFonts w:eastAsia="MS Mincho"/>
          <w:b/>
          <w:bCs/>
          <w:vertAlign w:val="superscript"/>
        </w:rPr>
        <w:t>o</w:t>
      </w:r>
      <w:r>
        <w:rPr>
          <w:b/>
          <w:bCs/>
        </w:rPr>
        <w:t> 24864 du 10 octobre 1997</w:t>
      </w:r>
    </w:p>
    <w:p w:rsidR="00000000" w:rsidRDefault="00000000">
      <w:pPr>
        <w:spacing w:after="240"/>
        <w:ind w:left="567" w:firstLine="567"/>
        <w:rPr>
          <w:b/>
          <w:bCs/>
        </w:rPr>
      </w:pPr>
      <w:r>
        <w:t>Relatif à l’égalité des chances entre les hommes et les femmes.</w:t>
      </w:r>
    </w:p>
    <w:p w:rsidR="00000000" w:rsidRDefault="00000000">
      <w:pPr>
        <w:keepNext/>
        <w:spacing w:after="240"/>
        <w:ind w:left="567"/>
        <w:rPr>
          <w:b/>
          <w:bCs/>
        </w:rPr>
      </w:pPr>
      <w:r>
        <w:rPr>
          <w:b/>
          <w:bCs/>
        </w:rPr>
        <w:t xml:space="preserve">Loi </w:t>
      </w:r>
      <w:r>
        <w:rPr>
          <w:rFonts w:eastAsia="MS Mincho"/>
          <w:b/>
          <w:bCs/>
        </w:rPr>
        <w:t>n</w:t>
      </w:r>
      <w:r>
        <w:rPr>
          <w:rFonts w:eastAsia="MS Mincho"/>
          <w:b/>
          <w:bCs/>
          <w:vertAlign w:val="superscript"/>
        </w:rPr>
        <w:t>o</w:t>
      </w:r>
      <w:r>
        <w:rPr>
          <w:b/>
          <w:bCs/>
        </w:rPr>
        <w:t> 2117 du 11 septembre 2000</w:t>
      </w:r>
    </w:p>
    <w:p w:rsidR="00000000" w:rsidRDefault="00000000">
      <w:pPr>
        <w:spacing w:after="240"/>
        <w:ind w:left="567" w:firstLine="567"/>
        <w:rPr>
          <w:b/>
          <w:bCs/>
        </w:rPr>
      </w:pPr>
      <w:r>
        <w:t>Ratifie le Protocole facultatif au Pacte relatif aux droits civils et politiques et le Pacte international relatif aux droits économiques, sociaux et culturels du 16 décembre 1966.</w:t>
      </w:r>
    </w:p>
    <w:p w:rsidR="00000000" w:rsidRDefault="00000000">
      <w:pPr>
        <w:keepNext/>
        <w:spacing w:after="240"/>
        <w:ind w:left="567"/>
        <w:rPr>
          <w:b/>
          <w:bCs/>
        </w:rPr>
      </w:pPr>
      <w:r>
        <w:rPr>
          <w:b/>
          <w:bCs/>
        </w:rPr>
        <w:t xml:space="preserve">Loi </w:t>
      </w:r>
      <w:r>
        <w:rPr>
          <w:rFonts w:eastAsia="MS Mincho"/>
          <w:b/>
          <w:bCs/>
        </w:rPr>
        <w:t>n</w:t>
      </w:r>
      <w:r>
        <w:rPr>
          <w:rFonts w:eastAsia="MS Mincho"/>
          <w:b/>
          <w:bCs/>
          <w:vertAlign w:val="superscript"/>
        </w:rPr>
        <w:t>o</w:t>
      </w:r>
      <w:r>
        <w:rPr>
          <w:b/>
          <w:bCs/>
        </w:rPr>
        <w:t> 2119 du 11 septembre 2000</w:t>
      </w:r>
    </w:p>
    <w:p w:rsidR="00000000" w:rsidRDefault="00000000">
      <w:pPr>
        <w:spacing w:after="240"/>
        <w:ind w:left="567" w:firstLine="567"/>
        <w:rPr>
          <w:b/>
          <w:bCs/>
        </w:rPr>
      </w:pPr>
      <w:r>
        <w:t>Ratifie la Convention sur les droits politiques de la femme.</w:t>
      </w:r>
    </w:p>
    <w:p w:rsidR="00000000" w:rsidRDefault="00000000">
      <w:pPr>
        <w:keepNext/>
        <w:spacing w:after="240"/>
        <w:ind w:left="567"/>
        <w:rPr>
          <w:b/>
          <w:bCs/>
        </w:rPr>
      </w:pPr>
      <w:r>
        <w:rPr>
          <w:b/>
          <w:bCs/>
        </w:rPr>
        <w:t xml:space="preserve">Loi </w:t>
      </w:r>
      <w:r>
        <w:rPr>
          <w:rFonts w:eastAsia="MS Mincho"/>
          <w:b/>
          <w:bCs/>
        </w:rPr>
        <w:t>n</w:t>
      </w:r>
      <w:r>
        <w:rPr>
          <w:rFonts w:eastAsia="MS Mincho"/>
          <w:b/>
          <w:bCs/>
          <w:vertAlign w:val="superscript"/>
        </w:rPr>
        <w:t>o</w:t>
      </w:r>
      <w:r>
        <w:rPr>
          <w:b/>
          <w:bCs/>
        </w:rPr>
        <w:t> 1599 du 18 août 1994</w:t>
      </w:r>
    </w:p>
    <w:p w:rsidR="00000000" w:rsidRDefault="00000000">
      <w:pPr>
        <w:spacing w:after="240"/>
        <w:ind w:left="567" w:firstLine="567"/>
        <w:rPr>
          <w:b/>
          <w:bCs/>
        </w:rPr>
      </w:pPr>
      <w:r>
        <w:t>Ratifie la Convention interaméricaine pour la prévention, la sanction et l’élimination de la violence contre la femme.</w:t>
      </w:r>
    </w:p>
    <w:p w:rsidR="00000000" w:rsidRDefault="00000000">
      <w:pPr>
        <w:keepNext/>
        <w:spacing w:after="240"/>
        <w:ind w:left="567"/>
        <w:rPr>
          <w:b/>
          <w:bCs/>
        </w:rPr>
      </w:pPr>
      <w:r>
        <w:rPr>
          <w:b/>
          <w:bCs/>
        </w:rPr>
        <w:t xml:space="preserve">Loi </w:t>
      </w:r>
      <w:r>
        <w:rPr>
          <w:rFonts w:eastAsia="MS Mincho"/>
          <w:b/>
          <w:bCs/>
        </w:rPr>
        <w:t>n</w:t>
      </w:r>
      <w:r>
        <w:rPr>
          <w:rFonts w:eastAsia="MS Mincho"/>
          <w:b/>
          <w:bCs/>
          <w:vertAlign w:val="superscript"/>
        </w:rPr>
        <w:t>o</w:t>
      </w:r>
      <w:r>
        <w:rPr>
          <w:b/>
          <w:bCs/>
        </w:rPr>
        <w:t> 1100 du 15 septembre 1989</w:t>
      </w:r>
    </w:p>
    <w:p w:rsidR="00000000" w:rsidRDefault="00000000">
      <w:pPr>
        <w:spacing w:after="240"/>
        <w:ind w:left="567" w:firstLine="567"/>
        <w:rPr>
          <w:b/>
          <w:bCs/>
        </w:rPr>
      </w:pPr>
      <w:r>
        <w:t xml:space="preserve">Ratifie la Convention sur l’élimination de toutes les formes de discrimination à l’égard des femmes. </w:t>
      </w:r>
    </w:p>
    <w:p w:rsidR="00000000" w:rsidRDefault="00000000">
      <w:pPr>
        <w:spacing w:after="240"/>
      </w:pPr>
      <w:r>
        <w:t>21.</w:t>
      </w:r>
      <w:r>
        <w:tab/>
        <w:t xml:space="preserve">Protection de la femme pendant un laps de temps raisonnable précédant et suivant l’accouchement.  </w:t>
      </w:r>
      <w:r>
        <w:tab/>
        <w:t xml:space="preserve">Le Ministère du travail vérifie, à la suite ou au moyen de plaintes, conciliations, inspections et contrôles des registres du personnel, le versement des allocations familiales auxquelles les travailleurs ont droit de par la loi. Dans ce même esprit, il vérifie l’application de la loi </w:t>
      </w:r>
      <w:r>
        <w:rPr>
          <w:rFonts w:eastAsia="MS Mincho"/>
        </w:rPr>
        <w:t>n</w:t>
      </w:r>
      <w:r>
        <w:rPr>
          <w:rFonts w:eastAsia="MS Mincho"/>
          <w:vertAlign w:val="superscript"/>
        </w:rPr>
        <w:t>o</w:t>
      </w:r>
      <w:r>
        <w:t> 975 du 2 mai 1988 qui accorde une protection spéciale aux femmes enceintes qui travaillent. La Direction du travail et de la sécurité industrielle vérifie par voie d’inspections dans les entreprises que les femmes enceintes sont bien protégées et écartées des risques qui pourraient nuire à l’enfant et à la santé de la mère.</w:t>
      </w:r>
    </w:p>
    <w:p w:rsidR="00000000" w:rsidRDefault="00000000">
      <w:pPr>
        <w:spacing w:after="240"/>
      </w:pPr>
      <w:r>
        <w:t>22.</w:t>
      </w:r>
      <w:r>
        <w:tab/>
        <w:t xml:space="preserve">Parallèlement a été promulguée la loi </w:t>
      </w:r>
      <w:r>
        <w:rPr>
          <w:rFonts w:eastAsia="MS Mincho"/>
        </w:rPr>
        <w:t>n</w:t>
      </w:r>
      <w:r>
        <w:rPr>
          <w:rFonts w:eastAsia="MS Mincho"/>
          <w:vertAlign w:val="superscript"/>
        </w:rPr>
        <w:t>o</w:t>
      </w:r>
      <w:r>
        <w:t xml:space="preserve"> 2426 du 21 novembre 2002, sur la sécurité universelle maternelle et infantile (SUMI), qui prévoit la prestation gratuite de soins de santé aux mères pendant six mois après l’accouchement et à tous les enfants de moins de 5 ans, cette prestation étant obligatoire, dans tous les centres de santé du secteur public et dans les établissements du secteur privé conventionnés. </w:t>
      </w:r>
    </w:p>
    <w:p w:rsidR="00000000" w:rsidRDefault="00000000">
      <w:pPr>
        <w:keepNext/>
        <w:spacing w:after="240"/>
      </w:pPr>
      <w:r>
        <w:t>23.</w:t>
      </w:r>
      <w:r>
        <w:tab/>
        <w:t>À ce sujet, le Ministère de la santé fait savoir ce qui suit:</w:t>
      </w:r>
    </w:p>
    <w:p w:rsidR="00000000" w:rsidRDefault="00000000">
      <w:pPr>
        <w:keepNext/>
        <w:spacing w:after="240"/>
        <w:ind w:left="567"/>
        <w:rPr>
          <w:b/>
          <w:bCs/>
        </w:rPr>
      </w:pPr>
      <w:r>
        <w:rPr>
          <w:b/>
          <w:bCs/>
        </w:rPr>
        <w:t>Historique</w:t>
      </w:r>
    </w:p>
    <w:p w:rsidR="00000000" w:rsidRDefault="00000000">
      <w:pPr>
        <w:spacing w:after="240"/>
        <w:ind w:left="567" w:firstLine="567"/>
      </w:pPr>
      <w:r>
        <w:t>Conformément aux principes fondamentaux prévus par la Constitution dans son article 58, paragraphe 2, et par les lois en vigueur, a été élaborée la nouvelle réglementation visant le versement d’allocations familiales par les employeurs des entreprises publiques et privées aux assurés et à leurs ayants droit.</w:t>
      </w:r>
    </w:p>
    <w:p w:rsidR="00000000" w:rsidRDefault="00000000">
      <w:pPr>
        <w:keepLines/>
        <w:spacing w:after="240"/>
        <w:ind w:left="567" w:firstLine="567"/>
      </w:pPr>
      <w:r>
        <w:t>Depuis le 1</w:t>
      </w:r>
      <w:r>
        <w:rPr>
          <w:vertAlign w:val="superscript"/>
        </w:rPr>
        <w:t>er</w:t>
      </w:r>
      <w:r>
        <w:t xml:space="preserve"> janvier 2003, le décret suprême </w:t>
      </w:r>
      <w:r>
        <w:rPr>
          <w:rFonts w:eastAsia="MS Mincho"/>
        </w:rPr>
        <w:t>n</w:t>
      </w:r>
      <w:r>
        <w:rPr>
          <w:rFonts w:eastAsia="MS Mincho"/>
          <w:vertAlign w:val="superscript"/>
        </w:rPr>
        <w:t>o</w:t>
      </w:r>
      <w:r>
        <w:t xml:space="preserve"> 27049 du 26 mai 2003 modifie le salaire minimum national, qui est porté de 430 Bs. à 440 Bs. Ce montant détermine les allocations prénatale et d’allaitement (en nature), de maternité et d’obsèques (en espèces). Le versement de ces allocations est à la charge des employeurs. </w:t>
      </w:r>
    </w:p>
    <w:p w:rsidR="00000000" w:rsidRDefault="00000000">
      <w:pPr>
        <w:spacing w:after="240"/>
        <w:ind w:left="567" w:firstLine="567"/>
      </w:pPr>
      <w:r>
        <w:t xml:space="preserve">Le Programme des allocations familiales compte actuellement quelque 27 000 bénéficiaires (information correspondant au mois de mai 2005, fournie par la Direction de la prévoyance sociale du Ministère de la santé et des sports). </w:t>
      </w:r>
    </w:p>
    <w:p w:rsidR="00000000" w:rsidRDefault="00000000">
      <w:pPr>
        <w:keepNext/>
        <w:spacing w:after="240"/>
        <w:ind w:left="567"/>
        <w:rPr>
          <w:b/>
          <w:bCs/>
        </w:rPr>
      </w:pPr>
      <w:r>
        <w:rPr>
          <w:b/>
          <w:bCs/>
        </w:rPr>
        <w:t>Réalisations</w:t>
      </w:r>
    </w:p>
    <w:p w:rsidR="00000000" w:rsidRDefault="00000000">
      <w:pPr>
        <w:keepNext/>
        <w:spacing w:after="240"/>
        <w:rPr>
          <w:b/>
          <w:bCs/>
        </w:rPr>
      </w:pPr>
      <w:r>
        <w:t>24.</w:t>
      </w:r>
      <w:r>
        <w:tab/>
        <w:t>Règles et règlements élaborés:</w:t>
      </w:r>
    </w:p>
    <w:p w:rsidR="00000000" w:rsidRDefault="00000000">
      <w:pPr>
        <w:spacing w:after="240"/>
        <w:ind w:left="567"/>
      </w:pPr>
      <w:r>
        <w:rPr>
          <w:b/>
          <w:bCs/>
        </w:rPr>
        <w:t>Règlement des allocations familiales 2002</w:t>
      </w:r>
      <w:r>
        <w:rPr>
          <w:b/>
          <w:bCs/>
        </w:rPr>
        <w:noBreakHyphen/>
        <w:t>2003</w:t>
      </w:r>
      <w:r>
        <w:t>, fondé sur le Code de la sécurité sociale. Cet instrument prévoit notamment les quatre allocations aux travailleurs et/ou à leurs ayants droit:</w:t>
      </w:r>
    </w:p>
    <w:p w:rsidR="00000000" w:rsidRDefault="00000000">
      <w:pPr>
        <w:spacing w:after="240"/>
        <w:ind w:left="1134"/>
      </w:pPr>
      <w:r>
        <w:rPr>
          <w:b/>
          <w:bCs/>
        </w:rPr>
        <w:t>Allocation prénatale</w:t>
      </w:r>
      <w:r>
        <w:t>, versée à partir du premier jour du cinquième mois de grossesse jusqu’à la naissance de l’enfant;</w:t>
      </w:r>
    </w:p>
    <w:p w:rsidR="00000000" w:rsidRDefault="00000000">
      <w:pPr>
        <w:spacing w:after="240"/>
        <w:ind w:left="1134"/>
      </w:pPr>
      <w:r>
        <w:rPr>
          <w:b/>
          <w:bCs/>
        </w:rPr>
        <w:t>Allocation d’allaitement</w:t>
      </w:r>
      <w:r>
        <w:t>, versée pour chaque enfant pendant les six premiers mois;</w:t>
      </w:r>
    </w:p>
    <w:p w:rsidR="00000000" w:rsidRDefault="00000000">
      <w:pPr>
        <w:spacing w:after="240"/>
        <w:ind w:left="1134"/>
      </w:pPr>
      <w:r>
        <w:rPr>
          <w:b/>
          <w:bCs/>
        </w:rPr>
        <w:t>Allocation de maternité</w:t>
      </w:r>
      <w:r>
        <w:t xml:space="preserve"> consistant en un versement unique, d’un montant équivalant au salaire minimum national, à la mère assurée ou ayant droit à la naissance de chaque enfant;</w:t>
      </w:r>
    </w:p>
    <w:p w:rsidR="00000000" w:rsidRDefault="00000000">
      <w:pPr>
        <w:spacing w:after="240"/>
        <w:ind w:left="1134"/>
      </w:pPr>
      <w:r>
        <w:rPr>
          <w:b/>
          <w:bCs/>
        </w:rPr>
        <w:t xml:space="preserve">Allocation d’obsèques </w:t>
      </w:r>
      <w:r>
        <w:t>consistant en un versement unique d’un montant équivalant au salaire national minimum au décès d’un enfant mineur.</w:t>
      </w:r>
    </w:p>
    <w:p w:rsidR="00000000" w:rsidRDefault="00000000">
      <w:pPr>
        <w:spacing w:after="240"/>
        <w:ind w:left="567"/>
      </w:pPr>
      <w:r>
        <w:t xml:space="preserve">Ces allocations ont pour objet d’améliorer la situation nutritionnelle de la mère et de l’enfant pendant la grossesse et l’allaitement. </w:t>
      </w:r>
    </w:p>
    <w:p w:rsidR="00000000" w:rsidRDefault="00000000">
      <w:pPr>
        <w:keepNext/>
        <w:spacing w:after="240"/>
      </w:pPr>
      <w:r>
        <w:t>25.</w:t>
      </w:r>
      <w:r>
        <w:tab/>
        <w:t xml:space="preserve">Règlement du personnel du Ministère de la santé et des sports.  Il vise à appliquer les dispositions juridiques qui régissent la sécurité sociale, en ce qui concerne les aspects suivants: </w:t>
      </w:r>
    </w:p>
    <w:p w:rsidR="00000000" w:rsidRDefault="00000000">
      <w:pPr>
        <w:spacing w:after="240"/>
        <w:ind w:left="567" w:firstLine="567"/>
      </w:pPr>
      <w:r>
        <w:t>Assouplissement de l’horaire de travail en cas d’allaitement maternel, c’est</w:t>
      </w:r>
      <w:r>
        <w:noBreakHyphen/>
        <w:t>à</w:t>
      </w:r>
      <w:r>
        <w:noBreakHyphen/>
        <w:t>dire congé de maternité: «La femme enceinte qui a dûment notifié son état à l’employeur au moyen du certificat médical délivré uniquement par l’organisme d’assurance bénéficie d’un congé de six semaines avant l’accouchement et de six semaines après l’accouchement.» (art. 61 et 62 de la loi générale sur le travail du 8 décembre 1942/art. 54 et 55 du décret d’application de la loi générale sur le travail). Il lui est accordé aussi un congé quotidien pour pouvoir allaiter le nouveau</w:t>
      </w:r>
      <w:r>
        <w:noBreakHyphen/>
        <w:t>né, consistant en une pause d’une heure qui peut être divisée en deux périodes de trente minutes (art. 61 et 62 de la loi générale sur le travail du 8 décembre 1942/art. 54 et 55 du décret d’application de la loi générale sur le travail).</w:t>
      </w:r>
    </w:p>
    <w:p w:rsidR="00000000" w:rsidRDefault="00000000">
      <w:pPr>
        <w:spacing w:after="240"/>
        <w:ind w:left="567"/>
        <w:rPr>
          <w:b/>
          <w:bCs/>
        </w:rPr>
      </w:pPr>
      <w:r>
        <w:rPr>
          <w:b/>
          <w:bCs/>
        </w:rPr>
        <w:t>32.</w:t>
      </w:r>
      <w:r>
        <w:rPr>
          <w:b/>
          <w:bCs/>
        </w:rPr>
        <w:tab/>
        <w:t>Le Comité recommande à l’État partie d’adopter et de mettre en œuvre des programmes visant à accroître les possibilités de formation technique et professionnelle et d’emploi et à réduire le chômage.</w:t>
      </w:r>
    </w:p>
    <w:p w:rsidR="00000000" w:rsidRDefault="00000000">
      <w:pPr>
        <w:keepNext/>
        <w:spacing w:after="240"/>
      </w:pPr>
      <w:r>
        <w:t>26.</w:t>
      </w:r>
      <w:r>
        <w:tab/>
        <w:t xml:space="preserve">Le droit au travail, considéré comme une priorité de l’État bolivien, est consacré par des instruments juridiques tels que la Constitution, qui, dans les passages pertinents, est ainsi conçue: </w:t>
      </w:r>
    </w:p>
    <w:p w:rsidR="00000000" w:rsidRDefault="00000000">
      <w:pPr>
        <w:spacing w:after="240"/>
        <w:ind w:left="567"/>
      </w:pPr>
      <w:r>
        <w:rPr>
          <w:b/>
          <w:bCs/>
        </w:rPr>
        <w:t>Article 7 d)</w:t>
      </w:r>
      <w:r>
        <w:t xml:space="preserve">  «Le droit de travailler et de se livrer au commerce, à l’industrie ou à une activité licite quelconque, dans des conditions qui ne portent pas préjudice au bien commun.».</w:t>
      </w:r>
    </w:p>
    <w:p w:rsidR="00000000" w:rsidRDefault="00000000">
      <w:pPr>
        <w:spacing w:after="240"/>
        <w:ind w:left="567"/>
      </w:pPr>
      <w:r>
        <w:rPr>
          <w:b/>
          <w:bCs/>
        </w:rPr>
        <w:t>Article 156</w:t>
      </w:r>
      <w:r>
        <w:t xml:space="preserve">  «Le travail est un devoir et un droit et il constitue la base de l’ordre social et économique.».</w:t>
      </w:r>
    </w:p>
    <w:p w:rsidR="00000000" w:rsidRDefault="00000000">
      <w:pPr>
        <w:keepNext/>
        <w:spacing w:after="240"/>
        <w:ind w:left="567"/>
        <w:rPr>
          <w:b/>
          <w:bCs/>
        </w:rPr>
      </w:pPr>
      <w:r>
        <w:rPr>
          <w:b/>
          <w:bCs/>
        </w:rPr>
        <w:t>Article 157</w:t>
      </w:r>
    </w:p>
    <w:p w:rsidR="00000000" w:rsidRDefault="00000000">
      <w:pPr>
        <w:spacing w:after="240"/>
        <w:ind w:left="567" w:firstLine="567"/>
      </w:pPr>
      <w:r>
        <w:t>«I.</w:t>
      </w:r>
      <w:r>
        <w:tab/>
        <w:t>Le travail et le capital jouissent de la protection de l’État. La loi règle leurs relations en fixant des règles applicables aux contrats individuels et collectifs, concernant le salaire minimum, la durée de la journée de travail, le travail des femmes et des mineurs, les congés payés hebdomadaires et annuels, les jours fériés, les étrennes, les primes et autres systèmes de participation aux bénéfices de l’entreprise, les primes d’ancienneté, les indemnités de licenciement, la formation professionnelle et les autres prestations sociales protégeant les travailleurs.</w:t>
      </w:r>
    </w:p>
    <w:p w:rsidR="00000000" w:rsidRDefault="00000000">
      <w:pPr>
        <w:spacing w:after="240"/>
        <w:ind w:left="567" w:firstLine="567"/>
      </w:pPr>
      <w:r>
        <w:t>II.</w:t>
      </w:r>
      <w:r>
        <w:tab/>
        <w:t>Il appartient à l’État de créer les conditions qui garantissent à tous des possibilités d’emploi, de stabilité dans l’emploi et de rémunération équitable.».</w:t>
      </w:r>
    </w:p>
    <w:p w:rsidR="00000000" w:rsidRDefault="00000000">
      <w:pPr>
        <w:spacing w:after="240"/>
      </w:pPr>
      <w:r>
        <w:t>27.</w:t>
      </w:r>
      <w:r>
        <w:tab/>
      </w:r>
      <w:r>
        <w:rPr>
          <w:b/>
          <w:bCs/>
        </w:rPr>
        <w:t>Loi générale sur le travail</w:t>
      </w:r>
      <w:r>
        <w:t xml:space="preserve">.  </w:t>
      </w:r>
      <w:r>
        <w:tab/>
        <w:t xml:space="preserve">La loi définit d’une manière générale les droits et obligations afférents au travail, à l’exception du travail agricole qui fait l’objet de dispositions particulières. Elle s’applique aussi aux exploitations de l’État et à toute association publique ou privée, même sans but lucratif, sous réserve de certaines exceptions. </w:t>
      </w:r>
    </w:p>
    <w:p w:rsidR="00000000" w:rsidRDefault="00000000">
      <w:pPr>
        <w:spacing w:after="240"/>
      </w:pPr>
      <w:r>
        <w:t>28.</w:t>
      </w:r>
      <w:r>
        <w:tab/>
        <w:t xml:space="preserve">Il importe de souligner que l’État bolivien a interdit tous les types de travail forcé, ainsi qu’il est expliqué dans les rapports présentés en 2004 par le Gouvernement de la République de Bolivie à l’Organisation internationale du Travail (OIT) au sujet des mesures adoptées pour donner effet aux dispositions de la Convention </w:t>
      </w:r>
      <w:r>
        <w:rPr>
          <w:rFonts w:eastAsia="MS Mincho"/>
        </w:rPr>
        <w:t>n</w:t>
      </w:r>
      <w:r>
        <w:rPr>
          <w:rFonts w:eastAsia="MS Mincho"/>
          <w:vertAlign w:val="superscript"/>
        </w:rPr>
        <w:t>o</w:t>
      </w:r>
      <w:r>
        <w:t xml:space="preserve"> 105 de 1957 sur l’abolition du travail forcé (annexe 3 C). </w:t>
      </w:r>
    </w:p>
    <w:p w:rsidR="00000000" w:rsidRDefault="00000000">
      <w:pPr>
        <w:keepNext/>
        <w:spacing w:after="240"/>
      </w:pPr>
      <w:r>
        <w:t>29.</w:t>
      </w:r>
      <w:r>
        <w:tab/>
        <w:t>À ce sujet, le Gouvernement bolivien a présenté un rapport correspondant à la période 2000</w:t>
      </w:r>
      <w:r>
        <w:noBreakHyphen/>
        <w:t xml:space="preserve">2004, relatif à l’article 22 de la Constitution de l’OIT. Ce rapport indique ce qui suit: </w:t>
      </w:r>
    </w:p>
    <w:p w:rsidR="00000000" w:rsidRDefault="00000000">
      <w:pPr>
        <w:spacing w:after="240"/>
        <w:ind w:left="567"/>
      </w:pPr>
      <w:r>
        <w:t>«2.</w:t>
      </w:r>
      <w:r>
        <w:tab/>
        <w:t>Orientation et formation techniques et professionnelles, élaboration de programmes, de règles et de techniques visant à assurer un développement économique, social et culturel permanent et le plein emploi productif aux habitants de la Bolivie.».</w:t>
      </w:r>
    </w:p>
    <w:p w:rsidR="00000000" w:rsidRDefault="00000000">
      <w:pPr>
        <w:keepNext/>
        <w:spacing w:after="240"/>
      </w:pPr>
      <w:r>
        <w:t>30.</w:t>
      </w:r>
      <w:r>
        <w:tab/>
        <w:t xml:space="preserve">La politique de l’emploi, pour ce qui est de son aspect social, relève du Ministère du travail. Les principales attributions de la Direction générale de l’emploi dans ce domaine sont les suivantes: </w:t>
      </w:r>
    </w:p>
    <w:p w:rsidR="00000000" w:rsidRDefault="00000000">
      <w:pPr>
        <w:numPr>
          <w:ilvl w:val="0"/>
          <w:numId w:val="107"/>
        </w:numPr>
        <w:spacing w:after="240"/>
      </w:pPr>
      <w:r>
        <w:t xml:space="preserve">Promouvoir des politiques et coordonner des activités visant à assurer la qualité et la pérennité des sources de travail et d’emploi; </w:t>
      </w:r>
    </w:p>
    <w:p w:rsidR="00000000" w:rsidRDefault="00000000">
      <w:pPr>
        <w:numPr>
          <w:ilvl w:val="0"/>
          <w:numId w:val="107"/>
        </w:numPr>
        <w:spacing w:after="240"/>
      </w:pPr>
      <w:r>
        <w:t xml:space="preserve">Fournir des renseignements concernant l’offre et la demande sur le marché du travail à l’appui de la politique de l’emploi. </w:t>
      </w:r>
    </w:p>
    <w:p w:rsidR="00000000" w:rsidRDefault="00000000">
      <w:pPr>
        <w:keepNext/>
        <w:spacing w:after="240"/>
      </w:pPr>
      <w:r>
        <w:t>31.</w:t>
      </w:r>
      <w:r>
        <w:tab/>
        <w:t>Accords conclus:</w:t>
      </w:r>
    </w:p>
    <w:p w:rsidR="00000000" w:rsidRDefault="00000000">
      <w:pPr>
        <w:keepLines/>
        <w:numPr>
          <w:ilvl w:val="0"/>
          <w:numId w:val="107"/>
        </w:numPr>
        <w:spacing w:after="240"/>
      </w:pPr>
      <w:r>
        <w:t>En vue de constituer une alliance interinstitutionnelle en vue de mener à bien les programmes de formation pour le développement de l’emploi et de la production et la création de microentreprises, un accord a été signé entre le Ministère du travail et l’Organisation pour l’environnement et le développement (ORMADE).</w:t>
      </w:r>
    </w:p>
    <w:p w:rsidR="00000000" w:rsidRDefault="00000000">
      <w:pPr>
        <w:numPr>
          <w:ilvl w:val="0"/>
          <w:numId w:val="107"/>
        </w:numPr>
        <w:spacing w:after="240"/>
      </w:pPr>
      <w:r>
        <w:t xml:space="preserve">En vue de constituer une alliance de coopération propre à renforcer les programmes de formation pour le développement de l’emploi et de la production, un accord a été signé entre le Ministère du travail et la société Yacimientos Petrolíferos Fiscales Bolivianos (YPFB). </w:t>
      </w:r>
    </w:p>
    <w:p w:rsidR="00000000" w:rsidRDefault="00000000">
      <w:pPr>
        <w:numPr>
          <w:ilvl w:val="0"/>
          <w:numId w:val="107"/>
        </w:numPr>
        <w:spacing w:after="240"/>
      </w:pPr>
      <w:r>
        <w:t>En vue de coordonner les activités visant à élaborer des politiques, programmes et projets permettant d’atténuer le chômage, de promouvoir le travail indépendant et/ou le développement des microentreprises grâce à l’échange d’informations dans le Réseau de l’emploi, un accord a été signé entre le Ministère du travail et la Fondation Travail</w:t>
      </w:r>
      <w:r>
        <w:noBreakHyphen/>
        <w:t>Entreprise.</w:t>
      </w:r>
    </w:p>
    <w:p w:rsidR="00000000" w:rsidRDefault="00000000">
      <w:pPr>
        <w:numPr>
          <w:ilvl w:val="0"/>
          <w:numId w:val="107"/>
        </w:numPr>
        <w:spacing w:after="240"/>
      </w:pPr>
      <w:r>
        <w:t>Accord conclu par les entreprises avec INFOCAL pour assurer la formation technique et professionnelle de leurs travailleurs.</w:t>
      </w:r>
    </w:p>
    <w:p w:rsidR="00000000" w:rsidRDefault="00000000">
      <w:pPr>
        <w:spacing w:after="240"/>
      </w:pPr>
      <w:r>
        <w:t>32.</w:t>
      </w:r>
      <w:r>
        <w:tab/>
        <w:t>Par ailleurs, la Bourse du travail, qui dépend de la Direction générale de l’emploi, a pour objectif d’aider à dynamiser l’offre et la demande d’emploi grâce aux programmes, projets et réseaux informatiques des services de la Bourse du travail afin de réduire les déséquilibres résultant du chômage, du sous</w:t>
      </w:r>
      <w:r>
        <w:noBreakHyphen/>
        <w:t xml:space="preserve">emploi et de la faiblesse des qualifications professionnelles. </w:t>
      </w:r>
    </w:p>
    <w:p w:rsidR="00000000" w:rsidRDefault="00000000">
      <w:pPr>
        <w:spacing w:after="240"/>
      </w:pPr>
      <w:r>
        <w:t>33.</w:t>
      </w:r>
      <w:r>
        <w:tab/>
        <w:t xml:space="preserve">On est en train de mettre en œuvre dans la Direction générale de l’emploi le projet informatique de la Bourse du travail afin d’améliorer la qualité de l’emploi et de renforcer les capacités de placement des travailleurs. Le projet, financé par l’USAID, s’adresse aux chômeurs. </w:t>
      </w:r>
    </w:p>
    <w:p w:rsidR="00000000" w:rsidRDefault="00000000">
      <w:pPr>
        <w:spacing w:after="240"/>
        <w:jc w:val="center"/>
        <w:rPr>
          <w:b/>
          <w:bCs/>
        </w:rPr>
      </w:pPr>
      <w:r>
        <w:rPr>
          <w:b/>
          <w:bCs/>
        </w:rPr>
        <w:br w:type="page"/>
        <w:t>TABLEAUX STATISTIQUES</w:t>
      </w:r>
    </w:p>
    <w:p w:rsidR="00000000" w:rsidRDefault="00000000">
      <w:pPr>
        <w:spacing w:after="180"/>
        <w:jc w:val="center"/>
        <w:rPr>
          <w:b/>
          <w:bCs/>
        </w:rPr>
      </w:pPr>
      <w:r>
        <w:rPr>
          <w:b/>
          <w:bCs/>
        </w:rPr>
        <w:t>Tableau 1</w:t>
      </w:r>
    </w:p>
    <w:p w:rsidR="00000000" w:rsidRDefault="00000000">
      <w:pPr>
        <w:spacing w:after="180"/>
        <w:jc w:val="center"/>
        <w:rPr>
          <w:b/>
          <w:bCs/>
        </w:rPr>
      </w:pPr>
      <w:r>
        <w:rPr>
          <w:b/>
          <w:bCs/>
        </w:rPr>
        <w:t>Bolivie: Situation annuelle de l’emploi, par sexe, 1999</w:t>
      </w:r>
      <w:r>
        <w:rPr>
          <w:b/>
          <w:bCs/>
        </w:rPr>
        <w:noBreakHyphen/>
        <w:t>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11"/>
        <w:gridCol w:w="1138"/>
        <w:gridCol w:w="1137"/>
        <w:gridCol w:w="1137"/>
        <w:gridCol w:w="1137"/>
        <w:gridCol w:w="1137"/>
      </w:tblGrid>
      <w:tr w:rsidR="00000000">
        <w:tblPrEx>
          <w:tblCellMar>
            <w:top w:w="0" w:type="dxa"/>
            <w:bottom w:w="0" w:type="dxa"/>
          </w:tblCellMar>
        </w:tblPrEx>
        <w:trPr>
          <w:tblHeader/>
        </w:trPr>
        <w:tc>
          <w:tcPr>
            <w:tcW w:w="3811" w:type="dxa"/>
            <w:tcBorders>
              <w:bottom w:val="single" w:sz="4" w:space="0" w:color="auto"/>
            </w:tcBorders>
            <w:vAlign w:val="center"/>
          </w:tcPr>
          <w:p w:rsidR="00000000" w:rsidRDefault="00000000">
            <w:pPr>
              <w:spacing w:before="60" w:after="60"/>
              <w:jc w:val="center"/>
              <w:rPr>
                <w:sz w:val="19"/>
              </w:rPr>
            </w:pPr>
            <w:r>
              <w:rPr>
                <w:sz w:val="19"/>
              </w:rPr>
              <w:t>Situation de l’emploi</w:t>
            </w:r>
          </w:p>
        </w:tc>
        <w:tc>
          <w:tcPr>
            <w:tcW w:w="1138" w:type="dxa"/>
            <w:vAlign w:val="center"/>
          </w:tcPr>
          <w:p w:rsidR="00000000" w:rsidRDefault="00000000">
            <w:pPr>
              <w:spacing w:before="60" w:after="60"/>
              <w:jc w:val="center"/>
              <w:rPr>
                <w:sz w:val="19"/>
              </w:rPr>
            </w:pPr>
            <w:r>
              <w:rPr>
                <w:sz w:val="19"/>
              </w:rPr>
              <w:t>1999</w:t>
            </w:r>
          </w:p>
        </w:tc>
        <w:tc>
          <w:tcPr>
            <w:tcW w:w="1137" w:type="dxa"/>
            <w:vAlign w:val="center"/>
          </w:tcPr>
          <w:p w:rsidR="00000000" w:rsidRDefault="00000000">
            <w:pPr>
              <w:spacing w:before="60" w:after="60"/>
              <w:jc w:val="center"/>
              <w:rPr>
                <w:sz w:val="19"/>
              </w:rPr>
            </w:pPr>
            <w:r>
              <w:rPr>
                <w:sz w:val="19"/>
              </w:rPr>
              <w:t>2000</w:t>
            </w:r>
          </w:p>
        </w:tc>
        <w:tc>
          <w:tcPr>
            <w:tcW w:w="1137" w:type="dxa"/>
            <w:vAlign w:val="center"/>
          </w:tcPr>
          <w:p w:rsidR="00000000" w:rsidRDefault="00000000">
            <w:pPr>
              <w:spacing w:before="60" w:after="60"/>
              <w:jc w:val="center"/>
              <w:rPr>
                <w:sz w:val="19"/>
              </w:rPr>
            </w:pPr>
            <w:r>
              <w:rPr>
                <w:sz w:val="19"/>
              </w:rPr>
              <w:t>2001</w:t>
            </w:r>
          </w:p>
        </w:tc>
        <w:tc>
          <w:tcPr>
            <w:tcW w:w="1137" w:type="dxa"/>
            <w:vAlign w:val="center"/>
          </w:tcPr>
          <w:p w:rsidR="00000000" w:rsidRDefault="00000000">
            <w:pPr>
              <w:spacing w:before="60" w:after="60"/>
              <w:jc w:val="center"/>
              <w:rPr>
                <w:sz w:val="19"/>
              </w:rPr>
            </w:pPr>
            <w:r>
              <w:rPr>
                <w:sz w:val="19"/>
              </w:rPr>
              <w:t>2002</w:t>
            </w:r>
          </w:p>
        </w:tc>
        <w:tc>
          <w:tcPr>
            <w:tcW w:w="1137" w:type="dxa"/>
            <w:vAlign w:val="center"/>
          </w:tcPr>
          <w:p w:rsidR="00000000" w:rsidRDefault="00000000">
            <w:pPr>
              <w:spacing w:before="60" w:after="60"/>
              <w:jc w:val="center"/>
              <w:rPr>
                <w:sz w:val="19"/>
              </w:rPr>
            </w:pPr>
            <w:r>
              <w:rPr>
                <w:sz w:val="19"/>
              </w:rPr>
              <w:t>2003</w:t>
            </w:r>
            <w:r>
              <w:rPr>
                <w:b/>
                <w:bCs/>
                <w:i/>
                <w:iCs/>
                <w:sz w:val="19"/>
                <w:vertAlign w:val="superscript"/>
              </w:rPr>
              <w:t>p</w:t>
            </w:r>
          </w:p>
        </w:tc>
      </w:tr>
      <w:tr w:rsidR="00000000">
        <w:tblPrEx>
          <w:tblCellMar>
            <w:top w:w="0" w:type="dxa"/>
            <w:bottom w:w="0" w:type="dxa"/>
          </w:tblCellMar>
        </w:tblPrEx>
        <w:tc>
          <w:tcPr>
            <w:tcW w:w="3811" w:type="dxa"/>
            <w:tcBorders>
              <w:bottom w:val="nil"/>
            </w:tcBorders>
            <w:vAlign w:val="bottom"/>
          </w:tcPr>
          <w:p w:rsidR="00000000" w:rsidRDefault="00000000">
            <w:pPr>
              <w:spacing w:before="25" w:after="25"/>
              <w:rPr>
                <w:b/>
                <w:bCs/>
                <w:sz w:val="19"/>
              </w:rPr>
            </w:pPr>
            <w:r>
              <w:rPr>
                <w:b/>
                <w:bCs/>
                <w:sz w:val="19"/>
              </w:rPr>
              <w:t>EFFECTIF TOTAL</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b/>
                <w:bCs/>
                <w:sz w:val="19"/>
              </w:rPr>
              <w:t>8 000 798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b/>
                <w:bCs/>
                <w:sz w:val="19"/>
              </w:rPr>
              <w:t>8 274 803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b/>
                <w:bCs/>
                <w:sz w:val="19"/>
              </w:rPr>
              <w:t>8 248 404</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b/>
                <w:bCs/>
                <w:sz w:val="19"/>
              </w:rPr>
              <w:t>8 547 091</w:t>
            </w:r>
          </w:p>
        </w:tc>
        <w:tc>
          <w:tcPr>
            <w:tcW w:w="1137" w:type="dxa"/>
            <w:vAlign w:val="bottom"/>
          </w:tcPr>
          <w:p w:rsidR="00000000" w:rsidRDefault="00000000">
            <w:pPr>
              <w:spacing w:before="25" w:after="25"/>
              <w:ind w:left="113"/>
              <w:jc w:val="right"/>
              <w:rPr>
                <w:b/>
                <w:bCs/>
                <w:sz w:val="19"/>
              </w:rPr>
            </w:pPr>
            <w:r>
              <w:rPr>
                <w:b/>
                <w:bCs/>
                <w:sz w:val="19"/>
              </w:rPr>
              <w:t>8 778 538</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Population non en âge de travailler (PENT)</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2 078 517</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2 155 145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2 202 118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2 283 974</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2 350 742</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Population en âge de travailler (PET)</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5 922 281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6 119 658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6 046 286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6 263 117</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6 427 796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Population active (PEA)</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3 802 361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3 820 208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4 099 151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4 046 536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4 346 862</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Personnes pourvues d’emploi (PO)</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3 637 893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3 637 048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3 884 251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3 824 938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4 085 802</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Chômeurs (PD)</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164 468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183 160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214 900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221 598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261 060</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Travailleurs sans emploi (C)</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108 835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140 796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168 757</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177 006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189 172</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Demandeurs d’emploi (A)</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55 633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42 364</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46 143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44 592</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71 888</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Population inactive</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2 119 920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2 299 450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1 947 135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2 216 581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2 080 934</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Travailleurs pourvus d’un emploi temporaire (T)</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662 410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805 962</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739 486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745 109</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681 997</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25" w:after="25"/>
              <w:ind w:left="284"/>
              <w:rPr>
                <w:b/>
                <w:bCs/>
                <w:sz w:val="19"/>
              </w:rPr>
            </w:pPr>
            <w:r>
              <w:rPr>
                <w:sz w:val="19"/>
              </w:rPr>
              <w:t>Travailleurs pourvus d’un emploi</w:t>
            </w:r>
            <w:r>
              <w:rPr>
                <w:b/>
                <w:bCs/>
                <w:sz w:val="19"/>
              </w:rPr>
              <w:t xml:space="preserve"> </w:t>
            </w:r>
            <w:r>
              <w:rPr>
                <w:sz w:val="19"/>
              </w:rPr>
              <w:t>permanent (P)</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1 457 510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1 493 488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1 207 649</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1 471 472</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1 398 937</w:t>
            </w:r>
          </w:p>
        </w:tc>
      </w:tr>
      <w:tr w:rsidR="00000000">
        <w:tblPrEx>
          <w:tblCellMar>
            <w:top w:w="0" w:type="dxa"/>
            <w:bottom w:w="0" w:type="dxa"/>
          </w:tblCellMar>
        </w:tblPrEx>
        <w:tc>
          <w:tcPr>
            <w:tcW w:w="3811" w:type="dxa"/>
            <w:tcBorders>
              <w:bottom w:val="nil"/>
            </w:tcBorders>
            <w:vAlign w:val="bottom"/>
          </w:tcPr>
          <w:p w:rsidR="00000000" w:rsidRDefault="00000000">
            <w:pPr>
              <w:spacing w:before="25" w:after="25"/>
              <w:rPr>
                <w:b/>
                <w:bCs/>
                <w:sz w:val="19"/>
              </w:rPr>
            </w:pPr>
            <w:r>
              <w:rPr>
                <w:b/>
                <w:bCs/>
                <w:sz w:val="19"/>
              </w:rPr>
              <w:t>HOMMES</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b/>
                <w:bCs/>
                <w:sz w:val="19"/>
              </w:rPr>
              <w:t>3 959 863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b/>
                <w:bCs/>
                <w:sz w:val="19"/>
              </w:rPr>
              <w:t>4 060 023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b/>
                <w:bCs/>
                <w:sz w:val="19"/>
              </w:rPr>
              <w:t>4 057 188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b/>
                <w:bCs/>
                <w:sz w:val="19"/>
              </w:rPr>
              <w:t>4 244 421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b/>
                <w:bCs/>
                <w:sz w:val="19"/>
              </w:rPr>
              <w:t>4 364 345</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Population non en âge de travailler (PENT)</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1 075 426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1 114 264</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1 122 188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1 161 259</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1 213 475</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Population en âge de travailler (PET)</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2 884 437</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2 945 759</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2 935 000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3 083 162</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3 150 870</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Population active (PEA)</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2 077 390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2 115 469</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2 227 786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2 257 521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2 377 036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Personnes pourvues d’emploi (PO)</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2 000 496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2 032 182</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2 128 402</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2 160 158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2 270 432</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Chômeurs (PD)</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76 894</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83 287</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99 384</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97 363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106 604</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Travailleurs sans emploi (C)</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58 499</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64 167</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82 626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80 958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81 456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Demandeurs d’emploi (A)</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18 395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24 817</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16 758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16 405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25 148</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Population inactive</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807 047</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830 290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707 214</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825 641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773 834</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Travailleurs pourvus d’un emploi temporaire (T)</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206 996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209 343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227 103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209 033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196 380</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25" w:after="25"/>
              <w:ind w:left="284"/>
              <w:rPr>
                <w:b/>
                <w:bCs/>
                <w:sz w:val="19"/>
              </w:rPr>
            </w:pPr>
            <w:r>
              <w:rPr>
                <w:sz w:val="19"/>
              </w:rPr>
              <w:t>Travailleurs pourvus d’un emploi</w:t>
            </w:r>
            <w:r>
              <w:rPr>
                <w:b/>
                <w:bCs/>
                <w:sz w:val="19"/>
              </w:rPr>
              <w:t xml:space="preserve"> </w:t>
            </w:r>
            <w:r>
              <w:rPr>
                <w:sz w:val="19"/>
              </w:rPr>
              <w:t>permanent (P)</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600 051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620 947</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480 111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616 608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577 454</w:t>
            </w:r>
          </w:p>
        </w:tc>
      </w:tr>
      <w:tr w:rsidR="00000000">
        <w:tblPrEx>
          <w:tblCellMar>
            <w:top w:w="0" w:type="dxa"/>
            <w:bottom w:w="0" w:type="dxa"/>
          </w:tblCellMar>
        </w:tblPrEx>
        <w:tc>
          <w:tcPr>
            <w:tcW w:w="3811" w:type="dxa"/>
            <w:tcBorders>
              <w:bottom w:val="nil"/>
            </w:tcBorders>
            <w:vAlign w:val="bottom"/>
          </w:tcPr>
          <w:p w:rsidR="00000000" w:rsidRDefault="00000000">
            <w:pPr>
              <w:spacing w:before="25" w:after="25"/>
              <w:rPr>
                <w:b/>
                <w:bCs/>
                <w:sz w:val="19"/>
              </w:rPr>
            </w:pPr>
            <w:r>
              <w:rPr>
                <w:b/>
                <w:bCs/>
                <w:sz w:val="19"/>
              </w:rPr>
              <w:t>FEMMES</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b/>
                <w:bCs/>
                <w:sz w:val="19"/>
              </w:rPr>
              <w:t>4 040 935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b/>
                <w:bCs/>
                <w:sz w:val="19"/>
              </w:rPr>
              <w:t>4 214 780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b/>
                <w:bCs/>
                <w:sz w:val="19"/>
              </w:rPr>
              <w:t>4 191 216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b/>
                <w:bCs/>
                <w:sz w:val="19"/>
              </w:rPr>
              <w:t>4 302 670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b/>
                <w:bCs/>
                <w:sz w:val="19"/>
              </w:rPr>
              <w:t>4 414 193</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Population non en âge de travailler (PENT)</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1 003 091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1 040 881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1 079 930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1 122 715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1 137 267</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Population en âge de travailler (PET)</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3 037 844</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3 173 899</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3 111 286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3 179 955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3 276 926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Population active (PEA)</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1 724 971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1 704 739</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1 871 365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1 789 015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1 969 826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Personnes pourvues d’emploi (PO)</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1 637 397</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1 604 866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1 755 849</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1 664 780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1 815 370</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Chômeurs (PD)</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87 574</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99 873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115 516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124 235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154 456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Travailleurs sans emploi (C)</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50 336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76 629</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86 131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96 048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107 716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Demandeurs d’emploi (A)</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37 238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30 295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29 385</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28 187</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46 740</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Population inactive</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1 312 873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1 469 160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1 239 921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1 390 940</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1 307 100</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25" w:after="25"/>
              <w:ind w:left="284"/>
              <w:rPr>
                <w:sz w:val="19"/>
              </w:rPr>
            </w:pPr>
            <w:r>
              <w:rPr>
                <w:sz w:val="19"/>
              </w:rPr>
              <w:t>Travailleurs pourvus d’un emploi temporaire (T)</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455 414</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596 619</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512 383</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536 076</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485 617</w:t>
            </w:r>
          </w:p>
        </w:tc>
      </w:tr>
      <w:tr w:rsidR="00000000">
        <w:tblPrEx>
          <w:tblCellMar>
            <w:top w:w="0" w:type="dxa"/>
            <w:bottom w:w="0" w:type="dxa"/>
          </w:tblCellMar>
        </w:tblPrEx>
        <w:tc>
          <w:tcPr>
            <w:tcW w:w="3811" w:type="dxa"/>
            <w:tcBorders>
              <w:top w:val="nil"/>
            </w:tcBorders>
            <w:vAlign w:val="bottom"/>
          </w:tcPr>
          <w:p w:rsidR="00000000" w:rsidRDefault="00000000">
            <w:pPr>
              <w:spacing w:before="25" w:after="25"/>
              <w:ind w:left="284"/>
              <w:rPr>
                <w:b/>
                <w:bCs/>
                <w:sz w:val="19"/>
              </w:rPr>
            </w:pPr>
            <w:r>
              <w:rPr>
                <w:sz w:val="19"/>
              </w:rPr>
              <w:t>Travailleurs pourvus d’un emploi</w:t>
            </w:r>
            <w:r>
              <w:rPr>
                <w:b/>
                <w:bCs/>
                <w:sz w:val="19"/>
              </w:rPr>
              <w:t xml:space="preserve"> </w:t>
            </w:r>
            <w:r>
              <w:rPr>
                <w:sz w:val="19"/>
              </w:rPr>
              <w:t>permanent (P)</w:t>
            </w:r>
          </w:p>
        </w:tc>
        <w:tc>
          <w:tcPr>
            <w:tcW w:w="1138" w:type="dxa"/>
            <w:vAlign w:val="bottom"/>
          </w:tcPr>
          <w:p w:rsidR="00000000" w:rsidRDefault="00000000">
            <w:pPr>
              <w:widowControl w:val="0"/>
              <w:autoSpaceDE w:val="0"/>
              <w:autoSpaceDN w:val="0"/>
              <w:adjustRightInd w:val="0"/>
              <w:spacing w:before="25" w:after="25"/>
              <w:ind w:left="113"/>
              <w:jc w:val="right"/>
              <w:rPr>
                <w:sz w:val="19"/>
              </w:rPr>
            </w:pPr>
            <w:r>
              <w:rPr>
                <w:sz w:val="19"/>
              </w:rPr>
              <w:t>857 459</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872 541</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727 538</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854 864</w:t>
            </w:r>
          </w:p>
        </w:tc>
        <w:tc>
          <w:tcPr>
            <w:tcW w:w="1137" w:type="dxa"/>
            <w:vAlign w:val="bottom"/>
          </w:tcPr>
          <w:p w:rsidR="00000000" w:rsidRDefault="00000000">
            <w:pPr>
              <w:widowControl w:val="0"/>
              <w:autoSpaceDE w:val="0"/>
              <w:autoSpaceDN w:val="0"/>
              <w:adjustRightInd w:val="0"/>
              <w:spacing w:before="25" w:after="25"/>
              <w:ind w:left="113"/>
              <w:jc w:val="right"/>
              <w:rPr>
                <w:sz w:val="19"/>
              </w:rPr>
            </w:pPr>
            <w:r>
              <w:rPr>
                <w:sz w:val="19"/>
              </w:rPr>
              <w:t>821 483</w:t>
            </w:r>
          </w:p>
        </w:tc>
      </w:tr>
    </w:tbl>
    <w:p w:rsidR="00000000" w:rsidRDefault="00000000">
      <w:pPr>
        <w:spacing w:before="120" w:after="80"/>
        <w:ind w:firstLine="567"/>
        <w:rPr>
          <w:sz w:val="20"/>
        </w:rPr>
      </w:pPr>
      <w:r>
        <w:rPr>
          <w:i/>
          <w:iCs/>
          <w:sz w:val="20"/>
        </w:rPr>
        <w:t>Source</w:t>
      </w:r>
      <w:r>
        <w:rPr>
          <w:sz w:val="20"/>
        </w:rPr>
        <w:t>: Institut national de statistique.</w:t>
      </w:r>
    </w:p>
    <w:p w:rsidR="00000000" w:rsidRDefault="00000000">
      <w:pPr>
        <w:rPr>
          <w:sz w:val="20"/>
        </w:rPr>
      </w:pPr>
      <w:r>
        <w:rPr>
          <w:b/>
          <w:bCs/>
          <w:i/>
          <w:iCs/>
          <w:sz w:val="20"/>
          <w:vertAlign w:val="superscript"/>
        </w:rPr>
        <w:t>p</w:t>
      </w:r>
      <w:r>
        <w:rPr>
          <w:sz w:val="20"/>
        </w:rPr>
        <w:t xml:space="preserve"> Chiffres provisoires.</w:t>
      </w:r>
    </w:p>
    <w:p w:rsidR="00000000" w:rsidRDefault="00000000">
      <w:pPr>
        <w:spacing w:after="180"/>
        <w:jc w:val="center"/>
        <w:rPr>
          <w:b/>
          <w:bCs/>
        </w:rPr>
      </w:pPr>
      <w:r>
        <w:br w:type="page"/>
      </w:r>
      <w:r>
        <w:rPr>
          <w:b/>
          <w:bCs/>
        </w:rPr>
        <w:t>Tableau 1.1</w:t>
      </w:r>
    </w:p>
    <w:p w:rsidR="00000000" w:rsidRDefault="00000000">
      <w:pPr>
        <w:spacing w:after="180"/>
        <w:jc w:val="center"/>
        <w:rPr>
          <w:b/>
          <w:bCs/>
        </w:rPr>
      </w:pPr>
      <w:r>
        <w:rPr>
          <w:b/>
          <w:bCs/>
        </w:rPr>
        <w:t>Bolivie − Zones urbaines: Situation annuelle de l’emploi, par sexe, 1999</w:t>
      </w:r>
      <w:r>
        <w:rPr>
          <w:b/>
          <w:bCs/>
        </w:rPr>
        <w:noBreakHyphen/>
        <w:t>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11"/>
        <w:gridCol w:w="1138"/>
        <w:gridCol w:w="1137"/>
        <w:gridCol w:w="1137"/>
        <w:gridCol w:w="1137"/>
        <w:gridCol w:w="1137"/>
      </w:tblGrid>
      <w:tr w:rsidR="00000000">
        <w:tblPrEx>
          <w:tblCellMar>
            <w:top w:w="0" w:type="dxa"/>
            <w:bottom w:w="0" w:type="dxa"/>
          </w:tblCellMar>
        </w:tblPrEx>
        <w:trPr>
          <w:tblHeader/>
        </w:trPr>
        <w:tc>
          <w:tcPr>
            <w:tcW w:w="3811" w:type="dxa"/>
            <w:tcBorders>
              <w:bottom w:val="single" w:sz="4" w:space="0" w:color="auto"/>
            </w:tcBorders>
            <w:vAlign w:val="center"/>
          </w:tcPr>
          <w:p w:rsidR="00000000" w:rsidRDefault="00000000">
            <w:pPr>
              <w:spacing w:before="60" w:after="60"/>
              <w:jc w:val="center"/>
              <w:rPr>
                <w:sz w:val="19"/>
              </w:rPr>
            </w:pPr>
            <w:r>
              <w:rPr>
                <w:sz w:val="19"/>
              </w:rPr>
              <w:t>Situation de l’emploi</w:t>
            </w:r>
          </w:p>
        </w:tc>
        <w:tc>
          <w:tcPr>
            <w:tcW w:w="1138" w:type="dxa"/>
            <w:vAlign w:val="center"/>
          </w:tcPr>
          <w:p w:rsidR="00000000" w:rsidRDefault="00000000">
            <w:pPr>
              <w:spacing w:before="60" w:after="60"/>
              <w:jc w:val="center"/>
              <w:rPr>
                <w:sz w:val="19"/>
              </w:rPr>
            </w:pPr>
            <w:r>
              <w:rPr>
                <w:sz w:val="19"/>
              </w:rPr>
              <w:t>1999</w:t>
            </w:r>
          </w:p>
        </w:tc>
        <w:tc>
          <w:tcPr>
            <w:tcW w:w="1137" w:type="dxa"/>
            <w:vAlign w:val="center"/>
          </w:tcPr>
          <w:p w:rsidR="00000000" w:rsidRDefault="00000000">
            <w:pPr>
              <w:spacing w:before="60" w:after="60"/>
              <w:jc w:val="center"/>
              <w:rPr>
                <w:sz w:val="19"/>
              </w:rPr>
            </w:pPr>
            <w:r>
              <w:rPr>
                <w:sz w:val="19"/>
              </w:rPr>
              <w:t>2000</w:t>
            </w:r>
          </w:p>
        </w:tc>
        <w:tc>
          <w:tcPr>
            <w:tcW w:w="1137" w:type="dxa"/>
            <w:vAlign w:val="center"/>
          </w:tcPr>
          <w:p w:rsidR="00000000" w:rsidRDefault="00000000">
            <w:pPr>
              <w:spacing w:before="60" w:after="60"/>
              <w:jc w:val="center"/>
              <w:rPr>
                <w:sz w:val="19"/>
              </w:rPr>
            </w:pPr>
            <w:r>
              <w:rPr>
                <w:sz w:val="19"/>
              </w:rPr>
              <w:t>2001</w:t>
            </w:r>
          </w:p>
        </w:tc>
        <w:tc>
          <w:tcPr>
            <w:tcW w:w="1137" w:type="dxa"/>
            <w:vAlign w:val="center"/>
          </w:tcPr>
          <w:p w:rsidR="00000000" w:rsidRDefault="00000000">
            <w:pPr>
              <w:spacing w:before="60" w:after="60"/>
              <w:jc w:val="center"/>
              <w:rPr>
                <w:sz w:val="19"/>
              </w:rPr>
            </w:pPr>
            <w:r>
              <w:rPr>
                <w:sz w:val="19"/>
              </w:rPr>
              <w:t>2002</w:t>
            </w:r>
          </w:p>
        </w:tc>
        <w:tc>
          <w:tcPr>
            <w:tcW w:w="1137" w:type="dxa"/>
            <w:vAlign w:val="center"/>
          </w:tcPr>
          <w:p w:rsidR="00000000" w:rsidRDefault="00000000">
            <w:pPr>
              <w:spacing w:before="60" w:after="60"/>
              <w:jc w:val="center"/>
              <w:rPr>
                <w:sz w:val="19"/>
              </w:rPr>
            </w:pPr>
            <w:r>
              <w:rPr>
                <w:sz w:val="19"/>
              </w:rPr>
              <w:t>2003</w:t>
            </w:r>
            <w:r>
              <w:rPr>
                <w:b/>
                <w:bCs/>
                <w:i/>
                <w:iCs/>
                <w:sz w:val="19"/>
                <w:vertAlign w:val="superscript"/>
              </w:rPr>
              <w:t>p</w:t>
            </w:r>
          </w:p>
        </w:tc>
      </w:tr>
      <w:tr w:rsidR="00000000">
        <w:tblPrEx>
          <w:tblCellMar>
            <w:top w:w="0" w:type="dxa"/>
            <w:bottom w:w="0" w:type="dxa"/>
          </w:tblCellMar>
        </w:tblPrEx>
        <w:tc>
          <w:tcPr>
            <w:tcW w:w="3811" w:type="dxa"/>
            <w:tcBorders>
              <w:bottom w:val="nil"/>
            </w:tcBorders>
            <w:vAlign w:val="bottom"/>
          </w:tcPr>
          <w:p w:rsidR="00000000" w:rsidRDefault="00000000">
            <w:pPr>
              <w:spacing w:before="30" w:after="30"/>
              <w:rPr>
                <w:b/>
                <w:bCs/>
                <w:sz w:val="19"/>
              </w:rPr>
            </w:pPr>
            <w:r>
              <w:rPr>
                <w:b/>
                <w:bCs/>
                <w:sz w:val="19"/>
              </w:rPr>
              <w:t>EFFECTIF TOTAL</w:t>
            </w:r>
          </w:p>
        </w:tc>
        <w:tc>
          <w:tcPr>
            <w:tcW w:w="1138" w:type="dxa"/>
            <w:vAlign w:val="bottom"/>
          </w:tcPr>
          <w:p w:rsidR="00000000" w:rsidRDefault="00000000">
            <w:pPr>
              <w:keepNext/>
              <w:keepLines/>
              <w:tabs>
                <w:tab w:val="decimal" w:pos="912"/>
              </w:tabs>
              <w:autoSpaceDE w:val="0"/>
              <w:autoSpaceDN w:val="0"/>
              <w:adjustRightInd w:val="0"/>
              <w:spacing w:before="30" w:after="30"/>
              <w:jc w:val="right"/>
              <w:rPr>
                <w:b/>
                <w:sz w:val="19"/>
              </w:rPr>
            </w:pPr>
            <w:r>
              <w:rPr>
                <w:b/>
                <w:sz w:val="19"/>
              </w:rPr>
              <w:t>5 035 535</w:t>
            </w:r>
          </w:p>
        </w:tc>
        <w:tc>
          <w:tcPr>
            <w:tcW w:w="1137" w:type="dxa"/>
            <w:vAlign w:val="bottom"/>
          </w:tcPr>
          <w:p w:rsidR="00000000" w:rsidRDefault="00000000">
            <w:pPr>
              <w:keepNext/>
              <w:keepLines/>
              <w:tabs>
                <w:tab w:val="decimal" w:pos="893"/>
              </w:tabs>
              <w:autoSpaceDE w:val="0"/>
              <w:autoSpaceDN w:val="0"/>
              <w:adjustRightInd w:val="0"/>
              <w:spacing w:before="30" w:after="30"/>
              <w:jc w:val="right"/>
              <w:rPr>
                <w:b/>
                <w:sz w:val="19"/>
              </w:rPr>
            </w:pPr>
            <w:r>
              <w:rPr>
                <w:b/>
                <w:sz w:val="19"/>
              </w:rPr>
              <w:t>5 268 526</w:t>
            </w:r>
          </w:p>
        </w:tc>
        <w:tc>
          <w:tcPr>
            <w:tcW w:w="1137" w:type="dxa"/>
            <w:vAlign w:val="bottom"/>
          </w:tcPr>
          <w:p w:rsidR="00000000" w:rsidRDefault="00000000">
            <w:pPr>
              <w:keepNext/>
              <w:keepLines/>
              <w:tabs>
                <w:tab w:val="decimal" w:pos="897"/>
              </w:tabs>
              <w:autoSpaceDE w:val="0"/>
              <w:autoSpaceDN w:val="0"/>
              <w:adjustRightInd w:val="0"/>
              <w:spacing w:before="30" w:after="30"/>
              <w:jc w:val="right"/>
              <w:rPr>
                <w:b/>
                <w:sz w:val="19"/>
              </w:rPr>
            </w:pPr>
            <w:r>
              <w:rPr>
                <w:b/>
                <w:sz w:val="19"/>
              </w:rPr>
              <w:t>5 148 771</w:t>
            </w:r>
          </w:p>
        </w:tc>
        <w:tc>
          <w:tcPr>
            <w:tcW w:w="1137" w:type="dxa"/>
            <w:vAlign w:val="bottom"/>
          </w:tcPr>
          <w:p w:rsidR="00000000" w:rsidRDefault="00000000">
            <w:pPr>
              <w:keepNext/>
              <w:keepLines/>
              <w:tabs>
                <w:tab w:val="decimal" w:pos="909"/>
              </w:tabs>
              <w:autoSpaceDE w:val="0"/>
              <w:autoSpaceDN w:val="0"/>
              <w:adjustRightInd w:val="0"/>
              <w:spacing w:before="30" w:after="30"/>
              <w:jc w:val="right"/>
              <w:rPr>
                <w:b/>
                <w:sz w:val="19"/>
              </w:rPr>
            </w:pPr>
            <w:r>
              <w:rPr>
                <w:b/>
                <w:sz w:val="19"/>
              </w:rPr>
              <w:t>5 330 045</w:t>
            </w:r>
          </w:p>
        </w:tc>
        <w:tc>
          <w:tcPr>
            <w:tcW w:w="1137" w:type="dxa"/>
            <w:vAlign w:val="bottom"/>
          </w:tcPr>
          <w:p w:rsidR="00000000" w:rsidRDefault="00000000">
            <w:pPr>
              <w:keepNext/>
              <w:keepLines/>
              <w:tabs>
                <w:tab w:val="decimal" w:pos="906"/>
              </w:tabs>
              <w:autoSpaceDE w:val="0"/>
              <w:autoSpaceDN w:val="0"/>
              <w:adjustRightInd w:val="0"/>
              <w:spacing w:before="30" w:after="30"/>
              <w:jc w:val="right"/>
              <w:rPr>
                <w:b/>
                <w:sz w:val="19"/>
              </w:rPr>
            </w:pPr>
            <w:r>
              <w:rPr>
                <w:b/>
                <w:sz w:val="19"/>
              </w:rPr>
              <w:t>5 647 224</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Population non en âge de travailler (PENT)</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1 150 005</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1 239 406</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1 257 797</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1 331 849</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1 463 283</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Population en âge de travailler (PET)</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3 885 530</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4 029 120</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3 890 974</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3 998 196</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4 183 941</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Population active (PEA)</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2 173 700</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2 259 792</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2 356 504</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2 320 060</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2 528 507</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Personnes pourvues d’emploi (PO)</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2 017 044</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2 091 175</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2 156 250</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2 118 436</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2 296 737</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Chômeurs (PD)</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156 656</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168 617</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200 254</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201 624</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231 770</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Travailleurs sans emploi (C)</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102 580</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129 464</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160 174</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162 890</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168 407</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Demandeurs d’emploi (A)</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54 076</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39 153</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40 080</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38 734</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63 363</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Population inactive</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1 711 830</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1 769 328</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1 534 470</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1 678 136</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1 655 434</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Travailleurs pourvus d’un emploi temporaire (T)</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511 347</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597 853</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574 734</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517 397</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495 276</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30" w:after="30"/>
              <w:ind w:left="284"/>
              <w:rPr>
                <w:b/>
                <w:bCs/>
                <w:sz w:val="19"/>
              </w:rPr>
            </w:pPr>
            <w:r>
              <w:rPr>
                <w:sz w:val="19"/>
              </w:rPr>
              <w:t>Travailleurs pourvus d’un emploi</w:t>
            </w:r>
            <w:r>
              <w:rPr>
                <w:b/>
                <w:bCs/>
                <w:sz w:val="19"/>
              </w:rPr>
              <w:t xml:space="preserve"> </w:t>
            </w:r>
            <w:r>
              <w:rPr>
                <w:sz w:val="19"/>
              </w:rPr>
              <w:t>permanent (P)</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1 200 483</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1 171 475</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959 736</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1 160 739</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1 160 158</w:t>
            </w:r>
          </w:p>
        </w:tc>
      </w:tr>
      <w:tr w:rsidR="00000000">
        <w:tblPrEx>
          <w:tblCellMar>
            <w:top w:w="0" w:type="dxa"/>
            <w:bottom w:w="0" w:type="dxa"/>
          </w:tblCellMar>
        </w:tblPrEx>
        <w:tc>
          <w:tcPr>
            <w:tcW w:w="3811" w:type="dxa"/>
            <w:tcBorders>
              <w:bottom w:val="nil"/>
            </w:tcBorders>
            <w:vAlign w:val="bottom"/>
          </w:tcPr>
          <w:p w:rsidR="00000000" w:rsidRDefault="00000000">
            <w:pPr>
              <w:spacing w:before="30" w:after="30"/>
              <w:rPr>
                <w:b/>
                <w:bCs/>
                <w:sz w:val="19"/>
              </w:rPr>
            </w:pPr>
            <w:r>
              <w:rPr>
                <w:b/>
                <w:bCs/>
                <w:sz w:val="19"/>
              </w:rPr>
              <w:t>HOMMES</w:t>
            </w:r>
          </w:p>
        </w:tc>
        <w:tc>
          <w:tcPr>
            <w:tcW w:w="1138" w:type="dxa"/>
            <w:vAlign w:val="bottom"/>
          </w:tcPr>
          <w:p w:rsidR="00000000" w:rsidRDefault="00000000">
            <w:pPr>
              <w:widowControl w:val="0"/>
              <w:tabs>
                <w:tab w:val="decimal" w:pos="912"/>
              </w:tabs>
              <w:autoSpaceDE w:val="0"/>
              <w:autoSpaceDN w:val="0"/>
              <w:adjustRightInd w:val="0"/>
              <w:spacing w:before="30" w:after="30"/>
              <w:jc w:val="right"/>
              <w:rPr>
                <w:b/>
                <w:bCs/>
                <w:sz w:val="19"/>
              </w:rPr>
            </w:pPr>
            <w:r>
              <w:rPr>
                <w:b/>
                <w:bCs/>
                <w:sz w:val="19"/>
              </w:rPr>
              <w:t>2 479 023</w:t>
            </w:r>
          </w:p>
        </w:tc>
        <w:tc>
          <w:tcPr>
            <w:tcW w:w="1137" w:type="dxa"/>
            <w:vAlign w:val="bottom"/>
          </w:tcPr>
          <w:p w:rsidR="00000000" w:rsidRDefault="00000000">
            <w:pPr>
              <w:widowControl w:val="0"/>
              <w:tabs>
                <w:tab w:val="decimal" w:pos="893"/>
              </w:tabs>
              <w:autoSpaceDE w:val="0"/>
              <w:autoSpaceDN w:val="0"/>
              <w:adjustRightInd w:val="0"/>
              <w:spacing w:before="30" w:after="30"/>
              <w:jc w:val="right"/>
              <w:rPr>
                <w:b/>
                <w:bCs/>
                <w:sz w:val="19"/>
              </w:rPr>
            </w:pPr>
            <w:r>
              <w:rPr>
                <w:b/>
                <w:bCs/>
                <w:sz w:val="19"/>
              </w:rPr>
              <w:t>2 543 702</w:t>
            </w:r>
          </w:p>
        </w:tc>
        <w:tc>
          <w:tcPr>
            <w:tcW w:w="1137" w:type="dxa"/>
            <w:vAlign w:val="bottom"/>
          </w:tcPr>
          <w:p w:rsidR="00000000" w:rsidRDefault="00000000">
            <w:pPr>
              <w:widowControl w:val="0"/>
              <w:tabs>
                <w:tab w:val="decimal" w:pos="897"/>
              </w:tabs>
              <w:autoSpaceDE w:val="0"/>
              <w:autoSpaceDN w:val="0"/>
              <w:adjustRightInd w:val="0"/>
              <w:spacing w:before="30" w:after="30"/>
              <w:jc w:val="right"/>
              <w:rPr>
                <w:b/>
                <w:bCs/>
                <w:sz w:val="19"/>
              </w:rPr>
            </w:pPr>
            <w:r>
              <w:rPr>
                <w:b/>
                <w:bCs/>
                <w:sz w:val="19"/>
              </w:rPr>
              <w:t>2 492 765</w:t>
            </w:r>
          </w:p>
        </w:tc>
        <w:tc>
          <w:tcPr>
            <w:tcW w:w="1137" w:type="dxa"/>
            <w:vAlign w:val="bottom"/>
          </w:tcPr>
          <w:p w:rsidR="00000000" w:rsidRDefault="00000000">
            <w:pPr>
              <w:widowControl w:val="0"/>
              <w:tabs>
                <w:tab w:val="decimal" w:pos="909"/>
              </w:tabs>
              <w:autoSpaceDE w:val="0"/>
              <w:autoSpaceDN w:val="0"/>
              <w:adjustRightInd w:val="0"/>
              <w:spacing w:before="30" w:after="30"/>
              <w:jc w:val="right"/>
              <w:rPr>
                <w:b/>
                <w:bCs/>
                <w:sz w:val="19"/>
              </w:rPr>
            </w:pPr>
            <w:r>
              <w:rPr>
                <w:b/>
                <w:bCs/>
                <w:sz w:val="19"/>
              </w:rPr>
              <w:t>2 615 698</w:t>
            </w:r>
          </w:p>
        </w:tc>
        <w:tc>
          <w:tcPr>
            <w:tcW w:w="1137" w:type="dxa"/>
            <w:vAlign w:val="bottom"/>
          </w:tcPr>
          <w:p w:rsidR="00000000" w:rsidRDefault="00000000">
            <w:pPr>
              <w:widowControl w:val="0"/>
              <w:tabs>
                <w:tab w:val="decimal" w:pos="906"/>
              </w:tabs>
              <w:autoSpaceDE w:val="0"/>
              <w:autoSpaceDN w:val="0"/>
              <w:adjustRightInd w:val="0"/>
              <w:spacing w:before="30" w:after="30"/>
              <w:jc w:val="right"/>
              <w:rPr>
                <w:b/>
                <w:bCs/>
                <w:sz w:val="19"/>
              </w:rPr>
            </w:pPr>
            <w:r>
              <w:rPr>
                <w:b/>
                <w:bCs/>
                <w:sz w:val="19"/>
              </w:rPr>
              <w:t>2 766 529</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Population non en âge de travailler (PENT)</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595 991</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643 450</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645 945</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692 425</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756 028</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Population en âge de travailler (PET)</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1 883 032</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1 900 252</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1 846 820</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1 923 273</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2 010 501</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Population active (PEA)</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1 204 577</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1 245 117</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1 256 778</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1 258 504</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1 365 843</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Personnes pourvues d’emploi (PO)</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1 130 212</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1 167 692</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1 162 875</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1 166 458</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1 270 606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Chômeurs (PD)</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74 365</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77 425</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93 903</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92 046</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95 237</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Travailleurs sans emploi (C)</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56 253</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60 255</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79 039</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76 181</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71 366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Demandeurs d’emploi (A)</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18 112</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17 170</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14 864</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15 865</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23 871</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Population inactive</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678 455</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655 135</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590 042</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664 769</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644 658</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Travailleurs pourvus d’un emploi temporaire (T)</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165 661</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160 528</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187 738</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156 333</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153 177</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30" w:after="30"/>
              <w:ind w:left="284"/>
              <w:rPr>
                <w:b/>
                <w:bCs/>
                <w:sz w:val="19"/>
              </w:rPr>
            </w:pPr>
            <w:r>
              <w:rPr>
                <w:sz w:val="19"/>
              </w:rPr>
              <w:t>Travailleurs pourvus d’un emploi</w:t>
            </w:r>
            <w:r>
              <w:rPr>
                <w:b/>
                <w:bCs/>
                <w:sz w:val="19"/>
              </w:rPr>
              <w:t xml:space="preserve"> </w:t>
            </w:r>
            <w:r>
              <w:rPr>
                <w:sz w:val="19"/>
              </w:rPr>
              <w:t>permanent (P)</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512 794</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494 607</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402 304</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508 436</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491 481</w:t>
            </w:r>
          </w:p>
        </w:tc>
      </w:tr>
      <w:tr w:rsidR="00000000">
        <w:tblPrEx>
          <w:tblCellMar>
            <w:top w:w="0" w:type="dxa"/>
            <w:bottom w:w="0" w:type="dxa"/>
          </w:tblCellMar>
        </w:tblPrEx>
        <w:tc>
          <w:tcPr>
            <w:tcW w:w="3811" w:type="dxa"/>
            <w:tcBorders>
              <w:bottom w:val="nil"/>
            </w:tcBorders>
            <w:vAlign w:val="bottom"/>
          </w:tcPr>
          <w:p w:rsidR="00000000" w:rsidRDefault="00000000">
            <w:pPr>
              <w:spacing w:before="30" w:after="30"/>
              <w:rPr>
                <w:b/>
                <w:bCs/>
                <w:sz w:val="19"/>
              </w:rPr>
            </w:pPr>
            <w:r>
              <w:rPr>
                <w:b/>
                <w:bCs/>
                <w:sz w:val="19"/>
              </w:rPr>
              <w:t>FEMMES</w:t>
            </w:r>
          </w:p>
        </w:tc>
        <w:tc>
          <w:tcPr>
            <w:tcW w:w="1138" w:type="dxa"/>
            <w:vAlign w:val="bottom"/>
          </w:tcPr>
          <w:p w:rsidR="00000000" w:rsidRDefault="00000000">
            <w:pPr>
              <w:widowControl w:val="0"/>
              <w:tabs>
                <w:tab w:val="decimal" w:pos="912"/>
              </w:tabs>
              <w:autoSpaceDE w:val="0"/>
              <w:autoSpaceDN w:val="0"/>
              <w:adjustRightInd w:val="0"/>
              <w:spacing w:before="30" w:after="30"/>
              <w:jc w:val="right"/>
              <w:rPr>
                <w:b/>
                <w:bCs/>
                <w:sz w:val="19"/>
              </w:rPr>
            </w:pPr>
            <w:r>
              <w:rPr>
                <w:b/>
                <w:bCs/>
                <w:sz w:val="19"/>
              </w:rPr>
              <w:t>2 556 512</w:t>
            </w:r>
          </w:p>
        </w:tc>
        <w:tc>
          <w:tcPr>
            <w:tcW w:w="1137" w:type="dxa"/>
            <w:vAlign w:val="bottom"/>
          </w:tcPr>
          <w:p w:rsidR="00000000" w:rsidRDefault="00000000">
            <w:pPr>
              <w:widowControl w:val="0"/>
              <w:tabs>
                <w:tab w:val="decimal" w:pos="893"/>
              </w:tabs>
              <w:autoSpaceDE w:val="0"/>
              <w:autoSpaceDN w:val="0"/>
              <w:adjustRightInd w:val="0"/>
              <w:spacing w:before="30" w:after="30"/>
              <w:jc w:val="right"/>
              <w:rPr>
                <w:b/>
                <w:bCs/>
                <w:sz w:val="19"/>
              </w:rPr>
            </w:pPr>
            <w:r>
              <w:rPr>
                <w:b/>
                <w:bCs/>
                <w:sz w:val="19"/>
              </w:rPr>
              <w:t>2 724 824</w:t>
            </w:r>
          </w:p>
        </w:tc>
        <w:tc>
          <w:tcPr>
            <w:tcW w:w="1137" w:type="dxa"/>
            <w:vAlign w:val="bottom"/>
          </w:tcPr>
          <w:p w:rsidR="00000000" w:rsidRDefault="00000000">
            <w:pPr>
              <w:widowControl w:val="0"/>
              <w:tabs>
                <w:tab w:val="decimal" w:pos="897"/>
              </w:tabs>
              <w:autoSpaceDE w:val="0"/>
              <w:autoSpaceDN w:val="0"/>
              <w:adjustRightInd w:val="0"/>
              <w:spacing w:before="30" w:after="30"/>
              <w:jc w:val="right"/>
              <w:rPr>
                <w:b/>
                <w:bCs/>
                <w:sz w:val="19"/>
              </w:rPr>
            </w:pPr>
            <w:r>
              <w:rPr>
                <w:b/>
                <w:bCs/>
                <w:sz w:val="19"/>
              </w:rPr>
              <w:t>2 656 006</w:t>
            </w:r>
          </w:p>
        </w:tc>
        <w:tc>
          <w:tcPr>
            <w:tcW w:w="1137" w:type="dxa"/>
            <w:vAlign w:val="bottom"/>
          </w:tcPr>
          <w:p w:rsidR="00000000" w:rsidRDefault="00000000">
            <w:pPr>
              <w:widowControl w:val="0"/>
              <w:tabs>
                <w:tab w:val="decimal" w:pos="909"/>
              </w:tabs>
              <w:autoSpaceDE w:val="0"/>
              <w:autoSpaceDN w:val="0"/>
              <w:adjustRightInd w:val="0"/>
              <w:spacing w:before="30" w:after="30"/>
              <w:jc w:val="right"/>
              <w:rPr>
                <w:b/>
                <w:bCs/>
                <w:sz w:val="19"/>
              </w:rPr>
            </w:pPr>
            <w:r>
              <w:rPr>
                <w:b/>
                <w:bCs/>
                <w:sz w:val="19"/>
              </w:rPr>
              <w:t>2 714 347</w:t>
            </w:r>
          </w:p>
        </w:tc>
        <w:tc>
          <w:tcPr>
            <w:tcW w:w="1137" w:type="dxa"/>
            <w:vAlign w:val="bottom"/>
          </w:tcPr>
          <w:p w:rsidR="00000000" w:rsidRDefault="00000000">
            <w:pPr>
              <w:widowControl w:val="0"/>
              <w:tabs>
                <w:tab w:val="decimal" w:pos="906"/>
              </w:tabs>
              <w:autoSpaceDE w:val="0"/>
              <w:autoSpaceDN w:val="0"/>
              <w:adjustRightInd w:val="0"/>
              <w:spacing w:before="30" w:after="30"/>
              <w:jc w:val="right"/>
              <w:rPr>
                <w:b/>
                <w:bCs/>
                <w:sz w:val="19"/>
              </w:rPr>
            </w:pPr>
            <w:r>
              <w:rPr>
                <w:b/>
                <w:bCs/>
                <w:sz w:val="19"/>
              </w:rPr>
              <w:t>2 880 695</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Population non en âge de travailler (PENT)</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554 014</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595 956</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611 852</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639 424</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707 255</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Population en âge de travailler (PET)</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2 002 498</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2 128 868</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2 044 154</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2 074 923</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2 173 440</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Population active (PEA)</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969 123</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1 014 675</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1 099 726</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1 061 556</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1 162 664</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Personnes pourvues d’emploi (PO)</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886 832</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923 483</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993 375</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951 978</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1 026 131</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Chômeurs (PD)</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82 291</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91 192</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106 351</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109 578</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136 533</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Travailleurs sans emploi (C)</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46 327</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69 209</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81 135</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86 709</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97 041</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Demandeurs d’emploi (A)</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35 964</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21 983</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25 216</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22 869</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39 492</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Population inactive</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1 033 375</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1 114 193</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944 428</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1 013 367</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1 010 776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30" w:after="30"/>
              <w:ind w:left="284"/>
              <w:rPr>
                <w:sz w:val="19"/>
              </w:rPr>
            </w:pPr>
            <w:r>
              <w:rPr>
                <w:sz w:val="19"/>
              </w:rPr>
              <w:t>Travailleurs pourvus d’un emploi temporaire (T)</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345 686</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437 325</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386 996</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361 064</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342 099</w:t>
            </w:r>
          </w:p>
        </w:tc>
      </w:tr>
      <w:tr w:rsidR="00000000">
        <w:tblPrEx>
          <w:tblCellMar>
            <w:top w:w="0" w:type="dxa"/>
            <w:bottom w:w="0" w:type="dxa"/>
          </w:tblCellMar>
        </w:tblPrEx>
        <w:tc>
          <w:tcPr>
            <w:tcW w:w="3811" w:type="dxa"/>
            <w:tcBorders>
              <w:top w:val="nil"/>
            </w:tcBorders>
            <w:vAlign w:val="bottom"/>
          </w:tcPr>
          <w:p w:rsidR="00000000" w:rsidRDefault="00000000">
            <w:pPr>
              <w:spacing w:before="30" w:after="30"/>
              <w:ind w:left="284"/>
              <w:rPr>
                <w:b/>
                <w:bCs/>
                <w:sz w:val="19"/>
              </w:rPr>
            </w:pPr>
            <w:r>
              <w:rPr>
                <w:sz w:val="19"/>
              </w:rPr>
              <w:t>Travailleurs pourvus d’un emploi</w:t>
            </w:r>
            <w:r>
              <w:rPr>
                <w:b/>
                <w:bCs/>
                <w:sz w:val="19"/>
              </w:rPr>
              <w:t xml:space="preserve"> </w:t>
            </w:r>
            <w:r>
              <w:rPr>
                <w:sz w:val="19"/>
              </w:rPr>
              <w:t>permanent (P)</w:t>
            </w:r>
          </w:p>
        </w:tc>
        <w:tc>
          <w:tcPr>
            <w:tcW w:w="1138" w:type="dxa"/>
            <w:vAlign w:val="bottom"/>
          </w:tcPr>
          <w:p w:rsidR="00000000" w:rsidRDefault="00000000">
            <w:pPr>
              <w:widowControl w:val="0"/>
              <w:tabs>
                <w:tab w:val="decimal" w:pos="912"/>
              </w:tabs>
              <w:autoSpaceDE w:val="0"/>
              <w:autoSpaceDN w:val="0"/>
              <w:adjustRightInd w:val="0"/>
              <w:spacing w:before="30" w:after="30"/>
              <w:jc w:val="right"/>
              <w:rPr>
                <w:sz w:val="19"/>
              </w:rPr>
            </w:pPr>
            <w:r>
              <w:rPr>
                <w:sz w:val="19"/>
              </w:rPr>
              <w:t>687 689</w:t>
            </w:r>
          </w:p>
        </w:tc>
        <w:tc>
          <w:tcPr>
            <w:tcW w:w="1137" w:type="dxa"/>
            <w:vAlign w:val="bottom"/>
          </w:tcPr>
          <w:p w:rsidR="00000000" w:rsidRDefault="00000000">
            <w:pPr>
              <w:widowControl w:val="0"/>
              <w:tabs>
                <w:tab w:val="decimal" w:pos="893"/>
              </w:tabs>
              <w:autoSpaceDE w:val="0"/>
              <w:autoSpaceDN w:val="0"/>
              <w:adjustRightInd w:val="0"/>
              <w:spacing w:before="30" w:after="30"/>
              <w:jc w:val="right"/>
              <w:rPr>
                <w:sz w:val="19"/>
              </w:rPr>
            </w:pPr>
            <w:r>
              <w:rPr>
                <w:sz w:val="19"/>
              </w:rPr>
              <w:t>676 868</w:t>
            </w:r>
          </w:p>
        </w:tc>
        <w:tc>
          <w:tcPr>
            <w:tcW w:w="1137" w:type="dxa"/>
            <w:vAlign w:val="bottom"/>
          </w:tcPr>
          <w:p w:rsidR="00000000" w:rsidRDefault="00000000">
            <w:pPr>
              <w:widowControl w:val="0"/>
              <w:tabs>
                <w:tab w:val="decimal" w:pos="897"/>
              </w:tabs>
              <w:autoSpaceDE w:val="0"/>
              <w:autoSpaceDN w:val="0"/>
              <w:adjustRightInd w:val="0"/>
              <w:spacing w:before="30" w:after="30"/>
              <w:jc w:val="right"/>
              <w:rPr>
                <w:sz w:val="19"/>
              </w:rPr>
            </w:pPr>
            <w:r>
              <w:rPr>
                <w:sz w:val="19"/>
              </w:rPr>
              <w:t>557 432</w:t>
            </w:r>
          </w:p>
        </w:tc>
        <w:tc>
          <w:tcPr>
            <w:tcW w:w="1137" w:type="dxa"/>
            <w:vAlign w:val="bottom"/>
          </w:tcPr>
          <w:p w:rsidR="00000000" w:rsidRDefault="00000000">
            <w:pPr>
              <w:widowControl w:val="0"/>
              <w:tabs>
                <w:tab w:val="decimal" w:pos="909"/>
              </w:tabs>
              <w:autoSpaceDE w:val="0"/>
              <w:autoSpaceDN w:val="0"/>
              <w:adjustRightInd w:val="0"/>
              <w:spacing w:before="30" w:after="30"/>
              <w:jc w:val="right"/>
              <w:rPr>
                <w:sz w:val="19"/>
              </w:rPr>
            </w:pPr>
            <w:r>
              <w:rPr>
                <w:sz w:val="19"/>
              </w:rPr>
              <w:t>652 303</w:t>
            </w:r>
          </w:p>
        </w:tc>
        <w:tc>
          <w:tcPr>
            <w:tcW w:w="1137" w:type="dxa"/>
            <w:vAlign w:val="bottom"/>
          </w:tcPr>
          <w:p w:rsidR="00000000" w:rsidRDefault="00000000">
            <w:pPr>
              <w:widowControl w:val="0"/>
              <w:tabs>
                <w:tab w:val="decimal" w:pos="906"/>
              </w:tabs>
              <w:autoSpaceDE w:val="0"/>
              <w:autoSpaceDN w:val="0"/>
              <w:adjustRightInd w:val="0"/>
              <w:spacing w:before="30" w:after="30"/>
              <w:jc w:val="right"/>
              <w:rPr>
                <w:sz w:val="19"/>
              </w:rPr>
            </w:pPr>
            <w:r>
              <w:rPr>
                <w:sz w:val="19"/>
              </w:rPr>
              <w:t>668 677</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b/>
          <w:bCs/>
          <w:sz w:val="20"/>
        </w:rPr>
      </w:pPr>
      <w:r>
        <w:rPr>
          <w:b/>
          <w:bCs/>
          <w:i/>
          <w:iCs/>
          <w:sz w:val="20"/>
          <w:vertAlign w:val="superscript"/>
        </w:rPr>
        <w:t>p</w:t>
      </w:r>
      <w:r>
        <w:rPr>
          <w:sz w:val="20"/>
        </w:rPr>
        <w:t xml:space="preserve"> Chiffres provisoires.</w:t>
      </w:r>
    </w:p>
    <w:p w:rsidR="00000000" w:rsidRDefault="00000000">
      <w:pPr>
        <w:spacing w:after="180"/>
        <w:jc w:val="center"/>
        <w:rPr>
          <w:b/>
          <w:bCs/>
        </w:rPr>
      </w:pPr>
      <w:r>
        <w:rPr>
          <w:b/>
          <w:bCs/>
        </w:rPr>
        <w:br w:type="page"/>
        <w:t>Tableau 1.2</w:t>
      </w:r>
    </w:p>
    <w:p w:rsidR="00000000" w:rsidRDefault="00000000">
      <w:pPr>
        <w:spacing w:after="180"/>
        <w:jc w:val="center"/>
        <w:rPr>
          <w:b/>
          <w:bCs/>
        </w:rPr>
      </w:pPr>
      <w:r>
        <w:rPr>
          <w:b/>
          <w:bCs/>
        </w:rPr>
        <w:t>Bolivie − Zones rurales: Situation annuelle de l’emploi, par sexe, 1999</w:t>
      </w:r>
      <w:r>
        <w:rPr>
          <w:b/>
          <w:bCs/>
        </w:rPr>
        <w:noBreakHyphen/>
        <w:t>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11"/>
        <w:gridCol w:w="1138"/>
        <w:gridCol w:w="1137"/>
        <w:gridCol w:w="1137"/>
        <w:gridCol w:w="1137"/>
        <w:gridCol w:w="1137"/>
      </w:tblGrid>
      <w:tr w:rsidR="00000000">
        <w:tblPrEx>
          <w:tblCellMar>
            <w:top w:w="0" w:type="dxa"/>
            <w:bottom w:w="0" w:type="dxa"/>
          </w:tblCellMar>
        </w:tblPrEx>
        <w:trPr>
          <w:tblHeader/>
        </w:trPr>
        <w:tc>
          <w:tcPr>
            <w:tcW w:w="3811" w:type="dxa"/>
            <w:tcBorders>
              <w:bottom w:val="single" w:sz="4" w:space="0" w:color="auto"/>
            </w:tcBorders>
            <w:vAlign w:val="center"/>
          </w:tcPr>
          <w:p w:rsidR="00000000" w:rsidRDefault="00000000">
            <w:pPr>
              <w:spacing w:before="60" w:after="60"/>
              <w:jc w:val="center"/>
              <w:rPr>
                <w:sz w:val="19"/>
              </w:rPr>
            </w:pPr>
            <w:r>
              <w:rPr>
                <w:sz w:val="19"/>
              </w:rPr>
              <w:t>Situation de l’emploi</w:t>
            </w:r>
          </w:p>
        </w:tc>
        <w:tc>
          <w:tcPr>
            <w:tcW w:w="1138" w:type="dxa"/>
            <w:vAlign w:val="center"/>
          </w:tcPr>
          <w:p w:rsidR="00000000" w:rsidRDefault="00000000">
            <w:pPr>
              <w:spacing w:before="60" w:after="60"/>
              <w:jc w:val="center"/>
              <w:rPr>
                <w:sz w:val="19"/>
              </w:rPr>
            </w:pPr>
            <w:r>
              <w:rPr>
                <w:sz w:val="19"/>
              </w:rPr>
              <w:t>1999</w:t>
            </w:r>
          </w:p>
        </w:tc>
        <w:tc>
          <w:tcPr>
            <w:tcW w:w="1137" w:type="dxa"/>
            <w:vAlign w:val="center"/>
          </w:tcPr>
          <w:p w:rsidR="00000000" w:rsidRDefault="00000000">
            <w:pPr>
              <w:spacing w:before="60" w:after="60"/>
              <w:jc w:val="center"/>
              <w:rPr>
                <w:sz w:val="19"/>
              </w:rPr>
            </w:pPr>
            <w:r>
              <w:rPr>
                <w:sz w:val="19"/>
              </w:rPr>
              <w:t>2000</w:t>
            </w:r>
          </w:p>
        </w:tc>
        <w:tc>
          <w:tcPr>
            <w:tcW w:w="1137" w:type="dxa"/>
            <w:vAlign w:val="center"/>
          </w:tcPr>
          <w:p w:rsidR="00000000" w:rsidRDefault="00000000">
            <w:pPr>
              <w:spacing w:before="60" w:after="60"/>
              <w:jc w:val="center"/>
              <w:rPr>
                <w:sz w:val="19"/>
              </w:rPr>
            </w:pPr>
            <w:r>
              <w:rPr>
                <w:sz w:val="19"/>
              </w:rPr>
              <w:t>2001</w:t>
            </w:r>
          </w:p>
        </w:tc>
        <w:tc>
          <w:tcPr>
            <w:tcW w:w="1137" w:type="dxa"/>
            <w:vAlign w:val="center"/>
          </w:tcPr>
          <w:p w:rsidR="00000000" w:rsidRDefault="00000000">
            <w:pPr>
              <w:spacing w:before="60" w:after="60"/>
              <w:jc w:val="center"/>
              <w:rPr>
                <w:sz w:val="19"/>
              </w:rPr>
            </w:pPr>
            <w:r>
              <w:rPr>
                <w:sz w:val="19"/>
              </w:rPr>
              <w:t>2002</w:t>
            </w:r>
          </w:p>
        </w:tc>
        <w:tc>
          <w:tcPr>
            <w:tcW w:w="1137" w:type="dxa"/>
            <w:vAlign w:val="center"/>
          </w:tcPr>
          <w:p w:rsidR="00000000" w:rsidRDefault="00000000">
            <w:pPr>
              <w:spacing w:before="60" w:after="60"/>
              <w:jc w:val="center"/>
              <w:rPr>
                <w:sz w:val="19"/>
              </w:rPr>
            </w:pPr>
            <w:r>
              <w:rPr>
                <w:sz w:val="19"/>
              </w:rPr>
              <w:t>2003</w:t>
            </w:r>
            <w:r>
              <w:rPr>
                <w:i/>
                <w:iCs/>
                <w:sz w:val="19"/>
                <w:vertAlign w:val="superscript"/>
              </w:rPr>
              <w:t>p</w:t>
            </w:r>
          </w:p>
        </w:tc>
      </w:tr>
      <w:tr w:rsidR="00000000">
        <w:tblPrEx>
          <w:tblCellMar>
            <w:top w:w="0" w:type="dxa"/>
            <w:bottom w:w="0" w:type="dxa"/>
          </w:tblCellMar>
        </w:tblPrEx>
        <w:tc>
          <w:tcPr>
            <w:tcW w:w="3811" w:type="dxa"/>
            <w:tcBorders>
              <w:bottom w:val="nil"/>
            </w:tcBorders>
            <w:vAlign w:val="center"/>
          </w:tcPr>
          <w:p w:rsidR="00000000" w:rsidRDefault="00000000">
            <w:pPr>
              <w:spacing w:before="30" w:after="30"/>
              <w:rPr>
                <w:b/>
                <w:bCs/>
                <w:sz w:val="19"/>
              </w:rPr>
            </w:pPr>
            <w:r>
              <w:rPr>
                <w:b/>
                <w:bCs/>
                <w:sz w:val="19"/>
              </w:rPr>
              <w:t>EFFECTIF TOTAL</w:t>
            </w:r>
          </w:p>
        </w:tc>
        <w:tc>
          <w:tcPr>
            <w:tcW w:w="1138" w:type="dxa"/>
            <w:vAlign w:val="bottom"/>
          </w:tcPr>
          <w:p w:rsidR="00000000" w:rsidRDefault="00000000">
            <w:pPr>
              <w:keepNext/>
              <w:keepLines/>
              <w:tabs>
                <w:tab w:val="decimal" w:pos="869"/>
              </w:tabs>
              <w:autoSpaceDE w:val="0"/>
              <w:autoSpaceDN w:val="0"/>
              <w:adjustRightInd w:val="0"/>
              <w:spacing w:before="30" w:after="30"/>
              <w:rPr>
                <w:b/>
                <w:sz w:val="19"/>
              </w:rPr>
            </w:pPr>
            <w:r>
              <w:rPr>
                <w:b/>
                <w:sz w:val="19"/>
              </w:rPr>
              <w:t>2 965 263</w:t>
            </w:r>
          </w:p>
        </w:tc>
        <w:tc>
          <w:tcPr>
            <w:tcW w:w="1137" w:type="dxa"/>
            <w:vAlign w:val="bottom"/>
          </w:tcPr>
          <w:p w:rsidR="00000000" w:rsidRDefault="00000000">
            <w:pPr>
              <w:keepNext/>
              <w:keepLines/>
              <w:tabs>
                <w:tab w:val="decimal" w:pos="855"/>
              </w:tabs>
              <w:autoSpaceDE w:val="0"/>
              <w:autoSpaceDN w:val="0"/>
              <w:adjustRightInd w:val="0"/>
              <w:spacing w:before="30" w:after="30"/>
              <w:rPr>
                <w:b/>
                <w:sz w:val="19"/>
              </w:rPr>
            </w:pPr>
            <w:r>
              <w:rPr>
                <w:b/>
                <w:sz w:val="19"/>
              </w:rPr>
              <w:t>3 006 277</w:t>
            </w:r>
          </w:p>
        </w:tc>
        <w:tc>
          <w:tcPr>
            <w:tcW w:w="1137" w:type="dxa"/>
            <w:vAlign w:val="bottom"/>
          </w:tcPr>
          <w:p w:rsidR="00000000" w:rsidRDefault="00000000">
            <w:pPr>
              <w:keepNext/>
              <w:keepLines/>
              <w:tabs>
                <w:tab w:val="decimal" w:pos="881"/>
              </w:tabs>
              <w:autoSpaceDE w:val="0"/>
              <w:autoSpaceDN w:val="0"/>
              <w:adjustRightInd w:val="0"/>
              <w:spacing w:before="30" w:after="30"/>
              <w:rPr>
                <w:b/>
                <w:sz w:val="19"/>
              </w:rPr>
            </w:pPr>
            <w:r>
              <w:rPr>
                <w:b/>
                <w:sz w:val="19"/>
              </w:rPr>
              <w:t>3 099 633</w:t>
            </w:r>
          </w:p>
        </w:tc>
        <w:tc>
          <w:tcPr>
            <w:tcW w:w="1137" w:type="dxa"/>
            <w:vAlign w:val="bottom"/>
          </w:tcPr>
          <w:p w:rsidR="00000000" w:rsidRDefault="00000000">
            <w:pPr>
              <w:keepNext/>
              <w:keepLines/>
              <w:tabs>
                <w:tab w:val="decimal" w:pos="882"/>
              </w:tabs>
              <w:autoSpaceDE w:val="0"/>
              <w:autoSpaceDN w:val="0"/>
              <w:adjustRightInd w:val="0"/>
              <w:spacing w:before="30" w:after="30"/>
              <w:rPr>
                <w:b/>
                <w:sz w:val="19"/>
              </w:rPr>
            </w:pPr>
            <w:r>
              <w:rPr>
                <w:b/>
                <w:sz w:val="19"/>
              </w:rPr>
              <w:t>3 217 046</w:t>
            </w:r>
          </w:p>
        </w:tc>
        <w:tc>
          <w:tcPr>
            <w:tcW w:w="1137" w:type="dxa"/>
            <w:vAlign w:val="bottom"/>
          </w:tcPr>
          <w:p w:rsidR="00000000" w:rsidRDefault="00000000">
            <w:pPr>
              <w:keepNext/>
              <w:keepLines/>
              <w:tabs>
                <w:tab w:val="decimal" w:pos="1004"/>
              </w:tabs>
              <w:autoSpaceDE w:val="0"/>
              <w:autoSpaceDN w:val="0"/>
              <w:adjustRightInd w:val="0"/>
              <w:spacing w:before="30" w:after="30"/>
              <w:rPr>
                <w:b/>
                <w:sz w:val="19"/>
              </w:rPr>
            </w:pPr>
            <w:r>
              <w:rPr>
                <w:b/>
                <w:sz w:val="19"/>
              </w:rPr>
              <w:t>3 131 314</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Population non en âge de travailler (PENT)</w:t>
            </w:r>
          </w:p>
        </w:tc>
        <w:tc>
          <w:tcPr>
            <w:tcW w:w="1138" w:type="dxa"/>
            <w:vAlign w:val="bottom"/>
          </w:tcPr>
          <w:p w:rsidR="00000000" w:rsidRDefault="00000000">
            <w:pPr>
              <w:keepNext/>
              <w:keepLines/>
              <w:tabs>
                <w:tab w:val="decimal" w:pos="869"/>
              </w:tabs>
              <w:autoSpaceDE w:val="0"/>
              <w:autoSpaceDN w:val="0"/>
              <w:adjustRightInd w:val="0"/>
              <w:spacing w:before="30" w:after="30"/>
              <w:rPr>
                <w:sz w:val="19"/>
              </w:rPr>
            </w:pPr>
            <w:r>
              <w:rPr>
                <w:sz w:val="19"/>
              </w:rPr>
              <w:t>928 512</w:t>
            </w:r>
          </w:p>
        </w:tc>
        <w:tc>
          <w:tcPr>
            <w:tcW w:w="1137" w:type="dxa"/>
            <w:vAlign w:val="bottom"/>
          </w:tcPr>
          <w:p w:rsidR="00000000" w:rsidRDefault="00000000">
            <w:pPr>
              <w:keepNext/>
              <w:keepLines/>
              <w:tabs>
                <w:tab w:val="decimal" w:pos="855"/>
              </w:tabs>
              <w:autoSpaceDE w:val="0"/>
              <w:autoSpaceDN w:val="0"/>
              <w:adjustRightInd w:val="0"/>
              <w:spacing w:before="30" w:after="30"/>
              <w:rPr>
                <w:sz w:val="19"/>
              </w:rPr>
            </w:pPr>
            <w:r>
              <w:rPr>
                <w:sz w:val="19"/>
              </w:rPr>
              <w:t>915 739</w:t>
            </w:r>
          </w:p>
        </w:tc>
        <w:tc>
          <w:tcPr>
            <w:tcW w:w="1137" w:type="dxa"/>
            <w:vAlign w:val="bottom"/>
          </w:tcPr>
          <w:p w:rsidR="00000000" w:rsidRDefault="00000000">
            <w:pPr>
              <w:keepNext/>
              <w:keepLines/>
              <w:tabs>
                <w:tab w:val="decimal" w:pos="881"/>
              </w:tabs>
              <w:autoSpaceDE w:val="0"/>
              <w:autoSpaceDN w:val="0"/>
              <w:adjustRightInd w:val="0"/>
              <w:spacing w:before="30" w:after="30"/>
              <w:rPr>
                <w:sz w:val="19"/>
              </w:rPr>
            </w:pPr>
            <w:r>
              <w:rPr>
                <w:sz w:val="19"/>
              </w:rPr>
              <w:t>944 321</w:t>
            </w:r>
          </w:p>
        </w:tc>
        <w:tc>
          <w:tcPr>
            <w:tcW w:w="1137" w:type="dxa"/>
            <w:vAlign w:val="bottom"/>
          </w:tcPr>
          <w:p w:rsidR="00000000" w:rsidRDefault="00000000">
            <w:pPr>
              <w:keepNext/>
              <w:keepLines/>
              <w:tabs>
                <w:tab w:val="decimal" w:pos="882"/>
              </w:tabs>
              <w:autoSpaceDE w:val="0"/>
              <w:autoSpaceDN w:val="0"/>
              <w:adjustRightInd w:val="0"/>
              <w:spacing w:before="30" w:after="30"/>
              <w:rPr>
                <w:sz w:val="19"/>
              </w:rPr>
            </w:pPr>
            <w:r>
              <w:rPr>
                <w:sz w:val="19"/>
              </w:rPr>
              <w:t>952 125</w:t>
            </w:r>
          </w:p>
        </w:tc>
        <w:tc>
          <w:tcPr>
            <w:tcW w:w="1137" w:type="dxa"/>
            <w:vAlign w:val="bottom"/>
          </w:tcPr>
          <w:p w:rsidR="00000000" w:rsidRDefault="00000000">
            <w:pPr>
              <w:keepNext/>
              <w:keepLines/>
              <w:tabs>
                <w:tab w:val="decimal" w:pos="1004"/>
              </w:tabs>
              <w:autoSpaceDE w:val="0"/>
              <w:autoSpaceDN w:val="0"/>
              <w:adjustRightInd w:val="0"/>
              <w:spacing w:before="30" w:after="30"/>
              <w:rPr>
                <w:sz w:val="19"/>
              </w:rPr>
            </w:pPr>
            <w:r>
              <w:rPr>
                <w:sz w:val="19"/>
              </w:rPr>
              <w:t>887 459</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Population en âge de travailler (PET)</w:t>
            </w:r>
          </w:p>
        </w:tc>
        <w:tc>
          <w:tcPr>
            <w:tcW w:w="1138" w:type="dxa"/>
            <w:vAlign w:val="bottom"/>
          </w:tcPr>
          <w:p w:rsidR="00000000" w:rsidRDefault="00000000">
            <w:pPr>
              <w:keepNext/>
              <w:keepLines/>
              <w:tabs>
                <w:tab w:val="decimal" w:pos="869"/>
              </w:tabs>
              <w:autoSpaceDE w:val="0"/>
              <w:autoSpaceDN w:val="0"/>
              <w:adjustRightInd w:val="0"/>
              <w:spacing w:before="30" w:after="30"/>
              <w:rPr>
                <w:sz w:val="19"/>
              </w:rPr>
            </w:pPr>
            <w:r>
              <w:rPr>
                <w:sz w:val="19"/>
              </w:rPr>
              <w:t>2 036 751</w:t>
            </w:r>
          </w:p>
        </w:tc>
        <w:tc>
          <w:tcPr>
            <w:tcW w:w="1137" w:type="dxa"/>
            <w:vAlign w:val="bottom"/>
          </w:tcPr>
          <w:p w:rsidR="00000000" w:rsidRDefault="00000000">
            <w:pPr>
              <w:keepNext/>
              <w:keepLines/>
              <w:tabs>
                <w:tab w:val="decimal" w:pos="855"/>
              </w:tabs>
              <w:autoSpaceDE w:val="0"/>
              <w:autoSpaceDN w:val="0"/>
              <w:adjustRightInd w:val="0"/>
              <w:spacing w:before="30" w:after="30"/>
              <w:rPr>
                <w:sz w:val="19"/>
              </w:rPr>
            </w:pPr>
            <w:r>
              <w:rPr>
                <w:sz w:val="19"/>
              </w:rPr>
              <w:t>2 090 538</w:t>
            </w:r>
          </w:p>
        </w:tc>
        <w:tc>
          <w:tcPr>
            <w:tcW w:w="1137" w:type="dxa"/>
            <w:vAlign w:val="bottom"/>
          </w:tcPr>
          <w:p w:rsidR="00000000" w:rsidRDefault="00000000">
            <w:pPr>
              <w:keepNext/>
              <w:keepLines/>
              <w:tabs>
                <w:tab w:val="decimal" w:pos="881"/>
              </w:tabs>
              <w:autoSpaceDE w:val="0"/>
              <w:autoSpaceDN w:val="0"/>
              <w:adjustRightInd w:val="0"/>
              <w:spacing w:before="30" w:after="30"/>
              <w:rPr>
                <w:sz w:val="19"/>
              </w:rPr>
            </w:pPr>
            <w:r>
              <w:rPr>
                <w:sz w:val="19"/>
              </w:rPr>
              <w:t>2 155 312</w:t>
            </w:r>
          </w:p>
        </w:tc>
        <w:tc>
          <w:tcPr>
            <w:tcW w:w="1137" w:type="dxa"/>
            <w:vAlign w:val="bottom"/>
          </w:tcPr>
          <w:p w:rsidR="00000000" w:rsidRDefault="00000000">
            <w:pPr>
              <w:keepNext/>
              <w:keepLines/>
              <w:tabs>
                <w:tab w:val="decimal" w:pos="882"/>
              </w:tabs>
              <w:autoSpaceDE w:val="0"/>
              <w:autoSpaceDN w:val="0"/>
              <w:adjustRightInd w:val="0"/>
              <w:spacing w:before="30" w:after="30"/>
              <w:rPr>
                <w:sz w:val="19"/>
              </w:rPr>
            </w:pPr>
            <w:r>
              <w:rPr>
                <w:sz w:val="19"/>
              </w:rPr>
              <w:t>2 264 921</w:t>
            </w:r>
          </w:p>
        </w:tc>
        <w:tc>
          <w:tcPr>
            <w:tcW w:w="1137" w:type="dxa"/>
            <w:vAlign w:val="bottom"/>
          </w:tcPr>
          <w:p w:rsidR="00000000" w:rsidRDefault="00000000">
            <w:pPr>
              <w:keepNext/>
              <w:keepLines/>
              <w:tabs>
                <w:tab w:val="decimal" w:pos="1004"/>
              </w:tabs>
              <w:autoSpaceDE w:val="0"/>
              <w:autoSpaceDN w:val="0"/>
              <w:adjustRightInd w:val="0"/>
              <w:spacing w:before="30" w:after="30"/>
              <w:rPr>
                <w:sz w:val="19"/>
              </w:rPr>
            </w:pPr>
            <w:r>
              <w:rPr>
                <w:sz w:val="19"/>
              </w:rPr>
              <w:t>2 243 855</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Population active (PEA)</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1 628 661</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1 560 416</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1 742 647</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1 726 476</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1 818 355</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Personnes pourvus d’emploi (PO)</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1 620 849</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1 545 873</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1 728 001</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1 706 502</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1 789 065</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Chômeurs (PD)</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7 812</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14 543</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14 646</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19 974</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29 290</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Travailleurs sans emploi (C)</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6 255</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11 332</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8 583</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14 116</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20 765</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Demandeurs d’emploi (A)</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1 557</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3 211</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6 063</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5 858</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8 525</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Population inactive</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408 090</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530 122</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412 665</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538 445</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425 500</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Travailleurs pourvus d’un emploi temporaire (T)</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151 063</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208 109</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164 752</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227 712</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186 721</w:t>
            </w:r>
          </w:p>
        </w:tc>
      </w:tr>
      <w:tr w:rsidR="00000000">
        <w:tblPrEx>
          <w:tblCellMar>
            <w:top w:w="0" w:type="dxa"/>
            <w:bottom w:w="0" w:type="dxa"/>
          </w:tblCellMar>
        </w:tblPrEx>
        <w:tc>
          <w:tcPr>
            <w:tcW w:w="3811" w:type="dxa"/>
            <w:tcBorders>
              <w:top w:val="nil"/>
              <w:bottom w:val="single" w:sz="4" w:space="0" w:color="auto"/>
            </w:tcBorders>
          </w:tcPr>
          <w:p w:rsidR="00000000" w:rsidRDefault="00000000">
            <w:pPr>
              <w:spacing w:before="30" w:after="30"/>
              <w:ind w:left="284"/>
              <w:rPr>
                <w:b/>
                <w:bCs/>
                <w:sz w:val="19"/>
              </w:rPr>
            </w:pPr>
            <w:r>
              <w:rPr>
                <w:sz w:val="19"/>
              </w:rPr>
              <w:t>Travailleurs pourvus d’un emploi</w:t>
            </w:r>
            <w:r>
              <w:rPr>
                <w:b/>
                <w:bCs/>
                <w:sz w:val="19"/>
              </w:rPr>
              <w:t xml:space="preserve"> </w:t>
            </w:r>
            <w:r>
              <w:rPr>
                <w:sz w:val="19"/>
              </w:rPr>
              <w:t>permanent (P)</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257 027</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322 013</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247 913</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310 733</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238 779</w:t>
            </w:r>
          </w:p>
        </w:tc>
      </w:tr>
      <w:tr w:rsidR="00000000">
        <w:tblPrEx>
          <w:tblCellMar>
            <w:top w:w="0" w:type="dxa"/>
            <w:bottom w:w="0" w:type="dxa"/>
          </w:tblCellMar>
        </w:tblPrEx>
        <w:tc>
          <w:tcPr>
            <w:tcW w:w="3811" w:type="dxa"/>
            <w:tcBorders>
              <w:bottom w:val="nil"/>
            </w:tcBorders>
          </w:tcPr>
          <w:p w:rsidR="00000000" w:rsidRDefault="00000000">
            <w:pPr>
              <w:spacing w:before="30" w:after="30"/>
              <w:rPr>
                <w:b/>
                <w:bCs/>
                <w:sz w:val="19"/>
              </w:rPr>
            </w:pPr>
            <w:r>
              <w:rPr>
                <w:b/>
                <w:bCs/>
                <w:sz w:val="19"/>
              </w:rPr>
              <w:t>HOMMES</w:t>
            </w:r>
          </w:p>
        </w:tc>
        <w:tc>
          <w:tcPr>
            <w:tcW w:w="1138" w:type="dxa"/>
            <w:vAlign w:val="bottom"/>
          </w:tcPr>
          <w:p w:rsidR="00000000" w:rsidRDefault="00000000">
            <w:pPr>
              <w:widowControl w:val="0"/>
              <w:tabs>
                <w:tab w:val="decimal" w:pos="869"/>
              </w:tabs>
              <w:autoSpaceDE w:val="0"/>
              <w:autoSpaceDN w:val="0"/>
              <w:adjustRightInd w:val="0"/>
              <w:spacing w:before="30" w:after="30"/>
              <w:rPr>
                <w:b/>
                <w:bCs/>
                <w:sz w:val="19"/>
              </w:rPr>
            </w:pPr>
            <w:r>
              <w:rPr>
                <w:b/>
                <w:bCs/>
                <w:sz w:val="19"/>
              </w:rPr>
              <w:t>1 480 840</w:t>
            </w:r>
          </w:p>
        </w:tc>
        <w:tc>
          <w:tcPr>
            <w:tcW w:w="1137" w:type="dxa"/>
            <w:vAlign w:val="bottom"/>
          </w:tcPr>
          <w:p w:rsidR="00000000" w:rsidRDefault="00000000">
            <w:pPr>
              <w:widowControl w:val="0"/>
              <w:tabs>
                <w:tab w:val="decimal" w:pos="855"/>
              </w:tabs>
              <w:autoSpaceDE w:val="0"/>
              <w:autoSpaceDN w:val="0"/>
              <w:adjustRightInd w:val="0"/>
              <w:spacing w:before="30" w:after="30"/>
              <w:rPr>
                <w:b/>
                <w:bCs/>
                <w:sz w:val="19"/>
              </w:rPr>
            </w:pPr>
            <w:r>
              <w:rPr>
                <w:b/>
                <w:bCs/>
                <w:sz w:val="19"/>
              </w:rPr>
              <w:t>1 516 321</w:t>
            </w:r>
          </w:p>
        </w:tc>
        <w:tc>
          <w:tcPr>
            <w:tcW w:w="1137" w:type="dxa"/>
            <w:vAlign w:val="bottom"/>
          </w:tcPr>
          <w:p w:rsidR="00000000" w:rsidRDefault="00000000">
            <w:pPr>
              <w:widowControl w:val="0"/>
              <w:tabs>
                <w:tab w:val="decimal" w:pos="881"/>
              </w:tabs>
              <w:autoSpaceDE w:val="0"/>
              <w:autoSpaceDN w:val="0"/>
              <w:adjustRightInd w:val="0"/>
              <w:spacing w:before="30" w:after="30"/>
              <w:rPr>
                <w:b/>
                <w:bCs/>
                <w:sz w:val="19"/>
              </w:rPr>
            </w:pPr>
            <w:r>
              <w:rPr>
                <w:b/>
                <w:bCs/>
                <w:sz w:val="19"/>
              </w:rPr>
              <w:t>1 564 423</w:t>
            </w:r>
          </w:p>
        </w:tc>
        <w:tc>
          <w:tcPr>
            <w:tcW w:w="1137" w:type="dxa"/>
            <w:vAlign w:val="bottom"/>
          </w:tcPr>
          <w:p w:rsidR="00000000" w:rsidRDefault="00000000">
            <w:pPr>
              <w:widowControl w:val="0"/>
              <w:tabs>
                <w:tab w:val="decimal" w:pos="882"/>
              </w:tabs>
              <w:autoSpaceDE w:val="0"/>
              <w:autoSpaceDN w:val="0"/>
              <w:adjustRightInd w:val="0"/>
              <w:spacing w:before="30" w:after="30"/>
              <w:rPr>
                <w:b/>
                <w:bCs/>
                <w:sz w:val="19"/>
              </w:rPr>
            </w:pPr>
            <w:r>
              <w:rPr>
                <w:b/>
                <w:bCs/>
                <w:sz w:val="19"/>
              </w:rPr>
              <w:t>1 628 723</w:t>
            </w:r>
          </w:p>
        </w:tc>
        <w:tc>
          <w:tcPr>
            <w:tcW w:w="1137" w:type="dxa"/>
            <w:vAlign w:val="bottom"/>
          </w:tcPr>
          <w:p w:rsidR="00000000" w:rsidRDefault="00000000">
            <w:pPr>
              <w:widowControl w:val="0"/>
              <w:tabs>
                <w:tab w:val="decimal" w:pos="1004"/>
              </w:tabs>
              <w:autoSpaceDE w:val="0"/>
              <w:autoSpaceDN w:val="0"/>
              <w:adjustRightInd w:val="0"/>
              <w:spacing w:before="30" w:after="30"/>
              <w:rPr>
                <w:b/>
                <w:bCs/>
                <w:sz w:val="19"/>
              </w:rPr>
            </w:pPr>
            <w:r>
              <w:rPr>
                <w:b/>
                <w:bCs/>
                <w:sz w:val="19"/>
              </w:rPr>
              <w:t>1 597 816</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Population non en âge de travailler (PENT)</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479 435</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470 814</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476 243</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468 834</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457 447</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Population en âge de travailler (PET)</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1 001 405</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1 045 507</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1 088 180</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1 159 889</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1 140 369</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Population active (PEA)</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872 813</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870 352</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971 008</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999 017</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1 011 193</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Personnes pourvues d’emploi (PO)</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870 284</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864 490</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965 527</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993 700</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999 826</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Chômeurs (PD)</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2 529</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5 862</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5 481</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5 317</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11 367</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Travailleurs sans emploi (C)</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2 246</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3 912</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3 587</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4 777</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10 090</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Demandeurs d’emploi (A)</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283</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1 950</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1 894</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540</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1 277</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Population inactive</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128 592</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175 155</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117 172</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160 872</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129 176</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Travailleurs pourvus d’un emploi temporaire (T)</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41 335</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48 815</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39 365</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52 700</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43 203</w:t>
            </w:r>
          </w:p>
        </w:tc>
      </w:tr>
      <w:tr w:rsidR="00000000">
        <w:tblPrEx>
          <w:tblCellMar>
            <w:top w:w="0" w:type="dxa"/>
            <w:bottom w:w="0" w:type="dxa"/>
          </w:tblCellMar>
        </w:tblPrEx>
        <w:tc>
          <w:tcPr>
            <w:tcW w:w="3811" w:type="dxa"/>
            <w:tcBorders>
              <w:top w:val="nil"/>
              <w:bottom w:val="single" w:sz="4" w:space="0" w:color="auto"/>
            </w:tcBorders>
          </w:tcPr>
          <w:p w:rsidR="00000000" w:rsidRDefault="00000000">
            <w:pPr>
              <w:spacing w:before="30" w:after="30"/>
              <w:ind w:left="284"/>
              <w:rPr>
                <w:b/>
                <w:bCs/>
                <w:sz w:val="19"/>
              </w:rPr>
            </w:pPr>
            <w:r>
              <w:rPr>
                <w:sz w:val="19"/>
              </w:rPr>
              <w:t>Travailleurs pourvus d’un emploi</w:t>
            </w:r>
            <w:r>
              <w:rPr>
                <w:b/>
                <w:bCs/>
                <w:sz w:val="19"/>
              </w:rPr>
              <w:t xml:space="preserve"> </w:t>
            </w:r>
            <w:r>
              <w:rPr>
                <w:sz w:val="19"/>
              </w:rPr>
              <w:t>permanent (P)</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87 257</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126 340</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77 807</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108 172</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85 973</w:t>
            </w:r>
          </w:p>
        </w:tc>
      </w:tr>
      <w:tr w:rsidR="00000000">
        <w:tblPrEx>
          <w:tblCellMar>
            <w:top w:w="0" w:type="dxa"/>
            <w:bottom w:w="0" w:type="dxa"/>
          </w:tblCellMar>
        </w:tblPrEx>
        <w:tc>
          <w:tcPr>
            <w:tcW w:w="3811" w:type="dxa"/>
            <w:tcBorders>
              <w:bottom w:val="nil"/>
            </w:tcBorders>
          </w:tcPr>
          <w:p w:rsidR="00000000" w:rsidRDefault="00000000">
            <w:pPr>
              <w:spacing w:before="30" w:after="30"/>
              <w:rPr>
                <w:b/>
                <w:bCs/>
                <w:sz w:val="19"/>
              </w:rPr>
            </w:pPr>
            <w:r>
              <w:rPr>
                <w:b/>
                <w:bCs/>
                <w:sz w:val="19"/>
              </w:rPr>
              <w:t>FEMMES</w:t>
            </w:r>
          </w:p>
        </w:tc>
        <w:tc>
          <w:tcPr>
            <w:tcW w:w="1138" w:type="dxa"/>
            <w:vAlign w:val="bottom"/>
          </w:tcPr>
          <w:p w:rsidR="00000000" w:rsidRDefault="00000000">
            <w:pPr>
              <w:widowControl w:val="0"/>
              <w:tabs>
                <w:tab w:val="decimal" w:pos="869"/>
              </w:tabs>
              <w:autoSpaceDE w:val="0"/>
              <w:autoSpaceDN w:val="0"/>
              <w:adjustRightInd w:val="0"/>
              <w:spacing w:before="30" w:after="30"/>
              <w:rPr>
                <w:b/>
                <w:bCs/>
                <w:sz w:val="19"/>
              </w:rPr>
            </w:pPr>
            <w:r>
              <w:rPr>
                <w:b/>
                <w:bCs/>
                <w:sz w:val="19"/>
              </w:rPr>
              <w:t>1 484 423</w:t>
            </w:r>
          </w:p>
        </w:tc>
        <w:tc>
          <w:tcPr>
            <w:tcW w:w="1137" w:type="dxa"/>
            <w:vAlign w:val="bottom"/>
          </w:tcPr>
          <w:p w:rsidR="00000000" w:rsidRDefault="00000000">
            <w:pPr>
              <w:widowControl w:val="0"/>
              <w:tabs>
                <w:tab w:val="decimal" w:pos="855"/>
              </w:tabs>
              <w:autoSpaceDE w:val="0"/>
              <w:autoSpaceDN w:val="0"/>
              <w:adjustRightInd w:val="0"/>
              <w:spacing w:before="30" w:after="30"/>
              <w:rPr>
                <w:b/>
                <w:bCs/>
                <w:sz w:val="19"/>
              </w:rPr>
            </w:pPr>
            <w:r>
              <w:rPr>
                <w:b/>
                <w:bCs/>
                <w:sz w:val="19"/>
              </w:rPr>
              <w:t>1 489 956</w:t>
            </w:r>
          </w:p>
        </w:tc>
        <w:tc>
          <w:tcPr>
            <w:tcW w:w="1137" w:type="dxa"/>
            <w:vAlign w:val="bottom"/>
          </w:tcPr>
          <w:p w:rsidR="00000000" w:rsidRDefault="00000000">
            <w:pPr>
              <w:widowControl w:val="0"/>
              <w:tabs>
                <w:tab w:val="decimal" w:pos="881"/>
              </w:tabs>
              <w:autoSpaceDE w:val="0"/>
              <w:autoSpaceDN w:val="0"/>
              <w:adjustRightInd w:val="0"/>
              <w:spacing w:before="30" w:after="30"/>
              <w:rPr>
                <w:b/>
                <w:bCs/>
                <w:sz w:val="19"/>
              </w:rPr>
            </w:pPr>
            <w:r>
              <w:rPr>
                <w:b/>
                <w:bCs/>
                <w:sz w:val="19"/>
              </w:rPr>
              <w:t>1 535 210</w:t>
            </w:r>
          </w:p>
        </w:tc>
        <w:tc>
          <w:tcPr>
            <w:tcW w:w="1137" w:type="dxa"/>
            <w:vAlign w:val="bottom"/>
          </w:tcPr>
          <w:p w:rsidR="00000000" w:rsidRDefault="00000000">
            <w:pPr>
              <w:widowControl w:val="0"/>
              <w:tabs>
                <w:tab w:val="decimal" w:pos="882"/>
              </w:tabs>
              <w:autoSpaceDE w:val="0"/>
              <w:autoSpaceDN w:val="0"/>
              <w:adjustRightInd w:val="0"/>
              <w:spacing w:before="30" w:after="30"/>
              <w:rPr>
                <w:b/>
                <w:bCs/>
                <w:sz w:val="19"/>
              </w:rPr>
            </w:pPr>
            <w:r>
              <w:rPr>
                <w:b/>
                <w:bCs/>
                <w:sz w:val="19"/>
              </w:rPr>
              <w:t>1 588 323</w:t>
            </w:r>
          </w:p>
        </w:tc>
        <w:tc>
          <w:tcPr>
            <w:tcW w:w="1137" w:type="dxa"/>
            <w:vAlign w:val="bottom"/>
          </w:tcPr>
          <w:p w:rsidR="00000000" w:rsidRDefault="00000000">
            <w:pPr>
              <w:widowControl w:val="0"/>
              <w:tabs>
                <w:tab w:val="decimal" w:pos="1004"/>
              </w:tabs>
              <w:autoSpaceDE w:val="0"/>
              <w:autoSpaceDN w:val="0"/>
              <w:adjustRightInd w:val="0"/>
              <w:spacing w:before="30" w:after="30"/>
              <w:rPr>
                <w:b/>
                <w:bCs/>
                <w:sz w:val="19"/>
              </w:rPr>
            </w:pPr>
            <w:r>
              <w:rPr>
                <w:b/>
                <w:bCs/>
                <w:sz w:val="19"/>
              </w:rPr>
              <w:t>1 533 498</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Population non en âge de travailler (PENT)</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449 077</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444 925</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468 078</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483 291</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430 012</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Population en âge de travailler (PET)</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1 035 346</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1 045 031</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1 067 132</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1 105 032</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1 103 486</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Population active (PEA)</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755 848</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690 064</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771 639</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727 459</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807 162</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Personnes pourvues d’emploi (PO)</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750 565</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681 383</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762 474</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712 802</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789 239</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Chômeurs (PD)</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5 283</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8 681</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9 165</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14 657</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17 923</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Travailleurs sans emploi (C)</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4 009</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7 420</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4 996</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9 339</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10 675</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Demandeurs d’emploi (A)</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1 274</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1 261</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4 169</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5 318</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7 248</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Population inactive</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279 498</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354 967</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295 493</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377 573</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296 324</w:t>
            </w:r>
          </w:p>
        </w:tc>
      </w:tr>
      <w:tr w:rsidR="00000000">
        <w:tblPrEx>
          <w:tblCellMar>
            <w:top w:w="0" w:type="dxa"/>
            <w:bottom w:w="0" w:type="dxa"/>
          </w:tblCellMar>
        </w:tblPrEx>
        <w:tc>
          <w:tcPr>
            <w:tcW w:w="3811" w:type="dxa"/>
            <w:tcBorders>
              <w:top w:val="nil"/>
              <w:bottom w:val="nil"/>
            </w:tcBorders>
          </w:tcPr>
          <w:p w:rsidR="00000000" w:rsidRDefault="00000000">
            <w:pPr>
              <w:spacing w:before="30" w:after="30"/>
              <w:ind w:left="284"/>
              <w:rPr>
                <w:sz w:val="19"/>
              </w:rPr>
            </w:pPr>
            <w:r>
              <w:rPr>
                <w:sz w:val="19"/>
              </w:rPr>
              <w:t>Travailleurs pourvus d’un emploi temporaire (T)</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109 728</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159 294</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125 387</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175 012</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143 518</w:t>
            </w:r>
          </w:p>
        </w:tc>
      </w:tr>
      <w:tr w:rsidR="00000000">
        <w:tblPrEx>
          <w:tblCellMar>
            <w:top w:w="0" w:type="dxa"/>
            <w:bottom w:w="0" w:type="dxa"/>
          </w:tblCellMar>
        </w:tblPrEx>
        <w:tc>
          <w:tcPr>
            <w:tcW w:w="3811" w:type="dxa"/>
            <w:tcBorders>
              <w:top w:val="nil"/>
            </w:tcBorders>
          </w:tcPr>
          <w:p w:rsidR="00000000" w:rsidRDefault="00000000">
            <w:pPr>
              <w:spacing w:before="30" w:after="30"/>
              <w:ind w:left="284"/>
              <w:rPr>
                <w:b/>
                <w:bCs/>
                <w:sz w:val="19"/>
              </w:rPr>
            </w:pPr>
            <w:r>
              <w:rPr>
                <w:sz w:val="19"/>
              </w:rPr>
              <w:t>Travailleurs pourvus d’un emploi</w:t>
            </w:r>
            <w:r>
              <w:rPr>
                <w:b/>
                <w:bCs/>
                <w:sz w:val="19"/>
              </w:rPr>
              <w:t xml:space="preserve"> </w:t>
            </w:r>
            <w:r>
              <w:rPr>
                <w:sz w:val="19"/>
              </w:rPr>
              <w:t>permanent (P)</w:t>
            </w:r>
          </w:p>
        </w:tc>
        <w:tc>
          <w:tcPr>
            <w:tcW w:w="1138" w:type="dxa"/>
            <w:vAlign w:val="bottom"/>
          </w:tcPr>
          <w:p w:rsidR="00000000" w:rsidRDefault="00000000">
            <w:pPr>
              <w:widowControl w:val="0"/>
              <w:tabs>
                <w:tab w:val="decimal" w:pos="869"/>
              </w:tabs>
              <w:autoSpaceDE w:val="0"/>
              <w:autoSpaceDN w:val="0"/>
              <w:adjustRightInd w:val="0"/>
              <w:spacing w:before="30" w:after="30"/>
              <w:rPr>
                <w:sz w:val="19"/>
              </w:rPr>
            </w:pPr>
            <w:r>
              <w:rPr>
                <w:sz w:val="19"/>
              </w:rPr>
              <w:t>169 770</w:t>
            </w:r>
          </w:p>
        </w:tc>
        <w:tc>
          <w:tcPr>
            <w:tcW w:w="1137" w:type="dxa"/>
            <w:vAlign w:val="bottom"/>
          </w:tcPr>
          <w:p w:rsidR="00000000" w:rsidRDefault="00000000">
            <w:pPr>
              <w:widowControl w:val="0"/>
              <w:tabs>
                <w:tab w:val="decimal" w:pos="855"/>
              </w:tabs>
              <w:autoSpaceDE w:val="0"/>
              <w:autoSpaceDN w:val="0"/>
              <w:adjustRightInd w:val="0"/>
              <w:spacing w:before="30" w:after="30"/>
              <w:rPr>
                <w:sz w:val="19"/>
              </w:rPr>
            </w:pPr>
            <w:r>
              <w:rPr>
                <w:sz w:val="19"/>
              </w:rPr>
              <w:t>195 673</w:t>
            </w:r>
          </w:p>
        </w:tc>
        <w:tc>
          <w:tcPr>
            <w:tcW w:w="1137" w:type="dxa"/>
            <w:vAlign w:val="bottom"/>
          </w:tcPr>
          <w:p w:rsidR="00000000" w:rsidRDefault="00000000">
            <w:pPr>
              <w:widowControl w:val="0"/>
              <w:tabs>
                <w:tab w:val="decimal" w:pos="881"/>
              </w:tabs>
              <w:autoSpaceDE w:val="0"/>
              <w:autoSpaceDN w:val="0"/>
              <w:adjustRightInd w:val="0"/>
              <w:spacing w:before="30" w:after="30"/>
              <w:rPr>
                <w:sz w:val="19"/>
              </w:rPr>
            </w:pPr>
            <w:r>
              <w:rPr>
                <w:sz w:val="19"/>
              </w:rPr>
              <w:t>170 106</w:t>
            </w:r>
          </w:p>
        </w:tc>
        <w:tc>
          <w:tcPr>
            <w:tcW w:w="1137" w:type="dxa"/>
            <w:vAlign w:val="bottom"/>
          </w:tcPr>
          <w:p w:rsidR="00000000" w:rsidRDefault="00000000">
            <w:pPr>
              <w:widowControl w:val="0"/>
              <w:tabs>
                <w:tab w:val="decimal" w:pos="882"/>
              </w:tabs>
              <w:autoSpaceDE w:val="0"/>
              <w:autoSpaceDN w:val="0"/>
              <w:adjustRightInd w:val="0"/>
              <w:spacing w:before="30" w:after="30"/>
              <w:rPr>
                <w:sz w:val="19"/>
              </w:rPr>
            </w:pPr>
            <w:r>
              <w:rPr>
                <w:sz w:val="19"/>
              </w:rPr>
              <w:t>202 561</w:t>
            </w:r>
          </w:p>
        </w:tc>
        <w:tc>
          <w:tcPr>
            <w:tcW w:w="1137" w:type="dxa"/>
            <w:vAlign w:val="bottom"/>
          </w:tcPr>
          <w:p w:rsidR="00000000" w:rsidRDefault="00000000">
            <w:pPr>
              <w:widowControl w:val="0"/>
              <w:tabs>
                <w:tab w:val="decimal" w:pos="1004"/>
              </w:tabs>
              <w:autoSpaceDE w:val="0"/>
              <w:autoSpaceDN w:val="0"/>
              <w:adjustRightInd w:val="0"/>
              <w:spacing w:before="30" w:after="30"/>
              <w:rPr>
                <w:sz w:val="19"/>
              </w:rPr>
            </w:pPr>
            <w:r>
              <w:rPr>
                <w:sz w:val="19"/>
              </w:rPr>
              <w:t>152 806</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spacing w:after="180"/>
        <w:jc w:val="center"/>
        <w:rPr>
          <w:b/>
          <w:bCs/>
        </w:rPr>
      </w:pPr>
      <w:r>
        <w:rPr>
          <w:b/>
          <w:bCs/>
        </w:rPr>
        <w:br w:type="page"/>
        <w:t>Tableau 2</w:t>
      </w:r>
    </w:p>
    <w:p w:rsidR="00000000" w:rsidRDefault="00000000">
      <w:pPr>
        <w:spacing w:after="180"/>
        <w:jc w:val="center"/>
        <w:rPr>
          <w:b/>
          <w:bCs/>
        </w:rPr>
      </w:pPr>
      <w:r>
        <w:rPr>
          <w:b/>
          <w:bCs/>
        </w:rPr>
        <w:t>Bolivie: Principaux indicateurs annuels de l’emploi, par sexe, 1999</w:t>
      </w:r>
      <w:r>
        <w:rPr>
          <w:b/>
          <w:bCs/>
        </w:rPr>
        <w:noBreakHyphen/>
        <w:t>2003</w:t>
      </w:r>
      <w:r>
        <w:rPr>
          <w:b/>
          <w:bCs/>
          <w:i/>
          <w:iCs/>
          <w:vertAlign w:val="superscript"/>
        </w:rPr>
        <w:t>p</w:t>
      </w:r>
      <w:r>
        <w:rPr>
          <w:b/>
          <w:bCs/>
        </w:rPr>
        <w:br/>
      </w:r>
      <w:r>
        <w:t>(</w:t>
      </w:r>
      <w:r>
        <w:rPr>
          <w:i/>
          <w:iCs/>
        </w:rPr>
        <w:t>En pourcentage</w:t>
      </w:r>
      <w:r>
        <w: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1"/>
        <w:gridCol w:w="1138"/>
        <w:gridCol w:w="1137"/>
        <w:gridCol w:w="1137"/>
        <w:gridCol w:w="1137"/>
        <w:gridCol w:w="1137"/>
      </w:tblGrid>
      <w:tr w:rsidR="00000000">
        <w:tblPrEx>
          <w:tblCellMar>
            <w:top w:w="0" w:type="dxa"/>
            <w:bottom w:w="0" w:type="dxa"/>
          </w:tblCellMar>
        </w:tblPrEx>
        <w:trPr>
          <w:tblHeader/>
        </w:trPr>
        <w:tc>
          <w:tcPr>
            <w:tcW w:w="3811" w:type="dxa"/>
            <w:tcBorders>
              <w:bottom w:val="single" w:sz="4" w:space="0" w:color="auto"/>
            </w:tcBorders>
            <w:vAlign w:val="center"/>
          </w:tcPr>
          <w:p w:rsidR="00000000" w:rsidRDefault="00000000">
            <w:pPr>
              <w:spacing w:before="60" w:after="60"/>
              <w:jc w:val="center"/>
              <w:rPr>
                <w:sz w:val="20"/>
              </w:rPr>
            </w:pPr>
            <w:r>
              <w:rPr>
                <w:sz w:val="20"/>
              </w:rPr>
              <w:t>Description</w:t>
            </w:r>
          </w:p>
        </w:tc>
        <w:tc>
          <w:tcPr>
            <w:tcW w:w="1138" w:type="dxa"/>
            <w:vAlign w:val="center"/>
          </w:tcPr>
          <w:p w:rsidR="00000000" w:rsidRDefault="00000000">
            <w:pPr>
              <w:spacing w:before="60" w:after="60"/>
              <w:jc w:val="center"/>
              <w:rPr>
                <w:sz w:val="20"/>
              </w:rPr>
            </w:pPr>
            <w:r>
              <w:rPr>
                <w:sz w:val="20"/>
              </w:rPr>
              <w:t>1999</w:t>
            </w:r>
          </w:p>
        </w:tc>
        <w:tc>
          <w:tcPr>
            <w:tcW w:w="1137" w:type="dxa"/>
            <w:vAlign w:val="center"/>
          </w:tcPr>
          <w:p w:rsidR="00000000" w:rsidRDefault="00000000">
            <w:pPr>
              <w:spacing w:before="60" w:after="60"/>
              <w:jc w:val="center"/>
              <w:rPr>
                <w:sz w:val="20"/>
              </w:rPr>
            </w:pPr>
            <w:r>
              <w:rPr>
                <w:sz w:val="20"/>
              </w:rPr>
              <w:t>2000</w:t>
            </w:r>
          </w:p>
        </w:tc>
        <w:tc>
          <w:tcPr>
            <w:tcW w:w="1137" w:type="dxa"/>
            <w:vAlign w:val="center"/>
          </w:tcPr>
          <w:p w:rsidR="00000000" w:rsidRDefault="00000000">
            <w:pPr>
              <w:spacing w:before="60" w:after="60"/>
              <w:jc w:val="center"/>
              <w:rPr>
                <w:sz w:val="20"/>
              </w:rPr>
            </w:pPr>
            <w:r>
              <w:rPr>
                <w:sz w:val="20"/>
              </w:rPr>
              <w:t>2001</w:t>
            </w:r>
          </w:p>
        </w:tc>
        <w:tc>
          <w:tcPr>
            <w:tcW w:w="1137" w:type="dxa"/>
            <w:vAlign w:val="center"/>
          </w:tcPr>
          <w:p w:rsidR="00000000" w:rsidRDefault="00000000">
            <w:pPr>
              <w:spacing w:before="60" w:after="60"/>
              <w:jc w:val="center"/>
              <w:rPr>
                <w:sz w:val="20"/>
              </w:rPr>
            </w:pPr>
            <w:r>
              <w:rPr>
                <w:sz w:val="20"/>
              </w:rPr>
              <w:t>2002</w:t>
            </w:r>
          </w:p>
        </w:tc>
        <w:tc>
          <w:tcPr>
            <w:tcW w:w="1137"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Population inactive par rapport</w:t>
            </w:r>
            <w:r>
              <w:rPr>
                <w:b/>
                <w:bCs/>
                <w:sz w:val="20"/>
              </w:rPr>
              <w:br/>
              <w:t>à la population active</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b/>
                <w:bCs/>
                <w:sz w:val="20"/>
              </w:rPr>
              <w:t>55,75</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60,19</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47,50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54,78</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47,87</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84"/>
              <w:rPr>
                <w:sz w:val="20"/>
              </w:rPr>
            </w:pPr>
            <w:r>
              <w:rPr>
                <w:sz w:val="20"/>
              </w:rPr>
              <w:t>Hommes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38,85</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39,25</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31,75</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36,57</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32,55</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84"/>
              <w:rPr>
                <w:sz w:val="20"/>
              </w:rPr>
            </w:pPr>
            <w:r>
              <w:rPr>
                <w:sz w:val="20"/>
              </w:rPr>
              <w:t>Femmes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76,11</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86,18</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66,26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77,75</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66,36</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Offre de main</w:t>
            </w:r>
            <w:r>
              <w:rPr>
                <w:b/>
                <w:bCs/>
                <w:sz w:val="20"/>
              </w:rPr>
              <w:noBreakHyphen/>
              <w:t>d’œuvre sur le marché du travail</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b/>
                <w:bCs/>
                <w:sz w:val="20"/>
              </w:rPr>
              <w:t>74,02</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73,96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73,30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73,28</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73,22</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84"/>
              <w:rPr>
                <w:sz w:val="20"/>
              </w:rPr>
            </w:pPr>
            <w:r>
              <w:rPr>
                <w:sz w:val="20"/>
              </w:rPr>
              <w:t>Hommes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72,84</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72,56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72,34</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72,64</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72,20</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84"/>
              <w:rPr>
                <w:sz w:val="20"/>
              </w:rPr>
            </w:pPr>
            <w:r>
              <w:rPr>
                <w:sz w:val="20"/>
              </w:rPr>
              <w:t>Femmes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75,18</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75,30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74,23</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73,91</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74,24</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Population active au travail</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b/>
                <w:bCs/>
                <w:sz w:val="20"/>
              </w:rPr>
              <w:t>61,43</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59,43</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64,24</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61,07</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63,56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84"/>
              <w:rPr>
                <w:sz w:val="20"/>
              </w:rPr>
            </w:pPr>
            <w:r>
              <w:rPr>
                <w:sz w:val="20"/>
              </w:rPr>
              <w:t>Hommes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69,35</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68,99</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72,52</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70,06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72,06</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84"/>
              <w:rPr>
                <w:sz w:val="20"/>
              </w:rPr>
            </w:pPr>
            <w:r>
              <w:rPr>
                <w:sz w:val="20"/>
              </w:rPr>
              <w:t>Femmes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53,90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50,56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56,43</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52,35</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55,40</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brut de participation</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b/>
                <w:bCs/>
                <w:sz w:val="20"/>
              </w:rPr>
              <w:t>47,52</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46,17</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49,70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47,34</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49,52</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84"/>
              <w:rPr>
                <w:sz w:val="20"/>
              </w:rPr>
            </w:pPr>
            <w:r>
              <w:rPr>
                <w:sz w:val="20"/>
              </w:rPr>
              <w:t>Hommes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52,46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52,10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54,91</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53,19</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54,46</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84"/>
              <w:rPr>
                <w:sz w:val="20"/>
              </w:rPr>
            </w:pPr>
            <w:r>
              <w:rPr>
                <w:sz w:val="20"/>
              </w:rPr>
              <w:t>Femmes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42,69</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40,45</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44,65</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41,58</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44,62</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Population sans emploi par rapport</w:t>
            </w:r>
            <w:r>
              <w:rPr>
                <w:b/>
                <w:bCs/>
                <w:sz w:val="20"/>
              </w:rPr>
              <w:br/>
              <w:t>à la population active</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b/>
                <w:bCs/>
                <w:sz w:val="20"/>
              </w:rPr>
              <w:t>2,86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3,69</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4,12</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4,37</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4,35</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84"/>
              <w:rPr>
                <w:sz w:val="20"/>
              </w:rPr>
            </w:pPr>
            <w:r>
              <w:rPr>
                <w:sz w:val="20"/>
              </w:rPr>
              <w:t>Hommes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2,82</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3,03</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3,71</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3,67</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3,43</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84"/>
              <w:rPr>
                <w:sz w:val="20"/>
              </w:rPr>
            </w:pPr>
            <w:r>
              <w:rPr>
                <w:sz w:val="20"/>
              </w:rPr>
              <w:t>Femmes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2,92</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4,50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4,60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5,39</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5,47</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de dépendance</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b/>
                <w:bCs/>
                <w:sz w:val="20"/>
              </w:rPr>
              <w:t>1,20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1,28</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1,12</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1,23</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1,15</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84"/>
              <w:rPr>
                <w:sz w:val="20"/>
              </w:rPr>
            </w:pPr>
            <w:r>
              <w:rPr>
                <w:sz w:val="20"/>
              </w:rPr>
              <w:t>Hommes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0,98</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1,00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0,91</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0,96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0,92</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84"/>
              <w:rPr>
                <w:sz w:val="20"/>
              </w:rPr>
            </w:pPr>
            <w:r>
              <w:rPr>
                <w:sz w:val="20"/>
              </w:rPr>
              <w:t>Femmes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1,47</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1,63</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1,39</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1,58</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1,43</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de chômage déclaré</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b/>
                <w:bCs/>
                <w:sz w:val="20"/>
              </w:rPr>
              <w:t>4,33</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4,79</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5,24</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5,48</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6,01</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84"/>
              <w:rPr>
                <w:sz w:val="20"/>
              </w:rPr>
            </w:pPr>
            <w:r>
              <w:rPr>
                <w:sz w:val="20"/>
              </w:rPr>
              <w:t>Hommes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3,70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3,94</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4,46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4,31</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4,48</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84"/>
              <w:rPr>
                <w:sz w:val="20"/>
              </w:rPr>
            </w:pPr>
            <w:r>
              <w:rPr>
                <w:sz w:val="20"/>
              </w:rPr>
              <w:t>Femmes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5,08</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5,86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6,17</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6,94</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7,84</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global de population active au travail</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b/>
                <w:bCs/>
                <w:sz w:val="20"/>
              </w:rPr>
              <w:t>95,67</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95,21</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94,76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94,52</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93,99</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84"/>
              <w:rPr>
                <w:sz w:val="20"/>
              </w:rPr>
            </w:pPr>
            <w:r>
              <w:rPr>
                <w:sz w:val="20"/>
              </w:rPr>
              <w:t>Hommes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96,30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96,06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95,54</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95,69</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95,52</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84"/>
              <w:rPr>
                <w:sz w:val="20"/>
              </w:rPr>
            </w:pPr>
            <w:r>
              <w:rPr>
                <w:sz w:val="20"/>
              </w:rPr>
              <w:t>Femmes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94,92</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94,14</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93,83</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93,06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92,16</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global de participation</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b/>
                <w:bCs/>
                <w:sz w:val="20"/>
              </w:rPr>
              <w:t>64,20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62,43</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67,80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64,61</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b/>
                <w:bCs/>
                <w:sz w:val="20"/>
              </w:rPr>
              <w:t>67,63</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84"/>
              <w:rPr>
                <w:sz w:val="20"/>
              </w:rPr>
            </w:pPr>
            <w:r>
              <w:rPr>
                <w:sz w:val="20"/>
              </w:rPr>
              <w:t>Hommes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72,02</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71,81</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75,90</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73,22</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75,44</w:t>
            </w:r>
          </w:p>
        </w:tc>
      </w:tr>
      <w:tr w:rsidR="00000000">
        <w:tblPrEx>
          <w:tblCellMar>
            <w:top w:w="0" w:type="dxa"/>
            <w:bottom w:w="0" w:type="dxa"/>
          </w:tblCellMar>
        </w:tblPrEx>
        <w:tc>
          <w:tcPr>
            <w:tcW w:w="3811" w:type="dxa"/>
            <w:tcBorders>
              <w:top w:val="nil"/>
            </w:tcBorders>
            <w:vAlign w:val="bottom"/>
          </w:tcPr>
          <w:p w:rsidR="00000000" w:rsidRDefault="00000000">
            <w:pPr>
              <w:spacing w:before="60" w:after="60"/>
              <w:ind w:left="284"/>
              <w:rPr>
                <w:sz w:val="20"/>
              </w:rPr>
            </w:pPr>
            <w:r>
              <w:rPr>
                <w:sz w:val="20"/>
              </w:rPr>
              <w:t>Femmes</w:t>
            </w:r>
          </w:p>
        </w:tc>
        <w:tc>
          <w:tcPr>
            <w:tcW w:w="1138" w:type="dxa"/>
            <w:vAlign w:val="bottom"/>
          </w:tcPr>
          <w:p w:rsidR="00000000" w:rsidRDefault="00000000">
            <w:pPr>
              <w:widowControl w:val="0"/>
              <w:autoSpaceDE w:val="0"/>
              <w:autoSpaceDN w:val="0"/>
              <w:adjustRightInd w:val="0"/>
              <w:spacing w:before="60" w:after="60"/>
              <w:ind w:left="113"/>
              <w:jc w:val="right"/>
              <w:rPr>
                <w:sz w:val="20"/>
              </w:rPr>
            </w:pPr>
            <w:r>
              <w:rPr>
                <w:sz w:val="20"/>
              </w:rPr>
              <w:t>56,78</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53,71</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60,15</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56,26</w:t>
            </w:r>
          </w:p>
        </w:tc>
        <w:tc>
          <w:tcPr>
            <w:tcW w:w="1137" w:type="dxa"/>
            <w:vAlign w:val="bottom"/>
          </w:tcPr>
          <w:p w:rsidR="00000000" w:rsidRDefault="00000000">
            <w:pPr>
              <w:widowControl w:val="0"/>
              <w:autoSpaceDE w:val="0"/>
              <w:autoSpaceDN w:val="0"/>
              <w:adjustRightInd w:val="0"/>
              <w:spacing w:before="60" w:after="60"/>
              <w:ind w:left="113"/>
              <w:jc w:val="right"/>
              <w:rPr>
                <w:sz w:val="20"/>
              </w:rPr>
            </w:pPr>
            <w:r>
              <w:rPr>
                <w:sz w:val="20"/>
              </w:rPr>
              <w:t>60,11</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pPr>
      <w:r>
        <w:rPr>
          <w:b/>
          <w:bCs/>
          <w:i/>
          <w:iCs/>
          <w:sz w:val="20"/>
          <w:vertAlign w:val="superscript"/>
        </w:rPr>
        <w:t>p</w:t>
      </w:r>
      <w:r>
        <w:rPr>
          <w:sz w:val="20"/>
        </w:rPr>
        <w:t xml:space="preserve"> Chiffres provisoires.</w:t>
      </w:r>
    </w:p>
    <w:p w:rsidR="00000000" w:rsidRDefault="00000000">
      <w:pPr>
        <w:spacing w:after="180"/>
        <w:jc w:val="center"/>
        <w:rPr>
          <w:b/>
          <w:bCs/>
        </w:rPr>
      </w:pPr>
      <w:r>
        <w:br w:type="page"/>
      </w:r>
      <w:r>
        <w:rPr>
          <w:b/>
          <w:bCs/>
        </w:rPr>
        <w:t>Tableau 2.1</w:t>
      </w:r>
    </w:p>
    <w:p w:rsidR="00000000" w:rsidRDefault="00000000">
      <w:pPr>
        <w:spacing w:after="180"/>
        <w:jc w:val="center"/>
        <w:rPr>
          <w:b/>
          <w:bCs/>
        </w:rPr>
      </w:pPr>
      <w:r>
        <w:rPr>
          <w:b/>
          <w:bCs/>
        </w:rPr>
        <w:t>Bolivie − Zones urbaines: Principaux indicateurs annuels de l’emploi,</w:t>
      </w:r>
      <w:r>
        <w:rPr>
          <w:b/>
          <w:bCs/>
        </w:rPr>
        <w:br/>
        <w:t>par sexe, 1999</w:t>
      </w:r>
      <w:r>
        <w:rPr>
          <w:b/>
          <w:bCs/>
        </w:rPr>
        <w:noBreakHyphen/>
        <w:t>2003</w:t>
      </w:r>
      <w:r>
        <w:rPr>
          <w:b/>
          <w:bCs/>
          <w:i/>
          <w:iCs/>
          <w:vertAlign w:val="superscript"/>
        </w:rPr>
        <w:t>p</w:t>
      </w:r>
      <w:r>
        <w:rPr>
          <w:b/>
          <w:bCs/>
        </w:rPr>
        <w:br/>
      </w:r>
      <w:r>
        <w:t>(</w:t>
      </w:r>
      <w:r>
        <w:rPr>
          <w:i/>
          <w:iCs/>
        </w:rPr>
        <w:t>En pourcentage</w:t>
      </w:r>
      <w:r>
        <w: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1"/>
        <w:gridCol w:w="1138"/>
        <w:gridCol w:w="1137"/>
        <w:gridCol w:w="1137"/>
        <w:gridCol w:w="1137"/>
        <w:gridCol w:w="1137"/>
      </w:tblGrid>
      <w:tr w:rsidR="00000000">
        <w:tblPrEx>
          <w:tblCellMar>
            <w:top w:w="0" w:type="dxa"/>
            <w:bottom w:w="0" w:type="dxa"/>
          </w:tblCellMar>
        </w:tblPrEx>
        <w:trPr>
          <w:tblHeader/>
        </w:trPr>
        <w:tc>
          <w:tcPr>
            <w:tcW w:w="3811" w:type="dxa"/>
            <w:tcBorders>
              <w:bottom w:val="single" w:sz="4" w:space="0" w:color="auto"/>
            </w:tcBorders>
            <w:vAlign w:val="center"/>
          </w:tcPr>
          <w:p w:rsidR="00000000" w:rsidRDefault="00000000">
            <w:pPr>
              <w:spacing w:before="60" w:after="60"/>
              <w:jc w:val="center"/>
              <w:rPr>
                <w:sz w:val="20"/>
              </w:rPr>
            </w:pPr>
            <w:r>
              <w:rPr>
                <w:sz w:val="20"/>
              </w:rPr>
              <w:t>Description</w:t>
            </w:r>
          </w:p>
        </w:tc>
        <w:tc>
          <w:tcPr>
            <w:tcW w:w="1138" w:type="dxa"/>
            <w:vAlign w:val="center"/>
          </w:tcPr>
          <w:p w:rsidR="00000000" w:rsidRDefault="00000000">
            <w:pPr>
              <w:spacing w:before="60" w:after="60"/>
              <w:jc w:val="center"/>
              <w:rPr>
                <w:sz w:val="20"/>
              </w:rPr>
            </w:pPr>
            <w:r>
              <w:rPr>
                <w:sz w:val="20"/>
              </w:rPr>
              <w:t>1999</w:t>
            </w:r>
          </w:p>
        </w:tc>
        <w:tc>
          <w:tcPr>
            <w:tcW w:w="1137" w:type="dxa"/>
            <w:vAlign w:val="center"/>
          </w:tcPr>
          <w:p w:rsidR="00000000" w:rsidRDefault="00000000">
            <w:pPr>
              <w:spacing w:before="60" w:after="60"/>
              <w:jc w:val="center"/>
              <w:rPr>
                <w:sz w:val="20"/>
              </w:rPr>
            </w:pPr>
            <w:r>
              <w:rPr>
                <w:sz w:val="20"/>
              </w:rPr>
              <w:t>2000</w:t>
            </w:r>
          </w:p>
        </w:tc>
        <w:tc>
          <w:tcPr>
            <w:tcW w:w="1137" w:type="dxa"/>
            <w:vAlign w:val="center"/>
          </w:tcPr>
          <w:p w:rsidR="00000000" w:rsidRDefault="00000000">
            <w:pPr>
              <w:spacing w:before="60" w:after="60"/>
              <w:jc w:val="center"/>
              <w:rPr>
                <w:sz w:val="20"/>
              </w:rPr>
            </w:pPr>
            <w:r>
              <w:rPr>
                <w:sz w:val="20"/>
              </w:rPr>
              <w:t>2001</w:t>
            </w:r>
          </w:p>
        </w:tc>
        <w:tc>
          <w:tcPr>
            <w:tcW w:w="1137" w:type="dxa"/>
            <w:vAlign w:val="center"/>
          </w:tcPr>
          <w:p w:rsidR="00000000" w:rsidRDefault="00000000">
            <w:pPr>
              <w:spacing w:before="60" w:after="60"/>
              <w:jc w:val="center"/>
              <w:rPr>
                <w:sz w:val="20"/>
              </w:rPr>
            </w:pPr>
            <w:r>
              <w:rPr>
                <w:sz w:val="20"/>
              </w:rPr>
              <w:t>2002</w:t>
            </w:r>
          </w:p>
        </w:tc>
        <w:tc>
          <w:tcPr>
            <w:tcW w:w="1137"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Population inactive par rapport</w:t>
            </w:r>
            <w:r>
              <w:rPr>
                <w:b/>
                <w:bCs/>
                <w:sz w:val="20"/>
              </w:rPr>
              <w:br/>
              <w:t>à la population active</w:t>
            </w:r>
          </w:p>
        </w:tc>
        <w:tc>
          <w:tcPr>
            <w:tcW w:w="1138" w:type="dxa"/>
            <w:vAlign w:val="bottom"/>
          </w:tcPr>
          <w:p w:rsidR="00000000" w:rsidRDefault="00000000">
            <w:pPr>
              <w:keepNext/>
              <w:tabs>
                <w:tab w:val="decimal" w:pos="431"/>
              </w:tabs>
              <w:autoSpaceDE w:val="0"/>
              <w:autoSpaceDN w:val="0"/>
              <w:adjustRightInd w:val="0"/>
              <w:jc w:val="right"/>
              <w:rPr>
                <w:sz w:val="20"/>
              </w:rPr>
            </w:pPr>
            <w:r>
              <w:rPr>
                <w:sz w:val="20"/>
              </w:rPr>
              <w:t>78,75</w:t>
            </w:r>
          </w:p>
        </w:tc>
        <w:tc>
          <w:tcPr>
            <w:tcW w:w="1137" w:type="dxa"/>
            <w:vAlign w:val="bottom"/>
          </w:tcPr>
          <w:p w:rsidR="00000000" w:rsidRDefault="00000000">
            <w:pPr>
              <w:keepNext/>
              <w:tabs>
                <w:tab w:val="decimal" w:pos="462"/>
              </w:tabs>
              <w:autoSpaceDE w:val="0"/>
              <w:autoSpaceDN w:val="0"/>
              <w:adjustRightInd w:val="0"/>
              <w:jc w:val="right"/>
              <w:rPr>
                <w:sz w:val="20"/>
              </w:rPr>
            </w:pPr>
            <w:r>
              <w:rPr>
                <w:sz w:val="20"/>
              </w:rPr>
              <w:t>78,30</w:t>
            </w:r>
          </w:p>
        </w:tc>
        <w:tc>
          <w:tcPr>
            <w:tcW w:w="1137" w:type="dxa"/>
            <w:vAlign w:val="bottom"/>
          </w:tcPr>
          <w:p w:rsidR="00000000" w:rsidRDefault="00000000">
            <w:pPr>
              <w:keepNext/>
              <w:tabs>
                <w:tab w:val="decimal" w:pos="422"/>
              </w:tabs>
              <w:autoSpaceDE w:val="0"/>
              <w:autoSpaceDN w:val="0"/>
              <w:adjustRightInd w:val="0"/>
              <w:jc w:val="right"/>
              <w:rPr>
                <w:sz w:val="20"/>
              </w:rPr>
            </w:pPr>
            <w:r>
              <w:rPr>
                <w:sz w:val="20"/>
              </w:rPr>
              <w:t>65,12</w:t>
            </w:r>
          </w:p>
        </w:tc>
        <w:tc>
          <w:tcPr>
            <w:tcW w:w="1137" w:type="dxa"/>
            <w:vAlign w:val="bottom"/>
          </w:tcPr>
          <w:p w:rsidR="00000000" w:rsidRDefault="00000000">
            <w:pPr>
              <w:keepNext/>
              <w:tabs>
                <w:tab w:val="decimal" w:pos="454"/>
              </w:tabs>
              <w:autoSpaceDE w:val="0"/>
              <w:autoSpaceDN w:val="0"/>
              <w:adjustRightInd w:val="0"/>
              <w:jc w:val="right"/>
              <w:rPr>
                <w:sz w:val="20"/>
              </w:rPr>
            </w:pPr>
            <w:r>
              <w:rPr>
                <w:bCs/>
                <w:sz w:val="20"/>
              </w:rPr>
              <w:t>72,33</w:t>
            </w:r>
          </w:p>
        </w:tc>
        <w:tc>
          <w:tcPr>
            <w:tcW w:w="1137" w:type="dxa"/>
            <w:vAlign w:val="bottom"/>
          </w:tcPr>
          <w:p w:rsidR="00000000" w:rsidRDefault="00000000">
            <w:pPr>
              <w:keepNext/>
              <w:tabs>
                <w:tab w:val="decimal" w:pos="486"/>
              </w:tabs>
              <w:autoSpaceDE w:val="0"/>
              <w:autoSpaceDN w:val="0"/>
              <w:adjustRightInd w:val="0"/>
              <w:jc w:val="right"/>
              <w:rPr>
                <w:sz w:val="20"/>
              </w:rPr>
            </w:pPr>
            <w:r>
              <w:rPr>
                <w:bCs/>
                <w:sz w:val="20"/>
              </w:rPr>
              <w:t>65,47</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56,32</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52,62</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46,95</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52,82</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47,20</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106,63</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109,81</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85,88</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95,46</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86,94</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Offre de main</w:t>
            </w:r>
            <w:r>
              <w:rPr>
                <w:b/>
                <w:bCs/>
                <w:sz w:val="20"/>
              </w:rPr>
              <w:noBreakHyphen/>
              <w:t>d’œuvre sur le marché du travail</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77,16</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76,48</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75,57</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bCs/>
                <w:sz w:val="20"/>
              </w:rPr>
              <w:t>75,01</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bCs/>
                <w:sz w:val="20"/>
              </w:rPr>
              <w:t>74,09</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75,96</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74,70</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74,09</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73,53</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72,67</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78,33</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78,13</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76,96</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76,44</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75,45</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Population active au travail</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51,91</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51,90</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55,42</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bCs/>
                <w:sz w:val="20"/>
              </w:rPr>
              <w:t>52,98</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bCs/>
                <w:sz w:val="20"/>
              </w:rPr>
              <w:t>54,89</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60,02</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61,45</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62,97</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60,65</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63,20</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44,29</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43,38</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48,60</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45,88</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47,21</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brut de participation</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43,17</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42,89</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45,77</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bCs/>
                <w:sz w:val="20"/>
              </w:rPr>
              <w:t>43,53</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bCs/>
                <w:sz w:val="20"/>
              </w:rPr>
              <w:t>44,77</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48,59</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48,95</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50,42</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48,11</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49,37</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37,91</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37,24</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41,41</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39,11</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40,36</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Population sans emploi par rapport</w:t>
            </w:r>
            <w:r>
              <w:rPr>
                <w:b/>
                <w:bCs/>
                <w:sz w:val="20"/>
              </w:rPr>
              <w:br/>
              <w:t>à la population active</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4,72</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5,73</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6,80</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bCs/>
                <w:sz w:val="20"/>
              </w:rPr>
              <w:t>7,02</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bCs/>
                <w:sz w:val="20"/>
              </w:rPr>
              <w:t>6,66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4,67</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4,84</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6,29</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6,05</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5,23</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4,78</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6,82</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7,38</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8,17</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8,35</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de dépendance</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1,50</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1,52</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1,39</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bCs/>
                <w:sz w:val="20"/>
              </w:rPr>
              <w:t>1,52</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bCs/>
                <w:sz w:val="20"/>
              </w:rPr>
              <w:t>1,46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1,19</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1,18</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1,14</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1,24</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1,18</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1,88</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1,95</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1,67</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1,85</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1,81</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de chômage déclaré</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7,21</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7,46</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8,50</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bCs/>
                <w:sz w:val="20"/>
              </w:rPr>
              <w:t>8,69</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bCs/>
                <w:sz w:val="20"/>
              </w:rPr>
              <w:t>9,17</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6,17</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6,22</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7,47</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7,31</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6,97</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8,49</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8,99</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9,67</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10,32</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11,74</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global de population active au travail</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92,79</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92,54</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91,50</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bCs/>
                <w:sz w:val="20"/>
              </w:rPr>
              <w:t>91,31</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bCs/>
                <w:sz w:val="20"/>
              </w:rPr>
              <w:t>90,83</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93,83</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93,78</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92,53</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92,69</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93,03</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91,51</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91,01</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90,33</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89,68</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88,26</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global de participation</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55,94</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56,09</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60,56</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bCs/>
                <w:sz w:val="20"/>
              </w:rPr>
              <w:t>58,03</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bCs/>
                <w:sz w:val="20"/>
              </w:rPr>
              <w:t>60,43</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63,97</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65,52</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68,05</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65,44</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67,94</w:t>
            </w:r>
          </w:p>
        </w:tc>
      </w:tr>
      <w:tr w:rsidR="00000000">
        <w:tblPrEx>
          <w:tblCellMar>
            <w:top w:w="0" w:type="dxa"/>
            <w:bottom w:w="0" w:type="dxa"/>
          </w:tblCellMar>
        </w:tblPrEx>
        <w:tc>
          <w:tcPr>
            <w:tcW w:w="3811" w:type="dxa"/>
            <w:tcBorders>
              <w:top w:val="nil"/>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31"/>
              </w:tabs>
              <w:autoSpaceDE w:val="0"/>
              <w:autoSpaceDN w:val="0"/>
              <w:adjustRightInd w:val="0"/>
              <w:jc w:val="right"/>
              <w:rPr>
                <w:sz w:val="20"/>
              </w:rPr>
            </w:pPr>
            <w:r>
              <w:rPr>
                <w:sz w:val="20"/>
              </w:rPr>
              <w:t>48,40</w:t>
            </w:r>
          </w:p>
        </w:tc>
        <w:tc>
          <w:tcPr>
            <w:tcW w:w="1137" w:type="dxa"/>
            <w:vAlign w:val="bottom"/>
          </w:tcPr>
          <w:p w:rsidR="00000000" w:rsidRDefault="00000000">
            <w:pPr>
              <w:widowControl w:val="0"/>
              <w:tabs>
                <w:tab w:val="decimal" w:pos="462"/>
              </w:tabs>
              <w:autoSpaceDE w:val="0"/>
              <w:autoSpaceDN w:val="0"/>
              <w:adjustRightInd w:val="0"/>
              <w:jc w:val="right"/>
              <w:rPr>
                <w:sz w:val="20"/>
              </w:rPr>
            </w:pPr>
            <w:r>
              <w:rPr>
                <w:sz w:val="20"/>
              </w:rPr>
              <w:t>47,66</w:t>
            </w:r>
          </w:p>
        </w:tc>
        <w:tc>
          <w:tcPr>
            <w:tcW w:w="1137" w:type="dxa"/>
            <w:vAlign w:val="bottom"/>
          </w:tcPr>
          <w:p w:rsidR="00000000" w:rsidRDefault="00000000">
            <w:pPr>
              <w:widowControl w:val="0"/>
              <w:tabs>
                <w:tab w:val="decimal" w:pos="422"/>
              </w:tabs>
              <w:autoSpaceDE w:val="0"/>
              <w:autoSpaceDN w:val="0"/>
              <w:adjustRightInd w:val="0"/>
              <w:jc w:val="right"/>
              <w:rPr>
                <w:sz w:val="20"/>
              </w:rPr>
            </w:pPr>
            <w:r>
              <w:rPr>
                <w:sz w:val="20"/>
              </w:rPr>
              <w:t>53,80</w:t>
            </w:r>
          </w:p>
        </w:tc>
        <w:tc>
          <w:tcPr>
            <w:tcW w:w="1137" w:type="dxa"/>
            <w:vAlign w:val="bottom"/>
          </w:tcPr>
          <w:p w:rsidR="00000000" w:rsidRDefault="00000000">
            <w:pPr>
              <w:widowControl w:val="0"/>
              <w:tabs>
                <w:tab w:val="decimal" w:pos="454"/>
              </w:tabs>
              <w:autoSpaceDE w:val="0"/>
              <w:autoSpaceDN w:val="0"/>
              <w:adjustRightInd w:val="0"/>
              <w:jc w:val="right"/>
              <w:rPr>
                <w:sz w:val="20"/>
              </w:rPr>
            </w:pPr>
            <w:r>
              <w:rPr>
                <w:sz w:val="20"/>
              </w:rPr>
              <w:t>51,16</w:t>
            </w:r>
          </w:p>
        </w:tc>
        <w:tc>
          <w:tcPr>
            <w:tcW w:w="1137" w:type="dxa"/>
            <w:vAlign w:val="bottom"/>
          </w:tcPr>
          <w:p w:rsidR="00000000" w:rsidRDefault="00000000">
            <w:pPr>
              <w:widowControl w:val="0"/>
              <w:tabs>
                <w:tab w:val="decimal" w:pos="486"/>
              </w:tabs>
              <w:autoSpaceDE w:val="0"/>
              <w:autoSpaceDN w:val="0"/>
              <w:adjustRightInd w:val="0"/>
              <w:jc w:val="right"/>
              <w:rPr>
                <w:sz w:val="20"/>
              </w:rPr>
            </w:pPr>
            <w:r>
              <w:rPr>
                <w:sz w:val="20"/>
              </w:rPr>
              <w:t>53,49</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spacing w:after="180"/>
        <w:jc w:val="center"/>
        <w:rPr>
          <w:b/>
          <w:bCs/>
        </w:rPr>
      </w:pPr>
      <w:r>
        <w:rPr>
          <w:b/>
          <w:bCs/>
        </w:rPr>
        <w:t>Tableau 2.2</w:t>
      </w:r>
    </w:p>
    <w:p w:rsidR="00000000" w:rsidRDefault="00000000">
      <w:pPr>
        <w:spacing w:after="180"/>
        <w:jc w:val="center"/>
        <w:rPr>
          <w:b/>
          <w:bCs/>
        </w:rPr>
      </w:pPr>
      <w:r>
        <w:rPr>
          <w:b/>
          <w:bCs/>
        </w:rPr>
        <w:t>Bolivie − Zones rurales: Principaux indicateurs annuels de l’emploi,</w:t>
      </w:r>
      <w:r>
        <w:rPr>
          <w:b/>
          <w:bCs/>
        </w:rPr>
        <w:br/>
        <w:t>par sexe, 1999</w:t>
      </w:r>
      <w:r>
        <w:rPr>
          <w:b/>
          <w:bCs/>
        </w:rPr>
        <w:noBreakHyphen/>
        <w:t>2003</w:t>
      </w:r>
      <w:r>
        <w:rPr>
          <w:b/>
          <w:bCs/>
          <w:i/>
          <w:iCs/>
          <w:vertAlign w:val="superscript"/>
        </w:rPr>
        <w:t>p</w:t>
      </w:r>
      <w:r>
        <w:rPr>
          <w:b/>
          <w:bCs/>
        </w:rPr>
        <w:br/>
      </w:r>
      <w:r>
        <w:t>(</w:t>
      </w:r>
      <w:r>
        <w:rPr>
          <w:i/>
          <w:iCs/>
        </w:rPr>
        <w:t>En pourcentage</w:t>
      </w:r>
      <w:r>
        <w: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1"/>
        <w:gridCol w:w="1138"/>
        <w:gridCol w:w="1137"/>
        <w:gridCol w:w="1137"/>
        <w:gridCol w:w="1137"/>
        <w:gridCol w:w="1137"/>
      </w:tblGrid>
      <w:tr w:rsidR="00000000">
        <w:tblPrEx>
          <w:tblCellMar>
            <w:top w:w="0" w:type="dxa"/>
            <w:bottom w:w="0" w:type="dxa"/>
          </w:tblCellMar>
        </w:tblPrEx>
        <w:trPr>
          <w:tblHeader/>
        </w:trPr>
        <w:tc>
          <w:tcPr>
            <w:tcW w:w="3811" w:type="dxa"/>
            <w:tcBorders>
              <w:bottom w:val="single" w:sz="4" w:space="0" w:color="auto"/>
            </w:tcBorders>
            <w:vAlign w:val="center"/>
          </w:tcPr>
          <w:p w:rsidR="00000000" w:rsidRDefault="00000000">
            <w:pPr>
              <w:spacing w:before="60" w:after="60"/>
              <w:jc w:val="center"/>
              <w:rPr>
                <w:sz w:val="20"/>
              </w:rPr>
            </w:pPr>
            <w:r>
              <w:rPr>
                <w:sz w:val="20"/>
              </w:rPr>
              <w:t>Description</w:t>
            </w:r>
          </w:p>
        </w:tc>
        <w:tc>
          <w:tcPr>
            <w:tcW w:w="1138" w:type="dxa"/>
            <w:vAlign w:val="center"/>
          </w:tcPr>
          <w:p w:rsidR="00000000" w:rsidRDefault="00000000">
            <w:pPr>
              <w:spacing w:before="60" w:after="60"/>
              <w:jc w:val="center"/>
              <w:rPr>
                <w:sz w:val="20"/>
              </w:rPr>
            </w:pPr>
            <w:r>
              <w:rPr>
                <w:sz w:val="20"/>
              </w:rPr>
              <w:t>1999</w:t>
            </w:r>
          </w:p>
        </w:tc>
        <w:tc>
          <w:tcPr>
            <w:tcW w:w="1137" w:type="dxa"/>
            <w:vAlign w:val="center"/>
          </w:tcPr>
          <w:p w:rsidR="00000000" w:rsidRDefault="00000000">
            <w:pPr>
              <w:spacing w:before="60" w:after="60"/>
              <w:jc w:val="center"/>
              <w:rPr>
                <w:sz w:val="20"/>
              </w:rPr>
            </w:pPr>
            <w:r>
              <w:rPr>
                <w:sz w:val="20"/>
              </w:rPr>
              <w:t>2000</w:t>
            </w:r>
          </w:p>
        </w:tc>
        <w:tc>
          <w:tcPr>
            <w:tcW w:w="1137" w:type="dxa"/>
            <w:vAlign w:val="center"/>
          </w:tcPr>
          <w:p w:rsidR="00000000" w:rsidRDefault="00000000">
            <w:pPr>
              <w:spacing w:before="60" w:after="60"/>
              <w:jc w:val="center"/>
              <w:rPr>
                <w:sz w:val="20"/>
              </w:rPr>
            </w:pPr>
            <w:r>
              <w:rPr>
                <w:sz w:val="20"/>
              </w:rPr>
              <w:t>2001</w:t>
            </w:r>
          </w:p>
        </w:tc>
        <w:tc>
          <w:tcPr>
            <w:tcW w:w="1137" w:type="dxa"/>
            <w:vAlign w:val="center"/>
          </w:tcPr>
          <w:p w:rsidR="00000000" w:rsidRDefault="00000000">
            <w:pPr>
              <w:spacing w:before="60" w:after="60"/>
              <w:jc w:val="center"/>
              <w:rPr>
                <w:sz w:val="20"/>
              </w:rPr>
            </w:pPr>
            <w:r>
              <w:rPr>
                <w:sz w:val="20"/>
              </w:rPr>
              <w:t>2002</w:t>
            </w:r>
          </w:p>
        </w:tc>
        <w:tc>
          <w:tcPr>
            <w:tcW w:w="1137"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Population inactive par rapport</w:t>
            </w:r>
            <w:r>
              <w:rPr>
                <w:b/>
                <w:bCs/>
                <w:sz w:val="20"/>
              </w:rPr>
              <w:br/>
              <w:t>à la population active</w:t>
            </w:r>
          </w:p>
        </w:tc>
        <w:tc>
          <w:tcPr>
            <w:tcW w:w="1138" w:type="dxa"/>
            <w:vAlign w:val="bottom"/>
          </w:tcPr>
          <w:p w:rsidR="00000000" w:rsidRDefault="00000000">
            <w:pPr>
              <w:keepNext/>
              <w:keepLines/>
              <w:tabs>
                <w:tab w:val="decimal" w:pos="403"/>
              </w:tabs>
              <w:autoSpaceDE w:val="0"/>
              <w:autoSpaceDN w:val="0"/>
              <w:adjustRightInd w:val="0"/>
              <w:jc w:val="right"/>
              <w:rPr>
                <w:sz w:val="20"/>
              </w:rPr>
            </w:pPr>
            <w:r>
              <w:rPr>
                <w:bCs/>
                <w:sz w:val="20"/>
              </w:rPr>
              <w:t>25,06</w:t>
            </w:r>
          </w:p>
        </w:tc>
        <w:tc>
          <w:tcPr>
            <w:tcW w:w="1137" w:type="dxa"/>
            <w:vAlign w:val="bottom"/>
          </w:tcPr>
          <w:p w:rsidR="00000000" w:rsidRDefault="00000000">
            <w:pPr>
              <w:keepNext/>
              <w:keepLines/>
              <w:tabs>
                <w:tab w:val="decimal" w:pos="406"/>
              </w:tabs>
              <w:autoSpaceDE w:val="0"/>
              <w:autoSpaceDN w:val="0"/>
              <w:adjustRightInd w:val="0"/>
              <w:jc w:val="right"/>
              <w:rPr>
                <w:sz w:val="20"/>
              </w:rPr>
            </w:pPr>
            <w:r>
              <w:rPr>
                <w:bCs/>
                <w:sz w:val="20"/>
              </w:rPr>
              <w:t>33,97</w:t>
            </w:r>
          </w:p>
        </w:tc>
        <w:tc>
          <w:tcPr>
            <w:tcW w:w="1137" w:type="dxa"/>
            <w:vAlign w:val="bottom"/>
          </w:tcPr>
          <w:p w:rsidR="00000000" w:rsidRDefault="00000000">
            <w:pPr>
              <w:keepNext/>
              <w:keepLines/>
              <w:tabs>
                <w:tab w:val="decimal" w:pos="410"/>
              </w:tabs>
              <w:autoSpaceDE w:val="0"/>
              <w:autoSpaceDN w:val="0"/>
              <w:adjustRightInd w:val="0"/>
              <w:jc w:val="right"/>
              <w:rPr>
                <w:sz w:val="20"/>
              </w:rPr>
            </w:pPr>
            <w:r>
              <w:rPr>
                <w:bCs/>
                <w:sz w:val="20"/>
              </w:rPr>
              <w:t>23,68</w:t>
            </w:r>
          </w:p>
        </w:tc>
        <w:tc>
          <w:tcPr>
            <w:tcW w:w="1137" w:type="dxa"/>
            <w:vAlign w:val="bottom"/>
          </w:tcPr>
          <w:p w:rsidR="00000000" w:rsidRDefault="00000000">
            <w:pPr>
              <w:keepNext/>
              <w:keepLines/>
              <w:tabs>
                <w:tab w:val="decimal" w:pos="440"/>
              </w:tabs>
              <w:autoSpaceDE w:val="0"/>
              <w:autoSpaceDN w:val="0"/>
              <w:adjustRightInd w:val="0"/>
              <w:jc w:val="right"/>
              <w:rPr>
                <w:sz w:val="20"/>
              </w:rPr>
            </w:pPr>
            <w:r>
              <w:rPr>
                <w:bCs/>
                <w:sz w:val="20"/>
              </w:rPr>
              <w:t>31,19</w:t>
            </w:r>
          </w:p>
        </w:tc>
        <w:tc>
          <w:tcPr>
            <w:tcW w:w="1137" w:type="dxa"/>
            <w:vAlign w:val="bottom"/>
          </w:tcPr>
          <w:p w:rsidR="00000000" w:rsidRDefault="00000000">
            <w:pPr>
              <w:keepNext/>
              <w:keepLines/>
              <w:tabs>
                <w:tab w:val="decimal" w:pos="402"/>
              </w:tabs>
              <w:autoSpaceDE w:val="0"/>
              <w:autoSpaceDN w:val="0"/>
              <w:adjustRightInd w:val="0"/>
              <w:jc w:val="right"/>
              <w:rPr>
                <w:sz w:val="20"/>
              </w:rPr>
            </w:pPr>
            <w:r>
              <w:rPr>
                <w:bCs/>
                <w:sz w:val="20"/>
              </w:rPr>
              <w:t>23,40</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keepNext/>
              <w:keepLines/>
              <w:widowControl w:val="0"/>
              <w:tabs>
                <w:tab w:val="decimal" w:pos="403"/>
              </w:tabs>
              <w:autoSpaceDE w:val="0"/>
              <w:autoSpaceDN w:val="0"/>
              <w:adjustRightInd w:val="0"/>
              <w:jc w:val="right"/>
              <w:rPr>
                <w:sz w:val="20"/>
              </w:rPr>
            </w:pPr>
            <w:r>
              <w:rPr>
                <w:sz w:val="20"/>
              </w:rPr>
              <w:t>14,73</w:t>
            </w:r>
          </w:p>
        </w:tc>
        <w:tc>
          <w:tcPr>
            <w:tcW w:w="1137" w:type="dxa"/>
            <w:vAlign w:val="bottom"/>
          </w:tcPr>
          <w:p w:rsidR="00000000" w:rsidRDefault="00000000">
            <w:pPr>
              <w:keepNext/>
              <w:keepLines/>
              <w:widowControl w:val="0"/>
              <w:tabs>
                <w:tab w:val="decimal" w:pos="406"/>
              </w:tabs>
              <w:autoSpaceDE w:val="0"/>
              <w:autoSpaceDN w:val="0"/>
              <w:adjustRightInd w:val="0"/>
              <w:jc w:val="right"/>
              <w:rPr>
                <w:sz w:val="20"/>
              </w:rPr>
            </w:pPr>
            <w:r>
              <w:rPr>
                <w:sz w:val="20"/>
              </w:rPr>
              <w:t>20,12</w:t>
            </w:r>
          </w:p>
        </w:tc>
        <w:tc>
          <w:tcPr>
            <w:tcW w:w="1137" w:type="dxa"/>
            <w:vAlign w:val="bottom"/>
          </w:tcPr>
          <w:p w:rsidR="00000000" w:rsidRDefault="00000000">
            <w:pPr>
              <w:keepNext/>
              <w:keepLines/>
              <w:widowControl w:val="0"/>
              <w:tabs>
                <w:tab w:val="decimal" w:pos="410"/>
              </w:tabs>
              <w:autoSpaceDE w:val="0"/>
              <w:autoSpaceDN w:val="0"/>
              <w:adjustRightInd w:val="0"/>
              <w:jc w:val="right"/>
              <w:rPr>
                <w:sz w:val="20"/>
              </w:rPr>
            </w:pPr>
            <w:r>
              <w:rPr>
                <w:sz w:val="20"/>
              </w:rPr>
              <w:t>12,07</w:t>
            </w:r>
          </w:p>
        </w:tc>
        <w:tc>
          <w:tcPr>
            <w:tcW w:w="1137" w:type="dxa"/>
            <w:vAlign w:val="bottom"/>
          </w:tcPr>
          <w:p w:rsidR="00000000" w:rsidRDefault="00000000">
            <w:pPr>
              <w:keepNext/>
              <w:keepLines/>
              <w:widowControl w:val="0"/>
              <w:tabs>
                <w:tab w:val="decimal" w:pos="440"/>
              </w:tabs>
              <w:autoSpaceDE w:val="0"/>
              <w:autoSpaceDN w:val="0"/>
              <w:adjustRightInd w:val="0"/>
              <w:jc w:val="right"/>
              <w:rPr>
                <w:sz w:val="20"/>
              </w:rPr>
            </w:pPr>
            <w:r>
              <w:rPr>
                <w:sz w:val="20"/>
              </w:rPr>
              <w:t>16,10</w:t>
            </w:r>
          </w:p>
        </w:tc>
        <w:tc>
          <w:tcPr>
            <w:tcW w:w="1137" w:type="dxa"/>
            <w:vAlign w:val="bottom"/>
          </w:tcPr>
          <w:p w:rsidR="00000000" w:rsidRDefault="00000000">
            <w:pPr>
              <w:keepNext/>
              <w:keepLines/>
              <w:widowControl w:val="0"/>
              <w:tabs>
                <w:tab w:val="decimal" w:pos="402"/>
              </w:tabs>
              <w:autoSpaceDE w:val="0"/>
              <w:autoSpaceDN w:val="0"/>
              <w:adjustRightInd w:val="0"/>
              <w:jc w:val="right"/>
              <w:rPr>
                <w:sz w:val="20"/>
              </w:rPr>
            </w:pPr>
            <w:r>
              <w:rPr>
                <w:sz w:val="20"/>
              </w:rPr>
              <w:t>12,77</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36,98</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51,44</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38,29</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51,90</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36,71</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Offre de main</w:t>
            </w:r>
            <w:r>
              <w:rPr>
                <w:b/>
                <w:bCs/>
                <w:sz w:val="20"/>
              </w:rPr>
              <w:noBreakHyphen/>
              <w:t>d’œuvre sur le marché du travail</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bCs/>
                <w:sz w:val="20"/>
              </w:rPr>
              <w:t>68,69</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bCs/>
                <w:sz w:val="20"/>
              </w:rPr>
              <w:t>69,54</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bCs/>
                <w:sz w:val="20"/>
              </w:rPr>
              <w:t>69,53</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bCs/>
                <w:sz w:val="20"/>
              </w:rPr>
              <w:t>70,40</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bCs/>
                <w:sz w:val="20"/>
              </w:rPr>
              <w:t>71,66</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67,62</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68,95</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69,56</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71,21</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71,37</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69,75</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70,14</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69,51</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69,57</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71,96</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Population active au travail</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bCs/>
                <w:sz w:val="20"/>
              </w:rPr>
              <w:t>79,58</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bCs/>
                <w:sz w:val="20"/>
              </w:rPr>
              <w:t>73,95</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bCs/>
                <w:sz w:val="20"/>
              </w:rPr>
              <w:t>80,17</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bCs/>
                <w:sz w:val="20"/>
              </w:rPr>
              <w:t>75,34</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bCs/>
                <w:sz w:val="20"/>
              </w:rPr>
              <w:t>79,73</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86,91</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82,69</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88,73</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85,67</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87,68</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72,49</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65,20</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71,45</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64,51</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71,52</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brut de participation</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bCs/>
                <w:sz w:val="20"/>
              </w:rPr>
              <w:t>54,92</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bCs/>
                <w:sz w:val="20"/>
              </w:rPr>
              <w:t>51,91</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bCs/>
                <w:sz w:val="20"/>
              </w:rPr>
              <w:t>56,22</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bCs/>
                <w:sz w:val="20"/>
              </w:rPr>
              <w:t>53,67</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bCs/>
                <w:sz w:val="20"/>
              </w:rPr>
              <w:t>58,07</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58,94</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57,40</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62,07</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61,34</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63,29</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50,92</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46,31</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50,26</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45,80</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52,64</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Population sans emploi par rapport</w:t>
            </w:r>
            <w:r>
              <w:rPr>
                <w:b/>
                <w:bCs/>
                <w:sz w:val="20"/>
              </w:rPr>
              <w:br/>
              <w:t>à la population active</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bCs/>
                <w:sz w:val="20"/>
              </w:rPr>
              <w:t>0,38</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bCs/>
                <w:sz w:val="20"/>
              </w:rPr>
              <w:t>0,73</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bCs/>
                <w:sz w:val="20"/>
              </w:rPr>
              <w:t>0,49</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bCs/>
                <w:sz w:val="20"/>
              </w:rPr>
              <w:t>0,82</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bCs/>
                <w:sz w:val="20"/>
              </w:rPr>
              <w:t>1,14</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0,26</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0,45</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0,37</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0,48</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1,00</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0,53</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1,08</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0,65</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1,28</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1,32</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de dépendance</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bCs/>
                <w:sz w:val="20"/>
              </w:rPr>
              <w:t>0,83</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bCs/>
                <w:sz w:val="20"/>
              </w:rPr>
              <w:t>0,94</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bCs/>
                <w:sz w:val="20"/>
              </w:rPr>
              <w:t>0,79</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bCs/>
                <w:sz w:val="20"/>
              </w:rPr>
              <w:t>0,89</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bCs/>
                <w:sz w:val="20"/>
              </w:rPr>
              <w:t>0,75</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0,70</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0,75</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0,62</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0,64</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0,60</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0,98</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1,19</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1,01</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1,23</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0,94</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de chômage déclaré</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bCs/>
                <w:sz w:val="20"/>
              </w:rPr>
              <w:t>0,48</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bCs/>
                <w:sz w:val="20"/>
              </w:rPr>
              <w:t>0,93</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bCs/>
                <w:sz w:val="20"/>
              </w:rPr>
              <w:t>0,84</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bCs/>
                <w:sz w:val="20"/>
              </w:rPr>
              <w:t>1,16</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bCs/>
                <w:sz w:val="20"/>
              </w:rPr>
              <w:t>1,61</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0,29</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0,67</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0,56</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0,53</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1,12</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0,70</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1,26</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1,19</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2,01</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2,22</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global de population active au travail</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bCs/>
                <w:sz w:val="20"/>
              </w:rPr>
              <w:t>99,52</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bCs/>
                <w:sz w:val="20"/>
              </w:rPr>
              <w:t>99,07</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bCs/>
                <w:sz w:val="20"/>
              </w:rPr>
              <w:t>99,16</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bCs/>
                <w:sz w:val="20"/>
              </w:rPr>
              <w:t>98,84</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bCs/>
                <w:sz w:val="20"/>
              </w:rPr>
              <w:t>98,39</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99,71</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99,33</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99,44</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99,47</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98,88</w:t>
            </w:r>
          </w:p>
        </w:tc>
      </w:tr>
      <w:tr w:rsidR="00000000">
        <w:tblPrEx>
          <w:tblCellMar>
            <w:top w:w="0" w:type="dxa"/>
            <w:bottom w:w="0" w:type="dxa"/>
          </w:tblCellMar>
        </w:tblPrEx>
        <w:tc>
          <w:tcPr>
            <w:tcW w:w="3811" w:type="dxa"/>
            <w:tcBorders>
              <w:top w:val="nil"/>
              <w:bottom w:val="single" w:sz="4" w:space="0" w:color="auto"/>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99,30</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98,74</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98,81</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97,99</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97,78</w:t>
            </w:r>
          </w:p>
        </w:tc>
      </w:tr>
      <w:tr w:rsidR="00000000">
        <w:tblPrEx>
          <w:tblCellMar>
            <w:top w:w="0" w:type="dxa"/>
            <w:bottom w:w="0" w:type="dxa"/>
          </w:tblCellMar>
        </w:tblPrEx>
        <w:tc>
          <w:tcPr>
            <w:tcW w:w="3811" w:type="dxa"/>
            <w:tcBorders>
              <w:bottom w:val="nil"/>
            </w:tcBorders>
            <w:vAlign w:val="bottom"/>
          </w:tcPr>
          <w:p w:rsidR="00000000" w:rsidRDefault="00000000">
            <w:pPr>
              <w:spacing w:before="60" w:after="60"/>
              <w:rPr>
                <w:b/>
                <w:bCs/>
                <w:sz w:val="20"/>
              </w:rPr>
            </w:pPr>
            <w:r>
              <w:rPr>
                <w:b/>
                <w:bCs/>
                <w:sz w:val="20"/>
              </w:rPr>
              <w:t>Taux global de participation</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bCs/>
                <w:sz w:val="20"/>
              </w:rPr>
              <w:t>79,96</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bCs/>
                <w:sz w:val="20"/>
              </w:rPr>
              <w:t>74,64</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bCs/>
                <w:sz w:val="20"/>
              </w:rPr>
              <w:t>80,85</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bCs/>
                <w:sz w:val="20"/>
              </w:rPr>
              <w:t>76,23</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bCs/>
                <w:sz w:val="20"/>
              </w:rPr>
              <w:t>81,04</w:t>
            </w:r>
          </w:p>
        </w:tc>
      </w:tr>
      <w:tr w:rsidR="00000000">
        <w:tblPrEx>
          <w:tblCellMar>
            <w:top w:w="0" w:type="dxa"/>
            <w:bottom w:w="0" w:type="dxa"/>
          </w:tblCellMar>
        </w:tblPrEx>
        <w:tc>
          <w:tcPr>
            <w:tcW w:w="3811" w:type="dxa"/>
            <w:tcBorders>
              <w:top w:val="nil"/>
              <w:bottom w:val="nil"/>
            </w:tcBorders>
            <w:vAlign w:val="bottom"/>
          </w:tcPr>
          <w:p w:rsidR="00000000" w:rsidRDefault="00000000">
            <w:pPr>
              <w:spacing w:before="60" w:after="60"/>
              <w:ind w:left="227"/>
              <w:rPr>
                <w:sz w:val="20"/>
              </w:rPr>
            </w:pPr>
            <w:r>
              <w:rPr>
                <w:sz w:val="20"/>
              </w:rPr>
              <w:t>Hommes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87,16</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83,25</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89,23</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86,13</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88,67</w:t>
            </w:r>
          </w:p>
        </w:tc>
      </w:tr>
      <w:tr w:rsidR="00000000">
        <w:tblPrEx>
          <w:tblCellMar>
            <w:top w:w="0" w:type="dxa"/>
            <w:bottom w:w="0" w:type="dxa"/>
          </w:tblCellMar>
        </w:tblPrEx>
        <w:tc>
          <w:tcPr>
            <w:tcW w:w="3811" w:type="dxa"/>
            <w:tcBorders>
              <w:top w:val="nil"/>
            </w:tcBorders>
            <w:vAlign w:val="bottom"/>
          </w:tcPr>
          <w:p w:rsidR="00000000" w:rsidRDefault="00000000">
            <w:pPr>
              <w:spacing w:before="60" w:after="60"/>
              <w:ind w:left="227"/>
              <w:rPr>
                <w:sz w:val="20"/>
              </w:rPr>
            </w:pPr>
            <w:r>
              <w:rPr>
                <w:sz w:val="20"/>
              </w:rPr>
              <w:t>Femmes</w:t>
            </w:r>
          </w:p>
        </w:tc>
        <w:tc>
          <w:tcPr>
            <w:tcW w:w="1138" w:type="dxa"/>
            <w:vAlign w:val="bottom"/>
          </w:tcPr>
          <w:p w:rsidR="00000000" w:rsidRDefault="00000000">
            <w:pPr>
              <w:widowControl w:val="0"/>
              <w:tabs>
                <w:tab w:val="decimal" w:pos="403"/>
              </w:tabs>
              <w:autoSpaceDE w:val="0"/>
              <w:autoSpaceDN w:val="0"/>
              <w:adjustRightInd w:val="0"/>
              <w:jc w:val="right"/>
              <w:rPr>
                <w:sz w:val="20"/>
              </w:rPr>
            </w:pPr>
            <w:r>
              <w:rPr>
                <w:sz w:val="20"/>
              </w:rPr>
              <w:t>73,00</w:t>
            </w:r>
          </w:p>
        </w:tc>
        <w:tc>
          <w:tcPr>
            <w:tcW w:w="1137" w:type="dxa"/>
            <w:vAlign w:val="bottom"/>
          </w:tcPr>
          <w:p w:rsidR="00000000" w:rsidRDefault="00000000">
            <w:pPr>
              <w:widowControl w:val="0"/>
              <w:tabs>
                <w:tab w:val="decimal" w:pos="406"/>
              </w:tabs>
              <w:autoSpaceDE w:val="0"/>
              <w:autoSpaceDN w:val="0"/>
              <w:adjustRightInd w:val="0"/>
              <w:jc w:val="right"/>
              <w:rPr>
                <w:sz w:val="20"/>
              </w:rPr>
            </w:pPr>
            <w:r>
              <w:rPr>
                <w:sz w:val="20"/>
              </w:rPr>
              <w:t>66,03</w:t>
            </w:r>
          </w:p>
        </w:tc>
        <w:tc>
          <w:tcPr>
            <w:tcW w:w="1137" w:type="dxa"/>
            <w:vAlign w:val="bottom"/>
          </w:tcPr>
          <w:p w:rsidR="00000000" w:rsidRDefault="00000000">
            <w:pPr>
              <w:widowControl w:val="0"/>
              <w:tabs>
                <w:tab w:val="decimal" w:pos="410"/>
              </w:tabs>
              <w:autoSpaceDE w:val="0"/>
              <w:autoSpaceDN w:val="0"/>
              <w:adjustRightInd w:val="0"/>
              <w:jc w:val="right"/>
              <w:rPr>
                <w:sz w:val="20"/>
              </w:rPr>
            </w:pPr>
            <w:r>
              <w:rPr>
                <w:sz w:val="20"/>
              </w:rPr>
              <w:t>72,31</w:t>
            </w:r>
          </w:p>
        </w:tc>
        <w:tc>
          <w:tcPr>
            <w:tcW w:w="1137" w:type="dxa"/>
            <w:vAlign w:val="bottom"/>
          </w:tcPr>
          <w:p w:rsidR="00000000" w:rsidRDefault="00000000">
            <w:pPr>
              <w:widowControl w:val="0"/>
              <w:tabs>
                <w:tab w:val="decimal" w:pos="440"/>
              </w:tabs>
              <w:autoSpaceDE w:val="0"/>
              <w:autoSpaceDN w:val="0"/>
              <w:adjustRightInd w:val="0"/>
              <w:jc w:val="right"/>
              <w:rPr>
                <w:sz w:val="20"/>
              </w:rPr>
            </w:pPr>
            <w:r>
              <w:rPr>
                <w:sz w:val="20"/>
              </w:rPr>
              <w:t>65,83</w:t>
            </w:r>
          </w:p>
        </w:tc>
        <w:tc>
          <w:tcPr>
            <w:tcW w:w="1137" w:type="dxa"/>
            <w:vAlign w:val="bottom"/>
          </w:tcPr>
          <w:p w:rsidR="00000000" w:rsidRDefault="00000000">
            <w:pPr>
              <w:widowControl w:val="0"/>
              <w:tabs>
                <w:tab w:val="decimal" w:pos="402"/>
              </w:tabs>
              <w:autoSpaceDE w:val="0"/>
              <w:autoSpaceDN w:val="0"/>
              <w:adjustRightInd w:val="0"/>
              <w:jc w:val="right"/>
              <w:rPr>
                <w:sz w:val="20"/>
              </w:rPr>
            </w:pPr>
            <w:r>
              <w:rPr>
                <w:sz w:val="20"/>
              </w:rPr>
              <w:t>73,15</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spacing w:after="180"/>
        <w:jc w:val="center"/>
        <w:rPr>
          <w:b/>
          <w:bCs/>
        </w:rPr>
      </w:pPr>
      <w:r>
        <w:rPr>
          <w:b/>
          <w:bCs/>
        </w:rPr>
        <w:t>Tableau 3</w:t>
      </w:r>
    </w:p>
    <w:p w:rsidR="00000000" w:rsidRDefault="00000000">
      <w:pPr>
        <w:spacing w:after="180"/>
        <w:jc w:val="center"/>
      </w:pPr>
      <w:r>
        <w:rPr>
          <w:b/>
          <w:bCs/>
        </w:rPr>
        <w:t>Bolivie: Répartition annuelle de la population selon l’activité principale,</w:t>
      </w:r>
      <w:r>
        <w:rPr>
          <w:b/>
          <w:bCs/>
        </w:rPr>
        <w:br/>
        <w:t>par sexe et catégorie professionnelle, 1999</w:t>
      </w:r>
      <w:r>
        <w:rPr>
          <w:b/>
          <w:bCs/>
        </w:rPr>
        <w:noBreakHyphen/>
        <w:t>2003</w:t>
      </w:r>
      <w:r>
        <w:rPr>
          <w:b/>
          <w:bCs/>
          <w:i/>
          <w:iCs/>
          <w:vertAlign w:val="superscript"/>
        </w:rPr>
        <w:t>p</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9"/>
        <w:gridCol w:w="1134"/>
        <w:gridCol w:w="1134"/>
        <w:gridCol w:w="1134"/>
        <w:gridCol w:w="1134"/>
        <w:gridCol w:w="1134"/>
      </w:tblGrid>
      <w:tr w:rsidR="00000000">
        <w:tblPrEx>
          <w:tblCellMar>
            <w:top w:w="0" w:type="dxa"/>
            <w:bottom w:w="0" w:type="dxa"/>
          </w:tblCellMar>
        </w:tblPrEx>
        <w:trPr>
          <w:tblHeader/>
        </w:trPr>
        <w:tc>
          <w:tcPr>
            <w:tcW w:w="3799" w:type="dxa"/>
            <w:tcBorders>
              <w:bottom w:val="single" w:sz="4" w:space="0" w:color="auto"/>
            </w:tcBorders>
            <w:vAlign w:val="center"/>
          </w:tcPr>
          <w:p w:rsidR="00000000" w:rsidRDefault="00000000">
            <w:pPr>
              <w:spacing w:before="60" w:after="60"/>
              <w:jc w:val="center"/>
              <w:rPr>
                <w:sz w:val="20"/>
              </w:rPr>
            </w:pPr>
            <w:r>
              <w:rPr>
                <w:sz w:val="20"/>
              </w:rPr>
              <w:t>Catégorie professionnelle</w:t>
            </w:r>
          </w:p>
        </w:tc>
        <w:tc>
          <w:tcPr>
            <w:tcW w:w="1134" w:type="dxa"/>
            <w:vAlign w:val="center"/>
          </w:tcPr>
          <w:p w:rsidR="00000000" w:rsidRDefault="00000000">
            <w:pPr>
              <w:spacing w:before="60" w:after="60"/>
              <w:jc w:val="center"/>
              <w:rPr>
                <w:sz w:val="20"/>
              </w:rPr>
            </w:pPr>
            <w:r>
              <w:rPr>
                <w:sz w:val="20"/>
              </w:rPr>
              <w:t>1999</w:t>
            </w:r>
          </w:p>
        </w:tc>
        <w:tc>
          <w:tcPr>
            <w:tcW w:w="1134" w:type="dxa"/>
            <w:vAlign w:val="center"/>
          </w:tcPr>
          <w:p w:rsidR="00000000" w:rsidRDefault="00000000">
            <w:pPr>
              <w:spacing w:before="60" w:after="60"/>
              <w:jc w:val="center"/>
              <w:rPr>
                <w:sz w:val="20"/>
              </w:rPr>
            </w:pPr>
            <w:r>
              <w:rPr>
                <w:sz w:val="20"/>
              </w:rPr>
              <w:t>2000</w:t>
            </w:r>
          </w:p>
        </w:tc>
        <w:tc>
          <w:tcPr>
            <w:tcW w:w="1134" w:type="dxa"/>
            <w:vAlign w:val="center"/>
          </w:tcPr>
          <w:p w:rsidR="00000000" w:rsidRDefault="00000000">
            <w:pPr>
              <w:spacing w:before="60" w:after="60"/>
              <w:jc w:val="center"/>
              <w:rPr>
                <w:sz w:val="20"/>
              </w:rPr>
            </w:pPr>
            <w:r>
              <w:rPr>
                <w:sz w:val="20"/>
              </w:rPr>
              <w:t>2001</w:t>
            </w:r>
          </w:p>
        </w:tc>
        <w:tc>
          <w:tcPr>
            <w:tcW w:w="1134" w:type="dxa"/>
            <w:vAlign w:val="center"/>
          </w:tcPr>
          <w:p w:rsidR="00000000" w:rsidRDefault="00000000">
            <w:pPr>
              <w:spacing w:before="60" w:after="60"/>
              <w:jc w:val="center"/>
              <w:rPr>
                <w:sz w:val="20"/>
              </w:rPr>
            </w:pPr>
            <w:r>
              <w:rPr>
                <w:sz w:val="20"/>
              </w:rPr>
              <w:t>2002</w:t>
            </w:r>
          </w:p>
        </w:tc>
        <w:tc>
          <w:tcPr>
            <w:tcW w:w="1134"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9" w:type="dxa"/>
            <w:tcBorders>
              <w:bottom w:val="nil"/>
            </w:tcBorders>
            <w:vAlign w:val="bottom"/>
          </w:tcPr>
          <w:p w:rsidR="00000000" w:rsidRDefault="00000000">
            <w:pPr>
              <w:spacing w:before="60" w:after="60"/>
              <w:rPr>
                <w:b/>
                <w:bCs/>
                <w:sz w:val="20"/>
              </w:rPr>
            </w:pPr>
            <w:r>
              <w:rPr>
                <w:b/>
                <w:bCs/>
                <w:sz w:val="20"/>
              </w:rPr>
              <w:t>TOTAL</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b/>
                <w:bCs/>
                <w:sz w:val="20"/>
              </w:rPr>
              <w:t>3 637 893</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b/>
                <w:bCs/>
                <w:sz w:val="20"/>
              </w:rPr>
              <w:t>3 637 048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b/>
                <w:bCs/>
                <w:sz w:val="20"/>
              </w:rPr>
              <w:t>3 884 251</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b/>
                <w:bCs/>
                <w:sz w:val="20"/>
              </w:rPr>
              <w:t>3 824 938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b/>
                <w:bCs/>
                <w:sz w:val="20"/>
              </w:rPr>
              <w:t>4 085 802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Directeurs et chefs d’entreprise,</w:t>
            </w:r>
            <w:r>
              <w:rPr>
                <w:sz w:val="20"/>
              </w:rPr>
              <w:br/>
              <w:t>secteurs public et privé</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1,83</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1,29</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0,92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1,42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1,31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4,10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2,94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5,06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4,69</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3,38</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Techniciens et cadres moyens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5,12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6,64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3,86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3,81</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4,33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Employés de bureau</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3,17</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3,21</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3,39</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2,52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1,98</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15,96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15,85</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15,73</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15,15</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17,03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38,61</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37,06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30,44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40,19</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37,79</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18,37</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17,21</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15,16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16,84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18,59</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Conducteurs d’installations</w:t>
            </w:r>
            <w:r>
              <w:rPr>
                <w:sz w:val="20"/>
              </w:rPr>
              <w:br/>
              <w:t xml:space="preserve">et de machines </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4,66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4,89</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5,11</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4,86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4,42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Travailleurs non qualifiés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7,98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10,73</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20,24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10,47</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11,03</w:t>
            </w:r>
          </w:p>
        </w:tc>
      </w:tr>
      <w:tr w:rsidR="00000000">
        <w:tblPrEx>
          <w:tblCellMar>
            <w:top w:w="0" w:type="dxa"/>
            <w:bottom w:w="0" w:type="dxa"/>
          </w:tblCellMar>
        </w:tblPrEx>
        <w:tc>
          <w:tcPr>
            <w:tcW w:w="3799" w:type="dxa"/>
            <w:tcBorders>
              <w:top w:val="nil"/>
              <w:bottom w:val="single" w:sz="4" w:space="0" w:color="auto"/>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0,20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0,18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0,08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0,00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0,14</w:t>
            </w:r>
          </w:p>
        </w:tc>
      </w:tr>
      <w:tr w:rsidR="00000000">
        <w:tblPrEx>
          <w:tblCellMar>
            <w:top w:w="0" w:type="dxa"/>
            <w:bottom w:w="0" w:type="dxa"/>
          </w:tblCellMar>
        </w:tblPrEx>
        <w:tc>
          <w:tcPr>
            <w:tcW w:w="3799" w:type="dxa"/>
            <w:tcBorders>
              <w:bottom w:val="nil"/>
            </w:tcBorders>
            <w:vAlign w:val="bottom"/>
          </w:tcPr>
          <w:p w:rsidR="00000000" w:rsidRDefault="00000000">
            <w:pPr>
              <w:spacing w:before="60" w:after="60"/>
              <w:rPr>
                <w:b/>
                <w:bCs/>
                <w:sz w:val="20"/>
              </w:rPr>
            </w:pPr>
            <w:r>
              <w:rPr>
                <w:b/>
                <w:bCs/>
                <w:sz w:val="20"/>
              </w:rPr>
              <w:t>HOMMES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b/>
                <w:bCs/>
                <w:sz w:val="20"/>
              </w:rPr>
              <w:t>2 000 496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b/>
                <w:bCs/>
                <w:sz w:val="20"/>
              </w:rPr>
              <w:t>2 032 182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b/>
                <w:bCs/>
                <w:sz w:val="20"/>
              </w:rPr>
              <w:t>2 128 402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b/>
                <w:bCs/>
                <w:sz w:val="20"/>
              </w:rPr>
              <w:t>2 160 158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b/>
                <w:bCs/>
                <w:sz w:val="20"/>
              </w:rPr>
              <w:t>2 270 432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Directeurs et chefs d’entreprise,</w:t>
            </w:r>
            <w:r>
              <w:rPr>
                <w:sz w:val="20"/>
              </w:rPr>
              <w:br/>
              <w:t>secteurs public et privé</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2,40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1,42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1,39</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2,02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1,72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4,04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3,29</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4,70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4,18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2,68</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Techniciens et cadres moyens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6,33</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7,04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4,96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4,56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5,41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Employés de bureau</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2,60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2,49</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2,46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2,07</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1,70</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7,58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8,28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8,11</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7,56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10,08</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37,59</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37,67</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33,64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41,32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38,37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25,27</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24,41</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21,09</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21,62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24,31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Conducteurs d’installations</w:t>
            </w:r>
            <w:r>
              <w:rPr>
                <w:sz w:val="20"/>
              </w:rPr>
              <w:br/>
              <w:t xml:space="preserve">et de machines </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8,43</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8,62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9,20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8,43</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7,83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Travailleurs non qualifiés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5,39</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6,46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14,30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8,11</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7,65</w:t>
            </w:r>
          </w:p>
        </w:tc>
      </w:tr>
      <w:tr w:rsidR="00000000">
        <w:tblPrEx>
          <w:tblCellMar>
            <w:top w:w="0" w:type="dxa"/>
            <w:bottom w:w="0" w:type="dxa"/>
          </w:tblCellMar>
        </w:tblPrEx>
        <w:tc>
          <w:tcPr>
            <w:tcW w:w="3799" w:type="dxa"/>
            <w:tcBorders>
              <w:top w:val="nil"/>
              <w:bottom w:val="single" w:sz="4" w:space="0" w:color="auto"/>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0,36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0,32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0,14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0,12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0,25</w:t>
            </w:r>
          </w:p>
        </w:tc>
      </w:tr>
      <w:tr w:rsidR="00000000">
        <w:tblPrEx>
          <w:tblCellMar>
            <w:top w:w="0" w:type="dxa"/>
            <w:bottom w:w="0" w:type="dxa"/>
          </w:tblCellMar>
        </w:tblPrEx>
        <w:tc>
          <w:tcPr>
            <w:tcW w:w="3799" w:type="dxa"/>
            <w:tcBorders>
              <w:bottom w:val="nil"/>
            </w:tcBorders>
            <w:vAlign w:val="bottom"/>
          </w:tcPr>
          <w:p w:rsidR="00000000" w:rsidRDefault="00000000">
            <w:pPr>
              <w:pageBreakBefore/>
              <w:spacing w:before="60" w:after="60"/>
              <w:rPr>
                <w:b/>
                <w:bCs/>
                <w:sz w:val="20"/>
              </w:rPr>
            </w:pPr>
            <w:r>
              <w:rPr>
                <w:b/>
                <w:bCs/>
                <w:sz w:val="20"/>
              </w:rPr>
              <w:t>FEMMES</w:t>
            </w:r>
          </w:p>
        </w:tc>
        <w:tc>
          <w:tcPr>
            <w:tcW w:w="1134" w:type="dxa"/>
            <w:vAlign w:val="bottom"/>
          </w:tcPr>
          <w:p w:rsidR="00000000" w:rsidRDefault="00000000">
            <w:pPr>
              <w:pageBreakBefore/>
              <w:widowControl w:val="0"/>
              <w:autoSpaceDE w:val="0"/>
              <w:autoSpaceDN w:val="0"/>
              <w:adjustRightInd w:val="0"/>
              <w:spacing w:before="60" w:after="60"/>
              <w:ind w:left="113"/>
              <w:jc w:val="right"/>
              <w:rPr>
                <w:sz w:val="20"/>
              </w:rPr>
            </w:pPr>
            <w:r>
              <w:rPr>
                <w:b/>
                <w:bCs/>
                <w:sz w:val="20"/>
              </w:rPr>
              <w:t>1 637 397</w:t>
            </w:r>
          </w:p>
        </w:tc>
        <w:tc>
          <w:tcPr>
            <w:tcW w:w="1134" w:type="dxa"/>
            <w:vAlign w:val="bottom"/>
          </w:tcPr>
          <w:p w:rsidR="00000000" w:rsidRDefault="00000000">
            <w:pPr>
              <w:pageBreakBefore/>
              <w:widowControl w:val="0"/>
              <w:autoSpaceDE w:val="0"/>
              <w:autoSpaceDN w:val="0"/>
              <w:adjustRightInd w:val="0"/>
              <w:spacing w:before="60" w:after="60"/>
              <w:ind w:left="113"/>
              <w:jc w:val="right"/>
              <w:rPr>
                <w:sz w:val="20"/>
              </w:rPr>
            </w:pPr>
            <w:r>
              <w:rPr>
                <w:b/>
                <w:bCs/>
                <w:sz w:val="20"/>
              </w:rPr>
              <w:t>1 604 866</w:t>
            </w:r>
          </w:p>
        </w:tc>
        <w:tc>
          <w:tcPr>
            <w:tcW w:w="1134" w:type="dxa"/>
            <w:vAlign w:val="bottom"/>
          </w:tcPr>
          <w:p w:rsidR="00000000" w:rsidRDefault="00000000">
            <w:pPr>
              <w:pageBreakBefore/>
              <w:widowControl w:val="0"/>
              <w:autoSpaceDE w:val="0"/>
              <w:autoSpaceDN w:val="0"/>
              <w:adjustRightInd w:val="0"/>
              <w:spacing w:before="60" w:after="60"/>
              <w:ind w:left="113"/>
              <w:jc w:val="right"/>
              <w:rPr>
                <w:sz w:val="20"/>
              </w:rPr>
            </w:pPr>
            <w:r>
              <w:rPr>
                <w:b/>
                <w:bCs/>
                <w:sz w:val="20"/>
              </w:rPr>
              <w:t>1 755 849</w:t>
            </w:r>
          </w:p>
        </w:tc>
        <w:tc>
          <w:tcPr>
            <w:tcW w:w="1134" w:type="dxa"/>
            <w:vAlign w:val="bottom"/>
          </w:tcPr>
          <w:p w:rsidR="00000000" w:rsidRDefault="00000000">
            <w:pPr>
              <w:pageBreakBefore/>
              <w:widowControl w:val="0"/>
              <w:autoSpaceDE w:val="0"/>
              <w:autoSpaceDN w:val="0"/>
              <w:adjustRightInd w:val="0"/>
              <w:spacing w:before="60" w:after="60"/>
              <w:ind w:left="113"/>
              <w:jc w:val="right"/>
              <w:rPr>
                <w:sz w:val="20"/>
              </w:rPr>
            </w:pPr>
            <w:r>
              <w:rPr>
                <w:b/>
                <w:bCs/>
                <w:sz w:val="20"/>
              </w:rPr>
              <w:t>1 664 780</w:t>
            </w:r>
          </w:p>
        </w:tc>
        <w:tc>
          <w:tcPr>
            <w:tcW w:w="1134" w:type="dxa"/>
            <w:vAlign w:val="bottom"/>
          </w:tcPr>
          <w:p w:rsidR="00000000" w:rsidRDefault="00000000">
            <w:pPr>
              <w:pageBreakBefore/>
              <w:widowControl w:val="0"/>
              <w:autoSpaceDE w:val="0"/>
              <w:autoSpaceDN w:val="0"/>
              <w:adjustRightInd w:val="0"/>
              <w:spacing w:before="60" w:after="60"/>
              <w:ind w:left="113"/>
              <w:jc w:val="right"/>
              <w:rPr>
                <w:sz w:val="20"/>
              </w:rPr>
            </w:pPr>
            <w:r>
              <w:rPr>
                <w:b/>
                <w:bCs/>
                <w:sz w:val="20"/>
              </w:rPr>
              <w:t>1 815 370</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Directrices et chefs d’entreprise,</w:t>
            </w:r>
            <w:r>
              <w:rPr>
                <w:sz w:val="20"/>
              </w:rPr>
              <w:br/>
              <w:t>secteurs public et privé</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1,15</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1,13</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0,36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0,64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0,80</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4,16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2,50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5,50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5,35</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4,25</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Techniciennes et cadres moyens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3,64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6,12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2,54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2,82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2,97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Employées de bureau</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3,86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4,12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4,52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3,10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2,33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26,20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25,43</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24,96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24,98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25,73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39,85</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36,28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26,55</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38,71</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37,06</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9,94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8,10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7,98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10,65</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11,45</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Conductrices d’installations</w:t>
            </w:r>
          </w:p>
          <w:p w:rsidR="00000000" w:rsidRDefault="00000000">
            <w:pPr>
              <w:spacing w:before="60" w:after="60"/>
              <w:ind w:left="284"/>
              <w:rPr>
                <w:sz w:val="20"/>
              </w:rPr>
            </w:pPr>
            <w:r>
              <w:rPr>
                <w:sz w:val="20"/>
              </w:rPr>
              <w:t xml:space="preserve">et de machines </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0,05</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0,18</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0,16</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0,22</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0,15</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Travailleuses non qualifiées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11,14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16,14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27,44</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13,53</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15,26</w:t>
            </w:r>
          </w:p>
        </w:tc>
      </w:tr>
      <w:tr w:rsidR="00000000">
        <w:tblPrEx>
          <w:tblCellMar>
            <w:top w:w="0" w:type="dxa"/>
            <w:bottom w:w="0" w:type="dxa"/>
          </w:tblCellMar>
        </w:tblPrEx>
        <w:tc>
          <w:tcPr>
            <w:tcW w:w="3799" w:type="dxa"/>
            <w:tcBorders>
              <w:top w:val="nil"/>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0,00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0,00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0,00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0,00</w:t>
            </w:r>
          </w:p>
        </w:tc>
        <w:tc>
          <w:tcPr>
            <w:tcW w:w="1134" w:type="dxa"/>
            <w:vAlign w:val="bottom"/>
          </w:tcPr>
          <w:p w:rsidR="00000000" w:rsidRDefault="00000000">
            <w:pPr>
              <w:widowControl w:val="0"/>
              <w:autoSpaceDE w:val="0"/>
              <w:autoSpaceDN w:val="0"/>
              <w:adjustRightInd w:val="0"/>
              <w:spacing w:before="60" w:after="60"/>
              <w:ind w:left="113"/>
              <w:jc w:val="right"/>
              <w:rPr>
                <w:sz w:val="20"/>
              </w:rPr>
            </w:pPr>
            <w:r>
              <w:rPr>
                <w:sz w:val="20"/>
              </w:rPr>
              <w:t>0,00</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spacing w:after="180"/>
        <w:jc w:val="center"/>
        <w:rPr>
          <w:b/>
          <w:bCs/>
        </w:rPr>
      </w:pPr>
      <w:r>
        <w:br w:type="page"/>
      </w:r>
      <w:r>
        <w:rPr>
          <w:b/>
          <w:bCs/>
        </w:rPr>
        <w:t>Tableau 3.1</w:t>
      </w:r>
    </w:p>
    <w:p w:rsidR="00000000" w:rsidRDefault="00000000">
      <w:pPr>
        <w:spacing w:after="180"/>
        <w:jc w:val="center"/>
      </w:pPr>
      <w:r>
        <w:rPr>
          <w:b/>
          <w:bCs/>
        </w:rPr>
        <w:t>Bolivie − Zones urbaines: Répartition annuelle de la population selon l’activité principale, par sexe et catégorie professionnelle, 1999</w:t>
      </w:r>
      <w:r>
        <w:rPr>
          <w:b/>
          <w:bCs/>
        </w:rPr>
        <w:noBreakHyphen/>
        <w:t>2003</w:t>
      </w:r>
      <w:r>
        <w:rPr>
          <w:b/>
          <w:bCs/>
          <w:i/>
          <w:iCs/>
          <w:vertAlign w:val="superscript"/>
        </w:rPr>
        <w:t>p</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9"/>
        <w:gridCol w:w="1134"/>
        <w:gridCol w:w="1134"/>
        <w:gridCol w:w="1134"/>
        <w:gridCol w:w="1134"/>
        <w:gridCol w:w="1134"/>
      </w:tblGrid>
      <w:tr w:rsidR="00000000">
        <w:tblPrEx>
          <w:tblCellMar>
            <w:top w:w="0" w:type="dxa"/>
            <w:bottom w:w="0" w:type="dxa"/>
          </w:tblCellMar>
        </w:tblPrEx>
        <w:trPr>
          <w:tblHeader/>
        </w:trPr>
        <w:tc>
          <w:tcPr>
            <w:tcW w:w="3799" w:type="dxa"/>
            <w:tcBorders>
              <w:bottom w:val="single" w:sz="4" w:space="0" w:color="auto"/>
            </w:tcBorders>
            <w:vAlign w:val="center"/>
          </w:tcPr>
          <w:p w:rsidR="00000000" w:rsidRDefault="00000000">
            <w:pPr>
              <w:spacing w:before="60" w:after="60"/>
              <w:jc w:val="center"/>
              <w:rPr>
                <w:sz w:val="20"/>
              </w:rPr>
            </w:pPr>
            <w:r>
              <w:rPr>
                <w:sz w:val="20"/>
              </w:rPr>
              <w:t>Catégorie professionnelle</w:t>
            </w:r>
          </w:p>
        </w:tc>
        <w:tc>
          <w:tcPr>
            <w:tcW w:w="1134" w:type="dxa"/>
            <w:vAlign w:val="center"/>
          </w:tcPr>
          <w:p w:rsidR="00000000" w:rsidRDefault="00000000">
            <w:pPr>
              <w:spacing w:before="60" w:after="60"/>
              <w:jc w:val="center"/>
              <w:rPr>
                <w:sz w:val="20"/>
              </w:rPr>
            </w:pPr>
            <w:r>
              <w:rPr>
                <w:sz w:val="20"/>
              </w:rPr>
              <w:t>1999</w:t>
            </w:r>
          </w:p>
        </w:tc>
        <w:tc>
          <w:tcPr>
            <w:tcW w:w="1134" w:type="dxa"/>
            <w:vAlign w:val="center"/>
          </w:tcPr>
          <w:p w:rsidR="00000000" w:rsidRDefault="00000000">
            <w:pPr>
              <w:spacing w:before="60" w:after="60"/>
              <w:jc w:val="center"/>
              <w:rPr>
                <w:sz w:val="20"/>
              </w:rPr>
            </w:pPr>
            <w:r>
              <w:rPr>
                <w:sz w:val="20"/>
              </w:rPr>
              <w:t>2000</w:t>
            </w:r>
          </w:p>
        </w:tc>
        <w:tc>
          <w:tcPr>
            <w:tcW w:w="1134" w:type="dxa"/>
            <w:vAlign w:val="center"/>
          </w:tcPr>
          <w:p w:rsidR="00000000" w:rsidRDefault="00000000">
            <w:pPr>
              <w:spacing w:before="60" w:after="60"/>
              <w:jc w:val="center"/>
              <w:rPr>
                <w:sz w:val="20"/>
              </w:rPr>
            </w:pPr>
            <w:r>
              <w:rPr>
                <w:sz w:val="20"/>
              </w:rPr>
              <w:t>2001</w:t>
            </w:r>
          </w:p>
        </w:tc>
        <w:tc>
          <w:tcPr>
            <w:tcW w:w="1134" w:type="dxa"/>
            <w:vAlign w:val="center"/>
          </w:tcPr>
          <w:p w:rsidR="00000000" w:rsidRDefault="00000000">
            <w:pPr>
              <w:spacing w:before="60" w:after="60"/>
              <w:jc w:val="center"/>
              <w:rPr>
                <w:sz w:val="20"/>
              </w:rPr>
            </w:pPr>
            <w:r>
              <w:rPr>
                <w:sz w:val="20"/>
              </w:rPr>
              <w:t>2002</w:t>
            </w:r>
          </w:p>
        </w:tc>
        <w:tc>
          <w:tcPr>
            <w:tcW w:w="1134"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9" w:type="dxa"/>
            <w:tcBorders>
              <w:bottom w:val="nil"/>
            </w:tcBorders>
            <w:vAlign w:val="bottom"/>
          </w:tcPr>
          <w:p w:rsidR="00000000" w:rsidRDefault="00000000">
            <w:pPr>
              <w:spacing w:before="60" w:after="60"/>
              <w:rPr>
                <w:b/>
                <w:bCs/>
                <w:sz w:val="20"/>
              </w:rPr>
            </w:pPr>
            <w:r>
              <w:rPr>
                <w:b/>
                <w:bCs/>
                <w:sz w:val="20"/>
              </w:rPr>
              <w:t>TOTAL</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2 017 044</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2 091 175</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2 156 250</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2 118 436</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2 296 737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Directeurs et chefs d’entreprise,</w:t>
            </w:r>
            <w:r>
              <w:rPr>
                <w:sz w:val="20"/>
              </w:rPr>
              <w:br/>
              <w:t>secteurs public et privé</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2,92</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1,81</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1,44</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2,25</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1,96</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6,81</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5,02</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7,57</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7,78</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5,56</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Techniciens et cadres moyens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7,88</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9,89</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6,51</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6,16</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6,34</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Employés de bureau</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5,60</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5,34</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6,01</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4,40</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3,42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25,95</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24,75</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25,30</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24,68</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26,88</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3,35</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3,72</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4,51</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5,27</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5,61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27,34</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25,77</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23,04</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26,54</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26,59</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Conducteurs d’installations</w:t>
            </w:r>
            <w:r>
              <w:rPr>
                <w:sz w:val="20"/>
              </w:rPr>
              <w:br/>
              <w:t xml:space="preserve">et de machines </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7,88</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7,47</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8,19</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7,79</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7,37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Travailleurs non qualifiés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11,90</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15,95</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17,29</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15,01</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16,07</w:t>
            </w:r>
          </w:p>
        </w:tc>
      </w:tr>
      <w:tr w:rsidR="00000000">
        <w:tblPrEx>
          <w:tblCellMar>
            <w:top w:w="0" w:type="dxa"/>
            <w:bottom w:w="0" w:type="dxa"/>
          </w:tblCellMar>
        </w:tblPrEx>
        <w:tc>
          <w:tcPr>
            <w:tcW w:w="3799" w:type="dxa"/>
            <w:tcBorders>
              <w:top w:val="nil"/>
              <w:bottom w:val="single" w:sz="4" w:space="0" w:color="auto"/>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0,36</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0,27</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0,14</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0,12</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0,20</w:t>
            </w:r>
          </w:p>
        </w:tc>
      </w:tr>
      <w:tr w:rsidR="00000000">
        <w:tblPrEx>
          <w:tblCellMar>
            <w:top w:w="0" w:type="dxa"/>
            <w:bottom w:w="0" w:type="dxa"/>
          </w:tblCellMar>
        </w:tblPrEx>
        <w:tc>
          <w:tcPr>
            <w:tcW w:w="3799" w:type="dxa"/>
            <w:tcBorders>
              <w:bottom w:val="nil"/>
            </w:tcBorders>
            <w:vAlign w:val="bottom"/>
          </w:tcPr>
          <w:p w:rsidR="00000000" w:rsidRDefault="00000000">
            <w:pPr>
              <w:spacing w:before="60" w:after="60"/>
              <w:rPr>
                <w:b/>
                <w:bCs/>
                <w:sz w:val="20"/>
              </w:rPr>
            </w:pPr>
            <w:r>
              <w:rPr>
                <w:b/>
                <w:bCs/>
                <w:sz w:val="20"/>
              </w:rPr>
              <w:t>HOMMES</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1 130 212</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1 167 692</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1 162 875</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1 166 458</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1 270 606</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Directeurs et chefs d’entreprise,</w:t>
            </w:r>
            <w:r>
              <w:rPr>
                <w:sz w:val="20"/>
              </w:rPr>
              <w:br/>
              <w:t>secteurs public et privé</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3,76</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1,91</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2,16</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3,28</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2,50</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6,47</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5,59</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7,12</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6,97</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4,33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Techniciens et cadres moyens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9,70</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10,50</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8,61</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7,51</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7,49</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Employés de bureau</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4,52</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4,13</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4,39</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3,71</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2,93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12,45</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13,64</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13,73</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13,17</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16,84</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4,16</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4,80</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5,41</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6,69</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5,93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37,63</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37,61</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33,44</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34,73</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37,20</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Conducteurs d’installations</w:t>
            </w:r>
            <w:r>
              <w:rPr>
                <w:sz w:val="20"/>
              </w:rPr>
              <w:br/>
              <w:t xml:space="preserve">et de machines </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14,03</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13,14</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14,94</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13,83</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13,27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Travailleurs non qualifiés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6,64</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8,21</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9,94</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9,89</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9,14</w:t>
            </w:r>
          </w:p>
        </w:tc>
      </w:tr>
      <w:tr w:rsidR="00000000">
        <w:tblPrEx>
          <w:tblCellMar>
            <w:top w:w="0" w:type="dxa"/>
            <w:bottom w:w="0" w:type="dxa"/>
          </w:tblCellMar>
        </w:tblPrEx>
        <w:tc>
          <w:tcPr>
            <w:tcW w:w="3799" w:type="dxa"/>
            <w:tcBorders>
              <w:top w:val="nil"/>
              <w:bottom w:val="single" w:sz="4" w:space="0" w:color="auto"/>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0,64</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0,49</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0,26</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0,21</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0,37</w:t>
            </w:r>
          </w:p>
        </w:tc>
      </w:tr>
      <w:tr w:rsidR="00000000">
        <w:tblPrEx>
          <w:tblCellMar>
            <w:top w:w="0" w:type="dxa"/>
            <w:bottom w:w="0" w:type="dxa"/>
          </w:tblCellMar>
        </w:tblPrEx>
        <w:tc>
          <w:tcPr>
            <w:tcW w:w="3799" w:type="dxa"/>
            <w:tcBorders>
              <w:bottom w:val="nil"/>
            </w:tcBorders>
            <w:vAlign w:val="bottom"/>
          </w:tcPr>
          <w:p w:rsidR="00000000" w:rsidRDefault="00000000">
            <w:pPr>
              <w:pageBreakBefore/>
              <w:spacing w:before="60" w:after="60"/>
              <w:rPr>
                <w:b/>
                <w:bCs/>
                <w:sz w:val="20"/>
              </w:rPr>
            </w:pPr>
            <w:r>
              <w:rPr>
                <w:b/>
                <w:bCs/>
                <w:sz w:val="20"/>
              </w:rPr>
              <w:t>FEMMES</w:t>
            </w:r>
          </w:p>
        </w:tc>
        <w:tc>
          <w:tcPr>
            <w:tcW w:w="1134" w:type="dxa"/>
            <w:vAlign w:val="bottom"/>
          </w:tcPr>
          <w:p w:rsidR="00000000" w:rsidRDefault="00000000">
            <w:pPr>
              <w:pageBreakBefore/>
              <w:widowControl w:val="0"/>
              <w:autoSpaceDE w:val="0"/>
              <w:autoSpaceDN w:val="0"/>
              <w:adjustRightInd w:val="0"/>
              <w:spacing w:before="60" w:after="60"/>
              <w:jc w:val="right"/>
              <w:rPr>
                <w:b/>
                <w:sz w:val="20"/>
              </w:rPr>
            </w:pPr>
            <w:r>
              <w:rPr>
                <w:b/>
                <w:sz w:val="20"/>
              </w:rPr>
              <w:t>886 832</w:t>
            </w:r>
          </w:p>
        </w:tc>
        <w:tc>
          <w:tcPr>
            <w:tcW w:w="1134" w:type="dxa"/>
            <w:vAlign w:val="bottom"/>
          </w:tcPr>
          <w:p w:rsidR="00000000" w:rsidRDefault="00000000">
            <w:pPr>
              <w:pageBreakBefore/>
              <w:widowControl w:val="0"/>
              <w:autoSpaceDE w:val="0"/>
              <w:autoSpaceDN w:val="0"/>
              <w:adjustRightInd w:val="0"/>
              <w:spacing w:before="60" w:after="60"/>
              <w:jc w:val="right"/>
              <w:rPr>
                <w:b/>
                <w:sz w:val="20"/>
              </w:rPr>
            </w:pPr>
            <w:r>
              <w:rPr>
                <w:b/>
                <w:sz w:val="20"/>
              </w:rPr>
              <w:t>923 483</w:t>
            </w:r>
          </w:p>
        </w:tc>
        <w:tc>
          <w:tcPr>
            <w:tcW w:w="1134" w:type="dxa"/>
            <w:vAlign w:val="bottom"/>
          </w:tcPr>
          <w:p w:rsidR="00000000" w:rsidRDefault="00000000">
            <w:pPr>
              <w:pageBreakBefore/>
              <w:widowControl w:val="0"/>
              <w:autoSpaceDE w:val="0"/>
              <w:autoSpaceDN w:val="0"/>
              <w:adjustRightInd w:val="0"/>
              <w:spacing w:before="60" w:after="60"/>
              <w:jc w:val="right"/>
              <w:rPr>
                <w:b/>
                <w:sz w:val="20"/>
              </w:rPr>
            </w:pPr>
            <w:r>
              <w:rPr>
                <w:b/>
                <w:sz w:val="20"/>
              </w:rPr>
              <w:t>993 375</w:t>
            </w:r>
          </w:p>
        </w:tc>
        <w:tc>
          <w:tcPr>
            <w:tcW w:w="1134" w:type="dxa"/>
            <w:vAlign w:val="bottom"/>
          </w:tcPr>
          <w:p w:rsidR="00000000" w:rsidRDefault="00000000">
            <w:pPr>
              <w:pageBreakBefore/>
              <w:widowControl w:val="0"/>
              <w:autoSpaceDE w:val="0"/>
              <w:autoSpaceDN w:val="0"/>
              <w:adjustRightInd w:val="0"/>
              <w:spacing w:before="60" w:after="60"/>
              <w:jc w:val="right"/>
              <w:rPr>
                <w:b/>
                <w:sz w:val="20"/>
              </w:rPr>
            </w:pPr>
            <w:r>
              <w:rPr>
                <w:b/>
                <w:sz w:val="20"/>
              </w:rPr>
              <w:t>951 978</w:t>
            </w:r>
          </w:p>
        </w:tc>
        <w:tc>
          <w:tcPr>
            <w:tcW w:w="1134" w:type="dxa"/>
            <w:vAlign w:val="bottom"/>
          </w:tcPr>
          <w:p w:rsidR="00000000" w:rsidRDefault="00000000">
            <w:pPr>
              <w:pageBreakBefore/>
              <w:widowControl w:val="0"/>
              <w:autoSpaceDE w:val="0"/>
              <w:autoSpaceDN w:val="0"/>
              <w:adjustRightInd w:val="0"/>
              <w:spacing w:before="60" w:after="60"/>
              <w:jc w:val="right"/>
              <w:rPr>
                <w:b/>
                <w:sz w:val="20"/>
              </w:rPr>
            </w:pPr>
            <w:r>
              <w:rPr>
                <w:b/>
                <w:sz w:val="20"/>
              </w:rPr>
              <w:t>1 026 131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Directrices et chefs d’entreprise,</w:t>
            </w:r>
            <w:r>
              <w:rPr>
                <w:sz w:val="20"/>
              </w:rPr>
              <w:br/>
              <w:t>secteurs public et privé</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1,86</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1,68</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0,60</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0,98</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1,29</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7,23</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4,31</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8,10</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8,78</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7,08</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Techniciennes et cadres moyens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5,57</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9,13</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4,05</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4,51</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4,92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Employées de bureau</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6,98</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6,88</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7,90</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5,24</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4,02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43,16</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38,80</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38,84</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38,78</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39,33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2,31</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2,36</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3,44</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3,53</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5,22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14,23</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10,80</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10,87</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16,51</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13,45</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Conductrices d’installations</w:t>
            </w:r>
            <w:r>
              <w:rPr>
                <w:sz w:val="20"/>
              </w:rPr>
              <w:br/>
              <w:t xml:space="preserve">et de machines </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0,06</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0,31</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0,28</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0,38</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0,06</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Travailleuses non qualifiées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18,60</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25,73</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25,90</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21,28</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24,64</w:t>
            </w:r>
          </w:p>
        </w:tc>
      </w:tr>
      <w:tr w:rsidR="00000000">
        <w:tblPrEx>
          <w:tblCellMar>
            <w:top w:w="0" w:type="dxa"/>
            <w:bottom w:w="0" w:type="dxa"/>
          </w:tblCellMar>
        </w:tblPrEx>
        <w:tc>
          <w:tcPr>
            <w:tcW w:w="3799" w:type="dxa"/>
            <w:tcBorders>
              <w:top w:val="nil"/>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tabs>
                <w:tab w:val="decimal" w:pos="409"/>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05"/>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30"/>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40"/>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24"/>
              </w:tabs>
              <w:autoSpaceDE w:val="0"/>
              <w:autoSpaceDN w:val="0"/>
              <w:adjustRightInd w:val="0"/>
              <w:spacing w:before="60" w:after="60"/>
              <w:jc w:val="right"/>
              <w:rPr>
                <w:sz w:val="20"/>
              </w:rPr>
            </w:pPr>
            <w:r>
              <w:rPr>
                <w:sz w:val="20"/>
              </w:rPr>
              <w:t>0,00</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spacing w:after="180"/>
        <w:jc w:val="center"/>
        <w:rPr>
          <w:b/>
          <w:bCs/>
        </w:rPr>
      </w:pPr>
      <w:r>
        <w:br w:type="page"/>
      </w:r>
      <w:r>
        <w:rPr>
          <w:b/>
          <w:bCs/>
        </w:rPr>
        <w:t>Tableau 3.2</w:t>
      </w:r>
    </w:p>
    <w:p w:rsidR="00000000" w:rsidRDefault="00000000">
      <w:pPr>
        <w:spacing w:after="180"/>
        <w:jc w:val="center"/>
      </w:pPr>
      <w:r>
        <w:rPr>
          <w:b/>
          <w:bCs/>
        </w:rPr>
        <w:t>Bolivie − Zones rurales: Répartition annuelle de la population selon l’activité principale, par sexe et catégorie professionnelle, 1999</w:t>
      </w:r>
      <w:r>
        <w:rPr>
          <w:b/>
          <w:bCs/>
        </w:rPr>
        <w:noBreakHyphen/>
        <w:t>2003</w:t>
      </w:r>
      <w:r>
        <w:rPr>
          <w:b/>
          <w:bCs/>
          <w:i/>
          <w:iCs/>
          <w:vertAlign w:val="superscript"/>
        </w:rPr>
        <w:t>p</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9"/>
        <w:gridCol w:w="1134"/>
        <w:gridCol w:w="1134"/>
        <w:gridCol w:w="1134"/>
        <w:gridCol w:w="1134"/>
        <w:gridCol w:w="1134"/>
      </w:tblGrid>
      <w:tr w:rsidR="00000000">
        <w:tblPrEx>
          <w:tblCellMar>
            <w:top w:w="0" w:type="dxa"/>
            <w:bottom w:w="0" w:type="dxa"/>
          </w:tblCellMar>
        </w:tblPrEx>
        <w:trPr>
          <w:tblHeader/>
        </w:trPr>
        <w:tc>
          <w:tcPr>
            <w:tcW w:w="3799" w:type="dxa"/>
            <w:tcBorders>
              <w:bottom w:val="single" w:sz="4" w:space="0" w:color="auto"/>
            </w:tcBorders>
            <w:vAlign w:val="center"/>
          </w:tcPr>
          <w:p w:rsidR="00000000" w:rsidRDefault="00000000">
            <w:pPr>
              <w:spacing w:before="60" w:after="60"/>
              <w:jc w:val="center"/>
              <w:rPr>
                <w:sz w:val="20"/>
              </w:rPr>
            </w:pPr>
            <w:r>
              <w:rPr>
                <w:sz w:val="20"/>
              </w:rPr>
              <w:t>Catégorie professionnelle</w:t>
            </w:r>
          </w:p>
        </w:tc>
        <w:tc>
          <w:tcPr>
            <w:tcW w:w="1134" w:type="dxa"/>
            <w:vAlign w:val="center"/>
          </w:tcPr>
          <w:p w:rsidR="00000000" w:rsidRDefault="00000000">
            <w:pPr>
              <w:spacing w:before="60" w:after="60"/>
              <w:jc w:val="center"/>
              <w:rPr>
                <w:sz w:val="20"/>
              </w:rPr>
            </w:pPr>
            <w:r>
              <w:rPr>
                <w:sz w:val="20"/>
              </w:rPr>
              <w:t>1999</w:t>
            </w:r>
          </w:p>
        </w:tc>
        <w:tc>
          <w:tcPr>
            <w:tcW w:w="1134" w:type="dxa"/>
            <w:vAlign w:val="center"/>
          </w:tcPr>
          <w:p w:rsidR="00000000" w:rsidRDefault="00000000">
            <w:pPr>
              <w:spacing w:before="60" w:after="60"/>
              <w:jc w:val="center"/>
              <w:rPr>
                <w:sz w:val="20"/>
              </w:rPr>
            </w:pPr>
            <w:r>
              <w:rPr>
                <w:sz w:val="20"/>
              </w:rPr>
              <w:t>2000</w:t>
            </w:r>
          </w:p>
        </w:tc>
        <w:tc>
          <w:tcPr>
            <w:tcW w:w="1134" w:type="dxa"/>
            <w:vAlign w:val="center"/>
          </w:tcPr>
          <w:p w:rsidR="00000000" w:rsidRDefault="00000000">
            <w:pPr>
              <w:spacing w:before="60" w:after="60"/>
              <w:jc w:val="center"/>
              <w:rPr>
                <w:sz w:val="20"/>
              </w:rPr>
            </w:pPr>
            <w:r>
              <w:rPr>
                <w:sz w:val="20"/>
              </w:rPr>
              <w:t>2001</w:t>
            </w:r>
          </w:p>
        </w:tc>
        <w:tc>
          <w:tcPr>
            <w:tcW w:w="1134" w:type="dxa"/>
            <w:vAlign w:val="center"/>
          </w:tcPr>
          <w:p w:rsidR="00000000" w:rsidRDefault="00000000">
            <w:pPr>
              <w:spacing w:before="60" w:after="60"/>
              <w:jc w:val="center"/>
              <w:rPr>
                <w:sz w:val="20"/>
              </w:rPr>
            </w:pPr>
            <w:r>
              <w:rPr>
                <w:sz w:val="20"/>
              </w:rPr>
              <w:t>2002</w:t>
            </w:r>
          </w:p>
        </w:tc>
        <w:tc>
          <w:tcPr>
            <w:tcW w:w="1134"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9" w:type="dxa"/>
            <w:tcBorders>
              <w:bottom w:val="nil"/>
            </w:tcBorders>
            <w:vAlign w:val="bottom"/>
          </w:tcPr>
          <w:p w:rsidR="00000000" w:rsidRDefault="00000000">
            <w:pPr>
              <w:spacing w:before="60" w:after="60"/>
              <w:rPr>
                <w:b/>
                <w:bCs/>
                <w:sz w:val="20"/>
              </w:rPr>
            </w:pPr>
            <w:r>
              <w:rPr>
                <w:b/>
                <w:bCs/>
                <w:sz w:val="20"/>
              </w:rPr>
              <w:t>TOTAL</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1 620 849</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1 545 873</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1 728 001</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1 706 502</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1 789 065</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Directeurs et chefs d’entreprise,</w:t>
            </w:r>
            <w:r>
              <w:rPr>
                <w:sz w:val="20"/>
              </w:rPr>
              <w:br/>
              <w:t>secteurs public et privé</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0,48</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0,59</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0,27</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0,39</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0,49</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0,72</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0,13</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1,93</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0,85</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0,57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Techniciens et cadres moyens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1,68</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2,23</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0,56</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0,88</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1,74</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Employés de bureau</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0,14</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0,32</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0,13</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0,18</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0,13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3,53</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3,80</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3,78</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3,31</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4,39</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82,49</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82,16</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62,79</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83,53</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79,10</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7,21</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5,63</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5,33</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4,80</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8,34</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Conducteurs d’installations</w:t>
            </w:r>
            <w:r>
              <w:rPr>
                <w:sz w:val="20"/>
              </w:rPr>
              <w:br/>
              <w:t xml:space="preserve">et de machines </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0,64</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1,41</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1,28</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1,22</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0,63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Travailleurs non qualifiés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3,10</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3,67</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23,92</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4,84</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4,56</w:t>
            </w:r>
          </w:p>
        </w:tc>
      </w:tr>
      <w:tr w:rsidR="00000000">
        <w:tblPrEx>
          <w:tblCellMar>
            <w:top w:w="0" w:type="dxa"/>
            <w:bottom w:w="0" w:type="dxa"/>
          </w:tblCellMar>
        </w:tblPrEx>
        <w:tc>
          <w:tcPr>
            <w:tcW w:w="3799" w:type="dxa"/>
            <w:tcBorders>
              <w:top w:val="nil"/>
              <w:bottom w:val="single" w:sz="4" w:space="0" w:color="auto"/>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0,05</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0,01</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0,06</w:t>
            </w:r>
          </w:p>
        </w:tc>
      </w:tr>
      <w:tr w:rsidR="00000000">
        <w:tblPrEx>
          <w:tblCellMar>
            <w:top w:w="0" w:type="dxa"/>
            <w:bottom w:w="0" w:type="dxa"/>
          </w:tblCellMar>
        </w:tblPrEx>
        <w:tc>
          <w:tcPr>
            <w:tcW w:w="3799" w:type="dxa"/>
            <w:tcBorders>
              <w:bottom w:val="nil"/>
            </w:tcBorders>
            <w:vAlign w:val="bottom"/>
          </w:tcPr>
          <w:p w:rsidR="00000000" w:rsidRDefault="00000000">
            <w:pPr>
              <w:spacing w:before="60" w:after="60"/>
              <w:rPr>
                <w:b/>
                <w:bCs/>
                <w:sz w:val="20"/>
              </w:rPr>
            </w:pPr>
            <w:r>
              <w:rPr>
                <w:b/>
                <w:bCs/>
                <w:sz w:val="20"/>
              </w:rPr>
              <w:t>HOMMES</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870 284</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864 490</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965 527</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993 700</w:t>
            </w:r>
          </w:p>
        </w:tc>
        <w:tc>
          <w:tcPr>
            <w:tcW w:w="1134" w:type="dxa"/>
            <w:vAlign w:val="bottom"/>
          </w:tcPr>
          <w:p w:rsidR="00000000" w:rsidRDefault="00000000">
            <w:pPr>
              <w:widowControl w:val="0"/>
              <w:autoSpaceDE w:val="0"/>
              <w:autoSpaceDN w:val="0"/>
              <w:adjustRightInd w:val="0"/>
              <w:spacing w:before="60" w:after="60"/>
              <w:jc w:val="right"/>
              <w:rPr>
                <w:b/>
                <w:sz w:val="20"/>
              </w:rPr>
            </w:pPr>
            <w:r>
              <w:rPr>
                <w:b/>
                <w:sz w:val="20"/>
              </w:rPr>
              <w:t>999 826</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Directeurs et chefs d’entreprise,</w:t>
            </w:r>
            <w:r>
              <w:rPr>
                <w:sz w:val="20"/>
              </w:rPr>
              <w:br/>
              <w:t>secteurs public et privé</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0,63</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0,75</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0,45</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0,54</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0,74</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0,89</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0,20</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1,80</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0,91</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0,57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Techniciens et cadres moyens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1,95</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2,38</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0,56</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1,10</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2,77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Employés de bureau</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0,11</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0,27</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0,15</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0,14</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0,13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1,26</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1,04</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1,34</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0,98</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1,49</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81,01</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82,08</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67,64</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81,97</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79,60</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9,23</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6,57</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6,23</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6,22</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7,93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Conducteurs d’installations</w:t>
            </w:r>
            <w:r>
              <w:rPr>
                <w:sz w:val="20"/>
              </w:rPr>
              <w:br/>
              <w:t xml:space="preserve">et de machines </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1,16</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2,52</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2,29</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2,10</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0,91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Travailleurs non qualifiés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3,77</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4,10</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19,56</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6,03</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5,75</w:t>
            </w:r>
          </w:p>
        </w:tc>
      </w:tr>
      <w:tr w:rsidR="00000000">
        <w:tblPrEx>
          <w:tblCellMar>
            <w:top w:w="0" w:type="dxa"/>
            <w:bottom w:w="0" w:type="dxa"/>
          </w:tblCellMar>
        </w:tblPrEx>
        <w:tc>
          <w:tcPr>
            <w:tcW w:w="3799" w:type="dxa"/>
            <w:tcBorders>
              <w:top w:val="nil"/>
              <w:bottom w:val="single" w:sz="4" w:space="0" w:color="auto"/>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0,09</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0,01</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0,10</w:t>
            </w:r>
          </w:p>
        </w:tc>
      </w:tr>
      <w:tr w:rsidR="00000000">
        <w:tblPrEx>
          <w:tblCellMar>
            <w:top w:w="0" w:type="dxa"/>
            <w:bottom w:w="0" w:type="dxa"/>
          </w:tblCellMar>
        </w:tblPrEx>
        <w:tc>
          <w:tcPr>
            <w:tcW w:w="3799" w:type="dxa"/>
            <w:tcBorders>
              <w:bottom w:val="nil"/>
            </w:tcBorders>
            <w:vAlign w:val="bottom"/>
          </w:tcPr>
          <w:p w:rsidR="00000000" w:rsidRDefault="00000000">
            <w:pPr>
              <w:pageBreakBefore/>
              <w:spacing w:before="60" w:after="60"/>
              <w:rPr>
                <w:b/>
                <w:bCs/>
                <w:sz w:val="20"/>
              </w:rPr>
            </w:pPr>
            <w:r>
              <w:rPr>
                <w:b/>
                <w:bCs/>
                <w:sz w:val="20"/>
              </w:rPr>
              <w:t>FEMMES</w:t>
            </w:r>
          </w:p>
        </w:tc>
        <w:tc>
          <w:tcPr>
            <w:tcW w:w="1134" w:type="dxa"/>
            <w:vAlign w:val="bottom"/>
          </w:tcPr>
          <w:p w:rsidR="00000000" w:rsidRDefault="00000000">
            <w:pPr>
              <w:pageBreakBefore/>
              <w:widowControl w:val="0"/>
              <w:autoSpaceDE w:val="0"/>
              <w:autoSpaceDN w:val="0"/>
              <w:adjustRightInd w:val="0"/>
              <w:spacing w:before="60" w:after="60"/>
              <w:jc w:val="right"/>
              <w:rPr>
                <w:b/>
                <w:sz w:val="20"/>
              </w:rPr>
            </w:pPr>
            <w:r>
              <w:rPr>
                <w:b/>
                <w:sz w:val="20"/>
              </w:rPr>
              <w:t>750 565</w:t>
            </w:r>
          </w:p>
        </w:tc>
        <w:tc>
          <w:tcPr>
            <w:tcW w:w="1134" w:type="dxa"/>
            <w:vAlign w:val="bottom"/>
          </w:tcPr>
          <w:p w:rsidR="00000000" w:rsidRDefault="00000000">
            <w:pPr>
              <w:pageBreakBefore/>
              <w:widowControl w:val="0"/>
              <w:autoSpaceDE w:val="0"/>
              <w:autoSpaceDN w:val="0"/>
              <w:adjustRightInd w:val="0"/>
              <w:spacing w:before="60" w:after="60"/>
              <w:jc w:val="right"/>
              <w:rPr>
                <w:b/>
                <w:sz w:val="20"/>
              </w:rPr>
            </w:pPr>
            <w:r>
              <w:rPr>
                <w:b/>
                <w:sz w:val="20"/>
              </w:rPr>
              <w:t>681 383</w:t>
            </w:r>
          </w:p>
        </w:tc>
        <w:tc>
          <w:tcPr>
            <w:tcW w:w="1134" w:type="dxa"/>
            <w:vAlign w:val="bottom"/>
          </w:tcPr>
          <w:p w:rsidR="00000000" w:rsidRDefault="00000000">
            <w:pPr>
              <w:pageBreakBefore/>
              <w:widowControl w:val="0"/>
              <w:autoSpaceDE w:val="0"/>
              <w:autoSpaceDN w:val="0"/>
              <w:adjustRightInd w:val="0"/>
              <w:spacing w:before="60" w:after="60"/>
              <w:jc w:val="right"/>
              <w:rPr>
                <w:b/>
                <w:sz w:val="20"/>
              </w:rPr>
            </w:pPr>
            <w:r>
              <w:rPr>
                <w:b/>
                <w:sz w:val="20"/>
              </w:rPr>
              <w:t>762 474</w:t>
            </w:r>
          </w:p>
        </w:tc>
        <w:tc>
          <w:tcPr>
            <w:tcW w:w="1134" w:type="dxa"/>
            <w:vAlign w:val="bottom"/>
          </w:tcPr>
          <w:p w:rsidR="00000000" w:rsidRDefault="00000000">
            <w:pPr>
              <w:pageBreakBefore/>
              <w:widowControl w:val="0"/>
              <w:autoSpaceDE w:val="0"/>
              <w:autoSpaceDN w:val="0"/>
              <w:adjustRightInd w:val="0"/>
              <w:spacing w:before="60" w:after="60"/>
              <w:jc w:val="right"/>
              <w:rPr>
                <w:b/>
                <w:sz w:val="20"/>
              </w:rPr>
            </w:pPr>
            <w:r>
              <w:rPr>
                <w:b/>
                <w:sz w:val="20"/>
              </w:rPr>
              <w:t>712 802</w:t>
            </w:r>
          </w:p>
        </w:tc>
        <w:tc>
          <w:tcPr>
            <w:tcW w:w="1134" w:type="dxa"/>
            <w:vAlign w:val="bottom"/>
          </w:tcPr>
          <w:p w:rsidR="00000000" w:rsidRDefault="00000000">
            <w:pPr>
              <w:pageBreakBefore/>
              <w:widowControl w:val="0"/>
              <w:autoSpaceDE w:val="0"/>
              <w:autoSpaceDN w:val="0"/>
              <w:adjustRightInd w:val="0"/>
              <w:spacing w:before="60" w:after="60"/>
              <w:jc w:val="right"/>
              <w:rPr>
                <w:b/>
                <w:sz w:val="20"/>
              </w:rPr>
            </w:pPr>
            <w:r>
              <w:rPr>
                <w:b/>
                <w:sz w:val="20"/>
              </w:rPr>
              <w:t>789 239</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Directrices et chefs d’entreprise,</w:t>
            </w:r>
            <w:r>
              <w:rPr>
                <w:sz w:val="20"/>
              </w:rPr>
              <w:br/>
              <w:t>secteurs public et privé</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0,31</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0,38</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0,05</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0,17</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0,17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0,53</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0,05</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2,11</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0,76</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0,57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Techniciennes et cadres moyens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1,37</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2,05</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0,56</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0,57</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0,43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Employées de bureau</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0,17</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0,39</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0,12</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0,24</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0,13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6,16</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7,31</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6,87</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6,55</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8,05</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84,21</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82,26</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56,65</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85,70</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78,46</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4,87</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4,44</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4,20</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2,83</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8,85</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Conductrices d’installations</w:t>
            </w:r>
            <w:r>
              <w:rPr>
                <w:sz w:val="20"/>
              </w:rPr>
              <w:br/>
              <w:t xml:space="preserve">et de machines </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0,05</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0,27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Travailleuses non qualifiées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2,33</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3,13</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29,45</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3,18</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3,06</w:t>
            </w:r>
          </w:p>
        </w:tc>
      </w:tr>
      <w:tr w:rsidR="00000000">
        <w:tblPrEx>
          <w:tblCellMar>
            <w:top w:w="0" w:type="dxa"/>
            <w:bottom w:w="0" w:type="dxa"/>
          </w:tblCellMar>
        </w:tblPrEx>
        <w:tc>
          <w:tcPr>
            <w:tcW w:w="3799" w:type="dxa"/>
            <w:tcBorders>
              <w:top w:val="nil"/>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tabs>
                <w:tab w:val="decimal" w:pos="464"/>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50"/>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22"/>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34"/>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48"/>
              </w:tabs>
              <w:autoSpaceDE w:val="0"/>
              <w:autoSpaceDN w:val="0"/>
              <w:adjustRightInd w:val="0"/>
              <w:spacing w:before="60" w:after="60"/>
              <w:jc w:val="right"/>
              <w:rPr>
                <w:sz w:val="20"/>
              </w:rPr>
            </w:pPr>
            <w:r>
              <w:rPr>
                <w:sz w:val="20"/>
              </w:rPr>
              <w:t>0,00</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spacing w:after="180"/>
        <w:jc w:val="center"/>
        <w:rPr>
          <w:b/>
          <w:bCs/>
        </w:rPr>
      </w:pPr>
      <w:r>
        <w:br w:type="page"/>
      </w:r>
      <w:r>
        <w:rPr>
          <w:b/>
          <w:bCs/>
        </w:rPr>
        <w:t>Tableau 4</w:t>
      </w:r>
    </w:p>
    <w:p w:rsidR="00000000" w:rsidRDefault="00000000">
      <w:pPr>
        <w:spacing w:after="180"/>
        <w:jc w:val="center"/>
      </w:pPr>
      <w:r>
        <w:rPr>
          <w:b/>
          <w:bCs/>
        </w:rPr>
        <w:t>Bolivie: Répartition annuelle de la population selon l’activité principale,</w:t>
      </w:r>
      <w:r>
        <w:rPr>
          <w:b/>
          <w:bCs/>
        </w:rPr>
        <w:br/>
        <w:t>par sexe et statut professionnel, 1999</w:t>
      </w:r>
      <w:r>
        <w:rPr>
          <w:b/>
          <w:bCs/>
        </w:rPr>
        <w:noBreakHyphen/>
        <w:t>2003</w:t>
      </w:r>
      <w:r>
        <w:rPr>
          <w:b/>
          <w:bCs/>
          <w:i/>
          <w:iCs/>
          <w:vertAlign w:val="superscript"/>
        </w:rPr>
        <w:t>p</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41"/>
        <w:gridCol w:w="1141"/>
        <w:gridCol w:w="1141"/>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rPr>
            </w:pPr>
            <w:r>
              <w:rPr>
                <w:sz w:val="20"/>
              </w:rPr>
              <w:t>Statut professionnel</w:t>
            </w:r>
          </w:p>
        </w:tc>
        <w:tc>
          <w:tcPr>
            <w:tcW w:w="1141" w:type="dxa"/>
            <w:vAlign w:val="center"/>
          </w:tcPr>
          <w:p w:rsidR="00000000" w:rsidRDefault="00000000">
            <w:pPr>
              <w:spacing w:before="60" w:after="60"/>
              <w:jc w:val="center"/>
              <w:rPr>
                <w:sz w:val="20"/>
              </w:rPr>
            </w:pPr>
            <w:r>
              <w:rPr>
                <w:sz w:val="20"/>
              </w:rPr>
              <w:t>1999</w:t>
            </w:r>
          </w:p>
        </w:tc>
        <w:tc>
          <w:tcPr>
            <w:tcW w:w="1141" w:type="dxa"/>
            <w:vAlign w:val="center"/>
          </w:tcPr>
          <w:p w:rsidR="00000000" w:rsidRDefault="00000000">
            <w:pPr>
              <w:spacing w:before="60" w:after="60"/>
              <w:jc w:val="center"/>
              <w:rPr>
                <w:sz w:val="20"/>
              </w:rPr>
            </w:pPr>
            <w:r>
              <w:rPr>
                <w:sz w:val="20"/>
              </w:rPr>
              <w:t>2000</w:t>
            </w:r>
          </w:p>
        </w:tc>
        <w:tc>
          <w:tcPr>
            <w:tcW w:w="1141" w:type="dxa"/>
            <w:vAlign w:val="center"/>
          </w:tcPr>
          <w:p w:rsidR="00000000" w:rsidRDefault="00000000">
            <w:pPr>
              <w:spacing w:before="60" w:after="60"/>
              <w:jc w:val="center"/>
              <w:rPr>
                <w:sz w:val="20"/>
              </w:rPr>
            </w:pPr>
            <w:r>
              <w:rPr>
                <w:sz w:val="20"/>
              </w:rPr>
              <w:t>2001</w:t>
            </w:r>
          </w:p>
        </w:tc>
        <w:tc>
          <w:tcPr>
            <w:tcW w:w="1141" w:type="dxa"/>
            <w:vAlign w:val="center"/>
          </w:tcPr>
          <w:p w:rsidR="00000000" w:rsidRDefault="00000000">
            <w:pPr>
              <w:spacing w:before="60" w:after="60"/>
              <w:jc w:val="center"/>
              <w:rPr>
                <w:sz w:val="20"/>
              </w:rPr>
            </w:pPr>
            <w:r>
              <w:rPr>
                <w:sz w:val="20"/>
              </w:rPr>
              <w:t>2002</w:t>
            </w:r>
          </w:p>
        </w:tc>
        <w:tc>
          <w:tcPr>
            <w:tcW w:w="1142"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30" w:after="30"/>
              <w:rPr>
                <w:b/>
                <w:bCs/>
                <w:sz w:val="20"/>
              </w:rPr>
            </w:pPr>
            <w:r>
              <w:rPr>
                <w:b/>
                <w:bCs/>
                <w:sz w:val="20"/>
              </w:rPr>
              <w:t>TOTAL</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3 637 893</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3 637 048</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3 884 251</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3 824 938</w:t>
            </w:r>
          </w:p>
        </w:tc>
        <w:tc>
          <w:tcPr>
            <w:tcW w:w="1142" w:type="dxa"/>
            <w:vAlign w:val="bottom"/>
          </w:tcPr>
          <w:p w:rsidR="00000000" w:rsidRDefault="00000000">
            <w:pPr>
              <w:widowControl w:val="0"/>
              <w:autoSpaceDE w:val="0"/>
              <w:autoSpaceDN w:val="0"/>
              <w:adjustRightInd w:val="0"/>
              <w:jc w:val="right"/>
              <w:rPr>
                <w:b/>
                <w:sz w:val="20"/>
                <w:szCs w:val="22"/>
              </w:rPr>
            </w:pPr>
            <w:r>
              <w:rPr>
                <w:b/>
                <w:sz w:val="20"/>
                <w:szCs w:val="22"/>
              </w:rPr>
              <w:t>4 085 802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Ouvrier</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8,13</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8,10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9,72</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8,63</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13,51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Employé</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20,77</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20,93</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19,75</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20,58</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16,62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indépendant</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40,22</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40,82</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35,73</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36,58</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37,17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w:t>
            </w:r>
            <w:r>
              <w:rPr>
                <w:sz w:val="20"/>
              </w:rPr>
              <w:br/>
              <w:t>percevant une rémunération</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0,77</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0,64</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0,49</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0,61</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0,32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 non rémunéré</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2,17</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1,31</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1,72</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3,84</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3,21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0,31</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0,34</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0,40</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0,26</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0,07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familial ou apprenti non rémunéré</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25,74</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24,42</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29,15</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27,17</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26,57</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30" w:after="30"/>
              <w:ind w:left="284"/>
              <w:rPr>
                <w:sz w:val="20"/>
              </w:rPr>
            </w:pPr>
            <w:r>
              <w:rPr>
                <w:sz w:val="20"/>
              </w:rPr>
              <w:t>Employé de maison</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1,89</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3,45</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3,05</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2,33</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2,53</w:t>
            </w:r>
          </w:p>
        </w:tc>
      </w:tr>
      <w:tr w:rsidR="00000000">
        <w:tblPrEx>
          <w:tblCellMar>
            <w:top w:w="0" w:type="dxa"/>
            <w:bottom w:w="0" w:type="dxa"/>
          </w:tblCellMar>
        </w:tblPrEx>
        <w:tc>
          <w:tcPr>
            <w:tcW w:w="3790" w:type="dxa"/>
            <w:tcBorders>
              <w:bottom w:val="nil"/>
            </w:tcBorders>
            <w:vAlign w:val="bottom"/>
          </w:tcPr>
          <w:p w:rsidR="00000000" w:rsidRDefault="00000000">
            <w:pPr>
              <w:spacing w:before="30" w:after="30"/>
              <w:rPr>
                <w:b/>
                <w:bCs/>
                <w:sz w:val="20"/>
              </w:rPr>
            </w:pPr>
            <w:r>
              <w:rPr>
                <w:b/>
                <w:bCs/>
                <w:sz w:val="20"/>
              </w:rPr>
              <w:t>HOMMES</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2 000 496</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2 032 182</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2 128 402</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2 160 158</w:t>
            </w:r>
          </w:p>
        </w:tc>
        <w:tc>
          <w:tcPr>
            <w:tcW w:w="1142" w:type="dxa"/>
            <w:vAlign w:val="bottom"/>
          </w:tcPr>
          <w:p w:rsidR="00000000" w:rsidRDefault="00000000">
            <w:pPr>
              <w:widowControl w:val="0"/>
              <w:autoSpaceDE w:val="0"/>
              <w:autoSpaceDN w:val="0"/>
              <w:adjustRightInd w:val="0"/>
              <w:jc w:val="right"/>
              <w:rPr>
                <w:b/>
                <w:sz w:val="20"/>
                <w:szCs w:val="22"/>
              </w:rPr>
            </w:pPr>
            <w:r>
              <w:rPr>
                <w:b/>
                <w:sz w:val="20"/>
                <w:szCs w:val="22"/>
              </w:rPr>
              <w:t>2 270 432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Ouvrier</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13,06</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12,80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15,51</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12,83</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21,39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Employé</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23,92</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23,30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22,16</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23,34</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18,38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indépendant</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41,92</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45,80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38,57</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38,75</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36,45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w:t>
            </w:r>
            <w:r>
              <w:rPr>
                <w:sz w:val="20"/>
              </w:rPr>
              <w:br/>
              <w:t>percevant une rémunération</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1,07</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1,00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0,70</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0,93</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0,50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w:t>
            </w:r>
            <w:r>
              <w:rPr>
                <w:sz w:val="20"/>
              </w:rPr>
              <w:br/>
              <w:t>non rémunéré</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3,13</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1,70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2,16</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5,38</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4,90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0,57</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0,60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0,69</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0,44</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0,12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familial ou apprenti non rémunéré</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16,16</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14,70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20,00</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18,19</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18,08</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30" w:after="30"/>
              <w:ind w:left="284"/>
              <w:rPr>
                <w:sz w:val="20"/>
              </w:rPr>
            </w:pPr>
            <w:r>
              <w:rPr>
                <w:sz w:val="20"/>
              </w:rPr>
              <w:t>Employé de maison</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0,17</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0,10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0,21</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0,14</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0,18</w:t>
            </w:r>
          </w:p>
        </w:tc>
      </w:tr>
      <w:tr w:rsidR="00000000">
        <w:tblPrEx>
          <w:tblCellMar>
            <w:top w:w="0" w:type="dxa"/>
            <w:bottom w:w="0" w:type="dxa"/>
          </w:tblCellMar>
        </w:tblPrEx>
        <w:tc>
          <w:tcPr>
            <w:tcW w:w="3790" w:type="dxa"/>
            <w:tcBorders>
              <w:bottom w:val="nil"/>
            </w:tcBorders>
            <w:vAlign w:val="bottom"/>
          </w:tcPr>
          <w:p w:rsidR="00000000" w:rsidRDefault="00000000">
            <w:pPr>
              <w:spacing w:before="30" w:after="30"/>
              <w:rPr>
                <w:b/>
                <w:bCs/>
                <w:sz w:val="20"/>
              </w:rPr>
            </w:pPr>
            <w:r>
              <w:rPr>
                <w:b/>
                <w:bCs/>
                <w:sz w:val="20"/>
              </w:rPr>
              <w:t>FEMMES</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1 637 397</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1 604 866</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1 755 849</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1 664 780</w:t>
            </w:r>
          </w:p>
        </w:tc>
        <w:tc>
          <w:tcPr>
            <w:tcW w:w="1142" w:type="dxa"/>
            <w:vAlign w:val="bottom"/>
          </w:tcPr>
          <w:p w:rsidR="00000000" w:rsidRDefault="00000000">
            <w:pPr>
              <w:widowControl w:val="0"/>
              <w:autoSpaceDE w:val="0"/>
              <w:autoSpaceDN w:val="0"/>
              <w:adjustRightInd w:val="0"/>
              <w:jc w:val="right"/>
              <w:rPr>
                <w:b/>
                <w:sz w:val="20"/>
                <w:szCs w:val="22"/>
              </w:rPr>
            </w:pPr>
            <w:r>
              <w:rPr>
                <w:b/>
                <w:sz w:val="20"/>
                <w:szCs w:val="22"/>
              </w:rPr>
              <w:t>1 815 370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Ouvrière</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2,10</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2,20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2,71</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3,19</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3,65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Employée</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16,92</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17,80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16,83</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17,01</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14,40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Travailleuse indépendante</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38,15</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36,50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32,28</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33,75</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38,08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Patronne, associée ou employeuse percevant une rémunération</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0,39</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0,20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0,23</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0,19</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0,10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Patronne, associée ou employeuse non rémunérée</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1,00</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0,80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1,18</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1,85</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1,10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0,00</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0,00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0,04</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0,02</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Travailleuse familiale ou apprentie non rémunérée</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37,45</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36,70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40,24</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38,81</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37,20</w:t>
            </w:r>
          </w:p>
        </w:tc>
      </w:tr>
      <w:tr w:rsidR="00000000">
        <w:tblPrEx>
          <w:tblCellMar>
            <w:top w:w="0" w:type="dxa"/>
            <w:bottom w:w="0" w:type="dxa"/>
          </w:tblCellMar>
        </w:tblPrEx>
        <w:tc>
          <w:tcPr>
            <w:tcW w:w="3790" w:type="dxa"/>
            <w:tcBorders>
              <w:top w:val="nil"/>
            </w:tcBorders>
            <w:vAlign w:val="bottom"/>
          </w:tcPr>
          <w:p w:rsidR="00000000" w:rsidRDefault="00000000">
            <w:pPr>
              <w:spacing w:before="30" w:after="30"/>
              <w:ind w:left="284"/>
              <w:rPr>
                <w:sz w:val="20"/>
              </w:rPr>
            </w:pPr>
            <w:r>
              <w:rPr>
                <w:sz w:val="20"/>
              </w:rPr>
              <w:t>Employée de maison</w:t>
            </w:r>
          </w:p>
        </w:tc>
        <w:tc>
          <w:tcPr>
            <w:tcW w:w="1141" w:type="dxa"/>
            <w:vAlign w:val="bottom"/>
          </w:tcPr>
          <w:p w:rsidR="00000000" w:rsidRDefault="00000000">
            <w:pPr>
              <w:widowControl w:val="0"/>
              <w:tabs>
                <w:tab w:val="decimal" w:pos="254"/>
              </w:tabs>
              <w:autoSpaceDE w:val="0"/>
              <w:autoSpaceDN w:val="0"/>
              <w:adjustRightInd w:val="0"/>
              <w:jc w:val="right"/>
              <w:rPr>
                <w:sz w:val="20"/>
                <w:szCs w:val="22"/>
              </w:rPr>
            </w:pPr>
            <w:r>
              <w:rPr>
                <w:sz w:val="20"/>
                <w:szCs w:val="22"/>
              </w:rPr>
              <w:t>3,98</w:t>
            </w:r>
          </w:p>
        </w:tc>
        <w:tc>
          <w:tcPr>
            <w:tcW w:w="1141" w:type="dxa"/>
            <w:vAlign w:val="bottom"/>
          </w:tcPr>
          <w:p w:rsidR="00000000" w:rsidRDefault="00000000">
            <w:pPr>
              <w:widowControl w:val="0"/>
              <w:tabs>
                <w:tab w:val="decimal" w:pos="218"/>
              </w:tabs>
              <w:autoSpaceDE w:val="0"/>
              <w:autoSpaceDN w:val="0"/>
              <w:adjustRightInd w:val="0"/>
              <w:jc w:val="right"/>
              <w:rPr>
                <w:sz w:val="20"/>
                <w:szCs w:val="22"/>
              </w:rPr>
            </w:pPr>
            <w:r>
              <w:rPr>
                <w:sz w:val="20"/>
                <w:szCs w:val="22"/>
              </w:rPr>
              <w:t>5,70</w:t>
            </w:r>
          </w:p>
        </w:tc>
        <w:tc>
          <w:tcPr>
            <w:tcW w:w="1141" w:type="dxa"/>
            <w:vAlign w:val="bottom"/>
          </w:tcPr>
          <w:p w:rsidR="00000000" w:rsidRDefault="00000000">
            <w:pPr>
              <w:widowControl w:val="0"/>
              <w:tabs>
                <w:tab w:val="decimal" w:pos="222"/>
              </w:tabs>
              <w:autoSpaceDE w:val="0"/>
              <w:autoSpaceDN w:val="0"/>
              <w:adjustRightInd w:val="0"/>
              <w:jc w:val="right"/>
              <w:rPr>
                <w:sz w:val="20"/>
                <w:szCs w:val="22"/>
              </w:rPr>
            </w:pPr>
            <w:r>
              <w:rPr>
                <w:sz w:val="20"/>
                <w:szCs w:val="22"/>
              </w:rPr>
              <w:t>6,49</w:t>
            </w:r>
          </w:p>
        </w:tc>
        <w:tc>
          <w:tcPr>
            <w:tcW w:w="1141" w:type="dxa"/>
            <w:vAlign w:val="bottom"/>
          </w:tcPr>
          <w:p w:rsidR="00000000" w:rsidRDefault="00000000">
            <w:pPr>
              <w:widowControl w:val="0"/>
              <w:tabs>
                <w:tab w:val="decimal" w:pos="284"/>
              </w:tabs>
              <w:autoSpaceDE w:val="0"/>
              <w:autoSpaceDN w:val="0"/>
              <w:adjustRightInd w:val="0"/>
              <w:jc w:val="right"/>
              <w:rPr>
                <w:sz w:val="20"/>
                <w:szCs w:val="22"/>
              </w:rPr>
            </w:pPr>
            <w:r>
              <w:rPr>
                <w:sz w:val="20"/>
                <w:szCs w:val="22"/>
              </w:rPr>
              <w:t>5,18</w:t>
            </w:r>
          </w:p>
        </w:tc>
        <w:tc>
          <w:tcPr>
            <w:tcW w:w="1142" w:type="dxa"/>
            <w:vAlign w:val="bottom"/>
          </w:tcPr>
          <w:p w:rsidR="00000000" w:rsidRDefault="00000000">
            <w:pPr>
              <w:widowControl w:val="0"/>
              <w:tabs>
                <w:tab w:val="decimal" w:pos="247"/>
              </w:tabs>
              <w:autoSpaceDE w:val="0"/>
              <w:autoSpaceDN w:val="0"/>
              <w:adjustRightInd w:val="0"/>
              <w:jc w:val="right"/>
              <w:rPr>
                <w:sz w:val="20"/>
                <w:szCs w:val="22"/>
              </w:rPr>
            </w:pPr>
            <w:r>
              <w:rPr>
                <w:sz w:val="20"/>
                <w:szCs w:val="22"/>
              </w:rPr>
              <w:t>5,46</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spacing w:after="180"/>
        <w:jc w:val="center"/>
        <w:rPr>
          <w:b/>
          <w:bCs/>
        </w:rPr>
      </w:pPr>
      <w:r>
        <w:br w:type="page"/>
      </w:r>
      <w:r>
        <w:rPr>
          <w:b/>
          <w:bCs/>
        </w:rPr>
        <w:t>Tableau 4.1</w:t>
      </w:r>
    </w:p>
    <w:p w:rsidR="00000000" w:rsidRDefault="00000000">
      <w:pPr>
        <w:spacing w:after="180"/>
        <w:jc w:val="center"/>
      </w:pPr>
      <w:r>
        <w:rPr>
          <w:b/>
          <w:bCs/>
        </w:rPr>
        <w:t>Bolivie − Zones urbaines: Répartition annuelle de la population selon</w:t>
      </w:r>
      <w:r>
        <w:rPr>
          <w:b/>
          <w:bCs/>
        </w:rPr>
        <w:br/>
        <w:t>l’activité principale, par sexe et statut professionnel, 1999</w:t>
      </w:r>
      <w:r>
        <w:rPr>
          <w:b/>
          <w:bCs/>
        </w:rPr>
        <w:noBreakHyphen/>
        <w:t>2003</w:t>
      </w:r>
      <w:r>
        <w:rPr>
          <w:b/>
          <w:bCs/>
          <w:i/>
          <w:iCs/>
          <w:vertAlign w:val="superscript"/>
        </w:rPr>
        <w:t>p</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41"/>
        <w:gridCol w:w="1141"/>
        <w:gridCol w:w="1141"/>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rPr>
            </w:pPr>
            <w:r>
              <w:rPr>
                <w:sz w:val="20"/>
              </w:rPr>
              <w:t>Statut professionnel</w:t>
            </w:r>
          </w:p>
        </w:tc>
        <w:tc>
          <w:tcPr>
            <w:tcW w:w="1141" w:type="dxa"/>
            <w:vAlign w:val="center"/>
          </w:tcPr>
          <w:p w:rsidR="00000000" w:rsidRDefault="00000000">
            <w:pPr>
              <w:spacing w:before="60" w:after="60"/>
              <w:jc w:val="center"/>
              <w:rPr>
                <w:sz w:val="20"/>
              </w:rPr>
            </w:pPr>
            <w:r>
              <w:rPr>
                <w:sz w:val="20"/>
              </w:rPr>
              <w:t>1999</w:t>
            </w:r>
          </w:p>
        </w:tc>
        <w:tc>
          <w:tcPr>
            <w:tcW w:w="1141" w:type="dxa"/>
            <w:vAlign w:val="center"/>
          </w:tcPr>
          <w:p w:rsidR="00000000" w:rsidRDefault="00000000">
            <w:pPr>
              <w:spacing w:before="60" w:after="60"/>
              <w:jc w:val="center"/>
              <w:rPr>
                <w:sz w:val="20"/>
              </w:rPr>
            </w:pPr>
            <w:r>
              <w:rPr>
                <w:sz w:val="20"/>
              </w:rPr>
              <w:t>2000</w:t>
            </w:r>
          </w:p>
        </w:tc>
        <w:tc>
          <w:tcPr>
            <w:tcW w:w="1141" w:type="dxa"/>
            <w:vAlign w:val="center"/>
          </w:tcPr>
          <w:p w:rsidR="00000000" w:rsidRDefault="00000000">
            <w:pPr>
              <w:spacing w:before="60" w:after="60"/>
              <w:jc w:val="center"/>
              <w:rPr>
                <w:sz w:val="20"/>
              </w:rPr>
            </w:pPr>
            <w:r>
              <w:rPr>
                <w:sz w:val="20"/>
              </w:rPr>
              <w:t>2001</w:t>
            </w:r>
          </w:p>
        </w:tc>
        <w:tc>
          <w:tcPr>
            <w:tcW w:w="1141" w:type="dxa"/>
            <w:vAlign w:val="center"/>
          </w:tcPr>
          <w:p w:rsidR="00000000" w:rsidRDefault="00000000">
            <w:pPr>
              <w:spacing w:before="60" w:after="60"/>
              <w:jc w:val="center"/>
              <w:rPr>
                <w:sz w:val="20"/>
              </w:rPr>
            </w:pPr>
            <w:r>
              <w:rPr>
                <w:sz w:val="20"/>
              </w:rPr>
              <w:t>2002</w:t>
            </w:r>
          </w:p>
        </w:tc>
        <w:tc>
          <w:tcPr>
            <w:tcW w:w="1142"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30" w:after="30"/>
              <w:rPr>
                <w:b/>
                <w:bCs/>
                <w:sz w:val="20"/>
              </w:rPr>
            </w:pPr>
            <w:r>
              <w:rPr>
                <w:b/>
                <w:bCs/>
                <w:sz w:val="20"/>
              </w:rPr>
              <w:t>TOTAL</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2 017 044</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2 091 175</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2 156 250</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2 118 436</w:t>
            </w:r>
          </w:p>
        </w:tc>
        <w:tc>
          <w:tcPr>
            <w:tcW w:w="1142" w:type="dxa"/>
            <w:vAlign w:val="bottom"/>
          </w:tcPr>
          <w:p w:rsidR="00000000" w:rsidRDefault="00000000">
            <w:pPr>
              <w:widowControl w:val="0"/>
              <w:autoSpaceDE w:val="0"/>
              <w:autoSpaceDN w:val="0"/>
              <w:adjustRightInd w:val="0"/>
              <w:jc w:val="right"/>
              <w:rPr>
                <w:b/>
                <w:sz w:val="20"/>
                <w:szCs w:val="22"/>
              </w:rPr>
            </w:pPr>
            <w:r>
              <w:rPr>
                <w:b/>
                <w:sz w:val="20"/>
                <w:szCs w:val="22"/>
              </w:rPr>
              <w:t>2 296 737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Ouvrier</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10,25</w:t>
            </w:r>
          </w:p>
        </w:tc>
        <w:tc>
          <w:tcPr>
            <w:tcW w:w="1141" w:type="dxa"/>
            <w:vAlign w:val="bottom"/>
          </w:tcPr>
          <w:p w:rsidR="00000000" w:rsidRDefault="00000000">
            <w:pPr>
              <w:widowControl w:val="0"/>
              <w:tabs>
                <w:tab w:val="decimal" w:pos="420"/>
              </w:tabs>
              <w:autoSpaceDE w:val="0"/>
              <w:autoSpaceDN w:val="0"/>
              <w:adjustRightInd w:val="0"/>
              <w:jc w:val="right"/>
              <w:rPr>
                <w:sz w:val="20"/>
                <w:szCs w:val="22"/>
              </w:rPr>
            </w:pPr>
            <w:r>
              <w:rPr>
                <w:sz w:val="20"/>
                <w:szCs w:val="22"/>
              </w:rPr>
              <w:t>11,00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12,23</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10,61</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17,00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Employé</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34,39</w:t>
            </w:r>
          </w:p>
        </w:tc>
        <w:tc>
          <w:tcPr>
            <w:tcW w:w="1141" w:type="dxa"/>
            <w:vAlign w:val="bottom"/>
          </w:tcPr>
          <w:p w:rsidR="00000000" w:rsidRDefault="00000000">
            <w:pPr>
              <w:widowControl w:val="0"/>
              <w:tabs>
                <w:tab w:val="decimal" w:pos="420"/>
              </w:tabs>
              <w:autoSpaceDE w:val="0"/>
              <w:autoSpaceDN w:val="0"/>
              <w:adjustRightInd w:val="0"/>
              <w:jc w:val="right"/>
              <w:rPr>
                <w:sz w:val="20"/>
                <w:szCs w:val="22"/>
              </w:rPr>
            </w:pPr>
            <w:r>
              <w:rPr>
                <w:sz w:val="20"/>
                <w:szCs w:val="22"/>
              </w:rPr>
              <w:t>33,10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32,25</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34,19</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26,53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indépendant</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39,09</w:t>
            </w:r>
          </w:p>
        </w:tc>
        <w:tc>
          <w:tcPr>
            <w:tcW w:w="1141" w:type="dxa"/>
            <w:vAlign w:val="bottom"/>
          </w:tcPr>
          <w:p w:rsidR="00000000" w:rsidRDefault="00000000">
            <w:pPr>
              <w:widowControl w:val="0"/>
              <w:tabs>
                <w:tab w:val="decimal" w:pos="420"/>
              </w:tabs>
              <w:autoSpaceDE w:val="0"/>
              <w:autoSpaceDN w:val="0"/>
              <w:adjustRightInd w:val="0"/>
              <w:jc w:val="right"/>
              <w:rPr>
                <w:sz w:val="20"/>
                <w:szCs w:val="22"/>
              </w:rPr>
            </w:pPr>
            <w:r>
              <w:rPr>
                <w:sz w:val="20"/>
                <w:szCs w:val="22"/>
              </w:rPr>
              <w:t>40,50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33,86</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37,72</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36,42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w:t>
            </w:r>
            <w:r>
              <w:rPr>
                <w:sz w:val="20"/>
              </w:rPr>
              <w:br/>
              <w:t>percevant une rémunération</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1,29</w:t>
            </w:r>
          </w:p>
        </w:tc>
        <w:tc>
          <w:tcPr>
            <w:tcW w:w="1141" w:type="dxa"/>
            <w:vAlign w:val="bottom"/>
          </w:tcPr>
          <w:p w:rsidR="00000000" w:rsidRDefault="00000000">
            <w:pPr>
              <w:widowControl w:val="0"/>
              <w:tabs>
                <w:tab w:val="decimal" w:pos="420"/>
              </w:tabs>
              <w:autoSpaceDE w:val="0"/>
              <w:autoSpaceDN w:val="0"/>
              <w:adjustRightInd w:val="0"/>
              <w:jc w:val="right"/>
              <w:rPr>
                <w:sz w:val="20"/>
                <w:szCs w:val="22"/>
              </w:rPr>
            </w:pPr>
            <w:r>
              <w:rPr>
                <w:sz w:val="20"/>
                <w:szCs w:val="22"/>
              </w:rPr>
              <w:t>1,00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0,84</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1,00</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0,56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 non rémunéré</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2,97</w:t>
            </w:r>
          </w:p>
        </w:tc>
        <w:tc>
          <w:tcPr>
            <w:tcW w:w="1141" w:type="dxa"/>
            <w:vAlign w:val="bottom"/>
          </w:tcPr>
          <w:p w:rsidR="00000000" w:rsidRDefault="00000000">
            <w:pPr>
              <w:widowControl w:val="0"/>
              <w:tabs>
                <w:tab w:val="decimal" w:pos="420"/>
              </w:tabs>
              <w:autoSpaceDE w:val="0"/>
              <w:autoSpaceDN w:val="0"/>
              <w:adjustRightInd w:val="0"/>
              <w:jc w:val="right"/>
              <w:rPr>
                <w:sz w:val="20"/>
                <w:szCs w:val="22"/>
              </w:rPr>
            </w:pPr>
            <w:r>
              <w:rPr>
                <w:sz w:val="20"/>
                <w:szCs w:val="22"/>
              </w:rPr>
              <w:t>2,00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2,25</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3,47</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2,84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0,21</w:t>
            </w:r>
          </w:p>
        </w:tc>
        <w:tc>
          <w:tcPr>
            <w:tcW w:w="1141" w:type="dxa"/>
            <w:vAlign w:val="bottom"/>
          </w:tcPr>
          <w:p w:rsidR="00000000" w:rsidRDefault="00000000">
            <w:pPr>
              <w:widowControl w:val="0"/>
              <w:tabs>
                <w:tab w:val="decimal" w:pos="420"/>
              </w:tabs>
              <w:autoSpaceDE w:val="0"/>
              <w:autoSpaceDN w:val="0"/>
              <w:adjustRightInd w:val="0"/>
              <w:jc w:val="right"/>
              <w:rPr>
                <w:sz w:val="20"/>
                <w:szCs w:val="22"/>
              </w:rPr>
            </w:pPr>
            <w:r>
              <w:rPr>
                <w:sz w:val="20"/>
                <w:szCs w:val="22"/>
              </w:rPr>
              <w:t>0,40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0,18</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0,30</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0,06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familial ou apprenti non rémunéré</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8,80</w:t>
            </w:r>
          </w:p>
        </w:tc>
        <w:tc>
          <w:tcPr>
            <w:tcW w:w="1141" w:type="dxa"/>
            <w:vAlign w:val="bottom"/>
          </w:tcPr>
          <w:p w:rsidR="00000000" w:rsidRDefault="00000000">
            <w:pPr>
              <w:widowControl w:val="0"/>
              <w:tabs>
                <w:tab w:val="decimal" w:pos="420"/>
              </w:tabs>
              <w:autoSpaceDE w:val="0"/>
              <w:autoSpaceDN w:val="0"/>
              <w:adjustRightInd w:val="0"/>
              <w:jc w:val="right"/>
              <w:rPr>
                <w:sz w:val="20"/>
                <w:szCs w:val="22"/>
              </w:rPr>
            </w:pPr>
            <w:r>
              <w:rPr>
                <w:sz w:val="20"/>
                <w:szCs w:val="22"/>
              </w:rPr>
              <w:t>7,80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13,31</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8,79</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12,51</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30" w:after="30"/>
              <w:ind w:left="284"/>
              <w:rPr>
                <w:sz w:val="20"/>
              </w:rPr>
            </w:pPr>
            <w:r>
              <w:rPr>
                <w:sz w:val="20"/>
              </w:rPr>
              <w:t>Employé de maison</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3,01</w:t>
            </w:r>
          </w:p>
        </w:tc>
        <w:tc>
          <w:tcPr>
            <w:tcW w:w="1141" w:type="dxa"/>
            <w:vAlign w:val="bottom"/>
          </w:tcPr>
          <w:p w:rsidR="00000000" w:rsidRDefault="00000000">
            <w:pPr>
              <w:widowControl w:val="0"/>
              <w:tabs>
                <w:tab w:val="decimal" w:pos="420"/>
              </w:tabs>
              <w:autoSpaceDE w:val="0"/>
              <w:autoSpaceDN w:val="0"/>
              <w:adjustRightInd w:val="0"/>
              <w:jc w:val="right"/>
              <w:rPr>
                <w:sz w:val="20"/>
                <w:szCs w:val="22"/>
              </w:rPr>
            </w:pPr>
            <w:r>
              <w:rPr>
                <w:sz w:val="20"/>
                <w:szCs w:val="22"/>
              </w:rPr>
              <w:t>4,20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5,07</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3,92</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4,07</w:t>
            </w:r>
          </w:p>
        </w:tc>
      </w:tr>
      <w:tr w:rsidR="00000000">
        <w:tblPrEx>
          <w:tblCellMar>
            <w:top w:w="0" w:type="dxa"/>
            <w:bottom w:w="0" w:type="dxa"/>
          </w:tblCellMar>
        </w:tblPrEx>
        <w:tc>
          <w:tcPr>
            <w:tcW w:w="3790" w:type="dxa"/>
            <w:tcBorders>
              <w:bottom w:val="nil"/>
            </w:tcBorders>
            <w:vAlign w:val="bottom"/>
          </w:tcPr>
          <w:p w:rsidR="00000000" w:rsidRDefault="00000000">
            <w:pPr>
              <w:spacing w:before="30" w:after="30"/>
              <w:rPr>
                <w:b/>
                <w:bCs/>
                <w:sz w:val="20"/>
              </w:rPr>
            </w:pPr>
            <w:r>
              <w:rPr>
                <w:b/>
                <w:bCs/>
                <w:sz w:val="20"/>
              </w:rPr>
              <w:t>HOMMES</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1 130 212</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1 167 692</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1 162 875</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1 166 458</w:t>
            </w:r>
          </w:p>
        </w:tc>
        <w:tc>
          <w:tcPr>
            <w:tcW w:w="1142" w:type="dxa"/>
            <w:vAlign w:val="bottom"/>
          </w:tcPr>
          <w:p w:rsidR="00000000" w:rsidRDefault="00000000">
            <w:pPr>
              <w:widowControl w:val="0"/>
              <w:autoSpaceDE w:val="0"/>
              <w:autoSpaceDN w:val="0"/>
              <w:adjustRightInd w:val="0"/>
              <w:jc w:val="right"/>
              <w:rPr>
                <w:b/>
                <w:sz w:val="20"/>
                <w:szCs w:val="22"/>
              </w:rPr>
            </w:pPr>
            <w:r>
              <w:rPr>
                <w:b/>
                <w:sz w:val="20"/>
                <w:szCs w:val="22"/>
              </w:rPr>
              <w:t>1 270 606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Ouvrier</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16,17</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17,30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19,90</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16,17</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27,34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Employé</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39,34</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36,90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36,77</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39,36</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29,15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indépendant</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32,17</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35,70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28,58</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31,29</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28,92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w:t>
            </w:r>
            <w:r>
              <w:rPr>
                <w:sz w:val="20"/>
              </w:rPr>
              <w:br/>
              <w:t>percevant une rémunération</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1,74</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1,50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1,25</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1,56</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0,87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w:t>
            </w:r>
            <w:r>
              <w:rPr>
                <w:sz w:val="20"/>
              </w:rPr>
              <w:br/>
              <w:t>non rémunéré</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4,13</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2,50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2,71</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4,64</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3,90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0,37</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0,70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0,33</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0,53</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0,12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familial ou apprenti non rémunéré</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5,82</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5,10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10,09</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6,22</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9,49</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30" w:after="30"/>
              <w:ind w:left="284"/>
              <w:rPr>
                <w:sz w:val="20"/>
              </w:rPr>
            </w:pPr>
            <w:r>
              <w:rPr>
                <w:sz w:val="20"/>
              </w:rPr>
              <w:t>Employé de maison</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0,27</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0,20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0,38</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0,22</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0,22</w:t>
            </w:r>
          </w:p>
        </w:tc>
      </w:tr>
      <w:tr w:rsidR="00000000">
        <w:tblPrEx>
          <w:tblCellMar>
            <w:top w:w="0" w:type="dxa"/>
            <w:bottom w:w="0" w:type="dxa"/>
          </w:tblCellMar>
        </w:tblPrEx>
        <w:tc>
          <w:tcPr>
            <w:tcW w:w="3790" w:type="dxa"/>
            <w:tcBorders>
              <w:bottom w:val="nil"/>
            </w:tcBorders>
            <w:vAlign w:val="bottom"/>
          </w:tcPr>
          <w:p w:rsidR="00000000" w:rsidRDefault="00000000">
            <w:pPr>
              <w:spacing w:before="30" w:after="30"/>
              <w:rPr>
                <w:b/>
                <w:bCs/>
                <w:sz w:val="20"/>
              </w:rPr>
            </w:pPr>
            <w:r>
              <w:rPr>
                <w:b/>
                <w:bCs/>
                <w:sz w:val="20"/>
              </w:rPr>
              <w:t>FEMMES</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886 832</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923 483</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993 375</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951 978</w:t>
            </w:r>
          </w:p>
        </w:tc>
        <w:tc>
          <w:tcPr>
            <w:tcW w:w="1142" w:type="dxa"/>
            <w:vAlign w:val="bottom"/>
          </w:tcPr>
          <w:p w:rsidR="00000000" w:rsidRDefault="00000000">
            <w:pPr>
              <w:widowControl w:val="0"/>
              <w:autoSpaceDE w:val="0"/>
              <w:autoSpaceDN w:val="0"/>
              <w:adjustRightInd w:val="0"/>
              <w:jc w:val="right"/>
              <w:rPr>
                <w:b/>
                <w:sz w:val="20"/>
                <w:szCs w:val="22"/>
              </w:rPr>
            </w:pPr>
            <w:r>
              <w:rPr>
                <w:b/>
                <w:sz w:val="20"/>
                <w:szCs w:val="22"/>
              </w:rPr>
              <w:t>1 026 131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Ouvrière</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2,72</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3,00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3,26</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3,80</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4,20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Employée</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28,08</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28,30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26,95</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27,86</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23,28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Travailleuse indépendante</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47,91</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46,60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40,05</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45,60</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45,71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Patronne, associée ou employeuse percevant une rémunération</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0,72</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0,40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0,36</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0,30</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0,18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Patronne, associée ou employeuse non rémunérée</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1,48</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1,20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1,71</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2,04</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1,54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0,00</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0,10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0,01</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0,02</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Travailleuse familiale ou apprentie non rémunérée</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12,60</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11,10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17,09</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11,94</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6,24</w:t>
            </w:r>
          </w:p>
        </w:tc>
      </w:tr>
      <w:tr w:rsidR="00000000">
        <w:tblPrEx>
          <w:tblCellMar>
            <w:top w:w="0" w:type="dxa"/>
            <w:bottom w:w="0" w:type="dxa"/>
          </w:tblCellMar>
        </w:tblPrEx>
        <w:tc>
          <w:tcPr>
            <w:tcW w:w="3790" w:type="dxa"/>
            <w:tcBorders>
              <w:top w:val="nil"/>
            </w:tcBorders>
            <w:vAlign w:val="bottom"/>
          </w:tcPr>
          <w:p w:rsidR="00000000" w:rsidRDefault="00000000">
            <w:pPr>
              <w:spacing w:before="30" w:after="30"/>
              <w:ind w:left="284"/>
              <w:rPr>
                <w:sz w:val="20"/>
              </w:rPr>
            </w:pPr>
            <w:r>
              <w:rPr>
                <w:sz w:val="20"/>
              </w:rPr>
              <w:t>Employée de maison</w:t>
            </w:r>
          </w:p>
        </w:tc>
        <w:tc>
          <w:tcPr>
            <w:tcW w:w="1141" w:type="dxa"/>
            <w:vAlign w:val="bottom"/>
          </w:tcPr>
          <w:p w:rsidR="00000000" w:rsidRDefault="00000000">
            <w:pPr>
              <w:widowControl w:val="0"/>
              <w:tabs>
                <w:tab w:val="decimal" w:pos="434"/>
              </w:tabs>
              <w:autoSpaceDE w:val="0"/>
              <w:autoSpaceDN w:val="0"/>
              <w:adjustRightInd w:val="0"/>
              <w:jc w:val="right"/>
              <w:rPr>
                <w:sz w:val="20"/>
                <w:szCs w:val="22"/>
              </w:rPr>
            </w:pPr>
            <w:r>
              <w:rPr>
                <w:sz w:val="20"/>
                <w:szCs w:val="22"/>
              </w:rPr>
              <w:t>6,49</w:t>
            </w:r>
          </w:p>
        </w:tc>
        <w:tc>
          <w:tcPr>
            <w:tcW w:w="1141" w:type="dxa"/>
            <w:vAlign w:val="bottom"/>
          </w:tcPr>
          <w:p w:rsidR="00000000" w:rsidRDefault="00000000">
            <w:pPr>
              <w:widowControl w:val="0"/>
              <w:tabs>
                <w:tab w:val="decimal" w:pos="399"/>
              </w:tabs>
              <w:autoSpaceDE w:val="0"/>
              <w:autoSpaceDN w:val="0"/>
              <w:adjustRightInd w:val="0"/>
              <w:jc w:val="right"/>
              <w:rPr>
                <w:sz w:val="20"/>
                <w:szCs w:val="22"/>
              </w:rPr>
            </w:pPr>
            <w:r>
              <w:rPr>
                <w:sz w:val="20"/>
                <w:szCs w:val="22"/>
              </w:rPr>
              <w:t>9,40</w:t>
            </w:r>
          </w:p>
        </w:tc>
        <w:tc>
          <w:tcPr>
            <w:tcW w:w="1141" w:type="dxa"/>
            <w:vAlign w:val="bottom"/>
          </w:tcPr>
          <w:p w:rsidR="00000000" w:rsidRDefault="00000000">
            <w:pPr>
              <w:widowControl w:val="0"/>
              <w:tabs>
                <w:tab w:val="decimal" w:pos="433"/>
              </w:tabs>
              <w:autoSpaceDE w:val="0"/>
              <w:autoSpaceDN w:val="0"/>
              <w:adjustRightInd w:val="0"/>
              <w:jc w:val="right"/>
              <w:rPr>
                <w:sz w:val="20"/>
                <w:szCs w:val="22"/>
              </w:rPr>
            </w:pPr>
            <w:r>
              <w:rPr>
                <w:sz w:val="20"/>
                <w:szCs w:val="22"/>
              </w:rPr>
              <w:t>10,57</w:t>
            </w:r>
          </w:p>
        </w:tc>
        <w:tc>
          <w:tcPr>
            <w:tcW w:w="1141" w:type="dxa"/>
            <w:vAlign w:val="bottom"/>
          </w:tcPr>
          <w:p w:rsidR="00000000" w:rsidRDefault="00000000">
            <w:pPr>
              <w:widowControl w:val="0"/>
              <w:tabs>
                <w:tab w:val="decimal" w:pos="448"/>
              </w:tabs>
              <w:autoSpaceDE w:val="0"/>
              <w:autoSpaceDN w:val="0"/>
              <w:adjustRightInd w:val="0"/>
              <w:jc w:val="right"/>
              <w:rPr>
                <w:sz w:val="20"/>
                <w:szCs w:val="22"/>
              </w:rPr>
            </w:pPr>
            <w:r>
              <w:rPr>
                <w:sz w:val="20"/>
                <w:szCs w:val="22"/>
              </w:rPr>
              <w:t>8,44</w:t>
            </w:r>
          </w:p>
        </w:tc>
        <w:tc>
          <w:tcPr>
            <w:tcW w:w="1142" w:type="dxa"/>
            <w:vAlign w:val="bottom"/>
          </w:tcPr>
          <w:p w:rsidR="00000000" w:rsidRDefault="00000000">
            <w:pPr>
              <w:widowControl w:val="0"/>
              <w:tabs>
                <w:tab w:val="decimal" w:pos="505"/>
              </w:tabs>
              <w:autoSpaceDE w:val="0"/>
              <w:autoSpaceDN w:val="0"/>
              <w:adjustRightInd w:val="0"/>
              <w:jc w:val="right"/>
              <w:rPr>
                <w:sz w:val="20"/>
                <w:szCs w:val="22"/>
              </w:rPr>
            </w:pPr>
            <w:r>
              <w:rPr>
                <w:sz w:val="20"/>
                <w:szCs w:val="22"/>
              </w:rPr>
              <w:t>8,85</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pageBreakBefore/>
        <w:spacing w:after="180"/>
        <w:jc w:val="center"/>
        <w:rPr>
          <w:b/>
          <w:bCs/>
        </w:rPr>
      </w:pPr>
      <w:r>
        <w:rPr>
          <w:b/>
          <w:bCs/>
        </w:rPr>
        <w:t>Tableau 4.2</w:t>
      </w:r>
    </w:p>
    <w:p w:rsidR="00000000" w:rsidRDefault="00000000">
      <w:pPr>
        <w:spacing w:after="180"/>
        <w:jc w:val="center"/>
      </w:pPr>
      <w:r>
        <w:rPr>
          <w:b/>
          <w:bCs/>
        </w:rPr>
        <w:t>Bolivie − Zones rurales: Répartition annuelle de la population selon</w:t>
      </w:r>
      <w:r>
        <w:rPr>
          <w:b/>
          <w:bCs/>
        </w:rPr>
        <w:br/>
        <w:t>l’activité principale, par sexe et statut professionnel, 1999</w:t>
      </w:r>
      <w:r>
        <w:rPr>
          <w:b/>
          <w:bCs/>
        </w:rPr>
        <w:noBreakHyphen/>
        <w:t>2003</w:t>
      </w:r>
      <w:r>
        <w:rPr>
          <w:i/>
          <w:iCs/>
          <w:vertAlign w:val="superscript"/>
        </w:rPr>
        <w:t>p</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41"/>
        <w:gridCol w:w="1141"/>
        <w:gridCol w:w="1141"/>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rPr>
            </w:pPr>
            <w:r>
              <w:rPr>
                <w:sz w:val="20"/>
              </w:rPr>
              <w:t>Statut professionnel</w:t>
            </w:r>
          </w:p>
        </w:tc>
        <w:tc>
          <w:tcPr>
            <w:tcW w:w="1141" w:type="dxa"/>
            <w:vAlign w:val="center"/>
          </w:tcPr>
          <w:p w:rsidR="00000000" w:rsidRDefault="00000000">
            <w:pPr>
              <w:spacing w:before="60" w:after="60"/>
              <w:jc w:val="center"/>
              <w:rPr>
                <w:sz w:val="20"/>
              </w:rPr>
            </w:pPr>
            <w:r>
              <w:rPr>
                <w:sz w:val="20"/>
              </w:rPr>
              <w:t>1999</w:t>
            </w:r>
          </w:p>
        </w:tc>
        <w:tc>
          <w:tcPr>
            <w:tcW w:w="1141" w:type="dxa"/>
            <w:vAlign w:val="center"/>
          </w:tcPr>
          <w:p w:rsidR="00000000" w:rsidRDefault="00000000">
            <w:pPr>
              <w:spacing w:before="60" w:after="60"/>
              <w:jc w:val="center"/>
              <w:rPr>
                <w:sz w:val="20"/>
              </w:rPr>
            </w:pPr>
            <w:r>
              <w:rPr>
                <w:sz w:val="20"/>
              </w:rPr>
              <w:t>2000</w:t>
            </w:r>
          </w:p>
        </w:tc>
        <w:tc>
          <w:tcPr>
            <w:tcW w:w="1141" w:type="dxa"/>
            <w:vAlign w:val="center"/>
          </w:tcPr>
          <w:p w:rsidR="00000000" w:rsidRDefault="00000000">
            <w:pPr>
              <w:spacing w:before="60" w:after="60"/>
              <w:jc w:val="center"/>
              <w:rPr>
                <w:sz w:val="20"/>
              </w:rPr>
            </w:pPr>
            <w:r>
              <w:rPr>
                <w:sz w:val="20"/>
              </w:rPr>
              <w:t>2001</w:t>
            </w:r>
          </w:p>
        </w:tc>
        <w:tc>
          <w:tcPr>
            <w:tcW w:w="1141" w:type="dxa"/>
            <w:vAlign w:val="center"/>
          </w:tcPr>
          <w:p w:rsidR="00000000" w:rsidRDefault="00000000">
            <w:pPr>
              <w:spacing w:before="60" w:after="60"/>
              <w:jc w:val="center"/>
              <w:rPr>
                <w:sz w:val="20"/>
              </w:rPr>
            </w:pPr>
            <w:r>
              <w:rPr>
                <w:sz w:val="20"/>
              </w:rPr>
              <w:t>2002</w:t>
            </w:r>
          </w:p>
        </w:tc>
        <w:tc>
          <w:tcPr>
            <w:tcW w:w="1142"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30" w:after="30"/>
              <w:rPr>
                <w:b/>
                <w:bCs/>
                <w:sz w:val="20"/>
              </w:rPr>
            </w:pPr>
            <w:r>
              <w:rPr>
                <w:b/>
                <w:bCs/>
                <w:sz w:val="20"/>
              </w:rPr>
              <w:t>TOTAL</w:t>
            </w:r>
          </w:p>
        </w:tc>
        <w:tc>
          <w:tcPr>
            <w:tcW w:w="1141" w:type="dxa"/>
            <w:vAlign w:val="bottom"/>
          </w:tcPr>
          <w:p w:rsidR="00000000" w:rsidRDefault="00000000">
            <w:pPr>
              <w:keepNext/>
              <w:keepLines/>
              <w:autoSpaceDE w:val="0"/>
              <w:autoSpaceDN w:val="0"/>
              <w:adjustRightInd w:val="0"/>
              <w:jc w:val="right"/>
              <w:rPr>
                <w:b/>
                <w:sz w:val="20"/>
                <w:szCs w:val="22"/>
              </w:rPr>
            </w:pPr>
            <w:r>
              <w:rPr>
                <w:b/>
                <w:sz w:val="20"/>
                <w:szCs w:val="22"/>
              </w:rPr>
              <w:t>1 620 849</w:t>
            </w:r>
          </w:p>
        </w:tc>
        <w:tc>
          <w:tcPr>
            <w:tcW w:w="1141" w:type="dxa"/>
            <w:vAlign w:val="bottom"/>
          </w:tcPr>
          <w:p w:rsidR="00000000" w:rsidRDefault="00000000">
            <w:pPr>
              <w:keepNext/>
              <w:keepLines/>
              <w:autoSpaceDE w:val="0"/>
              <w:autoSpaceDN w:val="0"/>
              <w:adjustRightInd w:val="0"/>
              <w:jc w:val="right"/>
              <w:rPr>
                <w:b/>
                <w:sz w:val="20"/>
                <w:szCs w:val="22"/>
              </w:rPr>
            </w:pPr>
            <w:r>
              <w:rPr>
                <w:b/>
                <w:sz w:val="20"/>
                <w:szCs w:val="22"/>
              </w:rPr>
              <w:t>1 545 873</w:t>
            </w:r>
          </w:p>
        </w:tc>
        <w:tc>
          <w:tcPr>
            <w:tcW w:w="1141" w:type="dxa"/>
            <w:vAlign w:val="bottom"/>
          </w:tcPr>
          <w:p w:rsidR="00000000" w:rsidRDefault="00000000">
            <w:pPr>
              <w:keepNext/>
              <w:keepLines/>
              <w:autoSpaceDE w:val="0"/>
              <w:autoSpaceDN w:val="0"/>
              <w:adjustRightInd w:val="0"/>
              <w:jc w:val="right"/>
              <w:rPr>
                <w:b/>
                <w:sz w:val="20"/>
                <w:szCs w:val="22"/>
              </w:rPr>
            </w:pPr>
            <w:r>
              <w:rPr>
                <w:b/>
                <w:sz w:val="20"/>
                <w:szCs w:val="22"/>
              </w:rPr>
              <w:t>1 728 001</w:t>
            </w:r>
          </w:p>
        </w:tc>
        <w:tc>
          <w:tcPr>
            <w:tcW w:w="1141" w:type="dxa"/>
            <w:vAlign w:val="bottom"/>
          </w:tcPr>
          <w:p w:rsidR="00000000" w:rsidRDefault="00000000">
            <w:pPr>
              <w:keepNext/>
              <w:keepLines/>
              <w:autoSpaceDE w:val="0"/>
              <w:autoSpaceDN w:val="0"/>
              <w:adjustRightInd w:val="0"/>
              <w:jc w:val="right"/>
              <w:rPr>
                <w:b/>
                <w:sz w:val="20"/>
                <w:szCs w:val="22"/>
              </w:rPr>
            </w:pPr>
            <w:r>
              <w:rPr>
                <w:b/>
                <w:sz w:val="20"/>
                <w:szCs w:val="22"/>
              </w:rPr>
              <w:t>1 706 502</w:t>
            </w:r>
          </w:p>
        </w:tc>
        <w:tc>
          <w:tcPr>
            <w:tcW w:w="1142" w:type="dxa"/>
            <w:vAlign w:val="bottom"/>
          </w:tcPr>
          <w:p w:rsidR="00000000" w:rsidRDefault="00000000">
            <w:pPr>
              <w:keepNext/>
              <w:keepLines/>
              <w:autoSpaceDE w:val="0"/>
              <w:autoSpaceDN w:val="0"/>
              <w:adjustRightInd w:val="0"/>
              <w:jc w:val="right"/>
              <w:rPr>
                <w:b/>
                <w:sz w:val="20"/>
                <w:szCs w:val="22"/>
              </w:rPr>
            </w:pPr>
            <w:r>
              <w:rPr>
                <w:b/>
                <w:sz w:val="20"/>
                <w:szCs w:val="22"/>
              </w:rPr>
              <w:t>1 789 065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Ouvrier</w:t>
            </w:r>
          </w:p>
        </w:tc>
        <w:tc>
          <w:tcPr>
            <w:tcW w:w="1141" w:type="dxa"/>
            <w:vAlign w:val="bottom"/>
          </w:tcPr>
          <w:p w:rsidR="00000000" w:rsidRDefault="00000000">
            <w:pPr>
              <w:keepNext/>
              <w:keepLines/>
              <w:tabs>
                <w:tab w:val="decimal" w:pos="457"/>
              </w:tabs>
              <w:autoSpaceDE w:val="0"/>
              <w:autoSpaceDN w:val="0"/>
              <w:adjustRightInd w:val="0"/>
              <w:jc w:val="right"/>
              <w:rPr>
                <w:sz w:val="20"/>
                <w:szCs w:val="22"/>
              </w:rPr>
            </w:pPr>
            <w:r>
              <w:rPr>
                <w:sz w:val="20"/>
                <w:szCs w:val="22"/>
              </w:rPr>
              <w:t>5,48</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4,30</w:t>
            </w:r>
          </w:p>
        </w:tc>
        <w:tc>
          <w:tcPr>
            <w:tcW w:w="1141" w:type="dxa"/>
            <w:vAlign w:val="bottom"/>
          </w:tcPr>
          <w:p w:rsidR="00000000" w:rsidRDefault="00000000">
            <w:pPr>
              <w:widowControl w:val="0"/>
              <w:tabs>
                <w:tab w:val="decimal" w:pos="459"/>
              </w:tabs>
              <w:autoSpaceDE w:val="0"/>
              <w:autoSpaceDN w:val="0"/>
              <w:adjustRightInd w:val="0"/>
              <w:jc w:val="right"/>
              <w:rPr>
                <w:sz w:val="20"/>
                <w:szCs w:val="22"/>
              </w:rPr>
            </w:pPr>
            <w:r>
              <w:rPr>
                <w:sz w:val="20"/>
                <w:szCs w:val="22"/>
              </w:rPr>
              <w:t>6,59</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6,17</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9,03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Employé</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3,83</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4,30</w:t>
            </w:r>
          </w:p>
        </w:tc>
        <w:tc>
          <w:tcPr>
            <w:tcW w:w="1141" w:type="dxa"/>
            <w:vAlign w:val="bottom"/>
          </w:tcPr>
          <w:p w:rsidR="00000000" w:rsidRDefault="00000000">
            <w:pPr>
              <w:widowControl w:val="0"/>
              <w:tabs>
                <w:tab w:val="decimal" w:pos="459"/>
              </w:tabs>
              <w:autoSpaceDE w:val="0"/>
              <w:autoSpaceDN w:val="0"/>
              <w:adjustRightInd w:val="0"/>
              <w:jc w:val="right"/>
              <w:rPr>
                <w:sz w:val="20"/>
                <w:szCs w:val="22"/>
              </w:rPr>
            </w:pPr>
            <w:r>
              <w:rPr>
                <w:sz w:val="20"/>
                <w:szCs w:val="22"/>
              </w:rPr>
              <w:t>4,15</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3,69</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3,89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indépendant</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41,63</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43,30</w:t>
            </w:r>
          </w:p>
        </w:tc>
        <w:tc>
          <w:tcPr>
            <w:tcW w:w="1141" w:type="dxa"/>
            <w:vAlign w:val="bottom"/>
          </w:tcPr>
          <w:p w:rsidR="00000000" w:rsidRDefault="00000000">
            <w:pPr>
              <w:widowControl w:val="0"/>
              <w:tabs>
                <w:tab w:val="decimal" w:pos="459"/>
              </w:tabs>
              <w:autoSpaceDE w:val="0"/>
              <w:autoSpaceDN w:val="0"/>
              <w:adjustRightInd w:val="0"/>
              <w:jc w:val="right"/>
              <w:rPr>
                <w:sz w:val="20"/>
                <w:szCs w:val="22"/>
              </w:rPr>
            </w:pPr>
            <w:r>
              <w:rPr>
                <w:sz w:val="20"/>
                <w:szCs w:val="22"/>
              </w:rPr>
              <w:t>38,05</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35,15</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38,14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w:t>
            </w:r>
            <w:r>
              <w:rPr>
                <w:sz w:val="20"/>
              </w:rPr>
              <w:br/>
              <w:t>percevant une rémunération</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0,11</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0,10</w:t>
            </w:r>
          </w:p>
        </w:tc>
        <w:tc>
          <w:tcPr>
            <w:tcW w:w="1141" w:type="dxa"/>
            <w:vAlign w:val="bottom"/>
          </w:tcPr>
          <w:p w:rsidR="00000000" w:rsidRDefault="00000000">
            <w:pPr>
              <w:widowControl w:val="0"/>
              <w:tabs>
                <w:tab w:val="decimal" w:pos="459"/>
              </w:tabs>
              <w:autoSpaceDE w:val="0"/>
              <w:autoSpaceDN w:val="0"/>
              <w:adjustRightInd w:val="0"/>
              <w:jc w:val="right"/>
              <w:rPr>
                <w:sz w:val="20"/>
                <w:szCs w:val="22"/>
              </w:rPr>
            </w:pPr>
            <w:r>
              <w:rPr>
                <w:sz w:val="20"/>
                <w:szCs w:val="22"/>
              </w:rPr>
              <w:t>0,05</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0,12</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0,02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 non rémunéré</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1,19</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0,40</w:t>
            </w:r>
          </w:p>
        </w:tc>
        <w:tc>
          <w:tcPr>
            <w:tcW w:w="1141" w:type="dxa"/>
            <w:vAlign w:val="bottom"/>
          </w:tcPr>
          <w:p w:rsidR="00000000" w:rsidRDefault="00000000">
            <w:pPr>
              <w:widowControl w:val="0"/>
              <w:tabs>
                <w:tab w:val="decimal" w:pos="459"/>
              </w:tabs>
              <w:autoSpaceDE w:val="0"/>
              <w:autoSpaceDN w:val="0"/>
              <w:adjustRightInd w:val="0"/>
              <w:jc w:val="right"/>
              <w:rPr>
                <w:sz w:val="20"/>
                <w:szCs w:val="22"/>
              </w:rPr>
            </w:pPr>
            <w:r>
              <w:rPr>
                <w:sz w:val="20"/>
                <w:szCs w:val="22"/>
              </w:rPr>
              <w:t>1,05</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4,31</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3,68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0,45</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0,30</w:t>
            </w:r>
          </w:p>
        </w:tc>
        <w:tc>
          <w:tcPr>
            <w:tcW w:w="1141" w:type="dxa"/>
            <w:vAlign w:val="bottom"/>
          </w:tcPr>
          <w:p w:rsidR="00000000" w:rsidRDefault="00000000">
            <w:pPr>
              <w:widowControl w:val="0"/>
              <w:tabs>
                <w:tab w:val="decimal" w:pos="459"/>
              </w:tabs>
              <w:autoSpaceDE w:val="0"/>
              <w:autoSpaceDN w:val="0"/>
              <w:adjustRightInd w:val="0"/>
              <w:jc w:val="right"/>
              <w:rPr>
                <w:sz w:val="20"/>
                <w:szCs w:val="22"/>
              </w:rPr>
            </w:pPr>
            <w:r>
              <w:rPr>
                <w:sz w:val="20"/>
                <w:szCs w:val="22"/>
              </w:rPr>
              <w:t>0,66</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0,21</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0,07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familial ou apprenti non rémunéré</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46,82</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47,00</w:t>
            </w:r>
          </w:p>
        </w:tc>
        <w:tc>
          <w:tcPr>
            <w:tcW w:w="1141" w:type="dxa"/>
            <w:vAlign w:val="bottom"/>
          </w:tcPr>
          <w:p w:rsidR="00000000" w:rsidRDefault="00000000">
            <w:pPr>
              <w:widowControl w:val="0"/>
              <w:tabs>
                <w:tab w:val="decimal" w:pos="459"/>
              </w:tabs>
              <w:autoSpaceDE w:val="0"/>
              <w:autoSpaceDN w:val="0"/>
              <w:adjustRightInd w:val="0"/>
              <w:jc w:val="right"/>
              <w:rPr>
                <w:sz w:val="20"/>
                <w:szCs w:val="22"/>
              </w:rPr>
            </w:pPr>
            <w:r>
              <w:rPr>
                <w:sz w:val="20"/>
                <w:szCs w:val="22"/>
              </w:rPr>
              <w:t>48,91</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49,98</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44,63</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30" w:after="30"/>
              <w:ind w:left="284"/>
              <w:rPr>
                <w:sz w:val="20"/>
              </w:rPr>
            </w:pPr>
            <w:r>
              <w:rPr>
                <w:sz w:val="20"/>
              </w:rPr>
              <w:t>Employé de maison</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0,49</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0,40</w:t>
            </w:r>
          </w:p>
        </w:tc>
        <w:tc>
          <w:tcPr>
            <w:tcW w:w="1141" w:type="dxa"/>
            <w:vAlign w:val="bottom"/>
          </w:tcPr>
          <w:p w:rsidR="00000000" w:rsidRDefault="00000000">
            <w:pPr>
              <w:widowControl w:val="0"/>
              <w:tabs>
                <w:tab w:val="decimal" w:pos="459"/>
              </w:tabs>
              <w:autoSpaceDE w:val="0"/>
              <w:autoSpaceDN w:val="0"/>
              <w:adjustRightInd w:val="0"/>
              <w:jc w:val="right"/>
              <w:rPr>
                <w:sz w:val="20"/>
                <w:szCs w:val="22"/>
              </w:rPr>
            </w:pPr>
            <w:r>
              <w:rPr>
                <w:sz w:val="20"/>
                <w:szCs w:val="22"/>
              </w:rPr>
              <w:t>0,53</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0,37</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0,54</w:t>
            </w:r>
          </w:p>
        </w:tc>
      </w:tr>
      <w:tr w:rsidR="00000000">
        <w:tblPrEx>
          <w:tblCellMar>
            <w:top w:w="0" w:type="dxa"/>
            <w:bottom w:w="0" w:type="dxa"/>
          </w:tblCellMar>
        </w:tblPrEx>
        <w:tc>
          <w:tcPr>
            <w:tcW w:w="3790" w:type="dxa"/>
            <w:tcBorders>
              <w:bottom w:val="nil"/>
            </w:tcBorders>
            <w:vAlign w:val="bottom"/>
          </w:tcPr>
          <w:p w:rsidR="00000000" w:rsidRDefault="00000000">
            <w:pPr>
              <w:spacing w:before="30" w:after="30"/>
              <w:rPr>
                <w:b/>
                <w:bCs/>
                <w:sz w:val="20"/>
              </w:rPr>
            </w:pPr>
            <w:r>
              <w:rPr>
                <w:b/>
                <w:bCs/>
                <w:sz w:val="20"/>
              </w:rPr>
              <w:t>HOMMES</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870 284</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864 490</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965 527</w:t>
            </w:r>
          </w:p>
        </w:tc>
        <w:tc>
          <w:tcPr>
            <w:tcW w:w="1141" w:type="dxa"/>
            <w:vAlign w:val="bottom"/>
          </w:tcPr>
          <w:p w:rsidR="00000000" w:rsidRDefault="00000000">
            <w:pPr>
              <w:widowControl w:val="0"/>
              <w:autoSpaceDE w:val="0"/>
              <w:autoSpaceDN w:val="0"/>
              <w:adjustRightInd w:val="0"/>
              <w:jc w:val="right"/>
              <w:rPr>
                <w:b/>
                <w:sz w:val="20"/>
                <w:szCs w:val="22"/>
              </w:rPr>
            </w:pPr>
            <w:r>
              <w:rPr>
                <w:b/>
                <w:sz w:val="20"/>
                <w:szCs w:val="22"/>
              </w:rPr>
              <w:t>993 700</w:t>
            </w:r>
          </w:p>
        </w:tc>
        <w:tc>
          <w:tcPr>
            <w:tcW w:w="1142" w:type="dxa"/>
            <w:vAlign w:val="bottom"/>
          </w:tcPr>
          <w:p w:rsidR="00000000" w:rsidRDefault="00000000">
            <w:pPr>
              <w:widowControl w:val="0"/>
              <w:autoSpaceDE w:val="0"/>
              <w:autoSpaceDN w:val="0"/>
              <w:adjustRightInd w:val="0"/>
              <w:jc w:val="right"/>
              <w:rPr>
                <w:b/>
                <w:sz w:val="20"/>
                <w:szCs w:val="22"/>
              </w:rPr>
            </w:pPr>
            <w:r>
              <w:rPr>
                <w:b/>
                <w:sz w:val="20"/>
                <w:szCs w:val="22"/>
              </w:rPr>
              <w:t>999 826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Ouvrier</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9,02</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6,80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10,22</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8,90</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13,82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Employé</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3,91</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4,90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4,56</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4,53</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4,71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indépendant</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54,58</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59,30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50,60</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47,51</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46,02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w:t>
            </w:r>
            <w:r>
              <w:rPr>
                <w:sz w:val="20"/>
              </w:rPr>
              <w:br/>
              <w:t>percevant une rémunération</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0,21</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0,20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0,04</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0,18</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0,03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w:t>
            </w:r>
            <w:r>
              <w:rPr>
                <w:sz w:val="20"/>
              </w:rPr>
              <w:br/>
              <w:t>non rémunéré</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1,83</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0,60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1,49</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6,25</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6,18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0,83</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0,50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1,13</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0,34</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0,13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familial ou apprenti non rémunéré</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29,58</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27,70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31,95</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32,24</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28,99</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30" w:after="30"/>
              <w:ind w:left="284"/>
              <w:rPr>
                <w:sz w:val="20"/>
              </w:rPr>
            </w:pPr>
            <w:r>
              <w:rPr>
                <w:sz w:val="20"/>
              </w:rPr>
              <w:t>Employé de maison</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0,04</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0,10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0,02</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0,05</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0,13</w:t>
            </w:r>
          </w:p>
        </w:tc>
      </w:tr>
      <w:tr w:rsidR="00000000">
        <w:tblPrEx>
          <w:tblCellMar>
            <w:top w:w="0" w:type="dxa"/>
            <w:bottom w:w="0" w:type="dxa"/>
          </w:tblCellMar>
        </w:tblPrEx>
        <w:tc>
          <w:tcPr>
            <w:tcW w:w="3790" w:type="dxa"/>
            <w:tcBorders>
              <w:bottom w:val="nil"/>
            </w:tcBorders>
            <w:vAlign w:val="bottom"/>
          </w:tcPr>
          <w:p w:rsidR="00000000" w:rsidRDefault="00000000">
            <w:pPr>
              <w:spacing w:before="30" w:after="30"/>
              <w:rPr>
                <w:b/>
                <w:bCs/>
                <w:sz w:val="20"/>
              </w:rPr>
            </w:pPr>
            <w:r>
              <w:rPr>
                <w:b/>
                <w:bCs/>
                <w:sz w:val="20"/>
              </w:rPr>
              <w:t>FEMMES</w:t>
            </w:r>
          </w:p>
        </w:tc>
        <w:tc>
          <w:tcPr>
            <w:tcW w:w="1141" w:type="dxa"/>
            <w:vAlign w:val="bottom"/>
          </w:tcPr>
          <w:p w:rsidR="00000000" w:rsidRDefault="00000000">
            <w:pPr>
              <w:widowControl w:val="0"/>
              <w:autoSpaceDE w:val="0"/>
              <w:autoSpaceDN w:val="0"/>
              <w:adjustRightInd w:val="0"/>
              <w:jc w:val="right"/>
              <w:rPr>
                <w:b/>
                <w:bCs/>
                <w:sz w:val="20"/>
                <w:szCs w:val="22"/>
              </w:rPr>
            </w:pPr>
            <w:r>
              <w:rPr>
                <w:b/>
                <w:bCs/>
                <w:sz w:val="20"/>
                <w:szCs w:val="22"/>
              </w:rPr>
              <w:t>750 565</w:t>
            </w:r>
          </w:p>
        </w:tc>
        <w:tc>
          <w:tcPr>
            <w:tcW w:w="1141" w:type="dxa"/>
            <w:vAlign w:val="bottom"/>
          </w:tcPr>
          <w:p w:rsidR="00000000" w:rsidRDefault="00000000">
            <w:pPr>
              <w:widowControl w:val="0"/>
              <w:autoSpaceDE w:val="0"/>
              <w:autoSpaceDN w:val="0"/>
              <w:adjustRightInd w:val="0"/>
              <w:jc w:val="right"/>
              <w:rPr>
                <w:b/>
                <w:bCs/>
                <w:sz w:val="20"/>
                <w:szCs w:val="22"/>
              </w:rPr>
            </w:pPr>
            <w:r>
              <w:rPr>
                <w:b/>
                <w:bCs/>
                <w:sz w:val="20"/>
                <w:szCs w:val="22"/>
              </w:rPr>
              <w:t>681 383</w:t>
            </w:r>
          </w:p>
        </w:tc>
        <w:tc>
          <w:tcPr>
            <w:tcW w:w="1141" w:type="dxa"/>
            <w:vAlign w:val="bottom"/>
          </w:tcPr>
          <w:p w:rsidR="00000000" w:rsidRDefault="00000000">
            <w:pPr>
              <w:widowControl w:val="0"/>
              <w:autoSpaceDE w:val="0"/>
              <w:autoSpaceDN w:val="0"/>
              <w:adjustRightInd w:val="0"/>
              <w:jc w:val="right"/>
              <w:rPr>
                <w:b/>
                <w:bCs/>
                <w:sz w:val="20"/>
                <w:szCs w:val="22"/>
              </w:rPr>
            </w:pPr>
            <w:r>
              <w:rPr>
                <w:b/>
                <w:bCs/>
                <w:sz w:val="20"/>
                <w:szCs w:val="22"/>
              </w:rPr>
              <w:t>762 474</w:t>
            </w:r>
          </w:p>
        </w:tc>
        <w:tc>
          <w:tcPr>
            <w:tcW w:w="1141" w:type="dxa"/>
            <w:vAlign w:val="bottom"/>
          </w:tcPr>
          <w:p w:rsidR="00000000" w:rsidRDefault="00000000">
            <w:pPr>
              <w:widowControl w:val="0"/>
              <w:autoSpaceDE w:val="0"/>
              <w:autoSpaceDN w:val="0"/>
              <w:adjustRightInd w:val="0"/>
              <w:jc w:val="right"/>
              <w:rPr>
                <w:b/>
                <w:bCs/>
                <w:sz w:val="20"/>
                <w:szCs w:val="22"/>
              </w:rPr>
            </w:pPr>
            <w:r>
              <w:rPr>
                <w:b/>
                <w:bCs/>
                <w:sz w:val="20"/>
                <w:szCs w:val="22"/>
              </w:rPr>
              <w:t>712 802</w:t>
            </w:r>
          </w:p>
        </w:tc>
        <w:tc>
          <w:tcPr>
            <w:tcW w:w="1142" w:type="dxa"/>
            <w:vAlign w:val="bottom"/>
          </w:tcPr>
          <w:p w:rsidR="00000000" w:rsidRDefault="00000000">
            <w:pPr>
              <w:widowControl w:val="0"/>
              <w:autoSpaceDE w:val="0"/>
              <w:autoSpaceDN w:val="0"/>
              <w:adjustRightInd w:val="0"/>
              <w:jc w:val="right"/>
              <w:rPr>
                <w:b/>
                <w:bCs/>
                <w:sz w:val="20"/>
                <w:szCs w:val="22"/>
              </w:rPr>
            </w:pPr>
            <w:r>
              <w:rPr>
                <w:b/>
                <w:bCs/>
                <w:sz w:val="20"/>
                <w:szCs w:val="22"/>
              </w:rPr>
              <w:t>789 239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Ouvrière</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1,37</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1,10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2,00</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2,38</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2,95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Employée</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3,74</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3,60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3,64</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2,51</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2,87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Travailleuse indépendante</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26,62</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22,90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22,16</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17,92</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28,15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Patronne, associée ou employeuse percevant une rémunération</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0,00</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0,00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0,06</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0,04</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Patronne, associée ou employeuse non rémunérée</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0,44</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0,20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0,49</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1,61</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0,52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0,00</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0,00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0,07</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0,03</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Travailleuse familiale ou apprentie non rémunérée</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66,82</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71,40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70,39</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74,70</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64,44</w:t>
            </w:r>
          </w:p>
        </w:tc>
      </w:tr>
      <w:tr w:rsidR="00000000">
        <w:tblPrEx>
          <w:tblCellMar>
            <w:top w:w="0" w:type="dxa"/>
            <w:bottom w:w="0" w:type="dxa"/>
          </w:tblCellMar>
        </w:tblPrEx>
        <w:tc>
          <w:tcPr>
            <w:tcW w:w="3790" w:type="dxa"/>
            <w:tcBorders>
              <w:top w:val="nil"/>
            </w:tcBorders>
            <w:vAlign w:val="bottom"/>
          </w:tcPr>
          <w:p w:rsidR="00000000" w:rsidRDefault="00000000">
            <w:pPr>
              <w:spacing w:before="30" w:after="30"/>
              <w:ind w:left="284"/>
              <w:rPr>
                <w:sz w:val="20"/>
              </w:rPr>
            </w:pPr>
            <w:r>
              <w:rPr>
                <w:sz w:val="20"/>
              </w:rPr>
              <w:t>Employée de maison</w:t>
            </w:r>
          </w:p>
        </w:tc>
        <w:tc>
          <w:tcPr>
            <w:tcW w:w="1141" w:type="dxa"/>
            <w:vAlign w:val="bottom"/>
          </w:tcPr>
          <w:p w:rsidR="00000000" w:rsidRDefault="00000000">
            <w:pPr>
              <w:widowControl w:val="0"/>
              <w:tabs>
                <w:tab w:val="decimal" w:pos="457"/>
              </w:tabs>
              <w:autoSpaceDE w:val="0"/>
              <w:autoSpaceDN w:val="0"/>
              <w:adjustRightInd w:val="0"/>
              <w:jc w:val="right"/>
              <w:rPr>
                <w:sz w:val="20"/>
                <w:szCs w:val="22"/>
              </w:rPr>
            </w:pPr>
            <w:r>
              <w:rPr>
                <w:sz w:val="20"/>
                <w:szCs w:val="22"/>
              </w:rPr>
              <w:t>1,01</w:t>
            </w:r>
          </w:p>
        </w:tc>
        <w:tc>
          <w:tcPr>
            <w:tcW w:w="1141" w:type="dxa"/>
            <w:vAlign w:val="bottom"/>
          </w:tcPr>
          <w:p w:rsidR="00000000" w:rsidRDefault="00000000">
            <w:pPr>
              <w:widowControl w:val="0"/>
              <w:tabs>
                <w:tab w:val="decimal" w:pos="389"/>
              </w:tabs>
              <w:autoSpaceDE w:val="0"/>
              <w:autoSpaceDN w:val="0"/>
              <w:adjustRightInd w:val="0"/>
              <w:jc w:val="right"/>
              <w:rPr>
                <w:sz w:val="20"/>
                <w:szCs w:val="22"/>
              </w:rPr>
            </w:pPr>
            <w:r>
              <w:rPr>
                <w:sz w:val="20"/>
                <w:szCs w:val="22"/>
              </w:rPr>
              <w:t>0,70</w:t>
            </w:r>
          </w:p>
        </w:tc>
        <w:tc>
          <w:tcPr>
            <w:tcW w:w="1141" w:type="dxa"/>
            <w:vAlign w:val="bottom"/>
          </w:tcPr>
          <w:p w:rsidR="00000000" w:rsidRDefault="00000000">
            <w:pPr>
              <w:widowControl w:val="0"/>
              <w:tabs>
                <w:tab w:val="decimal" w:pos="445"/>
              </w:tabs>
              <w:autoSpaceDE w:val="0"/>
              <w:autoSpaceDN w:val="0"/>
              <w:adjustRightInd w:val="0"/>
              <w:jc w:val="right"/>
              <w:rPr>
                <w:sz w:val="20"/>
                <w:szCs w:val="22"/>
              </w:rPr>
            </w:pPr>
            <w:r>
              <w:rPr>
                <w:sz w:val="20"/>
                <w:szCs w:val="22"/>
              </w:rPr>
              <w:t>1,18</w:t>
            </w:r>
          </w:p>
        </w:tc>
        <w:tc>
          <w:tcPr>
            <w:tcW w:w="1141" w:type="dxa"/>
            <w:vAlign w:val="bottom"/>
          </w:tcPr>
          <w:p w:rsidR="00000000" w:rsidRDefault="00000000">
            <w:pPr>
              <w:widowControl w:val="0"/>
              <w:tabs>
                <w:tab w:val="decimal" w:pos="418"/>
              </w:tabs>
              <w:autoSpaceDE w:val="0"/>
              <w:autoSpaceDN w:val="0"/>
              <w:adjustRightInd w:val="0"/>
              <w:jc w:val="right"/>
              <w:rPr>
                <w:sz w:val="20"/>
                <w:szCs w:val="22"/>
              </w:rPr>
            </w:pPr>
            <w:r>
              <w:rPr>
                <w:sz w:val="20"/>
                <w:szCs w:val="22"/>
              </w:rPr>
              <w:t>0,82</w:t>
            </w:r>
          </w:p>
        </w:tc>
        <w:tc>
          <w:tcPr>
            <w:tcW w:w="1142" w:type="dxa"/>
            <w:vAlign w:val="bottom"/>
          </w:tcPr>
          <w:p w:rsidR="00000000" w:rsidRDefault="00000000">
            <w:pPr>
              <w:widowControl w:val="0"/>
              <w:tabs>
                <w:tab w:val="decimal" w:pos="419"/>
              </w:tabs>
              <w:autoSpaceDE w:val="0"/>
              <w:autoSpaceDN w:val="0"/>
              <w:adjustRightInd w:val="0"/>
              <w:jc w:val="right"/>
              <w:rPr>
                <w:sz w:val="20"/>
                <w:szCs w:val="22"/>
              </w:rPr>
            </w:pPr>
            <w:r>
              <w:rPr>
                <w:sz w:val="20"/>
                <w:szCs w:val="22"/>
              </w:rPr>
              <w:t>1,07</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pageBreakBefore/>
        <w:spacing w:after="180"/>
        <w:jc w:val="center"/>
        <w:rPr>
          <w:b/>
          <w:bCs/>
        </w:rPr>
      </w:pPr>
      <w:r>
        <w:rPr>
          <w:b/>
          <w:bCs/>
        </w:rPr>
        <w:t>Tableau 5</w:t>
      </w:r>
    </w:p>
    <w:p w:rsidR="00000000" w:rsidRDefault="00000000">
      <w:pPr>
        <w:spacing w:after="180"/>
        <w:ind w:left="567" w:hanging="567"/>
        <w:jc w:val="center"/>
      </w:pPr>
      <w:r>
        <w:rPr>
          <w:b/>
          <w:bCs/>
        </w:rPr>
        <w:t>Bolivie: Répartition annuelle de la population selon l’activité principale,</w:t>
      </w:r>
      <w:r>
        <w:rPr>
          <w:b/>
          <w:bCs/>
        </w:rPr>
        <w:br/>
        <w:t>par sexe et branche d’activité, 1999</w:t>
      </w:r>
      <w:r>
        <w:rPr>
          <w:b/>
          <w:bCs/>
        </w:rPr>
        <w:noBreakHyphen/>
        <w:t>2003</w:t>
      </w:r>
      <w:r>
        <w:rPr>
          <w:b/>
          <w:bCs/>
          <w:i/>
          <w:iCs/>
          <w:vertAlign w:val="superscript"/>
        </w:rPr>
        <w:t>p</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41"/>
        <w:gridCol w:w="1141"/>
        <w:gridCol w:w="1141"/>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rPr>
            </w:pPr>
            <w:r>
              <w:rPr>
                <w:sz w:val="20"/>
              </w:rPr>
              <w:t>Branche d’activité</w:t>
            </w:r>
          </w:p>
        </w:tc>
        <w:tc>
          <w:tcPr>
            <w:tcW w:w="1141" w:type="dxa"/>
            <w:vAlign w:val="center"/>
          </w:tcPr>
          <w:p w:rsidR="00000000" w:rsidRDefault="00000000">
            <w:pPr>
              <w:spacing w:before="60" w:after="60"/>
              <w:jc w:val="center"/>
              <w:rPr>
                <w:sz w:val="20"/>
              </w:rPr>
            </w:pPr>
            <w:r>
              <w:rPr>
                <w:sz w:val="20"/>
              </w:rPr>
              <w:t>1999</w:t>
            </w:r>
          </w:p>
        </w:tc>
        <w:tc>
          <w:tcPr>
            <w:tcW w:w="1141" w:type="dxa"/>
            <w:vAlign w:val="center"/>
          </w:tcPr>
          <w:p w:rsidR="00000000" w:rsidRDefault="00000000">
            <w:pPr>
              <w:spacing w:before="60" w:after="60"/>
              <w:jc w:val="center"/>
              <w:rPr>
                <w:sz w:val="20"/>
              </w:rPr>
            </w:pPr>
            <w:r>
              <w:rPr>
                <w:sz w:val="20"/>
              </w:rPr>
              <w:t>2000</w:t>
            </w:r>
          </w:p>
        </w:tc>
        <w:tc>
          <w:tcPr>
            <w:tcW w:w="1141" w:type="dxa"/>
            <w:vAlign w:val="center"/>
          </w:tcPr>
          <w:p w:rsidR="00000000" w:rsidRDefault="00000000">
            <w:pPr>
              <w:spacing w:before="60" w:after="60"/>
              <w:jc w:val="center"/>
              <w:rPr>
                <w:sz w:val="20"/>
              </w:rPr>
            </w:pPr>
            <w:r>
              <w:rPr>
                <w:sz w:val="20"/>
              </w:rPr>
              <w:t>2001</w:t>
            </w:r>
          </w:p>
        </w:tc>
        <w:tc>
          <w:tcPr>
            <w:tcW w:w="1141" w:type="dxa"/>
            <w:vAlign w:val="center"/>
          </w:tcPr>
          <w:p w:rsidR="00000000" w:rsidRDefault="00000000">
            <w:pPr>
              <w:spacing w:before="60" w:after="60"/>
              <w:jc w:val="center"/>
              <w:rPr>
                <w:sz w:val="20"/>
              </w:rPr>
            </w:pPr>
            <w:r>
              <w:rPr>
                <w:sz w:val="20"/>
              </w:rPr>
              <w:t>2002</w:t>
            </w:r>
          </w:p>
        </w:tc>
        <w:tc>
          <w:tcPr>
            <w:tcW w:w="1142"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TOTAL</w:t>
            </w:r>
          </w:p>
        </w:tc>
        <w:tc>
          <w:tcPr>
            <w:tcW w:w="1141" w:type="dxa"/>
            <w:vAlign w:val="bottom"/>
          </w:tcPr>
          <w:p w:rsidR="00000000" w:rsidRDefault="00000000">
            <w:pPr>
              <w:widowControl w:val="0"/>
              <w:autoSpaceDE w:val="0"/>
              <w:autoSpaceDN w:val="0"/>
              <w:adjustRightInd w:val="0"/>
              <w:spacing w:before="60" w:after="60"/>
              <w:jc w:val="right"/>
              <w:rPr>
                <w:b/>
                <w:sz w:val="20"/>
              </w:rPr>
            </w:pPr>
            <w:r>
              <w:rPr>
                <w:b/>
                <w:sz w:val="20"/>
              </w:rPr>
              <w:t>3 637 893</w:t>
            </w:r>
          </w:p>
        </w:tc>
        <w:tc>
          <w:tcPr>
            <w:tcW w:w="1141" w:type="dxa"/>
            <w:vAlign w:val="bottom"/>
          </w:tcPr>
          <w:p w:rsidR="00000000" w:rsidRDefault="00000000">
            <w:pPr>
              <w:widowControl w:val="0"/>
              <w:autoSpaceDE w:val="0"/>
              <w:autoSpaceDN w:val="0"/>
              <w:adjustRightInd w:val="0"/>
              <w:spacing w:before="60" w:after="60"/>
              <w:jc w:val="right"/>
              <w:rPr>
                <w:b/>
                <w:sz w:val="20"/>
              </w:rPr>
            </w:pPr>
            <w:r>
              <w:rPr>
                <w:b/>
                <w:sz w:val="20"/>
              </w:rPr>
              <w:t>3 637 048</w:t>
            </w:r>
          </w:p>
        </w:tc>
        <w:tc>
          <w:tcPr>
            <w:tcW w:w="1141" w:type="dxa"/>
            <w:vAlign w:val="bottom"/>
          </w:tcPr>
          <w:p w:rsidR="00000000" w:rsidRDefault="00000000">
            <w:pPr>
              <w:widowControl w:val="0"/>
              <w:autoSpaceDE w:val="0"/>
              <w:autoSpaceDN w:val="0"/>
              <w:adjustRightInd w:val="0"/>
              <w:spacing w:before="60" w:after="60"/>
              <w:jc w:val="right"/>
              <w:rPr>
                <w:b/>
                <w:sz w:val="20"/>
              </w:rPr>
            </w:pPr>
            <w:r>
              <w:rPr>
                <w:b/>
                <w:sz w:val="20"/>
              </w:rPr>
              <w:t>3 884 251</w:t>
            </w:r>
          </w:p>
        </w:tc>
        <w:tc>
          <w:tcPr>
            <w:tcW w:w="1141" w:type="dxa"/>
            <w:vAlign w:val="bottom"/>
          </w:tcPr>
          <w:p w:rsidR="00000000" w:rsidRDefault="00000000">
            <w:pPr>
              <w:widowControl w:val="0"/>
              <w:autoSpaceDE w:val="0"/>
              <w:autoSpaceDN w:val="0"/>
              <w:adjustRightInd w:val="0"/>
              <w:spacing w:before="60" w:after="60"/>
              <w:jc w:val="right"/>
              <w:rPr>
                <w:b/>
                <w:sz w:val="20"/>
              </w:rPr>
            </w:pPr>
            <w:r>
              <w:rPr>
                <w:b/>
                <w:sz w:val="20"/>
              </w:rPr>
              <w:t>3 824 938</w:t>
            </w:r>
          </w:p>
        </w:tc>
        <w:tc>
          <w:tcPr>
            <w:tcW w:w="1142" w:type="dxa"/>
            <w:vAlign w:val="bottom"/>
          </w:tcPr>
          <w:p w:rsidR="00000000" w:rsidRDefault="00000000">
            <w:pPr>
              <w:widowControl w:val="0"/>
              <w:autoSpaceDE w:val="0"/>
              <w:autoSpaceDN w:val="0"/>
              <w:adjustRightInd w:val="0"/>
              <w:spacing w:before="60" w:after="60"/>
              <w:jc w:val="right"/>
              <w:rPr>
                <w:b/>
                <w:sz w:val="20"/>
              </w:rPr>
            </w:pPr>
            <w:r>
              <w:rPr>
                <w:b/>
                <w:sz w:val="20"/>
              </w:rPr>
              <w:t>4 085 802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39,54</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38,60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44,12</w:t>
            </w:r>
          </w:p>
        </w:tc>
        <w:tc>
          <w:tcPr>
            <w:tcW w:w="1141" w:type="dxa"/>
            <w:vAlign w:val="bottom"/>
          </w:tcPr>
          <w:p w:rsidR="00000000" w:rsidRDefault="00000000">
            <w:pPr>
              <w:widowControl w:val="0"/>
              <w:tabs>
                <w:tab w:val="decimal" w:pos="388"/>
              </w:tabs>
              <w:autoSpaceDE w:val="0"/>
              <w:autoSpaceDN w:val="0"/>
              <w:adjustRightInd w:val="0"/>
              <w:spacing w:before="60" w:after="60"/>
              <w:jc w:val="right"/>
              <w:rPr>
                <w:sz w:val="20"/>
              </w:rPr>
            </w:pPr>
            <w:r>
              <w:rPr>
                <w:sz w:val="20"/>
              </w:rPr>
              <w:t>42,26</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38,33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0,41</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0,30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0,08</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0,13</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0,92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1,45</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1,40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1,27</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0,99</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0,56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11,40</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10,10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9,20</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11,17</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10,82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w:t>
            </w:r>
            <w:r>
              <w:rPr>
                <w:sz w:val="20"/>
              </w:rPr>
              <w:br/>
              <w:t>de gaz et d’eau</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0,22</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0,50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0,29</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0,21</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0,39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5,84</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6,60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4,93</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5,38</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7,26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16,22</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16,00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14,78</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14,20</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16,16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3,89</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3,90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4,00</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4,61</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5,40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Transport, stockage, communications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4,98</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4,30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4,64</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4,60</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4,55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0,48</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0,50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0,52</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0,45</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0,34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2,02</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2,70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2,72</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2,04</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2,07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2,26</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2,20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1,79</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1,97</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1,91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4,64</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4,50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4,03</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3,90</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3,38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1,84</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1,50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1,55</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1,63</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1,67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2,25</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2,90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2,60</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3,03</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3,39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2,53</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3,80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3,47</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3,33</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2,82</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0,03</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0,10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0,02</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0,09</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0,02</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HOMMES</w:t>
            </w:r>
          </w:p>
        </w:tc>
        <w:tc>
          <w:tcPr>
            <w:tcW w:w="1141" w:type="dxa"/>
            <w:vAlign w:val="bottom"/>
          </w:tcPr>
          <w:p w:rsidR="00000000" w:rsidRDefault="00000000">
            <w:pPr>
              <w:widowControl w:val="0"/>
              <w:autoSpaceDE w:val="0"/>
              <w:autoSpaceDN w:val="0"/>
              <w:adjustRightInd w:val="0"/>
              <w:spacing w:before="60" w:after="60"/>
              <w:jc w:val="right"/>
              <w:rPr>
                <w:b/>
                <w:sz w:val="20"/>
              </w:rPr>
            </w:pPr>
            <w:r>
              <w:rPr>
                <w:b/>
                <w:sz w:val="20"/>
              </w:rPr>
              <w:t>2 000 469</w:t>
            </w:r>
          </w:p>
        </w:tc>
        <w:tc>
          <w:tcPr>
            <w:tcW w:w="1141" w:type="dxa"/>
            <w:vAlign w:val="bottom"/>
          </w:tcPr>
          <w:p w:rsidR="00000000" w:rsidRDefault="00000000">
            <w:pPr>
              <w:widowControl w:val="0"/>
              <w:autoSpaceDE w:val="0"/>
              <w:autoSpaceDN w:val="0"/>
              <w:adjustRightInd w:val="0"/>
              <w:spacing w:before="60" w:after="60"/>
              <w:jc w:val="right"/>
              <w:rPr>
                <w:b/>
                <w:sz w:val="20"/>
              </w:rPr>
            </w:pPr>
            <w:r>
              <w:rPr>
                <w:b/>
                <w:sz w:val="20"/>
              </w:rPr>
              <w:t>2 032 182</w:t>
            </w:r>
          </w:p>
        </w:tc>
        <w:tc>
          <w:tcPr>
            <w:tcW w:w="1141" w:type="dxa"/>
            <w:vAlign w:val="bottom"/>
          </w:tcPr>
          <w:p w:rsidR="00000000" w:rsidRDefault="00000000">
            <w:pPr>
              <w:widowControl w:val="0"/>
              <w:autoSpaceDE w:val="0"/>
              <w:autoSpaceDN w:val="0"/>
              <w:adjustRightInd w:val="0"/>
              <w:spacing w:before="60" w:after="60"/>
              <w:jc w:val="right"/>
              <w:rPr>
                <w:b/>
                <w:sz w:val="20"/>
              </w:rPr>
            </w:pPr>
            <w:r>
              <w:rPr>
                <w:b/>
                <w:sz w:val="20"/>
              </w:rPr>
              <w:t>2 128 402</w:t>
            </w:r>
          </w:p>
        </w:tc>
        <w:tc>
          <w:tcPr>
            <w:tcW w:w="1141" w:type="dxa"/>
            <w:vAlign w:val="bottom"/>
          </w:tcPr>
          <w:p w:rsidR="00000000" w:rsidRDefault="00000000">
            <w:pPr>
              <w:widowControl w:val="0"/>
              <w:autoSpaceDE w:val="0"/>
              <w:autoSpaceDN w:val="0"/>
              <w:adjustRightInd w:val="0"/>
              <w:spacing w:before="60" w:after="60"/>
              <w:jc w:val="right"/>
              <w:rPr>
                <w:b/>
                <w:sz w:val="20"/>
              </w:rPr>
            </w:pPr>
            <w:r>
              <w:rPr>
                <w:b/>
                <w:sz w:val="20"/>
              </w:rPr>
              <w:t>2 160 158</w:t>
            </w:r>
          </w:p>
        </w:tc>
        <w:tc>
          <w:tcPr>
            <w:tcW w:w="1142" w:type="dxa"/>
            <w:vAlign w:val="bottom"/>
          </w:tcPr>
          <w:p w:rsidR="00000000" w:rsidRDefault="00000000">
            <w:pPr>
              <w:widowControl w:val="0"/>
              <w:autoSpaceDE w:val="0"/>
              <w:autoSpaceDN w:val="0"/>
              <w:adjustRightInd w:val="0"/>
              <w:spacing w:before="60" w:after="60"/>
              <w:jc w:val="right"/>
              <w:rPr>
                <w:b/>
                <w:sz w:val="20"/>
              </w:rPr>
            </w:pPr>
            <w:r>
              <w:rPr>
                <w:b/>
                <w:sz w:val="20"/>
              </w:rPr>
              <w:t>2 270 432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39,14</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39,60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45,48</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44,66</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39,04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0,64</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0,50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0,09</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0,14</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1,37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2,19</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2,30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2,14</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1,58</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0,94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12,06</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11,10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9,89</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12,19</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10,95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w:t>
            </w:r>
            <w:r>
              <w:rPr>
                <w:sz w:val="20"/>
              </w:rPr>
              <w:br/>
              <w:t>de gaz et d’eau</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0,37</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0,80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0,39</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0,31</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0,64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10,49</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11,50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8,70</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9,04</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12,23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10,93</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10,70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10,35</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9,58</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11,94</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1,83</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1,60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1,87</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1,88</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2,79</w:t>
            </w:r>
          </w:p>
        </w:tc>
      </w:tr>
      <w:tr w:rsidR="00000000">
        <w:tblPrEx>
          <w:tblCellMar>
            <w:top w:w="0" w:type="dxa"/>
            <w:bottom w:w="0" w:type="dxa"/>
          </w:tblCellMar>
        </w:tblPrEx>
        <w:tc>
          <w:tcPr>
            <w:tcW w:w="3790" w:type="dxa"/>
            <w:tcBorders>
              <w:top w:val="single" w:sz="4" w:space="0" w:color="auto"/>
              <w:bottom w:val="nil"/>
            </w:tcBorders>
            <w:vAlign w:val="bottom"/>
          </w:tcPr>
          <w:p w:rsidR="00000000" w:rsidRDefault="00000000">
            <w:pPr>
              <w:keepNext/>
              <w:spacing w:before="60" w:after="60"/>
              <w:ind w:left="284"/>
              <w:rPr>
                <w:sz w:val="20"/>
              </w:rPr>
            </w:pPr>
            <w:r>
              <w:rPr>
                <w:sz w:val="20"/>
              </w:rPr>
              <w:t>Transport, stockage, communications</w:t>
            </w:r>
          </w:p>
        </w:tc>
        <w:tc>
          <w:tcPr>
            <w:tcW w:w="1141" w:type="dxa"/>
            <w:vAlign w:val="bottom"/>
          </w:tcPr>
          <w:p w:rsidR="00000000" w:rsidRDefault="00000000">
            <w:pPr>
              <w:keepNext/>
              <w:pageBreakBefore/>
              <w:widowControl w:val="0"/>
              <w:tabs>
                <w:tab w:val="decimal" w:pos="439"/>
              </w:tabs>
              <w:autoSpaceDE w:val="0"/>
              <w:autoSpaceDN w:val="0"/>
              <w:adjustRightInd w:val="0"/>
              <w:spacing w:before="60" w:after="60"/>
              <w:jc w:val="right"/>
              <w:rPr>
                <w:sz w:val="20"/>
              </w:rPr>
            </w:pPr>
            <w:r>
              <w:rPr>
                <w:sz w:val="20"/>
              </w:rPr>
              <w:t>8,57</w:t>
            </w:r>
          </w:p>
        </w:tc>
        <w:tc>
          <w:tcPr>
            <w:tcW w:w="1141" w:type="dxa"/>
            <w:vAlign w:val="bottom"/>
          </w:tcPr>
          <w:p w:rsidR="00000000" w:rsidRDefault="00000000">
            <w:pPr>
              <w:keepNext/>
              <w:pageBreakBefore/>
              <w:widowControl w:val="0"/>
              <w:tabs>
                <w:tab w:val="decimal" w:pos="351"/>
              </w:tabs>
              <w:autoSpaceDE w:val="0"/>
              <w:autoSpaceDN w:val="0"/>
              <w:adjustRightInd w:val="0"/>
              <w:spacing w:before="60" w:after="60"/>
              <w:jc w:val="right"/>
              <w:rPr>
                <w:sz w:val="20"/>
              </w:rPr>
            </w:pPr>
            <w:r>
              <w:rPr>
                <w:sz w:val="20"/>
              </w:rPr>
              <w:t>7,00</w:t>
            </w:r>
          </w:p>
        </w:tc>
        <w:tc>
          <w:tcPr>
            <w:tcW w:w="1141" w:type="dxa"/>
            <w:vAlign w:val="bottom"/>
          </w:tcPr>
          <w:p w:rsidR="00000000" w:rsidRDefault="00000000">
            <w:pPr>
              <w:keepNext/>
              <w:pageBreakBefore/>
              <w:widowControl w:val="0"/>
              <w:tabs>
                <w:tab w:val="decimal" w:pos="353"/>
              </w:tabs>
              <w:autoSpaceDE w:val="0"/>
              <w:autoSpaceDN w:val="0"/>
              <w:adjustRightInd w:val="0"/>
              <w:spacing w:before="60" w:after="60"/>
              <w:jc w:val="right"/>
              <w:rPr>
                <w:sz w:val="20"/>
              </w:rPr>
            </w:pPr>
            <w:r>
              <w:rPr>
                <w:sz w:val="20"/>
              </w:rPr>
              <w:t>7,51</w:t>
            </w:r>
          </w:p>
        </w:tc>
        <w:tc>
          <w:tcPr>
            <w:tcW w:w="1141" w:type="dxa"/>
            <w:vAlign w:val="bottom"/>
          </w:tcPr>
          <w:p w:rsidR="00000000" w:rsidRDefault="00000000">
            <w:pPr>
              <w:keepNext/>
              <w:pageBreakBefore/>
              <w:widowControl w:val="0"/>
              <w:tabs>
                <w:tab w:val="decimal" w:pos="402"/>
              </w:tabs>
              <w:autoSpaceDE w:val="0"/>
              <w:autoSpaceDN w:val="0"/>
              <w:adjustRightInd w:val="0"/>
              <w:spacing w:before="60" w:after="60"/>
              <w:jc w:val="right"/>
              <w:rPr>
                <w:sz w:val="20"/>
              </w:rPr>
            </w:pPr>
            <w:r>
              <w:rPr>
                <w:sz w:val="20"/>
              </w:rPr>
              <w:t>7,56</w:t>
            </w:r>
          </w:p>
        </w:tc>
        <w:tc>
          <w:tcPr>
            <w:tcW w:w="1142" w:type="dxa"/>
            <w:vAlign w:val="bottom"/>
          </w:tcPr>
          <w:p w:rsidR="00000000" w:rsidRDefault="00000000">
            <w:pPr>
              <w:keepNext/>
              <w:pageBreakBefore/>
              <w:widowControl w:val="0"/>
              <w:tabs>
                <w:tab w:val="decimal" w:pos="354"/>
              </w:tabs>
              <w:autoSpaceDE w:val="0"/>
              <w:autoSpaceDN w:val="0"/>
              <w:adjustRightInd w:val="0"/>
              <w:spacing w:before="60" w:after="60"/>
              <w:jc w:val="right"/>
              <w:rPr>
                <w:sz w:val="20"/>
              </w:rPr>
            </w:pPr>
            <w:r>
              <w:rPr>
                <w:sz w:val="20"/>
              </w:rPr>
              <w:t>7,60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0,45</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0,70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0,73</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0,47</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0,43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2,26</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3,60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3,35</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2,37</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2,52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3,11</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3,00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2,59</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2,68</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2,66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4,43</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3,60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3,11</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3,22</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2,92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1,03</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1,10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1,35</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1,03</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1,35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2,25</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2,50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2,15</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2,52</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2,27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0,17</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0,40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0,27</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0,67</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0,33</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0,06</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0,03</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0,09</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0,04</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FEMMES</w:t>
            </w:r>
          </w:p>
        </w:tc>
        <w:tc>
          <w:tcPr>
            <w:tcW w:w="1141" w:type="dxa"/>
            <w:vAlign w:val="bottom"/>
          </w:tcPr>
          <w:p w:rsidR="00000000" w:rsidRDefault="00000000">
            <w:pPr>
              <w:widowControl w:val="0"/>
              <w:autoSpaceDE w:val="0"/>
              <w:autoSpaceDN w:val="0"/>
              <w:adjustRightInd w:val="0"/>
              <w:spacing w:before="60" w:after="60"/>
              <w:jc w:val="right"/>
              <w:rPr>
                <w:b/>
                <w:sz w:val="20"/>
              </w:rPr>
            </w:pPr>
            <w:r>
              <w:rPr>
                <w:b/>
                <w:sz w:val="20"/>
              </w:rPr>
              <w:t>1 637 397</w:t>
            </w:r>
          </w:p>
        </w:tc>
        <w:tc>
          <w:tcPr>
            <w:tcW w:w="1141" w:type="dxa"/>
            <w:vAlign w:val="bottom"/>
          </w:tcPr>
          <w:p w:rsidR="00000000" w:rsidRDefault="00000000">
            <w:pPr>
              <w:widowControl w:val="0"/>
              <w:autoSpaceDE w:val="0"/>
              <w:autoSpaceDN w:val="0"/>
              <w:adjustRightInd w:val="0"/>
              <w:spacing w:before="60" w:after="60"/>
              <w:jc w:val="right"/>
              <w:rPr>
                <w:b/>
                <w:sz w:val="20"/>
              </w:rPr>
            </w:pPr>
            <w:r>
              <w:rPr>
                <w:b/>
                <w:sz w:val="20"/>
              </w:rPr>
              <w:t>1 604 866</w:t>
            </w:r>
          </w:p>
        </w:tc>
        <w:tc>
          <w:tcPr>
            <w:tcW w:w="1141" w:type="dxa"/>
            <w:vAlign w:val="bottom"/>
          </w:tcPr>
          <w:p w:rsidR="00000000" w:rsidRDefault="00000000">
            <w:pPr>
              <w:widowControl w:val="0"/>
              <w:autoSpaceDE w:val="0"/>
              <w:autoSpaceDN w:val="0"/>
              <w:adjustRightInd w:val="0"/>
              <w:spacing w:before="60" w:after="60"/>
              <w:jc w:val="right"/>
              <w:rPr>
                <w:b/>
                <w:sz w:val="20"/>
              </w:rPr>
            </w:pPr>
            <w:r>
              <w:rPr>
                <w:b/>
                <w:sz w:val="20"/>
              </w:rPr>
              <w:t>1 755 849</w:t>
            </w:r>
          </w:p>
        </w:tc>
        <w:tc>
          <w:tcPr>
            <w:tcW w:w="1141" w:type="dxa"/>
            <w:vAlign w:val="bottom"/>
          </w:tcPr>
          <w:p w:rsidR="00000000" w:rsidRDefault="00000000">
            <w:pPr>
              <w:widowControl w:val="0"/>
              <w:autoSpaceDE w:val="0"/>
              <w:autoSpaceDN w:val="0"/>
              <w:adjustRightInd w:val="0"/>
              <w:spacing w:before="60" w:after="60"/>
              <w:jc w:val="right"/>
              <w:rPr>
                <w:b/>
                <w:sz w:val="20"/>
              </w:rPr>
            </w:pPr>
            <w:r>
              <w:rPr>
                <w:b/>
                <w:sz w:val="20"/>
              </w:rPr>
              <w:t>1 664 780</w:t>
            </w:r>
          </w:p>
        </w:tc>
        <w:tc>
          <w:tcPr>
            <w:tcW w:w="1142" w:type="dxa"/>
            <w:vAlign w:val="bottom"/>
          </w:tcPr>
          <w:p w:rsidR="00000000" w:rsidRDefault="00000000">
            <w:pPr>
              <w:widowControl w:val="0"/>
              <w:autoSpaceDE w:val="0"/>
              <w:autoSpaceDN w:val="0"/>
              <w:adjustRightInd w:val="0"/>
              <w:spacing w:before="60" w:after="60"/>
              <w:jc w:val="right"/>
              <w:rPr>
                <w:b/>
                <w:sz w:val="20"/>
              </w:rPr>
            </w:pPr>
            <w:r>
              <w:rPr>
                <w:b/>
                <w:sz w:val="20"/>
              </w:rPr>
              <w:t>1 815 370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40,04</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37,30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42,48</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39,14</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37,44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0,12</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0,10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0,05</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0,11</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0,36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0,54</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0,40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0,21</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0,23</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0,10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10,59</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8,80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8,36</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9,85</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10,67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w:t>
            </w:r>
            <w:r>
              <w:rPr>
                <w:sz w:val="20"/>
              </w:rPr>
              <w:br/>
              <w:t>de gaz et d’eau</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0,05</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0,10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0,17</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0,08</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0,09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0,16</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0,50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0,36</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0,63</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1,04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22,68</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22,60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20,15</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20,20</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21,44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6,42</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6,80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6,58</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8,15</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8,67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Transport, stockage, communications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0,59</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0,90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1,16</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0,75</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0,74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0,52</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0,40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0,27</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0,43</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0,21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1,73</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1,50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1,95</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1,62</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1,50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1,21</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1,20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0,82</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1,05</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0,97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4,90</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5,70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5,14</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4,78</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3,96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2,81</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1,90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1,79</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2,41</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2,07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2,24</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3,50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3,14</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3,68</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4,79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5,41</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8,10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7,35</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6,79</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5,95</w:t>
            </w:r>
          </w:p>
        </w:tc>
      </w:tr>
      <w:tr w:rsidR="00000000">
        <w:tblPrEx>
          <w:tblCellMar>
            <w:top w:w="0" w:type="dxa"/>
            <w:bottom w:w="0" w:type="dxa"/>
          </w:tblCellMar>
        </w:tblPrEx>
        <w:tc>
          <w:tcPr>
            <w:tcW w:w="3790" w:type="dxa"/>
            <w:tcBorders>
              <w:top w:val="nil"/>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439"/>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351"/>
              </w:tabs>
              <w:autoSpaceDE w:val="0"/>
              <w:autoSpaceDN w:val="0"/>
              <w:adjustRightInd w:val="0"/>
              <w:spacing w:before="60" w:after="60"/>
              <w:jc w:val="right"/>
              <w:rPr>
                <w:sz w:val="20"/>
              </w:rPr>
            </w:pPr>
            <w:r>
              <w:rPr>
                <w:sz w:val="20"/>
              </w:rPr>
              <w:t>0,10</w:t>
            </w:r>
          </w:p>
        </w:tc>
        <w:tc>
          <w:tcPr>
            <w:tcW w:w="1141" w:type="dxa"/>
            <w:vAlign w:val="bottom"/>
          </w:tcPr>
          <w:p w:rsidR="00000000" w:rsidRDefault="00000000">
            <w:pPr>
              <w:widowControl w:val="0"/>
              <w:tabs>
                <w:tab w:val="decimal" w:pos="353"/>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402"/>
              </w:tabs>
              <w:autoSpaceDE w:val="0"/>
              <w:autoSpaceDN w:val="0"/>
              <w:adjustRightInd w:val="0"/>
              <w:spacing w:before="60" w:after="60"/>
              <w:jc w:val="right"/>
              <w:rPr>
                <w:sz w:val="20"/>
              </w:rPr>
            </w:pPr>
            <w:r>
              <w:rPr>
                <w:sz w:val="20"/>
              </w:rPr>
              <w:t>0,10</w:t>
            </w:r>
          </w:p>
        </w:tc>
        <w:tc>
          <w:tcPr>
            <w:tcW w:w="1142" w:type="dxa"/>
            <w:vAlign w:val="bottom"/>
          </w:tcPr>
          <w:p w:rsidR="00000000" w:rsidRDefault="00000000">
            <w:pPr>
              <w:widowControl w:val="0"/>
              <w:tabs>
                <w:tab w:val="decimal" w:pos="354"/>
              </w:tabs>
              <w:autoSpaceDE w:val="0"/>
              <w:autoSpaceDN w:val="0"/>
              <w:adjustRightInd w:val="0"/>
              <w:spacing w:before="60" w:after="60"/>
              <w:jc w:val="right"/>
              <w:rPr>
                <w:sz w:val="20"/>
              </w:rPr>
            </w:pPr>
            <w:r>
              <w:rPr>
                <w:sz w:val="20"/>
              </w:rPr>
              <w:t>0,01</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spacing w:after="180"/>
        <w:jc w:val="center"/>
        <w:rPr>
          <w:b/>
          <w:bCs/>
        </w:rPr>
      </w:pPr>
      <w:r>
        <w:br w:type="page"/>
      </w:r>
      <w:r>
        <w:rPr>
          <w:b/>
          <w:bCs/>
        </w:rPr>
        <w:t>Tableau 5.1</w:t>
      </w:r>
    </w:p>
    <w:p w:rsidR="00000000" w:rsidRDefault="00000000">
      <w:pPr>
        <w:spacing w:after="180"/>
        <w:ind w:left="567" w:hanging="567"/>
        <w:jc w:val="center"/>
      </w:pPr>
      <w:r>
        <w:rPr>
          <w:b/>
          <w:bCs/>
        </w:rPr>
        <w:t>Bolivie − Zones urbaines: Répartition annuelle de la population selon</w:t>
      </w:r>
      <w:r>
        <w:rPr>
          <w:b/>
          <w:bCs/>
        </w:rPr>
        <w:br/>
        <w:t>l’activité principale, par sexe et branche d’activité, 1999</w:t>
      </w:r>
      <w:r>
        <w:rPr>
          <w:b/>
          <w:bCs/>
        </w:rPr>
        <w:noBreakHyphen/>
        <w:t>2003</w:t>
      </w:r>
      <w:r>
        <w:rPr>
          <w:b/>
          <w:bCs/>
          <w:i/>
          <w:iCs/>
          <w:vertAlign w:val="superscript"/>
        </w:rPr>
        <w:t>p</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41"/>
        <w:gridCol w:w="1141"/>
        <w:gridCol w:w="1141"/>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rPr>
            </w:pPr>
            <w:r>
              <w:rPr>
                <w:sz w:val="20"/>
              </w:rPr>
              <w:t>Branche d’activité</w:t>
            </w:r>
          </w:p>
        </w:tc>
        <w:tc>
          <w:tcPr>
            <w:tcW w:w="1141" w:type="dxa"/>
            <w:vAlign w:val="center"/>
          </w:tcPr>
          <w:p w:rsidR="00000000" w:rsidRDefault="00000000">
            <w:pPr>
              <w:spacing w:before="60" w:after="60"/>
              <w:jc w:val="center"/>
              <w:rPr>
                <w:sz w:val="20"/>
              </w:rPr>
            </w:pPr>
            <w:r>
              <w:rPr>
                <w:sz w:val="20"/>
              </w:rPr>
              <w:t>1999</w:t>
            </w:r>
          </w:p>
        </w:tc>
        <w:tc>
          <w:tcPr>
            <w:tcW w:w="1141" w:type="dxa"/>
            <w:vAlign w:val="center"/>
          </w:tcPr>
          <w:p w:rsidR="00000000" w:rsidRDefault="00000000">
            <w:pPr>
              <w:spacing w:before="60" w:after="60"/>
              <w:jc w:val="center"/>
              <w:rPr>
                <w:sz w:val="20"/>
              </w:rPr>
            </w:pPr>
            <w:r>
              <w:rPr>
                <w:sz w:val="20"/>
              </w:rPr>
              <w:t>2000</w:t>
            </w:r>
          </w:p>
        </w:tc>
        <w:tc>
          <w:tcPr>
            <w:tcW w:w="1141" w:type="dxa"/>
            <w:vAlign w:val="center"/>
          </w:tcPr>
          <w:p w:rsidR="00000000" w:rsidRDefault="00000000">
            <w:pPr>
              <w:spacing w:before="60" w:after="60"/>
              <w:jc w:val="center"/>
              <w:rPr>
                <w:sz w:val="20"/>
              </w:rPr>
            </w:pPr>
            <w:r>
              <w:rPr>
                <w:sz w:val="20"/>
              </w:rPr>
              <w:t>2001</w:t>
            </w:r>
          </w:p>
        </w:tc>
        <w:tc>
          <w:tcPr>
            <w:tcW w:w="1141" w:type="dxa"/>
            <w:vAlign w:val="center"/>
          </w:tcPr>
          <w:p w:rsidR="00000000" w:rsidRDefault="00000000">
            <w:pPr>
              <w:spacing w:before="60" w:after="60"/>
              <w:jc w:val="center"/>
              <w:rPr>
                <w:sz w:val="20"/>
              </w:rPr>
            </w:pPr>
            <w:r>
              <w:rPr>
                <w:sz w:val="20"/>
              </w:rPr>
              <w:t>2002</w:t>
            </w:r>
          </w:p>
        </w:tc>
        <w:tc>
          <w:tcPr>
            <w:tcW w:w="1142"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TOTAL</w:t>
            </w:r>
          </w:p>
        </w:tc>
        <w:tc>
          <w:tcPr>
            <w:tcW w:w="1141" w:type="dxa"/>
            <w:vAlign w:val="bottom"/>
          </w:tcPr>
          <w:p w:rsidR="00000000" w:rsidRDefault="00000000">
            <w:pPr>
              <w:widowControl w:val="0"/>
              <w:autoSpaceDE w:val="0"/>
              <w:autoSpaceDN w:val="0"/>
              <w:adjustRightInd w:val="0"/>
              <w:jc w:val="right"/>
              <w:rPr>
                <w:b/>
                <w:bCs/>
                <w:sz w:val="20"/>
              </w:rPr>
            </w:pPr>
            <w:r>
              <w:rPr>
                <w:b/>
                <w:bCs/>
                <w:sz w:val="20"/>
              </w:rPr>
              <w:t>2 017 044</w:t>
            </w:r>
          </w:p>
        </w:tc>
        <w:tc>
          <w:tcPr>
            <w:tcW w:w="1141" w:type="dxa"/>
            <w:vAlign w:val="bottom"/>
          </w:tcPr>
          <w:p w:rsidR="00000000" w:rsidRDefault="00000000">
            <w:pPr>
              <w:widowControl w:val="0"/>
              <w:autoSpaceDE w:val="0"/>
              <w:autoSpaceDN w:val="0"/>
              <w:adjustRightInd w:val="0"/>
              <w:jc w:val="right"/>
              <w:rPr>
                <w:b/>
                <w:bCs/>
                <w:sz w:val="20"/>
              </w:rPr>
            </w:pPr>
            <w:r>
              <w:rPr>
                <w:b/>
                <w:bCs/>
                <w:sz w:val="20"/>
              </w:rPr>
              <w:t>2 091 175</w:t>
            </w:r>
          </w:p>
        </w:tc>
        <w:tc>
          <w:tcPr>
            <w:tcW w:w="1141" w:type="dxa"/>
            <w:vAlign w:val="bottom"/>
          </w:tcPr>
          <w:p w:rsidR="00000000" w:rsidRDefault="00000000">
            <w:pPr>
              <w:widowControl w:val="0"/>
              <w:autoSpaceDE w:val="0"/>
              <w:autoSpaceDN w:val="0"/>
              <w:adjustRightInd w:val="0"/>
              <w:jc w:val="right"/>
              <w:rPr>
                <w:b/>
                <w:bCs/>
                <w:sz w:val="20"/>
              </w:rPr>
            </w:pPr>
            <w:r>
              <w:rPr>
                <w:b/>
                <w:bCs/>
                <w:sz w:val="20"/>
              </w:rPr>
              <w:t>2 156 250</w:t>
            </w:r>
          </w:p>
        </w:tc>
        <w:tc>
          <w:tcPr>
            <w:tcW w:w="1141" w:type="dxa"/>
            <w:vAlign w:val="bottom"/>
          </w:tcPr>
          <w:p w:rsidR="00000000" w:rsidRDefault="00000000">
            <w:pPr>
              <w:widowControl w:val="0"/>
              <w:autoSpaceDE w:val="0"/>
              <w:autoSpaceDN w:val="0"/>
              <w:adjustRightInd w:val="0"/>
              <w:jc w:val="right"/>
              <w:rPr>
                <w:b/>
                <w:bCs/>
                <w:sz w:val="20"/>
              </w:rPr>
            </w:pPr>
            <w:r>
              <w:rPr>
                <w:b/>
                <w:bCs/>
                <w:sz w:val="20"/>
              </w:rPr>
              <w:t>2 118 436</w:t>
            </w:r>
          </w:p>
        </w:tc>
        <w:tc>
          <w:tcPr>
            <w:tcW w:w="1142" w:type="dxa"/>
            <w:vAlign w:val="bottom"/>
          </w:tcPr>
          <w:p w:rsidR="00000000" w:rsidRDefault="00000000">
            <w:pPr>
              <w:widowControl w:val="0"/>
              <w:autoSpaceDE w:val="0"/>
              <w:autoSpaceDN w:val="0"/>
              <w:adjustRightInd w:val="0"/>
              <w:jc w:val="right"/>
              <w:rPr>
                <w:b/>
                <w:bCs/>
                <w:sz w:val="20"/>
              </w:rPr>
            </w:pPr>
            <w:r>
              <w:rPr>
                <w:b/>
                <w:bCs/>
                <w:sz w:val="20"/>
              </w:rPr>
              <w:t>2 296 737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keepNext/>
              <w:keepLines/>
              <w:tabs>
                <w:tab w:val="decimal" w:pos="379"/>
              </w:tabs>
              <w:autoSpaceDE w:val="0"/>
              <w:autoSpaceDN w:val="0"/>
              <w:adjustRightInd w:val="0"/>
              <w:jc w:val="right"/>
              <w:rPr>
                <w:sz w:val="20"/>
              </w:rPr>
            </w:pPr>
            <w:r>
              <w:rPr>
                <w:sz w:val="20"/>
              </w:rPr>
              <w:t>3,71</w:t>
            </w:r>
          </w:p>
        </w:tc>
        <w:tc>
          <w:tcPr>
            <w:tcW w:w="1141" w:type="dxa"/>
            <w:vAlign w:val="bottom"/>
          </w:tcPr>
          <w:p w:rsidR="00000000" w:rsidRDefault="00000000">
            <w:pPr>
              <w:keepNext/>
              <w:keepLines/>
              <w:tabs>
                <w:tab w:val="decimal" w:pos="372"/>
              </w:tabs>
              <w:autoSpaceDE w:val="0"/>
              <w:autoSpaceDN w:val="0"/>
              <w:adjustRightInd w:val="0"/>
              <w:jc w:val="right"/>
              <w:rPr>
                <w:sz w:val="20"/>
              </w:rPr>
            </w:pPr>
            <w:r>
              <w:rPr>
                <w:sz w:val="20"/>
              </w:rPr>
              <w:t>4,80</w:t>
            </w:r>
          </w:p>
        </w:tc>
        <w:tc>
          <w:tcPr>
            <w:tcW w:w="1141" w:type="dxa"/>
            <w:vAlign w:val="bottom"/>
          </w:tcPr>
          <w:p w:rsidR="00000000" w:rsidRDefault="00000000">
            <w:pPr>
              <w:keepNext/>
              <w:keepLines/>
              <w:tabs>
                <w:tab w:val="decimal" w:pos="366"/>
              </w:tabs>
              <w:autoSpaceDE w:val="0"/>
              <w:autoSpaceDN w:val="0"/>
              <w:adjustRightInd w:val="0"/>
              <w:jc w:val="right"/>
              <w:rPr>
                <w:sz w:val="20"/>
              </w:rPr>
            </w:pPr>
            <w:r>
              <w:rPr>
                <w:sz w:val="20"/>
              </w:rPr>
              <w:t>11,37</w:t>
            </w:r>
          </w:p>
        </w:tc>
        <w:tc>
          <w:tcPr>
            <w:tcW w:w="1141" w:type="dxa"/>
            <w:vAlign w:val="bottom"/>
          </w:tcPr>
          <w:p w:rsidR="00000000" w:rsidRDefault="00000000">
            <w:pPr>
              <w:keepNext/>
              <w:keepLines/>
              <w:tabs>
                <w:tab w:val="decimal" w:pos="388"/>
              </w:tabs>
              <w:autoSpaceDE w:val="0"/>
              <w:autoSpaceDN w:val="0"/>
              <w:adjustRightInd w:val="0"/>
              <w:jc w:val="right"/>
              <w:rPr>
                <w:sz w:val="20"/>
              </w:rPr>
            </w:pPr>
            <w:r>
              <w:rPr>
                <w:sz w:val="20"/>
              </w:rPr>
              <w:t>6,38</w:t>
            </w:r>
          </w:p>
        </w:tc>
        <w:tc>
          <w:tcPr>
            <w:tcW w:w="1142" w:type="dxa"/>
            <w:vAlign w:val="bottom"/>
          </w:tcPr>
          <w:p w:rsidR="00000000" w:rsidRDefault="00000000">
            <w:pPr>
              <w:keepNext/>
              <w:keepLines/>
              <w:tabs>
                <w:tab w:val="decimal" w:pos="438"/>
              </w:tabs>
              <w:autoSpaceDE w:val="0"/>
              <w:autoSpaceDN w:val="0"/>
              <w:adjustRightInd w:val="0"/>
              <w:jc w:val="right"/>
              <w:rPr>
                <w:sz w:val="20"/>
              </w:rPr>
            </w:pPr>
            <w:r>
              <w:rPr>
                <w:sz w:val="20"/>
              </w:rPr>
              <w:t>6,13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keepNext/>
              <w:keepLines/>
              <w:tabs>
                <w:tab w:val="decimal" w:pos="379"/>
              </w:tabs>
              <w:autoSpaceDE w:val="0"/>
              <w:autoSpaceDN w:val="0"/>
              <w:adjustRightInd w:val="0"/>
              <w:jc w:val="right"/>
              <w:rPr>
                <w:sz w:val="20"/>
              </w:rPr>
            </w:pPr>
            <w:r>
              <w:rPr>
                <w:sz w:val="20"/>
              </w:rPr>
              <w:t>0,13</w:t>
            </w:r>
          </w:p>
        </w:tc>
        <w:tc>
          <w:tcPr>
            <w:tcW w:w="1141" w:type="dxa"/>
            <w:vAlign w:val="bottom"/>
          </w:tcPr>
          <w:p w:rsidR="00000000" w:rsidRDefault="00000000">
            <w:pPr>
              <w:keepNext/>
              <w:keepLines/>
              <w:tabs>
                <w:tab w:val="decimal" w:pos="372"/>
              </w:tabs>
              <w:autoSpaceDE w:val="0"/>
              <w:autoSpaceDN w:val="0"/>
              <w:adjustRightInd w:val="0"/>
              <w:jc w:val="right"/>
              <w:rPr>
                <w:sz w:val="20"/>
              </w:rPr>
            </w:pPr>
            <w:r>
              <w:rPr>
                <w:sz w:val="20"/>
              </w:rPr>
              <w:t>0,10</w:t>
            </w:r>
          </w:p>
        </w:tc>
        <w:tc>
          <w:tcPr>
            <w:tcW w:w="1141" w:type="dxa"/>
            <w:vAlign w:val="bottom"/>
          </w:tcPr>
          <w:p w:rsidR="00000000" w:rsidRDefault="00000000">
            <w:pPr>
              <w:keepNext/>
              <w:keepLines/>
              <w:tabs>
                <w:tab w:val="decimal" w:pos="366"/>
              </w:tabs>
              <w:autoSpaceDE w:val="0"/>
              <w:autoSpaceDN w:val="0"/>
              <w:adjustRightInd w:val="0"/>
              <w:jc w:val="right"/>
              <w:rPr>
                <w:sz w:val="20"/>
              </w:rPr>
            </w:pPr>
            <w:r>
              <w:rPr>
                <w:sz w:val="20"/>
              </w:rPr>
              <w:t>0,00</w:t>
            </w:r>
          </w:p>
        </w:tc>
        <w:tc>
          <w:tcPr>
            <w:tcW w:w="1141" w:type="dxa"/>
            <w:vAlign w:val="bottom"/>
          </w:tcPr>
          <w:p w:rsidR="00000000" w:rsidRDefault="00000000">
            <w:pPr>
              <w:keepNext/>
              <w:keepLines/>
              <w:tabs>
                <w:tab w:val="decimal" w:pos="388"/>
              </w:tabs>
              <w:autoSpaceDE w:val="0"/>
              <w:autoSpaceDN w:val="0"/>
              <w:adjustRightInd w:val="0"/>
              <w:jc w:val="right"/>
              <w:rPr>
                <w:sz w:val="20"/>
              </w:rPr>
            </w:pPr>
            <w:r>
              <w:rPr>
                <w:sz w:val="20"/>
              </w:rPr>
              <w:t>0,01</w:t>
            </w:r>
          </w:p>
        </w:tc>
        <w:tc>
          <w:tcPr>
            <w:tcW w:w="1142" w:type="dxa"/>
            <w:vAlign w:val="bottom"/>
          </w:tcPr>
          <w:p w:rsidR="00000000" w:rsidRDefault="00000000">
            <w:pPr>
              <w:keepNext/>
              <w:keepLines/>
              <w:tabs>
                <w:tab w:val="decimal" w:pos="438"/>
              </w:tabs>
              <w:autoSpaceDE w:val="0"/>
              <w:autoSpaceDN w:val="0"/>
              <w:adjustRightInd w:val="0"/>
              <w:jc w:val="right"/>
              <w:rPr>
                <w:sz w:val="20"/>
              </w:rPr>
            </w:pPr>
            <w:r>
              <w:rPr>
                <w:sz w:val="20"/>
              </w:rPr>
              <w:t>0,25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0,85</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1,70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1,13</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1,16</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0,69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18,37</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15,30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14,15</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18,13</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15,75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w:t>
            </w:r>
            <w:r>
              <w:rPr>
                <w:sz w:val="20"/>
              </w:rPr>
              <w:br/>
              <w:t>de gaz et d’eau</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0,27</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0,80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0,52</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0,36</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0,47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8,75</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10,40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7,66</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8,19</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10,99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26,89</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25,40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24,31</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23,28</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25,86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6,29</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6,00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6,28</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7,55</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7,72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Transport, stockage, communications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8,58</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6,90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7,69</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7,67</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7,60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0,87</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1,00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0,93</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0,80</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0,60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3,56</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4,60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4,72</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3,62</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3,68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3,90</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3,50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3,01</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3,19</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3,20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6,72</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6,40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5,73</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6,15</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4,73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3,13</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2,30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2,54</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2,64</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2,12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3,80</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4,70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4,27</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5,06</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5,71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4,12</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6,10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5,66</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5,65</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4,48</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0,06</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0,10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0,03</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0,16</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0,04</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HOMMES</w:t>
            </w:r>
          </w:p>
        </w:tc>
        <w:tc>
          <w:tcPr>
            <w:tcW w:w="1141" w:type="dxa"/>
            <w:vAlign w:val="bottom"/>
          </w:tcPr>
          <w:p w:rsidR="00000000" w:rsidRDefault="00000000">
            <w:pPr>
              <w:widowControl w:val="0"/>
              <w:autoSpaceDE w:val="0"/>
              <w:autoSpaceDN w:val="0"/>
              <w:adjustRightInd w:val="0"/>
              <w:jc w:val="right"/>
              <w:rPr>
                <w:b/>
                <w:sz w:val="20"/>
              </w:rPr>
            </w:pPr>
            <w:r>
              <w:rPr>
                <w:b/>
                <w:sz w:val="20"/>
              </w:rPr>
              <w:t>1 130 212</w:t>
            </w:r>
          </w:p>
        </w:tc>
        <w:tc>
          <w:tcPr>
            <w:tcW w:w="1141" w:type="dxa"/>
            <w:vAlign w:val="bottom"/>
          </w:tcPr>
          <w:p w:rsidR="00000000" w:rsidRDefault="00000000">
            <w:pPr>
              <w:widowControl w:val="0"/>
              <w:autoSpaceDE w:val="0"/>
              <w:autoSpaceDN w:val="0"/>
              <w:adjustRightInd w:val="0"/>
              <w:jc w:val="right"/>
              <w:rPr>
                <w:b/>
                <w:sz w:val="20"/>
              </w:rPr>
            </w:pPr>
            <w:r>
              <w:rPr>
                <w:b/>
                <w:sz w:val="20"/>
              </w:rPr>
              <w:t>1 167 692</w:t>
            </w:r>
          </w:p>
        </w:tc>
        <w:tc>
          <w:tcPr>
            <w:tcW w:w="1141" w:type="dxa"/>
            <w:vAlign w:val="bottom"/>
          </w:tcPr>
          <w:p w:rsidR="00000000" w:rsidRDefault="00000000">
            <w:pPr>
              <w:widowControl w:val="0"/>
              <w:autoSpaceDE w:val="0"/>
              <w:autoSpaceDN w:val="0"/>
              <w:adjustRightInd w:val="0"/>
              <w:jc w:val="right"/>
              <w:rPr>
                <w:b/>
                <w:sz w:val="20"/>
              </w:rPr>
            </w:pPr>
            <w:r>
              <w:rPr>
                <w:b/>
                <w:sz w:val="20"/>
              </w:rPr>
              <w:t>1 162 875</w:t>
            </w:r>
          </w:p>
        </w:tc>
        <w:tc>
          <w:tcPr>
            <w:tcW w:w="1141" w:type="dxa"/>
            <w:vAlign w:val="bottom"/>
          </w:tcPr>
          <w:p w:rsidR="00000000" w:rsidRDefault="00000000">
            <w:pPr>
              <w:widowControl w:val="0"/>
              <w:autoSpaceDE w:val="0"/>
              <w:autoSpaceDN w:val="0"/>
              <w:adjustRightInd w:val="0"/>
              <w:jc w:val="right"/>
              <w:rPr>
                <w:b/>
                <w:sz w:val="20"/>
              </w:rPr>
            </w:pPr>
            <w:r>
              <w:rPr>
                <w:b/>
                <w:sz w:val="20"/>
              </w:rPr>
              <w:t>1 166 458</w:t>
            </w:r>
          </w:p>
        </w:tc>
        <w:tc>
          <w:tcPr>
            <w:tcW w:w="1142" w:type="dxa"/>
            <w:vAlign w:val="bottom"/>
          </w:tcPr>
          <w:p w:rsidR="00000000" w:rsidRDefault="00000000">
            <w:pPr>
              <w:widowControl w:val="0"/>
              <w:autoSpaceDE w:val="0"/>
              <w:autoSpaceDN w:val="0"/>
              <w:adjustRightInd w:val="0"/>
              <w:jc w:val="right"/>
              <w:rPr>
                <w:b/>
                <w:sz w:val="20"/>
              </w:rPr>
            </w:pPr>
            <w:r>
              <w:rPr>
                <w:b/>
                <w:sz w:val="20"/>
              </w:rPr>
              <w:t>1 270 606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4,78</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6,00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11,69</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8,77</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6,74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0,22</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0,20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0,02</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0,36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1,44</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2,60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1,98</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2,05</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1,10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19,90</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17,50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16,16</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20,49</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18,56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w:t>
            </w:r>
            <w:r>
              <w:rPr>
                <w:sz w:val="20"/>
              </w:rPr>
              <w:br/>
              <w:t>de gaz et d’eau</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0,42</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1,20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0,70</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0,60</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0,73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15,47</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17,90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13,70</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14,04</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18,68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18,23</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17,80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17,99</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16,42</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18,33</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3,06</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2,60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3,03</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3,12</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3,97</w:t>
            </w:r>
          </w:p>
        </w:tc>
      </w:tr>
      <w:tr w:rsidR="00000000">
        <w:tblPrEx>
          <w:tblCellMar>
            <w:top w:w="0" w:type="dxa"/>
            <w:bottom w:w="0" w:type="dxa"/>
          </w:tblCellMar>
        </w:tblPrEx>
        <w:tc>
          <w:tcPr>
            <w:tcW w:w="3790" w:type="dxa"/>
            <w:tcBorders>
              <w:top w:val="single" w:sz="4" w:space="0" w:color="auto"/>
              <w:bottom w:val="nil"/>
            </w:tcBorders>
            <w:vAlign w:val="bottom"/>
          </w:tcPr>
          <w:p w:rsidR="00000000" w:rsidRDefault="00000000">
            <w:pPr>
              <w:keepNext/>
              <w:spacing w:before="60" w:after="60"/>
              <w:ind w:left="284"/>
              <w:rPr>
                <w:sz w:val="20"/>
              </w:rPr>
            </w:pPr>
            <w:r>
              <w:rPr>
                <w:sz w:val="20"/>
              </w:rPr>
              <w:t>Transport, stockage, communications</w:t>
            </w:r>
          </w:p>
        </w:tc>
        <w:tc>
          <w:tcPr>
            <w:tcW w:w="1141" w:type="dxa"/>
            <w:vAlign w:val="bottom"/>
          </w:tcPr>
          <w:p w:rsidR="00000000" w:rsidRDefault="00000000">
            <w:pPr>
              <w:keepNext/>
              <w:widowControl w:val="0"/>
              <w:tabs>
                <w:tab w:val="decimal" w:pos="379"/>
              </w:tabs>
              <w:autoSpaceDE w:val="0"/>
              <w:autoSpaceDN w:val="0"/>
              <w:adjustRightInd w:val="0"/>
              <w:jc w:val="right"/>
              <w:rPr>
                <w:sz w:val="20"/>
              </w:rPr>
            </w:pPr>
            <w:r>
              <w:rPr>
                <w:sz w:val="20"/>
              </w:rPr>
              <w:t>14,51</w:t>
            </w:r>
          </w:p>
        </w:tc>
        <w:tc>
          <w:tcPr>
            <w:tcW w:w="1141" w:type="dxa"/>
            <w:vAlign w:val="bottom"/>
          </w:tcPr>
          <w:p w:rsidR="00000000" w:rsidRDefault="00000000">
            <w:pPr>
              <w:keepNext/>
              <w:widowControl w:val="0"/>
              <w:tabs>
                <w:tab w:val="decimal" w:pos="372"/>
              </w:tabs>
              <w:autoSpaceDE w:val="0"/>
              <w:autoSpaceDN w:val="0"/>
              <w:adjustRightInd w:val="0"/>
              <w:jc w:val="right"/>
              <w:rPr>
                <w:sz w:val="20"/>
              </w:rPr>
            </w:pPr>
            <w:r>
              <w:rPr>
                <w:sz w:val="20"/>
              </w:rPr>
              <w:t>11,20</w:t>
            </w:r>
          </w:p>
        </w:tc>
        <w:tc>
          <w:tcPr>
            <w:tcW w:w="1141" w:type="dxa"/>
            <w:vAlign w:val="bottom"/>
          </w:tcPr>
          <w:p w:rsidR="00000000" w:rsidRDefault="00000000">
            <w:pPr>
              <w:keepNext/>
              <w:widowControl w:val="0"/>
              <w:tabs>
                <w:tab w:val="decimal" w:pos="366"/>
              </w:tabs>
              <w:autoSpaceDE w:val="0"/>
              <w:autoSpaceDN w:val="0"/>
              <w:adjustRightInd w:val="0"/>
              <w:jc w:val="right"/>
              <w:rPr>
                <w:sz w:val="20"/>
              </w:rPr>
            </w:pPr>
            <w:r>
              <w:rPr>
                <w:sz w:val="20"/>
              </w:rPr>
              <w:t>12,54</w:t>
            </w:r>
          </w:p>
        </w:tc>
        <w:tc>
          <w:tcPr>
            <w:tcW w:w="1141" w:type="dxa"/>
            <w:vAlign w:val="bottom"/>
          </w:tcPr>
          <w:p w:rsidR="00000000" w:rsidRDefault="00000000">
            <w:pPr>
              <w:keepNext/>
              <w:widowControl w:val="0"/>
              <w:tabs>
                <w:tab w:val="decimal" w:pos="388"/>
              </w:tabs>
              <w:autoSpaceDE w:val="0"/>
              <w:autoSpaceDN w:val="0"/>
              <w:adjustRightInd w:val="0"/>
              <w:jc w:val="right"/>
              <w:rPr>
                <w:sz w:val="20"/>
              </w:rPr>
            </w:pPr>
            <w:r>
              <w:rPr>
                <w:sz w:val="20"/>
              </w:rPr>
              <w:t>12,84</w:t>
            </w:r>
          </w:p>
        </w:tc>
        <w:tc>
          <w:tcPr>
            <w:tcW w:w="1142" w:type="dxa"/>
            <w:vAlign w:val="bottom"/>
          </w:tcPr>
          <w:p w:rsidR="00000000" w:rsidRDefault="00000000">
            <w:pPr>
              <w:keepNext/>
              <w:widowControl w:val="0"/>
              <w:tabs>
                <w:tab w:val="decimal" w:pos="438"/>
              </w:tabs>
              <w:autoSpaceDE w:val="0"/>
              <w:autoSpaceDN w:val="0"/>
              <w:adjustRightInd w:val="0"/>
              <w:jc w:val="right"/>
              <w:rPr>
                <w:sz w:val="20"/>
              </w:rPr>
            </w:pPr>
            <w:r>
              <w:rPr>
                <w:sz w:val="20"/>
              </w:rPr>
              <w:t>12,69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0,80</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1,20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1,33</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0,95</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0,77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3,87</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6,10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5,91</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4,07</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4,51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5,30</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4,70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4,40</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4,20</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4,40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6,13</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4,80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4,13</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4,99</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3,52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1,78</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1,80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2,26</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1,52</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1,27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3,69</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4,00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3,66</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4,56</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4,05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0,27</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0,40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0,46</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1,18</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0,26</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0,11</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0,10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0,05</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0,17</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0,06</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FEMMES</w:t>
            </w:r>
          </w:p>
        </w:tc>
        <w:tc>
          <w:tcPr>
            <w:tcW w:w="1141" w:type="dxa"/>
            <w:vAlign w:val="bottom"/>
          </w:tcPr>
          <w:p w:rsidR="00000000" w:rsidRDefault="00000000">
            <w:pPr>
              <w:widowControl w:val="0"/>
              <w:autoSpaceDE w:val="0"/>
              <w:autoSpaceDN w:val="0"/>
              <w:adjustRightInd w:val="0"/>
              <w:jc w:val="right"/>
              <w:rPr>
                <w:b/>
                <w:sz w:val="20"/>
              </w:rPr>
            </w:pPr>
            <w:r>
              <w:rPr>
                <w:b/>
                <w:sz w:val="20"/>
              </w:rPr>
              <w:t>886 832</w:t>
            </w:r>
          </w:p>
        </w:tc>
        <w:tc>
          <w:tcPr>
            <w:tcW w:w="1141" w:type="dxa"/>
            <w:vAlign w:val="bottom"/>
          </w:tcPr>
          <w:p w:rsidR="00000000" w:rsidRDefault="00000000">
            <w:pPr>
              <w:widowControl w:val="0"/>
              <w:autoSpaceDE w:val="0"/>
              <w:autoSpaceDN w:val="0"/>
              <w:adjustRightInd w:val="0"/>
              <w:jc w:val="right"/>
              <w:rPr>
                <w:b/>
                <w:sz w:val="20"/>
              </w:rPr>
            </w:pPr>
            <w:r>
              <w:rPr>
                <w:b/>
                <w:sz w:val="20"/>
              </w:rPr>
              <w:t>923 483</w:t>
            </w:r>
          </w:p>
        </w:tc>
        <w:tc>
          <w:tcPr>
            <w:tcW w:w="1141" w:type="dxa"/>
            <w:vAlign w:val="bottom"/>
          </w:tcPr>
          <w:p w:rsidR="00000000" w:rsidRDefault="00000000">
            <w:pPr>
              <w:widowControl w:val="0"/>
              <w:autoSpaceDE w:val="0"/>
              <w:autoSpaceDN w:val="0"/>
              <w:adjustRightInd w:val="0"/>
              <w:jc w:val="right"/>
              <w:rPr>
                <w:b/>
                <w:sz w:val="20"/>
              </w:rPr>
            </w:pPr>
            <w:r>
              <w:rPr>
                <w:b/>
                <w:sz w:val="20"/>
              </w:rPr>
              <w:t>993 375</w:t>
            </w:r>
          </w:p>
        </w:tc>
        <w:tc>
          <w:tcPr>
            <w:tcW w:w="1141" w:type="dxa"/>
            <w:vAlign w:val="bottom"/>
          </w:tcPr>
          <w:p w:rsidR="00000000" w:rsidRDefault="00000000">
            <w:pPr>
              <w:widowControl w:val="0"/>
              <w:autoSpaceDE w:val="0"/>
              <w:autoSpaceDN w:val="0"/>
              <w:adjustRightInd w:val="0"/>
              <w:jc w:val="right"/>
              <w:rPr>
                <w:b/>
                <w:sz w:val="20"/>
              </w:rPr>
            </w:pPr>
            <w:r>
              <w:rPr>
                <w:b/>
                <w:sz w:val="20"/>
              </w:rPr>
              <w:t>951 978</w:t>
            </w:r>
          </w:p>
        </w:tc>
        <w:tc>
          <w:tcPr>
            <w:tcW w:w="1142" w:type="dxa"/>
            <w:vAlign w:val="bottom"/>
          </w:tcPr>
          <w:p w:rsidR="00000000" w:rsidRDefault="00000000">
            <w:pPr>
              <w:widowControl w:val="0"/>
              <w:autoSpaceDE w:val="0"/>
              <w:autoSpaceDN w:val="0"/>
              <w:adjustRightInd w:val="0"/>
              <w:jc w:val="right"/>
              <w:rPr>
                <w:b/>
                <w:sz w:val="20"/>
              </w:rPr>
            </w:pPr>
            <w:r>
              <w:rPr>
                <w:b/>
                <w:sz w:val="20"/>
              </w:rPr>
              <w:t>1 026 131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2,35</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3,20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10,99</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3,71</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5,37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0,10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0,00</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0,11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0,10</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0,60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0,14</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0,23</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0,17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16,42</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12,60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11,80</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15,42</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12,27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w:t>
            </w:r>
            <w:r>
              <w:rPr>
                <w:sz w:val="20"/>
              </w:rPr>
              <w:br/>
              <w:t>de gaz et d’eau</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0,08</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0,10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0,30</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0,12</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0,15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0,19</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0,90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0,58</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0,88</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1,45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37,94</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35,10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31,69</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31,57</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35,20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10,39</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10,30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10,09</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12,81</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12,36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Transport, stockage, communications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1,01</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1,40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2,01</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1,26</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1,31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0,96</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0,70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0,47</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0,75</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0,38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3,16</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2,70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3,34</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2,83</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2,64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2,12</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2,00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1,38</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1,62</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1,71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7,47</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8,30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7,61</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7,50</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6,22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4,86</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3,00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2,87</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3,91</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3,16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3,93</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5,60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4,98</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6,00</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7,77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9,02</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13,20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11,74</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11,19</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9,70</w:t>
            </w:r>
          </w:p>
        </w:tc>
      </w:tr>
      <w:tr w:rsidR="00000000">
        <w:tblPrEx>
          <w:tblCellMar>
            <w:top w:w="0" w:type="dxa"/>
            <w:bottom w:w="0" w:type="dxa"/>
          </w:tblCellMar>
        </w:tblPrEx>
        <w:tc>
          <w:tcPr>
            <w:tcW w:w="3790" w:type="dxa"/>
            <w:tcBorders>
              <w:top w:val="nil"/>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2"/>
              </w:tabs>
              <w:autoSpaceDE w:val="0"/>
              <w:autoSpaceDN w:val="0"/>
              <w:adjustRightInd w:val="0"/>
              <w:jc w:val="right"/>
              <w:rPr>
                <w:sz w:val="20"/>
              </w:rPr>
            </w:pPr>
            <w:r>
              <w:rPr>
                <w:sz w:val="20"/>
              </w:rPr>
              <w:t>0,20</w:t>
            </w:r>
          </w:p>
        </w:tc>
        <w:tc>
          <w:tcPr>
            <w:tcW w:w="1141" w:type="dxa"/>
            <w:vAlign w:val="bottom"/>
          </w:tcPr>
          <w:p w:rsidR="00000000" w:rsidRDefault="00000000">
            <w:pPr>
              <w:widowControl w:val="0"/>
              <w:tabs>
                <w:tab w:val="decimal" w:pos="366"/>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88"/>
              </w:tabs>
              <w:autoSpaceDE w:val="0"/>
              <w:autoSpaceDN w:val="0"/>
              <w:adjustRightInd w:val="0"/>
              <w:jc w:val="right"/>
              <w:rPr>
                <w:sz w:val="20"/>
              </w:rPr>
            </w:pPr>
            <w:r>
              <w:rPr>
                <w:sz w:val="20"/>
              </w:rPr>
              <w:t>0,18</w:t>
            </w:r>
          </w:p>
        </w:tc>
        <w:tc>
          <w:tcPr>
            <w:tcW w:w="1142" w:type="dxa"/>
            <w:vAlign w:val="bottom"/>
          </w:tcPr>
          <w:p w:rsidR="00000000" w:rsidRDefault="00000000">
            <w:pPr>
              <w:widowControl w:val="0"/>
              <w:tabs>
                <w:tab w:val="decimal" w:pos="438"/>
              </w:tabs>
              <w:autoSpaceDE w:val="0"/>
              <w:autoSpaceDN w:val="0"/>
              <w:adjustRightInd w:val="0"/>
              <w:jc w:val="right"/>
              <w:rPr>
                <w:sz w:val="20"/>
              </w:rPr>
            </w:pPr>
            <w:r>
              <w:rPr>
                <w:sz w:val="20"/>
              </w:rPr>
              <w:t>0,02</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spacing w:after="180"/>
        <w:jc w:val="center"/>
        <w:rPr>
          <w:b/>
          <w:bCs/>
        </w:rPr>
      </w:pPr>
      <w:r>
        <w:br w:type="page"/>
      </w:r>
      <w:r>
        <w:rPr>
          <w:b/>
          <w:bCs/>
        </w:rPr>
        <w:t>Tableau 5.2</w:t>
      </w:r>
    </w:p>
    <w:p w:rsidR="00000000" w:rsidRDefault="00000000">
      <w:pPr>
        <w:spacing w:after="180"/>
        <w:ind w:left="567" w:hanging="567"/>
        <w:jc w:val="center"/>
      </w:pPr>
      <w:r>
        <w:rPr>
          <w:b/>
          <w:bCs/>
        </w:rPr>
        <w:t>Bolivie − Zones rurales: Répartition annuelle de la population selon</w:t>
      </w:r>
      <w:r>
        <w:rPr>
          <w:b/>
          <w:bCs/>
        </w:rPr>
        <w:br/>
        <w:t>l’activité principale, par sexe et branche d’activité, 1999</w:t>
      </w:r>
      <w:r>
        <w:rPr>
          <w:b/>
          <w:bCs/>
        </w:rPr>
        <w:noBreakHyphen/>
        <w:t>2003</w:t>
      </w:r>
      <w:r>
        <w:rPr>
          <w:b/>
          <w:bCs/>
          <w:i/>
          <w:iCs/>
          <w:vertAlign w:val="superscript"/>
        </w:rPr>
        <w:t>p</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41"/>
        <w:gridCol w:w="1141"/>
        <w:gridCol w:w="1141"/>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rPr>
            </w:pPr>
            <w:r>
              <w:rPr>
                <w:sz w:val="20"/>
              </w:rPr>
              <w:t>Branche d’activité</w:t>
            </w:r>
          </w:p>
        </w:tc>
        <w:tc>
          <w:tcPr>
            <w:tcW w:w="1141" w:type="dxa"/>
            <w:vAlign w:val="center"/>
          </w:tcPr>
          <w:p w:rsidR="00000000" w:rsidRDefault="00000000">
            <w:pPr>
              <w:spacing w:before="60" w:after="60"/>
              <w:jc w:val="center"/>
              <w:rPr>
                <w:sz w:val="20"/>
              </w:rPr>
            </w:pPr>
            <w:r>
              <w:rPr>
                <w:sz w:val="20"/>
              </w:rPr>
              <w:t>1999</w:t>
            </w:r>
          </w:p>
        </w:tc>
        <w:tc>
          <w:tcPr>
            <w:tcW w:w="1141" w:type="dxa"/>
            <w:vAlign w:val="center"/>
          </w:tcPr>
          <w:p w:rsidR="00000000" w:rsidRDefault="00000000">
            <w:pPr>
              <w:spacing w:before="60" w:after="60"/>
              <w:jc w:val="center"/>
              <w:rPr>
                <w:sz w:val="20"/>
              </w:rPr>
            </w:pPr>
            <w:r>
              <w:rPr>
                <w:sz w:val="20"/>
              </w:rPr>
              <w:t>2000</w:t>
            </w:r>
          </w:p>
        </w:tc>
        <w:tc>
          <w:tcPr>
            <w:tcW w:w="1141" w:type="dxa"/>
            <w:vAlign w:val="center"/>
          </w:tcPr>
          <w:p w:rsidR="00000000" w:rsidRDefault="00000000">
            <w:pPr>
              <w:spacing w:before="60" w:after="60"/>
              <w:jc w:val="center"/>
              <w:rPr>
                <w:sz w:val="20"/>
              </w:rPr>
            </w:pPr>
            <w:r>
              <w:rPr>
                <w:sz w:val="20"/>
              </w:rPr>
              <w:t>2001</w:t>
            </w:r>
          </w:p>
        </w:tc>
        <w:tc>
          <w:tcPr>
            <w:tcW w:w="1141" w:type="dxa"/>
            <w:vAlign w:val="center"/>
          </w:tcPr>
          <w:p w:rsidR="00000000" w:rsidRDefault="00000000">
            <w:pPr>
              <w:spacing w:before="60" w:after="60"/>
              <w:jc w:val="center"/>
              <w:rPr>
                <w:sz w:val="20"/>
              </w:rPr>
            </w:pPr>
            <w:r>
              <w:rPr>
                <w:sz w:val="20"/>
              </w:rPr>
              <w:t>2002</w:t>
            </w:r>
          </w:p>
        </w:tc>
        <w:tc>
          <w:tcPr>
            <w:tcW w:w="1142"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TOTAL</w:t>
            </w:r>
          </w:p>
        </w:tc>
        <w:tc>
          <w:tcPr>
            <w:tcW w:w="1141" w:type="dxa"/>
            <w:vAlign w:val="bottom"/>
          </w:tcPr>
          <w:p w:rsidR="00000000" w:rsidRDefault="00000000">
            <w:pPr>
              <w:widowControl w:val="0"/>
              <w:autoSpaceDE w:val="0"/>
              <w:autoSpaceDN w:val="0"/>
              <w:adjustRightInd w:val="0"/>
              <w:jc w:val="right"/>
              <w:rPr>
                <w:b/>
                <w:sz w:val="20"/>
              </w:rPr>
            </w:pPr>
            <w:r>
              <w:rPr>
                <w:b/>
                <w:sz w:val="20"/>
              </w:rPr>
              <w:t>1 620 849</w:t>
            </w:r>
          </w:p>
        </w:tc>
        <w:tc>
          <w:tcPr>
            <w:tcW w:w="1141" w:type="dxa"/>
            <w:vAlign w:val="bottom"/>
          </w:tcPr>
          <w:p w:rsidR="00000000" w:rsidRDefault="00000000">
            <w:pPr>
              <w:widowControl w:val="0"/>
              <w:autoSpaceDE w:val="0"/>
              <w:autoSpaceDN w:val="0"/>
              <w:adjustRightInd w:val="0"/>
              <w:jc w:val="right"/>
              <w:rPr>
                <w:b/>
                <w:sz w:val="20"/>
              </w:rPr>
            </w:pPr>
            <w:r>
              <w:rPr>
                <w:b/>
                <w:sz w:val="20"/>
              </w:rPr>
              <w:t>1 545 873</w:t>
            </w:r>
          </w:p>
        </w:tc>
        <w:tc>
          <w:tcPr>
            <w:tcW w:w="1141" w:type="dxa"/>
            <w:vAlign w:val="bottom"/>
          </w:tcPr>
          <w:p w:rsidR="00000000" w:rsidRDefault="00000000">
            <w:pPr>
              <w:widowControl w:val="0"/>
              <w:autoSpaceDE w:val="0"/>
              <w:autoSpaceDN w:val="0"/>
              <w:adjustRightInd w:val="0"/>
              <w:jc w:val="right"/>
              <w:rPr>
                <w:b/>
                <w:sz w:val="20"/>
              </w:rPr>
            </w:pPr>
            <w:r>
              <w:rPr>
                <w:b/>
                <w:sz w:val="20"/>
              </w:rPr>
              <w:t>1 728 001</w:t>
            </w:r>
          </w:p>
        </w:tc>
        <w:tc>
          <w:tcPr>
            <w:tcW w:w="1141" w:type="dxa"/>
            <w:vAlign w:val="bottom"/>
          </w:tcPr>
          <w:p w:rsidR="00000000" w:rsidRDefault="00000000">
            <w:pPr>
              <w:widowControl w:val="0"/>
              <w:autoSpaceDE w:val="0"/>
              <w:autoSpaceDN w:val="0"/>
              <w:adjustRightInd w:val="0"/>
              <w:jc w:val="right"/>
              <w:rPr>
                <w:b/>
                <w:sz w:val="20"/>
              </w:rPr>
            </w:pPr>
            <w:r>
              <w:rPr>
                <w:b/>
                <w:sz w:val="20"/>
              </w:rPr>
              <w:t>1 706 502</w:t>
            </w:r>
          </w:p>
        </w:tc>
        <w:tc>
          <w:tcPr>
            <w:tcW w:w="1142" w:type="dxa"/>
            <w:vAlign w:val="bottom"/>
          </w:tcPr>
          <w:p w:rsidR="00000000" w:rsidRDefault="00000000">
            <w:pPr>
              <w:widowControl w:val="0"/>
              <w:autoSpaceDE w:val="0"/>
              <w:autoSpaceDN w:val="0"/>
              <w:adjustRightInd w:val="0"/>
              <w:jc w:val="right"/>
              <w:rPr>
                <w:b/>
                <w:sz w:val="20"/>
              </w:rPr>
            </w:pPr>
            <w:r>
              <w:rPr>
                <w:b/>
                <w:sz w:val="20"/>
              </w:rPr>
              <w:t>1 789 065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84,13</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84,40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84,99</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86,79</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79,67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0,76</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0,60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0,17</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0,27</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1,79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2,19</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1,10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1,44</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0,78</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0,41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2,72</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3,10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3,02</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2,53</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4,50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w:t>
            </w:r>
            <w:r>
              <w:rPr>
                <w:sz w:val="20"/>
              </w:rPr>
              <w:br/>
              <w:t>de gaz et d’eau</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0,16</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0,01</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0,02</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0,30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2,22</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1,60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1,52</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1,89</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2,47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2,94</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3,10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2,88</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2,93</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3,70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0,92</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1,00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1,15</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0,96</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2,43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Transport, stockage, communications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0,50</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0,90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0,84</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0,78</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0,63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0,03</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0,11</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0,20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0,22</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0,09</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0,21</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0,50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0,27</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0,46</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0,25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2,05</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2,00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1,90</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1,10</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1,66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0,22</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0,30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0,32</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0,38</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1,09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0,32</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0,50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0,51</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0,50</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0,41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0,55</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0,80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0,74</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0,46</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0,70</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0,01</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0,00</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HOMMES</w:t>
            </w:r>
          </w:p>
        </w:tc>
        <w:tc>
          <w:tcPr>
            <w:tcW w:w="1141" w:type="dxa"/>
            <w:vAlign w:val="bottom"/>
          </w:tcPr>
          <w:p w:rsidR="00000000" w:rsidRDefault="00000000">
            <w:pPr>
              <w:widowControl w:val="0"/>
              <w:autoSpaceDE w:val="0"/>
              <w:autoSpaceDN w:val="0"/>
              <w:adjustRightInd w:val="0"/>
              <w:jc w:val="right"/>
              <w:rPr>
                <w:b/>
                <w:sz w:val="20"/>
              </w:rPr>
            </w:pPr>
            <w:r>
              <w:rPr>
                <w:b/>
                <w:sz w:val="20"/>
              </w:rPr>
              <w:t>870 284</w:t>
            </w:r>
          </w:p>
        </w:tc>
        <w:tc>
          <w:tcPr>
            <w:tcW w:w="1141" w:type="dxa"/>
            <w:vAlign w:val="bottom"/>
          </w:tcPr>
          <w:p w:rsidR="00000000" w:rsidRDefault="00000000">
            <w:pPr>
              <w:widowControl w:val="0"/>
              <w:autoSpaceDE w:val="0"/>
              <w:autoSpaceDN w:val="0"/>
              <w:adjustRightInd w:val="0"/>
              <w:jc w:val="right"/>
              <w:rPr>
                <w:b/>
                <w:sz w:val="20"/>
              </w:rPr>
            </w:pPr>
            <w:r>
              <w:rPr>
                <w:b/>
                <w:sz w:val="20"/>
              </w:rPr>
              <w:t>864 490</w:t>
            </w:r>
          </w:p>
        </w:tc>
        <w:tc>
          <w:tcPr>
            <w:tcW w:w="1141" w:type="dxa"/>
            <w:vAlign w:val="bottom"/>
          </w:tcPr>
          <w:p w:rsidR="00000000" w:rsidRDefault="00000000">
            <w:pPr>
              <w:widowControl w:val="0"/>
              <w:autoSpaceDE w:val="0"/>
              <w:autoSpaceDN w:val="0"/>
              <w:adjustRightInd w:val="0"/>
              <w:jc w:val="right"/>
              <w:rPr>
                <w:b/>
                <w:sz w:val="20"/>
              </w:rPr>
            </w:pPr>
            <w:r>
              <w:rPr>
                <w:b/>
                <w:sz w:val="20"/>
              </w:rPr>
              <w:t>965 527</w:t>
            </w:r>
          </w:p>
        </w:tc>
        <w:tc>
          <w:tcPr>
            <w:tcW w:w="1141" w:type="dxa"/>
            <w:vAlign w:val="bottom"/>
          </w:tcPr>
          <w:p w:rsidR="00000000" w:rsidRDefault="00000000">
            <w:pPr>
              <w:widowControl w:val="0"/>
              <w:autoSpaceDE w:val="0"/>
              <w:autoSpaceDN w:val="0"/>
              <w:adjustRightInd w:val="0"/>
              <w:jc w:val="right"/>
              <w:rPr>
                <w:b/>
                <w:sz w:val="20"/>
              </w:rPr>
            </w:pPr>
            <w:r>
              <w:rPr>
                <w:b/>
                <w:sz w:val="20"/>
              </w:rPr>
              <w:t>993 700</w:t>
            </w:r>
          </w:p>
        </w:tc>
        <w:tc>
          <w:tcPr>
            <w:tcW w:w="1142" w:type="dxa"/>
            <w:vAlign w:val="bottom"/>
          </w:tcPr>
          <w:p w:rsidR="00000000" w:rsidRDefault="00000000">
            <w:pPr>
              <w:widowControl w:val="0"/>
              <w:autoSpaceDE w:val="0"/>
              <w:autoSpaceDN w:val="0"/>
              <w:adjustRightInd w:val="0"/>
              <w:jc w:val="right"/>
              <w:rPr>
                <w:b/>
                <w:sz w:val="20"/>
              </w:rPr>
            </w:pPr>
            <w:r>
              <w:rPr>
                <w:b/>
                <w:sz w:val="20"/>
              </w:rPr>
              <w:t>999 826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83,76</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85,10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86,17</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87,04</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80,08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1,19</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0,90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0,21</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0,28</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2,66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3,17</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1,90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2,34</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1,18</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0,73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1,87</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2,60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2,34</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2,63</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1,28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w:t>
            </w:r>
            <w:r>
              <w:rPr>
                <w:sz w:val="20"/>
              </w:rPr>
              <w:br/>
              <w:t>de gaz et d’eau</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0,30</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0,02</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0,02</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0,53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4,02</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2,80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2,67</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3,05</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4,02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1,46</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1,10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1,13</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1,43</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3,82</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0,23</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0,20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0,47</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0,26</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1,30</w:t>
            </w:r>
          </w:p>
        </w:tc>
      </w:tr>
      <w:tr w:rsidR="00000000">
        <w:tblPrEx>
          <w:tblCellMar>
            <w:top w:w="0" w:type="dxa"/>
            <w:bottom w:w="0" w:type="dxa"/>
          </w:tblCellMar>
        </w:tblPrEx>
        <w:tc>
          <w:tcPr>
            <w:tcW w:w="3790" w:type="dxa"/>
            <w:tcBorders>
              <w:top w:val="single" w:sz="4" w:space="0" w:color="auto"/>
              <w:bottom w:val="nil"/>
            </w:tcBorders>
            <w:vAlign w:val="bottom"/>
          </w:tcPr>
          <w:p w:rsidR="00000000" w:rsidRDefault="00000000">
            <w:pPr>
              <w:keepNext/>
              <w:spacing w:before="60" w:after="60"/>
              <w:ind w:left="284"/>
              <w:rPr>
                <w:sz w:val="20"/>
              </w:rPr>
            </w:pPr>
            <w:r>
              <w:rPr>
                <w:sz w:val="20"/>
              </w:rPr>
              <w:t>Transport, stockage, communications</w:t>
            </w:r>
          </w:p>
        </w:tc>
        <w:tc>
          <w:tcPr>
            <w:tcW w:w="1141" w:type="dxa"/>
            <w:vAlign w:val="bottom"/>
          </w:tcPr>
          <w:p w:rsidR="00000000" w:rsidRDefault="00000000">
            <w:pPr>
              <w:keepNext/>
              <w:widowControl w:val="0"/>
              <w:tabs>
                <w:tab w:val="decimal" w:pos="407"/>
              </w:tabs>
              <w:autoSpaceDE w:val="0"/>
              <w:autoSpaceDN w:val="0"/>
              <w:adjustRightInd w:val="0"/>
              <w:jc w:val="right"/>
              <w:rPr>
                <w:sz w:val="20"/>
              </w:rPr>
            </w:pPr>
            <w:r>
              <w:rPr>
                <w:sz w:val="20"/>
              </w:rPr>
              <w:t>0,85</w:t>
            </w:r>
          </w:p>
        </w:tc>
        <w:tc>
          <w:tcPr>
            <w:tcW w:w="1141" w:type="dxa"/>
            <w:vAlign w:val="bottom"/>
          </w:tcPr>
          <w:p w:rsidR="00000000" w:rsidRDefault="00000000">
            <w:pPr>
              <w:keepNext/>
              <w:widowControl w:val="0"/>
              <w:tabs>
                <w:tab w:val="decimal" w:pos="378"/>
              </w:tabs>
              <w:autoSpaceDE w:val="0"/>
              <w:autoSpaceDN w:val="0"/>
              <w:adjustRightInd w:val="0"/>
              <w:jc w:val="right"/>
              <w:rPr>
                <w:sz w:val="20"/>
              </w:rPr>
            </w:pPr>
            <w:r>
              <w:rPr>
                <w:sz w:val="20"/>
              </w:rPr>
              <w:t>1,40</w:t>
            </w:r>
          </w:p>
        </w:tc>
        <w:tc>
          <w:tcPr>
            <w:tcW w:w="1141" w:type="dxa"/>
            <w:vAlign w:val="bottom"/>
          </w:tcPr>
          <w:p w:rsidR="00000000" w:rsidRDefault="00000000">
            <w:pPr>
              <w:keepNext/>
              <w:widowControl w:val="0"/>
              <w:tabs>
                <w:tab w:val="decimal" w:pos="379"/>
              </w:tabs>
              <w:autoSpaceDE w:val="0"/>
              <w:autoSpaceDN w:val="0"/>
              <w:adjustRightInd w:val="0"/>
              <w:jc w:val="right"/>
              <w:rPr>
                <w:sz w:val="20"/>
              </w:rPr>
            </w:pPr>
            <w:r>
              <w:rPr>
                <w:sz w:val="20"/>
              </w:rPr>
              <w:t>1,46</w:t>
            </w:r>
          </w:p>
        </w:tc>
        <w:tc>
          <w:tcPr>
            <w:tcW w:w="1141" w:type="dxa"/>
            <w:vAlign w:val="bottom"/>
          </w:tcPr>
          <w:p w:rsidR="00000000" w:rsidRDefault="00000000">
            <w:pPr>
              <w:keepNext/>
              <w:widowControl w:val="0"/>
              <w:tabs>
                <w:tab w:val="decimal" w:pos="351"/>
              </w:tabs>
              <w:autoSpaceDE w:val="0"/>
              <w:autoSpaceDN w:val="0"/>
              <w:adjustRightInd w:val="0"/>
              <w:jc w:val="right"/>
              <w:rPr>
                <w:sz w:val="20"/>
              </w:rPr>
            </w:pPr>
            <w:r>
              <w:rPr>
                <w:sz w:val="20"/>
              </w:rPr>
              <w:t>1,30</w:t>
            </w:r>
          </w:p>
        </w:tc>
        <w:tc>
          <w:tcPr>
            <w:tcW w:w="1142" w:type="dxa"/>
            <w:vAlign w:val="bottom"/>
          </w:tcPr>
          <w:p w:rsidR="00000000" w:rsidRDefault="00000000">
            <w:pPr>
              <w:keepNext/>
              <w:widowControl w:val="0"/>
              <w:tabs>
                <w:tab w:val="decimal" w:pos="380"/>
              </w:tabs>
              <w:autoSpaceDE w:val="0"/>
              <w:autoSpaceDN w:val="0"/>
              <w:adjustRightInd w:val="0"/>
              <w:jc w:val="right"/>
              <w:rPr>
                <w:sz w:val="20"/>
              </w:rPr>
            </w:pPr>
            <w:r>
              <w:rPr>
                <w:sz w:val="20"/>
              </w:rPr>
              <w:t>1,14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0,05</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0,17</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0,30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0,27</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0,16</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0,27</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0,80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0,42</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0,59</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0,44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2,22</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2,00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1,88</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1,08</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2,16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0,07</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0,26</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0,35</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1,45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0,38</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0,40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0,33</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0,44</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0,04</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0,40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0,04</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0,13</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0,41</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0,02</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0,00</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FEMMES</w:t>
            </w:r>
          </w:p>
        </w:tc>
        <w:tc>
          <w:tcPr>
            <w:tcW w:w="1141" w:type="dxa"/>
            <w:vAlign w:val="bottom"/>
          </w:tcPr>
          <w:p w:rsidR="00000000" w:rsidRDefault="00000000">
            <w:pPr>
              <w:widowControl w:val="0"/>
              <w:autoSpaceDE w:val="0"/>
              <w:autoSpaceDN w:val="0"/>
              <w:adjustRightInd w:val="0"/>
              <w:jc w:val="right"/>
              <w:rPr>
                <w:b/>
                <w:sz w:val="20"/>
              </w:rPr>
            </w:pPr>
            <w:r>
              <w:rPr>
                <w:b/>
                <w:sz w:val="20"/>
              </w:rPr>
              <w:t>750 565</w:t>
            </w:r>
          </w:p>
        </w:tc>
        <w:tc>
          <w:tcPr>
            <w:tcW w:w="1141" w:type="dxa"/>
            <w:vAlign w:val="bottom"/>
          </w:tcPr>
          <w:p w:rsidR="00000000" w:rsidRDefault="00000000">
            <w:pPr>
              <w:widowControl w:val="0"/>
              <w:autoSpaceDE w:val="0"/>
              <w:autoSpaceDN w:val="0"/>
              <w:adjustRightInd w:val="0"/>
              <w:jc w:val="right"/>
              <w:rPr>
                <w:b/>
                <w:sz w:val="20"/>
              </w:rPr>
            </w:pPr>
            <w:r>
              <w:rPr>
                <w:b/>
                <w:sz w:val="20"/>
              </w:rPr>
              <w:t>681 383</w:t>
            </w:r>
          </w:p>
        </w:tc>
        <w:tc>
          <w:tcPr>
            <w:tcW w:w="1141" w:type="dxa"/>
            <w:vAlign w:val="bottom"/>
          </w:tcPr>
          <w:p w:rsidR="00000000" w:rsidRDefault="00000000">
            <w:pPr>
              <w:widowControl w:val="0"/>
              <w:autoSpaceDE w:val="0"/>
              <w:autoSpaceDN w:val="0"/>
              <w:adjustRightInd w:val="0"/>
              <w:jc w:val="right"/>
              <w:rPr>
                <w:b/>
                <w:sz w:val="20"/>
              </w:rPr>
            </w:pPr>
            <w:r>
              <w:rPr>
                <w:b/>
                <w:sz w:val="20"/>
              </w:rPr>
              <w:t>762 474</w:t>
            </w:r>
          </w:p>
        </w:tc>
        <w:tc>
          <w:tcPr>
            <w:tcW w:w="1141" w:type="dxa"/>
            <w:vAlign w:val="bottom"/>
          </w:tcPr>
          <w:p w:rsidR="00000000" w:rsidRDefault="00000000">
            <w:pPr>
              <w:widowControl w:val="0"/>
              <w:autoSpaceDE w:val="0"/>
              <w:autoSpaceDN w:val="0"/>
              <w:adjustRightInd w:val="0"/>
              <w:jc w:val="right"/>
              <w:rPr>
                <w:b/>
                <w:sz w:val="20"/>
              </w:rPr>
            </w:pPr>
            <w:r>
              <w:rPr>
                <w:b/>
                <w:sz w:val="20"/>
              </w:rPr>
              <w:t>712 802</w:t>
            </w:r>
          </w:p>
        </w:tc>
        <w:tc>
          <w:tcPr>
            <w:tcW w:w="1142" w:type="dxa"/>
            <w:vAlign w:val="bottom"/>
          </w:tcPr>
          <w:p w:rsidR="00000000" w:rsidRDefault="00000000">
            <w:pPr>
              <w:widowControl w:val="0"/>
              <w:autoSpaceDE w:val="0"/>
              <w:autoSpaceDN w:val="0"/>
              <w:adjustRightInd w:val="0"/>
              <w:jc w:val="right"/>
              <w:rPr>
                <w:b/>
                <w:sz w:val="20"/>
              </w:rPr>
            </w:pPr>
            <w:r>
              <w:rPr>
                <w:b/>
                <w:sz w:val="20"/>
              </w:rPr>
              <w:t>789 239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84,56</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83,60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83,51</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86,45</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79,14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0,25</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0,12</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0,25</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0,69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1,06</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0,30</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0,22</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3,71</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3,70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3,88</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2,40</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8,58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w:t>
            </w:r>
            <w:r>
              <w:rPr>
                <w:sz w:val="20"/>
              </w:rPr>
              <w:br/>
              <w:t>de gaz et d’eau</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0,01</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0,13</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0,06</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0,28</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0,50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4,64</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5,70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5,10</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5,02</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3,55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1,71</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2,10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2,00</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1,94</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3,86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Transport, stockage, communications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0,08</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0,20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0,06</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0,06</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0,00</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0,05</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0,15</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0,00</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0,14</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0,20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0,08</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0,28</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1,85</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2,10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1,93</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1,14</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1,03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0,40</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0,40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0,39</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0,42</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0,64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0,25</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0,60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0,74</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0,59</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0,92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1,14</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1,30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1,63</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0,92</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1,07</w:t>
            </w:r>
          </w:p>
        </w:tc>
      </w:tr>
      <w:tr w:rsidR="00000000">
        <w:tblPrEx>
          <w:tblCellMar>
            <w:top w:w="0" w:type="dxa"/>
            <w:bottom w:w="0" w:type="dxa"/>
          </w:tblCellMar>
        </w:tblPrEx>
        <w:tc>
          <w:tcPr>
            <w:tcW w:w="3790" w:type="dxa"/>
            <w:tcBorders>
              <w:top w:val="nil"/>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407"/>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8"/>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79"/>
              </w:tabs>
              <w:autoSpaceDE w:val="0"/>
              <w:autoSpaceDN w:val="0"/>
              <w:adjustRightInd w:val="0"/>
              <w:jc w:val="right"/>
              <w:rPr>
                <w:sz w:val="20"/>
              </w:rPr>
            </w:pPr>
            <w:r>
              <w:rPr>
                <w:sz w:val="20"/>
              </w:rPr>
              <w:t>0,00</w:t>
            </w:r>
          </w:p>
        </w:tc>
        <w:tc>
          <w:tcPr>
            <w:tcW w:w="1141" w:type="dxa"/>
            <w:vAlign w:val="bottom"/>
          </w:tcPr>
          <w:p w:rsidR="00000000" w:rsidRDefault="00000000">
            <w:pPr>
              <w:widowControl w:val="0"/>
              <w:tabs>
                <w:tab w:val="decimal" w:pos="351"/>
              </w:tabs>
              <w:autoSpaceDE w:val="0"/>
              <w:autoSpaceDN w:val="0"/>
              <w:adjustRightInd w:val="0"/>
              <w:jc w:val="right"/>
              <w:rPr>
                <w:sz w:val="20"/>
              </w:rPr>
            </w:pPr>
            <w:r>
              <w:rPr>
                <w:sz w:val="20"/>
              </w:rPr>
              <w:t>0,00</w:t>
            </w:r>
          </w:p>
        </w:tc>
        <w:tc>
          <w:tcPr>
            <w:tcW w:w="1142" w:type="dxa"/>
            <w:vAlign w:val="bottom"/>
          </w:tcPr>
          <w:p w:rsidR="00000000" w:rsidRDefault="00000000">
            <w:pPr>
              <w:widowControl w:val="0"/>
              <w:tabs>
                <w:tab w:val="decimal" w:pos="380"/>
              </w:tabs>
              <w:autoSpaceDE w:val="0"/>
              <w:autoSpaceDN w:val="0"/>
              <w:adjustRightInd w:val="0"/>
              <w:jc w:val="right"/>
              <w:rPr>
                <w:sz w:val="20"/>
              </w:rPr>
            </w:pPr>
            <w:r>
              <w:rPr>
                <w:sz w:val="20"/>
              </w:rPr>
              <w:t>0,00</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pStyle w:val="Title"/>
        <w:spacing w:before="0" w:after="180"/>
      </w:pPr>
      <w:r>
        <w:br w:type="page"/>
        <w:t>Tableau 6</w:t>
      </w:r>
    </w:p>
    <w:p w:rsidR="00000000" w:rsidRDefault="00000000">
      <w:pPr>
        <w:spacing w:after="180"/>
        <w:jc w:val="center"/>
      </w:pPr>
      <w:r>
        <w:rPr>
          <w:b/>
          <w:bCs/>
        </w:rPr>
        <w:t>Bolivie: Répartition annuelle de la population selon l’activité principale,</w:t>
      </w:r>
      <w:r>
        <w:rPr>
          <w:b/>
          <w:bCs/>
        </w:rPr>
        <w:br/>
        <w:t>par sexe et secteur du marché du travail, 1999</w:t>
      </w:r>
      <w:r>
        <w:rPr>
          <w:b/>
          <w:bCs/>
        </w:rPr>
        <w:noBreakHyphen/>
        <w:t>2003</w:t>
      </w:r>
      <w:r>
        <w:rPr>
          <w:b/>
          <w:bCs/>
          <w:i/>
          <w:iCs/>
          <w:vertAlign w:val="superscript"/>
        </w:rPr>
        <w:t>p</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261"/>
        <w:gridCol w:w="1261"/>
        <w:gridCol w:w="1261"/>
        <w:gridCol w:w="1261"/>
        <w:gridCol w:w="1262"/>
      </w:tblGrid>
      <w:tr w:rsidR="00000000">
        <w:tblPrEx>
          <w:tblCellMar>
            <w:top w:w="0" w:type="dxa"/>
            <w:bottom w:w="0" w:type="dxa"/>
          </w:tblCellMar>
        </w:tblPrEx>
        <w:trPr>
          <w:tblHeader/>
        </w:trPr>
        <w:tc>
          <w:tcPr>
            <w:tcW w:w="3190" w:type="dxa"/>
            <w:tcBorders>
              <w:bottom w:val="single" w:sz="4" w:space="0" w:color="auto"/>
            </w:tcBorders>
            <w:vAlign w:val="center"/>
          </w:tcPr>
          <w:p w:rsidR="00000000" w:rsidRDefault="00000000">
            <w:pPr>
              <w:spacing w:before="60" w:after="60"/>
              <w:jc w:val="center"/>
            </w:pPr>
            <w:r>
              <w:t>Secteur du marché du travail</w:t>
            </w:r>
          </w:p>
        </w:tc>
        <w:tc>
          <w:tcPr>
            <w:tcW w:w="1261" w:type="dxa"/>
            <w:vAlign w:val="center"/>
          </w:tcPr>
          <w:p w:rsidR="00000000" w:rsidRDefault="00000000">
            <w:pPr>
              <w:spacing w:before="60" w:after="60"/>
              <w:jc w:val="center"/>
            </w:pPr>
            <w:r>
              <w:t>1999</w:t>
            </w:r>
          </w:p>
        </w:tc>
        <w:tc>
          <w:tcPr>
            <w:tcW w:w="1261" w:type="dxa"/>
            <w:vAlign w:val="center"/>
          </w:tcPr>
          <w:p w:rsidR="00000000" w:rsidRDefault="00000000">
            <w:pPr>
              <w:spacing w:before="60" w:after="60"/>
              <w:jc w:val="center"/>
            </w:pPr>
            <w:r>
              <w:t>2000</w:t>
            </w:r>
          </w:p>
        </w:tc>
        <w:tc>
          <w:tcPr>
            <w:tcW w:w="1261" w:type="dxa"/>
            <w:vAlign w:val="center"/>
          </w:tcPr>
          <w:p w:rsidR="00000000" w:rsidRDefault="00000000">
            <w:pPr>
              <w:spacing w:before="60" w:after="60"/>
              <w:jc w:val="center"/>
            </w:pPr>
            <w:r>
              <w:t>2001</w:t>
            </w:r>
          </w:p>
        </w:tc>
        <w:tc>
          <w:tcPr>
            <w:tcW w:w="1261" w:type="dxa"/>
            <w:vAlign w:val="center"/>
          </w:tcPr>
          <w:p w:rsidR="00000000" w:rsidRDefault="00000000">
            <w:pPr>
              <w:spacing w:before="60" w:after="60"/>
              <w:jc w:val="center"/>
            </w:pPr>
            <w:r>
              <w:t>2002</w:t>
            </w:r>
          </w:p>
        </w:tc>
        <w:tc>
          <w:tcPr>
            <w:tcW w:w="1262" w:type="dxa"/>
            <w:vAlign w:val="center"/>
          </w:tcPr>
          <w:p w:rsidR="00000000" w:rsidRDefault="00000000">
            <w:pPr>
              <w:spacing w:before="60" w:after="60"/>
              <w:jc w:val="center"/>
            </w:pPr>
            <w:r>
              <w:t>2003</w:t>
            </w:r>
            <w:r>
              <w:rPr>
                <w:b/>
                <w:bCs/>
                <w:i/>
                <w:iCs/>
                <w:vertAlign w:val="superscript"/>
              </w:rPr>
              <w:t>p</w:t>
            </w:r>
          </w:p>
        </w:tc>
      </w:tr>
      <w:tr w:rsidR="00000000">
        <w:tblPrEx>
          <w:tblCellMar>
            <w:top w:w="0" w:type="dxa"/>
            <w:bottom w:w="0" w:type="dxa"/>
          </w:tblCellMar>
        </w:tblPrEx>
        <w:tc>
          <w:tcPr>
            <w:tcW w:w="3190" w:type="dxa"/>
            <w:tcBorders>
              <w:bottom w:val="nil"/>
            </w:tcBorders>
            <w:vAlign w:val="center"/>
          </w:tcPr>
          <w:p w:rsidR="00000000" w:rsidRDefault="00000000">
            <w:pPr>
              <w:spacing w:before="60" w:after="60"/>
              <w:rPr>
                <w:b/>
                <w:bCs/>
              </w:rPr>
            </w:pPr>
            <w:r>
              <w:rPr>
                <w:b/>
                <w:bCs/>
              </w:rPr>
              <w:t>TOTAL</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3 637 893</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3 637 048</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3 884 251</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3 824 938</w:t>
            </w:r>
          </w:p>
        </w:tc>
        <w:tc>
          <w:tcPr>
            <w:tcW w:w="1262" w:type="dxa"/>
            <w:vAlign w:val="center"/>
          </w:tcPr>
          <w:p w:rsidR="00000000" w:rsidRDefault="00000000">
            <w:pPr>
              <w:widowControl w:val="0"/>
              <w:autoSpaceDE w:val="0"/>
              <w:autoSpaceDN w:val="0"/>
              <w:adjustRightInd w:val="0"/>
              <w:spacing w:before="60" w:after="60"/>
              <w:jc w:val="right"/>
              <w:rPr>
                <w:b/>
                <w:szCs w:val="21"/>
              </w:rPr>
            </w:pPr>
            <w:r>
              <w:rPr>
                <w:b/>
                <w:szCs w:val="21"/>
              </w:rPr>
              <w:t>4 085 802</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Domestique</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1,89</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2,60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3,05</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2,33</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2,53</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Étatique</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6,83</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7,40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7,46</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6,99</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6,80</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Familial</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65,96</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66,10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64,88</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63,74</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63,75</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Semi-entreprise</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10,62</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8,80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10,05</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13,13</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12,53</w:t>
            </w:r>
          </w:p>
        </w:tc>
      </w:tr>
      <w:tr w:rsidR="00000000">
        <w:tblPrEx>
          <w:tblCellMar>
            <w:top w:w="0" w:type="dxa"/>
            <w:bottom w:w="0" w:type="dxa"/>
          </w:tblCellMar>
        </w:tblPrEx>
        <w:tc>
          <w:tcPr>
            <w:tcW w:w="3190" w:type="dxa"/>
            <w:tcBorders>
              <w:top w:val="nil"/>
              <w:bottom w:val="single" w:sz="4" w:space="0" w:color="auto"/>
            </w:tcBorders>
            <w:vAlign w:val="center"/>
          </w:tcPr>
          <w:p w:rsidR="00000000" w:rsidRDefault="00000000">
            <w:pPr>
              <w:spacing w:before="60" w:after="60"/>
              <w:ind w:left="284"/>
            </w:pPr>
            <w:r>
              <w:t>Entreprise</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14,71</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15,10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14,56</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13,80</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14,40</w:t>
            </w:r>
          </w:p>
        </w:tc>
      </w:tr>
      <w:tr w:rsidR="00000000">
        <w:tblPrEx>
          <w:tblCellMar>
            <w:top w:w="0" w:type="dxa"/>
            <w:bottom w:w="0" w:type="dxa"/>
          </w:tblCellMar>
        </w:tblPrEx>
        <w:tc>
          <w:tcPr>
            <w:tcW w:w="3190" w:type="dxa"/>
            <w:tcBorders>
              <w:bottom w:val="nil"/>
            </w:tcBorders>
            <w:vAlign w:val="center"/>
          </w:tcPr>
          <w:p w:rsidR="00000000" w:rsidRDefault="00000000">
            <w:pPr>
              <w:spacing w:before="60" w:after="60"/>
              <w:rPr>
                <w:b/>
                <w:bCs/>
              </w:rPr>
            </w:pPr>
            <w:r>
              <w:rPr>
                <w:b/>
                <w:bCs/>
              </w:rPr>
              <w:t>HOMMES</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2 000 496</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2 032 182</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2 128 402</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2 160 158</w:t>
            </w:r>
          </w:p>
        </w:tc>
        <w:tc>
          <w:tcPr>
            <w:tcW w:w="1262" w:type="dxa"/>
            <w:vAlign w:val="center"/>
          </w:tcPr>
          <w:p w:rsidR="00000000" w:rsidRDefault="00000000">
            <w:pPr>
              <w:widowControl w:val="0"/>
              <w:autoSpaceDE w:val="0"/>
              <w:autoSpaceDN w:val="0"/>
              <w:adjustRightInd w:val="0"/>
              <w:spacing w:before="60" w:after="60"/>
              <w:jc w:val="right"/>
              <w:rPr>
                <w:b/>
                <w:szCs w:val="21"/>
              </w:rPr>
            </w:pPr>
            <w:r>
              <w:rPr>
                <w:b/>
                <w:szCs w:val="21"/>
              </w:rPr>
              <w:t>2 270 432</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Domestique</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0,17</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0,10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0,21</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0,14</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0,18</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Étatique</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7,02</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7,80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7,81</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6,81</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6,99</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Familial</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58,07</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60,50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58,57</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56,95</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54,53</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Semi-entreprise</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14,21</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12,40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13,60</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17,18</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17,61</w:t>
            </w:r>
          </w:p>
        </w:tc>
      </w:tr>
      <w:tr w:rsidR="00000000">
        <w:tblPrEx>
          <w:tblCellMar>
            <w:top w:w="0" w:type="dxa"/>
            <w:bottom w:w="0" w:type="dxa"/>
          </w:tblCellMar>
        </w:tblPrEx>
        <w:tc>
          <w:tcPr>
            <w:tcW w:w="3190" w:type="dxa"/>
            <w:tcBorders>
              <w:top w:val="nil"/>
              <w:bottom w:val="single" w:sz="4" w:space="0" w:color="auto"/>
            </w:tcBorders>
            <w:vAlign w:val="center"/>
          </w:tcPr>
          <w:p w:rsidR="00000000" w:rsidRDefault="00000000">
            <w:pPr>
              <w:spacing w:before="60" w:after="60"/>
              <w:ind w:left="284"/>
            </w:pPr>
            <w:r>
              <w:t>Entreprise</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20,53</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19,20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19,80</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18,93</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20,70</w:t>
            </w:r>
          </w:p>
        </w:tc>
      </w:tr>
      <w:tr w:rsidR="00000000">
        <w:tblPrEx>
          <w:tblCellMar>
            <w:top w:w="0" w:type="dxa"/>
            <w:bottom w:w="0" w:type="dxa"/>
          </w:tblCellMar>
        </w:tblPrEx>
        <w:tc>
          <w:tcPr>
            <w:tcW w:w="3190" w:type="dxa"/>
            <w:tcBorders>
              <w:bottom w:val="nil"/>
            </w:tcBorders>
            <w:vAlign w:val="center"/>
          </w:tcPr>
          <w:p w:rsidR="00000000" w:rsidRDefault="00000000">
            <w:pPr>
              <w:spacing w:before="60" w:after="60"/>
              <w:rPr>
                <w:b/>
                <w:bCs/>
              </w:rPr>
            </w:pPr>
            <w:r>
              <w:rPr>
                <w:b/>
                <w:bCs/>
              </w:rPr>
              <w:t>FEMMES</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1 637 397</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1 604 866</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1 755 849</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1 664 780</w:t>
            </w:r>
          </w:p>
        </w:tc>
        <w:tc>
          <w:tcPr>
            <w:tcW w:w="1262" w:type="dxa"/>
            <w:vAlign w:val="center"/>
          </w:tcPr>
          <w:p w:rsidR="00000000" w:rsidRDefault="00000000">
            <w:pPr>
              <w:widowControl w:val="0"/>
              <w:tabs>
                <w:tab w:val="decimal" w:pos="545"/>
              </w:tabs>
              <w:autoSpaceDE w:val="0"/>
              <w:autoSpaceDN w:val="0"/>
              <w:adjustRightInd w:val="0"/>
              <w:spacing w:before="60" w:after="60"/>
              <w:jc w:val="right"/>
              <w:rPr>
                <w:b/>
                <w:szCs w:val="21"/>
              </w:rPr>
            </w:pPr>
            <w:r>
              <w:rPr>
                <w:b/>
                <w:szCs w:val="21"/>
              </w:rPr>
              <w:t>1 815 370</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Domestique</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3,98</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5,70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6,49</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5,18</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5,46</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Étatique</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6,60</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6,90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7,04</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7,22</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6,55</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Familial</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75,60</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73,20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72,52</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72,56</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75,28</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Semi-entreprise</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6,23</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4,30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5,75</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7,89</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6,17</w:t>
            </w:r>
          </w:p>
        </w:tc>
      </w:tr>
      <w:tr w:rsidR="00000000">
        <w:tblPrEx>
          <w:tblCellMar>
            <w:top w:w="0" w:type="dxa"/>
            <w:bottom w:w="0" w:type="dxa"/>
          </w:tblCellMar>
        </w:tblPrEx>
        <w:tc>
          <w:tcPr>
            <w:tcW w:w="3190" w:type="dxa"/>
            <w:tcBorders>
              <w:top w:val="nil"/>
            </w:tcBorders>
            <w:vAlign w:val="center"/>
          </w:tcPr>
          <w:p w:rsidR="00000000" w:rsidRDefault="00000000">
            <w:pPr>
              <w:spacing w:before="60" w:after="60"/>
              <w:ind w:left="284"/>
            </w:pPr>
            <w:r>
              <w:t>Entreprise</w:t>
            </w:r>
          </w:p>
        </w:tc>
        <w:tc>
          <w:tcPr>
            <w:tcW w:w="1261" w:type="dxa"/>
            <w:vAlign w:val="center"/>
          </w:tcPr>
          <w:p w:rsidR="00000000" w:rsidRDefault="00000000">
            <w:pPr>
              <w:widowControl w:val="0"/>
              <w:tabs>
                <w:tab w:val="decimal" w:pos="502"/>
              </w:tabs>
              <w:autoSpaceDE w:val="0"/>
              <w:autoSpaceDN w:val="0"/>
              <w:adjustRightInd w:val="0"/>
              <w:spacing w:before="60" w:after="60"/>
              <w:jc w:val="right"/>
              <w:rPr>
                <w:szCs w:val="21"/>
              </w:rPr>
            </w:pPr>
            <w:r>
              <w:rPr>
                <w:szCs w:val="21"/>
              </w:rPr>
              <w:t>7,59</w:t>
            </w:r>
          </w:p>
        </w:tc>
        <w:tc>
          <w:tcPr>
            <w:tcW w:w="1261" w:type="dxa"/>
            <w:vAlign w:val="center"/>
          </w:tcPr>
          <w:p w:rsidR="00000000" w:rsidRDefault="00000000">
            <w:pPr>
              <w:widowControl w:val="0"/>
              <w:tabs>
                <w:tab w:val="decimal" w:pos="485"/>
              </w:tabs>
              <w:autoSpaceDE w:val="0"/>
              <w:autoSpaceDN w:val="0"/>
              <w:adjustRightInd w:val="0"/>
              <w:spacing w:before="60" w:after="60"/>
              <w:jc w:val="right"/>
              <w:rPr>
                <w:szCs w:val="21"/>
              </w:rPr>
            </w:pPr>
            <w:r>
              <w:rPr>
                <w:szCs w:val="21"/>
              </w:rPr>
              <w:t>9,80</w:t>
            </w:r>
          </w:p>
        </w:tc>
        <w:tc>
          <w:tcPr>
            <w:tcW w:w="1261" w:type="dxa"/>
            <w:vAlign w:val="center"/>
          </w:tcPr>
          <w:p w:rsidR="00000000" w:rsidRDefault="00000000">
            <w:pPr>
              <w:widowControl w:val="0"/>
              <w:tabs>
                <w:tab w:val="decimal" w:pos="524"/>
              </w:tabs>
              <w:autoSpaceDE w:val="0"/>
              <w:autoSpaceDN w:val="0"/>
              <w:adjustRightInd w:val="0"/>
              <w:spacing w:before="60" w:after="60"/>
              <w:jc w:val="right"/>
              <w:rPr>
                <w:szCs w:val="21"/>
              </w:rPr>
            </w:pPr>
            <w:r>
              <w:rPr>
                <w:szCs w:val="21"/>
              </w:rPr>
              <w:t>8,20</w:t>
            </w:r>
          </w:p>
        </w:tc>
        <w:tc>
          <w:tcPr>
            <w:tcW w:w="1261" w:type="dxa"/>
            <w:vAlign w:val="center"/>
          </w:tcPr>
          <w:p w:rsidR="00000000" w:rsidRDefault="00000000">
            <w:pPr>
              <w:widowControl w:val="0"/>
              <w:tabs>
                <w:tab w:val="decimal" w:pos="522"/>
              </w:tabs>
              <w:autoSpaceDE w:val="0"/>
              <w:autoSpaceDN w:val="0"/>
              <w:adjustRightInd w:val="0"/>
              <w:spacing w:before="60" w:after="60"/>
              <w:jc w:val="right"/>
              <w:rPr>
                <w:szCs w:val="21"/>
              </w:rPr>
            </w:pPr>
            <w:r>
              <w:rPr>
                <w:szCs w:val="21"/>
              </w:rPr>
              <w:t>7,15</w:t>
            </w:r>
          </w:p>
        </w:tc>
        <w:tc>
          <w:tcPr>
            <w:tcW w:w="1262" w:type="dxa"/>
            <w:vAlign w:val="center"/>
          </w:tcPr>
          <w:p w:rsidR="00000000" w:rsidRDefault="00000000">
            <w:pPr>
              <w:widowControl w:val="0"/>
              <w:tabs>
                <w:tab w:val="decimal" w:pos="545"/>
              </w:tabs>
              <w:autoSpaceDE w:val="0"/>
              <w:autoSpaceDN w:val="0"/>
              <w:adjustRightInd w:val="0"/>
              <w:spacing w:before="60" w:after="60"/>
              <w:jc w:val="right"/>
              <w:rPr>
                <w:szCs w:val="21"/>
              </w:rPr>
            </w:pPr>
            <w:r>
              <w:rPr>
                <w:szCs w:val="21"/>
              </w:rPr>
              <w:t>6,54</w:t>
            </w:r>
          </w:p>
        </w:tc>
      </w:tr>
    </w:tbl>
    <w:p w:rsidR="00000000" w:rsidRDefault="00000000">
      <w:pPr>
        <w:spacing w:before="240"/>
        <w:ind w:firstLine="567"/>
      </w:pPr>
      <w:r>
        <w:rPr>
          <w:i/>
          <w:iCs/>
        </w:rPr>
        <w:t>Source</w:t>
      </w:r>
      <w:r>
        <w:t>: Institut national de statistique.</w:t>
      </w:r>
    </w:p>
    <w:p w:rsidR="00000000" w:rsidRDefault="00000000">
      <w:pPr>
        <w:spacing w:before="240"/>
      </w:pPr>
      <w:r>
        <w:rPr>
          <w:b/>
          <w:bCs/>
          <w:i/>
          <w:iCs/>
          <w:vertAlign w:val="superscript"/>
        </w:rPr>
        <w:t>p</w:t>
      </w:r>
      <w:r>
        <w:t xml:space="preserve"> Chiffres provisoires.</w:t>
      </w:r>
    </w:p>
    <w:p w:rsidR="00000000" w:rsidRDefault="00000000">
      <w:pPr>
        <w:spacing w:after="180"/>
        <w:jc w:val="center"/>
        <w:rPr>
          <w:b/>
          <w:bCs/>
        </w:rPr>
      </w:pPr>
      <w:r>
        <w:rPr>
          <w:b/>
          <w:bCs/>
        </w:rPr>
        <w:br w:type="page"/>
        <w:t>Tableau 6.1</w:t>
      </w:r>
    </w:p>
    <w:p w:rsidR="00000000" w:rsidRDefault="00000000">
      <w:pPr>
        <w:spacing w:after="180"/>
        <w:jc w:val="center"/>
      </w:pPr>
      <w:r>
        <w:rPr>
          <w:b/>
          <w:bCs/>
        </w:rPr>
        <w:t>Bolivie − Zones urbaines: Répartition annuelle de la population selon l’activité</w:t>
      </w:r>
      <w:r>
        <w:rPr>
          <w:b/>
          <w:bCs/>
        </w:rPr>
        <w:br/>
        <w:t>principale, par sexe et secteur du marché du travail, 1999</w:t>
      </w:r>
      <w:r>
        <w:rPr>
          <w:b/>
          <w:bCs/>
        </w:rPr>
        <w:noBreakHyphen/>
        <w:t>2003</w:t>
      </w:r>
      <w:r>
        <w:rPr>
          <w:b/>
          <w:bCs/>
          <w:i/>
          <w:iCs/>
          <w:vertAlign w:val="superscript"/>
        </w:rPr>
        <w:t>p</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261"/>
        <w:gridCol w:w="1261"/>
        <w:gridCol w:w="1261"/>
        <w:gridCol w:w="1261"/>
        <w:gridCol w:w="1262"/>
      </w:tblGrid>
      <w:tr w:rsidR="00000000">
        <w:tblPrEx>
          <w:tblCellMar>
            <w:top w:w="0" w:type="dxa"/>
            <w:bottom w:w="0" w:type="dxa"/>
          </w:tblCellMar>
        </w:tblPrEx>
        <w:trPr>
          <w:tblHeader/>
        </w:trPr>
        <w:tc>
          <w:tcPr>
            <w:tcW w:w="3190" w:type="dxa"/>
            <w:tcBorders>
              <w:bottom w:val="single" w:sz="4" w:space="0" w:color="auto"/>
            </w:tcBorders>
            <w:vAlign w:val="center"/>
          </w:tcPr>
          <w:p w:rsidR="00000000" w:rsidRDefault="00000000">
            <w:pPr>
              <w:spacing w:before="60" w:after="60"/>
              <w:jc w:val="center"/>
            </w:pPr>
            <w:r>
              <w:t>Secteur du marché du travail</w:t>
            </w:r>
          </w:p>
        </w:tc>
        <w:tc>
          <w:tcPr>
            <w:tcW w:w="1261" w:type="dxa"/>
            <w:vAlign w:val="center"/>
          </w:tcPr>
          <w:p w:rsidR="00000000" w:rsidRDefault="00000000">
            <w:pPr>
              <w:spacing w:before="60" w:after="60"/>
              <w:jc w:val="center"/>
            </w:pPr>
            <w:r>
              <w:t>1999</w:t>
            </w:r>
          </w:p>
        </w:tc>
        <w:tc>
          <w:tcPr>
            <w:tcW w:w="1261" w:type="dxa"/>
            <w:vAlign w:val="center"/>
          </w:tcPr>
          <w:p w:rsidR="00000000" w:rsidRDefault="00000000">
            <w:pPr>
              <w:spacing w:before="60" w:after="60"/>
              <w:jc w:val="center"/>
            </w:pPr>
            <w:r>
              <w:t>2000</w:t>
            </w:r>
          </w:p>
        </w:tc>
        <w:tc>
          <w:tcPr>
            <w:tcW w:w="1261" w:type="dxa"/>
            <w:vAlign w:val="center"/>
          </w:tcPr>
          <w:p w:rsidR="00000000" w:rsidRDefault="00000000">
            <w:pPr>
              <w:spacing w:before="60" w:after="60"/>
              <w:jc w:val="center"/>
            </w:pPr>
            <w:r>
              <w:t>2001</w:t>
            </w:r>
          </w:p>
        </w:tc>
        <w:tc>
          <w:tcPr>
            <w:tcW w:w="1261" w:type="dxa"/>
            <w:vAlign w:val="center"/>
          </w:tcPr>
          <w:p w:rsidR="00000000" w:rsidRDefault="00000000">
            <w:pPr>
              <w:spacing w:before="60" w:after="60"/>
              <w:jc w:val="center"/>
            </w:pPr>
            <w:r>
              <w:t>2002</w:t>
            </w:r>
          </w:p>
        </w:tc>
        <w:tc>
          <w:tcPr>
            <w:tcW w:w="1262" w:type="dxa"/>
            <w:vAlign w:val="center"/>
          </w:tcPr>
          <w:p w:rsidR="00000000" w:rsidRDefault="00000000">
            <w:pPr>
              <w:spacing w:before="60" w:after="60"/>
              <w:jc w:val="center"/>
            </w:pPr>
            <w:r>
              <w:t>2003</w:t>
            </w:r>
            <w:r>
              <w:rPr>
                <w:b/>
                <w:bCs/>
                <w:i/>
                <w:iCs/>
                <w:vertAlign w:val="superscript"/>
              </w:rPr>
              <w:t>p</w:t>
            </w:r>
          </w:p>
        </w:tc>
      </w:tr>
      <w:tr w:rsidR="00000000">
        <w:tblPrEx>
          <w:tblCellMar>
            <w:top w:w="0" w:type="dxa"/>
            <w:bottom w:w="0" w:type="dxa"/>
          </w:tblCellMar>
        </w:tblPrEx>
        <w:tc>
          <w:tcPr>
            <w:tcW w:w="3190" w:type="dxa"/>
            <w:tcBorders>
              <w:bottom w:val="nil"/>
            </w:tcBorders>
            <w:vAlign w:val="bottom"/>
          </w:tcPr>
          <w:p w:rsidR="00000000" w:rsidRDefault="00000000">
            <w:pPr>
              <w:spacing w:before="60" w:after="60"/>
              <w:rPr>
                <w:b/>
                <w:bCs/>
              </w:rPr>
            </w:pPr>
            <w:r>
              <w:rPr>
                <w:b/>
                <w:bCs/>
              </w:rPr>
              <w:t>TOTAL</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2 017 044</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2 091 175</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2 156 250</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2 118 436</w:t>
            </w:r>
          </w:p>
        </w:tc>
        <w:tc>
          <w:tcPr>
            <w:tcW w:w="1262" w:type="dxa"/>
            <w:vAlign w:val="center"/>
          </w:tcPr>
          <w:p w:rsidR="00000000" w:rsidRDefault="00000000">
            <w:pPr>
              <w:widowControl w:val="0"/>
              <w:autoSpaceDE w:val="0"/>
              <w:autoSpaceDN w:val="0"/>
              <w:adjustRightInd w:val="0"/>
              <w:spacing w:before="60" w:after="60"/>
              <w:jc w:val="right"/>
              <w:rPr>
                <w:b/>
                <w:szCs w:val="21"/>
              </w:rPr>
            </w:pPr>
            <w:r>
              <w:rPr>
                <w:b/>
                <w:szCs w:val="21"/>
              </w:rPr>
              <w:t>2 296 737</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Domestique</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3,01</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4,20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5,07</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3,92</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4,07</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Étatique</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10,34</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10,70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11,41</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10,65</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9,65</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Familial</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47,89</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48,30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47,18</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46,51</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48,93</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Semi-entreprise</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15,40</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12,60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14,14</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17,59</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16,49</w:t>
            </w:r>
          </w:p>
        </w:tc>
      </w:tr>
      <w:tr w:rsidR="00000000">
        <w:tblPrEx>
          <w:tblCellMar>
            <w:top w:w="0" w:type="dxa"/>
            <w:bottom w:w="0" w:type="dxa"/>
          </w:tblCellMar>
        </w:tblPrEx>
        <w:tc>
          <w:tcPr>
            <w:tcW w:w="3190" w:type="dxa"/>
            <w:tcBorders>
              <w:top w:val="nil"/>
              <w:bottom w:val="single" w:sz="4" w:space="0" w:color="auto"/>
            </w:tcBorders>
            <w:vAlign w:val="bottom"/>
          </w:tcPr>
          <w:p w:rsidR="00000000" w:rsidRDefault="00000000">
            <w:pPr>
              <w:spacing w:before="60" w:after="60"/>
              <w:ind w:left="284"/>
            </w:pPr>
            <w:r>
              <w:t>Entreprise</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23,37</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24,20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22,20</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21,32</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20,86</w:t>
            </w:r>
          </w:p>
        </w:tc>
      </w:tr>
      <w:tr w:rsidR="00000000">
        <w:tblPrEx>
          <w:tblCellMar>
            <w:top w:w="0" w:type="dxa"/>
            <w:bottom w:w="0" w:type="dxa"/>
          </w:tblCellMar>
        </w:tblPrEx>
        <w:tc>
          <w:tcPr>
            <w:tcW w:w="3190" w:type="dxa"/>
            <w:tcBorders>
              <w:bottom w:val="nil"/>
            </w:tcBorders>
            <w:vAlign w:val="bottom"/>
          </w:tcPr>
          <w:p w:rsidR="00000000" w:rsidRDefault="00000000">
            <w:pPr>
              <w:spacing w:before="60" w:after="60"/>
              <w:rPr>
                <w:b/>
                <w:bCs/>
              </w:rPr>
            </w:pPr>
            <w:r>
              <w:rPr>
                <w:b/>
                <w:bCs/>
              </w:rPr>
              <w:t>HOMMES</w:t>
            </w:r>
          </w:p>
        </w:tc>
        <w:tc>
          <w:tcPr>
            <w:tcW w:w="1261" w:type="dxa"/>
            <w:vAlign w:val="center"/>
          </w:tcPr>
          <w:p w:rsidR="00000000" w:rsidRDefault="00000000">
            <w:pPr>
              <w:widowControl w:val="0"/>
              <w:autoSpaceDE w:val="0"/>
              <w:autoSpaceDN w:val="0"/>
              <w:adjustRightInd w:val="0"/>
              <w:spacing w:before="60" w:after="60"/>
              <w:jc w:val="right"/>
              <w:rPr>
                <w:b/>
                <w:bCs/>
                <w:szCs w:val="21"/>
              </w:rPr>
            </w:pPr>
            <w:r>
              <w:rPr>
                <w:b/>
                <w:bCs/>
                <w:szCs w:val="21"/>
              </w:rPr>
              <w:t>1 130 212</w:t>
            </w:r>
          </w:p>
        </w:tc>
        <w:tc>
          <w:tcPr>
            <w:tcW w:w="1261" w:type="dxa"/>
            <w:vAlign w:val="center"/>
          </w:tcPr>
          <w:p w:rsidR="00000000" w:rsidRDefault="00000000">
            <w:pPr>
              <w:widowControl w:val="0"/>
              <w:autoSpaceDE w:val="0"/>
              <w:autoSpaceDN w:val="0"/>
              <w:adjustRightInd w:val="0"/>
              <w:spacing w:before="60" w:after="60"/>
              <w:jc w:val="right"/>
              <w:rPr>
                <w:b/>
                <w:bCs/>
                <w:szCs w:val="21"/>
              </w:rPr>
            </w:pPr>
            <w:r>
              <w:rPr>
                <w:b/>
                <w:bCs/>
                <w:szCs w:val="21"/>
              </w:rPr>
              <w:t>1 167 692</w:t>
            </w:r>
          </w:p>
        </w:tc>
        <w:tc>
          <w:tcPr>
            <w:tcW w:w="1261" w:type="dxa"/>
            <w:vAlign w:val="center"/>
          </w:tcPr>
          <w:p w:rsidR="00000000" w:rsidRDefault="00000000">
            <w:pPr>
              <w:widowControl w:val="0"/>
              <w:autoSpaceDE w:val="0"/>
              <w:autoSpaceDN w:val="0"/>
              <w:adjustRightInd w:val="0"/>
              <w:spacing w:before="60" w:after="60"/>
              <w:jc w:val="right"/>
              <w:rPr>
                <w:b/>
                <w:bCs/>
                <w:szCs w:val="21"/>
              </w:rPr>
            </w:pPr>
            <w:r>
              <w:rPr>
                <w:b/>
                <w:bCs/>
                <w:szCs w:val="21"/>
              </w:rPr>
              <w:t>1 162 875</w:t>
            </w:r>
          </w:p>
        </w:tc>
        <w:tc>
          <w:tcPr>
            <w:tcW w:w="1261" w:type="dxa"/>
            <w:vAlign w:val="center"/>
          </w:tcPr>
          <w:p w:rsidR="00000000" w:rsidRDefault="00000000">
            <w:pPr>
              <w:widowControl w:val="0"/>
              <w:autoSpaceDE w:val="0"/>
              <w:autoSpaceDN w:val="0"/>
              <w:adjustRightInd w:val="0"/>
              <w:spacing w:before="60" w:after="60"/>
              <w:jc w:val="right"/>
              <w:rPr>
                <w:b/>
                <w:bCs/>
                <w:szCs w:val="21"/>
              </w:rPr>
            </w:pPr>
            <w:r>
              <w:rPr>
                <w:b/>
                <w:bCs/>
                <w:szCs w:val="21"/>
              </w:rPr>
              <w:t>1 166 458</w:t>
            </w:r>
          </w:p>
        </w:tc>
        <w:tc>
          <w:tcPr>
            <w:tcW w:w="1262" w:type="dxa"/>
            <w:vAlign w:val="center"/>
          </w:tcPr>
          <w:p w:rsidR="00000000" w:rsidRDefault="00000000">
            <w:pPr>
              <w:widowControl w:val="0"/>
              <w:autoSpaceDE w:val="0"/>
              <w:autoSpaceDN w:val="0"/>
              <w:adjustRightInd w:val="0"/>
              <w:spacing w:before="60" w:after="60"/>
              <w:jc w:val="right"/>
              <w:rPr>
                <w:b/>
                <w:bCs/>
                <w:szCs w:val="21"/>
              </w:rPr>
            </w:pPr>
            <w:r>
              <w:rPr>
                <w:b/>
                <w:bCs/>
                <w:szCs w:val="21"/>
              </w:rPr>
              <w:t>1 270 606</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Domestique</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0,27</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0,20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0,38</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0,22</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0,22</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Étatique</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10,41</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11,20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12,01</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10,35</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9,47</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Familial</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37,99</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40,80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38,66</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37,52</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38,41</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Semi-entreprise</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20,07</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17,50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18,80</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22,40</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22,56</w:t>
            </w:r>
          </w:p>
        </w:tc>
      </w:tr>
      <w:tr w:rsidR="00000000">
        <w:tblPrEx>
          <w:tblCellMar>
            <w:top w:w="0" w:type="dxa"/>
            <w:bottom w:w="0" w:type="dxa"/>
          </w:tblCellMar>
        </w:tblPrEx>
        <w:tc>
          <w:tcPr>
            <w:tcW w:w="3190" w:type="dxa"/>
            <w:tcBorders>
              <w:top w:val="nil"/>
              <w:bottom w:val="single" w:sz="4" w:space="0" w:color="auto"/>
            </w:tcBorders>
            <w:vAlign w:val="bottom"/>
          </w:tcPr>
          <w:p w:rsidR="00000000" w:rsidRDefault="00000000">
            <w:pPr>
              <w:spacing w:before="60" w:after="60"/>
              <w:ind w:left="284"/>
            </w:pPr>
            <w:r>
              <w:t>Entreprise</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31,25</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30,30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30,15</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29,51</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29,34</w:t>
            </w:r>
          </w:p>
        </w:tc>
      </w:tr>
      <w:tr w:rsidR="00000000">
        <w:tblPrEx>
          <w:tblCellMar>
            <w:top w:w="0" w:type="dxa"/>
            <w:bottom w:w="0" w:type="dxa"/>
          </w:tblCellMar>
        </w:tblPrEx>
        <w:tc>
          <w:tcPr>
            <w:tcW w:w="3190" w:type="dxa"/>
            <w:tcBorders>
              <w:bottom w:val="nil"/>
            </w:tcBorders>
            <w:vAlign w:val="bottom"/>
          </w:tcPr>
          <w:p w:rsidR="00000000" w:rsidRDefault="00000000">
            <w:pPr>
              <w:spacing w:before="60" w:after="60"/>
              <w:rPr>
                <w:b/>
                <w:bCs/>
              </w:rPr>
            </w:pPr>
            <w:r>
              <w:rPr>
                <w:b/>
                <w:bCs/>
              </w:rPr>
              <w:t>FEMMES</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886 832</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923 483</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993 375</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951 978</w:t>
            </w:r>
          </w:p>
        </w:tc>
        <w:tc>
          <w:tcPr>
            <w:tcW w:w="1262" w:type="dxa"/>
            <w:vAlign w:val="center"/>
          </w:tcPr>
          <w:p w:rsidR="00000000" w:rsidRDefault="00000000">
            <w:pPr>
              <w:widowControl w:val="0"/>
              <w:autoSpaceDE w:val="0"/>
              <w:autoSpaceDN w:val="0"/>
              <w:adjustRightInd w:val="0"/>
              <w:spacing w:before="60" w:after="60"/>
              <w:jc w:val="right"/>
              <w:rPr>
                <w:b/>
                <w:szCs w:val="21"/>
              </w:rPr>
            </w:pPr>
            <w:r>
              <w:rPr>
                <w:b/>
                <w:szCs w:val="21"/>
              </w:rPr>
              <w:t>1 026 131</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Domestique</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6,49</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9,40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10,57</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8,44</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8,85</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Étatique</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10,23</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10,00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10,70</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11,02</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9,87</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Familial</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60,51</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57,70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57,14</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57,54</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61,95</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Semi-entreprise</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9,43</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6,30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8,69</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11,71</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8,98</w:t>
            </w:r>
          </w:p>
        </w:tc>
      </w:tr>
      <w:tr w:rsidR="00000000">
        <w:tblPrEx>
          <w:tblCellMar>
            <w:top w:w="0" w:type="dxa"/>
            <w:bottom w:w="0" w:type="dxa"/>
          </w:tblCellMar>
        </w:tblPrEx>
        <w:tc>
          <w:tcPr>
            <w:tcW w:w="3190" w:type="dxa"/>
            <w:tcBorders>
              <w:top w:val="nil"/>
            </w:tcBorders>
            <w:vAlign w:val="bottom"/>
          </w:tcPr>
          <w:p w:rsidR="00000000" w:rsidRDefault="00000000">
            <w:pPr>
              <w:spacing w:before="60" w:after="60"/>
              <w:ind w:left="284"/>
            </w:pPr>
            <w:r>
              <w:t>Entreprise</w:t>
            </w:r>
          </w:p>
        </w:tc>
        <w:tc>
          <w:tcPr>
            <w:tcW w:w="1261" w:type="dxa"/>
            <w:vAlign w:val="center"/>
          </w:tcPr>
          <w:p w:rsidR="00000000" w:rsidRDefault="00000000">
            <w:pPr>
              <w:widowControl w:val="0"/>
              <w:tabs>
                <w:tab w:val="decimal" w:pos="542"/>
              </w:tabs>
              <w:autoSpaceDE w:val="0"/>
              <w:autoSpaceDN w:val="0"/>
              <w:adjustRightInd w:val="0"/>
              <w:spacing w:before="60" w:after="60"/>
              <w:jc w:val="right"/>
              <w:rPr>
                <w:szCs w:val="21"/>
              </w:rPr>
            </w:pPr>
            <w:r>
              <w:rPr>
                <w:szCs w:val="21"/>
              </w:rPr>
              <w:t>13,33</w:t>
            </w:r>
          </w:p>
        </w:tc>
        <w:tc>
          <w:tcPr>
            <w:tcW w:w="1261" w:type="dxa"/>
            <w:vAlign w:val="center"/>
          </w:tcPr>
          <w:p w:rsidR="00000000" w:rsidRDefault="00000000">
            <w:pPr>
              <w:widowControl w:val="0"/>
              <w:tabs>
                <w:tab w:val="decimal" w:pos="482"/>
              </w:tabs>
              <w:autoSpaceDE w:val="0"/>
              <w:autoSpaceDN w:val="0"/>
              <w:adjustRightInd w:val="0"/>
              <w:spacing w:before="60" w:after="60"/>
              <w:jc w:val="right"/>
              <w:rPr>
                <w:szCs w:val="21"/>
              </w:rPr>
            </w:pPr>
            <w:r>
              <w:rPr>
                <w:szCs w:val="21"/>
              </w:rPr>
              <w:t>16,60</w:t>
            </w:r>
          </w:p>
        </w:tc>
        <w:tc>
          <w:tcPr>
            <w:tcW w:w="1261" w:type="dxa"/>
            <w:vAlign w:val="center"/>
          </w:tcPr>
          <w:p w:rsidR="00000000" w:rsidRDefault="00000000">
            <w:pPr>
              <w:widowControl w:val="0"/>
              <w:tabs>
                <w:tab w:val="decimal" w:pos="534"/>
              </w:tabs>
              <w:autoSpaceDE w:val="0"/>
              <w:autoSpaceDN w:val="0"/>
              <w:adjustRightInd w:val="0"/>
              <w:spacing w:before="60" w:after="60"/>
              <w:jc w:val="right"/>
              <w:rPr>
                <w:szCs w:val="21"/>
              </w:rPr>
            </w:pPr>
            <w:r>
              <w:rPr>
                <w:szCs w:val="21"/>
              </w:rPr>
              <w:t>12,89</w:t>
            </w:r>
          </w:p>
        </w:tc>
        <w:tc>
          <w:tcPr>
            <w:tcW w:w="1261" w:type="dxa"/>
            <w:vAlign w:val="center"/>
          </w:tcPr>
          <w:p w:rsidR="00000000" w:rsidRDefault="00000000">
            <w:pPr>
              <w:widowControl w:val="0"/>
              <w:tabs>
                <w:tab w:val="decimal" w:pos="556"/>
              </w:tabs>
              <w:autoSpaceDE w:val="0"/>
              <w:autoSpaceDN w:val="0"/>
              <w:adjustRightInd w:val="0"/>
              <w:spacing w:before="60" w:after="60"/>
              <w:jc w:val="right"/>
              <w:rPr>
                <w:szCs w:val="21"/>
              </w:rPr>
            </w:pPr>
            <w:r>
              <w:rPr>
                <w:szCs w:val="21"/>
              </w:rPr>
              <w:t>11,28</w:t>
            </w:r>
          </w:p>
        </w:tc>
        <w:tc>
          <w:tcPr>
            <w:tcW w:w="1262" w:type="dxa"/>
            <w:vAlign w:val="center"/>
          </w:tcPr>
          <w:p w:rsidR="00000000" w:rsidRDefault="00000000">
            <w:pPr>
              <w:widowControl w:val="0"/>
              <w:tabs>
                <w:tab w:val="decimal" w:pos="538"/>
              </w:tabs>
              <w:autoSpaceDE w:val="0"/>
              <w:autoSpaceDN w:val="0"/>
              <w:adjustRightInd w:val="0"/>
              <w:spacing w:before="60" w:after="60"/>
              <w:jc w:val="right"/>
              <w:rPr>
                <w:szCs w:val="21"/>
              </w:rPr>
            </w:pPr>
            <w:r>
              <w:rPr>
                <w:szCs w:val="21"/>
              </w:rPr>
              <w:t>10,35</w:t>
            </w:r>
          </w:p>
        </w:tc>
      </w:tr>
    </w:tbl>
    <w:p w:rsidR="00000000" w:rsidRDefault="00000000">
      <w:pPr>
        <w:spacing w:before="240"/>
        <w:ind w:firstLine="567"/>
      </w:pPr>
      <w:r>
        <w:rPr>
          <w:i/>
          <w:iCs/>
        </w:rPr>
        <w:t>Source</w:t>
      </w:r>
      <w:r>
        <w:t>: Institut national de statistique.</w:t>
      </w:r>
    </w:p>
    <w:p w:rsidR="00000000" w:rsidRDefault="00000000">
      <w:pPr>
        <w:spacing w:before="240"/>
      </w:pPr>
      <w:r>
        <w:rPr>
          <w:b/>
          <w:bCs/>
          <w:i/>
          <w:iCs/>
          <w:vertAlign w:val="superscript"/>
        </w:rPr>
        <w:t>p</w:t>
      </w:r>
      <w:r>
        <w:t xml:space="preserve"> Chiffres provisoires.</w:t>
      </w:r>
    </w:p>
    <w:p w:rsidR="00000000" w:rsidRDefault="00000000">
      <w:pPr>
        <w:spacing w:after="180"/>
        <w:jc w:val="center"/>
        <w:rPr>
          <w:b/>
          <w:bCs/>
        </w:rPr>
      </w:pPr>
      <w:r>
        <w:rPr>
          <w:b/>
          <w:bCs/>
        </w:rPr>
        <w:br w:type="page"/>
        <w:t>Tableau 6.2</w:t>
      </w:r>
    </w:p>
    <w:p w:rsidR="00000000" w:rsidRDefault="00000000">
      <w:pPr>
        <w:spacing w:after="180"/>
        <w:jc w:val="center"/>
      </w:pPr>
      <w:r>
        <w:rPr>
          <w:b/>
          <w:bCs/>
        </w:rPr>
        <w:t>Bolivie − Zones rurales: Répartition annuelle de la population selon l’activité</w:t>
      </w:r>
      <w:r>
        <w:rPr>
          <w:b/>
          <w:bCs/>
        </w:rPr>
        <w:br/>
        <w:t>principale, par sexe et secteur du marché du travail, 1999</w:t>
      </w:r>
      <w:r>
        <w:rPr>
          <w:b/>
          <w:bCs/>
        </w:rPr>
        <w:noBreakHyphen/>
        <w:t>2003</w:t>
      </w:r>
      <w:r>
        <w:rPr>
          <w:b/>
          <w:bCs/>
          <w:i/>
          <w:iCs/>
          <w:vertAlign w:val="superscript"/>
        </w:rPr>
        <w:t>p</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261"/>
        <w:gridCol w:w="1261"/>
        <w:gridCol w:w="1261"/>
        <w:gridCol w:w="1261"/>
        <w:gridCol w:w="1262"/>
      </w:tblGrid>
      <w:tr w:rsidR="00000000">
        <w:tblPrEx>
          <w:tblCellMar>
            <w:top w:w="0" w:type="dxa"/>
            <w:bottom w:w="0" w:type="dxa"/>
          </w:tblCellMar>
        </w:tblPrEx>
        <w:trPr>
          <w:tblHeader/>
        </w:trPr>
        <w:tc>
          <w:tcPr>
            <w:tcW w:w="3190" w:type="dxa"/>
            <w:tcBorders>
              <w:bottom w:val="single" w:sz="4" w:space="0" w:color="auto"/>
            </w:tcBorders>
            <w:vAlign w:val="center"/>
          </w:tcPr>
          <w:p w:rsidR="00000000" w:rsidRDefault="00000000">
            <w:pPr>
              <w:spacing w:before="60" w:after="60"/>
              <w:jc w:val="center"/>
            </w:pPr>
            <w:r>
              <w:t>Secteur du marché du travail</w:t>
            </w:r>
          </w:p>
        </w:tc>
        <w:tc>
          <w:tcPr>
            <w:tcW w:w="1261" w:type="dxa"/>
            <w:vAlign w:val="center"/>
          </w:tcPr>
          <w:p w:rsidR="00000000" w:rsidRDefault="00000000">
            <w:pPr>
              <w:spacing w:before="60" w:after="60"/>
              <w:jc w:val="center"/>
            </w:pPr>
            <w:r>
              <w:t>1999</w:t>
            </w:r>
          </w:p>
        </w:tc>
        <w:tc>
          <w:tcPr>
            <w:tcW w:w="1261" w:type="dxa"/>
            <w:vAlign w:val="center"/>
          </w:tcPr>
          <w:p w:rsidR="00000000" w:rsidRDefault="00000000">
            <w:pPr>
              <w:spacing w:before="60" w:after="60"/>
              <w:jc w:val="center"/>
            </w:pPr>
            <w:r>
              <w:t>2000</w:t>
            </w:r>
          </w:p>
        </w:tc>
        <w:tc>
          <w:tcPr>
            <w:tcW w:w="1261" w:type="dxa"/>
            <w:vAlign w:val="center"/>
          </w:tcPr>
          <w:p w:rsidR="00000000" w:rsidRDefault="00000000">
            <w:pPr>
              <w:spacing w:before="60" w:after="60"/>
              <w:jc w:val="center"/>
            </w:pPr>
            <w:r>
              <w:t>2001</w:t>
            </w:r>
          </w:p>
        </w:tc>
        <w:tc>
          <w:tcPr>
            <w:tcW w:w="1261" w:type="dxa"/>
            <w:vAlign w:val="center"/>
          </w:tcPr>
          <w:p w:rsidR="00000000" w:rsidRDefault="00000000">
            <w:pPr>
              <w:spacing w:before="60" w:after="60"/>
              <w:jc w:val="center"/>
            </w:pPr>
            <w:r>
              <w:t>2002</w:t>
            </w:r>
          </w:p>
        </w:tc>
        <w:tc>
          <w:tcPr>
            <w:tcW w:w="1262" w:type="dxa"/>
            <w:vAlign w:val="center"/>
          </w:tcPr>
          <w:p w:rsidR="00000000" w:rsidRDefault="00000000">
            <w:pPr>
              <w:spacing w:before="60" w:after="60"/>
              <w:jc w:val="center"/>
            </w:pPr>
            <w:r>
              <w:t>2003</w:t>
            </w:r>
            <w:r>
              <w:rPr>
                <w:b/>
                <w:bCs/>
                <w:i/>
                <w:iCs/>
                <w:vertAlign w:val="superscript"/>
              </w:rPr>
              <w:t>p</w:t>
            </w:r>
          </w:p>
        </w:tc>
      </w:tr>
      <w:tr w:rsidR="00000000">
        <w:tblPrEx>
          <w:tblCellMar>
            <w:top w:w="0" w:type="dxa"/>
            <w:bottom w:w="0" w:type="dxa"/>
          </w:tblCellMar>
        </w:tblPrEx>
        <w:tc>
          <w:tcPr>
            <w:tcW w:w="3190" w:type="dxa"/>
            <w:tcBorders>
              <w:bottom w:val="nil"/>
            </w:tcBorders>
            <w:vAlign w:val="bottom"/>
          </w:tcPr>
          <w:p w:rsidR="00000000" w:rsidRDefault="00000000">
            <w:pPr>
              <w:spacing w:before="60" w:after="60"/>
              <w:rPr>
                <w:b/>
                <w:bCs/>
              </w:rPr>
            </w:pPr>
            <w:r>
              <w:rPr>
                <w:b/>
                <w:bCs/>
              </w:rPr>
              <w:t>TOTAL</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1 620 849</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1 545 873</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1 728 001</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1 706 502</w:t>
            </w:r>
          </w:p>
        </w:tc>
        <w:tc>
          <w:tcPr>
            <w:tcW w:w="1262" w:type="dxa"/>
            <w:vAlign w:val="center"/>
          </w:tcPr>
          <w:p w:rsidR="00000000" w:rsidRDefault="00000000">
            <w:pPr>
              <w:widowControl w:val="0"/>
              <w:autoSpaceDE w:val="0"/>
              <w:autoSpaceDN w:val="0"/>
              <w:adjustRightInd w:val="0"/>
              <w:spacing w:before="60" w:after="60"/>
              <w:jc w:val="right"/>
              <w:rPr>
                <w:b/>
                <w:szCs w:val="21"/>
              </w:rPr>
            </w:pPr>
            <w:r>
              <w:rPr>
                <w:b/>
                <w:szCs w:val="21"/>
              </w:rPr>
              <w:t>1 789 065</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Domestique</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0,49</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0,40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0,53</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0,37</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0,54</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Étatique</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2,46</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2,90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2,54</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2,44</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3,13</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Familial</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88,45</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90,20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86,96</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85,13</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82,77</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Semi-entreprise</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4,67</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3,80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4,95</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7,60</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7,43</w:t>
            </w:r>
          </w:p>
        </w:tc>
      </w:tr>
      <w:tr w:rsidR="00000000">
        <w:tblPrEx>
          <w:tblCellMar>
            <w:top w:w="0" w:type="dxa"/>
            <w:bottom w:w="0" w:type="dxa"/>
          </w:tblCellMar>
        </w:tblPrEx>
        <w:tc>
          <w:tcPr>
            <w:tcW w:w="3190" w:type="dxa"/>
            <w:tcBorders>
              <w:top w:val="nil"/>
              <w:bottom w:val="single" w:sz="4" w:space="0" w:color="auto"/>
            </w:tcBorders>
            <w:vAlign w:val="bottom"/>
          </w:tcPr>
          <w:p w:rsidR="00000000" w:rsidRDefault="00000000">
            <w:pPr>
              <w:spacing w:before="60" w:after="60"/>
              <w:ind w:left="284"/>
            </w:pPr>
            <w:r>
              <w:t>Entreprise</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3,92</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2,70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5,02</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4,47</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6,12</w:t>
            </w:r>
          </w:p>
        </w:tc>
      </w:tr>
      <w:tr w:rsidR="00000000">
        <w:tblPrEx>
          <w:tblCellMar>
            <w:top w:w="0" w:type="dxa"/>
            <w:bottom w:w="0" w:type="dxa"/>
          </w:tblCellMar>
        </w:tblPrEx>
        <w:tc>
          <w:tcPr>
            <w:tcW w:w="3190" w:type="dxa"/>
            <w:tcBorders>
              <w:bottom w:val="nil"/>
            </w:tcBorders>
            <w:vAlign w:val="bottom"/>
          </w:tcPr>
          <w:p w:rsidR="00000000" w:rsidRDefault="00000000">
            <w:pPr>
              <w:spacing w:before="60" w:after="60"/>
              <w:rPr>
                <w:b/>
                <w:bCs/>
              </w:rPr>
            </w:pPr>
            <w:r>
              <w:rPr>
                <w:b/>
                <w:bCs/>
              </w:rPr>
              <w:t>HOMMES</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870 284</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864 490</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965 527</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993 700</w:t>
            </w:r>
          </w:p>
        </w:tc>
        <w:tc>
          <w:tcPr>
            <w:tcW w:w="1262" w:type="dxa"/>
            <w:vAlign w:val="center"/>
          </w:tcPr>
          <w:p w:rsidR="00000000" w:rsidRDefault="00000000">
            <w:pPr>
              <w:widowControl w:val="0"/>
              <w:autoSpaceDE w:val="0"/>
              <w:autoSpaceDN w:val="0"/>
              <w:adjustRightInd w:val="0"/>
              <w:spacing w:before="60" w:after="60"/>
              <w:jc w:val="right"/>
              <w:rPr>
                <w:b/>
                <w:szCs w:val="21"/>
              </w:rPr>
            </w:pPr>
            <w:r>
              <w:rPr>
                <w:b/>
                <w:szCs w:val="21"/>
              </w:rPr>
              <w:t>999 826</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Domestique</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0,04</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0,10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0,02</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0,05</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0,13</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Étatique</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2,60</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3,20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2,76</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2,65</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3,83</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Familial</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84,16</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87,00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82,54</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79,75</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75,01</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Semi-entreprise</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6,59</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5,40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7,35</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11,04</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11,32</w:t>
            </w:r>
          </w:p>
        </w:tc>
      </w:tr>
      <w:tr w:rsidR="00000000">
        <w:tblPrEx>
          <w:tblCellMar>
            <w:top w:w="0" w:type="dxa"/>
            <w:bottom w:w="0" w:type="dxa"/>
          </w:tblCellMar>
        </w:tblPrEx>
        <w:tc>
          <w:tcPr>
            <w:tcW w:w="3190" w:type="dxa"/>
            <w:tcBorders>
              <w:top w:val="nil"/>
              <w:bottom w:val="single" w:sz="4" w:space="0" w:color="auto"/>
            </w:tcBorders>
            <w:vAlign w:val="bottom"/>
          </w:tcPr>
          <w:p w:rsidR="00000000" w:rsidRDefault="00000000">
            <w:pPr>
              <w:spacing w:before="60" w:after="60"/>
              <w:ind w:left="284"/>
            </w:pPr>
            <w:r>
              <w:t>Entreprise</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6,61</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4,30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7,33</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6,51</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9,71</w:t>
            </w:r>
          </w:p>
        </w:tc>
      </w:tr>
      <w:tr w:rsidR="00000000">
        <w:tblPrEx>
          <w:tblCellMar>
            <w:top w:w="0" w:type="dxa"/>
            <w:bottom w:w="0" w:type="dxa"/>
          </w:tblCellMar>
        </w:tblPrEx>
        <w:tc>
          <w:tcPr>
            <w:tcW w:w="3190" w:type="dxa"/>
            <w:tcBorders>
              <w:bottom w:val="nil"/>
            </w:tcBorders>
            <w:vAlign w:val="bottom"/>
          </w:tcPr>
          <w:p w:rsidR="00000000" w:rsidRDefault="00000000">
            <w:pPr>
              <w:spacing w:before="60" w:after="60"/>
              <w:rPr>
                <w:b/>
                <w:bCs/>
              </w:rPr>
            </w:pPr>
            <w:r>
              <w:rPr>
                <w:b/>
                <w:bCs/>
              </w:rPr>
              <w:t>FEMMES</w:t>
            </w:r>
          </w:p>
        </w:tc>
        <w:tc>
          <w:tcPr>
            <w:tcW w:w="1261" w:type="dxa"/>
            <w:vAlign w:val="center"/>
          </w:tcPr>
          <w:p w:rsidR="00000000" w:rsidRDefault="00000000">
            <w:pPr>
              <w:widowControl w:val="0"/>
              <w:tabs>
                <w:tab w:val="left" w:pos="1189"/>
              </w:tabs>
              <w:autoSpaceDE w:val="0"/>
              <w:autoSpaceDN w:val="0"/>
              <w:adjustRightInd w:val="0"/>
              <w:spacing w:before="60" w:after="60"/>
              <w:jc w:val="right"/>
              <w:rPr>
                <w:b/>
                <w:szCs w:val="21"/>
              </w:rPr>
            </w:pPr>
            <w:r>
              <w:rPr>
                <w:b/>
                <w:szCs w:val="21"/>
              </w:rPr>
              <w:t>750 565</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681 383</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762 474</w:t>
            </w:r>
          </w:p>
        </w:tc>
        <w:tc>
          <w:tcPr>
            <w:tcW w:w="1261" w:type="dxa"/>
            <w:vAlign w:val="center"/>
          </w:tcPr>
          <w:p w:rsidR="00000000" w:rsidRDefault="00000000">
            <w:pPr>
              <w:widowControl w:val="0"/>
              <w:autoSpaceDE w:val="0"/>
              <w:autoSpaceDN w:val="0"/>
              <w:adjustRightInd w:val="0"/>
              <w:spacing w:before="60" w:after="60"/>
              <w:jc w:val="right"/>
              <w:rPr>
                <w:b/>
                <w:szCs w:val="21"/>
              </w:rPr>
            </w:pPr>
            <w:r>
              <w:rPr>
                <w:b/>
                <w:szCs w:val="21"/>
              </w:rPr>
              <w:t>712 802</w:t>
            </w:r>
          </w:p>
        </w:tc>
        <w:tc>
          <w:tcPr>
            <w:tcW w:w="1262" w:type="dxa"/>
            <w:vAlign w:val="center"/>
          </w:tcPr>
          <w:p w:rsidR="00000000" w:rsidRDefault="00000000">
            <w:pPr>
              <w:widowControl w:val="0"/>
              <w:autoSpaceDE w:val="0"/>
              <w:autoSpaceDN w:val="0"/>
              <w:adjustRightInd w:val="0"/>
              <w:spacing w:before="60" w:after="60"/>
              <w:jc w:val="right"/>
              <w:rPr>
                <w:b/>
                <w:szCs w:val="21"/>
              </w:rPr>
            </w:pPr>
            <w:r>
              <w:rPr>
                <w:b/>
                <w:szCs w:val="21"/>
              </w:rPr>
              <w:t>789 239</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Domestique</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1,01</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0,70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1,18</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0,82</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1,07</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Étatique</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2,30</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2,60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2,27</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2,14</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2,25</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Familial</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93,43</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94,30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92,55</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92,62</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92,60</w:t>
            </w:r>
          </w:p>
        </w:tc>
      </w:tr>
      <w:tr w:rsidR="00000000">
        <w:tblPrEx>
          <w:tblCellMar>
            <w:top w:w="0" w:type="dxa"/>
            <w:bottom w:w="0" w:type="dxa"/>
          </w:tblCellMar>
        </w:tblPrEx>
        <w:tc>
          <w:tcPr>
            <w:tcW w:w="3190" w:type="dxa"/>
            <w:tcBorders>
              <w:top w:val="nil"/>
              <w:bottom w:val="nil"/>
            </w:tcBorders>
            <w:vAlign w:val="bottom"/>
          </w:tcPr>
          <w:p w:rsidR="00000000" w:rsidRDefault="00000000">
            <w:pPr>
              <w:spacing w:before="60" w:after="60"/>
              <w:ind w:left="284"/>
            </w:pPr>
            <w:r>
              <w:t>Semi-entreprise</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2,44</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1,70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1,92</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2,79</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2,51</w:t>
            </w:r>
          </w:p>
        </w:tc>
      </w:tr>
      <w:tr w:rsidR="00000000">
        <w:tblPrEx>
          <w:tblCellMar>
            <w:top w:w="0" w:type="dxa"/>
            <w:bottom w:w="0" w:type="dxa"/>
          </w:tblCellMar>
        </w:tblPrEx>
        <w:tc>
          <w:tcPr>
            <w:tcW w:w="3190" w:type="dxa"/>
            <w:tcBorders>
              <w:top w:val="nil"/>
            </w:tcBorders>
            <w:vAlign w:val="bottom"/>
          </w:tcPr>
          <w:p w:rsidR="00000000" w:rsidRDefault="00000000">
            <w:pPr>
              <w:spacing w:before="60" w:after="60"/>
              <w:ind w:left="284"/>
            </w:pPr>
            <w:r>
              <w:t>Entreprise</w:t>
            </w:r>
          </w:p>
        </w:tc>
        <w:tc>
          <w:tcPr>
            <w:tcW w:w="1261" w:type="dxa"/>
            <w:vAlign w:val="center"/>
          </w:tcPr>
          <w:p w:rsidR="00000000" w:rsidRDefault="00000000">
            <w:pPr>
              <w:widowControl w:val="0"/>
              <w:tabs>
                <w:tab w:val="decimal" w:pos="476"/>
              </w:tabs>
              <w:autoSpaceDE w:val="0"/>
              <w:autoSpaceDN w:val="0"/>
              <w:adjustRightInd w:val="0"/>
              <w:spacing w:before="60" w:after="60"/>
              <w:jc w:val="right"/>
              <w:rPr>
                <w:szCs w:val="21"/>
              </w:rPr>
            </w:pPr>
            <w:r>
              <w:rPr>
                <w:szCs w:val="21"/>
              </w:rPr>
              <w:t>0,81</w:t>
            </w:r>
          </w:p>
        </w:tc>
        <w:tc>
          <w:tcPr>
            <w:tcW w:w="1261" w:type="dxa"/>
            <w:vAlign w:val="center"/>
          </w:tcPr>
          <w:p w:rsidR="00000000" w:rsidRDefault="00000000">
            <w:pPr>
              <w:widowControl w:val="0"/>
              <w:tabs>
                <w:tab w:val="decimal" w:pos="504"/>
              </w:tabs>
              <w:autoSpaceDE w:val="0"/>
              <w:autoSpaceDN w:val="0"/>
              <w:adjustRightInd w:val="0"/>
              <w:spacing w:before="60" w:after="60"/>
              <w:jc w:val="right"/>
              <w:rPr>
                <w:szCs w:val="21"/>
              </w:rPr>
            </w:pPr>
            <w:r>
              <w:rPr>
                <w:szCs w:val="21"/>
              </w:rPr>
              <w:t>0,70</w:t>
            </w:r>
          </w:p>
        </w:tc>
        <w:tc>
          <w:tcPr>
            <w:tcW w:w="1261" w:type="dxa"/>
            <w:vAlign w:val="center"/>
          </w:tcPr>
          <w:p w:rsidR="00000000" w:rsidRDefault="00000000">
            <w:pPr>
              <w:widowControl w:val="0"/>
              <w:tabs>
                <w:tab w:val="decimal" w:pos="531"/>
              </w:tabs>
              <w:autoSpaceDE w:val="0"/>
              <w:autoSpaceDN w:val="0"/>
              <w:adjustRightInd w:val="0"/>
              <w:spacing w:before="60" w:after="60"/>
              <w:jc w:val="right"/>
              <w:rPr>
                <w:szCs w:val="21"/>
              </w:rPr>
            </w:pPr>
            <w:r>
              <w:rPr>
                <w:szCs w:val="21"/>
              </w:rPr>
              <w:t>2,09</w:t>
            </w:r>
          </w:p>
        </w:tc>
        <w:tc>
          <w:tcPr>
            <w:tcW w:w="1261" w:type="dxa"/>
            <w:vAlign w:val="center"/>
          </w:tcPr>
          <w:p w:rsidR="00000000" w:rsidRDefault="00000000">
            <w:pPr>
              <w:widowControl w:val="0"/>
              <w:tabs>
                <w:tab w:val="decimal" w:pos="517"/>
              </w:tabs>
              <w:autoSpaceDE w:val="0"/>
              <w:autoSpaceDN w:val="0"/>
              <w:adjustRightInd w:val="0"/>
              <w:spacing w:before="60" w:after="60"/>
              <w:jc w:val="right"/>
              <w:rPr>
                <w:szCs w:val="21"/>
              </w:rPr>
            </w:pPr>
            <w:r>
              <w:rPr>
                <w:szCs w:val="21"/>
              </w:rPr>
              <w:t>1,64</w:t>
            </w:r>
          </w:p>
        </w:tc>
        <w:tc>
          <w:tcPr>
            <w:tcW w:w="1262" w:type="dxa"/>
            <w:vAlign w:val="center"/>
          </w:tcPr>
          <w:p w:rsidR="00000000" w:rsidRDefault="00000000">
            <w:pPr>
              <w:widowControl w:val="0"/>
              <w:tabs>
                <w:tab w:val="decimal" w:pos="525"/>
              </w:tabs>
              <w:autoSpaceDE w:val="0"/>
              <w:autoSpaceDN w:val="0"/>
              <w:adjustRightInd w:val="0"/>
              <w:spacing w:before="60" w:after="60"/>
              <w:jc w:val="right"/>
              <w:rPr>
                <w:szCs w:val="21"/>
              </w:rPr>
            </w:pPr>
            <w:r>
              <w:rPr>
                <w:szCs w:val="21"/>
              </w:rPr>
              <w:t>1,58</w:t>
            </w:r>
          </w:p>
        </w:tc>
      </w:tr>
    </w:tbl>
    <w:p w:rsidR="00000000" w:rsidRDefault="00000000">
      <w:pPr>
        <w:spacing w:before="240"/>
        <w:ind w:firstLine="567"/>
      </w:pPr>
      <w:r>
        <w:rPr>
          <w:i/>
          <w:iCs/>
        </w:rPr>
        <w:t>Source</w:t>
      </w:r>
      <w:r>
        <w:t>: Institut national de statistique.</w:t>
      </w:r>
    </w:p>
    <w:p w:rsidR="00000000" w:rsidRDefault="00000000">
      <w:pPr>
        <w:spacing w:before="240"/>
      </w:pPr>
      <w:r>
        <w:rPr>
          <w:b/>
          <w:bCs/>
          <w:i/>
          <w:iCs/>
          <w:vertAlign w:val="superscript"/>
        </w:rPr>
        <w:t>p</w:t>
      </w:r>
      <w:r>
        <w:t xml:space="preserve"> Chiffres provisoires.</w:t>
      </w:r>
    </w:p>
    <w:p w:rsidR="00000000" w:rsidRDefault="00000000">
      <w:pPr>
        <w:keepNext/>
        <w:spacing w:after="240"/>
        <w:jc w:val="center"/>
        <w:rPr>
          <w:b/>
          <w:bCs/>
        </w:rPr>
      </w:pPr>
      <w:r>
        <w:rPr>
          <w:b/>
          <w:bCs/>
        </w:rPr>
        <w:br w:type="page"/>
        <w:t>SÉCURITÉ ET HYGIÈNE AU TRAVAIL</w:t>
      </w:r>
    </w:p>
    <w:p w:rsidR="00000000" w:rsidRDefault="00000000">
      <w:pPr>
        <w:spacing w:after="240"/>
      </w:pPr>
      <w:r>
        <w:t>34.</w:t>
      </w:r>
      <w:r>
        <w:tab/>
        <w:t>Conformément à la loi générale relative à l’hygiène, à la sécurité et au bien</w:t>
      </w:r>
      <w:r>
        <w:noBreakHyphen/>
        <w:t>être sur le lieu de travail n</w:t>
      </w:r>
      <w:r>
        <w:rPr>
          <w:vertAlign w:val="superscript"/>
        </w:rPr>
        <w:t>o</w:t>
      </w:r>
      <w:r>
        <w:t> 16998 en date du 2 août 1979, le Ministère du travail ordonne des inspections et des réinspections d’office, périodiques ou sur plainte dans les entreprises et dans tous les lieux de travail existant sur le territoire national.</w:t>
      </w:r>
    </w:p>
    <w:p w:rsidR="00000000" w:rsidRDefault="00000000">
      <w:pPr>
        <w:spacing w:after="240"/>
      </w:pPr>
      <w:r>
        <w:t>35.</w:t>
      </w:r>
      <w:r>
        <w:tab/>
        <w:t>En vertu du décret suprême n</w:t>
      </w:r>
      <w:r>
        <w:rPr>
          <w:vertAlign w:val="superscript"/>
        </w:rPr>
        <w:t>o</w:t>
      </w:r>
      <w:r>
        <w:t> 27732 du 15 septembre 2004 (annexe n</w:t>
      </w:r>
      <w:r>
        <w:rPr>
          <w:vertAlign w:val="superscript"/>
        </w:rPr>
        <w:t>o</w:t>
      </w:r>
      <w:r>
        <w:t> 2), la Direction générale de la sécurité industrielle et la Direction générale du travail ont été regroupées en une «Direction générale du travail et de la sécurité industrielle».</w:t>
      </w:r>
    </w:p>
    <w:p w:rsidR="00000000" w:rsidRDefault="00000000">
      <w:pPr>
        <w:keepNext/>
        <w:spacing w:after="240"/>
      </w:pPr>
      <w:r>
        <w:t>36.</w:t>
      </w:r>
      <w:r>
        <w:tab/>
        <w:t>La nouvelle structure étend l’Inspection de la sécurité industrielle et de l’hygiène, qui devient l’Inspection du travail, de la sécurité industrielle et de l’hygiène, nouveau concept qui marque l’adoption d’une politique de contrôle plus efficace. Les nouvelles formalités d’inspection sont les suivantes:</w:t>
      </w:r>
    </w:p>
    <w:p w:rsidR="00000000" w:rsidRDefault="00000000">
      <w:pPr>
        <w:numPr>
          <w:ilvl w:val="0"/>
          <w:numId w:val="108"/>
        </w:numPr>
        <w:spacing w:after="240"/>
      </w:pPr>
      <w:r>
        <w:t>Rédaction d’une note désignant un inspecteur de la Direction générale du travail et de la sécurité industrielle;</w:t>
      </w:r>
    </w:p>
    <w:p w:rsidR="00000000" w:rsidRDefault="00000000">
      <w:pPr>
        <w:numPr>
          <w:ilvl w:val="0"/>
          <w:numId w:val="108"/>
        </w:numPr>
        <w:spacing w:after="240"/>
      </w:pPr>
      <w:r>
        <w:t>Déclaration d’indépendance de l’inspecteur désigné;</w:t>
      </w:r>
    </w:p>
    <w:p w:rsidR="00000000" w:rsidRDefault="00000000">
      <w:pPr>
        <w:numPr>
          <w:ilvl w:val="0"/>
          <w:numId w:val="108"/>
        </w:numPr>
        <w:spacing w:after="240"/>
      </w:pPr>
      <w:r>
        <w:t>Établissement du formulaire technique d’inspection;</w:t>
      </w:r>
    </w:p>
    <w:p w:rsidR="00000000" w:rsidRDefault="00000000">
      <w:pPr>
        <w:numPr>
          <w:ilvl w:val="0"/>
          <w:numId w:val="108"/>
        </w:numPr>
        <w:spacing w:after="240"/>
      </w:pPr>
      <w:r>
        <w:t>Établissement du formulaire de convocation.</w:t>
      </w:r>
    </w:p>
    <w:p w:rsidR="00000000" w:rsidRDefault="00000000">
      <w:pPr>
        <w:spacing w:after="240"/>
      </w:pPr>
      <w:r>
        <w:t>37.</w:t>
      </w:r>
      <w:r>
        <w:tab/>
        <w:t>Après l’inspection, un rapport où sont consignées les observations formulées et les délais impartis pour les mettre en œuvre est adressé à la direction compétente et si nécessaire, une ou plusieurs réinspections sont programmées. Cette nouvelle procédure permet d’exercer un contrôle total, plus efficace et surtout libre de toute corruption.</w:t>
      </w:r>
    </w:p>
    <w:p w:rsidR="00000000" w:rsidRDefault="00000000">
      <w:pPr>
        <w:spacing w:after="240"/>
      </w:pPr>
      <w:r>
        <w:t>38.</w:t>
      </w:r>
      <w:r>
        <w:tab/>
        <w:t>L’arrêté ministériel n</w:t>
      </w:r>
      <w:r>
        <w:rPr>
          <w:vertAlign w:val="superscript"/>
        </w:rPr>
        <w:t>o</w:t>
      </w:r>
      <w:r>
        <w:t xml:space="preserve"> 496/04 du 23 septembre 2004 (annexe n</w:t>
      </w:r>
      <w:r>
        <w:rPr>
          <w:vertAlign w:val="superscript"/>
        </w:rPr>
        <w:t>o</w:t>
      </w:r>
      <w:r>
        <w:t> 8) porte approbation du règlement de constitution des comités mixtes d’hygiène, de sécurité et de bien</w:t>
      </w:r>
      <w:r>
        <w:noBreakHyphen/>
        <w:t>être au travail, chargés d’associer pleinement employeurs et employés à la recherche de solutions aux différents problèmes qui se posent en entreprise, afin de contribuer à prévenir les risques et les maladies professionnelles.</w:t>
      </w:r>
    </w:p>
    <w:p w:rsidR="00000000" w:rsidRDefault="00000000">
      <w:pPr>
        <w:spacing w:after="240"/>
        <w:rPr>
          <w:rFonts w:eastAsia="MS Mincho"/>
        </w:rPr>
      </w:pPr>
      <w:r>
        <w:t>39.</w:t>
      </w:r>
      <w:r>
        <w:tab/>
        <w:t xml:space="preserve">En 2004, au titre du Programme pour la sécurité industrielle et la santé au travail (SISO Bolivia), le Ministère du travail a bénéficié d’une dotation en matériel de surveillance de polluants professionnels sur le terrain et un cours de formation de quatre cents heures, organisé par le Secrétariat au travail des </w:t>
      </w:r>
      <w:r>
        <w:rPr>
          <w:rFonts w:eastAsia="MS Mincho"/>
        </w:rPr>
        <w:t>États</w:t>
      </w:r>
      <w:r>
        <w:rPr>
          <w:rFonts w:eastAsia="MS Mincho"/>
        </w:rPr>
        <w:noBreakHyphen/>
        <w:t>Unis d’Amérique</w:t>
      </w:r>
      <w:r>
        <w:t xml:space="preserve"> par l’intermédiaire de l’ambassade des </w:t>
      </w:r>
      <w:r>
        <w:rPr>
          <w:rFonts w:eastAsia="MS Mincho"/>
        </w:rPr>
        <w:t>États</w:t>
      </w:r>
      <w:r>
        <w:rPr>
          <w:rFonts w:eastAsia="MS Mincho"/>
        </w:rPr>
        <w:noBreakHyphen/>
        <w:t xml:space="preserve">Unis en Bolivie, a été dispensé </w:t>
      </w:r>
      <w:r>
        <w:t>aux techniciens de la Direction générale du travail et de la sécurité industrielle</w:t>
      </w:r>
      <w:r>
        <w:rPr>
          <w:rFonts w:eastAsia="MS Mincho"/>
        </w:rPr>
        <w:t>.</w:t>
      </w:r>
    </w:p>
    <w:p w:rsidR="00000000" w:rsidRDefault="00000000">
      <w:pPr>
        <w:spacing w:after="240"/>
        <w:rPr>
          <w:rFonts w:eastAsia="MS Mincho"/>
        </w:rPr>
      </w:pPr>
      <w:r>
        <w:rPr>
          <w:rFonts w:eastAsia="MS Mincho"/>
        </w:rPr>
        <w:t>40.</w:t>
      </w:r>
      <w:r>
        <w:rPr>
          <w:rFonts w:eastAsia="MS Mincho"/>
        </w:rPr>
        <w:tab/>
        <w:t>L’Institut national de la médecine du travail (relevant du Ministère de la santé et des sports) et l’Institut national pour la santé au travail sont chargés par l’État d’effectuer divers contrôles en entreprise afin de vérifier la sécurité industrielle et l’hygiène au travail.</w:t>
      </w:r>
    </w:p>
    <w:p w:rsidR="00000000" w:rsidRDefault="00000000">
      <w:pPr>
        <w:spacing w:after="240"/>
        <w:rPr>
          <w:rFonts w:eastAsia="MS Mincho"/>
        </w:rPr>
      </w:pPr>
      <w:r>
        <w:rPr>
          <w:rFonts w:eastAsia="MS Mincho"/>
        </w:rPr>
        <w:t>41.</w:t>
      </w:r>
      <w:r>
        <w:rPr>
          <w:rFonts w:eastAsia="MS Mincho"/>
        </w:rPr>
        <w:tab/>
        <w:t>En 2004, le Gouvernement de la République de Bolivie a adressé à l’Organisation internationale du Travail (OIT) un mémoire indiquant les mesures adoptées pour donner effet aux dispositions de la Convention de l’OIT n</w:t>
      </w:r>
      <w:r>
        <w:rPr>
          <w:rFonts w:eastAsia="MS Mincho"/>
          <w:vertAlign w:val="superscript"/>
        </w:rPr>
        <w:t>o</w:t>
      </w:r>
      <w:r>
        <w:rPr>
          <w:rFonts w:eastAsia="MS Mincho"/>
        </w:rPr>
        <w:t> 81 sur l’inspection du travail.</w:t>
      </w:r>
    </w:p>
    <w:p w:rsidR="00000000" w:rsidRDefault="00000000">
      <w:pPr>
        <w:spacing w:after="240"/>
        <w:rPr>
          <w:rFonts w:eastAsia="MS Mincho"/>
        </w:rPr>
      </w:pPr>
      <w:r>
        <w:rPr>
          <w:rFonts w:eastAsia="MS Mincho"/>
        </w:rPr>
        <w:t>42.</w:t>
      </w:r>
      <w:r>
        <w:rPr>
          <w:rFonts w:eastAsia="MS Mincho"/>
        </w:rPr>
        <w:tab/>
        <w:t>Le mémoire que le Gouvernement bolivien a adressé à l’OIT concernant la Convention n</w:t>
      </w:r>
      <w:r>
        <w:rPr>
          <w:rFonts w:eastAsia="MS Mincho"/>
          <w:vertAlign w:val="superscript"/>
        </w:rPr>
        <w:t>o</w:t>
      </w:r>
      <w:r>
        <w:rPr>
          <w:rFonts w:eastAsia="MS Mincho"/>
        </w:rPr>
        <w:t> 81 portait sur la période 2000</w:t>
      </w:r>
      <w:r>
        <w:rPr>
          <w:rFonts w:eastAsia="MS Mincho"/>
        </w:rPr>
        <w:noBreakHyphen/>
        <w:t>2004 et se lisait comme suit:</w:t>
      </w:r>
    </w:p>
    <w:p w:rsidR="00000000" w:rsidRDefault="00000000">
      <w:pPr>
        <w:keepNext/>
        <w:spacing w:after="240"/>
        <w:ind w:left="567"/>
        <w:jc w:val="center"/>
        <w:rPr>
          <w:rFonts w:eastAsia="MS Mincho"/>
          <w:b/>
          <w:bCs/>
        </w:rPr>
      </w:pPr>
      <w:r>
        <w:rPr>
          <w:rFonts w:eastAsia="MS Mincho"/>
          <w:b/>
          <w:bCs/>
        </w:rPr>
        <w:t>CONVENTION SUR L’INSPECTION DU TRAVAIL, 1947</w:t>
      </w:r>
    </w:p>
    <w:p w:rsidR="00000000" w:rsidRDefault="00000000">
      <w:pPr>
        <w:keepNext/>
        <w:spacing w:after="240"/>
        <w:ind w:left="567"/>
        <w:jc w:val="center"/>
        <w:rPr>
          <w:b/>
          <w:bCs/>
        </w:rPr>
      </w:pPr>
      <w:r>
        <w:rPr>
          <w:b/>
          <w:bCs/>
        </w:rPr>
        <w:t>Convention n</w:t>
      </w:r>
      <w:r>
        <w:rPr>
          <w:b/>
          <w:bCs/>
          <w:vertAlign w:val="superscript"/>
        </w:rPr>
        <w:t>o</w:t>
      </w:r>
      <w:r>
        <w:rPr>
          <w:b/>
          <w:bCs/>
        </w:rPr>
        <w:t> 81</w:t>
      </w:r>
    </w:p>
    <w:p w:rsidR="00000000" w:rsidRDefault="00000000">
      <w:pPr>
        <w:keepNext/>
        <w:spacing w:after="240"/>
        <w:ind w:left="567"/>
        <w:jc w:val="center"/>
        <w:rPr>
          <w:b/>
          <w:bCs/>
        </w:rPr>
      </w:pPr>
      <w:r>
        <w:rPr>
          <w:b/>
          <w:bCs/>
        </w:rPr>
        <w:t>Ratifiée par la Bolivie en 1973</w:t>
      </w:r>
    </w:p>
    <w:p w:rsidR="00000000" w:rsidRDefault="00000000">
      <w:pPr>
        <w:keepNext/>
        <w:spacing w:after="240"/>
        <w:ind w:left="567" w:firstLine="567"/>
      </w:pPr>
      <w:r>
        <w:t>En vertu de la loi relative à l’organisation du pouvoir exécutif, le Ministère du travail est chargé de:</w:t>
      </w:r>
    </w:p>
    <w:p w:rsidR="00000000" w:rsidRDefault="00000000">
      <w:pPr>
        <w:numPr>
          <w:ilvl w:val="0"/>
          <w:numId w:val="109"/>
        </w:numPr>
        <w:spacing w:after="240"/>
      </w:pPr>
      <w:r>
        <w:t>Surveiller l’application et le respect de la législation et des conventions internationales ayant trait à l’emploi;</w:t>
      </w:r>
    </w:p>
    <w:p w:rsidR="00000000" w:rsidRDefault="00000000">
      <w:pPr>
        <w:numPr>
          <w:ilvl w:val="0"/>
          <w:numId w:val="109"/>
        </w:numPr>
        <w:spacing w:after="240"/>
      </w:pPr>
      <w:r>
        <w:t xml:space="preserve">Concevoir des politiques visant à instaurer des conditions propres à garantir à tous une possibilité d’emploi et à améliorer les conditions de travail; </w:t>
      </w:r>
    </w:p>
    <w:p w:rsidR="00000000" w:rsidRDefault="00000000">
      <w:pPr>
        <w:numPr>
          <w:ilvl w:val="0"/>
          <w:numId w:val="109"/>
        </w:numPr>
        <w:spacing w:after="240"/>
      </w:pPr>
      <w:r>
        <w:t>Concevoir et mettre en œuvre des politiques visant à établir des relations adéquates entre salariés et employés; concevoir et appliquer des normes de sécurité industrielle en coordination avec les ministres en charge des secteurs correspondants.</w:t>
      </w:r>
    </w:p>
    <w:p w:rsidR="00000000" w:rsidRDefault="00000000">
      <w:pPr>
        <w:spacing w:after="240"/>
        <w:ind w:left="567" w:firstLine="567"/>
      </w:pPr>
      <w:r>
        <w:t>Conformément à la loi générale relative à l’emploi, à son décret d’application et aux autres normes légales pertinentes, le Ministère du travail, dans toute affaire relevant du droit du travail, fait office d’instance de conciliation dans le ressort administratif, avec la possibilité d’engager directement une procédure judiciaire pour exiger l’application de sanctions en cas d’infraction avérée à une loi sociale ou la restitution du patrimoine syndical.</w:t>
      </w:r>
    </w:p>
    <w:p w:rsidR="00000000" w:rsidRDefault="00000000">
      <w:pPr>
        <w:spacing w:after="240"/>
        <w:ind w:left="567" w:firstLine="567"/>
      </w:pPr>
      <w:r>
        <w:t>Le Ministère du travail réalise ses activités et exerce les attributions que la loi lui confère par l’intermédiaire des Inspections du travail, organes techniques spécialisés de l’administration publique qui veillent à ce que la législation du travail soit mise en œuvre de manière impartiale, équitable et juste dans le cadre des fonctions de contrôle qui leur sont confiées. Il s’agit, comme on peut le constater, d’une mission qui incombe à l’État de manière exclusive, non délégable et souveraine, conformément aux dispositions de la loi générale relative à l’emploi et de son décret d’application.</w:t>
      </w:r>
    </w:p>
    <w:p w:rsidR="00000000" w:rsidRDefault="00000000">
      <w:pPr>
        <w:spacing w:after="240"/>
        <w:ind w:left="567" w:firstLine="567"/>
      </w:pPr>
      <w:r>
        <w:t>Or, en raison des nombreuses transformations survenues en Bolivie au cours des vingt dernières années, il a été nécessaire d’entamer un processus de restructuration du Ministère du travail en vue de l’adapter aux nouveaux besoins du pays. Pour les citer de manière brève et incomplète, les transformations en question sont notamment l’instauration d’un nouveau modèle d’organisation de l’État et de la société et d’un nouveau modèle économique depuis 1985; des modifications substantielles dans le domaine électoral, qui ont abouti à ce que la réforme constitutionnelle de 2004 inclue dans les acteurs politiques les groupements de citoyens et les peuples autochtones; et des processus de décentralisation municipale et départementale qui ont transformé l’appareil administratif de l’État bolivien.</w:t>
      </w:r>
    </w:p>
    <w:p w:rsidR="00000000" w:rsidRDefault="00000000">
      <w:pPr>
        <w:spacing w:after="240"/>
        <w:ind w:left="567" w:firstLine="567"/>
      </w:pPr>
      <w:r>
        <w:t>Deux réformes constitutionnelles, réalisées à dix années d’intervalle, ont pris en compte les nouvelles réalités et les demandes des acteurs sociaux boliviens. Il s’agissait de répondre à l’apparition de nouvelles formes de travail et de combattre le recours systématique à des modalités de recrutement qui niaient dans les faits les droits garantis aux travailleurs par la Constitution politique de l’État et les lois nationales.</w:t>
      </w:r>
    </w:p>
    <w:p w:rsidR="00000000" w:rsidRDefault="00000000">
      <w:pPr>
        <w:spacing w:after="240"/>
        <w:ind w:left="567" w:firstLine="567"/>
      </w:pPr>
      <w:r>
        <w:t>Ces nouvelles réalités, dont quelques aspects seulement sont présentés ci</w:t>
      </w:r>
      <w:r>
        <w:noBreakHyphen/>
        <w:t>dessous, sont à l’origine des transformations successives du pouvoir exécutif qui, depuis 1993, a connu trois lois d’organisation: la loi des ministères de 1993, la loi d’organisation du pouvoir exécutif de 1997 et la loi d’organisation du pouvoir exécutif de 2003. De telles modifications sur le plan de l’organisation et de la structure du pouvoir exécutif ont nécessairement un impact sur l’une de ses composantes les plus importantes, à savoir le Ministère du travail.</w:t>
      </w:r>
    </w:p>
    <w:p w:rsidR="00000000" w:rsidRDefault="00000000">
      <w:pPr>
        <w:spacing w:after="240"/>
        <w:ind w:left="567" w:firstLine="567"/>
        <w:rPr>
          <w:rFonts w:eastAsia="MS Mincho"/>
        </w:rPr>
      </w:pPr>
      <w:r>
        <w:t>Il faut y ajouter le fait que l’</w:t>
      </w:r>
      <w:r>
        <w:rPr>
          <w:rFonts w:eastAsia="MS Mincho"/>
        </w:rPr>
        <w:t>Organisation internationale du Travail (OIT), consciente des nouvelles réalités en Bolivie et dans le monde et au fait d’autres expériences vécues dans ce </w:t>
      </w:r>
      <w:r>
        <w:t>domaine</w:t>
      </w:r>
      <w:r>
        <w:rPr>
          <w:rFonts w:eastAsia="MS Mincho"/>
        </w:rPr>
        <w:t xml:space="preserve">, a formulé des observations tendant à ce que les droits reconnus aux travailleurs soient mis en œuvre et que le cadre juridique institutionnel permette à l’État de jouer son rôle dans les meilleures conditions. </w:t>
      </w:r>
    </w:p>
    <w:p w:rsidR="00000000" w:rsidRDefault="00000000">
      <w:pPr>
        <w:spacing w:after="240"/>
        <w:ind w:left="567" w:firstLine="567"/>
        <w:rPr>
          <w:rFonts w:eastAsia="MS Mincho"/>
        </w:rPr>
      </w:pPr>
      <w:r>
        <w:rPr>
          <w:rFonts w:eastAsia="MS Mincho"/>
        </w:rPr>
        <w:t xml:space="preserve">Se conformant strictement aux recommandations de l’OIT, et avec l’assistance du Bureau de </w:t>
      </w:r>
      <w:r>
        <w:t>l’Organisation</w:t>
      </w:r>
      <w:r>
        <w:rPr>
          <w:rFonts w:eastAsia="MS Mincho"/>
        </w:rPr>
        <w:t>, le Gouvernement bolivien a engagé un processus de restructuration interne fondé sur l’idée que l’une de ses principales attributions consiste à veiller au respect des dispositions sociales en vigueur.</w:t>
      </w:r>
    </w:p>
    <w:p w:rsidR="00000000" w:rsidRDefault="00000000">
      <w:pPr>
        <w:spacing w:after="240"/>
        <w:ind w:left="567" w:firstLine="567"/>
        <w:rPr>
          <w:rFonts w:eastAsia="MS Mincho"/>
        </w:rPr>
      </w:pPr>
      <w:r>
        <w:rPr>
          <w:rFonts w:eastAsia="MS Mincho"/>
        </w:rPr>
        <w:t>À cette fin, il a été prévu que l’Inspection du travail serait divisée en deux secteurs, celui de la conciliation et celui de l’inspection proprement dit, chacun ayant des fonctions spécifiques visant à mieux répondre aux besoins des travailleurs. Le secteur de la conciliation cherchera à rapprocher travailleurs et employeurs et celui de l’inspection vérifiera sur le terrain le respect des normes en vigueur. Pour atteindre les objectifs de la conciliation, il est entendu qu’il faudra mettre en œuvre des techniques de négociation.</w:t>
      </w:r>
    </w:p>
    <w:p w:rsidR="00000000" w:rsidRDefault="00000000">
      <w:pPr>
        <w:keepNext/>
        <w:spacing w:after="240"/>
        <w:ind w:left="567" w:firstLine="567"/>
        <w:rPr>
          <w:rFonts w:eastAsia="MS Mincho"/>
        </w:rPr>
      </w:pPr>
      <w:r>
        <w:rPr>
          <w:rFonts w:eastAsia="MS Mincho"/>
        </w:rPr>
        <w:t>Par ailleurs, les techniciens de la sécurité industrielle rejoindront les équipes d’inspecteurs du travail, ce qui permettra de contrôler la mise en œuvre de la législation du travail et des dispositions relatives à la sécurité industrielle dans toutes les inspections du travail au niveau national et de couvrir ainsi:</w:t>
      </w:r>
    </w:p>
    <w:p w:rsidR="00000000" w:rsidRDefault="00000000">
      <w:pPr>
        <w:spacing w:after="240"/>
        <w:ind w:left="567" w:firstLine="567"/>
        <w:rPr>
          <w:rFonts w:eastAsia="MS Mincho"/>
        </w:rPr>
      </w:pPr>
      <w:r>
        <w:rPr>
          <w:rFonts w:eastAsia="MS Mincho"/>
        </w:rPr>
        <w:t>a)</w:t>
      </w:r>
      <w:r>
        <w:rPr>
          <w:rFonts w:eastAsia="MS Mincho"/>
        </w:rPr>
        <w:tab/>
        <w:t>Les lieux de travail dans toutes les branches d’activité qui emploient des salariés, y compris les entreprises d’État, les centres agricoles et les autres entreprises relevant de la loi générale relative à l’emploi;</w:t>
      </w:r>
    </w:p>
    <w:p w:rsidR="00000000" w:rsidRDefault="00000000">
      <w:pPr>
        <w:spacing w:after="240"/>
        <w:ind w:left="567" w:firstLine="567"/>
        <w:rPr>
          <w:rFonts w:eastAsia="MS Mincho"/>
        </w:rPr>
      </w:pPr>
      <w:r>
        <w:rPr>
          <w:rFonts w:eastAsia="MS Mincho"/>
        </w:rPr>
        <w:t>b)</w:t>
      </w:r>
      <w:r>
        <w:rPr>
          <w:rFonts w:eastAsia="MS Mincho"/>
        </w:rPr>
        <w:tab/>
        <w:t xml:space="preserve">Les moyens de transport en général, les entreprises privatisées et toute structure entrepreneuriale où existe une relation employeur/employé. </w:t>
      </w:r>
    </w:p>
    <w:p w:rsidR="00000000" w:rsidRDefault="00000000">
      <w:pPr>
        <w:spacing w:after="240"/>
        <w:ind w:left="567" w:firstLine="567"/>
      </w:pPr>
      <w:r>
        <w:t>Afin que le personnel de l’Inspection du travail puisse exercer un contrôle effectif, il a été entrepris d’équiper le Ministère du travail d’un système informatique qui permettra aux agents d’organiser les activités d’inspection de manière systématique, intégrée et transversale, de manière à contribuer aux actions de suivi et d’évaluation périodiques des relations professionnelles. Faute de ressources, ce système n’est pas encore opérationnel.</w:t>
      </w:r>
    </w:p>
    <w:p w:rsidR="00000000" w:rsidRDefault="00000000">
      <w:pPr>
        <w:spacing w:after="240"/>
        <w:ind w:left="567" w:firstLine="567"/>
      </w:pPr>
      <w:r>
        <w:t>Le Gouvernement bolivien fait savoir qu’afin de mettre en œuvre les recommandations de l’OIT, il a sollicité, par l’intermédiaire du Ministère du travail, une assistance technique en vue d’entamer une réorganisation de ce ministère et, en particulier de l’Inspection du travail dont il souhaite faire un organisme efficient et efficace dans la défense des droits des travailleurs et des employeurs.</w:t>
      </w:r>
    </w:p>
    <w:p w:rsidR="00000000" w:rsidRDefault="00000000">
      <w:pPr>
        <w:spacing w:after="240"/>
        <w:ind w:left="567" w:firstLine="567"/>
      </w:pPr>
      <w:r>
        <w:t>Enfin, il convient de signaler qu’une mission de l’OIT</w:t>
      </w:r>
      <w:r>
        <w:noBreakHyphen/>
        <w:t xml:space="preserve">Regional Lima, composée de Rosa Fuentes et Adolfo Ciudad, s’est rendue en Bolivie du 7 au 10 septembre et y a tenu des réunions avec plusieurs représentants du Ministère du travail. Ils ont élaboré conjointement une proposition de restructuration institutionnelle s’inscrivant dans le plan annuel opérationnel 2005, qui sera mise en œuvre avec l’assistance technique de l’OIT et qui, dans ses grandes lignes, se traduira par la création d’un département de statistique, la mise en place de réformes de l’Inspection du travail visant à en améliorer le fonctionnement et la qualité et le renforcement des directions départementales et régionales du travail (annexe </w:t>
      </w:r>
      <w:r>
        <w:rPr>
          <w:rFonts w:eastAsia="MS Mincho"/>
        </w:rPr>
        <w:t>n</w:t>
      </w:r>
      <w:r>
        <w:rPr>
          <w:rFonts w:eastAsia="MS Mincho"/>
          <w:vertAlign w:val="superscript"/>
        </w:rPr>
        <w:t>o</w:t>
      </w:r>
      <w:r>
        <w:t> 3 b)).</w:t>
      </w:r>
    </w:p>
    <w:p w:rsidR="00000000" w:rsidRDefault="00000000">
      <w:pPr>
        <w:spacing w:after="240"/>
      </w:pPr>
      <w:r>
        <w:t>43.</w:t>
      </w:r>
      <w:r>
        <w:tab/>
        <w:t>L’État bolivien a également présenté le mémoire ci</w:t>
      </w:r>
      <w:r>
        <w:noBreakHyphen/>
        <w:t xml:space="preserve">après concernant la Convention de l’OIT </w:t>
      </w:r>
      <w:r>
        <w:rPr>
          <w:rFonts w:eastAsia="MS Mincho"/>
        </w:rPr>
        <w:t>n</w:t>
      </w:r>
      <w:r>
        <w:rPr>
          <w:rFonts w:eastAsia="MS Mincho"/>
          <w:vertAlign w:val="superscript"/>
        </w:rPr>
        <w:t>o</w:t>
      </w:r>
      <w:r>
        <w:t> 129 et couvrant la période 2000</w:t>
      </w:r>
      <w:r>
        <w:noBreakHyphen/>
        <w:t xml:space="preserve">2004: </w:t>
      </w:r>
    </w:p>
    <w:p w:rsidR="00000000" w:rsidRDefault="00000000">
      <w:pPr>
        <w:keepNext/>
        <w:spacing w:after="240"/>
        <w:ind w:left="567"/>
        <w:jc w:val="center"/>
        <w:rPr>
          <w:b/>
          <w:bCs/>
        </w:rPr>
      </w:pPr>
      <w:r>
        <w:rPr>
          <w:b/>
          <w:bCs/>
        </w:rPr>
        <w:t>CONVENTION SUR L’INSPECTION DU TRAVAIL (AGRICULTURE)</w:t>
      </w:r>
    </w:p>
    <w:p w:rsidR="00000000" w:rsidRDefault="00000000">
      <w:pPr>
        <w:keepNext/>
        <w:spacing w:after="240"/>
        <w:ind w:left="567"/>
        <w:jc w:val="center"/>
        <w:rPr>
          <w:b/>
          <w:bCs/>
        </w:rPr>
      </w:pPr>
      <w:r>
        <w:rPr>
          <w:b/>
          <w:bCs/>
        </w:rPr>
        <w:t xml:space="preserve">Convention </w:t>
      </w:r>
      <w:r>
        <w:rPr>
          <w:rFonts w:eastAsia="MS Mincho"/>
          <w:b/>
          <w:bCs/>
        </w:rPr>
        <w:t>n</w:t>
      </w:r>
      <w:r>
        <w:rPr>
          <w:rFonts w:eastAsia="MS Mincho"/>
          <w:b/>
          <w:bCs/>
          <w:vertAlign w:val="superscript"/>
        </w:rPr>
        <w:t>o</w:t>
      </w:r>
      <w:r>
        <w:rPr>
          <w:b/>
          <w:bCs/>
        </w:rPr>
        <w:t> 129</w:t>
      </w:r>
    </w:p>
    <w:p w:rsidR="00000000" w:rsidRDefault="00000000">
      <w:pPr>
        <w:keepNext/>
        <w:spacing w:after="240"/>
        <w:ind w:left="567"/>
        <w:jc w:val="center"/>
        <w:rPr>
          <w:b/>
          <w:bCs/>
        </w:rPr>
      </w:pPr>
      <w:r>
        <w:rPr>
          <w:b/>
          <w:bCs/>
        </w:rPr>
        <w:t>Ratifiée par la Bolivie en 1977</w:t>
      </w:r>
    </w:p>
    <w:p w:rsidR="00000000" w:rsidRDefault="00000000">
      <w:pPr>
        <w:spacing w:after="240"/>
        <w:ind w:left="567" w:firstLine="567"/>
      </w:pPr>
      <w:r>
        <w:t>La Bolivie traverse une crise économique qui touche les activités du secteur public/d’État et du secteur privé et qui se manifeste dans différents domaines et sous plusieurs aspects. Du fait de ces crises qui affectent également l’État, le Gouvernement bolivien doit faire face à des restrictions d’ordre économique et financier qui l’empêchent d’exercer de manière adéquate un contrôle rigoureux du respect de la législation du travail et des normes de sécurité industrielle dans le secteur agricole.</w:t>
      </w:r>
    </w:p>
    <w:p w:rsidR="00000000" w:rsidRDefault="00000000">
      <w:pPr>
        <w:spacing w:after="240"/>
        <w:ind w:left="567" w:firstLine="567"/>
      </w:pPr>
      <w:r>
        <w:t>En toute logique, le secteur agricole compte sur la protection de l’État contre les atteintes aux droits sociaux des travailleurs. À cette fin, et malgré les restrictions susmentionnées, le Ministère du travail, par l’intermédiaire de la Direction générale du travail, a entrepris un projet pilote dans quatre régions du territoire national, afin d’accroître le degré de garantie, de sécurité et de soutien apportés aux travailleurs comme aux employeurs. Les régions en question sont Bermejo, Yacuiba, Villamontes et Riberalta, les trois premières étant situées dans le département de Tarija et la dernière dans le département de Beni.</w:t>
      </w:r>
    </w:p>
    <w:p w:rsidR="00000000" w:rsidRDefault="00000000">
      <w:pPr>
        <w:spacing w:after="240"/>
        <w:ind w:left="567" w:firstLine="567"/>
      </w:pPr>
      <w:r>
        <w:t xml:space="preserve">Le Ministère du travail considère que les fonctionnaires en service dans les régions agricoles susmentionnées s’acquittent de leur mission dans la limite de leurs possibilités, en se fondant sur les prescriptions énoncées dans la loi relative à l’emploi et dans son décret d’application ainsi que sur les autres normes connexes. </w:t>
      </w:r>
    </w:p>
    <w:p w:rsidR="00000000" w:rsidRDefault="00000000">
      <w:pPr>
        <w:spacing w:after="240"/>
        <w:ind w:left="567" w:firstLine="567"/>
      </w:pPr>
      <w:r>
        <w:t>L’objectif visé est qu’une fois consolidé et implanté le système national d’inspection du travail, celui</w:t>
      </w:r>
      <w:r>
        <w:noBreakHyphen/>
        <w:t>ci sera adapté au secteur agricole de manière à pouvoir exercer effectivement le rôle que lui confère la réglementation en vigueur. Avec l’appui de l’OIT et dans le cadre de la restructuration du Ministère du travail, laquelle présente une importance fondamentale pour l’avenir immédiat, il s’agit de renforcer les inspections des régions mentionnées plus haut qui, de par leurs particularités, sont les plus indiquées pour mettre en œuvre ce projet pilote.</w:t>
      </w:r>
    </w:p>
    <w:p w:rsidR="00000000" w:rsidRDefault="00000000">
      <w:pPr>
        <w:spacing w:after="240"/>
        <w:ind w:left="567" w:firstLine="567"/>
      </w:pPr>
      <w:r>
        <w:t>En effet, Bermejo est une ville située dans le département de Tarija, au sud</w:t>
      </w:r>
      <w:r>
        <w:noBreakHyphen/>
        <w:t>est de la Bolivie, où l’activité principale est la production de canne à sucre. Pour sa part, la ville de Riberalta est située au nord</w:t>
      </w:r>
      <w:r>
        <w:noBreakHyphen/>
        <w:t>est du pays, dans le département de Beni, et fait partie de ce qu’on appelle l’Amazonie bolivienne. La principale activité économique de cette zone est la production de châtaignes. En troisième lieu vient la ville de Yacuiba, située aussi dans le département de Tarija, où les principales activités sont l’élevage et la pêche mais où il existe également une forte activité commerciale puisqu’il s’agit d’une zone frontalière avec la République argentine. Enfin, dans la ville de Villamontes, située également dans le département de Tarija, la principale activité est la pêche.</w:t>
      </w:r>
    </w:p>
    <w:p w:rsidR="00000000" w:rsidRDefault="00000000">
      <w:pPr>
        <w:spacing w:after="240"/>
        <w:ind w:left="567" w:firstLine="567"/>
      </w:pPr>
      <w:r>
        <w:t>Pour une meilleure description des zones en question, il convient de noter que les villes de Bermajo, Yacuiba et Villamontes, dans le département de Tarija, font partie de ce que l’on appelle le Chaco bolivien, territoire où vivent des peuples autochtones comme les Weenhayeks ou les Matacos, qui se consacrent principalement à la pêche. À Riberalta vivent les Esse Ejjas, appelés jusqu’à ces dernières années Chamas, qui produisent des châtaignes et du caoutchouc, à moindre échelle pour ce dernier depuis quelques années.</w:t>
      </w:r>
    </w:p>
    <w:p w:rsidR="00000000" w:rsidRDefault="00000000">
      <w:pPr>
        <w:spacing w:after="240"/>
        <w:ind w:left="567" w:firstLine="567"/>
      </w:pPr>
      <w:r>
        <w:t xml:space="preserve">Tous les lieux mentionnés présentent de fortes inégalités sociales qui ont aussi une composante raciale. Par exemple, dans le département de Tarija et plus précisément dans les villes citées, il y a des propriétaires de terrains agricoles qui ne sont pas travaillés; ces créoles, descendants d’Européens (essentiellement des Espagnols) exploitent et marginalisent les autochtones qui vivent dans la zone. À ce propos, il ne faut pas oublier que dans d’autres provinces du Chaco bolivien situées dans le département de Chuquisaca, il existe des communautés autochtones captives en faveur desquelles le Gouvernement est en train de prendre des mesures avec l’assistance technique de l’OIT, en application de la Convention </w:t>
      </w:r>
      <w:r>
        <w:rPr>
          <w:rFonts w:eastAsia="MS Mincho"/>
        </w:rPr>
        <w:t>n</w:t>
      </w:r>
      <w:r>
        <w:rPr>
          <w:rFonts w:eastAsia="MS Mincho"/>
          <w:vertAlign w:val="superscript"/>
        </w:rPr>
        <w:t>o</w:t>
      </w:r>
      <w:r>
        <w:t> 105.</w:t>
      </w:r>
    </w:p>
    <w:p w:rsidR="00000000" w:rsidRDefault="00000000">
      <w:pPr>
        <w:spacing w:after="240"/>
        <w:ind w:left="567" w:firstLine="567"/>
      </w:pPr>
      <w:r>
        <w:t>La localité de Yacuiba étant située à la frontière avec l’Argentine, l’activité commerciale, très importante, s’y déroule dans un contexte de contrebande ouverte dont les «</w:t>
      </w:r>
      <w:r>
        <w:rPr>
          <w:i/>
          <w:iCs/>
        </w:rPr>
        <w:t>bagalleros</w:t>
      </w:r>
      <w:r>
        <w:t xml:space="preserve">» (personnes qui pratiquent la «contrebande fourmi») sont les principaux acteurs. C’est précisément dans cette région que s’est constitué le Mouvement des sans terre, qui s’est ensuite étendu à d’autres régions du territoire national. </w:t>
      </w:r>
    </w:p>
    <w:p w:rsidR="00000000" w:rsidRDefault="00000000">
      <w:pPr>
        <w:keepLines/>
        <w:spacing w:after="240"/>
        <w:ind w:left="567" w:firstLine="567"/>
      </w:pPr>
      <w:r>
        <w:t>À Riberalta, on observe également une surexploitation de la main</w:t>
      </w:r>
      <w:r>
        <w:noBreakHyphen/>
        <w:t>d’œuvre autochtone par les employeurs, qui se caractérise par des conditions de travail inadéquates et qui est renforcée par l’existence d’un système institutionnel peu solidaire et passif face au mépris affiché à l’égard de la protection sociale des travailleurs.</w:t>
      </w:r>
    </w:p>
    <w:p w:rsidR="00000000" w:rsidRDefault="00000000">
      <w:pPr>
        <w:spacing w:after="240"/>
        <w:ind w:left="567" w:firstLine="567"/>
      </w:pPr>
      <w:r>
        <w:t xml:space="preserve">Compte tenu de cette situation, le Ministère du travail a manifestement adopté une décision qui revêtira une importance notable en ce qu’elle assurera la présence, dans les zones agricoles, d’inspecteurs du travail dotés de compétences et de ressources suffisantes pour mettre en œuvre les dispositions de la loi générale relative à l’emploi et de son décret d’application ainsi que les normes internationales du travail. Ces objectifs devraient être atteints avec la mise en œuvre du projet de restructuration du Ministère du travail, entreprise avec l’assistance technique de l’OIT (annexe </w:t>
      </w:r>
      <w:r>
        <w:rPr>
          <w:rFonts w:eastAsia="MS Mincho"/>
        </w:rPr>
        <w:t>n</w:t>
      </w:r>
      <w:r>
        <w:rPr>
          <w:rFonts w:eastAsia="MS Mincho"/>
          <w:vertAlign w:val="superscript"/>
        </w:rPr>
        <w:t>o</w:t>
      </w:r>
      <w:r>
        <w:t> 3 f)).</w:t>
      </w:r>
    </w:p>
    <w:p w:rsidR="00000000" w:rsidRDefault="00000000">
      <w:pPr>
        <w:keepNext/>
        <w:spacing w:after="240"/>
        <w:jc w:val="center"/>
        <w:rPr>
          <w:b/>
          <w:bCs/>
        </w:rPr>
      </w:pPr>
      <w:r>
        <w:rPr>
          <w:b/>
          <w:bCs/>
        </w:rPr>
        <w:t>LA MÊME POSSIBILITÉ POUR TOUS D’ÊTRE PROMUS, DANS LEUR</w:t>
      </w:r>
      <w:r>
        <w:rPr>
          <w:b/>
          <w:bCs/>
        </w:rPr>
        <w:br/>
        <w:t>TRAVAIL, À LA CATÉGORIE SUPÉRIEURE APPROPRIÉE, ET DROIT</w:t>
      </w:r>
      <w:r>
        <w:rPr>
          <w:b/>
          <w:bCs/>
        </w:rPr>
        <w:br/>
        <w:t>AU REPOS, AUX LOISIRS, À LA LIMITATION RAISONNABLE DE LA</w:t>
      </w:r>
      <w:r>
        <w:rPr>
          <w:b/>
          <w:bCs/>
        </w:rPr>
        <w:br/>
        <w:t>DURÉE DU TRAVAIL ET AUX CONGÉS PAYÉS PÉRIODIQUES,</w:t>
      </w:r>
      <w:r>
        <w:rPr>
          <w:b/>
          <w:bCs/>
        </w:rPr>
        <w:br/>
        <w:t>AINSI QU’À LA RÉMUNÉRATION DES JOURS FÉRIÉS</w:t>
      </w:r>
    </w:p>
    <w:p w:rsidR="00000000" w:rsidRDefault="00000000">
      <w:pPr>
        <w:spacing w:after="240"/>
      </w:pPr>
      <w:r>
        <w:t>44.</w:t>
      </w:r>
      <w:r>
        <w:tab/>
        <w:t xml:space="preserve">Les procédures d’inspection permettent de vérifier le respect des normes du travail et des règlements internes de chaque entreprise, qui doivent permettre les promotions et avancements obligatoires conformément à l’article 65 de la loi générale relative à l’emploi. Il s’agit également d’examiner les conditions de travail de chaque employé, ce qui suppose d’examiner les barèmes des traitements et salaires (annexe </w:t>
      </w:r>
      <w:r>
        <w:rPr>
          <w:rFonts w:eastAsia="MS Mincho"/>
        </w:rPr>
        <w:t>n</w:t>
      </w:r>
      <w:r>
        <w:rPr>
          <w:rFonts w:eastAsia="MS Mincho"/>
          <w:vertAlign w:val="superscript"/>
        </w:rPr>
        <w:t>o</w:t>
      </w:r>
      <w:r>
        <w:t> 10).</w:t>
      </w:r>
    </w:p>
    <w:p w:rsidR="00000000" w:rsidRDefault="00000000">
      <w:pPr>
        <w:spacing w:after="240"/>
      </w:pPr>
      <w:r>
        <w:t>45.</w:t>
      </w:r>
      <w:r>
        <w:tab/>
        <w:t>Le Ministère du travail est l’organe chargé de recevoir les plaintes pour infraction à la législation du travail et d’organiser la conciliation ou les inspections nécessaires pour s’assurer qu’employeurs et employés respectent les normes du travail en vigueur. Le nombre de conciliations, qui a triplé au cours des quatre dernières années, est en moyenne de 30 par jour; il n’y a malheureusement pas de statistiques relatives aux inspections effectuées étant donné que le Ministère du travail n’a pas encore de bureau chargé de recueillir ce type de données.</w:t>
      </w:r>
    </w:p>
    <w:p w:rsidR="00000000" w:rsidRDefault="00000000">
      <w:pPr>
        <w:keepNext/>
        <w:spacing w:after="240"/>
        <w:jc w:val="center"/>
        <w:rPr>
          <w:b/>
          <w:bCs/>
          <w:lang w:val="fr-FR"/>
        </w:rPr>
      </w:pPr>
      <w:r>
        <w:rPr>
          <w:b/>
          <w:bCs/>
          <w:lang w:val="fr-FR"/>
        </w:rPr>
        <w:br w:type="page"/>
        <w:t>TABLEAUX STATISTIQUES</w:t>
      </w:r>
    </w:p>
    <w:p w:rsidR="00000000" w:rsidRDefault="00000000">
      <w:pPr>
        <w:keepNext/>
        <w:spacing w:after="180"/>
        <w:jc w:val="center"/>
        <w:rPr>
          <w:b/>
          <w:bCs/>
          <w:lang w:val="fr-FR"/>
        </w:rPr>
      </w:pPr>
      <w:r>
        <w:rPr>
          <w:b/>
          <w:bCs/>
          <w:lang w:val="fr-FR"/>
        </w:rPr>
        <w:t>Tableau 1</w:t>
      </w:r>
    </w:p>
    <w:p w:rsidR="00000000" w:rsidRDefault="00000000">
      <w:pPr>
        <w:keepNext/>
        <w:spacing w:after="180"/>
        <w:jc w:val="center"/>
        <w:rPr>
          <w:b/>
          <w:bCs/>
          <w:lang w:val="fr-FR"/>
        </w:rPr>
      </w:pPr>
      <w:r>
        <w:rPr>
          <w:b/>
          <w:bCs/>
          <w:lang w:val="fr-FR"/>
        </w:rPr>
        <w:t xml:space="preserve">Bolivie: Moyenne hebdomadaire d’heures de travail dans l’emploi principal, </w:t>
      </w:r>
      <w:r>
        <w:rPr>
          <w:b/>
          <w:bCs/>
          <w:lang w:val="fr-FR"/>
        </w:rPr>
        <w:br/>
        <w:t>par année, par sexe et par catégorie professionnelle, 1999</w:t>
      </w:r>
      <w:r>
        <w:rPr>
          <w:b/>
          <w:bCs/>
          <w:lang w:val="fr-FR"/>
        </w:rPr>
        <w:noBreakHyphen/>
        <w:t>2003</w:t>
      </w:r>
      <w:r>
        <w:rPr>
          <w:b/>
          <w:bCs/>
          <w:i/>
          <w:iCs/>
          <w:vertAlign w:val="superscript"/>
          <w:lang w:val="fr-FR"/>
        </w:rPr>
        <w:t>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0"/>
        <w:gridCol w:w="1141"/>
        <w:gridCol w:w="1141"/>
        <w:gridCol w:w="1141"/>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lang w:val="fr-FR"/>
              </w:rPr>
            </w:pPr>
            <w:r>
              <w:rPr>
                <w:sz w:val="20"/>
                <w:lang w:val="fr-FR"/>
              </w:rPr>
              <w:t>Catégorie professionnelle</w:t>
            </w:r>
          </w:p>
        </w:tc>
        <w:tc>
          <w:tcPr>
            <w:tcW w:w="1141"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1999</w:t>
            </w:r>
          </w:p>
        </w:tc>
        <w:tc>
          <w:tcPr>
            <w:tcW w:w="1141"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2000</w:t>
            </w:r>
          </w:p>
        </w:tc>
        <w:tc>
          <w:tcPr>
            <w:tcW w:w="1141"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2001</w:t>
            </w:r>
          </w:p>
        </w:tc>
        <w:tc>
          <w:tcPr>
            <w:tcW w:w="1141"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2002</w:t>
            </w:r>
          </w:p>
        </w:tc>
        <w:tc>
          <w:tcPr>
            <w:tcW w:w="1142"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2003</w:t>
            </w:r>
            <w:r>
              <w:rPr>
                <w:b/>
                <w:bCs/>
                <w:i/>
                <w:iCs/>
                <w:sz w:val="20"/>
                <w:vertAlign w:val="superscript"/>
                <w:lang w:val="fr-FR"/>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lang w:val="fr-FR"/>
              </w:rPr>
            </w:pPr>
            <w:r>
              <w:rPr>
                <w:b/>
                <w:bCs/>
                <w:sz w:val="20"/>
                <w:lang w:val="fr-FR"/>
              </w:rPr>
              <w:t>TOTAL</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42,85</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45,04</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39,60</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42,89</w:t>
            </w:r>
          </w:p>
        </w:tc>
        <w:tc>
          <w:tcPr>
            <w:tcW w:w="1142"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42,93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Directeurs et chefs d’entreprise,</w:t>
            </w:r>
            <w:r>
              <w:rPr>
                <w:sz w:val="20"/>
                <w:lang w:val="fr-FR"/>
              </w:rPr>
              <w:br/>
              <w:t>secteurs public et privé</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50,58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47,84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47,13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51,83</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43,34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Cadres supérieurs et membres de professions libérales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34,60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42,14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34,63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35,84</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37,42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Techniciens et cadres moyens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36,85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33,25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38,46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37,73</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36,22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Employés de bureau</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44,31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43,05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42,02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46,80</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45,30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et commerce</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48,82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52,06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43,81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49,93</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48,70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Agriculture, élevage et pêche</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38,06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41,55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37,21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36,99</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39,26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Industries extractives, bâtiment</w:t>
            </w:r>
            <w:r>
              <w:rPr>
                <w:sz w:val="20"/>
                <w:lang w:val="fr-FR"/>
              </w:rPr>
              <w:br/>
              <w:t>et travaux publics, industries manufacturières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44,75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46,54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41,80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45,61</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43,44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Conducteurs d’installations</w:t>
            </w:r>
            <w:r>
              <w:rPr>
                <w:sz w:val="20"/>
                <w:lang w:val="fr-FR"/>
              </w:rPr>
              <w:br/>
              <w:t>et de machines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58,69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58,52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55,13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60,71</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58,53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Travailleurs non qualifiés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46,26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46,50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35,07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45,57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43,26</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lang w:val="fr-FR"/>
              </w:rPr>
            </w:pPr>
            <w:r>
              <w:rPr>
                <w:sz w:val="20"/>
                <w:lang w:val="fr-FR"/>
              </w:rPr>
              <w:t>Forces armées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38,34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48,65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42,80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48,21</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46,14</w:t>
            </w:r>
          </w:p>
        </w:tc>
      </w:tr>
      <w:tr w:rsidR="00000000">
        <w:tblPrEx>
          <w:tblCellMar>
            <w:top w:w="0" w:type="dxa"/>
            <w:bottom w:w="0" w:type="dxa"/>
          </w:tblCellMar>
        </w:tblPrEx>
        <w:tc>
          <w:tcPr>
            <w:tcW w:w="3790" w:type="dxa"/>
            <w:tcBorders>
              <w:bottom w:val="nil"/>
            </w:tcBorders>
            <w:vAlign w:val="bottom"/>
          </w:tcPr>
          <w:p w:rsidR="00000000" w:rsidRDefault="00000000">
            <w:pPr>
              <w:keepNext/>
              <w:spacing w:before="60" w:after="60"/>
              <w:rPr>
                <w:b/>
                <w:bCs/>
                <w:sz w:val="20"/>
                <w:lang w:val="fr-FR"/>
              </w:rPr>
            </w:pPr>
            <w:r>
              <w:rPr>
                <w:b/>
                <w:bCs/>
                <w:sz w:val="20"/>
                <w:lang w:val="fr-FR"/>
              </w:rPr>
              <w:t>HOMMES</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44,52</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46,94</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42,22</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45,22</w:t>
            </w:r>
          </w:p>
        </w:tc>
        <w:tc>
          <w:tcPr>
            <w:tcW w:w="1142"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45,39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Directeurs et chefs d’entreprise,</w:t>
            </w:r>
            <w:r>
              <w:rPr>
                <w:sz w:val="20"/>
                <w:lang w:val="fr-FR"/>
              </w:rPr>
              <w:br/>
              <w:t>secteurs public et privé</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52,41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48,69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46,30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53,67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42,77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Cadres supérieurs et membres de professions libérales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36,62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43,36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37,46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39,77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36,71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Techniciens et cadres moyens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37,72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36,67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39,98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39,77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36,01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Employés de bureau</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48,13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45,77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47,02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46,98</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46,19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et commerce</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48,11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55,92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44,41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52,47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51,53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Agriculture, élevage et pêche</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38,82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42,79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38,97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40,69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Industries extractives, bâtiment</w:t>
            </w:r>
            <w:r>
              <w:rPr>
                <w:sz w:val="20"/>
                <w:lang w:val="fr-FR"/>
              </w:rPr>
              <w:br/>
              <w:t>et travaux publics, industries manufacturières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47,48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48,36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44,72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48,45</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47,49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Conducteurs d’installations</w:t>
            </w:r>
            <w:r>
              <w:rPr>
                <w:sz w:val="20"/>
                <w:lang w:val="fr-FR"/>
              </w:rPr>
              <w:br/>
              <w:t>et de machines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58,78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58,72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55,26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61,20</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59,13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Travailleurs non qualifiés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52,20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51,60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37,60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48,39</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50,26</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lang w:val="fr-FR"/>
              </w:rPr>
            </w:pPr>
            <w:r>
              <w:rPr>
                <w:sz w:val="20"/>
                <w:lang w:val="fr-FR"/>
              </w:rPr>
              <w:t>Forces armées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38,34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48,65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42,80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48,21</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46,14</w:t>
            </w:r>
          </w:p>
        </w:tc>
      </w:tr>
      <w:tr w:rsidR="00000000">
        <w:tblPrEx>
          <w:tblCellMar>
            <w:top w:w="0" w:type="dxa"/>
            <w:bottom w:w="0" w:type="dxa"/>
          </w:tblCellMar>
        </w:tblPrEx>
        <w:tc>
          <w:tcPr>
            <w:tcW w:w="3790" w:type="dxa"/>
            <w:tcBorders>
              <w:bottom w:val="nil"/>
            </w:tcBorders>
            <w:vAlign w:val="bottom"/>
          </w:tcPr>
          <w:p w:rsidR="00000000" w:rsidRDefault="00000000">
            <w:pPr>
              <w:keepNext/>
              <w:pageBreakBefore/>
              <w:spacing w:before="60" w:after="60"/>
              <w:rPr>
                <w:b/>
                <w:bCs/>
                <w:sz w:val="20"/>
                <w:lang w:val="fr-FR"/>
              </w:rPr>
            </w:pPr>
            <w:r>
              <w:rPr>
                <w:b/>
                <w:bCs/>
                <w:sz w:val="20"/>
                <w:lang w:val="fr-FR"/>
              </w:rPr>
              <w:t>FEMMES</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40,80</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42,64</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36,43</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39,87</w:t>
            </w:r>
          </w:p>
        </w:tc>
        <w:tc>
          <w:tcPr>
            <w:tcW w:w="1142"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39,84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Directrices et chefs d’entreprise,</w:t>
            </w:r>
            <w:r>
              <w:rPr>
                <w:sz w:val="20"/>
                <w:lang w:val="fr-FR"/>
              </w:rPr>
              <w:br/>
              <w:t>secteurs public et privé</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45,92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46,48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51,03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44,31</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44,88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Cadres supérieurs et membres de professions libérales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32,20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40,11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31,70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31,84</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37,97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Techniciennes et cadres moyens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34,98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28,30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34,85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33,43</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36,69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Employées de bureau</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41,15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40,96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38,72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46,64</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44,50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et commerce</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49,07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50,47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43,57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48,93</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47,31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Agriculture, élevage et pêche</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37,19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39,91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34,45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34,24</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37,41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Industries extractives, bâtiment</w:t>
            </w:r>
            <w:r>
              <w:rPr>
                <w:sz w:val="20"/>
                <w:lang w:val="fr-FR"/>
              </w:rPr>
              <w:br/>
              <w:t>et travaux publics, industries manufacturières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36,26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39,55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32,43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38,11</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32,71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Conductrices d’installations</w:t>
            </w:r>
            <w:r>
              <w:rPr>
                <w:sz w:val="20"/>
                <w:lang w:val="fr-FR"/>
              </w:rPr>
              <w:br/>
              <w:t>et de machines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46,20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45,62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36,35</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20,35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Travailleuses non qualifiées</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42,75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43,91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33,48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43,38</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38,87</w:t>
            </w:r>
          </w:p>
        </w:tc>
      </w:tr>
      <w:tr w:rsidR="00000000">
        <w:tblPrEx>
          <w:tblCellMar>
            <w:top w:w="0" w:type="dxa"/>
            <w:bottom w:w="0" w:type="dxa"/>
          </w:tblCellMar>
        </w:tblPrEx>
        <w:tc>
          <w:tcPr>
            <w:tcW w:w="3790" w:type="dxa"/>
            <w:tcBorders>
              <w:top w:val="nil"/>
            </w:tcBorders>
            <w:vAlign w:val="bottom"/>
          </w:tcPr>
          <w:p w:rsidR="00000000" w:rsidRDefault="00000000">
            <w:pPr>
              <w:spacing w:before="60" w:after="60"/>
              <w:ind w:left="284"/>
              <w:rPr>
                <w:sz w:val="20"/>
                <w:lang w:val="fr-FR"/>
              </w:rPr>
            </w:pPr>
            <w:r>
              <w:rPr>
                <w:sz w:val="20"/>
                <w:lang w:val="fr-FR"/>
              </w:rPr>
              <w:t>Forces armées</w:t>
            </w:r>
          </w:p>
        </w:tc>
        <w:tc>
          <w:tcPr>
            <w:tcW w:w="1141"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p>
        </w:tc>
        <w:tc>
          <w:tcPr>
            <w:tcW w:w="1141"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p>
        </w:tc>
        <w:tc>
          <w:tcPr>
            <w:tcW w:w="1141"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p>
        </w:tc>
        <w:tc>
          <w:tcPr>
            <w:tcW w:w="1141"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p>
        </w:tc>
        <w:tc>
          <w:tcPr>
            <w:tcW w:w="1142"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keepNext/>
        <w:spacing w:after="180"/>
        <w:jc w:val="center"/>
        <w:rPr>
          <w:b/>
          <w:bCs/>
          <w:lang w:val="fr-FR"/>
        </w:rPr>
      </w:pPr>
      <w:r>
        <w:rPr>
          <w:b/>
          <w:bCs/>
          <w:lang w:val="fr-FR"/>
        </w:rPr>
        <w:br w:type="page"/>
        <w:t>Tableau 1.1</w:t>
      </w:r>
    </w:p>
    <w:p w:rsidR="00000000" w:rsidRDefault="00000000">
      <w:pPr>
        <w:keepNext/>
        <w:spacing w:after="180"/>
        <w:jc w:val="center"/>
        <w:rPr>
          <w:b/>
          <w:bCs/>
          <w:lang w:val="fr-FR"/>
        </w:rPr>
      </w:pPr>
      <w:r>
        <w:rPr>
          <w:b/>
          <w:bCs/>
          <w:lang w:val="fr-FR"/>
        </w:rPr>
        <w:t>Bolivie − Zones urbaines: Moyenne hebdomadaire d’heures de travail dans l’emploi principal, par année, par sexe et par catégorie professionnelle, 1999</w:t>
      </w:r>
      <w:r>
        <w:rPr>
          <w:b/>
          <w:bCs/>
          <w:lang w:val="fr-FR"/>
        </w:rPr>
        <w:noBreakHyphen/>
        <w:t>2003</w:t>
      </w:r>
      <w:r>
        <w:rPr>
          <w:b/>
          <w:bCs/>
          <w:i/>
          <w:iCs/>
          <w:vertAlign w:val="superscript"/>
          <w:lang w:val="fr-FR"/>
        </w:rPr>
        <w:t>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0"/>
        <w:gridCol w:w="1141"/>
        <w:gridCol w:w="1141"/>
        <w:gridCol w:w="1141"/>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lang w:val="fr-FR"/>
              </w:rPr>
            </w:pPr>
            <w:r>
              <w:rPr>
                <w:sz w:val="20"/>
                <w:lang w:val="fr-FR"/>
              </w:rPr>
              <w:t>Catégorie professionnelle</w:t>
            </w:r>
          </w:p>
        </w:tc>
        <w:tc>
          <w:tcPr>
            <w:tcW w:w="1141"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1999</w:t>
            </w:r>
          </w:p>
        </w:tc>
        <w:tc>
          <w:tcPr>
            <w:tcW w:w="1141"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2000</w:t>
            </w:r>
          </w:p>
        </w:tc>
        <w:tc>
          <w:tcPr>
            <w:tcW w:w="1141"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2001</w:t>
            </w:r>
          </w:p>
        </w:tc>
        <w:tc>
          <w:tcPr>
            <w:tcW w:w="1141"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2002</w:t>
            </w:r>
          </w:p>
        </w:tc>
        <w:tc>
          <w:tcPr>
            <w:tcW w:w="1142"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2003</w:t>
            </w:r>
            <w:r>
              <w:rPr>
                <w:b/>
                <w:bCs/>
                <w:i/>
                <w:iCs/>
                <w:sz w:val="20"/>
                <w:vertAlign w:val="superscript"/>
                <w:lang w:val="fr-FR"/>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lang w:val="fr-FR"/>
              </w:rPr>
            </w:pPr>
            <w:r>
              <w:rPr>
                <w:b/>
                <w:bCs/>
                <w:sz w:val="20"/>
                <w:lang w:val="fr-FR"/>
              </w:rPr>
              <w:t>TOTAL</w:t>
            </w:r>
          </w:p>
        </w:tc>
        <w:tc>
          <w:tcPr>
            <w:tcW w:w="1141" w:type="dxa"/>
            <w:tcBorders>
              <w:bottom w:val="single" w:sz="4" w:space="0" w:color="auto"/>
            </w:tcBorders>
            <w:vAlign w:val="bottom"/>
          </w:tcPr>
          <w:p w:rsidR="00000000" w:rsidRDefault="00000000">
            <w:pPr>
              <w:tabs>
                <w:tab w:val="decimal" w:pos="419"/>
              </w:tabs>
              <w:spacing w:before="60" w:after="60"/>
              <w:jc w:val="right"/>
              <w:rPr>
                <w:b/>
                <w:bCs/>
                <w:sz w:val="20"/>
                <w:szCs w:val="22"/>
                <w:lang w:val="es-ES_tradnl"/>
              </w:rPr>
            </w:pPr>
            <w:r>
              <w:rPr>
                <w:b/>
                <w:bCs/>
                <w:sz w:val="20"/>
                <w:szCs w:val="22"/>
                <w:lang w:val="es-ES_tradnl"/>
              </w:rPr>
              <w:t>45,98</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47,33</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42,61</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46,71</w:t>
            </w:r>
          </w:p>
        </w:tc>
        <w:tc>
          <w:tcPr>
            <w:tcW w:w="1142"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45,92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Directeurs et chefs d’entreprise,</w:t>
            </w:r>
            <w:r>
              <w:rPr>
                <w:sz w:val="20"/>
                <w:lang w:val="fr-FR"/>
              </w:rPr>
              <w:br/>
              <w:t>secteurs public et privé</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51,25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47,36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47,32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52,56</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44,52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Cadres supérieurs et membres de professions libérales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34,57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42,20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34,89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35,97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38,42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Techniciens et cadres moyens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37,46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33,72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38,26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37,72</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36,69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Employés de bureau</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44,36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42,79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41,89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46,35</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45,56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et commerce</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48,97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52,59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50,17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49,66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Agriculture, élevage et pêche</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37,81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40,51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34,67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35,88</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41,07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Industries extractives, bâtiment</w:t>
            </w:r>
            <w:r>
              <w:rPr>
                <w:sz w:val="20"/>
                <w:lang w:val="fr-FR"/>
              </w:rPr>
              <w:br/>
              <w:t>et travaux publics, industries manufacturières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45,77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47,68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43,01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46,26</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45,41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Conducteurs d’installations</w:t>
            </w:r>
            <w:r>
              <w:rPr>
                <w:sz w:val="20"/>
                <w:lang w:val="fr-FR"/>
              </w:rPr>
              <w:br/>
              <w:t>et de machines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58,92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58,80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56,45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61,69</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59,73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Travailleurs non qualifiés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45,53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46,44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40,43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46,33</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42,34</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lang w:val="fr-FR"/>
              </w:rPr>
            </w:pPr>
            <w:r>
              <w:rPr>
                <w:sz w:val="20"/>
                <w:lang w:val="fr-FR"/>
              </w:rPr>
              <w:t>Forces armées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38,34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47,36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42,80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48,02</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47,50</w:t>
            </w:r>
          </w:p>
        </w:tc>
      </w:tr>
      <w:tr w:rsidR="00000000">
        <w:tblPrEx>
          <w:tblCellMar>
            <w:top w:w="0" w:type="dxa"/>
            <w:bottom w:w="0" w:type="dxa"/>
          </w:tblCellMar>
        </w:tblPrEx>
        <w:tc>
          <w:tcPr>
            <w:tcW w:w="3790" w:type="dxa"/>
            <w:tcBorders>
              <w:bottom w:val="nil"/>
            </w:tcBorders>
            <w:vAlign w:val="bottom"/>
          </w:tcPr>
          <w:p w:rsidR="00000000" w:rsidRDefault="00000000">
            <w:pPr>
              <w:keepNext/>
              <w:spacing w:before="60" w:after="60"/>
              <w:rPr>
                <w:b/>
                <w:bCs/>
                <w:sz w:val="20"/>
                <w:lang w:val="fr-FR"/>
              </w:rPr>
            </w:pPr>
            <w:r>
              <w:rPr>
                <w:b/>
                <w:bCs/>
                <w:sz w:val="20"/>
                <w:lang w:val="fr-FR"/>
              </w:rPr>
              <w:t>HOMMES</w:t>
            </w:r>
          </w:p>
        </w:tc>
        <w:tc>
          <w:tcPr>
            <w:tcW w:w="1141" w:type="dxa"/>
            <w:tcBorders>
              <w:bottom w:val="single" w:sz="4" w:space="0" w:color="auto"/>
            </w:tcBorders>
            <w:vAlign w:val="bottom"/>
          </w:tcPr>
          <w:p w:rsidR="00000000" w:rsidRDefault="00000000">
            <w:pPr>
              <w:tabs>
                <w:tab w:val="decimal" w:pos="419"/>
              </w:tabs>
              <w:spacing w:before="60" w:after="60"/>
              <w:jc w:val="right"/>
              <w:rPr>
                <w:b/>
                <w:bCs/>
                <w:sz w:val="20"/>
                <w:szCs w:val="22"/>
                <w:lang w:val="es-ES_tradnl"/>
              </w:rPr>
            </w:pPr>
            <w:r>
              <w:rPr>
                <w:b/>
                <w:bCs/>
                <w:sz w:val="20"/>
                <w:szCs w:val="22"/>
                <w:lang w:val="es-ES_tradnl"/>
              </w:rPr>
              <w:t>48,19</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49,57</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45,43</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49,40</w:t>
            </w:r>
          </w:p>
        </w:tc>
        <w:tc>
          <w:tcPr>
            <w:tcW w:w="1142"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48,48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Directeurs et chefs d’entreprise,</w:t>
            </w:r>
            <w:r>
              <w:rPr>
                <w:sz w:val="20"/>
                <w:lang w:val="fr-FR"/>
              </w:rPr>
              <w:br/>
              <w:t>secteurs public et privé</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53,39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47,68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46,36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54,36</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45,44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Cadres supérieurs et membres de professions libérales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36,48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43,55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38,48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40,10</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37,83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Techniciens et cadres moyens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38,43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37,90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39,88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39,45</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36,37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Employés de bureau</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48,07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45,81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46,67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46,31</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46,40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et commerce</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48,30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56,25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44,75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52,87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51,33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Agriculture, élevage et pêche</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42,47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42,23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36,91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37,45</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40,09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Industries extractives, bâtiment</w:t>
            </w:r>
            <w:r>
              <w:rPr>
                <w:sz w:val="20"/>
                <w:lang w:val="fr-FR"/>
              </w:rPr>
              <w:br/>
              <w:t>et travaux publics, industries manufacturières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48,40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48,87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45,21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49,08</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48,39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Conducteurs d’installations</w:t>
            </w:r>
            <w:r>
              <w:rPr>
                <w:sz w:val="20"/>
                <w:lang w:val="fr-FR"/>
              </w:rPr>
              <w:br/>
              <w:t>et de machines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58,98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59,03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56,62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62,26</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59,77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Travailleurs non qualifiés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51,40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52,32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49,74</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49,14</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lang w:val="fr-FR"/>
              </w:rPr>
            </w:pPr>
            <w:r>
              <w:rPr>
                <w:sz w:val="20"/>
                <w:lang w:val="fr-FR"/>
              </w:rPr>
              <w:t>Forces armées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38,34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47,36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42,80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48,02</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47,50</w:t>
            </w:r>
          </w:p>
        </w:tc>
      </w:tr>
      <w:tr w:rsidR="00000000">
        <w:tblPrEx>
          <w:tblCellMar>
            <w:top w:w="0" w:type="dxa"/>
            <w:bottom w:w="0" w:type="dxa"/>
          </w:tblCellMar>
        </w:tblPrEx>
        <w:tc>
          <w:tcPr>
            <w:tcW w:w="3790" w:type="dxa"/>
            <w:tcBorders>
              <w:bottom w:val="nil"/>
            </w:tcBorders>
            <w:vAlign w:val="bottom"/>
          </w:tcPr>
          <w:p w:rsidR="00000000" w:rsidRDefault="00000000">
            <w:pPr>
              <w:keepNext/>
              <w:pageBreakBefore/>
              <w:spacing w:before="60" w:after="60"/>
              <w:rPr>
                <w:b/>
                <w:bCs/>
                <w:sz w:val="20"/>
                <w:lang w:val="fr-FR"/>
              </w:rPr>
            </w:pPr>
            <w:r>
              <w:rPr>
                <w:b/>
                <w:bCs/>
                <w:sz w:val="20"/>
                <w:lang w:val="fr-FR"/>
              </w:rPr>
              <w:t>FEMMES</w:t>
            </w:r>
          </w:p>
        </w:tc>
        <w:tc>
          <w:tcPr>
            <w:tcW w:w="1141" w:type="dxa"/>
            <w:tcBorders>
              <w:bottom w:val="single" w:sz="4" w:space="0" w:color="auto"/>
            </w:tcBorders>
            <w:vAlign w:val="bottom"/>
          </w:tcPr>
          <w:p w:rsidR="00000000" w:rsidRDefault="00000000">
            <w:pPr>
              <w:tabs>
                <w:tab w:val="decimal" w:pos="419"/>
              </w:tabs>
              <w:spacing w:before="60" w:after="60"/>
              <w:jc w:val="right"/>
              <w:rPr>
                <w:b/>
                <w:bCs/>
                <w:sz w:val="20"/>
                <w:szCs w:val="22"/>
                <w:lang w:val="es-ES_tradnl"/>
              </w:rPr>
            </w:pPr>
            <w:r>
              <w:rPr>
                <w:b/>
                <w:bCs/>
                <w:sz w:val="20"/>
                <w:szCs w:val="22"/>
                <w:lang w:val="es-ES_tradnl"/>
              </w:rPr>
              <w:t>43,16</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44,51</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39,31</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43,42</w:t>
            </w:r>
          </w:p>
        </w:tc>
        <w:tc>
          <w:tcPr>
            <w:tcW w:w="1142"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42,76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Directrices et chefs d’entreprise,</w:t>
            </w:r>
            <w:r>
              <w:rPr>
                <w:sz w:val="20"/>
                <w:lang w:val="fr-FR"/>
              </w:rPr>
              <w:br/>
              <w:t>secteurs public et privé</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45,77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46,89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51,43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45,18</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42,32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Cadres supérieurs et membres de professions libérales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32,39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39,98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31,21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31,94</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38,87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Techniciennes et cadres moyens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35,33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27,66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34,23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34,14</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37,27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Employées de bureau</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41,30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40,49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38,77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46,38</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44,81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et commerce</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49,22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50,97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43,69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49,06</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48,78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Agriculture, élevage et pêche</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27,15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36,10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30,55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32,23</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42,45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Industries extractives, bâtiment</w:t>
            </w:r>
            <w:r>
              <w:rPr>
                <w:sz w:val="20"/>
                <w:lang w:val="fr-FR"/>
              </w:rPr>
              <w:br/>
              <w:t>et travaux publics, industries manufacturières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36,89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42,39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35,08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38,99</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35,19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Conductrices d’installations</w:t>
            </w:r>
            <w:r>
              <w:rPr>
                <w:sz w:val="20"/>
                <w:lang w:val="fr-FR"/>
              </w:rPr>
              <w:br/>
              <w:t>et de machines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40,00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46,20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45,62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36,35</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50,08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Travailleuses non qualifiées</w:t>
            </w:r>
          </w:p>
        </w:tc>
        <w:tc>
          <w:tcPr>
            <w:tcW w:w="1141" w:type="dxa"/>
            <w:tcBorders>
              <w:top w:val="single" w:sz="4" w:space="0" w:color="auto"/>
              <w:bottom w:val="single" w:sz="4" w:space="0" w:color="auto"/>
            </w:tcBorders>
            <w:vAlign w:val="bottom"/>
          </w:tcPr>
          <w:p w:rsidR="00000000" w:rsidRDefault="00000000">
            <w:pPr>
              <w:tabs>
                <w:tab w:val="decimal" w:pos="419"/>
              </w:tabs>
              <w:spacing w:before="60" w:after="60"/>
              <w:jc w:val="right"/>
              <w:rPr>
                <w:sz w:val="20"/>
                <w:szCs w:val="22"/>
                <w:lang w:val="es-ES_tradnl"/>
              </w:rPr>
            </w:pPr>
            <w:r>
              <w:rPr>
                <w:sz w:val="20"/>
                <w:szCs w:val="22"/>
                <w:lang w:val="es-ES_tradnl"/>
              </w:rPr>
              <w:t>42,86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44,07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38,82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44,38</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39,22</w:t>
            </w:r>
          </w:p>
        </w:tc>
      </w:tr>
      <w:tr w:rsidR="00000000">
        <w:tblPrEx>
          <w:tblCellMar>
            <w:top w:w="0" w:type="dxa"/>
            <w:bottom w:w="0" w:type="dxa"/>
          </w:tblCellMar>
        </w:tblPrEx>
        <w:tc>
          <w:tcPr>
            <w:tcW w:w="3790" w:type="dxa"/>
            <w:tcBorders>
              <w:top w:val="nil"/>
            </w:tcBorders>
            <w:vAlign w:val="bottom"/>
          </w:tcPr>
          <w:p w:rsidR="00000000" w:rsidRDefault="00000000">
            <w:pPr>
              <w:spacing w:before="60" w:after="60"/>
              <w:ind w:left="284"/>
              <w:rPr>
                <w:sz w:val="20"/>
                <w:lang w:val="fr-FR"/>
              </w:rPr>
            </w:pPr>
            <w:r>
              <w:rPr>
                <w:sz w:val="20"/>
                <w:lang w:val="fr-FR"/>
              </w:rPr>
              <w:t>Forces armées</w:t>
            </w:r>
          </w:p>
        </w:tc>
        <w:tc>
          <w:tcPr>
            <w:tcW w:w="1141" w:type="dxa"/>
            <w:tcBorders>
              <w:top w:val="single" w:sz="4" w:space="0" w:color="auto"/>
            </w:tcBorders>
            <w:vAlign w:val="bottom"/>
          </w:tcPr>
          <w:p w:rsidR="00000000" w:rsidRDefault="00000000">
            <w:pPr>
              <w:tabs>
                <w:tab w:val="decimal" w:pos="419"/>
              </w:tabs>
              <w:spacing w:before="60" w:after="60"/>
              <w:jc w:val="right"/>
              <w:rPr>
                <w:sz w:val="20"/>
                <w:szCs w:val="22"/>
                <w:lang w:val="es-ES_tradnl"/>
              </w:rPr>
            </w:pPr>
          </w:p>
        </w:tc>
        <w:tc>
          <w:tcPr>
            <w:tcW w:w="1141"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p>
        </w:tc>
        <w:tc>
          <w:tcPr>
            <w:tcW w:w="1141"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p>
        </w:tc>
        <w:tc>
          <w:tcPr>
            <w:tcW w:w="1141"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p>
        </w:tc>
        <w:tc>
          <w:tcPr>
            <w:tcW w:w="1142"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keepNext/>
        <w:spacing w:after="180"/>
        <w:jc w:val="center"/>
        <w:rPr>
          <w:b/>
          <w:bCs/>
          <w:lang w:val="fr-FR"/>
        </w:rPr>
      </w:pPr>
      <w:r>
        <w:br w:type="page"/>
      </w:r>
      <w:r>
        <w:rPr>
          <w:b/>
          <w:bCs/>
          <w:lang w:val="fr-FR"/>
        </w:rPr>
        <w:t>Tableau 1.2</w:t>
      </w:r>
    </w:p>
    <w:p w:rsidR="00000000" w:rsidRDefault="00000000">
      <w:pPr>
        <w:keepNext/>
        <w:spacing w:after="180"/>
        <w:jc w:val="center"/>
        <w:rPr>
          <w:b/>
          <w:bCs/>
          <w:lang w:val="fr-FR"/>
        </w:rPr>
      </w:pPr>
      <w:r>
        <w:rPr>
          <w:b/>
          <w:bCs/>
          <w:lang w:val="fr-FR"/>
        </w:rPr>
        <w:t>Bolivie − Zones rurales: Moyenne hebdomadaire d’heures de travail dans l’emploi principal, par année, par sexe et par catégorie professionnelle, 1999</w:t>
      </w:r>
      <w:r>
        <w:rPr>
          <w:b/>
          <w:bCs/>
          <w:lang w:val="fr-FR"/>
        </w:rPr>
        <w:noBreakHyphen/>
        <w:t>2003</w:t>
      </w:r>
      <w:r>
        <w:rPr>
          <w:b/>
          <w:bCs/>
          <w:i/>
          <w:iCs/>
          <w:vertAlign w:val="superscript"/>
          <w:lang w:val="fr-FR"/>
        </w:rPr>
        <w:t>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0"/>
        <w:gridCol w:w="1141"/>
        <w:gridCol w:w="1141"/>
        <w:gridCol w:w="1141"/>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lang w:val="fr-FR"/>
              </w:rPr>
            </w:pPr>
            <w:r>
              <w:rPr>
                <w:sz w:val="20"/>
                <w:lang w:val="fr-FR"/>
              </w:rPr>
              <w:t>Catégorie professionnelle</w:t>
            </w:r>
          </w:p>
        </w:tc>
        <w:tc>
          <w:tcPr>
            <w:tcW w:w="1141"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1999</w:t>
            </w:r>
          </w:p>
        </w:tc>
        <w:tc>
          <w:tcPr>
            <w:tcW w:w="1141"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2000</w:t>
            </w:r>
          </w:p>
        </w:tc>
        <w:tc>
          <w:tcPr>
            <w:tcW w:w="1141"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2001</w:t>
            </w:r>
          </w:p>
        </w:tc>
        <w:tc>
          <w:tcPr>
            <w:tcW w:w="1141"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2002</w:t>
            </w:r>
          </w:p>
        </w:tc>
        <w:tc>
          <w:tcPr>
            <w:tcW w:w="1142" w:type="dxa"/>
            <w:tcBorders>
              <w:bottom w:val="single" w:sz="4" w:space="0" w:color="auto"/>
            </w:tcBorders>
            <w:vAlign w:val="center"/>
          </w:tcPr>
          <w:p w:rsidR="00000000" w:rsidRDefault="00000000">
            <w:pPr>
              <w:keepNext/>
              <w:spacing w:before="60" w:after="60"/>
              <w:jc w:val="center"/>
              <w:rPr>
                <w:sz w:val="20"/>
                <w:lang w:val="fr-FR"/>
              </w:rPr>
            </w:pPr>
            <w:r>
              <w:rPr>
                <w:sz w:val="20"/>
                <w:lang w:val="fr-FR"/>
              </w:rPr>
              <w:t>2003</w:t>
            </w:r>
            <w:r>
              <w:rPr>
                <w:b/>
                <w:bCs/>
                <w:i/>
                <w:iCs/>
                <w:sz w:val="20"/>
                <w:vertAlign w:val="superscript"/>
                <w:lang w:val="fr-FR"/>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lang w:val="fr-FR"/>
              </w:rPr>
            </w:pPr>
            <w:r>
              <w:rPr>
                <w:b/>
                <w:bCs/>
                <w:sz w:val="20"/>
                <w:lang w:val="fr-FR"/>
              </w:rPr>
              <w:t>TOTAL</w:t>
            </w:r>
          </w:p>
        </w:tc>
        <w:tc>
          <w:tcPr>
            <w:tcW w:w="1141" w:type="dxa"/>
            <w:tcBorders>
              <w:bottom w:val="single" w:sz="4" w:space="0" w:color="auto"/>
            </w:tcBorders>
            <w:vAlign w:val="bottom"/>
          </w:tcPr>
          <w:p w:rsidR="00000000" w:rsidRDefault="00000000">
            <w:pPr>
              <w:tabs>
                <w:tab w:val="decimal" w:pos="371"/>
              </w:tabs>
              <w:spacing w:before="60" w:after="60"/>
              <w:jc w:val="right"/>
              <w:rPr>
                <w:b/>
                <w:bCs/>
                <w:sz w:val="20"/>
                <w:szCs w:val="22"/>
                <w:lang w:val="es-ES_tradnl"/>
              </w:rPr>
            </w:pPr>
            <w:r>
              <w:rPr>
                <w:b/>
                <w:bCs/>
                <w:sz w:val="20"/>
                <w:szCs w:val="22"/>
                <w:lang w:val="es-ES_tradnl"/>
              </w:rPr>
              <w:t>38,95</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41,94</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35,85</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38,15</w:t>
            </w:r>
          </w:p>
        </w:tc>
        <w:tc>
          <w:tcPr>
            <w:tcW w:w="1142"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39,08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Directeurs et chefs d’entreprise,</w:t>
            </w:r>
            <w:r>
              <w:rPr>
                <w:sz w:val="20"/>
                <w:lang w:val="fr-FR"/>
              </w:rPr>
              <w:br/>
              <w:t>secteurs public et privé</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45,48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49,83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45,82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46,63</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37,26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Cadres supérieurs et membres de professions libérales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34,93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39,19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33,35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34,28</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24,87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Techniciens et cadres moyens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33,24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30,48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41,29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37,89</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34,01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Employés de bureau</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41,61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48,85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49,78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60,32</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36,49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et commerce</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47,42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47,39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42,22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47,69</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41,10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Agriculture, élevage et pêche</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38,07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41,61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37,43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37,08</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39,09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Industries extractives, bâtiment</w:t>
            </w:r>
            <w:r>
              <w:rPr>
                <w:sz w:val="20"/>
                <w:lang w:val="fr-FR"/>
              </w:rPr>
              <w:br/>
              <w:t>et travaux publics, industries manufacturières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39,95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39,52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35,27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41,12</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35,39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Conducteurs d’installations</w:t>
            </w:r>
            <w:r>
              <w:rPr>
                <w:sz w:val="20"/>
                <w:lang w:val="fr-FR"/>
              </w:rPr>
              <w:br/>
              <w:t>et de machines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55,17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56,50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44,57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53,03</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40,48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Travailleurs non qualifiés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49,71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46,86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30,24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42,67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47,41</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lang w:val="fr-FR"/>
              </w:rPr>
            </w:pPr>
            <w:r>
              <w:rPr>
                <w:sz w:val="20"/>
                <w:lang w:val="fr-FR"/>
              </w:rPr>
              <w:t>Forces armées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0,00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57,62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52,50</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r>
      <w:tr w:rsidR="00000000">
        <w:tblPrEx>
          <w:tblCellMar>
            <w:top w:w="0" w:type="dxa"/>
            <w:bottom w:w="0" w:type="dxa"/>
          </w:tblCellMar>
        </w:tblPrEx>
        <w:tc>
          <w:tcPr>
            <w:tcW w:w="3790" w:type="dxa"/>
            <w:tcBorders>
              <w:bottom w:val="nil"/>
            </w:tcBorders>
            <w:vAlign w:val="bottom"/>
          </w:tcPr>
          <w:p w:rsidR="00000000" w:rsidRDefault="00000000">
            <w:pPr>
              <w:keepNext/>
              <w:spacing w:before="60" w:after="60"/>
              <w:rPr>
                <w:b/>
                <w:bCs/>
                <w:sz w:val="20"/>
                <w:lang w:val="fr-FR"/>
              </w:rPr>
            </w:pPr>
            <w:r>
              <w:rPr>
                <w:b/>
                <w:bCs/>
                <w:sz w:val="20"/>
                <w:lang w:val="fr-FR"/>
              </w:rPr>
              <w:t>HOMMES</w:t>
            </w:r>
          </w:p>
        </w:tc>
        <w:tc>
          <w:tcPr>
            <w:tcW w:w="1141" w:type="dxa"/>
            <w:tcBorders>
              <w:bottom w:val="single" w:sz="4" w:space="0" w:color="auto"/>
            </w:tcBorders>
            <w:vAlign w:val="bottom"/>
          </w:tcPr>
          <w:p w:rsidR="00000000" w:rsidRDefault="00000000">
            <w:pPr>
              <w:tabs>
                <w:tab w:val="decimal" w:pos="371"/>
              </w:tabs>
              <w:spacing w:before="60" w:after="60"/>
              <w:jc w:val="right"/>
              <w:rPr>
                <w:b/>
                <w:bCs/>
                <w:sz w:val="20"/>
                <w:szCs w:val="22"/>
                <w:lang w:val="es-ES_tradnl"/>
              </w:rPr>
            </w:pPr>
            <w:r>
              <w:rPr>
                <w:b/>
                <w:bCs/>
                <w:sz w:val="20"/>
                <w:szCs w:val="22"/>
                <w:lang w:val="es-ES_tradnl"/>
              </w:rPr>
              <w:t>39,76</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43,40</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38,36</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40,32</w:t>
            </w:r>
          </w:p>
        </w:tc>
        <w:tc>
          <w:tcPr>
            <w:tcW w:w="1142"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41,47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Directeurs et chefs d’entreprise,</w:t>
            </w:r>
            <w:r>
              <w:rPr>
                <w:sz w:val="20"/>
                <w:lang w:val="fr-FR"/>
              </w:rPr>
              <w:br/>
              <w:t>secteurs public et privé</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44,83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52,13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45,94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48,69</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31,28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Cadres supérieurs et membres de professions libérales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37,94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35,74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32,63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36,76</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26,01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Techniciens et cadres moyens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33,19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29,35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41,74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42,37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34,74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Employés de bureau</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51,61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44,91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59,45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68,31</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40,12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et commerce</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45,62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50,20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40,32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46,38</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54,43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Agriculture, élevage et pêche</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38,57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42,84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39,20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39,12</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40,74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Industries extractives, bâtiment</w:t>
            </w:r>
            <w:r>
              <w:rPr>
                <w:sz w:val="20"/>
                <w:lang w:val="fr-FR"/>
              </w:rPr>
              <w:br/>
              <w:t>et travaux publics, industries manufacturières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42,63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44,44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41,55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44,34</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42,08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Conducteurs d’installations</w:t>
            </w:r>
            <w:r>
              <w:rPr>
                <w:sz w:val="20"/>
                <w:lang w:val="fr-FR"/>
              </w:rPr>
              <w:br/>
              <w:t>et de machines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55,71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56,50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44,57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53,03</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47,28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Travailleurs non qualifiés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54,01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49,67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33,68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45,79</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52,53</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lang w:val="fr-FR"/>
              </w:rPr>
            </w:pPr>
            <w:r>
              <w:rPr>
                <w:sz w:val="20"/>
                <w:lang w:val="fr-FR"/>
              </w:rPr>
              <w:t>Forces armées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0,00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57,62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52,50</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r>
      <w:tr w:rsidR="00000000">
        <w:tblPrEx>
          <w:tblCellMar>
            <w:top w:w="0" w:type="dxa"/>
            <w:bottom w:w="0" w:type="dxa"/>
          </w:tblCellMar>
        </w:tblPrEx>
        <w:tc>
          <w:tcPr>
            <w:tcW w:w="3790" w:type="dxa"/>
            <w:tcBorders>
              <w:bottom w:val="nil"/>
            </w:tcBorders>
            <w:vAlign w:val="bottom"/>
          </w:tcPr>
          <w:p w:rsidR="00000000" w:rsidRDefault="00000000">
            <w:pPr>
              <w:keepNext/>
              <w:pageBreakBefore/>
              <w:spacing w:before="60" w:after="60"/>
              <w:rPr>
                <w:b/>
                <w:bCs/>
                <w:sz w:val="20"/>
                <w:lang w:val="fr-FR"/>
              </w:rPr>
            </w:pPr>
            <w:r>
              <w:rPr>
                <w:b/>
                <w:bCs/>
                <w:sz w:val="20"/>
                <w:lang w:val="fr-FR"/>
              </w:rPr>
              <w:t>FEMMES</w:t>
            </w:r>
          </w:p>
        </w:tc>
        <w:tc>
          <w:tcPr>
            <w:tcW w:w="1141" w:type="dxa"/>
            <w:tcBorders>
              <w:bottom w:val="single" w:sz="4" w:space="0" w:color="auto"/>
            </w:tcBorders>
            <w:vAlign w:val="bottom"/>
          </w:tcPr>
          <w:p w:rsidR="00000000" w:rsidRDefault="00000000">
            <w:pPr>
              <w:tabs>
                <w:tab w:val="decimal" w:pos="371"/>
              </w:tabs>
              <w:spacing w:before="60" w:after="60"/>
              <w:jc w:val="right"/>
              <w:rPr>
                <w:b/>
                <w:bCs/>
                <w:sz w:val="20"/>
                <w:szCs w:val="22"/>
                <w:lang w:val="es-ES_tradnl"/>
              </w:rPr>
            </w:pPr>
            <w:r>
              <w:rPr>
                <w:b/>
                <w:bCs/>
                <w:sz w:val="20"/>
                <w:szCs w:val="22"/>
                <w:lang w:val="es-ES_tradnl"/>
              </w:rPr>
              <w:t>38,00</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40,10</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32,68</w:t>
            </w:r>
          </w:p>
        </w:tc>
        <w:tc>
          <w:tcPr>
            <w:tcW w:w="1141"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35,13</w:t>
            </w:r>
          </w:p>
        </w:tc>
        <w:tc>
          <w:tcPr>
            <w:tcW w:w="1142" w:type="dxa"/>
            <w:tcBorders>
              <w:bottom w:val="single" w:sz="4" w:space="0" w:color="auto"/>
            </w:tcBorders>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36,05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Directrices et chefs d’entreprise,</w:t>
            </w:r>
            <w:r>
              <w:rPr>
                <w:sz w:val="20"/>
                <w:lang w:val="fr-FR"/>
              </w:rPr>
              <w:br/>
              <w:t>secteurs public et privé</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47,03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44,02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44,35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37,75</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70,00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Cadres supérieurs et membres de professions libérales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29,11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56,00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34,13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30,28</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23,41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Techniciennes et cadres moyens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33,33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32,14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40,71</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26,06</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28,10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Employées de bureau</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34,03</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52,39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34,34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54,11</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32,00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et commerce</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47,84</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46,88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42,68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47,97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37,96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Agriculture, élevage et pêche</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37,52</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40,06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34,76</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34,35</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36,97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Industries extractives, bâtiment</w:t>
            </w:r>
            <w:r>
              <w:rPr>
                <w:sz w:val="20"/>
                <w:lang w:val="fr-FR"/>
              </w:rPr>
              <w:br/>
              <w:t>et travaux publics, industries manufacturières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34,08</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30,27</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23,50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31,27</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27,80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Conductrices d’installations</w:t>
            </w:r>
            <w:r>
              <w:rPr>
                <w:sz w:val="20"/>
                <w:lang w:val="fr-FR"/>
              </w:rPr>
              <w:br/>
              <w:t>et de machines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40,00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11,84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Travailleuses non qualifiées</w:t>
            </w:r>
          </w:p>
        </w:tc>
        <w:tc>
          <w:tcPr>
            <w:tcW w:w="1141" w:type="dxa"/>
            <w:tcBorders>
              <w:top w:val="single" w:sz="4" w:space="0" w:color="auto"/>
              <w:bottom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41,65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42,19</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27,35</w:t>
            </w:r>
          </w:p>
        </w:tc>
        <w:tc>
          <w:tcPr>
            <w:tcW w:w="1141"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34,40</w:t>
            </w:r>
          </w:p>
        </w:tc>
        <w:tc>
          <w:tcPr>
            <w:tcW w:w="1142" w:type="dxa"/>
            <w:tcBorders>
              <w:top w:val="single" w:sz="4" w:space="0" w:color="auto"/>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35,23</w:t>
            </w:r>
          </w:p>
        </w:tc>
      </w:tr>
      <w:tr w:rsidR="00000000">
        <w:tblPrEx>
          <w:tblCellMar>
            <w:top w:w="0" w:type="dxa"/>
            <w:bottom w:w="0" w:type="dxa"/>
          </w:tblCellMar>
        </w:tblPrEx>
        <w:tc>
          <w:tcPr>
            <w:tcW w:w="3790" w:type="dxa"/>
            <w:tcBorders>
              <w:top w:val="nil"/>
            </w:tcBorders>
            <w:vAlign w:val="bottom"/>
          </w:tcPr>
          <w:p w:rsidR="00000000" w:rsidRDefault="00000000">
            <w:pPr>
              <w:spacing w:before="60" w:after="60"/>
              <w:ind w:left="284"/>
              <w:rPr>
                <w:sz w:val="20"/>
                <w:lang w:val="fr-FR"/>
              </w:rPr>
            </w:pPr>
            <w:r>
              <w:rPr>
                <w:sz w:val="20"/>
                <w:lang w:val="fr-FR"/>
              </w:rPr>
              <w:t>Forces armées</w:t>
            </w:r>
          </w:p>
        </w:tc>
        <w:tc>
          <w:tcPr>
            <w:tcW w:w="1141" w:type="dxa"/>
            <w:tcBorders>
              <w:top w:val="single" w:sz="4" w:space="0" w:color="auto"/>
            </w:tcBorders>
            <w:vAlign w:val="bottom"/>
          </w:tcPr>
          <w:p w:rsidR="00000000" w:rsidRDefault="00000000">
            <w:pPr>
              <w:tabs>
                <w:tab w:val="decimal" w:pos="371"/>
              </w:tabs>
              <w:spacing w:before="60" w:after="60"/>
              <w:jc w:val="right"/>
              <w:rPr>
                <w:sz w:val="20"/>
                <w:szCs w:val="22"/>
                <w:lang w:val="es-ES_tradnl"/>
              </w:rPr>
            </w:pPr>
            <w:r>
              <w:rPr>
                <w:sz w:val="20"/>
                <w:szCs w:val="22"/>
                <w:lang w:val="es-ES_tradnl"/>
              </w:rPr>
              <w:t>0,00</w:t>
            </w:r>
          </w:p>
        </w:tc>
        <w:tc>
          <w:tcPr>
            <w:tcW w:w="1141"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tcBorders>
              <w:top w:val="single" w:sz="4" w:space="0" w:color="auto"/>
            </w:tcBorders>
            <w:vAlign w:val="bottom"/>
          </w:tcPr>
          <w:p w:rsidR="00000000" w:rsidRDefault="00000000">
            <w:pPr>
              <w:tabs>
                <w:tab w:val="decimal" w:pos="340"/>
              </w:tabs>
              <w:spacing w:before="60" w:after="60"/>
              <w:jc w:val="right"/>
              <w:rPr>
                <w:sz w:val="20"/>
                <w:szCs w:val="22"/>
                <w:lang w:val="es-ES_tradnl"/>
              </w:rPr>
            </w:pP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keepNext/>
        <w:spacing w:after="180"/>
        <w:jc w:val="center"/>
        <w:rPr>
          <w:b/>
          <w:bCs/>
          <w:lang w:val="fr-FR"/>
        </w:rPr>
      </w:pPr>
      <w:r>
        <w:br w:type="page"/>
      </w:r>
      <w:r>
        <w:rPr>
          <w:b/>
          <w:bCs/>
          <w:lang w:val="fr-FR"/>
        </w:rPr>
        <w:t>Tableau 2</w:t>
      </w:r>
    </w:p>
    <w:p w:rsidR="00000000" w:rsidRDefault="00000000">
      <w:pPr>
        <w:keepNext/>
        <w:spacing w:after="180"/>
        <w:jc w:val="center"/>
        <w:rPr>
          <w:b/>
          <w:bCs/>
          <w:lang w:val="fr-FR"/>
        </w:rPr>
      </w:pPr>
      <w:r>
        <w:rPr>
          <w:b/>
          <w:bCs/>
          <w:lang w:val="fr-FR"/>
        </w:rPr>
        <w:t xml:space="preserve">Bolivie: Moyenne hebdomadaire d’heures de travail dans l’emploi principal, </w:t>
      </w:r>
      <w:r>
        <w:rPr>
          <w:b/>
          <w:bCs/>
          <w:lang w:val="fr-FR"/>
        </w:rPr>
        <w:br/>
        <w:t>par année, par sexe et par statut professionnel, 1999</w:t>
      </w:r>
      <w:r>
        <w:rPr>
          <w:b/>
          <w:bCs/>
          <w:lang w:val="fr-FR"/>
        </w:rPr>
        <w:noBreakHyphen/>
        <w:t>2003</w:t>
      </w:r>
      <w:r>
        <w:rPr>
          <w:b/>
          <w:bCs/>
          <w:i/>
          <w:iCs/>
          <w:vertAlign w:val="superscript"/>
          <w:lang w:val="fr-FR"/>
        </w:rPr>
        <w:t>p</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41"/>
        <w:gridCol w:w="1141"/>
        <w:gridCol w:w="1142"/>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lang w:val="fr-FR"/>
              </w:rPr>
            </w:pPr>
            <w:r>
              <w:rPr>
                <w:sz w:val="20"/>
                <w:lang w:val="fr-FR"/>
              </w:rPr>
              <w:t>Statut professionnel</w:t>
            </w:r>
          </w:p>
        </w:tc>
        <w:tc>
          <w:tcPr>
            <w:tcW w:w="1141" w:type="dxa"/>
            <w:vAlign w:val="center"/>
          </w:tcPr>
          <w:p w:rsidR="00000000" w:rsidRDefault="00000000">
            <w:pPr>
              <w:keepNext/>
              <w:spacing w:before="60" w:after="60"/>
              <w:jc w:val="center"/>
              <w:rPr>
                <w:sz w:val="20"/>
                <w:lang w:val="fr-FR"/>
              </w:rPr>
            </w:pPr>
            <w:r>
              <w:rPr>
                <w:sz w:val="20"/>
                <w:lang w:val="fr-FR"/>
              </w:rPr>
              <w:t>1999</w:t>
            </w:r>
          </w:p>
        </w:tc>
        <w:tc>
          <w:tcPr>
            <w:tcW w:w="1141" w:type="dxa"/>
            <w:vAlign w:val="center"/>
          </w:tcPr>
          <w:p w:rsidR="00000000" w:rsidRDefault="00000000">
            <w:pPr>
              <w:keepNext/>
              <w:spacing w:before="60" w:after="60"/>
              <w:jc w:val="center"/>
              <w:rPr>
                <w:sz w:val="20"/>
                <w:lang w:val="fr-FR"/>
              </w:rPr>
            </w:pPr>
            <w:r>
              <w:rPr>
                <w:sz w:val="20"/>
                <w:lang w:val="fr-FR"/>
              </w:rPr>
              <w:t>2000</w:t>
            </w:r>
          </w:p>
        </w:tc>
        <w:tc>
          <w:tcPr>
            <w:tcW w:w="1142" w:type="dxa"/>
            <w:vAlign w:val="center"/>
          </w:tcPr>
          <w:p w:rsidR="00000000" w:rsidRDefault="00000000">
            <w:pPr>
              <w:keepNext/>
              <w:spacing w:before="60" w:after="60"/>
              <w:jc w:val="center"/>
              <w:rPr>
                <w:sz w:val="20"/>
                <w:lang w:val="fr-FR"/>
              </w:rPr>
            </w:pPr>
            <w:r>
              <w:rPr>
                <w:sz w:val="20"/>
                <w:lang w:val="fr-FR"/>
              </w:rPr>
              <w:t>2001</w:t>
            </w:r>
          </w:p>
        </w:tc>
        <w:tc>
          <w:tcPr>
            <w:tcW w:w="1141" w:type="dxa"/>
            <w:vAlign w:val="center"/>
          </w:tcPr>
          <w:p w:rsidR="00000000" w:rsidRDefault="00000000">
            <w:pPr>
              <w:keepNext/>
              <w:spacing w:before="60" w:after="60"/>
              <w:jc w:val="center"/>
              <w:rPr>
                <w:sz w:val="20"/>
                <w:lang w:val="fr-FR"/>
              </w:rPr>
            </w:pPr>
            <w:r>
              <w:rPr>
                <w:sz w:val="20"/>
                <w:lang w:val="fr-FR"/>
              </w:rPr>
              <w:t>2002</w:t>
            </w:r>
          </w:p>
        </w:tc>
        <w:tc>
          <w:tcPr>
            <w:tcW w:w="1142" w:type="dxa"/>
            <w:vAlign w:val="center"/>
          </w:tcPr>
          <w:p w:rsidR="00000000" w:rsidRDefault="00000000">
            <w:pPr>
              <w:keepNext/>
              <w:spacing w:before="60" w:after="60"/>
              <w:jc w:val="center"/>
              <w:rPr>
                <w:sz w:val="20"/>
                <w:lang w:val="fr-FR"/>
              </w:rPr>
            </w:pPr>
            <w:r>
              <w:rPr>
                <w:sz w:val="20"/>
                <w:lang w:val="fr-FR"/>
              </w:rPr>
              <w:t>2003</w:t>
            </w:r>
            <w:r>
              <w:rPr>
                <w:b/>
                <w:bCs/>
                <w:i/>
                <w:iCs/>
                <w:sz w:val="20"/>
                <w:vertAlign w:val="superscript"/>
                <w:lang w:val="fr-FR"/>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40" w:after="40"/>
              <w:rPr>
                <w:b/>
                <w:bCs/>
                <w:sz w:val="20"/>
                <w:lang w:val="fr-FR"/>
              </w:rPr>
            </w:pPr>
            <w:r>
              <w:rPr>
                <w:b/>
                <w:bCs/>
                <w:sz w:val="20"/>
                <w:lang w:val="fr-FR"/>
              </w:rPr>
              <w:t>TOTAL</w:t>
            </w:r>
          </w:p>
        </w:tc>
        <w:tc>
          <w:tcPr>
            <w:tcW w:w="1141" w:type="dxa"/>
            <w:vAlign w:val="bottom"/>
          </w:tcPr>
          <w:p w:rsidR="00000000" w:rsidRDefault="00000000">
            <w:pPr>
              <w:tabs>
                <w:tab w:val="decimal" w:pos="380"/>
              </w:tabs>
              <w:spacing w:before="40" w:after="40"/>
              <w:jc w:val="right"/>
              <w:rPr>
                <w:b/>
                <w:bCs/>
                <w:sz w:val="20"/>
                <w:szCs w:val="22"/>
                <w:lang w:val="es-ES_tradnl"/>
              </w:rPr>
            </w:pPr>
            <w:r>
              <w:rPr>
                <w:b/>
                <w:bCs/>
                <w:sz w:val="20"/>
                <w:szCs w:val="22"/>
                <w:lang w:val="es-ES_tradnl"/>
              </w:rPr>
              <w:t>42,90</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45,04</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39,60</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42,89</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42,93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Ouvrier</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48,28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50,89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46,85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46,99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49,53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Employé</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45,37</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44,66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45,07</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48,33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47,44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Travailleur indépendant</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45,25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46,93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41,34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44,33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42,40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 ou employeur</w:t>
            </w:r>
            <w:r>
              <w:rPr>
                <w:sz w:val="20"/>
                <w:lang w:val="fr-FR"/>
              </w:rPr>
              <w:br/>
              <w:t>percevant une rémunération</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44,22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55,34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47,18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55,36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52,51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 ou employeur non rémunéré</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52,31</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48,64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48,84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46,53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49,55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Membre d’une coopérative de production</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49,55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50,46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45,49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52,76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50,54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Travailleur familial ou apprenti non rémunéré</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33,72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37,79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29,17</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33,75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35,84</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40" w:after="40"/>
              <w:ind w:left="284"/>
              <w:rPr>
                <w:sz w:val="20"/>
                <w:lang w:val="fr-FR"/>
              </w:rPr>
            </w:pPr>
            <w:r>
              <w:rPr>
                <w:sz w:val="20"/>
                <w:lang w:val="fr-FR"/>
              </w:rPr>
              <w:t>Employé de maison</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55,25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62,73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53,31</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53,54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50,46</w:t>
            </w:r>
          </w:p>
        </w:tc>
      </w:tr>
      <w:tr w:rsidR="00000000">
        <w:tblPrEx>
          <w:tblCellMar>
            <w:top w:w="0" w:type="dxa"/>
            <w:bottom w:w="0" w:type="dxa"/>
          </w:tblCellMar>
        </w:tblPrEx>
        <w:tc>
          <w:tcPr>
            <w:tcW w:w="3790" w:type="dxa"/>
            <w:tcBorders>
              <w:bottom w:val="nil"/>
            </w:tcBorders>
            <w:vAlign w:val="bottom"/>
          </w:tcPr>
          <w:p w:rsidR="00000000" w:rsidRDefault="00000000">
            <w:pPr>
              <w:keepNext/>
              <w:spacing w:before="40" w:after="40"/>
              <w:rPr>
                <w:b/>
                <w:bCs/>
                <w:sz w:val="20"/>
                <w:lang w:val="fr-FR"/>
              </w:rPr>
            </w:pPr>
            <w:r>
              <w:rPr>
                <w:b/>
                <w:bCs/>
                <w:sz w:val="20"/>
                <w:lang w:val="fr-FR"/>
              </w:rPr>
              <w:t>HOMMES</w:t>
            </w:r>
          </w:p>
        </w:tc>
        <w:tc>
          <w:tcPr>
            <w:tcW w:w="1141" w:type="dxa"/>
            <w:vAlign w:val="bottom"/>
          </w:tcPr>
          <w:p w:rsidR="00000000" w:rsidRDefault="00000000">
            <w:pPr>
              <w:tabs>
                <w:tab w:val="decimal" w:pos="380"/>
              </w:tabs>
              <w:spacing w:before="40" w:after="40"/>
              <w:jc w:val="right"/>
              <w:rPr>
                <w:b/>
                <w:bCs/>
                <w:sz w:val="20"/>
                <w:szCs w:val="22"/>
                <w:lang w:val="es-ES_tradnl"/>
              </w:rPr>
            </w:pPr>
            <w:r>
              <w:rPr>
                <w:b/>
                <w:bCs/>
                <w:sz w:val="20"/>
                <w:szCs w:val="22"/>
                <w:lang w:val="es-ES_tradnl"/>
              </w:rPr>
              <w:t>44,57</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46,94</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42,22</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45,22</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45,39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Ouvrier</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49,02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52,11</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47,78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49,09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50,83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Employé</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48,34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48,53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48,66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51,37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50,14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Travailleur indépendant</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46,49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47,67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43,38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45,88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45,12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 ou employeur</w:t>
            </w:r>
            <w:r>
              <w:rPr>
                <w:sz w:val="20"/>
                <w:lang w:val="fr-FR"/>
              </w:rPr>
              <w:br/>
              <w:t>percevant une rémunération</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45,35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58,38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50,97</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56,91</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52,60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 ou employeur non rémunéré</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52,74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50,54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48,15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47,43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48,76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Membre d’une coopérative de production</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49,55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49,65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46,02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52,47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50,54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Travailleur familial ou apprenti non rémunéré</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28,60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36,27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27,39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31,76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33,53</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40" w:after="40"/>
              <w:ind w:left="284"/>
              <w:rPr>
                <w:sz w:val="20"/>
                <w:lang w:val="fr-FR"/>
              </w:rPr>
            </w:pPr>
            <w:r>
              <w:rPr>
                <w:sz w:val="20"/>
                <w:lang w:val="fr-FR"/>
              </w:rPr>
              <w:t>Employé de maison</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44,23</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61,69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51,83</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54,59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45,53</w:t>
            </w:r>
          </w:p>
        </w:tc>
      </w:tr>
      <w:tr w:rsidR="00000000">
        <w:tblPrEx>
          <w:tblCellMar>
            <w:top w:w="0" w:type="dxa"/>
            <w:bottom w:w="0" w:type="dxa"/>
          </w:tblCellMar>
        </w:tblPrEx>
        <w:tc>
          <w:tcPr>
            <w:tcW w:w="3790" w:type="dxa"/>
            <w:tcBorders>
              <w:bottom w:val="nil"/>
            </w:tcBorders>
            <w:vAlign w:val="bottom"/>
          </w:tcPr>
          <w:p w:rsidR="00000000" w:rsidRDefault="00000000">
            <w:pPr>
              <w:keepNext/>
              <w:spacing w:before="40" w:after="40"/>
              <w:rPr>
                <w:b/>
                <w:bCs/>
                <w:sz w:val="20"/>
                <w:lang w:val="fr-FR"/>
              </w:rPr>
            </w:pPr>
            <w:r>
              <w:rPr>
                <w:b/>
                <w:bCs/>
                <w:sz w:val="20"/>
                <w:lang w:val="fr-FR"/>
              </w:rPr>
              <w:t>FEMMES</w:t>
            </w:r>
          </w:p>
        </w:tc>
        <w:tc>
          <w:tcPr>
            <w:tcW w:w="1141" w:type="dxa"/>
            <w:vAlign w:val="bottom"/>
          </w:tcPr>
          <w:p w:rsidR="00000000" w:rsidRDefault="00000000">
            <w:pPr>
              <w:tabs>
                <w:tab w:val="decimal" w:pos="380"/>
              </w:tabs>
              <w:spacing w:before="40" w:after="40"/>
              <w:jc w:val="right"/>
              <w:rPr>
                <w:b/>
                <w:bCs/>
                <w:sz w:val="20"/>
                <w:szCs w:val="22"/>
                <w:lang w:val="es-ES_tradnl"/>
              </w:rPr>
            </w:pPr>
            <w:r>
              <w:rPr>
                <w:b/>
                <w:bCs/>
                <w:sz w:val="20"/>
                <w:szCs w:val="22"/>
                <w:lang w:val="es-ES_tradnl"/>
              </w:rPr>
              <w:t>40,85</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42,64</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36,43</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39,87</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39,84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Ouvrière</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42,66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41,81</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40,45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36,07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Employée</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40,23</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38,26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39,34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42,91</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43,12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Travailleuse indépendante</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43,57</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45,77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38,38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42,03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39,14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Patronne, associée ou employeuse</w:t>
            </w:r>
            <w:r>
              <w:rPr>
                <w:sz w:val="20"/>
                <w:lang w:val="fr-FR"/>
              </w:rPr>
              <w:br/>
              <w:t>percevant une rémunération</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40,42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38,32</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33,76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45,81</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51,98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associée ou employeuse non rémunérée</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50,66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43,35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50,39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43,13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53,95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Membre d’une coopérative de production</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67,28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34,22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60,60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Travailleuse familiale ou apprentie non rémunérée</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36,42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38,56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30,25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34,96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37,24</w:t>
            </w:r>
          </w:p>
        </w:tc>
      </w:tr>
      <w:tr w:rsidR="00000000">
        <w:tblPrEx>
          <w:tblCellMar>
            <w:top w:w="0" w:type="dxa"/>
            <w:bottom w:w="0" w:type="dxa"/>
          </w:tblCellMar>
        </w:tblPrEx>
        <w:tc>
          <w:tcPr>
            <w:tcW w:w="3790" w:type="dxa"/>
            <w:tcBorders>
              <w:top w:val="nil"/>
            </w:tcBorders>
            <w:vAlign w:val="bottom"/>
          </w:tcPr>
          <w:p w:rsidR="00000000" w:rsidRDefault="00000000">
            <w:pPr>
              <w:spacing w:before="40" w:after="40"/>
              <w:ind w:left="284"/>
              <w:rPr>
                <w:sz w:val="20"/>
                <w:lang w:val="fr-FR"/>
              </w:rPr>
            </w:pPr>
            <w:r>
              <w:rPr>
                <w:sz w:val="20"/>
                <w:lang w:val="fr-FR"/>
              </w:rPr>
              <w:t>Employée de maison</w:t>
            </w:r>
          </w:p>
        </w:tc>
        <w:tc>
          <w:tcPr>
            <w:tcW w:w="1141" w:type="dxa"/>
            <w:vAlign w:val="bottom"/>
          </w:tcPr>
          <w:p w:rsidR="00000000" w:rsidRDefault="00000000">
            <w:pPr>
              <w:tabs>
                <w:tab w:val="decimal" w:pos="380"/>
              </w:tabs>
              <w:spacing w:before="40" w:after="40"/>
              <w:jc w:val="right"/>
              <w:rPr>
                <w:sz w:val="20"/>
                <w:szCs w:val="22"/>
                <w:lang w:val="es-ES_tradnl"/>
              </w:rPr>
            </w:pPr>
            <w:r>
              <w:rPr>
                <w:sz w:val="20"/>
                <w:szCs w:val="22"/>
                <w:lang w:val="es-ES_tradnl"/>
              </w:rPr>
              <w:t>55,83</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62,76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53,37</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53,50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50,66</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keepNext/>
        <w:spacing w:after="180"/>
        <w:jc w:val="center"/>
        <w:rPr>
          <w:b/>
          <w:bCs/>
          <w:lang w:val="fr-FR"/>
        </w:rPr>
      </w:pPr>
      <w:r>
        <w:rPr>
          <w:b/>
          <w:bCs/>
          <w:lang w:val="fr-FR"/>
        </w:rPr>
        <w:br w:type="page"/>
        <w:t>Tableau 2.1</w:t>
      </w:r>
    </w:p>
    <w:p w:rsidR="00000000" w:rsidRDefault="00000000">
      <w:pPr>
        <w:keepNext/>
        <w:spacing w:after="180"/>
        <w:jc w:val="center"/>
        <w:rPr>
          <w:b/>
          <w:bCs/>
          <w:lang w:val="fr-FR"/>
        </w:rPr>
      </w:pPr>
      <w:r>
        <w:rPr>
          <w:b/>
          <w:bCs/>
          <w:lang w:val="fr-FR"/>
        </w:rPr>
        <w:t>Bolivie − Zones urbaines: Moyenne hebdomadaire d’heures de travail dans l’emploi principal, par année, par sexe et par statut professionnel, 1999</w:t>
      </w:r>
      <w:r>
        <w:rPr>
          <w:b/>
          <w:bCs/>
          <w:lang w:val="fr-FR"/>
        </w:rPr>
        <w:noBreakHyphen/>
        <w:t>2003</w:t>
      </w:r>
      <w:r>
        <w:rPr>
          <w:b/>
          <w:bCs/>
          <w:i/>
          <w:iCs/>
          <w:vertAlign w:val="superscript"/>
          <w:lang w:val="fr-FR"/>
        </w:rPr>
        <w:t>p</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41"/>
        <w:gridCol w:w="1141"/>
        <w:gridCol w:w="1142"/>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lang w:val="fr-FR"/>
              </w:rPr>
            </w:pPr>
            <w:r>
              <w:rPr>
                <w:sz w:val="20"/>
                <w:lang w:val="fr-FR"/>
              </w:rPr>
              <w:t>Statut professionnel</w:t>
            </w:r>
          </w:p>
        </w:tc>
        <w:tc>
          <w:tcPr>
            <w:tcW w:w="1141" w:type="dxa"/>
            <w:vAlign w:val="center"/>
          </w:tcPr>
          <w:p w:rsidR="00000000" w:rsidRDefault="00000000">
            <w:pPr>
              <w:keepNext/>
              <w:spacing w:before="60" w:after="60"/>
              <w:jc w:val="center"/>
              <w:rPr>
                <w:sz w:val="20"/>
                <w:lang w:val="fr-FR"/>
              </w:rPr>
            </w:pPr>
            <w:r>
              <w:rPr>
                <w:sz w:val="20"/>
                <w:lang w:val="fr-FR"/>
              </w:rPr>
              <w:t>1999</w:t>
            </w:r>
          </w:p>
        </w:tc>
        <w:tc>
          <w:tcPr>
            <w:tcW w:w="1141" w:type="dxa"/>
            <w:vAlign w:val="center"/>
          </w:tcPr>
          <w:p w:rsidR="00000000" w:rsidRDefault="00000000">
            <w:pPr>
              <w:keepNext/>
              <w:spacing w:before="60" w:after="60"/>
              <w:jc w:val="center"/>
              <w:rPr>
                <w:sz w:val="20"/>
                <w:lang w:val="fr-FR"/>
              </w:rPr>
            </w:pPr>
            <w:r>
              <w:rPr>
                <w:sz w:val="20"/>
                <w:lang w:val="fr-FR"/>
              </w:rPr>
              <w:t>2000</w:t>
            </w:r>
          </w:p>
        </w:tc>
        <w:tc>
          <w:tcPr>
            <w:tcW w:w="1142" w:type="dxa"/>
            <w:vAlign w:val="center"/>
          </w:tcPr>
          <w:p w:rsidR="00000000" w:rsidRDefault="00000000">
            <w:pPr>
              <w:keepNext/>
              <w:spacing w:before="60" w:after="60"/>
              <w:jc w:val="center"/>
              <w:rPr>
                <w:sz w:val="20"/>
                <w:lang w:val="fr-FR"/>
              </w:rPr>
            </w:pPr>
            <w:r>
              <w:rPr>
                <w:sz w:val="20"/>
                <w:lang w:val="fr-FR"/>
              </w:rPr>
              <w:t>2001</w:t>
            </w:r>
          </w:p>
        </w:tc>
        <w:tc>
          <w:tcPr>
            <w:tcW w:w="1141" w:type="dxa"/>
            <w:vAlign w:val="center"/>
          </w:tcPr>
          <w:p w:rsidR="00000000" w:rsidRDefault="00000000">
            <w:pPr>
              <w:keepNext/>
              <w:spacing w:before="60" w:after="60"/>
              <w:jc w:val="center"/>
              <w:rPr>
                <w:sz w:val="20"/>
                <w:lang w:val="fr-FR"/>
              </w:rPr>
            </w:pPr>
            <w:r>
              <w:rPr>
                <w:sz w:val="20"/>
                <w:lang w:val="fr-FR"/>
              </w:rPr>
              <w:t>2002</w:t>
            </w:r>
          </w:p>
        </w:tc>
        <w:tc>
          <w:tcPr>
            <w:tcW w:w="1142" w:type="dxa"/>
            <w:vAlign w:val="center"/>
          </w:tcPr>
          <w:p w:rsidR="00000000" w:rsidRDefault="00000000">
            <w:pPr>
              <w:keepNext/>
              <w:spacing w:before="60" w:after="60"/>
              <w:jc w:val="center"/>
              <w:rPr>
                <w:sz w:val="20"/>
                <w:lang w:val="fr-FR"/>
              </w:rPr>
            </w:pPr>
            <w:r>
              <w:rPr>
                <w:sz w:val="20"/>
                <w:lang w:val="fr-FR"/>
              </w:rPr>
              <w:t>2003</w:t>
            </w:r>
            <w:r>
              <w:rPr>
                <w:b/>
                <w:bCs/>
                <w:i/>
                <w:iCs/>
                <w:sz w:val="20"/>
                <w:vertAlign w:val="superscript"/>
                <w:lang w:val="fr-FR"/>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40" w:after="40"/>
              <w:rPr>
                <w:b/>
                <w:bCs/>
                <w:sz w:val="20"/>
                <w:lang w:val="fr-FR"/>
              </w:rPr>
            </w:pPr>
            <w:r>
              <w:rPr>
                <w:b/>
                <w:bCs/>
                <w:sz w:val="20"/>
                <w:lang w:val="fr-FR"/>
              </w:rPr>
              <w:t>TOTAL</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45,98</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47,15</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42,61</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46,71</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45,92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Ouvrier</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48,56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51,97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48,49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48,58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50,73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Employé</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45,80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44,94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45,06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48,57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48,32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Travailleur indépendant</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47,26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48,05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42,05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45,45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44,83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 ou employeur</w:t>
            </w:r>
            <w:r>
              <w:rPr>
                <w:sz w:val="20"/>
                <w:lang w:val="fr-FR"/>
              </w:rPr>
              <w:br/>
              <w:t>percevant une rémunération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44,44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56,06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49,12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55,86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52,37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 ou employeur non rémunéré</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53,05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48,39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50,50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47,68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53,10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Membre d’une coopérative de production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68,64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49,25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51,98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53,00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35,38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Travailleur familial ou apprenti non rémunéré</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32,14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35,21</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26,87</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38,14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34,27</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40" w:after="40"/>
              <w:ind w:left="284"/>
              <w:rPr>
                <w:sz w:val="20"/>
                <w:lang w:val="fr-FR"/>
              </w:rPr>
            </w:pPr>
            <w:r>
              <w:rPr>
                <w:sz w:val="20"/>
                <w:lang w:val="fr-FR"/>
              </w:rPr>
              <w:t>Employé de maison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55,31</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62,34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52,96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53,25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50,11</w:t>
            </w:r>
          </w:p>
        </w:tc>
      </w:tr>
      <w:tr w:rsidR="00000000">
        <w:tblPrEx>
          <w:tblCellMar>
            <w:top w:w="0" w:type="dxa"/>
            <w:bottom w:w="0" w:type="dxa"/>
          </w:tblCellMar>
        </w:tblPrEx>
        <w:tc>
          <w:tcPr>
            <w:tcW w:w="3790" w:type="dxa"/>
            <w:tcBorders>
              <w:bottom w:val="nil"/>
            </w:tcBorders>
            <w:vAlign w:val="bottom"/>
          </w:tcPr>
          <w:p w:rsidR="00000000" w:rsidRDefault="00000000">
            <w:pPr>
              <w:keepNext/>
              <w:spacing w:before="40" w:after="40"/>
              <w:rPr>
                <w:b/>
                <w:bCs/>
                <w:sz w:val="20"/>
                <w:lang w:val="fr-FR"/>
              </w:rPr>
            </w:pPr>
            <w:r>
              <w:rPr>
                <w:b/>
                <w:bCs/>
                <w:sz w:val="20"/>
                <w:lang w:val="fr-FR"/>
              </w:rPr>
              <w:t>HOMMES</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48,19</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49,37</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45,43</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49,40</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48,48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Ouvrier</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48,93</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52,95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49,13</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50,19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51,50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Employé</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48,86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49,02</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49,01</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51,53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51,76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Travailleur indépendant</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49,88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49,50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45,38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49,03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47,88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 ou employeur</w:t>
            </w:r>
            <w:r>
              <w:rPr>
                <w:sz w:val="20"/>
                <w:lang w:val="fr-FR"/>
              </w:rPr>
              <w:br/>
              <w:t>percevant une rémunération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45,76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59,52</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51,80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57,48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52,44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 ou employeur non rémunéré</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54,35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49,63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49,32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48,90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51,10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Membre d’une coopérative de production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68,64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47,94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50,80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52,79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35,38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Travailleur familial ou apprenti non rémunéré</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27,71</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35,46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22,95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33,70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30,46</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40" w:after="40"/>
              <w:ind w:left="284"/>
              <w:rPr>
                <w:sz w:val="20"/>
                <w:lang w:val="fr-FR"/>
              </w:rPr>
            </w:pPr>
            <w:r>
              <w:rPr>
                <w:sz w:val="20"/>
                <w:lang w:val="fr-FR"/>
              </w:rPr>
              <w:t>Employé de maison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41,11</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57,00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52,18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55,75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38,87</w:t>
            </w:r>
          </w:p>
        </w:tc>
      </w:tr>
      <w:tr w:rsidR="00000000">
        <w:tblPrEx>
          <w:tblCellMar>
            <w:top w:w="0" w:type="dxa"/>
            <w:bottom w:w="0" w:type="dxa"/>
          </w:tblCellMar>
        </w:tblPrEx>
        <w:tc>
          <w:tcPr>
            <w:tcW w:w="3790" w:type="dxa"/>
            <w:tcBorders>
              <w:bottom w:val="nil"/>
            </w:tcBorders>
            <w:vAlign w:val="bottom"/>
          </w:tcPr>
          <w:p w:rsidR="00000000" w:rsidRDefault="00000000">
            <w:pPr>
              <w:keepNext/>
              <w:spacing w:before="40" w:after="40"/>
              <w:rPr>
                <w:b/>
                <w:bCs/>
                <w:sz w:val="20"/>
                <w:lang w:val="fr-FR"/>
              </w:rPr>
            </w:pPr>
            <w:r>
              <w:rPr>
                <w:b/>
                <w:bCs/>
                <w:sz w:val="20"/>
                <w:lang w:val="fr-FR"/>
              </w:rPr>
              <w:t>FEMMES</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43,16</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44,35</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39,31</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43,42</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42,76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Ouvrière</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45,76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44,75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43,94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40,17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44,54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Employée</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40,33</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38,20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38,76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43,44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42,97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Travailleuse indépendante</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45,01</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46,64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39,26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42,44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42,43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Patronne, associée ou employeuse</w:t>
            </w:r>
            <w:r>
              <w:rPr>
                <w:sz w:val="20"/>
                <w:lang w:val="fr-FR"/>
              </w:rPr>
              <w:br/>
              <w:t>percevant une rémunération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40,42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38,32</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38,08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45,98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51,98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associée ou employeuse non rémunérée</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48,45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45,05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52,70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44,29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59,34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Membre d’une coopérative de production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67,28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84,00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61,41</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Travailleuse familiale ou apprentie non rémunérée</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34,75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35,06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29,59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40,97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37,04</w:t>
            </w:r>
          </w:p>
        </w:tc>
      </w:tr>
      <w:tr w:rsidR="00000000">
        <w:tblPrEx>
          <w:tblCellMar>
            <w:top w:w="0" w:type="dxa"/>
            <w:bottom w:w="0" w:type="dxa"/>
          </w:tblCellMar>
        </w:tblPrEx>
        <w:tc>
          <w:tcPr>
            <w:tcW w:w="3790" w:type="dxa"/>
            <w:tcBorders>
              <w:top w:val="nil"/>
            </w:tcBorders>
            <w:vAlign w:val="bottom"/>
          </w:tcPr>
          <w:p w:rsidR="00000000" w:rsidRDefault="00000000">
            <w:pPr>
              <w:spacing w:before="40" w:after="40"/>
              <w:ind w:left="284"/>
              <w:rPr>
                <w:sz w:val="20"/>
                <w:lang w:val="fr-FR"/>
              </w:rPr>
            </w:pPr>
            <w:r>
              <w:rPr>
                <w:sz w:val="20"/>
                <w:lang w:val="fr-FR"/>
              </w:rPr>
              <w:t>Employée de maison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56,07</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62,49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52,99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53,17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50,45</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keepNext/>
        <w:spacing w:after="180"/>
        <w:jc w:val="center"/>
        <w:rPr>
          <w:b/>
          <w:bCs/>
          <w:lang w:val="fr-FR"/>
        </w:rPr>
      </w:pPr>
      <w:r>
        <w:br w:type="page"/>
      </w:r>
      <w:r>
        <w:rPr>
          <w:b/>
          <w:bCs/>
          <w:lang w:val="fr-FR"/>
        </w:rPr>
        <w:t>Tableau 2.2</w:t>
      </w:r>
    </w:p>
    <w:p w:rsidR="00000000" w:rsidRDefault="00000000">
      <w:pPr>
        <w:keepNext/>
        <w:spacing w:after="180"/>
        <w:jc w:val="center"/>
        <w:rPr>
          <w:b/>
          <w:bCs/>
          <w:lang w:val="fr-FR"/>
        </w:rPr>
      </w:pPr>
      <w:r>
        <w:rPr>
          <w:b/>
          <w:bCs/>
          <w:lang w:val="fr-FR"/>
        </w:rPr>
        <w:t>Bolivie − Zones rurales: Moyenne hebdomadaire d’heures de travail dans l’emploi principal, par année, par sexe et par statut professionnel, 1999</w:t>
      </w:r>
      <w:r>
        <w:rPr>
          <w:b/>
          <w:bCs/>
          <w:lang w:val="fr-FR"/>
        </w:rPr>
        <w:noBreakHyphen/>
        <w:t>2003</w:t>
      </w:r>
      <w:r>
        <w:rPr>
          <w:b/>
          <w:bCs/>
          <w:i/>
          <w:iCs/>
          <w:vertAlign w:val="superscript"/>
          <w:lang w:val="fr-FR"/>
        </w:rPr>
        <w:t>p</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41"/>
        <w:gridCol w:w="1141"/>
        <w:gridCol w:w="1142"/>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lang w:val="fr-FR"/>
              </w:rPr>
            </w:pPr>
            <w:r>
              <w:rPr>
                <w:sz w:val="20"/>
                <w:lang w:val="fr-FR"/>
              </w:rPr>
              <w:t>Statut professionnel</w:t>
            </w:r>
          </w:p>
        </w:tc>
        <w:tc>
          <w:tcPr>
            <w:tcW w:w="1141" w:type="dxa"/>
            <w:vAlign w:val="center"/>
          </w:tcPr>
          <w:p w:rsidR="00000000" w:rsidRDefault="00000000">
            <w:pPr>
              <w:keepNext/>
              <w:spacing w:before="60" w:after="60"/>
              <w:jc w:val="center"/>
              <w:rPr>
                <w:sz w:val="20"/>
                <w:lang w:val="fr-FR"/>
              </w:rPr>
            </w:pPr>
            <w:r>
              <w:rPr>
                <w:sz w:val="20"/>
                <w:lang w:val="fr-FR"/>
              </w:rPr>
              <w:t>1999</w:t>
            </w:r>
          </w:p>
        </w:tc>
        <w:tc>
          <w:tcPr>
            <w:tcW w:w="1141" w:type="dxa"/>
            <w:vAlign w:val="center"/>
          </w:tcPr>
          <w:p w:rsidR="00000000" w:rsidRDefault="00000000">
            <w:pPr>
              <w:keepNext/>
              <w:spacing w:before="60" w:after="60"/>
              <w:jc w:val="center"/>
              <w:rPr>
                <w:sz w:val="20"/>
                <w:lang w:val="fr-FR"/>
              </w:rPr>
            </w:pPr>
            <w:r>
              <w:rPr>
                <w:sz w:val="20"/>
                <w:lang w:val="fr-FR"/>
              </w:rPr>
              <w:t>2000</w:t>
            </w:r>
          </w:p>
        </w:tc>
        <w:tc>
          <w:tcPr>
            <w:tcW w:w="1142" w:type="dxa"/>
            <w:vAlign w:val="center"/>
          </w:tcPr>
          <w:p w:rsidR="00000000" w:rsidRDefault="00000000">
            <w:pPr>
              <w:keepNext/>
              <w:spacing w:before="60" w:after="60"/>
              <w:jc w:val="center"/>
              <w:rPr>
                <w:sz w:val="20"/>
                <w:lang w:val="fr-FR"/>
              </w:rPr>
            </w:pPr>
            <w:r>
              <w:rPr>
                <w:sz w:val="20"/>
                <w:lang w:val="fr-FR"/>
              </w:rPr>
              <w:t>2001</w:t>
            </w:r>
          </w:p>
        </w:tc>
        <w:tc>
          <w:tcPr>
            <w:tcW w:w="1141" w:type="dxa"/>
            <w:vAlign w:val="center"/>
          </w:tcPr>
          <w:p w:rsidR="00000000" w:rsidRDefault="00000000">
            <w:pPr>
              <w:keepNext/>
              <w:spacing w:before="60" w:after="60"/>
              <w:jc w:val="center"/>
              <w:rPr>
                <w:sz w:val="20"/>
                <w:lang w:val="fr-FR"/>
              </w:rPr>
            </w:pPr>
            <w:r>
              <w:rPr>
                <w:sz w:val="20"/>
                <w:lang w:val="fr-FR"/>
              </w:rPr>
              <w:t>2002</w:t>
            </w:r>
          </w:p>
        </w:tc>
        <w:tc>
          <w:tcPr>
            <w:tcW w:w="1142" w:type="dxa"/>
            <w:vAlign w:val="center"/>
          </w:tcPr>
          <w:p w:rsidR="00000000" w:rsidRDefault="00000000">
            <w:pPr>
              <w:keepNext/>
              <w:spacing w:before="60" w:after="60"/>
              <w:jc w:val="center"/>
              <w:rPr>
                <w:sz w:val="20"/>
                <w:lang w:val="fr-FR"/>
              </w:rPr>
            </w:pPr>
            <w:r>
              <w:rPr>
                <w:sz w:val="20"/>
                <w:lang w:val="fr-FR"/>
              </w:rPr>
              <w:t>2003</w:t>
            </w:r>
            <w:r>
              <w:rPr>
                <w:b/>
                <w:bCs/>
                <w:i/>
                <w:iCs/>
                <w:sz w:val="20"/>
                <w:vertAlign w:val="superscript"/>
                <w:lang w:val="fr-FR"/>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40" w:after="40"/>
              <w:rPr>
                <w:b/>
                <w:bCs/>
                <w:sz w:val="20"/>
                <w:lang w:val="fr-FR"/>
              </w:rPr>
            </w:pPr>
            <w:r>
              <w:rPr>
                <w:b/>
                <w:bCs/>
                <w:sz w:val="20"/>
                <w:lang w:val="fr-FR"/>
              </w:rPr>
              <w:t>TOTAL</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38,95</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41,84</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35,85</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38,15</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39,08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Ouvrier</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46,83</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46,61</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43,06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43,60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46,61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Employé</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40,36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39,60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45,12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45,51</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39,76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Travailleur indépendant</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42,74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44,99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40,52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42,84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39,42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 ou employeur</w:t>
            </w:r>
            <w:r>
              <w:rPr>
                <w:sz w:val="20"/>
                <w:lang w:val="fr-FR"/>
              </w:rPr>
              <w:br/>
              <w:t>percevant une rémunération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41,00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45,49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26,85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50,24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59,00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 ou employeur non rémunéré</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49,99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50,16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44,39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45,37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46,03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Membre d’une coopérative de production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38,58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52,99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43,23</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52,36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68,00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Travailleur familial ou apprenti non rémunéré</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34,09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38,37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29,95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32,79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36,40</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40" w:after="40"/>
              <w:ind w:left="284"/>
              <w:rPr>
                <w:sz w:val="20"/>
                <w:lang w:val="fr-FR"/>
              </w:rPr>
            </w:pPr>
            <w:r>
              <w:rPr>
                <w:sz w:val="20"/>
                <w:lang w:val="fr-FR"/>
              </w:rPr>
              <w:t>Employé de maison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54,82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68,81</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57,49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57,35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53,85</w:t>
            </w:r>
          </w:p>
        </w:tc>
      </w:tr>
      <w:tr w:rsidR="00000000">
        <w:tblPrEx>
          <w:tblCellMar>
            <w:top w:w="0" w:type="dxa"/>
            <w:bottom w:w="0" w:type="dxa"/>
          </w:tblCellMar>
        </w:tblPrEx>
        <w:tc>
          <w:tcPr>
            <w:tcW w:w="3790" w:type="dxa"/>
            <w:tcBorders>
              <w:bottom w:val="nil"/>
            </w:tcBorders>
            <w:vAlign w:val="bottom"/>
          </w:tcPr>
          <w:p w:rsidR="00000000" w:rsidRDefault="00000000">
            <w:pPr>
              <w:keepNext/>
              <w:spacing w:before="40" w:after="40"/>
              <w:rPr>
                <w:b/>
                <w:bCs/>
                <w:sz w:val="20"/>
                <w:lang w:val="fr-FR"/>
              </w:rPr>
            </w:pPr>
            <w:r>
              <w:rPr>
                <w:b/>
                <w:bCs/>
                <w:sz w:val="20"/>
                <w:lang w:val="fr-FR"/>
              </w:rPr>
              <w:t>HOMMES</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39,76</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43,31</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38,36</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40,32</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41,47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Ouvrier</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48,32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48,59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44,61</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46,73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49,14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Employé</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41,56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42,43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45,26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49,68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37,38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Travailleur indépendant</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43,85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45,78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41,98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43,44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42,91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 ou employeur</w:t>
            </w:r>
            <w:r>
              <w:rPr>
                <w:sz w:val="20"/>
                <w:lang w:val="fr-FR"/>
              </w:rPr>
              <w:br/>
              <w:t>percevant une rémunération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41,00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45,49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54,75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51,19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59,00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 ou employeur non rémunéré</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48,02</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55,61</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45,57</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46,14</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46,89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Membre d’une coopérative de production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38,58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52,99</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44,34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51,90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68,00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Travailleur familial ou apprenti non rémunéré</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28,83</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36,48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29,08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31,32</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34,81</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40" w:after="40"/>
              <w:ind w:left="284"/>
              <w:rPr>
                <w:sz w:val="20"/>
                <w:lang w:val="fr-FR"/>
              </w:rPr>
            </w:pPr>
            <w:r>
              <w:rPr>
                <w:sz w:val="20"/>
                <w:lang w:val="fr-FR"/>
              </w:rPr>
              <w:t>Employé de maison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70,00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38,08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42,99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48,00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60,00</w:t>
            </w:r>
          </w:p>
        </w:tc>
      </w:tr>
      <w:tr w:rsidR="00000000">
        <w:tblPrEx>
          <w:tblCellMar>
            <w:top w:w="0" w:type="dxa"/>
            <w:bottom w:w="0" w:type="dxa"/>
          </w:tblCellMar>
        </w:tblPrEx>
        <w:tc>
          <w:tcPr>
            <w:tcW w:w="3790" w:type="dxa"/>
            <w:tcBorders>
              <w:bottom w:val="nil"/>
            </w:tcBorders>
            <w:vAlign w:val="bottom"/>
          </w:tcPr>
          <w:p w:rsidR="00000000" w:rsidRDefault="00000000">
            <w:pPr>
              <w:keepNext/>
              <w:spacing w:before="40" w:after="40"/>
              <w:rPr>
                <w:b/>
                <w:bCs/>
                <w:sz w:val="20"/>
                <w:lang w:val="fr-FR"/>
              </w:rPr>
            </w:pPr>
            <w:r>
              <w:rPr>
                <w:b/>
                <w:bCs/>
                <w:sz w:val="20"/>
                <w:lang w:val="fr-FR"/>
              </w:rPr>
              <w:t>FEMMES</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38,00</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39,99</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32,68</w:t>
            </w:r>
          </w:p>
        </w:tc>
        <w:tc>
          <w:tcPr>
            <w:tcW w:w="1141"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35,13</w:t>
            </w:r>
          </w:p>
        </w:tc>
        <w:tc>
          <w:tcPr>
            <w:tcW w:w="1142" w:type="dxa"/>
            <w:vAlign w:val="bottom"/>
          </w:tcPr>
          <w:p w:rsidR="00000000" w:rsidRDefault="00000000">
            <w:pPr>
              <w:tabs>
                <w:tab w:val="decimal" w:pos="340"/>
              </w:tabs>
              <w:spacing w:before="40" w:after="40"/>
              <w:jc w:val="right"/>
              <w:rPr>
                <w:b/>
                <w:bCs/>
                <w:sz w:val="20"/>
                <w:szCs w:val="22"/>
                <w:lang w:val="es-ES_tradnl"/>
              </w:rPr>
            </w:pPr>
            <w:r>
              <w:rPr>
                <w:b/>
                <w:bCs/>
                <w:sz w:val="20"/>
                <w:szCs w:val="22"/>
                <w:lang w:val="es-ES_tradnl"/>
              </w:rPr>
              <w:t>36,05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Ouvrière</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35,40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30,72</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33,05</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27,35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31,60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Employée</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38,90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34,73</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44,91</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35,15</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44,70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Travailleuse indépendante</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40,09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42,58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36,30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40,62</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32,19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Patronne, associée ou employeuse</w:t>
            </w:r>
            <w:r>
              <w:rPr>
                <w:sz w:val="20"/>
                <w:lang w:val="fr-FR"/>
              </w:rPr>
              <w:br/>
              <w:t>percevant une rémunération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0,00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3,00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44,00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Patron, associée ou employeuse non rémunérée</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59,44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31,06</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39,84</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41,17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33,03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Membre d’une coopérative de production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0,00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21,50</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60,00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40" w:after="40"/>
              <w:ind w:left="284"/>
              <w:rPr>
                <w:sz w:val="20"/>
                <w:lang w:val="fr-FR"/>
              </w:rPr>
            </w:pPr>
            <w:r>
              <w:rPr>
                <w:sz w:val="20"/>
                <w:lang w:val="fr-FR"/>
              </w:rPr>
              <w:t>Travailleuse familiale ou apprentie non rémunérée</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36,79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39,30</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30,46</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33,67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37,30</w:t>
            </w:r>
          </w:p>
        </w:tc>
      </w:tr>
      <w:tr w:rsidR="00000000">
        <w:tblPrEx>
          <w:tblCellMar>
            <w:top w:w="0" w:type="dxa"/>
            <w:bottom w:w="0" w:type="dxa"/>
          </w:tblCellMar>
        </w:tblPrEx>
        <w:tc>
          <w:tcPr>
            <w:tcW w:w="3790" w:type="dxa"/>
            <w:tcBorders>
              <w:top w:val="nil"/>
            </w:tcBorders>
            <w:vAlign w:val="bottom"/>
          </w:tcPr>
          <w:p w:rsidR="00000000" w:rsidRDefault="00000000">
            <w:pPr>
              <w:spacing w:before="40" w:after="40"/>
              <w:ind w:left="284"/>
              <w:rPr>
                <w:sz w:val="20"/>
                <w:lang w:val="fr-FR"/>
              </w:rPr>
            </w:pPr>
            <w:r>
              <w:rPr>
                <w:sz w:val="20"/>
                <w:lang w:val="fr-FR"/>
              </w:rPr>
              <w:t>Employée de maison</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54,09</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67,37</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57,78</w:t>
            </w:r>
          </w:p>
        </w:tc>
        <w:tc>
          <w:tcPr>
            <w:tcW w:w="1141"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58,08</w:t>
            </w:r>
          </w:p>
        </w:tc>
        <w:tc>
          <w:tcPr>
            <w:tcW w:w="1142" w:type="dxa"/>
            <w:vAlign w:val="bottom"/>
          </w:tcPr>
          <w:p w:rsidR="00000000" w:rsidRDefault="00000000">
            <w:pPr>
              <w:tabs>
                <w:tab w:val="decimal" w:pos="340"/>
              </w:tabs>
              <w:spacing w:before="40" w:after="40"/>
              <w:jc w:val="right"/>
              <w:rPr>
                <w:sz w:val="20"/>
                <w:szCs w:val="22"/>
                <w:lang w:val="es-ES_tradnl"/>
              </w:rPr>
            </w:pPr>
            <w:r>
              <w:rPr>
                <w:sz w:val="20"/>
                <w:szCs w:val="22"/>
                <w:lang w:val="es-ES_tradnl"/>
              </w:rPr>
              <w:t>52,92</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pStyle w:val="Title"/>
        <w:spacing w:before="0" w:after="180"/>
      </w:pPr>
      <w:r>
        <w:br w:type="page"/>
        <w:t>Tableau 3</w:t>
      </w:r>
    </w:p>
    <w:p w:rsidR="00000000" w:rsidRDefault="00000000">
      <w:pPr>
        <w:keepNext/>
        <w:spacing w:after="180"/>
        <w:jc w:val="center"/>
        <w:rPr>
          <w:b/>
          <w:bCs/>
          <w:lang w:val="fr-FR"/>
        </w:rPr>
      </w:pPr>
      <w:r>
        <w:rPr>
          <w:b/>
          <w:bCs/>
          <w:lang w:val="fr-FR"/>
        </w:rPr>
        <w:t>Bolivie: Moyenne hebdomadaire d’heures de travail dans l’emploi principal,</w:t>
      </w:r>
      <w:r>
        <w:rPr>
          <w:b/>
          <w:bCs/>
          <w:lang w:val="fr-FR"/>
        </w:rPr>
        <w:br/>
        <w:t>par année, par sexe et par branche d’activité, 1999</w:t>
      </w:r>
      <w:r>
        <w:rPr>
          <w:b/>
          <w:bCs/>
          <w:lang w:val="fr-FR"/>
        </w:rPr>
        <w:noBreakHyphen/>
        <w:t>2003</w:t>
      </w:r>
      <w:r>
        <w:rPr>
          <w:b/>
          <w:bCs/>
          <w:i/>
          <w:iCs/>
          <w:vertAlign w:val="superscript"/>
          <w:lang w:val="fr-FR"/>
        </w:rPr>
        <w:t>p</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0"/>
        <w:gridCol w:w="1141"/>
        <w:gridCol w:w="1141"/>
        <w:gridCol w:w="1142"/>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lang w:val="fr-FR"/>
              </w:rPr>
            </w:pPr>
            <w:r>
              <w:rPr>
                <w:sz w:val="20"/>
                <w:lang w:val="fr-FR"/>
              </w:rPr>
              <w:t>Branche d’activité</w:t>
            </w:r>
          </w:p>
        </w:tc>
        <w:tc>
          <w:tcPr>
            <w:tcW w:w="1141" w:type="dxa"/>
            <w:vAlign w:val="center"/>
          </w:tcPr>
          <w:p w:rsidR="00000000" w:rsidRDefault="00000000">
            <w:pPr>
              <w:spacing w:before="60" w:after="60"/>
              <w:jc w:val="center"/>
              <w:rPr>
                <w:sz w:val="20"/>
                <w:lang w:val="fr-FR"/>
              </w:rPr>
            </w:pPr>
            <w:r>
              <w:rPr>
                <w:sz w:val="20"/>
                <w:lang w:val="fr-FR"/>
              </w:rPr>
              <w:t>1999</w:t>
            </w:r>
          </w:p>
        </w:tc>
        <w:tc>
          <w:tcPr>
            <w:tcW w:w="1141" w:type="dxa"/>
            <w:vAlign w:val="center"/>
          </w:tcPr>
          <w:p w:rsidR="00000000" w:rsidRDefault="00000000">
            <w:pPr>
              <w:spacing w:before="60" w:after="60"/>
              <w:jc w:val="center"/>
              <w:rPr>
                <w:sz w:val="20"/>
                <w:lang w:val="fr-FR"/>
              </w:rPr>
            </w:pPr>
            <w:r>
              <w:rPr>
                <w:sz w:val="20"/>
                <w:lang w:val="fr-FR"/>
              </w:rPr>
              <w:t>2000</w:t>
            </w:r>
          </w:p>
        </w:tc>
        <w:tc>
          <w:tcPr>
            <w:tcW w:w="1142" w:type="dxa"/>
            <w:vAlign w:val="center"/>
          </w:tcPr>
          <w:p w:rsidR="00000000" w:rsidRDefault="00000000">
            <w:pPr>
              <w:spacing w:before="60" w:after="60"/>
              <w:jc w:val="center"/>
              <w:rPr>
                <w:sz w:val="20"/>
                <w:lang w:val="fr-FR"/>
              </w:rPr>
            </w:pPr>
            <w:r>
              <w:rPr>
                <w:sz w:val="20"/>
                <w:lang w:val="fr-FR"/>
              </w:rPr>
              <w:t>2001</w:t>
            </w:r>
          </w:p>
        </w:tc>
        <w:tc>
          <w:tcPr>
            <w:tcW w:w="1141" w:type="dxa"/>
            <w:vAlign w:val="center"/>
          </w:tcPr>
          <w:p w:rsidR="00000000" w:rsidRDefault="00000000">
            <w:pPr>
              <w:spacing w:before="60" w:after="60"/>
              <w:jc w:val="center"/>
              <w:rPr>
                <w:sz w:val="20"/>
                <w:lang w:val="fr-FR"/>
              </w:rPr>
            </w:pPr>
            <w:r>
              <w:rPr>
                <w:sz w:val="20"/>
                <w:lang w:val="fr-FR"/>
              </w:rPr>
              <w:t>2002</w:t>
            </w:r>
          </w:p>
        </w:tc>
        <w:tc>
          <w:tcPr>
            <w:tcW w:w="1142" w:type="dxa"/>
            <w:vAlign w:val="center"/>
          </w:tcPr>
          <w:p w:rsidR="00000000" w:rsidRDefault="00000000">
            <w:pPr>
              <w:spacing w:before="60" w:after="60"/>
              <w:jc w:val="center"/>
              <w:rPr>
                <w:sz w:val="20"/>
                <w:lang w:val="fr-FR"/>
              </w:rPr>
            </w:pPr>
            <w:r>
              <w:rPr>
                <w:sz w:val="20"/>
                <w:lang w:val="fr-FR"/>
              </w:rPr>
              <w:t>2003</w:t>
            </w:r>
            <w:r>
              <w:rPr>
                <w:b/>
                <w:bCs/>
                <w:i/>
                <w:iCs/>
                <w:sz w:val="20"/>
                <w:vertAlign w:val="superscript"/>
                <w:lang w:val="fr-FR"/>
              </w:rPr>
              <w:t>p</w:t>
            </w:r>
          </w:p>
        </w:tc>
      </w:tr>
      <w:tr w:rsidR="00000000">
        <w:tblPrEx>
          <w:tblCellMar>
            <w:top w:w="0" w:type="dxa"/>
            <w:bottom w:w="0" w:type="dxa"/>
          </w:tblCellMar>
        </w:tblPrEx>
        <w:tc>
          <w:tcPr>
            <w:tcW w:w="3790" w:type="dxa"/>
            <w:tcBorders>
              <w:bottom w:val="nil"/>
            </w:tcBorders>
            <w:vAlign w:val="bottom"/>
          </w:tcPr>
          <w:p w:rsidR="00000000" w:rsidRDefault="00000000">
            <w:pPr>
              <w:pStyle w:val="Heading4"/>
            </w:pPr>
            <w:r>
              <w:t>TOTAL</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42,85</w:t>
            </w:r>
          </w:p>
        </w:tc>
        <w:tc>
          <w:tcPr>
            <w:tcW w:w="1141" w:type="dxa"/>
            <w:vAlign w:val="bottom"/>
          </w:tcPr>
          <w:p w:rsidR="00000000" w:rsidRDefault="00000000">
            <w:pPr>
              <w:tabs>
                <w:tab w:val="decimal" w:pos="290"/>
              </w:tabs>
              <w:spacing w:before="60" w:after="60"/>
              <w:jc w:val="right"/>
              <w:rPr>
                <w:b/>
                <w:sz w:val="20"/>
                <w:szCs w:val="22"/>
                <w:lang w:val="es-ES_tradnl"/>
              </w:rPr>
            </w:pPr>
            <w:r>
              <w:rPr>
                <w:b/>
                <w:sz w:val="20"/>
                <w:szCs w:val="22"/>
                <w:lang w:val="es-ES_tradnl"/>
              </w:rPr>
              <w:t>46,65</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39,60</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42,89</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42,93</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Agriculture, élevage et chasse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38,44</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43,35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35,84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37,59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39,81</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Sylviculture et pêche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43,88</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41,84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15,59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23,09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41,76</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Exploitation des mines et des carrières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47,65</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49,67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49,68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49,28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54,48</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Industries manufacturières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43,91</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47,03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39,76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45,39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41,20</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Production et distribution d’électricité,</w:t>
            </w:r>
            <w:r>
              <w:rPr>
                <w:sz w:val="20"/>
                <w:lang w:val="fr-FR"/>
              </w:rPr>
              <w:br/>
              <w:t>de gaz et d’eau</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45,93</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55,58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45,35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49,28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54,49</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Bâtiment et travaux publics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48,41</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50,79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46,88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49,60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48,93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Vente et réparation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48,22</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52,12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41,77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49,48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49,09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Hôtellerie et restauration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46,16</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50,21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43,61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43,89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37,23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Transport, stockage, communications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57,55</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58,45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54,53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58,89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55,77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financiers</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47,89</w:t>
            </w:r>
          </w:p>
        </w:tc>
        <w:tc>
          <w:tcPr>
            <w:tcW w:w="1141" w:type="dxa"/>
            <w:tcBorders>
              <w:bottom w:val="single" w:sz="4" w:space="0" w:color="auto"/>
            </w:tcBorders>
            <w:vAlign w:val="bottom"/>
          </w:tcPr>
          <w:p w:rsidR="00000000" w:rsidRDefault="00000000">
            <w:pPr>
              <w:tabs>
                <w:tab w:val="decimal" w:pos="290"/>
              </w:tabs>
              <w:spacing w:before="60" w:after="60"/>
              <w:jc w:val="right"/>
              <w:rPr>
                <w:sz w:val="20"/>
                <w:szCs w:val="22"/>
                <w:lang w:val="es-ES_tradnl"/>
              </w:rPr>
            </w:pPr>
            <w:r>
              <w:rPr>
                <w:sz w:val="20"/>
                <w:szCs w:val="22"/>
                <w:lang w:val="es-ES_tradnl"/>
              </w:rPr>
              <w:t>50,92</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48,08</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46,63</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48,15</w:t>
            </w:r>
          </w:p>
        </w:tc>
      </w:tr>
      <w:tr w:rsidR="00000000">
        <w:tblPrEx>
          <w:tblCellMar>
            <w:top w:w="0" w:type="dxa"/>
            <w:bottom w:w="0" w:type="dxa"/>
          </w:tblCellMar>
        </w:tblPrEx>
        <w:tc>
          <w:tcPr>
            <w:tcW w:w="3790" w:type="dxa"/>
            <w:tcBorders>
              <w:top w:val="nil"/>
              <w:bottom w:val="nil"/>
              <w:right w:val="single" w:sz="4" w:space="0" w:color="auto"/>
            </w:tcBorders>
            <w:vAlign w:val="bottom"/>
          </w:tcPr>
          <w:p w:rsidR="00000000" w:rsidRDefault="00000000">
            <w:pPr>
              <w:spacing w:before="60" w:after="60"/>
              <w:ind w:left="284"/>
              <w:rPr>
                <w:sz w:val="20"/>
                <w:lang w:val="fr-FR"/>
              </w:rPr>
            </w:pPr>
            <w:r>
              <w:rPr>
                <w:sz w:val="20"/>
                <w:lang w:val="fr-FR"/>
              </w:rPr>
              <w:t>Services immobiliers, services aux entreprises et services de location</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41,67</w:t>
            </w:r>
          </w:p>
        </w:tc>
        <w:tc>
          <w:tcPr>
            <w:tcW w:w="1141" w:type="dxa"/>
            <w:tcBorders>
              <w:left w:val="single" w:sz="4" w:space="0" w:color="auto"/>
              <w:right w:val="single" w:sz="4" w:space="0" w:color="auto"/>
            </w:tcBorders>
            <w:vAlign w:val="bottom"/>
          </w:tcPr>
          <w:p w:rsidR="00000000" w:rsidRDefault="00000000">
            <w:pPr>
              <w:tabs>
                <w:tab w:val="decimal" w:pos="290"/>
              </w:tabs>
              <w:spacing w:before="60" w:after="60"/>
              <w:jc w:val="right"/>
              <w:rPr>
                <w:sz w:val="20"/>
                <w:szCs w:val="22"/>
                <w:lang w:val="es-ES_tradnl"/>
              </w:rPr>
            </w:pPr>
            <w:r>
              <w:rPr>
                <w:sz w:val="20"/>
                <w:szCs w:val="22"/>
                <w:lang w:val="es-ES_tradnl"/>
              </w:rPr>
              <w:t>46,46</w:t>
            </w:r>
          </w:p>
        </w:tc>
        <w:tc>
          <w:tcPr>
            <w:tcW w:w="1142"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42,11</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49,82</w:t>
            </w:r>
          </w:p>
        </w:tc>
        <w:tc>
          <w:tcPr>
            <w:tcW w:w="1142" w:type="dxa"/>
            <w:tcBorders>
              <w:lef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44,65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Administration publique, défense</w:t>
            </w:r>
            <w:r>
              <w:rPr>
                <w:sz w:val="20"/>
                <w:lang w:val="fr-FR"/>
              </w:rPr>
              <w:br/>
              <w:t>et sécurité sociale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47,14</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54,18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48,93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50,23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50,92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Éducation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28,76</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31,67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27,68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28,59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32,19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sociaux et de santé</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45,20</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46,45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42,14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40,99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40,65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communautaires</w:t>
            </w:r>
            <w:r>
              <w:rPr>
                <w:sz w:val="20"/>
                <w:lang w:val="fr-FR"/>
              </w:rPr>
              <w:br/>
              <w:t>et services à la personne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33,93</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33,57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32,18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35,22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31,47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 chez des particuliers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50,63</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52,55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49,35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53,07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48,47</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lang w:val="fr-FR"/>
              </w:rPr>
            </w:pPr>
            <w:r>
              <w:rPr>
                <w:sz w:val="20"/>
                <w:lang w:val="fr-FR"/>
              </w:rPr>
              <w:t>Organismes extraterritoriaux</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68,29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44,21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48,40</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lang w:val="fr-FR"/>
              </w:rPr>
            </w:pPr>
            <w:r>
              <w:rPr>
                <w:b/>
                <w:bCs/>
                <w:sz w:val="20"/>
                <w:lang w:val="fr-FR"/>
              </w:rPr>
              <w:t>HOMMES</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44,52</w:t>
            </w:r>
          </w:p>
        </w:tc>
        <w:tc>
          <w:tcPr>
            <w:tcW w:w="1141" w:type="dxa"/>
            <w:vAlign w:val="bottom"/>
          </w:tcPr>
          <w:p w:rsidR="00000000" w:rsidRDefault="00000000">
            <w:pPr>
              <w:tabs>
                <w:tab w:val="decimal" w:pos="290"/>
              </w:tabs>
              <w:spacing w:before="60" w:after="60"/>
              <w:jc w:val="right"/>
              <w:rPr>
                <w:b/>
                <w:sz w:val="20"/>
                <w:szCs w:val="22"/>
                <w:lang w:val="es-ES_tradnl"/>
              </w:rPr>
            </w:pPr>
            <w:r>
              <w:rPr>
                <w:b/>
                <w:sz w:val="20"/>
                <w:szCs w:val="22"/>
                <w:lang w:val="es-ES_tradnl"/>
              </w:rPr>
              <w:t>48,64</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42,22</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45,22</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45,39</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Agriculture, élevage et chasse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39,44</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45,08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38,33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39,80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41,38</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Sylviculture et pêche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45,68</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44,02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17,84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25,59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43,63</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Exploitation des mines et des carrières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47,85</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50,29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49,86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51,46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55,45</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Industries manufacturières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48,80</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49,63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44,91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49,48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47,16</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Production et distribution d’électricité,</w:t>
            </w:r>
            <w:r>
              <w:rPr>
                <w:sz w:val="20"/>
                <w:lang w:val="fr-FR"/>
              </w:rPr>
              <w:br/>
              <w:t>de gaz et d’eau</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46,53</w:t>
            </w:r>
          </w:p>
        </w:tc>
        <w:tc>
          <w:tcPr>
            <w:tcW w:w="1141" w:type="dxa"/>
            <w:tcBorders>
              <w:bottom w:val="single" w:sz="4" w:space="0" w:color="auto"/>
            </w:tcBorders>
            <w:vAlign w:val="bottom"/>
          </w:tcPr>
          <w:p w:rsidR="00000000" w:rsidRDefault="00000000">
            <w:pPr>
              <w:tabs>
                <w:tab w:val="decimal" w:pos="290"/>
              </w:tabs>
              <w:spacing w:before="60" w:after="60"/>
              <w:jc w:val="right"/>
              <w:rPr>
                <w:sz w:val="20"/>
                <w:szCs w:val="22"/>
                <w:lang w:val="es-ES_tradnl"/>
              </w:rPr>
            </w:pPr>
            <w:r>
              <w:rPr>
                <w:sz w:val="20"/>
                <w:szCs w:val="22"/>
                <w:lang w:val="es-ES_tradnl"/>
              </w:rPr>
              <w:t>57,08</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46,05</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50,66</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55,60</w:t>
            </w:r>
          </w:p>
        </w:tc>
      </w:tr>
      <w:tr w:rsidR="00000000">
        <w:tblPrEx>
          <w:tblCellMar>
            <w:top w:w="0" w:type="dxa"/>
            <w:bottom w:w="0" w:type="dxa"/>
          </w:tblCellMar>
        </w:tblPrEx>
        <w:tc>
          <w:tcPr>
            <w:tcW w:w="3790" w:type="dxa"/>
            <w:tcBorders>
              <w:top w:val="nil"/>
              <w:bottom w:val="nil"/>
              <w:right w:val="single" w:sz="4" w:space="0" w:color="auto"/>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Bâtiment et travaux publics</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48,43</w:t>
            </w:r>
          </w:p>
        </w:tc>
        <w:tc>
          <w:tcPr>
            <w:tcW w:w="1141" w:type="dxa"/>
            <w:tcBorders>
              <w:left w:val="single" w:sz="4" w:space="0" w:color="auto"/>
              <w:right w:val="single" w:sz="4" w:space="0" w:color="auto"/>
            </w:tcBorders>
            <w:vAlign w:val="bottom"/>
          </w:tcPr>
          <w:p w:rsidR="00000000" w:rsidRDefault="00000000">
            <w:pPr>
              <w:tabs>
                <w:tab w:val="decimal" w:pos="290"/>
              </w:tabs>
              <w:spacing w:before="60" w:after="60"/>
              <w:jc w:val="right"/>
              <w:rPr>
                <w:sz w:val="20"/>
                <w:szCs w:val="22"/>
                <w:lang w:val="es-ES_tradnl"/>
              </w:rPr>
            </w:pPr>
            <w:r>
              <w:rPr>
                <w:sz w:val="20"/>
                <w:szCs w:val="22"/>
                <w:lang w:val="es-ES_tradnl"/>
              </w:rPr>
              <w:t>50,92</w:t>
            </w:r>
          </w:p>
        </w:tc>
        <w:tc>
          <w:tcPr>
            <w:tcW w:w="1142"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47,25</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50,04</w:t>
            </w:r>
          </w:p>
        </w:tc>
        <w:tc>
          <w:tcPr>
            <w:tcW w:w="1142" w:type="dxa"/>
            <w:tcBorders>
              <w:lef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49,86</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Vente et réparation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48,47</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53,76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42,31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49,09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49,22</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Hôtellerie et restauration</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49,32</w:t>
            </w:r>
          </w:p>
        </w:tc>
        <w:tc>
          <w:tcPr>
            <w:tcW w:w="1141" w:type="dxa"/>
            <w:tcBorders>
              <w:bottom w:val="single" w:sz="4" w:space="0" w:color="auto"/>
            </w:tcBorders>
            <w:vAlign w:val="bottom"/>
          </w:tcPr>
          <w:p w:rsidR="00000000" w:rsidRDefault="00000000">
            <w:pPr>
              <w:tabs>
                <w:tab w:val="decimal" w:pos="290"/>
              </w:tabs>
              <w:spacing w:before="60" w:after="60"/>
              <w:jc w:val="right"/>
              <w:rPr>
                <w:sz w:val="20"/>
                <w:szCs w:val="22"/>
                <w:lang w:val="es-ES_tradnl"/>
              </w:rPr>
            </w:pPr>
            <w:r>
              <w:rPr>
                <w:sz w:val="20"/>
                <w:szCs w:val="22"/>
                <w:lang w:val="es-ES_tradnl"/>
              </w:rPr>
              <w:t>54,21</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41,98</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47,67</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39,39</w:t>
            </w:r>
          </w:p>
        </w:tc>
      </w:tr>
      <w:tr w:rsidR="00000000">
        <w:tblPrEx>
          <w:tblCellMar>
            <w:top w:w="0" w:type="dxa"/>
            <w:bottom w:w="0" w:type="dxa"/>
          </w:tblCellMar>
        </w:tblPrEx>
        <w:tc>
          <w:tcPr>
            <w:tcW w:w="3790" w:type="dxa"/>
            <w:tcBorders>
              <w:top w:val="single" w:sz="4" w:space="0" w:color="auto"/>
              <w:bottom w:val="nil"/>
            </w:tcBorders>
            <w:vAlign w:val="bottom"/>
          </w:tcPr>
          <w:p w:rsidR="00000000" w:rsidRDefault="00000000">
            <w:pPr>
              <w:pageBreakBefore/>
              <w:widowControl w:val="0"/>
              <w:autoSpaceDE w:val="0"/>
              <w:autoSpaceDN w:val="0"/>
              <w:adjustRightInd w:val="0"/>
              <w:spacing w:before="60" w:after="60"/>
              <w:ind w:left="284"/>
              <w:rPr>
                <w:sz w:val="20"/>
                <w:lang w:val="fr-FR"/>
              </w:rPr>
            </w:pPr>
            <w:r>
              <w:rPr>
                <w:sz w:val="20"/>
                <w:lang w:val="fr-FR"/>
              </w:rPr>
              <w:t>Transport, stockage, communications</w:t>
            </w:r>
          </w:p>
        </w:tc>
        <w:tc>
          <w:tcPr>
            <w:tcW w:w="1141"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58,49</w:t>
            </w:r>
          </w:p>
        </w:tc>
        <w:tc>
          <w:tcPr>
            <w:tcW w:w="1141" w:type="dxa"/>
            <w:tcBorders>
              <w:top w:val="single" w:sz="4" w:space="0" w:color="auto"/>
            </w:tcBorders>
            <w:vAlign w:val="bottom"/>
          </w:tcPr>
          <w:p w:rsidR="00000000" w:rsidRDefault="00000000">
            <w:pPr>
              <w:pageBreakBefore/>
              <w:tabs>
                <w:tab w:val="decimal" w:pos="290"/>
              </w:tabs>
              <w:spacing w:before="60" w:after="60"/>
              <w:jc w:val="right"/>
              <w:rPr>
                <w:sz w:val="20"/>
                <w:szCs w:val="22"/>
                <w:lang w:val="es-ES_tradnl"/>
              </w:rPr>
            </w:pPr>
            <w:r>
              <w:rPr>
                <w:sz w:val="20"/>
                <w:szCs w:val="22"/>
                <w:lang w:val="es-ES_tradnl"/>
              </w:rPr>
              <w:t>59,59</w:t>
            </w:r>
          </w:p>
        </w:tc>
        <w:tc>
          <w:tcPr>
            <w:tcW w:w="1142"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55,76</w:t>
            </w:r>
          </w:p>
        </w:tc>
        <w:tc>
          <w:tcPr>
            <w:tcW w:w="1141"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60,06</w:t>
            </w:r>
          </w:p>
        </w:tc>
        <w:tc>
          <w:tcPr>
            <w:tcW w:w="1142"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56,97</w:t>
            </w:r>
          </w:p>
        </w:tc>
      </w:tr>
      <w:tr w:rsidR="00000000">
        <w:tblPrEx>
          <w:tblCellMar>
            <w:top w:w="0" w:type="dxa"/>
            <w:bottom w:w="0" w:type="dxa"/>
          </w:tblCellMar>
        </w:tblPrEx>
        <w:tc>
          <w:tcPr>
            <w:tcW w:w="3790" w:type="dxa"/>
            <w:tcBorders>
              <w:top w:val="nil"/>
              <w:bottom w:val="nil"/>
            </w:tcBorders>
            <w:vAlign w:val="bottom"/>
          </w:tcPr>
          <w:p w:rsidR="00000000" w:rsidRDefault="00000000">
            <w:pPr>
              <w:keepNext/>
              <w:widowControl w:val="0"/>
              <w:autoSpaceDE w:val="0"/>
              <w:autoSpaceDN w:val="0"/>
              <w:adjustRightInd w:val="0"/>
              <w:spacing w:before="60" w:after="60"/>
              <w:ind w:left="284"/>
              <w:rPr>
                <w:sz w:val="20"/>
                <w:lang w:val="fr-FR"/>
              </w:rPr>
            </w:pPr>
            <w:r>
              <w:rPr>
                <w:sz w:val="20"/>
                <w:lang w:val="fr-FR"/>
              </w:rPr>
              <w:t>Services financiers</w:t>
            </w:r>
          </w:p>
        </w:tc>
        <w:tc>
          <w:tcPr>
            <w:tcW w:w="1141"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48,85</w:t>
            </w:r>
          </w:p>
        </w:tc>
        <w:tc>
          <w:tcPr>
            <w:tcW w:w="1141" w:type="dxa"/>
            <w:vAlign w:val="bottom"/>
          </w:tcPr>
          <w:p w:rsidR="00000000" w:rsidRDefault="00000000">
            <w:pPr>
              <w:keepNext/>
              <w:tabs>
                <w:tab w:val="decimal" w:pos="290"/>
              </w:tabs>
              <w:spacing w:before="60" w:after="60"/>
              <w:jc w:val="right"/>
              <w:rPr>
                <w:sz w:val="20"/>
                <w:szCs w:val="22"/>
                <w:lang w:val="es-ES_tradnl"/>
              </w:rPr>
            </w:pPr>
            <w:r>
              <w:rPr>
                <w:sz w:val="20"/>
                <w:szCs w:val="22"/>
                <w:lang w:val="es-ES_tradnl"/>
              </w:rPr>
              <w:t>53,11</w:t>
            </w:r>
          </w:p>
        </w:tc>
        <w:tc>
          <w:tcPr>
            <w:tcW w:w="1142"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49,49</w:t>
            </w:r>
          </w:p>
        </w:tc>
        <w:tc>
          <w:tcPr>
            <w:tcW w:w="1141"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47,94</w:t>
            </w:r>
          </w:p>
        </w:tc>
        <w:tc>
          <w:tcPr>
            <w:tcW w:w="1142"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47,76</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immobiliers, services aux entreprises et services de location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42,38</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48,08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45,52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50,75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45,90</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Administration publique, défense</w:t>
            </w:r>
            <w:r>
              <w:rPr>
                <w:sz w:val="20"/>
                <w:lang w:val="fr-FR"/>
              </w:rPr>
              <w:br/>
              <w:t>et sécurité sociale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49,00</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58,65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50,73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51,58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53,69</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Éducation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30,10</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32,78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29,02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32,12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30,16</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sociaux et de santé</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44,69</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51,80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41,66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43,95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41,78</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communautaires</w:t>
            </w:r>
            <w:r>
              <w:rPr>
                <w:sz w:val="20"/>
                <w:lang w:val="fr-FR"/>
              </w:rPr>
              <w:br/>
              <w:t>et services à la personne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35,25</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39,94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37,77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42,57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35,67</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Travail chez des particuliers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44,23</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44,55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49,06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49,92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42,43</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Organismes extraterritoriaux</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84,00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38,00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50,50</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lang w:val="fr-FR"/>
              </w:rPr>
            </w:pPr>
            <w:r>
              <w:rPr>
                <w:b/>
                <w:bCs/>
                <w:sz w:val="20"/>
                <w:lang w:val="fr-FR"/>
              </w:rPr>
              <w:t>FEMMES</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40,80</w:t>
            </w:r>
          </w:p>
        </w:tc>
        <w:tc>
          <w:tcPr>
            <w:tcW w:w="1141" w:type="dxa"/>
            <w:vAlign w:val="bottom"/>
          </w:tcPr>
          <w:p w:rsidR="00000000" w:rsidRDefault="00000000">
            <w:pPr>
              <w:tabs>
                <w:tab w:val="decimal" w:pos="290"/>
              </w:tabs>
              <w:spacing w:before="60" w:after="60"/>
              <w:jc w:val="right"/>
              <w:rPr>
                <w:b/>
                <w:sz w:val="20"/>
                <w:szCs w:val="22"/>
                <w:lang w:val="es-ES_tradnl"/>
              </w:rPr>
            </w:pPr>
            <w:r>
              <w:rPr>
                <w:b/>
                <w:sz w:val="20"/>
                <w:szCs w:val="22"/>
                <w:lang w:val="es-ES_tradnl"/>
              </w:rPr>
              <w:t>44,12</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36,43</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39,87</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39,84</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Agriculture, élevage et chasse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37,25</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41,01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32,62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34,32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37,75</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Sylviculture et pêche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31,65</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30,10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10,69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18,85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32,89</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Exploitation des mines et des carrières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46,67</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44,96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47,54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29,84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42,64</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Industries manufacturières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37,12</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42,88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32,37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38,82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33,54</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Production et distribution d’électricité,</w:t>
            </w:r>
            <w:r>
              <w:rPr>
                <w:sz w:val="20"/>
                <w:lang w:val="fr-FR"/>
              </w:rPr>
              <w:br/>
              <w:t>de gaz et d’eau</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43,75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43,42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41,76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44,31</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Bâtiment et travaux publics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47,00</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47,07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35,97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41,41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35,15</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Vente et réparation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48,07</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51,15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41,43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49,72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49,01</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Hôtellerie et restauration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45,06</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49,05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44,16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42,76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36,36</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Transport, stockage, communications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40,89</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47,17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44,89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43,68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40,49</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financiers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46,87</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46,31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43,37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44,77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49,14</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immobiliers, services aux entreprises et services de location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40,54</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41,62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35,02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48,06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42,00</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Administration publique, défense</w:t>
            </w:r>
            <w:r>
              <w:rPr>
                <w:sz w:val="20"/>
                <w:lang w:val="fr-FR"/>
              </w:rPr>
              <w:br/>
              <w:t>et sécurité sociale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41,32</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39,80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42,04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45,73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41,44</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Éducation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27,28</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30,77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26,70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25,52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34,07</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sociaux et de santé</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45,43</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42,53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42,58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39,33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39,73</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communautaires</w:t>
            </w:r>
            <w:r>
              <w:rPr>
                <w:sz w:val="20"/>
                <w:lang w:val="fr-FR"/>
              </w:rPr>
              <w:br/>
              <w:t>et services à la personne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32,29</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27,84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27,54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28,80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28,98</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Travail chez des particuliers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50,88</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53,08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49,36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53,47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48,89</w:t>
            </w:r>
          </w:p>
        </w:tc>
      </w:tr>
      <w:tr w:rsidR="00000000">
        <w:tblPrEx>
          <w:tblCellMar>
            <w:top w:w="0" w:type="dxa"/>
            <w:bottom w:w="0" w:type="dxa"/>
          </w:tblCellMar>
        </w:tblPrEx>
        <w:tc>
          <w:tcPr>
            <w:tcW w:w="3790" w:type="dxa"/>
            <w:tcBorders>
              <w:top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Organismes extraterritoriaux</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290"/>
              </w:tabs>
              <w:spacing w:before="60" w:after="60"/>
              <w:jc w:val="right"/>
              <w:rPr>
                <w:sz w:val="20"/>
                <w:szCs w:val="22"/>
                <w:lang w:val="es-ES_tradnl"/>
              </w:rPr>
            </w:pPr>
            <w:r>
              <w:rPr>
                <w:sz w:val="20"/>
                <w:szCs w:val="22"/>
                <w:lang w:val="es-ES_tradnl"/>
              </w:rPr>
              <w:t>60,07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50,82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keepNext/>
        <w:spacing w:after="180"/>
        <w:jc w:val="center"/>
        <w:rPr>
          <w:b/>
          <w:bCs/>
          <w:lang w:val="fr-FR"/>
        </w:rPr>
      </w:pPr>
      <w:r>
        <w:br w:type="page"/>
      </w:r>
      <w:r>
        <w:rPr>
          <w:b/>
          <w:bCs/>
          <w:lang w:val="fr-FR"/>
        </w:rPr>
        <w:t>Tableau 3.1</w:t>
      </w:r>
    </w:p>
    <w:p w:rsidR="00000000" w:rsidRDefault="00000000">
      <w:pPr>
        <w:keepNext/>
        <w:spacing w:after="180"/>
        <w:jc w:val="center"/>
        <w:rPr>
          <w:lang w:val="fr-FR"/>
        </w:rPr>
      </w:pPr>
      <w:r>
        <w:rPr>
          <w:b/>
          <w:bCs/>
          <w:lang w:val="fr-FR"/>
        </w:rPr>
        <w:t>Bolivie − Zones urbaines: Moyenne hebdomadaire d’heures de travail dans l’emploi principal, par année, par sexe et par branche d’activité, 1999</w:t>
      </w:r>
      <w:r>
        <w:rPr>
          <w:b/>
          <w:bCs/>
          <w:lang w:val="fr-FR"/>
        </w:rPr>
        <w:noBreakHyphen/>
        <w:t>2003</w:t>
      </w:r>
      <w:r>
        <w:rPr>
          <w:b/>
          <w:bCs/>
          <w:i/>
          <w:iCs/>
          <w:vertAlign w:val="superscript"/>
          <w:lang w:val="fr-FR"/>
        </w:rPr>
        <w:t>p</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0"/>
        <w:gridCol w:w="1141"/>
        <w:gridCol w:w="1141"/>
        <w:gridCol w:w="1142"/>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lang w:val="fr-FR"/>
              </w:rPr>
            </w:pPr>
            <w:r>
              <w:rPr>
                <w:sz w:val="20"/>
                <w:lang w:val="fr-FR"/>
              </w:rPr>
              <w:t>Branche d’activité</w:t>
            </w:r>
          </w:p>
        </w:tc>
        <w:tc>
          <w:tcPr>
            <w:tcW w:w="1141" w:type="dxa"/>
            <w:vAlign w:val="center"/>
          </w:tcPr>
          <w:p w:rsidR="00000000" w:rsidRDefault="00000000">
            <w:pPr>
              <w:spacing w:before="60" w:after="60"/>
              <w:jc w:val="center"/>
              <w:rPr>
                <w:sz w:val="20"/>
                <w:lang w:val="fr-FR"/>
              </w:rPr>
            </w:pPr>
            <w:r>
              <w:rPr>
                <w:sz w:val="20"/>
                <w:lang w:val="fr-FR"/>
              </w:rPr>
              <w:t>1999</w:t>
            </w:r>
          </w:p>
        </w:tc>
        <w:tc>
          <w:tcPr>
            <w:tcW w:w="1141" w:type="dxa"/>
            <w:vAlign w:val="center"/>
          </w:tcPr>
          <w:p w:rsidR="00000000" w:rsidRDefault="00000000">
            <w:pPr>
              <w:spacing w:before="60" w:after="60"/>
              <w:jc w:val="center"/>
              <w:rPr>
                <w:sz w:val="20"/>
                <w:lang w:val="fr-FR"/>
              </w:rPr>
            </w:pPr>
            <w:r>
              <w:rPr>
                <w:sz w:val="20"/>
                <w:lang w:val="fr-FR"/>
              </w:rPr>
              <w:t>2000</w:t>
            </w:r>
          </w:p>
        </w:tc>
        <w:tc>
          <w:tcPr>
            <w:tcW w:w="1142" w:type="dxa"/>
            <w:vAlign w:val="center"/>
          </w:tcPr>
          <w:p w:rsidR="00000000" w:rsidRDefault="00000000">
            <w:pPr>
              <w:spacing w:before="60" w:after="60"/>
              <w:jc w:val="center"/>
              <w:rPr>
                <w:sz w:val="20"/>
                <w:lang w:val="fr-FR"/>
              </w:rPr>
            </w:pPr>
            <w:r>
              <w:rPr>
                <w:sz w:val="20"/>
                <w:lang w:val="fr-FR"/>
              </w:rPr>
              <w:t>2001</w:t>
            </w:r>
          </w:p>
        </w:tc>
        <w:tc>
          <w:tcPr>
            <w:tcW w:w="1141" w:type="dxa"/>
            <w:vAlign w:val="center"/>
          </w:tcPr>
          <w:p w:rsidR="00000000" w:rsidRDefault="00000000">
            <w:pPr>
              <w:spacing w:before="60" w:after="60"/>
              <w:jc w:val="center"/>
              <w:rPr>
                <w:sz w:val="20"/>
                <w:lang w:val="fr-FR"/>
              </w:rPr>
            </w:pPr>
            <w:r>
              <w:rPr>
                <w:sz w:val="20"/>
                <w:lang w:val="fr-FR"/>
              </w:rPr>
              <w:t>2002</w:t>
            </w:r>
          </w:p>
        </w:tc>
        <w:tc>
          <w:tcPr>
            <w:tcW w:w="1142" w:type="dxa"/>
            <w:vAlign w:val="center"/>
          </w:tcPr>
          <w:p w:rsidR="00000000" w:rsidRDefault="00000000">
            <w:pPr>
              <w:spacing w:before="60" w:after="60"/>
              <w:jc w:val="center"/>
              <w:rPr>
                <w:sz w:val="20"/>
                <w:lang w:val="fr-FR"/>
              </w:rPr>
            </w:pPr>
            <w:r>
              <w:rPr>
                <w:sz w:val="20"/>
                <w:lang w:val="fr-FR"/>
              </w:rPr>
              <w:t>2003</w:t>
            </w:r>
            <w:r>
              <w:rPr>
                <w:b/>
                <w:bCs/>
                <w:i/>
                <w:iCs/>
                <w:sz w:val="20"/>
                <w:vertAlign w:val="superscript"/>
                <w:lang w:val="fr-FR"/>
              </w:rPr>
              <w:t>p</w:t>
            </w:r>
          </w:p>
        </w:tc>
      </w:tr>
      <w:tr w:rsidR="00000000">
        <w:tblPrEx>
          <w:tblCellMar>
            <w:top w:w="0" w:type="dxa"/>
            <w:bottom w:w="0" w:type="dxa"/>
          </w:tblCellMar>
        </w:tblPrEx>
        <w:tc>
          <w:tcPr>
            <w:tcW w:w="3790" w:type="dxa"/>
            <w:tcBorders>
              <w:bottom w:val="nil"/>
            </w:tcBorders>
            <w:vAlign w:val="bottom"/>
          </w:tcPr>
          <w:p w:rsidR="00000000" w:rsidRDefault="00000000">
            <w:pPr>
              <w:pStyle w:val="Heading4"/>
            </w:pPr>
            <w:r>
              <w:t>TOTAL</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45,98</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48,73</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42,61</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46,71</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45,92</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Agriculture, élevage et chasse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39,14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42,82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38,70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38,66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42,03</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Sylviculture et pêche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58,43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44,12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33,57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45,70</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Exploitation des mines et des carrières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51,17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49,43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52,00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52,05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49,90</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Industries manufacturières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45,07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48,10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41,26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46,16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43,71</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Production et distribution d’électricité,</w:t>
            </w:r>
            <w:r>
              <w:rPr>
                <w:sz w:val="20"/>
                <w:lang w:val="fr-FR"/>
              </w:rPr>
              <w:br/>
              <w:t>de gaz et d’eau</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40,90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55,29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45,33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49,63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49,25</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Bâtiment et travaux publics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49,55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50,54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47,28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50,81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49,62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Vente et réparation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48,29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52,12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42,36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49,42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49,24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Hôtellerie et restauration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47,33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50,16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42,28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44,65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41,10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Transport, stockage, communications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57,89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57,88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55,69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59,72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56,85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financiers</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47,89</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50,92</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48,08</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46,37</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48,15</w:t>
            </w:r>
          </w:p>
        </w:tc>
      </w:tr>
      <w:tr w:rsidR="00000000">
        <w:tblPrEx>
          <w:tblCellMar>
            <w:top w:w="0" w:type="dxa"/>
            <w:bottom w:w="0" w:type="dxa"/>
          </w:tblCellMar>
        </w:tblPrEx>
        <w:tc>
          <w:tcPr>
            <w:tcW w:w="3790" w:type="dxa"/>
            <w:tcBorders>
              <w:top w:val="nil"/>
              <w:bottom w:val="nil"/>
              <w:right w:val="single" w:sz="4" w:space="0" w:color="auto"/>
            </w:tcBorders>
            <w:vAlign w:val="bottom"/>
          </w:tcPr>
          <w:p w:rsidR="00000000" w:rsidRDefault="00000000">
            <w:pPr>
              <w:spacing w:before="60" w:after="60"/>
              <w:ind w:left="284"/>
              <w:rPr>
                <w:sz w:val="20"/>
                <w:lang w:val="fr-FR"/>
              </w:rPr>
            </w:pPr>
            <w:r>
              <w:rPr>
                <w:sz w:val="20"/>
                <w:lang w:val="fr-FR"/>
              </w:rPr>
              <w:t>Services immobiliers, services aux entreprises et services de location</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41,82</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46,82</w:t>
            </w:r>
          </w:p>
        </w:tc>
        <w:tc>
          <w:tcPr>
            <w:tcW w:w="1142"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41,57</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50,17</w:t>
            </w:r>
          </w:p>
        </w:tc>
        <w:tc>
          <w:tcPr>
            <w:tcW w:w="1142" w:type="dxa"/>
            <w:tcBorders>
              <w:lef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44,65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Administration publique, défense</w:t>
            </w:r>
            <w:r>
              <w:rPr>
                <w:sz w:val="20"/>
                <w:lang w:val="fr-FR"/>
              </w:rPr>
              <w:br/>
              <w:t>et sécurité sociale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46,99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54,03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48,93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50,57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51,52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Éducation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27,99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32,71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27,34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28,46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34,26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sociaux et de santé</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43,33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45,99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41,52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39,76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41,79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communautaires</w:t>
            </w:r>
            <w:r>
              <w:rPr>
                <w:sz w:val="20"/>
                <w:lang w:val="fr-FR"/>
              </w:rPr>
              <w:br/>
              <w:t>et services à la personne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33,80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33,91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31,66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35,47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32,21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 chez des particuliers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50,50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51,96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49,86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52,94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48,05</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lang w:val="fr-FR"/>
              </w:rPr>
            </w:pPr>
            <w:r>
              <w:rPr>
                <w:sz w:val="20"/>
                <w:lang w:val="fr-FR"/>
              </w:rPr>
              <w:t>Organismes extraterritoriaux</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68,29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45,89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48,40</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lang w:val="fr-FR"/>
              </w:rPr>
            </w:pPr>
            <w:r>
              <w:rPr>
                <w:b/>
                <w:bCs/>
                <w:sz w:val="20"/>
                <w:lang w:val="fr-FR"/>
              </w:rPr>
              <w:t>HOMMES</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48,19</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50,83</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45,43</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49,40</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48,48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Agriculture, élevage et chasse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43,10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44,78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40,88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40,41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41,80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Sylviculture et pêche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58,43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52,20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33,57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42,07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Exploitation des mines et des carrières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51,52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50,01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51,69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54,15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50,80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Industries manufacturières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49,44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49,93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45,43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50,16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47,46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Production et distribution d’électricité,</w:t>
            </w:r>
            <w:r>
              <w:rPr>
                <w:sz w:val="20"/>
                <w:lang w:val="fr-FR"/>
              </w:rPr>
              <w:br/>
              <w:t>de gaz et d’eau</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41,04</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56,25</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46,04</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50,71</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50,10</w:t>
            </w:r>
          </w:p>
        </w:tc>
      </w:tr>
      <w:tr w:rsidR="00000000">
        <w:tblPrEx>
          <w:tblCellMar>
            <w:top w:w="0" w:type="dxa"/>
            <w:bottom w:w="0" w:type="dxa"/>
          </w:tblCellMar>
        </w:tblPrEx>
        <w:tc>
          <w:tcPr>
            <w:tcW w:w="3790" w:type="dxa"/>
            <w:tcBorders>
              <w:top w:val="nil"/>
              <w:bottom w:val="nil"/>
              <w:right w:val="single" w:sz="4" w:space="0" w:color="auto"/>
            </w:tcBorders>
            <w:vAlign w:val="bottom"/>
          </w:tcPr>
          <w:p w:rsidR="00000000" w:rsidRDefault="00000000">
            <w:pPr>
              <w:spacing w:before="60" w:after="60"/>
              <w:ind w:left="284"/>
              <w:rPr>
                <w:sz w:val="20"/>
                <w:lang w:val="fr-FR"/>
              </w:rPr>
            </w:pPr>
            <w:r>
              <w:rPr>
                <w:sz w:val="20"/>
                <w:lang w:val="fr-FR"/>
              </w:rPr>
              <w:t>Bâtiment et travaux publics</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49,51</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50,68</w:t>
            </w:r>
          </w:p>
        </w:tc>
        <w:tc>
          <w:tcPr>
            <w:tcW w:w="1142"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47,71</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51,26</w:t>
            </w:r>
          </w:p>
        </w:tc>
        <w:tc>
          <w:tcPr>
            <w:tcW w:w="1142" w:type="dxa"/>
            <w:tcBorders>
              <w:lef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50,54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Vente et réparation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48,59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53,62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42,89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48,98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49,49</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lang w:val="fr-FR"/>
              </w:rPr>
            </w:pPr>
            <w:r>
              <w:rPr>
                <w:sz w:val="20"/>
                <w:lang w:val="fr-FR"/>
              </w:rPr>
              <w:t>Hôtellerie et restauration</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49,88</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53,53</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41,78</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47,84</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44,32</w:t>
            </w:r>
          </w:p>
        </w:tc>
      </w:tr>
      <w:tr w:rsidR="00000000">
        <w:tblPrEx>
          <w:tblCellMar>
            <w:top w:w="0" w:type="dxa"/>
            <w:bottom w:w="0" w:type="dxa"/>
          </w:tblCellMar>
        </w:tblPrEx>
        <w:tc>
          <w:tcPr>
            <w:tcW w:w="3790" w:type="dxa"/>
            <w:tcBorders>
              <w:top w:val="single" w:sz="4" w:space="0" w:color="auto"/>
              <w:bottom w:val="nil"/>
            </w:tcBorders>
            <w:vAlign w:val="bottom"/>
          </w:tcPr>
          <w:p w:rsidR="00000000" w:rsidRDefault="00000000">
            <w:pPr>
              <w:pageBreakBefore/>
              <w:spacing w:before="60" w:after="60"/>
              <w:ind w:left="284"/>
              <w:rPr>
                <w:sz w:val="20"/>
                <w:lang w:val="fr-FR"/>
              </w:rPr>
            </w:pPr>
            <w:r>
              <w:rPr>
                <w:sz w:val="20"/>
                <w:lang w:val="fr-FR"/>
              </w:rPr>
              <w:t>Transport, stockage, communications</w:t>
            </w:r>
          </w:p>
        </w:tc>
        <w:tc>
          <w:tcPr>
            <w:tcW w:w="1141"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58,82</w:t>
            </w:r>
          </w:p>
        </w:tc>
        <w:tc>
          <w:tcPr>
            <w:tcW w:w="1141"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59,22</w:t>
            </w:r>
          </w:p>
        </w:tc>
        <w:tc>
          <w:tcPr>
            <w:tcW w:w="1142"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57,14</w:t>
            </w:r>
          </w:p>
        </w:tc>
        <w:tc>
          <w:tcPr>
            <w:tcW w:w="1141"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61,13</w:t>
            </w:r>
          </w:p>
        </w:tc>
        <w:tc>
          <w:tcPr>
            <w:tcW w:w="1142"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58,21</w:t>
            </w:r>
          </w:p>
        </w:tc>
      </w:tr>
      <w:tr w:rsidR="00000000">
        <w:tblPrEx>
          <w:tblCellMar>
            <w:top w:w="0" w:type="dxa"/>
            <w:bottom w:w="0" w:type="dxa"/>
          </w:tblCellMar>
        </w:tblPrEx>
        <w:tc>
          <w:tcPr>
            <w:tcW w:w="3790" w:type="dxa"/>
            <w:tcBorders>
              <w:top w:val="nil"/>
              <w:bottom w:val="nil"/>
            </w:tcBorders>
            <w:vAlign w:val="bottom"/>
          </w:tcPr>
          <w:p w:rsidR="00000000" w:rsidRDefault="00000000">
            <w:pPr>
              <w:keepNext/>
              <w:spacing w:before="60" w:after="60"/>
              <w:ind w:left="284"/>
              <w:rPr>
                <w:sz w:val="20"/>
                <w:lang w:val="fr-FR"/>
              </w:rPr>
            </w:pPr>
            <w:r>
              <w:rPr>
                <w:sz w:val="20"/>
                <w:lang w:val="fr-FR"/>
              </w:rPr>
              <w:t>Services financiers</w:t>
            </w:r>
          </w:p>
        </w:tc>
        <w:tc>
          <w:tcPr>
            <w:tcW w:w="1141"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48,85</w:t>
            </w:r>
          </w:p>
        </w:tc>
        <w:tc>
          <w:tcPr>
            <w:tcW w:w="1141"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53,11</w:t>
            </w:r>
          </w:p>
        </w:tc>
        <w:tc>
          <w:tcPr>
            <w:tcW w:w="1142"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49,49</w:t>
            </w:r>
          </w:p>
        </w:tc>
        <w:tc>
          <w:tcPr>
            <w:tcW w:w="1141"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47,54</w:t>
            </w:r>
          </w:p>
        </w:tc>
        <w:tc>
          <w:tcPr>
            <w:tcW w:w="1142"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47,76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immobiliers, services aux entreprises et services de location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42,37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48,62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44,52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51,31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45,91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Administration publique, défense</w:t>
            </w:r>
            <w:r>
              <w:rPr>
                <w:sz w:val="20"/>
                <w:lang w:val="fr-FR"/>
              </w:rPr>
              <w:br/>
              <w:t>et sécurité sociale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48,85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58,82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50,75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51,59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54,68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Éducation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29,75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34,46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29,16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32,35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33,02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sociaux et de santé</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44,77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51,09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41,14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40,18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43,36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communautaires</w:t>
            </w:r>
            <w:r>
              <w:rPr>
                <w:sz w:val="20"/>
                <w:lang w:val="fr-FR"/>
              </w:rPr>
              <w:br/>
              <w:t>et services à la personne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34,37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40,28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37,31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42,71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35,67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 chez des particuliers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41,11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30,91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50,27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50,19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33,42</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lang w:val="fr-FR"/>
              </w:rPr>
            </w:pPr>
            <w:r>
              <w:rPr>
                <w:sz w:val="20"/>
                <w:lang w:val="fr-FR"/>
              </w:rPr>
              <w:t>Organismes extraterritoriaux</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84,00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40,57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50,50</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lang w:val="fr-FR"/>
              </w:rPr>
            </w:pPr>
            <w:r>
              <w:rPr>
                <w:b/>
                <w:bCs/>
                <w:sz w:val="20"/>
                <w:lang w:val="fr-FR"/>
              </w:rPr>
              <w:t>FEMMES</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43,16</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46,07</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39,31</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43,42</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42,76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Agriculture, élevage et chasse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28,89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38,24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35,98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33,70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42,39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Sylviculture et pêche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31,69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60,28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Exploitation des mines et des carrières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44,95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46,15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57,18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30,82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42,64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Industries manufacturières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38,31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44,89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34,59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39,70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36,70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Production et distribution d’électricité,</w:t>
            </w:r>
            <w:r>
              <w:rPr>
                <w:sz w:val="20"/>
                <w:lang w:val="fr-FR"/>
              </w:rPr>
              <w:br/>
              <w:t>de gaz et d’eau</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45,12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43,42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43,52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44,31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Bâtiment et travaux publics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54,00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47,07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35,51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41,87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34,98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Vente et réparation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48,10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51,15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42,01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49,71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49,08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Hôtellerie et restauration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46,37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49,10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42,45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43,65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39,83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Transport, stockage, communications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40,91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44,83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45,11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42,28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40,49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financiers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46,87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46,31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43,37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44,77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49,14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immobiliers, services aux entreprises et services de location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40,95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41,62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35,46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48,06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Administration publique, défense</w:t>
            </w:r>
            <w:r>
              <w:rPr>
                <w:sz w:val="20"/>
                <w:lang w:val="fr-FR"/>
              </w:rPr>
              <w:br/>
              <w:t>et sécurité sociale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41,04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39,48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42,18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47,13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41,45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Éducation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26,15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31,43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26,17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25,24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35,12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sociaux et de santé</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42,66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42,11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41,86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39,54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communautaires</w:t>
            </w:r>
            <w:r>
              <w:rPr>
                <w:sz w:val="20"/>
                <w:lang w:val="fr-FR"/>
              </w:rPr>
              <w:br/>
              <w:t>et services à la personne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33,13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28,08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26,79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29,24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29,98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 chez des particuliers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50,86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52,85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49,85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53,28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48,55</w:t>
            </w:r>
          </w:p>
        </w:tc>
      </w:tr>
      <w:tr w:rsidR="00000000">
        <w:tblPrEx>
          <w:tblCellMar>
            <w:top w:w="0" w:type="dxa"/>
            <w:bottom w:w="0" w:type="dxa"/>
          </w:tblCellMar>
        </w:tblPrEx>
        <w:tc>
          <w:tcPr>
            <w:tcW w:w="3790" w:type="dxa"/>
            <w:tcBorders>
              <w:top w:val="nil"/>
            </w:tcBorders>
            <w:vAlign w:val="bottom"/>
          </w:tcPr>
          <w:p w:rsidR="00000000" w:rsidRDefault="00000000">
            <w:pPr>
              <w:spacing w:before="60" w:after="60"/>
              <w:ind w:left="284"/>
              <w:rPr>
                <w:sz w:val="20"/>
                <w:lang w:val="fr-FR"/>
              </w:rPr>
            </w:pPr>
            <w:r>
              <w:rPr>
                <w:sz w:val="20"/>
                <w:lang w:val="fr-FR"/>
              </w:rPr>
              <w:t>Organismes extraterritoriaux</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60,07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50,82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keepNext/>
        <w:spacing w:after="180"/>
        <w:jc w:val="center"/>
        <w:rPr>
          <w:b/>
          <w:bCs/>
          <w:lang w:val="fr-FR"/>
        </w:rPr>
      </w:pPr>
      <w:r>
        <w:br w:type="page"/>
      </w:r>
      <w:r>
        <w:rPr>
          <w:b/>
          <w:bCs/>
          <w:lang w:val="fr-FR"/>
        </w:rPr>
        <w:t>Tableau 3.2</w:t>
      </w:r>
    </w:p>
    <w:p w:rsidR="00000000" w:rsidRDefault="00000000">
      <w:pPr>
        <w:keepNext/>
        <w:spacing w:after="180"/>
        <w:jc w:val="center"/>
        <w:rPr>
          <w:lang w:val="fr-FR"/>
        </w:rPr>
      </w:pPr>
      <w:r>
        <w:rPr>
          <w:b/>
          <w:bCs/>
          <w:lang w:val="fr-FR"/>
        </w:rPr>
        <w:t>Bolivie − Zones rurales: Moyenne hebdomadaire d’heures de travail dans l’emploi principal, par année, par sexe et par branche d’activité, 1999</w:t>
      </w:r>
      <w:r>
        <w:rPr>
          <w:b/>
          <w:bCs/>
          <w:lang w:val="fr-FR"/>
        </w:rPr>
        <w:noBreakHyphen/>
        <w:t>2003</w:t>
      </w:r>
      <w:r>
        <w:rPr>
          <w:b/>
          <w:bCs/>
          <w:i/>
          <w:iCs/>
          <w:vertAlign w:val="superscript"/>
          <w:lang w:val="fr-FR"/>
        </w:rPr>
        <w:t>p</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0"/>
        <w:gridCol w:w="1141"/>
        <w:gridCol w:w="1141"/>
        <w:gridCol w:w="1142"/>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lang w:val="fr-FR"/>
              </w:rPr>
            </w:pPr>
            <w:r>
              <w:rPr>
                <w:sz w:val="20"/>
                <w:lang w:val="fr-FR"/>
              </w:rPr>
              <w:t>Branche d’activité</w:t>
            </w:r>
          </w:p>
        </w:tc>
        <w:tc>
          <w:tcPr>
            <w:tcW w:w="1141" w:type="dxa"/>
            <w:vAlign w:val="center"/>
          </w:tcPr>
          <w:p w:rsidR="00000000" w:rsidRDefault="00000000">
            <w:pPr>
              <w:spacing w:before="60" w:after="60"/>
              <w:jc w:val="center"/>
              <w:rPr>
                <w:sz w:val="20"/>
                <w:lang w:val="fr-FR"/>
              </w:rPr>
            </w:pPr>
            <w:r>
              <w:rPr>
                <w:sz w:val="20"/>
                <w:lang w:val="fr-FR"/>
              </w:rPr>
              <w:t>1999</w:t>
            </w:r>
          </w:p>
        </w:tc>
        <w:tc>
          <w:tcPr>
            <w:tcW w:w="1141" w:type="dxa"/>
            <w:vAlign w:val="center"/>
          </w:tcPr>
          <w:p w:rsidR="00000000" w:rsidRDefault="00000000">
            <w:pPr>
              <w:spacing w:before="60" w:after="60"/>
              <w:jc w:val="center"/>
              <w:rPr>
                <w:sz w:val="20"/>
                <w:lang w:val="fr-FR"/>
              </w:rPr>
            </w:pPr>
            <w:r>
              <w:rPr>
                <w:sz w:val="20"/>
                <w:lang w:val="fr-FR"/>
              </w:rPr>
              <w:t>2000</w:t>
            </w:r>
          </w:p>
        </w:tc>
        <w:tc>
          <w:tcPr>
            <w:tcW w:w="1142" w:type="dxa"/>
            <w:vAlign w:val="center"/>
          </w:tcPr>
          <w:p w:rsidR="00000000" w:rsidRDefault="00000000">
            <w:pPr>
              <w:spacing w:before="60" w:after="60"/>
              <w:jc w:val="center"/>
              <w:rPr>
                <w:sz w:val="20"/>
                <w:lang w:val="fr-FR"/>
              </w:rPr>
            </w:pPr>
            <w:r>
              <w:rPr>
                <w:sz w:val="20"/>
                <w:lang w:val="fr-FR"/>
              </w:rPr>
              <w:t>2001</w:t>
            </w:r>
          </w:p>
        </w:tc>
        <w:tc>
          <w:tcPr>
            <w:tcW w:w="1141" w:type="dxa"/>
            <w:vAlign w:val="center"/>
          </w:tcPr>
          <w:p w:rsidR="00000000" w:rsidRDefault="00000000">
            <w:pPr>
              <w:spacing w:before="60" w:after="60"/>
              <w:jc w:val="center"/>
              <w:rPr>
                <w:sz w:val="20"/>
                <w:lang w:val="fr-FR"/>
              </w:rPr>
            </w:pPr>
            <w:r>
              <w:rPr>
                <w:sz w:val="20"/>
                <w:lang w:val="fr-FR"/>
              </w:rPr>
              <w:t>2002</w:t>
            </w:r>
          </w:p>
        </w:tc>
        <w:tc>
          <w:tcPr>
            <w:tcW w:w="1142" w:type="dxa"/>
            <w:vAlign w:val="center"/>
          </w:tcPr>
          <w:p w:rsidR="00000000" w:rsidRDefault="00000000">
            <w:pPr>
              <w:spacing w:before="60" w:after="60"/>
              <w:jc w:val="center"/>
              <w:rPr>
                <w:sz w:val="20"/>
                <w:lang w:val="fr-FR"/>
              </w:rPr>
            </w:pPr>
            <w:r>
              <w:rPr>
                <w:sz w:val="20"/>
                <w:lang w:val="fr-FR"/>
              </w:rPr>
              <w:t>2003</w:t>
            </w:r>
            <w:r>
              <w:rPr>
                <w:b/>
                <w:bCs/>
                <w:i/>
                <w:iCs/>
                <w:sz w:val="20"/>
                <w:vertAlign w:val="superscript"/>
                <w:lang w:val="fr-FR"/>
              </w:rPr>
              <w:t>p</w:t>
            </w:r>
          </w:p>
        </w:tc>
      </w:tr>
      <w:tr w:rsidR="00000000">
        <w:tblPrEx>
          <w:tblCellMar>
            <w:top w:w="0" w:type="dxa"/>
            <w:bottom w:w="0" w:type="dxa"/>
          </w:tblCellMar>
        </w:tblPrEx>
        <w:tc>
          <w:tcPr>
            <w:tcW w:w="3790" w:type="dxa"/>
            <w:tcBorders>
              <w:bottom w:val="nil"/>
            </w:tcBorders>
            <w:vAlign w:val="bottom"/>
          </w:tcPr>
          <w:p w:rsidR="00000000" w:rsidRDefault="00000000">
            <w:pPr>
              <w:pStyle w:val="Heading4"/>
            </w:pPr>
            <w:r>
              <w:t>TOTAL</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38,95</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43,83</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35,85</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38,15</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39,08</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Agriculture, élevage et chasse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38,40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43,39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35,37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37,49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39,58</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Sylviculture et pêche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40,86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15,59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22,46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41,07</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Exploitation des mines et des carrières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45,95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50,16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47,41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44,17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64,43</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Industries manufacturières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34,20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39,73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30,97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38,59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29,89</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Production et distribution d’électricité,</w:t>
            </w:r>
            <w:r>
              <w:rPr>
                <w:sz w:val="20"/>
                <w:lang w:val="fr-FR"/>
              </w:rPr>
              <w:br/>
              <w:t>de gaz et d’eau</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56,48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58,81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46,24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41,30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65,16</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Bâtiment et travaux publics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42,82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53,04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44,32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43,11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44,97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Vente et réparation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47,41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52,20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35,58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50,05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47,74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Hôtellerie et restauration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36,24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50,54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52,69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36,52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21,47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Transport, stockage, communications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50,32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64,49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41,27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48,79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39,27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financiers</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55,99</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r>
      <w:tr w:rsidR="00000000">
        <w:tblPrEx>
          <w:tblCellMar>
            <w:top w:w="0" w:type="dxa"/>
            <w:bottom w:w="0" w:type="dxa"/>
          </w:tblCellMar>
        </w:tblPrEx>
        <w:tc>
          <w:tcPr>
            <w:tcW w:w="3790" w:type="dxa"/>
            <w:tcBorders>
              <w:top w:val="nil"/>
              <w:bottom w:val="nil"/>
              <w:right w:val="single" w:sz="4" w:space="0" w:color="auto"/>
            </w:tcBorders>
            <w:vAlign w:val="bottom"/>
          </w:tcPr>
          <w:p w:rsidR="00000000" w:rsidRDefault="00000000">
            <w:pPr>
              <w:spacing w:before="60" w:after="60"/>
              <w:ind w:left="284"/>
              <w:rPr>
                <w:sz w:val="20"/>
                <w:lang w:val="fr-FR"/>
              </w:rPr>
            </w:pPr>
            <w:r>
              <w:rPr>
                <w:sz w:val="20"/>
                <w:lang w:val="fr-FR"/>
              </w:rPr>
              <w:t>Services immobiliers, services aux entreprises et services de location</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35,80</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32,31</w:t>
            </w:r>
          </w:p>
        </w:tc>
        <w:tc>
          <w:tcPr>
            <w:tcW w:w="1142"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56,98</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32,88</w:t>
            </w:r>
          </w:p>
        </w:tc>
        <w:tc>
          <w:tcPr>
            <w:tcW w:w="1142" w:type="dxa"/>
            <w:tcBorders>
              <w:lef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36,00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Administration publique, défense</w:t>
            </w:r>
            <w:r>
              <w:rPr>
                <w:sz w:val="20"/>
                <w:lang w:val="fr-FR"/>
              </w:rPr>
              <w:br/>
              <w:t>et sécurité sociale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50,73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55,66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48,91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47,26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41,01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Éducation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31,93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27,22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28,97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29,52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24,65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sociaux et de santé</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77,96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52,05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48,39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51,61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37,83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Services communautaires</w:t>
            </w:r>
            <w:r>
              <w:rPr>
                <w:sz w:val="20"/>
                <w:lang w:val="fr-FR"/>
              </w:rPr>
              <w:br/>
              <w:t>et services à la personne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35,70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29,04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37,57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32,14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18,13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lang w:val="fr-FR"/>
              </w:rPr>
            </w:pPr>
            <w:r>
              <w:rPr>
                <w:sz w:val="20"/>
                <w:lang w:val="fr-FR"/>
              </w:rPr>
              <w:t>Travail chez des particuliers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51,87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58,78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44,44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55,00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51,91</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lang w:val="fr-FR"/>
              </w:rPr>
            </w:pPr>
            <w:r>
              <w:rPr>
                <w:sz w:val="20"/>
                <w:lang w:val="fr-FR"/>
              </w:rPr>
              <w:t>Organismes extraterritoriaux</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21,00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lang w:val="fr-FR"/>
              </w:rPr>
            </w:pPr>
            <w:r>
              <w:rPr>
                <w:b/>
                <w:bCs/>
                <w:sz w:val="20"/>
                <w:lang w:val="fr-FR"/>
              </w:rPr>
              <w:t>HOMMES</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39,76</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45,69</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38,36</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40,32</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41,47</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Agriculture, élevage et chasse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39,17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45,11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37,91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39,73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41,33</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Sylviculture et pêche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42,56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42,07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17,84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24,80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43,90</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Exploitation des mines et des carrières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45,68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50,82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47,98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46,31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64,43</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Industries manufacturières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39,92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46,80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40,66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43,37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41,71</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Production et distribution d’électricité,</w:t>
            </w:r>
            <w:r>
              <w:rPr>
                <w:sz w:val="20"/>
                <w:lang w:val="fr-FR"/>
              </w:rPr>
              <w:br/>
              <w:t>de gaz et d’eau</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56,48</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72,00</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46,24</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49,47</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65,16</w:t>
            </w:r>
          </w:p>
        </w:tc>
      </w:tr>
      <w:tr w:rsidR="00000000">
        <w:tblPrEx>
          <w:tblCellMar>
            <w:top w:w="0" w:type="dxa"/>
            <w:bottom w:w="0" w:type="dxa"/>
          </w:tblCellMar>
        </w:tblPrEx>
        <w:tc>
          <w:tcPr>
            <w:tcW w:w="3790" w:type="dxa"/>
            <w:tcBorders>
              <w:top w:val="nil"/>
              <w:bottom w:val="nil"/>
              <w:right w:val="single" w:sz="4" w:space="0" w:color="auto"/>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Bâtiment et travaux publics</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43,03</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53,04</w:t>
            </w:r>
          </w:p>
        </w:tc>
        <w:tc>
          <w:tcPr>
            <w:tcW w:w="1142"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44,37</w:t>
            </w:r>
          </w:p>
        </w:tc>
        <w:tc>
          <w:tcPr>
            <w:tcW w:w="1141" w:type="dxa"/>
            <w:tcBorders>
              <w:left w:val="single" w:sz="4" w:space="0" w:color="auto"/>
              <w:righ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43,35</w:t>
            </w:r>
          </w:p>
        </w:tc>
        <w:tc>
          <w:tcPr>
            <w:tcW w:w="1142" w:type="dxa"/>
            <w:tcBorders>
              <w:left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45,86</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Vente et réparation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46,46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56,70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31,33</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50,63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47,54</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Hôtellerie et restauration</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39,63</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68,19</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43,52</w:t>
            </w:r>
          </w:p>
        </w:tc>
        <w:tc>
          <w:tcPr>
            <w:tcW w:w="1141"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45,16</w:t>
            </w:r>
          </w:p>
        </w:tc>
        <w:tc>
          <w:tcPr>
            <w:tcW w:w="1142" w:type="dxa"/>
            <w:tcBorders>
              <w:bottom w:val="single" w:sz="4" w:space="0" w:color="auto"/>
            </w:tcBorders>
            <w:vAlign w:val="bottom"/>
          </w:tcPr>
          <w:p w:rsidR="00000000" w:rsidRDefault="00000000">
            <w:pPr>
              <w:tabs>
                <w:tab w:val="decimal" w:pos="340"/>
              </w:tabs>
              <w:spacing w:before="60" w:after="60"/>
              <w:jc w:val="right"/>
              <w:rPr>
                <w:sz w:val="20"/>
                <w:szCs w:val="22"/>
                <w:lang w:val="es-ES_tradnl"/>
              </w:rPr>
            </w:pPr>
            <w:r>
              <w:rPr>
                <w:sz w:val="20"/>
                <w:szCs w:val="22"/>
                <w:lang w:val="es-ES_tradnl"/>
              </w:rPr>
              <w:t>20,37</w:t>
            </w:r>
          </w:p>
        </w:tc>
      </w:tr>
      <w:tr w:rsidR="00000000">
        <w:tblPrEx>
          <w:tblCellMar>
            <w:top w:w="0" w:type="dxa"/>
            <w:bottom w:w="0" w:type="dxa"/>
          </w:tblCellMar>
        </w:tblPrEx>
        <w:tc>
          <w:tcPr>
            <w:tcW w:w="3790" w:type="dxa"/>
            <w:tcBorders>
              <w:top w:val="single" w:sz="4" w:space="0" w:color="auto"/>
              <w:bottom w:val="nil"/>
            </w:tcBorders>
            <w:vAlign w:val="bottom"/>
          </w:tcPr>
          <w:p w:rsidR="00000000" w:rsidRDefault="00000000">
            <w:pPr>
              <w:pageBreakBefore/>
              <w:widowControl w:val="0"/>
              <w:autoSpaceDE w:val="0"/>
              <w:autoSpaceDN w:val="0"/>
              <w:adjustRightInd w:val="0"/>
              <w:spacing w:before="60" w:after="60"/>
              <w:ind w:left="284"/>
              <w:rPr>
                <w:sz w:val="20"/>
                <w:lang w:val="fr-FR"/>
              </w:rPr>
            </w:pPr>
            <w:r>
              <w:rPr>
                <w:sz w:val="20"/>
                <w:lang w:val="fr-FR"/>
              </w:rPr>
              <w:t>Transport, stockage, communications</w:t>
            </w:r>
          </w:p>
        </w:tc>
        <w:tc>
          <w:tcPr>
            <w:tcW w:w="1141"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51,14</w:t>
            </w:r>
          </w:p>
        </w:tc>
        <w:tc>
          <w:tcPr>
            <w:tcW w:w="1141"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63,47</w:t>
            </w:r>
          </w:p>
        </w:tc>
        <w:tc>
          <w:tcPr>
            <w:tcW w:w="1142"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41,47</w:t>
            </w:r>
          </w:p>
        </w:tc>
        <w:tc>
          <w:tcPr>
            <w:tcW w:w="1141"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47,66</w:t>
            </w:r>
          </w:p>
        </w:tc>
        <w:tc>
          <w:tcPr>
            <w:tcW w:w="1142" w:type="dxa"/>
            <w:tcBorders>
              <w:top w:val="single" w:sz="4" w:space="0" w:color="auto"/>
            </w:tcBorders>
            <w:vAlign w:val="bottom"/>
          </w:tcPr>
          <w:p w:rsidR="00000000" w:rsidRDefault="00000000">
            <w:pPr>
              <w:pageBreakBefore/>
              <w:tabs>
                <w:tab w:val="decimal" w:pos="340"/>
              </w:tabs>
              <w:spacing w:before="60" w:after="60"/>
              <w:jc w:val="right"/>
              <w:rPr>
                <w:sz w:val="20"/>
                <w:szCs w:val="22"/>
                <w:lang w:val="es-ES_tradnl"/>
              </w:rPr>
            </w:pPr>
            <w:r>
              <w:rPr>
                <w:sz w:val="20"/>
                <w:szCs w:val="22"/>
                <w:lang w:val="es-ES_tradnl"/>
              </w:rPr>
              <w:t>39,27</w:t>
            </w:r>
          </w:p>
        </w:tc>
      </w:tr>
      <w:tr w:rsidR="00000000">
        <w:tblPrEx>
          <w:tblCellMar>
            <w:top w:w="0" w:type="dxa"/>
            <w:bottom w:w="0" w:type="dxa"/>
          </w:tblCellMar>
        </w:tblPrEx>
        <w:tc>
          <w:tcPr>
            <w:tcW w:w="3790" w:type="dxa"/>
            <w:tcBorders>
              <w:top w:val="nil"/>
              <w:bottom w:val="nil"/>
            </w:tcBorders>
            <w:vAlign w:val="bottom"/>
          </w:tcPr>
          <w:p w:rsidR="00000000" w:rsidRDefault="00000000">
            <w:pPr>
              <w:keepNext/>
              <w:widowControl w:val="0"/>
              <w:autoSpaceDE w:val="0"/>
              <w:autoSpaceDN w:val="0"/>
              <w:adjustRightInd w:val="0"/>
              <w:spacing w:before="60" w:after="60"/>
              <w:ind w:left="284"/>
              <w:rPr>
                <w:sz w:val="20"/>
                <w:lang w:val="fr-FR"/>
              </w:rPr>
            </w:pPr>
            <w:r>
              <w:rPr>
                <w:sz w:val="20"/>
                <w:lang w:val="fr-FR"/>
              </w:rPr>
              <w:t>Services financiers</w:t>
            </w:r>
          </w:p>
        </w:tc>
        <w:tc>
          <w:tcPr>
            <w:tcW w:w="1141"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0,00</w:t>
            </w:r>
          </w:p>
        </w:tc>
        <w:tc>
          <w:tcPr>
            <w:tcW w:w="1142"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55,99</w:t>
            </w:r>
          </w:p>
        </w:tc>
        <w:tc>
          <w:tcPr>
            <w:tcW w:w="1142" w:type="dxa"/>
            <w:vAlign w:val="bottom"/>
          </w:tcPr>
          <w:p w:rsidR="00000000" w:rsidRDefault="00000000">
            <w:pPr>
              <w:keepNext/>
              <w:tabs>
                <w:tab w:val="decimal" w:pos="340"/>
              </w:tabs>
              <w:spacing w:before="60" w:after="60"/>
              <w:jc w:val="right"/>
              <w:rPr>
                <w:sz w:val="20"/>
                <w:szCs w:val="22"/>
                <w:lang w:val="es-ES_tradnl"/>
              </w:rPr>
            </w:pPr>
            <w:r>
              <w:rPr>
                <w:sz w:val="20"/>
                <w:szCs w:val="22"/>
                <w:lang w:val="es-ES_tradnl"/>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immobiliers, services aux entreprises et services de location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42,50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32,31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72,11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32,88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36,00</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Administration publique, défense</w:t>
            </w:r>
            <w:r>
              <w:rPr>
                <w:sz w:val="20"/>
                <w:lang w:val="fr-FR"/>
              </w:rPr>
              <w:br/>
              <w:t>et sécurité sociale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52,90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57,26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50,46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51,45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41,03</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Éducation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31,36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27,21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28,65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30,82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24,22</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sociaux et de santé</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42,07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63,70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47,17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64,36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40,02</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communautaires</w:t>
            </w:r>
            <w:r>
              <w:rPr>
                <w:sz w:val="20"/>
                <w:lang w:val="fr-FR"/>
              </w:rPr>
              <w:br/>
              <w:t>et services à la personne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46,35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34,82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43,82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41,00</w:t>
            </w:r>
          </w:p>
        </w:tc>
        <w:tc>
          <w:tcPr>
            <w:tcW w:w="1142" w:type="dxa"/>
            <w:vAlign w:val="bottom"/>
          </w:tcPr>
          <w:p w:rsidR="00000000" w:rsidRDefault="00000000">
            <w:pPr>
              <w:tabs>
                <w:tab w:val="decimal" w:pos="340"/>
              </w:tabs>
              <w:spacing w:before="60" w:after="60"/>
              <w:jc w:val="right"/>
              <w:rPr>
                <w:sz w:val="20"/>
                <w:szCs w:val="22"/>
                <w:lang w:val="es-ES_tradnl"/>
              </w:rPr>
            </w:pP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Travail chez des particuliers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70,00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64,86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32,41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47,12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49,86</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Organismes extraterritoriaux</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21,00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lang w:val="fr-FR"/>
              </w:rPr>
            </w:pPr>
            <w:r>
              <w:rPr>
                <w:b/>
                <w:bCs/>
                <w:sz w:val="20"/>
                <w:lang w:val="fr-FR"/>
              </w:rPr>
              <w:t>FEMMES</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38,00</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41,46</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32,68</w:t>
            </w:r>
          </w:p>
        </w:tc>
        <w:tc>
          <w:tcPr>
            <w:tcW w:w="1141"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35,13</w:t>
            </w:r>
          </w:p>
        </w:tc>
        <w:tc>
          <w:tcPr>
            <w:tcW w:w="1142" w:type="dxa"/>
            <w:vAlign w:val="bottom"/>
          </w:tcPr>
          <w:p w:rsidR="00000000" w:rsidRDefault="00000000">
            <w:pPr>
              <w:tabs>
                <w:tab w:val="decimal" w:pos="340"/>
              </w:tabs>
              <w:spacing w:before="60" w:after="60"/>
              <w:jc w:val="right"/>
              <w:rPr>
                <w:b/>
                <w:bCs/>
                <w:sz w:val="20"/>
                <w:szCs w:val="22"/>
                <w:lang w:val="es-ES_tradnl"/>
              </w:rPr>
            </w:pPr>
            <w:r>
              <w:rPr>
                <w:b/>
                <w:bCs/>
                <w:sz w:val="20"/>
                <w:szCs w:val="22"/>
                <w:lang w:val="es-ES_tradnl"/>
              </w:rPr>
              <w:t>36,05</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Agriculture, élevage et chasse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37,52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41,16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32,04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34,36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37,34</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Sylviculture et pêche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31,65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26,82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10,69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18,85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27,19</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Exploitation des mines et des carrières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46,87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37,50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41,78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28,48</w:t>
            </w:r>
          </w:p>
        </w:tc>
        <w:tc>
          <w:tcPr>
            <w:tcW w:w="1142" w:type="dxa"/>
            <w:vAlign w:val="bottom"/>
          </w:tcPr>
          <w:p w:rsidR="00000000" w:rsidRDefault="00000000">
            <w:pPr>
              <w:tabs>
                <w:tab w:val="decimal" w:pos="340"/>
              </w:tabs>
              <w:spacing w:before="60" w:after="60"/>
              <w:jc w:val="right"/>
              <w:rPr>
                <w:sz w:val="20"/>
                <w:szCs w:val="22"/>
                <w:lang w:val="es-ES_tradnl"/>
              </w:rPr>
            </w:pP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Industries manufacturières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30,85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33,47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23,57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31,29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27,66</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Production et distribution d’électricité,</w:t>
            </w:r>
            <w:r>
              <w:rPr>
                <w:sz w:val="20"/>
                <w:lang w:val="fr-FR"/>
              </w:rPr>
              <w:br/>
              <w:t>de gaz et d’eau</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40,55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20,00</w:t>
            </w:r>
          </w:p>
        </w:tc>
        <w:tc>
          <w:tcPr>
            <w:tcW w:w="1142" w:type="dxa"/>
            <w:vAlign w:val="bottom"/>
          </w:tcPr>
          <w:p w:rsidR="00000000" w:rsidRDefault="00000000">
            <w:pPr>
              <w:tabs>
                <w:tab w:val="decimal" w:pos="340"/>
              </w:tabs>
              <w:spacing w:before="60" w:after="60"/>
              <w:jc w:val="right"/>
              <w:rPr>
                <w:sz w:val="20"/>
                <w:szCs w:val="22"/>
                <w:lang w:val="es-ES_tradnl"/>
              </w:rPr>
            </w:pP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Bâtiment et travaux publics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35,49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41,82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39,49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35,79</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Vente et réparation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47,75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51,08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36,77</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49,82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48,03</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Hôtellerie et restauration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35,71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48,72</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55,44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34,91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21,93</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Transport, stockage, communications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40,55</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76,47</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34,71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81,38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financiers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immobiliers, services aux entreprises et services de location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12,00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22,44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Administration publique, défense</w:t>
            </w:r>
            <w:r>
              <w:rPr>
                <w:sz w:val="20"/>
                <w:lang w:val="fr-FR"/>
              </w:rPr>
              <w:br/>
              <w:t>et sécurité sociale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46,06</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45,35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38,89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34,86</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40,00</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Éducation</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32,71</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27,23</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29,38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27,90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25,78</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sociaux et de santé</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85,19</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46,79</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49,40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36,75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31,57</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Services communautaires</w:t>
            </w:r>
            <w:r>
              <w:rPr>
                <w:sz w:val="20"/>
                <w:lang w:val="fr-FR"/>
              </w:rPr>
              <w:br/>
              <w:t>et services à la personne</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17,12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25,01</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34,04</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22,98</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18,13</w:t>
            </w:r>
          </w:p>
        </w:tc>
      </w:tr>
      <w:tr w:rsidR="00000000">
        <w:tblPrEx>
          <w:tblCellMar>
            <w:top w:w="0" w:type="dxa"/>
            <w:bottom w:w="0" w:type="dxa"/>
          </w:tblCellMar>
        </w:tblPrEx>
        <w:tc>
          <w:tcPr>
            <w:tcW w:w="3790" w:type="dxa"/>
            <w:tcBorders>
              <w:top w:val="nil"/>
              <w:bottom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Travail chez des particuliers</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51,08</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56,34</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44,82</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56,55</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52,90</w:t>
            </w:r>
          </w:p>
        </w:tc>
      </w:tr>
      <w:tr w:rsidR="00000000">
        <w:tblPrEx>
          <w:tblCellMar>
            <w:top w:w="0" w:type="dxa"/>
            <w:bottom w:w="0" w:type="dxa"/>
          </w:tblCellMar>
        </w:tblPrEx>
        <w:tc>
          <w:tcPr>
            <w:tcW w:w="3790" w:type="dxa"/>
            <w:tcBorders>
              <w:top w:val="nil"/>
            </w:tcBorders>
            <w:vAlign w:val="bottom"/>
          </w:tcPr>
          <w:p w:rsidR="00000000" w:rsidRDefault="00000000">
            <w:pPr>
              <w:widowControl w:val="0"/>
              <w:autoSpaceDE w:val="0"/>
              <w:autoSpaceDN w:val="0"/>
              <w:adjustRightInd w:val="0"/>
              <w:spacing w:before="60" w:after="60"/>
              <w:ind w:left="284"/>
              <w:rPr>
                <w:sz w:val="20"/>
                <w:lang w:val="fr-FR"/>
              </w:rPr>
            </w:pPr>
            <w:r>
              <w:rPr>
                <w:sz w:val="20"/>
                <w:lang w:val="fr-FR"/>
              </w:rPr>
              <w:t>Organismes extraterritoriaux</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1"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c>
          <w:tcPr>
            <w:tcW w:w="1142" w:type="dxa"/>
            <w:vAlign w:val="bottom"/>
          </w:tcPr>
          <w:p w:rsidR="00000000" w:rsidRDefault="00000000">
            <w:pPr>
              <w:tabs>
                <w:tab w:val="decimal" w:pos="340"/>
              </w:tabs>
              <w:spacing w:before="60" w:after="60"/>
              <w:jc w:val="right"/>
              <w:rPr>
                <w:sz w:val="20"/>
                <w:szCs w:val="22"/>
                <w:lang w:val="es-ES_tradnl"/>
              </w:rPr>
            </w:pPr>
            <w:r>
              <w:rPr>
                <w:sz w:val="20"/>
                <w:szCs w:val="22"/>
                <w:lang w:val="es-ES_tradnl"/>
              </w:rPr>
              <w:t>0,00</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keepNext/>
        <w:spacing w:after="180"/>
        <w:jc w:val="center"/>
        <w:rPr>
          <w:b/>
          <w:bCs/>
          <w:lang w:val="fr-FR"/>
        </w:rPr>
      </w:pPr>
      <w:r>
        <w:br w:type="page"/>
      </w:r>
      <w:r>
        <w:rPr>
          <w:b/>
          <w:bCs/>
          <w:lang w:val="fr-FR"/>
        </w:rPr>
        <w:t>Tableau 4</w:t>
      </w:r>
    </w:p>
    <w:p w:rsidR="00000000" w:rsidRDefault="00000000">
      <w:pPr>
        <w:keepNext/>
        <w:spacing w:after="180"/>
        <w:jc w:val="center"/>
        <w:rPr>
          <w:lang w:val="fr-FR"/>
        </w:rPr>
      </w:pPr>
      <w:r>
        <w:rPr>
          <w:b/>
          <w:bCs/>
          <w:lang w:val="fr-FR"/>
        </w:rPr>
        <w:t>Bolivie: Moyenne hebdomadaire d’heures de travail dans l’emploi principal,</w:t>
      </w:r>
      <w:r>
        <w:rPr>
          <w:b/>
          <w:bCs/>
          <w:lang w:val="fr-FR"/>
        </w:rPr>
        <w:br/>
        <w:t>par année, par sexe et par secteur du marché du travail, 1999</w:t>
      </w:r>
      <w:r>
        <w:rPr>
          <w:b/>
          <w:bCs/>
          <w:lang w:val="fr-FR"/>
        </w:rPr>
        <w:noBreakHyphen/>
        <w:t>2003</w:t>
      </w:r>
      <w:r>
        <w:rPr>
          <w:b/>
          <w:bCs/>
          <w:i/>
          <w:iCs/>
          <w:vertAlign w:val="superscript"/>
          <w:lang w:val="fr-FR"/>
        </w:rPr>
        <w:t>p</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1261"/>
        <w:gridCol w:w="1261"/>
        <w:gridCol w:w="1262"/>
        <w:gridCol w:w="1261"/>
        <w:gridCol w:w="1262"/>
      </w:tblGrid>
      <w:tr w:rsidR="00000000">
        <w:tblPrEx>
          <w:tblCellMar>
            <w:top w:w="0" w:type="dxa"/>
            <w:bottom w:w="0" w:type="dxa"/>
          </w:tblCellMar>
        </w:tblPrEx>
        <w:trPr>
          <w:tblHeader/>
        </w:trPr>
        <w:tc>
          <w:tcPr>
            <w:tcW w:w="3190" w:type="dxa"/>
            <w:tcBorders>
              <w:bottom w:val="single" w:sz="4" w:space="0" w:color="auto"/>
            </w:tcBorders>
            <w:vAlign w:val="center"/>
          </w:tcPr>
          <w:p w:rsidR="00000000" w:rsidRDefault="00000000">
            <w:pPr>
              <w:spacing w:before="60" w:after="60"/>
              <w:jc w:val="center"/>
              <w:rPr>
                <w:lang w:val="fr-FR"/>
              </w:rPr>
            </w:pPr>
            <w:r>
              <w:rPr>
                <w:lang w:val="fr-FR"/>
              </w:rPr>
              <w:t>Secteur du marché du travail</w:t>
            </w:r>
          </w:p>
        </w:tc>
        <w:tc>
          <w:tcPr>
            <w:tcW w:w="1261" w:type="dxa"/>
            <w:vAlign w:val="center"/>
          </w:tcPr>
          <w:p w:rsidR="00000000" w:rsidRDefault="00000000">
            <w:pPr>
              <w:keepNext/>
              <w:spacing w:before="60" w:after="60"/>
              <w:jc w:val="center"/>
              <w:rPr>
                <w:lang w:val="fr-FR"/>
              </w:rPr>
            </w:pPr>
            <w:r>
              <w:rPr>
                <w:lang w:val="fr-FR"/>
              </w:rPr>
              <w:t>1999</w:t>
            </w:r>
          </w:p>
        </w:tc>
        <w:tc>
          <w:tcPr>
            <w:tcW w:w="1261" w:type="dxa"/>
            <w:vAlign w:val="center"/>
          </w:tcPr>
          <w:p w:rsidR="00000000" w:rsidRDefault="00000000">
            <w:pPr>
              <w:keepNext/>
              <w:spacing w:before="60" w:after="60"/>
              <w:jc w:val="center"/>
              <w:rPr>
                <w:lang w:val="fr-FR"/>
              </w:rPr>
            </w:pPr>
            <w:r>
              <w:rPr>
                <w:lang w:val="fr-FR"/>
              </w:rPr>
              <w:t>2000</w:t>
            </w:r>
          </w:p>
        </w:tc>
        <w:tc>
          <w:tcPr>
            <w:tcW w:w="1262" w:type="dxa"/>
            <w:vAlign w:val="center"/>
          </w:tcPr>
          <w:p w:rsidR="00000000" w:rsidRDefault="00000000">
            <w:pPr>
              <w:keepNext/>
              <w:spacing w:before="60" w:after="60"/>
              <w:jc w:val="center"/>
              <w:rPr>
                <w:lang w:val="fr-FR"/>
              </w:rPr>
            </w:pPr>
            <w:r>
              <w:rPr>
                <w:lang w:val="fr-FR"/>
              </w:rPr>
              <w:t>2001</w:t>
            </w:r>
          </w:p>
        </w:tc>
        <w:tc>
          <w:tcPr>
            <w:tcW w:w="1261" w:type="dxa"/>
            <w:vAlign w:val="center"/>
          </w:tcPr>
          <w:p w:rsidR="00000000" w:rsidRDefault="00000000">
            <w:pPr>
              <w:keepNext/>
              <w:spacing w:before="60" w:after="60"/>
              <w:jc w:val="center"/>
              <w:rPr>
                <w:lang w:val="fr-FR"/>
              </w:rPr>
            </w:pPr>
            <w:r>
              <w:rPr>
                <w:lang w:val="fr-FR"/>
              </w:rPr>
              <w:t>2002</w:t>
            </w:r>
          </w:p>
        </w:tc>
        <w:tc>
          <w:tcPr>
            <w:tcW w:w="1262" w:type="dxa"/>
            <w:vAlign w:val="center"/>
          </w:tcPr>
          <w:p w:rsidR="00000000" w:rsidRDefault="00000000">
            <w:pPr>
              <w:keepNext/>
              <w:spacing w:before="60" w:after="60"/>
              <w:jc w:val="center"/>
              <w:rPr>
                <w:lang w:val="fr-FR"/>
              </w:rPr>
            </w:pPr>
            <w:r>
              <w:rPr>
                <w:lang w:val="fr-FR"/>
              </w:rPr>
              <w:t>2003</w:t>
            </w:r>
            <w:r>
              <w:rPr>
                <w:b/>
                <w:bCs/>
                <w:i/>
                <w:iCs/>
                <w:vertAlign w:val="superscript"/>
                <w:lang w:val="fr-FR"/>
              </w:rPr>
              <w:t>p</w:t>
            </w:r>
          </w:p>
        </w:tc>
      </w:tr>
      <w:tr w:rsidR="00000000">
        <w:tblPrEx>
          <w:tblCellMar>
            <w:top w:w="0" w:type="dxa"/>
            <w:bottom w:w="0" w:type="dxa"/>
          </w:tblCellMar>
        </w:tblPrEx>
        <w:tc>
          <w:tcPr>
            <w:tcW w:w="3190" w:type="dxa"/>
            <w:tcBorders>
              <w:bottom w:val="nil"/>
            </w:tcBorders>
            <w:vAlign w:val="bottom"/>
          </w:tcPr>
          <w:p w:rsidR="00000000" w:rsidRDefault="00000000">
            <w:pPr>
              <w:pStyle w:val="Header"/>
              <w:spacing w:before="60" w:after="60"/>
              <w:rPr>
                <w:b/>
                <w:bCs/>
                <w:lang w:val="fr-FR"/>
              </w:rPr>
            </w:pPr>
            <w:r>
              <w:rPr>
                <w:b/>
                <w:bCs/>
                <w:lang w:val="fr-FR"/>
              </w:rPr>
              <w:t>TOTAL</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42,85</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44,90</w:t>
            </w:r>
          </w:p>
        </w:tc>
        <w:tc>
          <w:tcPr>
            <w:tcW w:w="1262" w:type="dxa"/>
            <w:vAlign w:val="center"/>
          </w:tcPr>
          <w:p w:rsidR="00000000" w:rsidRDefault="00000000">
            <w:pPr>
              <w:tabs>
                <w:tab w:val="decimal" w:pos="454"/>
              </w:tabs>
              <w:spacing w:before="60" w:after="60"/>
              <w:jc w:val="right"/>
              <w:rPr>
                <w:b/>
                <w:bCs/>
                <w:szCs w:val="21"/>
                <w:lang w:val="es-ES_tradnl"/>
              </w:rPr>
            </w:pPr>
            <w:r>
              <w:rPr>
                <w:b/>
                <w:bCs/>
                <w:szCs w:val="21"/>
                <w:lang w:val="es-ES_tradnl"/>
              </w:rPr>
              <w:t>39,60</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42,89</w:t>
            </w:r>
          </w:p>
        </w:tc>
        <w:tc>
          <w:tcPr>
            <w:tcW w:w="1262" w:type="dxa"/>
            <w:vAlign w:val="center"/>
          </w:tcPr>
          <w:p w:rsidR="00000000" w:rsidRDefault="00000000">
            <w:pPr>
              <w:tabs>
                <w:tab w:val="decimal" w:pos="454"/>
              </w:tabs>
              <w:spacing w:before="60" w:after="60"/>
              <w:jc w:val="right"/>
              <w:rPr>
                <w:b/>
                <w:bCs/>
                <w:szCs w:val="21"/>
                <w:lang w:val="es-ES_tradnl"/>
              </w:rPr>
            </w:pPr>
            <w:r>
              <w:rPr>
                <w:b/>
                <w:bCs/>
                <w:szCs w:val="21"/>
                <w:lang w:val="es-ES_tradnl"/>
              </w:rPr>
              <w:t>42,93</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Domestique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55,25</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62,73</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53,31</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53,54</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50,46</w:t>
            </w:r>
          </w:p>
        </w:tc>
      </w:tr>
      <w:tr w:rsidR="00000000">
        <w:tblPrEx>
          <w:tblCellMar>
            <w:top w:w="0" w:type="dxa"/>
            <w:bottom w:w="0" w:type="dxa"/>
          </w:tblCellMar>
        </w:tblPrEx>
        <w:tc>
          <w:tcPr>
            <w:tcW w:w="3190" w:type="dxa"/>
            <w:tcBorders>
              <w:top w:val="nil"/>
              <w:bottom w:val="nil"/>
            </w:tcBorders>
            <w:vAlign w:val="bottom"/>
          </w:tcPr>
          <w:p w:rsidR="00000000" w:rsidRDefault="00000000">
            <w:pPr>
              <w:pStyle w:val="Header"/>
              <w:widowControl w:val="0"/>
              <w:autoSpaceDE w:val="0"/>
              <w:autoSpaceDN w:val="0"/>
              <w:adjustRightInd w:val="0"/>
              <w:spacing w:before="60" w:after="60"/>
              <w:ind w:left="284"/>
              <w:rPr>
                <w:lang w:val="fr-FR"/>
              </w:rPr>
            </w:pPr>
            <w:r>
              <w:rPr>
                <w:lang w:val="fr-FR"/>
              </w:rPr>
              <w:t>Étatique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37,48</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39,40</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39,81</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38,98</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40,47</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Familial</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40,70</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43,41</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35,86</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39,82</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39,66</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Semi</w:t>
            </w:r>
            <w:r>
              <w:rPr>
                <w:lang w:val="fr-FR"/>
              </w:rPr>
              <w:noBreakHyphen/>
              <w:t>entreprise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49,74</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47,81</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46,03</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48,79</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49,48</w:t>
            </w:r>
          </w:p>
        </w:tc>
      </w:tr>
      <w:tr w:rsidR="00000000">
        <w:tblPrEx>
          <w:tblCellMar>
            <w:top w:w="0" w:type="dxa"/>
            <w:bottom w:w="0" w:type="dxa"/>
          </w:tblCellMar>
        </w:tblPrEx>
        <w:tc>
          <w:tcPr>
            <w:tcW w:w="3190" w:type="dxa"/>
            <w:tcBorders>
              <w:top w:val="nil"/>
              <w:bottom w:val="single" w:sz="4" w:space="0" w:color="auto"/>
            </w:tcBorders>
            <w:vAlign w:val="bottom"/>
          </w:tcPr>
          <w:p w:rsidR="00000000" w:rsidRDefault="00000000">
            <w:pPr>
              <w:widowControl w:val="0"/>
              <w:autoSpaceDE w:val="0"/>
              <w:autoSpaceDN w:val="0"/>
              <w:adjustRightInd w:val="0"/>
              <w:spacing w:before="60" w:after="60"/>
              <w:ind w:left="284"/>
              <w:rPr>
                <w:lang w:val="fr-FR"/>
              </w:rPr>
            </w:pPr>
            <w:r>
              <w:rPr>
                <w:lang w:val="fr-FR"/>
              </w:rPr>
              <w:t>Entreprise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48,38</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49,34</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48,85</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51,64</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51,51</w:t>
            </w:r>
          </w:p>
        </w:tc>
      </w:tr>
      <w:tr w:rsidR="00000000">
        <w:tblPrEx>
          <w:tblCellMar>
            <w:top w:w="0" w:type="dxa"/>
            <w:bottom w:w="0" w:type="dxa"/>
          </w:tblCellMar>
        </w:tblPrEx>
        <w:tc>
          <w:tcPr>
            <w:tcW w:w="3190" w:type="dxa"/>
            <w:tcBorders>
              <w:bottom w:val="nil"/>
            </w:tcBorders>
            <w:vAlign w:val="bottom"/>
          </w:tcPr>
          <w:p w:rsidR="00000000" w:rsidRDefault="00000000">
            <w:pPr>
              <w:spacing w:before="60" w:after="60"/>
              <w:rPr>
                <w:b/>
                <w:bCs/>
                <w:lang w:val="fr-FR"/>
              </w:rPr>
            </w:pPr>
            <w:r>
              <w:rPr>
                <w:b/>
                <w:bCs/>
                <w:lang w:val="fr-FR"/>
              </w:rPr>
              <w:t>HOMMES</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44,52</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46,79</w:t>
            </w:r>
          </w:p>
        </w:tc>
        <w:tc>
          <w:tcPr>
            <w:tcW w:w="1262" w:type="dxa"/>
            <w:vAlign w:val="center"/>
          </w:tcPr>
          <w:p w:rsidR="00000000" w:rsidRDefault="00000000">
            <w:pPr>
              <w:tabs>
                <w:tab w:val="decimal" w:pos="454"/>
              </w:tabs>
              <w:spacing w:before="60" w:after="60"/>
              <w:jc w:val="right"/>
              <w:rPr>
                <w:b/>
                <w:bCs/>
                <w:szCs w:val="21"/>
                <w:lang w:val="es-ES_tradnl"/>
              </w:rPr>
            </w:pPr>
            <w:r>
              <w:rPr>
                <w:b/>
                <w:bCs/>
                <w:szCs w:val="21"/>
                <w:lang w:val="es-ES_tradnl"/>
              </w:rPr>
              <w:t>42,22</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45,22</w:t>
            </w:r>
          </w:p>
        </w:tc>
        <w:tc>
          <w:tcPr>
            <w:tcW w:w="1262" w:type="dxa"/>
            <w:vAlign w:val="center"/>
          </w:tcPr>
          <w:p w:rsidR="00000000" w:rsidRDefault="00000000">
            <w:pPr>
              <w:tabs>
                <w:tab w:val="decimal" w:pos="454"/>
              </w:tabs>
              <w:spacing w:before="60" w:after="60"/>
              <w:jc w:val="right"/>
              <w:rPr>
                <w:b/>
                <w:bCs/>
                <w:szCs w:val="21"/>
                <w:lang w:val="es-ES_tradnl"/>
              </w:rPr>
            </w:pPr>
            <w:r>
              <w:rPr>
                <w:b/>
                <w:bCs/>
                <w:szCs w:val="21"/>
                <w:lang w:val="es-ES_tradnl"/>
              </w:rPr>
              <w:t>45,39</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Domestique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44,23</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61,69</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51,83</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54,59</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45,53</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Étatique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39,31</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44,42</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44,74</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43,30</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43,16</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Familial</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41,50</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44,70</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37,90</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41,37</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41,28</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Semi</w:t>
            </w:r>
            <w:r>
              <w:rPr>
                <w:lang w:val="fr-FR"/>
              </w:rPr>
              <w:noBreakHyphen/>
              <w:t>entreprise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51,94</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49,70</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47,13</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49,77</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50,15</w:t>
            </w:r>
          </w:p>
        </w:tc>
      </w:tr>
      <w:tr w:rsidR="00000000">
        <w:tblPrEx>
          <w:tblCellMar>
            <w:top w:w="0" w:type="dxa"/>
            <w:bottom w:w="0" w:type="dxa"/>
          </w:tblCellMar>
        </w:tblPrEx>
        <w:tc>
          <w:tcPr>
            <w:tcW w:w="3190" w:type="dxa"/>
            <w:tcBorders>
              <w:top w:val="nil"/>
              <w:bottom w:val="single" w:sz="4" w:space="0" w:color="auto"/>
            </w:tcBorders>
            <w:vAlign w:val="bottom"/>
          </w:tcPr>
          <w:p w:rsidR="00000000" w:rsidRDefault="00000000">
            <w:pPr>
              <w:widowControl w:val="0"/>
              <w:autoSpaceDE w:val="0"/>
              <w:autoSpaceDN w:val="0"/>
              <w:adjustRightInd w:val="0"/>
              <w:spacing w:before="60" w:after="60"/>
              <w:ind w:left="284"/>
              <w:rPr>
                <w:lang w:val="fr-FR"/>
              </w:rPr>
            </w:pPr>
            <w:r>
              <w:rPr>
                <w:lang w:val="fr-FR"/>
              </w:rPr>
              <w:t>Entreprise</w:t>
            </w:r>
          </w:p>
        </w:tc>
        <w:tc>
          <w:tcPr>
            <w:tcW w:w="1261" w:type="dxa"/>
            <w:tcBorders>
              <w:bottom w:val="single" w:sz="4" w:space="0" w:color="auto"/>
            </w:tcBorders>
            <w:vAlign w:val="center"/>
          </w:tcPr>
          <w:p w:rsidR="00000000" w:rsidRDefault="00000000">
            <w:pPr>
              <w:tabs>
                <w:tab w:val="decimal" w:pos="454"/>
              </w:tabs>
              <w:spacing w:before="60" w:after="60"/>
              <w:jc w:val="right"/>
              <w:rPr>
                <w:szCs w:val="21"/>
                <w:lang w:val="es-ES_tradnl"/>
              </w:rPr>
            </w:pPr>
            <w:r>
              <w:rPr>
                <w:szCs w:val="21"/>
                <w:lang w:val="es-ES_tradnl"/>
              </w:rPr>
              <w:t>49,73</w:t>
            </w:r>
          </w:p>
        </w:tc>
        <w:tc>
          <w:tcPr>
            <w:tcW w:w="1261" w:type="dxa"/>
            <w:tcBorders>
              <w:bottom w:val="single" w:sz="4" w:space="0" w:color="auto"/>
            </w:tcBorders>
            <w:vAlign w:val="center"/>
          </w:tcPr>
          <w:p w:rsidR="00000000" w:rsidRDefault="00000000">
            <w:pPr>
              <w:tabs>
                <w:tab w:val="decimal" w:pos="454"/>
              </w:tabs>
              <w:spacing w:before="60" w:after="60"/>
              <w:jc w:val="right"/>
              <w:rPr>
                <w:szCs w:val="21"/>
                <w:lang w:val="es-ES_tradnl"/>
              </w:rPr>
            </w:pPr>
            <w:r>
              <w:rPr>
                <w:szCs w:val="21"/>
                <w:lang w:val="es-ES_tradnl"/>
              </w:rPr>
              <w:t>52,33</w:t>
            </w:r>
          </w:p>
        </w:tc>
        <w:tc>
          <w:tcPr>
            <w:tcW w:w="1262" w:type="dxa"/>
            <w:tcBorders>
              <w:bottom w:val="single" w:sz="4" w:space="0" w:color="auto"/>
            </w:tcBorders>
            <w:vAlign w:val="center"/>
          </w:tcPr>
          <w:p w:rsidR="00000000" w:rsidRDefault="00000000">
            <w:pPr>
              <w:tabs>
                <w:tab w:val="decimal" w:pos="454"/>
              </w:tabs>
              <w:spacing w:before="60" w:after="60"/>
              <w:jc w:val="right"/>
              <w:rPr>
                <w:szCs w:val="21"/>
                <w:lang w:val="es-ES_tradnl"/>
              </w:rPr>
            </w:pPr>
            <w:r>
              <w:rPr>
                <w:szCs w:val="21"/>
                <w:lang w:val="es-ES_tradnl"/>
              </w:rPr>
              <w:t>50,53</w:t>
            </w:r>
          </w:p>
        </w:tc>
        <w:tc>
          <w:tcPr>
            <w:tcW w:w="1261" w:type="dxa"/>
            <w:tcBorders>
              <w:bottom w:val="single" w:sz="4" w:space="0" w:color="auto"/>
            </w:tcBorders>
            <w:vAlign w:val="center"/>
          </w:tcPr>
          <w:p w:rsidR="00000000" w:rsidRDefault="00000000">
            <w:pPr>
              <w:tabs>
                <w:tab w:val="decimal" w:pos="454"/>
              </w:tabs>
              <w:spacing w:before="60" w:after="60"/>
              <w:jc w:val="right"/>
              <w:rPr>
                <w:szCs w:val="21"/>
                <w:lang w:val="es-ES_tradnl"/>
              </w:rPr>
            </w:pPr>
            <w:r>
              <w:rPr>
                <w:szCs w:val="21"/>
                <w:lang w:val="es-ES_tradnl"/>
              </w:rPr>
              <w:t>53,33</w:t>
            </w:r>
          </w:p>
        </w:tc>
        <w:tc>
          <w:tcPr>
            <w:tcW w:w="1262" w:type="dxa"/>
            <w:tcBorders>
              <w:bottom w:val="single" w:sz="4" w:space="0" w:color="auto"/>
            </w:tcBorders>
            <w:vAlign w:val="center"/>
          </w:tcPr>
          <w:p w:rsidR="00000000" w:rsidRDefault="00000000">
            <w:pPr>
              <w:tabs>
                <w:tab w:val="decimal" w:pos="454"/>
              </w:tabs>
              <w:spacing w:before="60" w:after="60"/>
              <w:jc w:val="right"/>
              <w:rPr>
                <w:szCs w:val="21"/>
                <w:lang w:val="es-ES_tradnl"/>
              </w:rPr>
            </w:pPr>
            <w:r>
              <w:rPr>
                <w:szCs w:val="21"/>
                <w:lang w:val="es-ES_tradnl"/>
              </w:rPr>
              <w:t>52,94</w:t>
            </w:r>
          </w:p>
        </w:tc>
      </w:tr>
      <w:tr w:rsidR="00000000">
        <w:tblPrEx>
          <w:tblCellMar>
            <w:top w:w="0" w:type="dxa"/>
            <w:bottom w:w="0" w:type="dxa"/>
          </w:tblCellMar>
        </w:tblPrEx>
        <w:tc>
          <w:tcPr>
            <w:tcW w:w="3190" w:type="dxa"/>
            <w:tcBorders>
              <w:bottom w:val="nil"/>
            </w:tcBorders>
            <w:vAlign w:val="bottom"/>
          </w:tcPr>
          <w:p w:rsidR="00000000" w:rsidRDefault="00000000">
            <w:pPr>
              <w:spacing w:before="60" w:after="60"/>
              <w:rPr>
                <w:b/>
                <w:bCs/>
                <w:lang w:val="fr-FR"/>
              </w:rPr>
            </w:pPr>
            <w:r>
              <w:rPr>
                <w:b/>
                <w:bCs/>
                <w:lang w:val="fr-FR"/>
              </w:rPr>
              <w:t>FEMMES</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40,80</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42,50</w:t>
            </w:r>
          </w:p>
        </w:tc>
        <w:tc>
          <w:tcPr>
            <w:tcW w:w="1262" w:type="dxa"/>
            <w:vAlign w:val="center"/>
          </w:tcPr>
          <w:p w:rsidR="00000000" w:rsidRDefault="00000000">
            <w:pPr>
              <w:tabs>
                <w:tab w:val="decimal" w:pos="454"/>
              </w:tabs>
              <w:spacing w:before="60" w:after="60"/>
              <w:jc w:val="right"/>
              <w:rPr>
                <w:b/>
                <w:bCs/>
                <w:szCs w:val="21"/>
                <w:lang w:val="es-ES_tradnl"/>
              </w:rPr>
            </w:pPr>
            <w:r>
              <w:rPr>
                <w:b/>
                <w:bCs/>
                <w:szCs w:val="21"/>
                <w:lang w:val="es-ES_tradnl"/>
              </w:rPr>
              <w:t>36,43</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39,87</w:t>
            </w:r>
          </w:p>
        </w:tc>
        <w:tc>
          <w:tcPr>
            <w:tcW w:w="1262" w:type="dxa"/>
            <w:vAlign w:val="center"/>
          </w:tcPr>
          <w:p w:rsidR="00000000" w:rsidRDefault="00000000">
            <w:pPr>
              <w:tabs>
                <w:tab w:val="decimal" w:pos="454"/>
              </w:tabs>
              <w:spacing w:before="60" w:after="60"/>
              <w:jc w:val="right"/>
              <w:rPr>
                <w:b/>
                <w:bCs/>
                <w:szCs w:val="21"/>
                <w:lang w:val="es-ES_tradnl"/>
              </w:rPr>
            </w:pPr>
            <w:r>
              <w:rPr>
                <w:b/>
                <w:bCs/>
                <w:szCs w:val="21"/>
                <w:lang w:val="es-ES_tradnl"/>
              </w:rPr>
              <w:t>39,84</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Domestique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55,83</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62,76</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53,37</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53,50</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50,66</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Étatique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35,09</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32,18</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33,17</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33,69</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36,88</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Familial</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39,96</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42,05</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33,87</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38,25</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38,20</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Semi</w:t>
            </w:r>
            <w:r>
              <w:rPr>
                <w:lang w:val="fr-FR"/>
              </w:rPr>
              <w:noBreakHyphen/>
              <w:t>entreprise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43,61</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40,99</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42,88</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46,05</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47,08</w:t>
            </w:r>
          </w:p>
        </w:tc>
      </w:tr>
      <w:tr w:rsidR="00000000">
        <w:tblPrEx>
          <w:tblCellMar>
            <w:top w:w="0" w:type="dxa"/>
            <w:bottom w:w="0" w:type="dxa"/>
          </w:tblCellMar>
        </w:tblPrEx>
        <w:tc>
          <w:tcPr>
            <w:tcW w:w="3190" w:type="dxa"/>
            <w:tcBorders>
              <w:top w:val="nil"/>
            </w:tcBorders>
            <w:vAlign w:val="bottom"/>
          </w:tcPr>
          <w:p w:rsidR="00000000" w:rsidRDefault="00000000">
            <w:pPr>
              <w:widowControl w:val="0"/>
              <w:autoSpaceDE w:val="0"/>
              <w:autoSpaceDN w:val="0"/>
              <w:adjustRightInd w:val="0"/>
              <w:spacing w:before="60" w:after="60"/>
              <w:ind w:left="284"/>
              <w:rPr>
                <w:lang w:val="fr-FR"/>
              </w:rPr>
            </w:pPr>
            <w:r>
              <w:rPr>
                <w:lang w:val="fr-FR"/>
              </w:rPr>
              <w:t>Entreprise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43,90</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41,94</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43,94</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45,82</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45,84</w:t>
            </w:r>
          </w:p>
        </w:tc>
      </w:tr>
    </w:tbl>
    <w:p w:rsidR="00000000" w:rsidRDefault="00000000">
      <w:pPr>
        <w:spacing w:before="240"/>
        <w:ind w:firstLine="567"/>
      </w:pPr>
      <w:r>
        <w:rPr>
          <w:i/>
          <w:iCs/>
        </w:rPr>
        <w:t>Source</w:t>
      </w:r>
      <w:r>
        <w:t>: Institut national de statistique.</w:t>
      </w:r>
    </w:p>
    <w:p w:rsidR="00000000" w:rsidRDefault="00000000">
      <w:pPr>
        <w:spacing w:before="240"/>
      </w:pPr>
      <w:r>
        <w:rPr>
          <w:b/>
          <w:bCs/>
          <w:i/>
          <w:iCs/>
          <w:vertAlign w:val="superscript"/>
        </w:rPr>
        <w:t>p</w:t>
      </w:r>
      <w:r>
        <w:t xml:space="preserve"> Chiffres provisoires.</w:t>
      </w:r>
    </w:p>
    <w:p w:rsidR="00000000" w:rsidRDefault="00000000">
      <w:pPr>
        <w:keepNext/>
        <w:spacing w:after="180"/>
        <w:jc w:val="center"/>
        <w:rPr>
          <w:b/>
          <w:bCs/>
          <w:lang w:val="fr-FR"/>
        </w:rPr>
      </w:pPr>
      <w:r>
        <w:br w:type="page"/>
      </w:r>
      <w:r>
        <w:rPr>
          <w:b/>
          <w:bCs/>
          <w:lang w:val="fr-FR"/>
        </w:rPr>
        <w:t>Tableau 4.1</w:t>
      </w:r>
    </w:p>
    <w:p w:rsidR="00000000" w:rsidRDefault="00000000">
      <w:pPr>
        <w:keepNext/>
        <w:spacing w:after="180"/>
        <w:jc w:val="center"/>
        <w:rPr>
          <w:lang w:val="fr-FR"/>
        </w:rPr>
      </w:pPr>
      <w:r>
        <w:rPr>
          <w:b/>
          <w:bCs/>
          <w:lang w:val="fr-FR"/>
        </w:rPr>
        <w:t>Bolivie − Zones urbaines: Moyenne hebdomadaire d’heures de travail dans l’emploi principal, par année, par sexe et par secteur du marché du travail, 1999</w:t>
      </w:r>
      <w:r>
        <w:rPr>
          <w:b/>
          <w:bCs/>
          <w:lang w:val="fr-FR"/>
        </w:rPr>
        <w:noBreakHyphen/>
        <w:t>2003</w:t>
      </w:r>
      <w:r>
        <w:rPr>
          <w:b/>
          <w:bCs/>
          <w:i/>
          <w:iCs/>
          <w:vertAlign w:val="superscript"/>
          <w:lang w:val="fr-FR"/>
        </w:rPr>
        <w:t>p</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1261"/>
        <w:gridCol w:w="1261"/>
        <w:gridCol w:w="1262"/>
        <w:gridCol w:w="1261"/>
        <w:gridCol w:w="1262"/>
      </w:tblGrid>
      <w:tr w:rsidR="00000000">
        <w:tblPrEx>
          <w:tblCellMar>
            <w:top w:w="0" w:type="dxa"/>
            <w:bottom w:w="0" w:type="dxa"/>
          </w:tblCellMar>
        </w:tblPrEx>
        <w:trPr>
          <w:tblHeader/>
        </w:trPr>
        <w:tc>
          <w:tcPr>
            <w:tcW w:w="3190" w:type="dxa"/>
            <w:tcBorders>
              <w:bottom w:val="single" w:sz="4" w:space="0" w:color="auto"/>
            </w:tcBorders>
            <w:vAlign w:val="center"/>
          </w:tcPr>
          <w:p w:rsidR="00000000" w:rsidRDefault="00000000">
            <w:pPr>
              <w:spacing w:before="60" w:after="60"/>
              <w:jc w:val="center"/>
              <w:rPr>
                <w:lang w:val="fr-FR"/>
              </w:rPr>
            </w:pPr>
            <w:r>
              <w:rPr>
                <w:lang w:val="fr-FR"/>
              </w:rPr>
              <w:t>Secteur du marché du travail</w:t>
            </w:r>
          </w:p>
        </w:tc>
        <w:tc>
          <w:tcPr>
            <w:tcW w:w="1261" w:type="dxa"/>
            <w:vAlign w:val="center"/>
          </w:tcPr>
          <w:p w:rsidR="00000000" w:rsidRDefault="00000000">
            <w:pPr>
              <w:keepNext/>
              <w:spacing w:before="60" w:after="60"/>
              <w:jc w:val="center"/>
              <w:rPr>
                <w:lang w:val="fr-FR"/>
              </w:rPr>
            </w:pPr>
            <w:r>
              <w:rPr>
                <w:lang w:val="fr-FR"/>
              </w:rPr>
              <w:t>1999</w:t>
            </w:r>
          </w:p>
        </w:tc>
        <w:tc>
          <w:tcPr>
            <w:tcW w:w="1261" w:type="dxa"/>
            <w:vAlign w:val="center"/>
          </w:tcPr>
          <w:p w:rsidR="00000000" w:rsidRDefault="00000000">
            <w:pPr>
              <w:keepNext/>
              <w:spacing w:before="60" w:after="60"/>
              <w:jc w:val="center"/>
              <w:rPr>
                <w:lang w:val="fr-FR"/>
              </w:rPr>
            </w:pPr>
            <w:r>
              <w:rPr>
                <w:lang w:val="fr-FR"/>
              </w:rPr>
              <w:t>2000</w:t>
            </w:r>
          </w:p>
        </w:tc>
        <w:tc>
          <w:tcPr>
            <w:tcW w:w="1262" w:type="dxa"/>
            <w:vAlign w:val="center"/>
          </w:tcPr>
          <w:p w:rsidR="00000000" w:rsidRDefault="00000000">
            <w:pPr>
              <w:keepNext/>
              <w:spacing w:before="60" w:after="60"/>
              <w:jc w:val="center"/>
              <w:rPr>
                <w:lang w:val="fr-FR"/>
              </w:rPr>
            </w:pPr>
            <w:r>
              <w:rPr>
                <w:lang w:val="fr-FR"/>
              </w:rPr>
              <w:t>2001</w:t>
            </w:r>
          </w:p>
        </w:tc>
        <w:tc>
          <w:tcPr>
            <w:tcW w:w="1261" w:type="dxa"/>
            <w:vAlign w:val="center"/>
          </w:tcPr>
          <w:p w:rsidR="00000000" w:rsidRDefault="00000000">
            <w:pPr>
              <w:keepNext/>
              <w:spacing w:before="60" w:after="60"/>
              <w:jc w:val="center"/>
              <w:rPr>
                <w:lang w:val="fr-FR"/>
              </w:rPr>
            </w:pPr>
            <w:r>
              <w:rPr>
                <w:lang w:val="fr-FR"/>
              </w:rPr>
              <w:t>2002</w:t>
            </w:r>
          </w:p>
        </w:tc>
        <w:tc>
          <w:tcPr>
            <w:tcW w:w="1262" w:type="dxa"/>
            <w:vAlign w:val="center"/>
          </w:tcPr>
          <w:p w:rsidR="00000000" w:rsidRDefault="00000000">
            <w:pPr>
              <w:keepNext/>
              <w:spacing w:before="60" w:after="60"/>
              <w:jc w:val="center"/>
              <w:rPr>
                <w:lang w:val="fr-FR"/>
              </w:rPr>
            </w:pPr>
            <w:r>
              <w:rPr>
                <w:lang w:val="fr-FR"/>
              </w:rPr>
              <w:t>2003</w:t>
            </w:r>
            <w:r>
              <w:rPr>
                <w:b/>
                <w:bCs/>
                <w:i/>
                <w:iCs/>
                <w:vertAlign w:val="superscript"/>
                <w:lang w:val="fr-FR"/>
              </w:rPr>
              <w:t>p</w:t>
            </w:r>
          </w:p>
        </w:tc>
      </w:tr>
      <w:tr w:rsidR="00000000">
        <w:tblPrEx>
          <w:tblCellMar>
            <w:top w:w="0" w:type="dxa"/>
            <w:bottom w:w="0" w:type="dxa"/>
          </w:tblCellMar>
        </w:tblPrEx>
        <w:tc>
          <w:tcPr>
            <w:tcW w:w="3190" w:type="dxa"/>
            <w:tcBorders>
              <w:bottom w:val="nil"/>
            </w:tcBorders>
            <w:vAlign w:val="bottom"/>
          </w:tcPr>
          <w:p w:rsidR="00000000" w:rsidRDefault="00000000">
            <w:pPr>
              <w:pStyle w:val="Header"/>
              <w:spacing w:before="60" w:after="60"/>
              <w:rPr>
                <w:b/>
                <w:bCs/>
                <w:lang w:val="fr-FR"/>
              </w:rPr>
            </w:pPr>
            <w:r>
              <w:rPr>
                <w:b/>
                <w:bCs/>
                <w:lang w:val="fr-FR"/>
              </w:rPr>
              <w:t>TOTAL</w:t>
            </w:r>
          </w:p>
        </w:tc>
        <w:tc>
          <w:tcPr>
            <w:tcW w:w="1261" w:type="dxa"/>
            <w:vAlign w:val="center"/>
          </w:tcPr>
          <w:p w:rsidR="00000000" w:rsidRDefault="00000000">
            <w:pPr>
              <w:tabs>
                <w:tab w:val="decimal" w:pos="567"/>
              </w:tabs>
              <w:spacing w:before="60" w:after="60"/>
              <w:jc w:val="right"/>
              <w:rPr>
                <w:b/>
                <w:bCs/>
                <w:szCs w:val="21"/>
                <w:lang w:val="es-ES_tradnl"/>
              </w:rPr>
            </w:pPr>
            <w:r>
              <w:rPr>
                <w:b/>
                <w:bCs/>
                <w:szCs w:val="21"/>
                <w:lang w:val="es-ES_tradnl"/>
              </w:rPr>
              <w:t>45,98</w:t>
            </w:r>
          </w:p>
        </w:tc>
        <w:tc>
          <w:tcPr>
            <w:tcW w:w="1261" w:type="dxa"/>
            <w:vAlign w:val="center"/>
          </w:tcPr>
          <w:p w:rsidR="00000000" w:rsidRDefault="00000000">
            <w:pPr>
              <w:tabs>
                <w:tab w:val="decimal" w:pos="510"/>
              </w:tabs>
              <w:spacing w:before="60" w:after="60"/>
              <w:jc w:val="right"/>
              <w:rPr>
                <w:b/>
                <w:bCs/>
                <w:szCs w:val="21"/>
                <w:lang w:val="es-ES_tradnl"/>
              </w:rPr>
            </w:pPr>
            <w:r>
              <w:rPr>
                <w:b/>
                <w:bCs/>
                <w:szCs w:val="21"/>
                <w:lang w:val="es-ES_tradnl"/>
              </w:rPr>
              <w:t>47,33</w:t>
            </w:r>
          </w:p>
        </w:tc>
        <w:tc>
          <w:tcPr>
            <w:tcW w:w="1262" w:type="dxa"/>
            <w:vAlign w:val="center"/>
          </w:tcPr>
          <w:p w:rsidR="00000000" w:rsidRDefault="00000000">
            <w:pPr>
              <w:tabs>
                <w:tab w:val="decimal" w:pos="510"/>
              </w:tabs>
              <w:spacing w:before="60" w:after="60"/>
              <w:jc w:val="right"/>
              <w:rPr>
                <w:b/>
                <w:bCs/>
                <w:szCs w:val="21"/>
                <w:lang w:val="es-ES_tradnl"/>
              </w:rPr>
            </w:pPr>
            <w:r>
              <w:rPr>
                <w:b/>
                <w:bCs/>
                <w:szCs w:val="21"/>
                <w:lang w:val="es-ES_tradnl"/>
              </w:rPr>
              <w:t>42,61</w:t>
            </w:r>
          </w:p>
        </w:tc>
        <w:tc>
          <w:tcPr>
            <w:tcW w:w="1261" w:type="dxa"/>
            <w:vAlign w:val="center"/>
          </w:tcPr>
          <w:p w:rsidR="00000000" w:rsidRDefault="00000000">
            <w:pPr>
              <w:tabs>
                <w:tab w:val="decimal" w:pos="510"/>
              </w:tabs>
              <w:spacing w:before="60" w:after="60"/>
              <w:jc w:val="right"/>
              <w:rPr>
                <w:b/>
                <w:bCs/>
                <w:szCs w:val="21"/>
                <w:lang w:val="es-ES_tradnl"/>
              </w:rPr>
            </w:pPr>
            <w:r>
              <w:rPr>
                <w:b/>
                <w:bCs/>
                <w:szCs w:val="21"/>
                <w:lang w:val="es-ES_tradnl"/>
              </w:rPr>
              <w:t>46,71</w:t>
            </w:r>
          </w:p>
        </w:tc>
        <w:tc>
          <w:tcPr>
            <w:tcW w:w="1262" w:type="dxa"/>
            <w:vAlign w:val="center"/>
          </w:tcPr>
          <w:p w:rsidR="00000000" w:rsidRDefault="00000000">
            <w:pPr>
              <w:tabs>
                <w:tab w:val="decimal" w:pos="454"/>
              </w:tabs>
              <w:spacing w:before="60" w:after="60"/>
              <w:jc w:val="right"/>
              <w:rPr>
                <w:b/>
                <w:bCs/>
                <w:szCs w:val="21"/>
                <w:lang w:val="es-ES_tradnl"/>
              </w:rPr>
            </w:pPr>
            <w:r>
              <w:rPr>
                <w:b/>
                <w:bCs/>
                <w:szCs w:val="21"/>
                <w:lang w:val="es-ES_tradnl"/>
              </w:rPr>
              <w:t>45,92</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Domestique</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55,30</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62,34</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52,96</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53,25</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50,11</w:t>
            </w:r>
          </w:p>
        </w:tc>
      </w:tr>
      <w:tr w:rsidR="00000000">
        <w:tblPrEx>
          <w:tblCellMar>
            <w:top w:w="0" w:type="dxa"/>
            <w:bottom w:w="0" w:type="dxa"/>
          </w:tblCellMar>
        </w:tblPrEx>
        <w:tc>
          <w:tcPr>
            <w:tcW w:w="3190" w:type="dxa"/>
            <w:tcBorders>
              <w:top w:val="nil"/>
              <w:bottom w:val="nil"/>
            </w:tcBorders>
            <w:vAlign w:val="bottom"/>
          </w:tcPr>
          <w:p w:rsidR="00000000" w:rsidRDefault="00000000">
            <w:pPr>
              <w:pStyle w:val="Header"/>
              <w:widowControl w:val="0"/>
              <w:autoSpaceDE w:val="0"/>
              <w:autoSpaceDN w:val="0"/>
              <w:adjustRightInd w:val="0"/>
              <w:spacing w:before="60" w:after="60"/>
              <w:ind w:left="284"/>
              <w:rPr>
                <w:lang w:val="fr-FR"/>
              </w:rPr>
            </w:pPr>
            <w:r>
              <w:rPr>
                <w:lang w:val="fr-FR"/>
              </w:rPr>
              <w:t>Étatique</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37,50</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40,55</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40,24</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38,87</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42,48</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Familial</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44,50</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46,29</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37,77</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44,07</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42,13</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Semi</w:t>
            </w:r>
            <w:r>
              <w:rPr>
                <w:lang w:val="fr-FR"/>
              </w:rPr>
              <w:noBreakHyphen/>
              <w:t>entreprise</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50,60</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48,13</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47,20</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50,39</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51,80</w:t>
            </w:r>
          </w:p>
        </w:tc>
      </w:tr>
      <w:tr w:rsidR="00000000">
        <w:tblPrEx>
          <w:tblCellMar>
            <w:top w:w="0" w:type="dxa"/>
            <w:bottom w:w="0" w:type="dxa"/>
          </w:tblCellMar>
        </w:tblPrEx>
        <w:tc>
          <w:tcPr>
            <w:tcW w:w="3190" w:type="dxa"/>
            <w:tcBorders>
              <w:top w:val="nil"/>
              <w:bottom w:val="single" w:sz="4" w:space="0" w:color="auto"/>
            </w:tcBorders>
            <w:vAlign w:val="bottom"/>
          </w:tcPr>
          <w:p w:rsidR="00000000" w:rsidRDefault="00000000">
            <w:pPr>
              <w:widowControl w:val="0"/>
              <w:autoSpaceDE w:val="0"/>
              <w:autoSpaceDN w:val="0"/>
              <w:adjustRightInd w:val="0"/>
              <w:spacing w:before="60" w:after="60"/>
              <w:ind w:left="284"/>
              <w:rPr>
                <w:lang w:val="fr-FR"/>
              </w:rPr>
            </w:pPr>
            <w:r>
              <w:rPr>
                <w:lang w:val="fr-FR"/>
              </w:rPr>
              <w:t>Entreprise</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48,50</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49,35</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48,83</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52,16</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50,95</w:t>
            </w:r>
          </w:p>
        </w:tc>
      </w:tr>
      <w:tr w:rsidR="00000000">
        <w:tblPrEx>
          <w:tblCellMar>
            <w:top w:w="0" w:type="dxa"/>
            <w:bottom w:w="0" w:type="dxa"/>
          </w:tblCellMar>
        </w:tblPrEx>
        <w:tc>
          <w:tcPr>
            <w:tcW w:w="3190" w:type="dxa"/>
            <w:tcBorders>
              <w:bottom w:val="nil"/>
            </w:tcBorders>
            <w:vAlign w:val="bottom"/>
          </w:tcPr>
          <w:p w:rsidR="00000000" w:rsidRDefault="00000000">
            <w:pPr>
              <w:spacing w:before="60" w:after="60"/>
              <w:rPr>
                <w:b/>
                <w:bCs/>
                <w:lang w:val="fr-FR"/>
              </w:rPr>
            </w:pPr>
            <w:r>
              <w:rPr>
                <w:b/>
                <w:bCs/>
                <w:lang w:val="fr-FR"/>
              </w:rPr>
              <w:t>HOMMES</w:t>
            </w:r>
          </w:p>
        </w:tc>
        <w:tc>
          <w:tcPr>
            <w:tcW w:w="1261" w:type="dxa"/>
            <w:vAlign w:val="center"/>
          </w:tcPr>
          <w:p w:rsidR="00000000" w:rsidRDefault="00000000">
            <w:pPr>
              <w:tabs>
                <w:tab w:val="decimal" w:pos="567"/>
              </w:tabs>
              <w:spacing w:before="60" w:after="60"/>
              <w:jc w:val="right"/>
              <w:rPr>
                <w:b/>
                <w:bCs/>
                <w:szCs w:val="21"/>
                <w:lang w:val="es-ES_tradnl"/>
              </w:rPr>
            </w:pPr>
            <w:r>
              <w:rPr>
                <w:b/>
                <w:bCs/>
                <w:szCs w:val="21"/>
                <w:lang w:val="es-ES_tradnl"/>
              </w:rPr>
              <w:t>48,19</w:t>
            </w:r>
          </w:p>
        </w:tc>
        <w:tc>
          <w:tcPr>
            <w:tcW w:w="1261" w:type="dxa"/>
            <w:vAlign w:val="center"/>
          </w:tcPr>
          <w:p w:rsidR="00000000" w:rsidRDefault="00000000">
            <w:pPr>
              <w:tabs>
                <w:tab w:val="decimal" w:pos="510"/>
              </w:tabs>
              <w:spacing w:before="60" w:after="60"/>
              <w:jc w:val="right"/>
              <w:rPr>
                <w:b/>
                <w:bCs/>
                <w:szCs w:val="21"/>
                <w:lang w:val="es-ES_tradnl"/>
              </w:rPr>
            </w:pPr>
            <w:r>
              <w:rPr>
                <w:b/>
                <w:bCs/>
                <w:szCs w:val="21"/>
                <w:lang w:val="es-ES_tradnl"/>
              </w:rPr>
              <w:t>49,57</w:t>
            </w:r>
          </w:p>
        </w:tc>
        <w:tc>
          <w:tcPr>
            <w:tcW w:w="1262" w:type="dxa"/>
            <w:vAlign w:val="center"/>
          </w:tcPr>
          <w:p w:rsidR="00000000" w:rsidRDefault="00000000">
            <w:pPr>
              <w:tabs>
                <w:tab w:val="decimal" w:pos="510"/>
              </w:tabs>
              <w:spacing w:before="60" w:after="60"/>
              <w:jc w:val="right"/>
              <w:rPr>
                <w:b/>
                <w:bCs/>
                <w:szCs w:val="21"/>
                <w:lang w:val="es-ES_tradnl"/>
              </w:rPr>
            </w:pPr>
            <w:r>
              <w:rPr>
                <w:b/>
                <w:bCs/>
                <w:szCs w:val="21"/>
                <w:lang w:val="es-ES_tradnl"/>
              </w:rPr>
              <w:t>45,43</w:t>
            </w:r>
          </w:p>
        </w:tc>
        <w:tc>
          <w:tcPr>
            <w:tcW w:w="1261" w:type="dxa"/>
            <w:vAlign w:val="center"/>
          </w:tcPr>
          <w:p w:rsidR="00000000" w:rsidRDefault="00000000">
            <w:pPr>
              <w:tabs>
                <w:tab w:val="decimal" w:pos="510"/>
              </w:tabs>
              <w:spacing w:before="60" w:after="60"/>
              <w:jc w:val="right"/>
              <w:rPr>
                <w:b/>
                <w:bCs/>
                <w:szCs w:val="21"/>
                <w:lang w:val="es-ES_tradnl"/>
              </w:rPr>
            </w:pPr>
            <w:r>
              <w:rPr>
                <w:b/>
                <w:bCs/>
                <w:szCs w:val="21"/>
                <w:lang w:val="es-ES_tradnl"/>
              </w:rPr>
              <w:t>49,40</w:t>
            </w:r>
          </w:p>
        </w:tc>
        <w:tc>
          <w:tcPr>
            <w:tcW w:w="1262" w:type="dxa"/>
            <w:vAlign w:val="center"/>
          </w:tcPr>
          <w:p w:rsidR="00000000" w:rsidRDefault="00000000">
            <w:pPr>
              <w:tabs>
                <w:tab w:val="decimal" w:pos="454"/>
              </w:tabs>
              <w:spacing w:before="60" w:after="60"/>
              <w:jc w:val="right"/>
              <w:rPr>
                <w:b/>
                <w:bCs/>
                <w:szCs w:val="21"/>
                <w:lang w:val="es-ES_tradnl"/>
              </w:rPr>
            </w:pPr>
            <w:r>
              <w:rPr>
                <w:b/>
                <w:bCs/>
                <w:szCs w:val="21"/>
                <w:lang w:val="es-ES_tradnl"/>
              </w:rPr>
              <w:t>48,48</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Domestique</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41,11</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57,00</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52,18</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55,75</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38,87</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Étatique</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40,05</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46,08</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45,65</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43,18</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46,19</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Familial</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46,49</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48,15</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39,53</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46,49</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43,58</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Semi</w:t>
            </w:r>
            <w:r>
              <w:rPr>
                <w:lang w:val="fr-FR"/>
              </w:rPr>
              <w:noBreakHyphen/>
              <w:t>entreprise</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52,97</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50,09</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48,55</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51,20</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52,49</w:t>
            </w:r>
          </w:p>
        </w:tc>
      </w:tr>
      <w:tr w:rsidR="00000000">
        <w:tblPrEx>
          <w:tblCellMar>
            <w:top w:w="0" w:type="dxa"/>
            <w:bottom w:w="0" w:type="dxa"/>
          </w:tblCellMar>
        </w:tblPrEx>
        <w:tc>
          <w:tcPr>
            <w:tcW w:w="3190" w:type="dxa"/>
            <w:tcBorders>
              <w:top w:val="nil"/>
              <w:bottom w:val="single" w:sz="4" w:space="0" w:color="auto"/>
            </w:tcBorders>
            <w:vAlign w:val="bottom"/>
          </w:tcPr>
          <w:p w:rsidR="00000000" w:rsidRDefault="00000000">
            <w:pPr>
              <w:widowControl w:val="0"/>
              <w:autoSpaceDE w:val="0"/>
              <w:autoSpaceDN w:val="0"/>
              <w:adjustRightInd w:val="0"/>
              <w:spacing w:before="60" w:after="60"/>
              <w:ind w:left="284"/>
              <w:rPr>
                <w:lang w:val="fr-FR"/>
              </w:rPr>
            </w:pPr>
            <w:r>
              <w:rPr>
                <w:lang w:val="fr-FR"/>
              </w:rPr>
              <w:t>Entreprise</w:t>
            </w:r>
          </w:p>
        </w:tc>
        <w:tc>
          <w:tcPr>
            <w:tcW w:w="1261" w:type="dxa"/>
            <w:tcBorders>
              <w:bottom w:val="single" w:sz="4" w:space="0" w:color="auto"/>
            </w:tcBorders>
            <w:vAlign w:val="center"/>
          </w:tcPr>
          <w:p w:rsidR="00000000" w:rsidRDefault="00000000">
            <w:pPr>
              <w:tabs>
                <w:tab w:val="decimal" w:pos="567"/>
              </w:tabs>
              <w:spacing w:before="60" w:after="60"/>
              <w:jc w:val="right"/>
              <w:rPr>
                <w:szCs w:val="21"/>
                <w:lang w:val="es-ES_tradnl"/>
              </w:rPr>
            </w:pPr>
            <w:r>
              <w:rPr>
                <w:szCs w:val="21"/>
                <w:lang w:val="es-ES_tradnl"/>
              </w:rPr>
              <w:t>49,97</w:t>
            </w:r>
          </w:p>
        </w:tc>
        <w:tc>
          <w:tcPr>
            <w:tcW w:w="1261" w:type="dxa"/>
            <w:tcBorders>
              <w:bottom w:val="single" w:sz="4" w:space="0" w:color="auto"/>
            </w:tcBorders>
            <w:vAlign w:val="center"/>
          </w:tcPr>
          <w:p w:rsidR="00000000" w:rsidRDefault="00000000">
            <w:pPr>
              <w:tabs>
                <w:tab w:val="decimal" w:pos="510"/>
              </w:tabs>
              <w:spacing w:before="60" w:after="60"/>
              <w:jc w:val="right"/>
              <w:rPr>
                <w:szCs w:val="21"/>
                <w:lang w:val="es-ES_tradnl"/>
              </w:rPr>
            </w:pPr>
            <w:r>
              <w:rPr>
                <w:szCs w:val="21"/>
                <w:lang w:val="es-ES_tradnl"/>
              </w:rPr>
              <w:t>52,40</w:t>
            </w:r>
          </w:p>
        </w:tc>
        <w:tc>
          <w:tcPr>
            <w:tcW w:w="1262" w:type="dxa"/>
            <w:tcBorders>
              <w:bottom w:val="single" w:sz="4" w:space="0" w:color="auto"/>
            </w:tcBorders>
            <w:vAlign w:val="center"/>
          </w:tcPr>
          <w:p w:rsidR="00000000" w:rsidRDefault="00000000">
            <w:pPr>
              <w:tabs>
                <w:tab w:val="decimal" w:pos="510"/>
              </w:tabs>
              <w:spacing w:before="60" w:after="60"/>
              <w:jc w:val="right"/>
              <w:rPr>
                <w:szCs w:val="21"/>
                <w:lang w:val="es-ES_tradnl"/>
              </w:rPr>
            </w:pPr>
            <w:r>
              <w:rPr>
                <w:szCs w:val="21"/>
                <w:lang w:val="es-ES_tradnl"/>
              </w:rPr>
              <w:t>50,87</w:t>
            </w:r>
          </w:p>
        </w:tc>
        <w:tc>
          <w:tcPr>
            <w:tcW w:w="1261" w:type="dxa"/>
            <w:tcBorders>
              <w:bottom w:val="single" w:sz="4" w:space="0" w:color="auto"/>
            </w:tcBorders>
            <w:vAlign w:val="center"/>
          </w:tcPr>
          <w:p w:rsidR="00000000" w:rsidRDefault="00000000">
            <w:pPr>
              <w:tabs>
                <w:tab w:val="decimal" w:pos="510"/>
              </w:tabs>
              <w:spacing w:before="60" w:after="60"/>
              <w:jc w:val="right"/>
              <w:rPr>
                <w:szCs w:val="21"/>
                <w:lang w:val="es-ES_tradnl"/>
              </w:rPr>
            </w:pPr>
            <w:r>
              <w:rPr>
                <w:szCs w:val="21"/>
                <w:lang w:val="es-ES_tradnl"/>
              </w:rPr>
              <w:t>53,90</w:t>
            </w:r>
          </w:p>
        </w:tc>
        <w:tc>
          <w:tcPr>
            <w:tcW w:w="1262" w:type="dxa"/>
            <w:tcBorders>
              <w:bottom w:val="single" w:sz="4" w:space="0" w:color="auto"/>
            </w:tcBorders>
            <w:vAlign w:val="center"/>
          </w:tcPr>
          <w:p w:rsidR="00000000" w:rsidRDefault="00000000">
            <w:pPr>
              <w:tabs>
                <w:tab w:val="decimal" w:pos="454"/>
              </w:tabs>
              <w:spacing w:before="60" w:after="60"/>
              <w:jc w:val="right"/>
              <w:rPr>
                <w:szCs w:val="21"/>
                <w:lang w:val="es-ES_tradnl"/>
              </w:rPr>
            </w:pPr>
            <w:r>
              <w:rPr>
                <w:szCs w:val="21"/>
                <w:lang w:val="es-ES_tradnl"/>
              </w:rPr>
              <w:t>52,62</w:t>
            </w:r>
          </w:p>
        </w:tc>
      </w:tr>
      <w:tr w:rsidR="00000000">
        <w:tblPrEx>
          <w:tblCellMar>
            <w:top w:w="0" w:type="dxa"/>
            <w:bottom w:w="0" w:type="dxa"/>
          </w:tblCellMar>
        </w:tblPrEx>
        <w:tc>
          <w:tcPr>
            <w:tcW w:w="3190" w:type="dxa"/>
            <w:tcBorders>
              <w:bottom w:val="nil"/>
            </w:tcBorders>
            <w:vAlign w:val="bottom"/>
          </w:tcPr>
          <w:p w:rsidR="00000000" w:rsidRDefault="00000000">
            <w:pPr>
              <w:spacing w:before="60" w:after="60"/>
              <w:rPr>
                <w:b/>
                <w:bCs/>
                <w:lang w:val="fr-FR"/>
              </w:rPr>
            </w:pPr>
            <w:r>
              <w:rPr>
                <w:b/>
                <w:bCs/>
                <w:lang w:val="fr-FR"/>
              </w:rPr>
              <w:t>FEMMES</w:t>
            </w:r>
          </w:p>
        </w:tc>
        <w:tc>
          <w:tcPr>
            <w:tcW w:w="1261" w:type="dxa"/>
            <w:vAlign w:val="center"/>
          </w:tcPr>
          <w:p w:rsidR="00000000" w:rsidRDefault="00000000">
            <w:pPr>
              <w:tabs>
                <w:tab w:val="decimal" w:pos="567"/>
              </w:tabs>
              <w:spacing w:before="60" w:after="60"/>
              <w:jc w:val="right"/>
              <w:rPr>
                <w:b/>
                <w:bCs/>
                <w:szCs w:val="21"/>
                <w:lang w:val="es-ES_tradnl"/>
              </w:rPr>
            </w:pPr>
            <w:r>
              <w:rPr>
                <w:b/>
                <w:bCs/>
                <w:szCs w:val="21"/>
                <w:lang w:val="es-ES_tradnl"/>
              </w:rPr>
              <w:t>43,16</w:t>
            </w:r>
          </w:p>
        </w:tc>
        <w:tc>
          <w:tcPr>
            <w:tcW w:w="1261" w:type="dxa"/>
            <w:vAlign w:val="center"/>
          </w:tcPr>
          <w:p w:rsidR="00000000" w:rsidRDefault="00000000">
            <w:pPr>
              <w:tabs>
                <w:tab w:val="decimal" w:pos="510"/>
              </w:tabs>
              <w:spacing w:before="60" w:after="60"/>
              <w:jc w:val="right"/>
              <w:rPr>
                <w:b/>
                <w:bCs/>
                <w:szCs w:val="21"/>
                <w:lang w:val="es-ES_tradnl"/>
              </w:rPr>
            </w:pPr>
            <w:r>
              <w:rPr>
                <w:b/>
                <w:bCs/>
                <w:szCs w:val="21"/>
                <w:lang w:val="es-ES_tradnl"/>
              </w:rPr>
              <w:t>44,51</w:t>
            </w:r>
          </w:p>
        </w:tc>
        <w:tc>
          <w:tcPr>
            <w:tcW w:w="1262" w:type="dxa"/>
            <w:vAlign w:val="center"/>
          </w:tcPr>
          <w:p w:rsidR="00000000" w:rsidRDefault="00000000">
            <w:pPr>
              <w:tabs>
                <w:tab w:val="decimal" w:pos="510"/>
              </w:tabs>
              <w:spacing w:before="60" w:after="60"/>
              <w:jc w:val="right"/>
              <w:rPr>
                <w:b/>
                <w:bCs/>
                <w:szCs w:val="21"/>
                <w:lang w:val="es-ES_tradnl"/>
              </w:rPr>
            </w:pPr>
            <w:r>
              <w:rPr>
                <w:b/>
                <w:bCs/>
                <w:szCs w:val="21"/>
                <w:lang w:val="es-ES_tradnl"/>
              </w:rPr>
              <w:t>39,31</w:t>
            </w:r>
          </w:p>
        </w:tc>
        <w:tc>
          <w:tcPr>
            <w:tcW w:w="1261" w:type="dxa"/>
            <w:vAlign w:val="center"/>
          </w:tcPr>
          <w:p w:rsidR="00000000" w:rsidRDefault="00000000">
            <w:pPr>
              <w:tabs>
                <w:tab w:val="decimal" w:pos="510"/>
              </w:tabs>
              <w:spacing w:before="60" w:after="60"/>
              <w:jc w:val="right"/>
              <w:rPr>
                <w:b/>
                <w:bCs/>
                <w:szCs w:val="21"/>
                <w:lang w:val="es-ES_tradnl"/>
              </w:rPr>
            </w:pPr>
            <w:r>
              <w:rPr>
                <w:b/>
                <w:bCs/>
                <w:szCs w:val="21"/>
                <w:lang w:val="es-ES_tradnl"/>
              </w:rPr>
              <w:t>43,42</w:t>
            </w:r>
          </w:p>
        </w:tc>
        <w:tc>
          <w:tcPr>
            <w:tcW w:w="1262" w:type="dxa"/>
            <w:vAlign w:val="center"/>
          </w:tcPr>
          <w:p w:rsidR="00000000" w:rsidRDefault="00000000">
            <w:pPr>
              <w:tabs>
                <w:tab w:val="decimal" w:pos="454"/>
              </w:tabs>
              <w:spacing w:before="60" w:after="60"/>
              <w:jc w:val="right"/>
              <w:rPr>
                <w:b/>
                <w:bCs/>
                <w:szCs w:val="21"/>
                <w:lang w:val="es-ES_tradnl"/>
              </w:rPr>
            </w:pPr>
            <w:r>
              <w:rPr>
                <w:b/>
                <w:bCs/>
                <w:szCs w:val="21"/>
                <w:lang w:val="es-ES_tradnl"/>
              </w:rPr>
              <w:t>42,76</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Domestique</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56,10</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62,49</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52,99</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53,17</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50,45</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Étatique</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34,30</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32,74</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33,14</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33,89</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38,08</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Familial</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42,90</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44,64</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36,37</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42,14</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41,02</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Semi</w:t>
            </w:r>
            <w:r>
              <w:rPr>
                <w:lang w:val="fr-FR"/>
              </w:rPr>
              <w:noBreakHyphen/>
              <w:t>entreprise</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44,20</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41,26</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43,79</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48,50</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49,65</w:t>
            </w:r>
          </w:p>
        </w:tc>
      </w:tr>
      <w:tr w:rsidR="00000000">
        <w:tblPrEx>
          <w:tblCellMar>
            <w:top w:w="0" w:type="dxa"/>
            <w:bottom w:w="0" w:type="dxa"/>
          </w:tblCellMar>
        </w:tblPrEx>
        <w:tc>
          <w:tcPr>
            <w:tcW w:w="3190" w:type="dxa"/>
            <w:tcBorders>
              <w:top w:val="nil"/>
            </w:tcBorders>
            <w:vAlign w:val="bottom"/>
          </w:tcPr>
          <w:p w:rsidR="00000000" w:rsidRDefault="00000000">
            <w:pPr>
              <w:widowControl w:val="0"/>
              <w:autoSpaceDE w:val="0"/>
              <w:autoSpaceDN w:val="0"/>
              <w:adjustRightInd w:val="0"/>
              <w:spacing w:before="60" w:after="60"/>
              <w:ind w:left="284"/>
              <w:rPr>
                <w:lang w:val="fr-FR"/>
              </w:rPr>
            </w:pPr>
            <w:r>
              <w:rPr>
                <w:lang w:val="fr-FR"/>
              </w:rPr>
              <w:t>Entreprise</w:t>
            </w:r>
          </w:p>
        </w:tc>
        <w:tc>
          <w:tcPr>
            <w:tcW w:w="1261" w:type="dxa"/>
            <w:vAlign w:val="center"/>
          </w:tcPr>
          <w:p w:rsidR="00000000" w:rsidRDefault="00000000">
            <w:pPr>
              <w:tabs>
                <w:tab w:val="decimal" w:pos="567"/>
              </w:tabs>
              <w:spacing w:before="60" w:after="60"/>
              <w:jc w:val="right"/>
              <w:rPr>
                <w:szCs w:val="21"/>
                <w:lang w:val="es-ES_tradnl"/>
              </w:rPr>
            </w:pPr>
            <w:r>
              <w:rPr>
                <w:szCs w:val="21"/>
                <w:lang w:val="es-ES_tradnl"/>
              </w:rPr>
              <w:t>44,30</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42,30</w:t>
            </w:r>
          </w:p>
        </w:tc>
        <w:tc>
          <w:tcPr>
            <w:tcW w:w="1262" w:type="dxa"/>
            <w:vAlign w:val="center"/>
          </w:tcPr>
          <w:p w:rsidR="00000000" w:rsidRDefault="00000000">
            <w:pPr>
              <w:tabs>
                <w:tab w:val="decimal" w:pos="510"/>
              </w:tabs>
              <w:spacing w:before="60" w:after="60"/>
              <w:jc w:val="right"/>
              <w:rPr>
                <w:szCs w:val="21"/>
                <w:lang w:val="es-ES_tradnl"/>
              </w:rPr>
            </w:pPr>
            <w:r>
              <w:rPr>
                <w:szCs w:val="21"/>
                <w:lang w:val="es-ES_tradnl"/>
              </w:rPr>
              <w:t>43,24</w:t>
            </w:r>
          </w:p>
        </w:tc>
        <w:tc>
          <w:tcPr>
            <w:tcW w:w="1261" w:type="dxa"/>
            <w:vAlign w:val="center"/>
          </w:tcPr>
          <w:p w:rsidR="00000000" w:rsidRDefault="00000000">
            <w:pPr>
              <w:tabs>
                <w:tab w:val="decimal" w:pos="510"/>
              </w:tabs>
              <w:spacing w:before="60" w:after="60"/>
              <w:jc w:val="right"/>
              <w:rPr>
                <w:szCs w:val="21"/>
                <w:lang w:val="es-ES_tradnl"/>
              </w:rPr>
            </w:pPr>
            <w:r>
              <w:rPr>
                <w:szCs w:val="21"/>
                <w:lang w:val="es-ES_tradnl"/>
              </w:rPr>
              <w:t>46,59</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45,07</w:t>
            </w:r>
          </w:p>
        </w:tc>
      </w:tr>
    </w:tbl>
    <w:p w:rsidR="00000000" w:rsidRDefault="00000000">
      <w:pPr>
        <w:spacing w:before="240"/>
        <w:ind w:firstLine="567"/>
      </w:pPr>
      <w:r>
        <w:rPr>
          <w:i/>
          <w:iCs/>
        </w:rPr>
        <w:t>Source</w:t>
      </w:r>
      <w:r>
        <w:t>: Institut national de statistique.</w:t>
      </w:r>
    </w:p>
    <w:p w:rsidR="00000000" w:rsidRDefault="00000000">
      <w:pPr>
        <w:spacing w:before="240"/>
      </w:pPr>
      <w:r>
        <w:rPr>
          <w:b/>
          <w:bCs/>
          <w:i/>
          <w:iCs/>
          <w:vertAlign w:val="superscript"/>
        </w:rPr>
        <w:t>p</w:t>
      </w:r>
      <w:r>
        <w:t xml:space="preserve"> Chiffres provisoires.</w:t>
      </w:r>
    </w:p>
    <w:p w:rsidR="00000000" w:rsidRDefault="00000000">
      <w:pPr>
        <w:keepNext/>
        <w:spacing w:after="180"/>
        <w:jc w:val="center"/>
        <w:rPr>
          <w:b/>
          <w:bCs/>
          <w:lang w:val="fr-FR"/>
        </w:rPr>
      </w:pPr>
      <w:r>
        <w:br w:type="page"/>
      </w:r>
      <w:r>
        <w:rPr>
          <w:b/>
          <w:bCs/>
          <w:lang w:val="fr-FR"/>
        </w:rPr>
        <w:t>Tableau 4.2</w:t>
      </w:r>
    </w:p>
    <w:p w:rsidR="00000000" w:rsidRDefault="00000000">
      <w:pPr>
        <w:keepNext/>
        <w:spacing w:after="180"/>
        <w:jc w:val="center"/>
        <w:rPr>
          <w:lang w:val="fr-FR"/>
        </w:rPr>
      </w:pPr>
      <w:r>
        <w:rPr>
          <w:b/>
          <w:bCs/>
          <w:lang w:val="fr-FR"/>
        </w:rPr>
        <w:t>Bolivie − Zones rurales: Moyenne hebdomadaire d’heures de travail dans l’emploi principal, par année, par sexe et par secteur du marché du travail, 1999</w:t>
      </w:r>
      <w:r>
        <w:rPr>
          <w:b/>
          <w:bCs/>
          <w:lang w:val="fr-FR"/>
        </w:rPr>
        <w:noBreakHyphen/>
        <w:t>2003</w:t>
      </w:r>
      <w:r>
        <w:rPr>
          <w:b/>
          <w:bCs/>
          <w:i/>
          <w:iCs/>
          <w:vertAlign w:val="superscript"/>
          <w:lang w:val="fr-FR"/>
        </w:rPr>
        <w:t>p</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1261"/>
        <w:gridCol w:w="1261"/>
        <w:gridCol w:w="1262"/>
        <w:gridCol w:w="1261"/>
        <w:gridCol w:w="1262"/>
      </w:tblGrid>
      <w:tr w:rsidR="00000000">
        <w:tblPrEx>
          <w:tblCellMar>
            <w:top w:w="0" w:type="dxa"/>
            <w:bottom w:w="0" w:type="dxa"/>
          </w:tblCellMar>
        </w:tblPrEx>
        <w:trPr>
          <w:tblHeader/>
        </w:trPr>
        <w:tc>
          <w:tcPr>
            <w:tcW w:w="3190" w:type="dxa"/>
            <w:tcBorders>
              <w:bottom w:val="single" w:sz="4" w:space="0" w:color="auto"/>
            </w:tcBorders>
            <w:vAlign w:val="center"/>
          </w:tcPr>
          <w:p w:rsidR="00000000" w:rsidRDefault="00000000">
            <w:pPr>
              <w:spacing w:before="60" w:after="60"/>
              <w:jc w:val="center"/>
              <w:rPr>
                <w:lang w:val="fr-FR"/>
              </w:rPr>
            </w:pPr>
            <w:r>
              <w:rPr>
                <w:lang w:val="fr-FR"/>
              </w:rPr>
              <w:t>Secteur du marché du travail</w:t>
            </w:r>
          </w:p>
        </w:tc>
        <w:tc>
          <w:tcPr>
            <w:tcW w:w="1261" w:type="dxa"/>
            <w:vAlign w:val="center"/>
          </w:tcPr>
          <w:p w:rsidR="00000000" w:rsidRDefault="00000000">
            <w:pPr>
              <w:keepNext/>
              <w:spacing w:before="60" w:after="60"/>
              <w:jc w:val="center"/>
              <w:rPr>
                <w:lang w:val="fr-FR"/>
              </w:rPr>
            </w:pPr>
            <w:r>
              <w:rPr>
                <w:lang w:val="fr-FR"/>
              </w:rPr>
              <w:t>1999</w:t>
            </w:r>
          </w:p>
        </w:tc>
        <w:tc>
          <w:tcPr>
            <w:tcW w:w="1261" w:type="dxa"/>
            <w:vAlign w:val="center"/>
          </w:tcPr>
          <w:p w:rsidR="00000000" w:rsidRDefault="00000000">
            <w:pPr>
              <w:keepNext/>
              <w:spacing w:before="60" w:after="60"/>
              <w:jc w:val="center"/>
              <w:rPr>
                <w:lang w:val="fr-FR"/>
              </w:rPr>
            </w:pPr>
            <w:r>
              <w:rPr>
                <w:lang w:val="fr-FR"/>
              </w:rPr>
              <w:t>2000</w:t>
            </w:r>
          </w:p>
        </w:tc>
        <w:tc>
          <w:tcPr>
            <w:tcW w:w="1262" w:type="dxa"/>
            <w:vAlign w:val="center"/>
          </w:tcPr>
          <w:p w:rsidR="00000000" w:rsidRDefault="00000000">
            <w:pPr>
              <w:keepNext/>
              <w:spacing w:before="60" w:after="60"/>
              <w:jc w:val="center"/>
              <w:rPr>
                <w:lang w:val="fr-FR"/>
              </w:rPr>
            </w:pPr>
            <w:r>
              <w:rPr>
                <w:lang w:val="fr-FR"/>
              </w:rPr>
              <w:t>2001</w:t>
            </w:r>
          </w:p>
        </w:tc>
        <w:tc>
          <w:tcPr>
            <w:tcW w:w="1261" w:type="dxa"/>
            <w:vAlign w:val="center"/>
          </w:tcPr>
          <w:p w:rsidR="00000000" w:rsidRDefault="00000000">
            <w:pPr>
              <w:keepNext/>
              <w:spacing w:before="60" w:after="60"/>
              <w:jc w:val="center"/>
              <w:rPr>
                <w:lang w:val="fr-FR"/>
              </w:rPr>
            </w:pPr>
            <w:r>
              <w:rPr>
                <w:lang w:val="fr-FR"/>
              </w:rPr>
              <w:t>2002</w:t>
            </w:r>
          </w:p>
        </w:tc>
        <w:tc>
          <w:tcPr>
            <w:tcW w:w="1262" w:type="dxa"/>
            <w:vAlign w:val="center"/>
          </w:tcPr>
          <w:p w:rsidR="00000000" w:rsidRDefault="00000000">
            <w:pPr>
              <w:keepNext/>
              <w:spacing w:before="60" w:after="60"/>
              <w:jc w:val="center"/>
              <w:rPr>
                <w:lang w:val="fr-FR"/>
              </w:rPr>
            </w:pPr>
            <w:r>
              <w:rPr>
                <w:lang w:val="fr-FR"/>
              </w:rPr>
              <w:t>2003</w:t>
            </w:r>
            <w:r>
              <w:rPr>
                <w:b/>
                <w:bCs/>
                <w:i/>
                <w:iCs/>
                <w:vertAlign w:val="superscript"/>
                <w:lang w:val="fr-FR"/>
              </w:rPr>
              <w:t>p</w:t>
            </w:r>
          </w:p>
        </w:tc>
      </w:tr>
      <w:tr w:rsidR="00000000">
        <w:tblPrEx>
          <w:tblCellMar>
            <w:top w:w="0" w:type="dxa"/>
            <w:bottom w:w="0" w:type="dxa"/>
          </w:tblCellMar>
        </w:tblPrEx>
        <w:tc>
          <w:tcPr>
            <w:tcW w:w="3190" w:type="dxa"/>
            <w:tcBorders>
              <w:bottom w:val="nil"/>
            </w:tcBorders>
            <w:vAlign w:val="bottom"/>
          </w:tcPr>
          <w:p w:rsidR="00000000" w:rsidRDefault="00000000">
            <w:pPr>
              <w:pStyle w:val="Header"/>
              <w:spacing w:before="60" w:after="60"/>
              <w:rPr>
                <w:b/>
                <w:bCs/>
                <w:lang w:val="fr-FR"/>
              </w:rPr>
            </w:pPr>
            <w:r>
              <w:rPr>
                <w:b/>
                <w:bCs/>
                <w:lang w:val="fr-FR"/>
              </w:rPr>
              <w:t>TOTAL</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38,95</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41,84</w:t>
            </w:r>
          </w:p>
        </w:tc>
        <w:tc>
          <w:tcPr>
            <w:tcW w:w="1262" w:type="dxa"/>
            <w:vAlign w:val="center"/>
          </w:tcPr>
          <w:p w:rsidR="00000000" w:rsidRDefault="00000000">
            <w:pPr>
              <w:tabs>
                <w:tab w:val="decimal" w:pos="454"/>
              </w:tabs>
              <w:spacing w:before="60" w:after="60"/>
              <w:jc w:val="right"/>
              <w:rPr>
                <w:b/>
                <w:bCs/>
                <w:szCs w:val="21"/>
                <w:lang w:val="es-ES_tradnl"/>
              </w:rPr>
            </w:pPr>
            <w:r>
              <w:rPr>
                <w:b/>
                <w:bCs/>
                <w:szCs w:val="21"/>
                <w:lang w:val="es-ES_tradnl"/>
              </w:rPr>
              <w:t>35,85</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38,15</w:t>
            </w:r>
          </w:p>
        </w:tc>
        <w:tc>
          <w:tcPr>
            <w:tcW w:w="1262" w:type="dxa"/>
            <w:vAlign w:val="center"/>
          </w:tcPr>
          <w:p w:rsidR="00000000" w:rsidRDefault="00000000">
            <w:pPr>
              <w:tabs>
                <w:tab w:val="decimal" w:pos="397"/>
              </w:tabs>
              <w:spacing w:before="60" w:after="60"/>
              <w:jc w:val="right"/>
              <w:rPr>
                <w:b/>
                <w:bCs/>
                <w:szCs w:val="21"/>
                <w:lang w:val="es-ES_tradnl"/>
              </w:rPr>
            </w:pPr>
            <w:r>
              <w:rPr>
                <w:b/>
                <w:bCs/>
                <w:szCs w:val="21"/>
                <w:lang w:val="es-ES_tradnl"/>
              </w:rPr>
              <w:t>39,08</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Domestique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54,82</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68,81</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57,49</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57,35</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53,85</w:t>
            </w:r>
          </w:p>
        </w:tc>
      </w:tr>
      <w:tr w:rsidR="00000000">
        <w:tblPrEx>
          <w:tblCellMar>
            <w:top w:w="0" w:type="dxa"/>
            <w:bottom w:w="0" w:type="dxa"/>
          </w:tblCellMar>
        </w:tblPrEx>
        <w:tc>
          <w:tcPr>
            <w:tcW w:w="3190" w:type="dxa"/>
            <w:tcBorders>
              <w:top w:val="nil"/>
              <w:bottom w:val="nil"/>
            </w:tcBorders>
            <w:vAlign w:val="bottom"/>
          </w:tcPr>
          <w:p w:rsidR="00000000" w:rsidRDefault="00000000">
            <w:pPr>
              <w:pStyle w:val="Header"/>
              <w:widowControl w:val="0"/>
              <w:autoSpaceDE w:val="0"/>
              <w:autoSpaceDN w:val="0"/>
              <w:adjustRightInd w:val="0"/>
              <w:spacing w:before="60" w:after="60"/>
              <w:ind w:left="284"/>
              <w:rPr>
                <w:lang w:val="fr-FR"/>
              </w:rPr>
            </w:pPr>
            <w:r>
              <w:rPr>
                <w:lang w:val="fr-FR"/>
              </w:rPr>
              <w:t>Étatique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37,20</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34,35</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37,37</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39,60</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32,50</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Familial</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38,16</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41,54</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34,58</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36,94</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37,79</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Semi</w:t>
            </w:r>
            <w:r>
              <w:rPr>
                <w:lang w:val="fr-FR"/>
              </w:rPr>
              <w:noBreakHyphen/>
              <w:t>entreprise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46,22</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46,97</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41,88</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44,22</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42,87</w:t>
            </w:r>
          </w:p>
        </w:tc>
      </w:tr>
      <w:tr w:rsidR="00000000">
        <w:tblPrEx>
          <w:tblCellMar>
            <w:top w:w="0" w:type="dxa"/>
            <w:bottom w:w="0" w:type="dxa"/>
          </w:tblCellMar>
        </w:tblPrEx>
        <w:tc>
          <w:tcPr>
            <w:tcW w:w="3190" w:type="dxa"/>
            <w:tcBorders>
              <w:top w:val="nil"/>
              <w:bottom w:val="single" w:sz="4" w:space="0" w:color="auto"/>
            </w:tcBorders>
            <w:vAlign w:val="bottom"/>
          </w:tcPr>
          <w:p w:rsidR="00000000" w:rsidRDefault="00000000">
            <w:pPr>
              <w:widowControl w:val="0"/>
              <w:autoSpaceDE w:val="0"/>
              <w:autoSpaceDN w:val="0"/>
              <w:adjustRightInd w:val="0"/>
              <w:spacing w:before="60" w:after="60"/>
              <w:ind w:left="284"/>
              <w:rPr>
                <w:lang w:val="fr-FR"/>
              </w:rPr>
            </w:pPr>
            <w:r>
              <w:rPr>
                <w:lang w:val="fr-FR"/>
              </w:rPr>
              <w:t>Entreprise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47,12</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49,30</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48,95</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48,57</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53,95</w:t>
            </w:r>
          </w:p>
        </w:tc>
      </w:tr>
      <w:tr w:rsidR="00000000">
        <w:tblPrEx>
          <w:tblCellMar>
            <w:top w:w="0" w:type="dxa"/>
            <w:bottom w:w="0" w:type="dxa"/>
          </w:tblCellMar>
        </w:tblPrEx>
        <w:tc>
          <w:tcPr>
            <w:tcW w:w="3190" w:type="dxa"/>
            <w:tcBorders>
              <w:bottom w:val="nil"/>
            </w:tcBorders>
            <w:vAlign w:val="bottom"/>
          </w:tcPr>
          <w:p w:rsidR="00000000" w:rsidRDefault="00000000">
            <w:pPr>
              <w:spacing w:before="60" w:after="60"/>
              <w:rPr>
                <w:b/>
                <w:bCs/>
                <w:lang w:val="fr-FR"/>
              </w:rPr>
            </w:pPr>
            <w:r>
              <w:rPr>
                <w:b/>
                <w:bCs/>
                <w:lang w:val="fr-FR"/>
              </w:rPr>
              <w:t>HOMMES</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39,76</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43,31</w:t>
            </w:r>
          </w:p>
        </w:tc>
        <w:tc>
          <w:tcPr>
            <w:tcW w:w="1262" w:type="dxa"/>
            <w:vAlign w:val="center"/>
          </w:tcPr>
          <w:p w:rsidR="00000000" w:rsidRDefault="00000000">
            <w:pPr>
              <w:tabs>
                <w:tab w:val="decimal" w:pos="454"/>
              </w:tabs>
              <w:spacing w:before="60" w:after="60"/>
              <w:jc w:val="right"/>
              <w:rPr>
                <w:b/>
                <w:bCs/>
                <w:szCs w:val="21"/>
                <w:lang w:val="es-ES_tradnl"/>
              </w:rPr>
            </w:pPr>
            <w:r>
              <w:rPr>
                <w:b/>
                <w:bCs/>
                <w:szCs w:val="21"/>
                <w:lang w:val="es-ES_tradnl"/>
              </w:rPr>
              <w:t>38,36</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40,32</w:t>
            </w:r>
          </w:p>
        </w:tc>
        <w:tc>
          <w:tcPr>
            <w:tcW w:w="1262" w:type="dxa"/>
            <w:vAlign w:val="center"/>
          </w:tcPr>
          <w:p w:rsidR="00000000" w:rsidRDefault="00000000">
            <w:pPr>
              <w:tabs>
                <w:tab w:val="decimal" w:pos="397"/>
              </w:tabs>
              <w:spacing w:before="60" w:after="60"/>
              <w:jc w:val="right"/>
              <w:rPr>
                <w:b/>
                <w:bCs/>
                <w:szCs w:val="21"/>
                <w:lang w:val="es-ES_tradnl"/>
              </w:rPr>
            </w:pPr>
            <w:r>
              <w:rPr>
                <w:b/>
                <w:bCs/>
                <w:szCs w:val="21"/>
                <w:lang w:val="es-ES_tradnl"/>
              </w:rPr>
              <w:t>41,47</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Domestique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70,00</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84,00</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42,99</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48,00</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60,00</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Étatique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35,48</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36,58</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39,97</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43,88</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33,63</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Familial</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38,57</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42,78</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36,99</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38,54</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39,78</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Semi</w:t>
            </w:r>
            <w:r>
              <w:rPr>
                <w:lang w:val="fr-FR"/>
              </w:rPr>
              <w:noBreakHyphen/>
              <w:t>entreprise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47,87</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48,74</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42,77</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46,36</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44,22</w:t>
            </w:r>
          </w:p>
        </w:tc>
      </w:tr>
      <w:tr w:rsidR="00000000">
        <w:tblPrEx>
          <w:tblCellMar>
            <w:top w:w="0" w:type="dxa"/>
            <w:bottom w:w="0" w:type="dxa"/>
          </w:tblCellMar>
        </w:tblPrEx>
        <w:tc>
          <w:tcPr>
            <w:tcW w:w="3190" w:type="dxa"/>
            <w:tcBorders>
              <w:top w:val="nil"/>
              <w:bottom w:val="single" w:sz="4" w:space="0" w:color="auto"/>
            </w:tcBorders>
            <w:vAlign w:val="bottom"/>
          </w:tcPr>
          <w:p w:rsidR="00000000" w:rsidRDefault="00000000">
            <w:pPr>
              <w:widowControl w:val="0"/>
              <w:autoSpaceDE w:val="0"/>
              <w:autoSpaceDN w:val="0"/>
              <w:adjustRightInd w:val="0"/>
              <w:spacing w:before="60" w:after="60"/>
              <w:ind w:left="284"/>
              <w:rPr>
                <w:lang w:val="fr-FR"/>
              </w:rPr>
            </w:pPr>
            <w:r>
              <w:rPr>
                <w:lang w:val="fr-FR"/>
              </w:rPr>
              <w:t>Entreprise</w:t>
            </w:r>
          </w:p>
        </w:tc>
        <w:tc>
          <w:tcPr>
            <w:tcW w:w="1261" w:type="dxa"/>
            <w:tcBorders>
              <w:bottom w:val="single" w:sz="4" w:space="0" w:color="auto"/>
            </w:tcBorders>
            <w:vAlign w:val="center"/>
          </w:tcPr>
          <w:p w:rsidR="00000000" w:rsidRDefault="00000000">
            <w:pPr>
              <w:tabs>
                <w:tab w:val="decimal" w:pos="454"/>
              </w:tabs>
              <w:spacing w:before="60" w:after="60"/>
              <w:jc w:val="right"/>
              <w:rPr>
                <w:szCs w:val="21"/>
                <w:lang w:val="es-ES_tradnl"/>
              </w:rPr>
            </w:pPr>
            <w:r>
              <w:rPr>
                <w:szCs w:val="21"/>
                <w:lang w:val="es-ES_tradnl"/>
              </w:rPr>
              <w:t>48,29</w:t>
            </w:r>
          </w:p>
        </w:tc>
        <w:tc>
          <w:tcPr>
            <w:tcW w:w="1261" w:type="dxa"/>
            <w:tcBorders>
              <w:bottom w:val="single" w:sz="4" w:space="0" w:color="auto"/>
            </w:tcBorders>
            <w:vAlign w:val="center"/>
          </w:tcPr>
          <w:p w:rsidR="00000000" w:rsidRDefault="00000000">
            <w:pPr>
              <w:tabs>
                <w:tab w:val="decimal" w:pos="454"/>
              </w:tabs>
              <w:spacing w:before="60" w:after="60"/>
              <w:jc w:val="right"/>
              <w:rPr>
                <w:szCs w:val="21"/>
                <w:lang w:val="es-ES_tradnl"/>
              </w:rPr>
            </w:pPr>
            <w:r>
              <w:rPr>
                <w:szCs w:val="21"/>
                <w:lang w:val="es-ES_tradnl"/>
              </w:rPr>
              <w:t>51,65</w:t>
            </w:r>
          </w:p>
        </w:tc>
        <w:tc>
          <w:tcPr>
            <w:tcW w:w="1262" w:type="dxa"/>
            <w:tcBorders>
              <w:bottom w:val="single" w:sz="4" w:space="0" w:color="auto"/>
            </w:tcBorders>
            <w:vAlign w:val="center"/>
          </w:tcPr>
          <w:p w:rsidR="00000000" w:rsidRDefault="00000000">
            <w:pPr>
              <w:tabs>
                <w:tab w:val="decimal" w:pos="454"/>
              </w:tabs>
              <w:spacing w:before="60" w:after="60"/>
              <w:jc w:val="right"/>
              <w:rPr>
                <w:szCs w:val="21"/>
                <w:lang w:val="es-ES_tradnl"/>
              </w:rPr>
            </w:pPr>
            <w:r>
              <w:rPr>
                <w:szCs w:val="21"/>
                <w:lang w:val="es-ES_tradnl"/>
              </w:rPr>
              <w:t>48,82</w:t>
            </w:r>
          </w:p>
        </w:tc>
        <w:tc>
          <w:tcPr>
            <w:tcW w:w="1261" w:type="dxa"/>
            <w:tcBorders>
              <w:bottom w:val="single" w:sz="4" w:space="0" w:color="auto"/>
            </w:tcBorders>
            <w:vAlign w:val="center"/>
          </w:tcPr>
          <w:p w:rsidR="00000000" w:rsidRDefault="00000000">
            <w:pPr>
              <w:tabs>
                <w:tab w:val="decimal" w:pos="454"/>
              </w:tabs>
              <w:spacing w:before="60" w:after="60"/>
              <w:jc w:val="right"/>
              <w:rPr>
                <w:szCs w:val="21"/>
                <w:lang w:val="es-ES_tradnl"/>
              </w:rPr>
            </w:pPr>
            <w:r>
              <w:rPr>
                <w:szCs w:val="21"/>
                <w:lang w:val="es-ES_tradnl"/>
              </w:rPr>
              <w:t>50,34</w:t>
            </w:r>
          </w:p>
        </w:tc>
        <w:tc>
          <w:tcPr>
            <w:tcW w:w="1262" w:type="dxa"/>
            <w:tcBorders>
              <w:bottom w:val="single" w:sz="4" w:space="0" w:color="auto"/>
            </w:tcBorders>
            <w:vAlign w:val="center"/>
          </w:tcPr>
          <w:p w:rsidR="00000000" w:rsidRDefault="00000000">
            <w:pPr>
              <w:tabs>
                <w:tab w:val="decimal" w:pos="397"/>
              </w:tabs>
              <w:spacing w:before="60" w:after="60"/>
              <w:jc w:val="right"/>
              <w:rPr>
                <w:szCs w:val="21"/>
                <w:lang w:val="es-ES_tradnl"/>
              </w:rPr>
            </w:pPr>
            <w:r>
              <w:rPr>
                <w:szCs w:val="21"/>
                <w:lang w:val="es-ES_tradnl"/>
              </w:rPr>
              <w:t>54,14</w:t>
            </w:r>
          </w:p>
        </w:tc>
      </w:tr>
      <w:tr w:rsidR="00000000">
        <w:tblPrEx>
          <w:tblCellMar>
            <w:top w:w="0" w:type="dxa"/>
            <w:bottom w:w="0" w:type="dxa"/>
          </w:tblCellMar>
        </w:tblPrEx>
        <w:tc>
          <w:tcPr>
            <w:tcW w:w="3190" w:type="dxa"/>
            <w:tcBorders>
              <w:bottom w:val="nil"/>
            </w:tcBorders>
            <w:vAlign w:val="bottom"/>
          </w:tcPr>
          <w:p w:rsidR="00000000" w:rsidRDefault="00000000">
            <w:pPr>
              <w:spacing w:before="60" w:after="60"/>
              <w:rPr>
                <w:b/>
                <w:bCs/>
                <w:lang w:val="fr-FR"/>
              </w:rPr>
            </w:pPr>
            <w:r>
              <w:rPr>
                <w:b/>
                <w:bCs/>
                <w:lang w:val="fr-FR"/>
              </w:rPr>
              <w:t>FEMMES</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38,00</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39,99</w:t>
            </w:r>
          </w:p>
        </w:tc>
        <w:tc>
          <w:tcPr>
            <w:tcW w:w="1262" w:type="dxa"/>
            <w:vAlign w:val="center"/>
          </w:tcPr>
          <w:p w:rsidR="00000000" w:rsidRDefault="00000000">
            <w:pPr>
              <w:tabs>
                <w:tab w:val="decimal" w:pos="454"/>
              </w:tabs>
              <w:spacing w:before="60" w:after="60"/>
              <w:jc w:val="right"/>
              <w:rPr>
                <w:b/>
                <w:bCs/>
                <w:szCs w:val="21"/>
                <w:lang w:val="es-ES_tradnl"/>
              </w:rPr>
            </w:pPr>
            <w:r>
              <w:rPr>
                <w:b/>
                <w:bCs/>
                <w:szCs w:val="21"/>
                <w:lang w:val="es-ES_tradnl"/>
              </w:rPr>
              <w:t>32,68</w:t>
            </w:r>
          </w:p>
        </w:tc>
        <w:tc>
          <w:tcPr>
            <w:tcW w:w="1261" w:type="dxa"/>
            <w:vAlign w:val="center"/>
          </w:tcPr>
          <w:p w:rsidR="00000000" w:rsidRDefault="00000000">
            <w:pPr>
              <w:tabs>
                <w:tab w:val="decimal" w:pos="454"/>
              </w:tabs>
              <w:spacing w:before="60" w:after="60"/>
              <w:jc w:val="right"/>
              <w:rPr>
                <w:b/>
                <w:bCs/>
                <w:szCs w:val="21"/>
                <w:lang w:val="es-ES_tradnl"/>
              </w:rPr>
            </w:pPr>
            <w:r>
              <w:rPr>
                <w:b/>
                <w:bCs/>
                <w:szCs w:val="21"/>
                <w:lang w:val="es-ES_tradnl"/>
              </w:rPr>
              <w:t>35,13</w:t>
            </w:r>
          </w:p>
        </w:tc>
        <w:tc>
          <w:tcPr>
            <w:tcW w:w="1262" w:type="dxa"/>
            <w:vAlign w:val="center"/>
          </w:tcPr>
          <w:p w:rsidR="00000000" w:rsidRDefault="00000000">
            <w:pPr>
              <w:tabs>
                <w:tab w:val="decimal" w:pos="397"/>
              </w:tabs>
              <w:spacing w:before="60" w:after="60"/>
              <w:jc w:val="right"/>
              <w:rPr>
                <w:b/>
                <w:bCs/>
                <w:szCs w:val="21"/>
                <w:lang w:val="es-ES_tradnl"/>
              </w:rPr>
            </w:pPr>
            <w:r>
              <w:rPr>
                <w:b/>
                <w:bCs/>
                <w:szCs w:val="21"/>
                <w:lang w:val="es-ES_tradnl"/>
              </w:rPr>
              <w:t>36,05</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Domestique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54,09</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67,37</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57,78</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58,08</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52,92</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Étatique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39,44</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30,81</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33,37</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32,36</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30,05</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Familial</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37,73</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40,10</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31,86</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35,02</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35,75</w:t>
            </w:r>
          </w:p>
        </w:tc>
      </w:tr>
      <w:tr w:rsidR="00000000">
        <w:tblPrEx>
          <w:tblCellMar>
            <w:top w:w="0" w:type="dxa"/>
            <w:bottom w:w="0" w:type="dxa"/>
          </w:tblCellMar>
        </w:tblPrEx>
        <w:tc>
          <w:tcPr>
            <w:tcW w:w="3190" w:type="dxa"/>
            <w:tcBorders>
              <w:top w:val="nil"/>
              <w:bottom w:val="nil"/>
            </w:tcBorders>
            <w:vAlign w:val="bottom"/>
          </w:tcPr>
          <w:p w:rsidR="00000000" w:rsidRDefault="00000000">
            <w:pPr>
              <w:widowControl w:val="0"/>
              <w:autoSpaceDE w:val="0"/>
              <w:autoSpaceDN w:val="0"/>
              <w:adjustRightInd w:val="0"/>
              <w:spacing w:before="60" w:after="60"/>
              <w:ind w:left="284"/>
              <w:rPr>
                <w:lang w:val="fr-FR"/>
              </w:rPr>
            </w:pPr>
            <w:r>
              <w:rPr>
                <w:lang w:val="fr-FR"/>
              </w:rPr>
              <w:t>Semi</w:t>
            </w:r>
            <w:r>
              <w:rPr>
                <w:lang w:val="fr-FR"/>
              </w:rPr>
              <w:noBreakHyphen/>
              <w:t>entreprise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41,09</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39,62</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37,55</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32,37</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35,11</w:t>
            </w:r>
          </w:p>
        </w:tc>
      </w:tr>
      <w:tr w:rsidR="00000000">
        <w:tblPrEx>
          <w:tblCellMar>
            <w:top w:w="0" w:type="dxa"/>
            <w:bottom w:w="0" w:type="dxa"/>
          </w:tblCellMar>
        </w:tblPrEx>
        <w:tc>
          <w:tcPr>
            <w:tcW w:w="3190" w:type="dxa"/>
            <w:tcBorders>
              <w:top w:val="nil"/>
            </w:tcBorders>
            <w:vAlign w:val="bottom"/>
          </w:tcPr>
          <w:p w:rsidR="00000000" w:rsidRDefault="00000000">
            <w:pPr>
              <w:widowControl w:val="0"/>
              <w:autoSpaceDE w:val="0"/>
              <w:autoSpaceDN w:val="0"/>
              <w:adjustRightInd w:val="0"/>
              <w:spacing w:before="60" w:after="60"/>
              <w:ind w:left="284"/>
              <w:rPr>
                <w:lang w:val="fr-FR"/>
              </w:rPr>
            </w:pPr>
            <w:r>
              <w:rPr>
                <w:lang w:val="fr-FR"/>
              </w:rPr>
              <w:t>Entreprise</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36,00</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30,00</w:t>
            </w:r>
          </w:p>
        </w:tc>
        <w:tc>
          <w:tcPr>
            <w:tcW w:w="1262" w:type="dxa"/>
            <w:vAlign w:val="center"/>
          </w:tcPr>
          <w:p w:rsidR="00000000" w:rsidRDefault="00000000">
            <w:pPr>
              <w:tabs>
                <w:tab w:val="decimal" w:pos="454"/>
              </w:tabs>
              <w:spacing w:before="60" w:after="60"/>
              <w:jc w:val="right"/>
              <w:rPr>
                <w:szCs w:val="21"/>
                <w:lang w:val="es-ES_tradnl"/>
              </w:rPr>
            </w:pPr>
            <w:r>
              <w:rPr>
                <w:szCs w:val="21"/>
                <w:lang w:val="es-ES_tradnl"/>
              </w:rPr>
              <w:t>49,53</w:t>
            </w:r>
          </w:p>
        </w:tc>
        <w:tc>
          <w:tcPr>
            <w:tcW w:w="1261" w:type="dxa"/>
            <w:vAlign w:val="center"/>
          </w:tcPr>
          <w:p w:rsidR="00000000" w:rsidRDefault="00000000">
            <w:pPr>
              <w:tabs>
                <w:tab w:val="decimal" w:pos="454"/>
              </w:tabs>
              <w:spacing w:before="60" w:after="60"/>
              <w:jc w:val="right"/>
              <w:rPr>
                <w:szCs w:val="21"/>
                <w:lang w:val="es-ES_tradnl"/>
              </w:rPr>
            </w:pPr>
            <w:r>
              <w:rPr>
                <w:szCs w:val="21"/>
                <w:lang w:val="es-ES_tradnl"/>
              </w:rPr>
              <w:t>38,73</w:t>
            </w:r>
          </w:p>
        </w:tc>
        <w:tc>
          <w:tcPr>
            <w:tcW w:w="1262" w:type="dxa"/>
            <w:vAlign w:val="center"/>
          </w:tcPr>
          <w:p w:rsidR="00000000" w:rsidRDefault="00000000">
            <w:pPr>
              <w:tabs>
                <w:tab w:val="decimal" w:pos="397"/>
              </w:tabs>
              <w:spacing w:before="60" w:after="60"/>
              <w:jc w:val="right"/>
              <w:rPr>
                <w:szCs w:val="21"/>
                <w:lang w:val="es-ES_tradnl"/>
              </w:rPr>
            </w:pPr>
            <w:r>
              <w:rPr>
                <w:szCs w:val="21"/>
                <w:lang w:val="es-ES_tradnl"/>
              </w:rPr>
              <w:t>52,47</w:t>
            </w:r>
          </w:p>
        </w:tc>
      </w:tr>
    </w:tbl>
    <w:p w:rsidR="00000000" w:rsidRDefault="00000000">
      <w:pPr>
        <w:spacing w:before="240"/>
        <w:ind w:firstLine="567"/>
      </w:pPr>
      <w:r>
        <w:rPr>
          <w:i/>
          <w:iCs/>
        </w:rPr>
        <w:t>Source</w:t>
      </w:r>
      <w:r>
        <w:t>: Institut national de statistique.</w:t>
      </w:r>
    </w:p>
    <w:p w:rsidR="00000000" w:rsidRDefault="00000000">
      <w:pPr>
        <w:spacing w:before="240"/>
      </w:pPr>
      <w:r>
        <w:rPr>
          <w:b/>
          <w:bCs/>
          <w:i/>
          <w:iCs/>
          <w:vertAlign w:val="superscript"/>
        </w:rPr>
        <w:t>p</w:t>
      </w:r>
      <w:r>
        <w:t xml:space="preserve"> Chiffres provisoires.</w:t>
      </w:r>
    </w:p>
    <w:p w:rsidR="00000000" w:rsidRDefault="00000000">
      <w:pPr>
        <w:spacing w:after="240"/>
      </w:pPr>
      <w:r>
        <w:br w:type="page"/>
        <w:t>46.</w:t>
      </w:r>
      <w:r>
        <w:tab/>
        <w:t>Dialogue national sur la productivité en Bolivie.  On trouvera en annexe une information sur disquette concernant le programme du Dialogue national sur la productivité en Bolivie, qui a pour objet de contribuer à la lutte contre la pauvreté.</w:t>
      </w:r>
    </w:p>
    <w:p w:rsidR="00000000" w:rsidRDefault="00000000">
      <w:pPr>
        <w:spacing w:after="240"/>
        <w:ind w:left="567"/>
        <w:rPr>
          <w:b/>
          <w:bCs/>
        </w:rPr>
      </w:pPr>
      <w:r>
        <w:rPr>
          <w:b/>
          <w:bCs/>
        </w:rPr>
        <w:t>33.</w:t>
      </w:r>
      <w:r>
        <w:rPr>
          <w:b/>
          <w:bCs/>
        </w:rPr>
        <w:tab/>
        <w:t>Le Comité invite l’État partie à assurer aux travailleurs domestiques des conditions de travail justes et favorables, notamment en matière de repos journalier et hebdomadaire, de congés payés annuels, de conditions de licenciement, de prestations sociales et de rémunération.</w:t>
      </w:r>
    </w:p>
    <w:p w:rsidR="00000000" w:rsidRDefault="00000000">
      <w:pPr>
        <w:spacing w:after="240"/>
      </w:pPr>
      <w:r>
        <w:t>47.</w:t>
      </w:r>
      <w:r>
        <w:tab/>
        <w:t xml:space="preserve">Par la loi </w:t>
      </w:r>
      <w:r>
        <w:rPr>
          <w:rFonts w:eastAsia="MS Mincho"/>
        </w:rPr>
        <w:t>n</w:t>
      </w:r>
      <w:r>
        <w:rPr>
          <w:rFonts w:eastAsia="MS Mincho"/>
          <w:vertAlign w:val="superscript"/>
        </w:rPr>
        <w:t>o</w:t>
      </w:r>
      <w:r>
        <w:t xml:space="preserve"> 2450 sur la réglementation du travail des employés de maison, l’État a accordé à ces travailleurs des conditions comparables à celles qui sont prévues par la loi générale sur le travail, c’est-à-dire des conditions conformes aux demandes du Comité.</w:t>
      </w:r>
    </w:p>
    <w:p w:rsidR="00000000" w:rsidRDefault="00000000">
      <w:pPr>
        <w:spacing w:after="240"/>
      </w:pPr>
      <w:r>
        <w:t>48.</w:t>
      </w:r>
      <w:r>
        <w:tab/>
        <w:t>La loi susmentionnée prévoit que les employés de maison doivent être affiliés à la Caisse nationale d’assurance maladie; la journée de travail est de dix heures pour les employés qui habitent chez l’employeur et de huit heures pour ceux qui n’y habitent pas; tout travailleur a droit à un jour de congé par semaine; ils bénéficient des vacances prévues dans la loi générale sur le travail; en cas de cessation injustifiée des cotisations sociales, le travailleur a le droit de demander le versement des prestations sociales au juge du travail et de la sécurité sociale.</w:t>
      </w:r>
    </w:p>
    <w:p w:rsidR="00000000" w:rsidRDefault="00000000">
      <w:pPr>
        <w:keepNext/>
        <w:spacing w:after="240"/>
        <w:rPr>
          <w:b/>
          <w:bCs/>
        </w:rPr>
      </w:pPr>
      <w:r>
        <w:rPr>
          <w:b/>
          <w:bCs/>
        </w:rPr>
        <w:t>Droit de toute personne à la sécurité sociale, y compris à l’assurance sociale</w:t>
      </w:r>
    </w:p>
    <w:p w:rsidR="00000000" w:rsidRDefault="00000000">
      <w:pPr>
        <w:spacing w:after="240"/>
      </w:pPr>
      <w:r>
        <w:t>49.</w:t>
      </w:r>
      <w:r>
        <w:tab/>
        <w:t>Tous les mois, les caisses d’assurance maladie (assurance sociale à court terme) et les caisses de retraite (AFP, sécurité sociale à long terme) reçoivent et examinent les bordereaux de salaire afin de vérifier le versement effectif des cotisations patronales et des cotisations des travailleurs.</w:t>
      </w:r>
    </w:p>
    <w:p w:rsidR="00000000" w:rsidRDefault="00000000">
      <w:pPr>
        <w:spacing w:after="240"/>
      </w:pPr>
      <w:r>
        <w:t>50.</w:t>
      </w:r>
      <w:r>
        <w:tab/>
        <w:t xml:space="preserve">Le Ministère du travail accomplit la même tâche mais tous les trois mois, en vérifiant entre autres choses les cotisations à l’assurance sociale à court terme (assurance maladie) et à long terme (AFP); pour assurer l’efficacité du contrôle exercé par les trois entités, on procède à un recoupement d’informations en vertu de la Résolution ministérielle </w:t>
      </w:r>
      <w:r>
        <w:rPr>
          <w:rFonts w:eastAsia="MS Mincho"/>
        </w:rPr>
        <w:t>n</w:t>
      </w:r>
      <w:r>
        <w:rPr>
          <w:rFonts w:eastAsia="MS Mincho"/>
          <w:vertAlign w:val="superscript"/>
        </w:rPr>
        <w:t>o</w:t>
      </w:r>
      <w:r>
        <w:t xml:space="preserve"> 001/04 du 13 janvier 2004.</w:t>
      </w:r>
    </w:p>
    <w:p w:rsidR="00000000" w:rsidRDefault="00000000">
      <w:pPr>
        <w:spacing w:after="240"/>
      </w:pPr>
      <w:r>
        <w:t>51.</w:t>
      </w:r>
      <w:r>
        <w:tab/>
        <w:t>Par ailleurs, les tribunaux du travail et de la sécurité sociale sont habilités à demander l’information détenue par les trois institutions pour régler des litiges. En ce qui concerne cet aspect du domaine de la santé, on peut dire ce qui suit:</w:t>
      </w:r>
    </w:p>
    <w:p w:rsidR="00000000" w:rsidRDefault="00000000">
      <w:pPr>
        <w:keepNext/>
        <w:spacing w:after="240"/>
        <w:ind w:left="567"/>
        <w:rPr>
          <w:b/>
          <w:bCs/>
        </w:rPr>
      </w:pPr>
      <w:r>
        <w:rPr>
          <w:b/>
          <w:bCs/>
        </w:rPr>
        <w:t>Historique</w:t>
      </w:r>
    </w:p>
    <w:p w:rsidR="00000000" w:rsidRDefault="00000000">
      <w:pPr>
        <w:spacing w:after="240"/>
        <w:ind w:left="567"/>
      </w:pPr>
      <w:r>
        <w:t>1.</w:t>
      </w:r>
      <w:r>
        <w:tab/>
        <w:t>La Bolivie est un État partie au Pacte international relatif aux droits économiques, sociaux et culturels qui garantit la sécurité et l’hygiène du travail et le droit à la sécurité sociale; à ce titre, il a l’obligation de satisfaire les besoins de la population en matière de protection du capital humain et de sa santé, selon les principes de l’universalité, de la solidarité, de l’unité d’action, de l’économie, de l’égalité des chances et de l’efficacité.</w:t>
      </w:r>
    </w:p>
    <w:p w:rsidR="00000000" w:rsidRDefault="00000000">
      <w:pPr>
        <w:spacing w:after="240"/>
        <w:ind w:left="567"/>
      </w:pPr>
      <w:r>
        <w:t>2.</w:t>
      </w:r>
      <w:r>
        <w:tab/>
        <w:t xml:space="preserve">À ce sujet, l’Institut national des assurances de santé (INASES), en vue d’améliorer la prévention des dommages ou lésions découlant de l’activité professionnelle et de promouvoir la santé des travailleurs, a approuvé par la Résolution administrative </w:t>
      </w:r>
      <w:r>
        <w:rPr>
          <w:rFonts w:eastAsia="MS Mincho"/>
        </w:rPr>
        <w:t>n</w:t>
      </w:r>
      <w:r>
        <w:rPr>
          <w:rFonts w:eastAsia="MS Mincho"/>
          <w:vertAlign w:val="superscript"/>
        </w:rPr>
        <w:t>o</w:t>
      </w:r>
      <w:r>
        <w:t xml:space="preserve"> 026/04 du 22 avril 2004 le manuel relatif à l’organisation, aux fonctions et aux règles de diagnostic et de traitement de la médecine du travail, à l’intention des institutions qui gèrent les assurances maladie à court terme; le manuel vise à concevoir et mettre en œuvre le programme d’assurance contre les risques professionnels dans ses composantes accidents du travail et maladies professionnelles, qui garantit le bien-être physique et mental des travailleurs auprès de tous les organismes d’assurance du pays. </w:t>
      </w:r>
    </w:p>
    <w:p w:rsidR="00000000" w:rsidRDefault="00000000">
      <w:pPr>
        <w:spacing w:after="240"/>
        <w:ind w:left="567"/>
      </w:pPr>
      <w:r>
        <w:t>3.</w:t>
      </w:r>
      <w:r>
        <w:tab/>
        <w:t xml:space="preserve">Cet instrument définit le cadre structurel visé dans l’accord conclu avec l’Organisation internationale du Travail (OIT) et à l’article 7 b) du Pacte international des </w:t>
      </w:r>
      <w:r>
        <w:rPr>
          <w:rFonts w:eastAsia="MS Mincho"/>
        </w:rPr>
        <w:t>Nations Unies</w:t>
      </w:r>
      <w:r>
        <w:t xml:space="preserve"> relatif aux droits économiques, sociaux et culturels, qui traite de l’assurance contre les risques professionnels.</w:t>
      </w:r>
    </w:p>
    <w:p w:rsidR="00000000" w:rsidRDefault="00000000">
      <w:pPr>
        <w:keepNext/>
        <w:spacing w:after="240"/>
        <w:ind w:left="567"/>
        <w:rPr>
          <w:b/>
          <w:bCs/>
        </w:rPr>
      </w:pPr>
      <w:r>
        <w:rPr>
          <w:b/>
          <w:bCs/>
        </w:rPr>
        <w:t>Réalisations</w:t>
      </w:r>
    </w:p>
    <w:p w:rsidR="00000000" w:rsidRDefault="00000000">
      <w:pPr>
        <w:spacing w:after="240"/>
        <w:ind w:left="567" w:firstLine="567"/>
      </w:pPr>
      <w:r>
        <w:t>En ce qui concerne l’article 9 du Pacte international relatif aux droits économiques, sociaux et culturels, les politiques suivantes ont été appliquées dans le pays:</w:t>
      </w:r>
    </w:p>
    <w:p w:rsidR="00000000" w:rsidRDefault="00000000">
      <w:pPr>
        <w:numPr>
          <w:ilvl w:val="0"/>
          <w:numId w:val="110"/>
        </w:numPr>
        <w:spacing w:after="240"/>
      </w:pPr>
      <w:r>
        <w:rPr>
          <w:b/>
          <w:bCs/>
        </w:rPr>
        <w:t>Assurance maladie gratuite de vieillesse</w:t>
      </w:r>
      <w:r>
        <w:t xml:space="preserve">. Le Gouvernement, conscient de la nécessité d’étendre la couverture aux personnes du troisième âge, a créé par la loi </w:t>
      </w:r>
      <w:r>
        <w:rPr>
          <w:rFonts w:eastAsia="MS Mincho"/>
        </w:rPr>
        <w:t>n</w:t>
      </w:r>
      <w:r>
        <w:rPr>
          <w:rFonts w:eastAsia="MS Mincho"/>
          <w:vertAlign w:val="superscript"/>
        </w:rPr>
        <w:t>o</w:t>
      </w:r>
      <w:r>
        <w:t> 1886 du 14 août 1998 l’assurance maladie gratuite de vieillesse. Celle-ci est gérée par les caisses d’assurance maladie à court terme. Actuellement, 176 517 personnes de plus 60 ans sont couvertes par cette assurance (ANUARIO INASES 2004).</w:t>
      </w:r>
    </w:p>
    <w:p w:rsidR="00000000" w:rsidRDefault="00000000">
      <w:pPr>
        <w:numPr>
          <w:ilvl w:val="0"/>
          <w:numId w:val="110"/>
        </w:numPr>
        <w:spacing w:after="240"/>
      </w:pPr>
      <w:r>
        <w:rPr>
          <w:b/>
          <w:bCs/>
        </w:rPr>
        <w:t>Assurance universelle maternelle et infantile</w:t>
      </w:r>
      <w:r>
        <w:t xml:space="preserve">. Par la loi </w:t>
      </w:r>
      <w:r>
        <w:rPr>
          <w:rFonts w:eastAsia="MS Mincho"/>
        </w:rPr>
        <w:t>n</w:t>
      </w:r>
      <w:r>
        <w:rPr>
          <w:rFonts w:eastAsia="MS Mincho"/>
          <w:vertAlign w:val="superscript"/>
        </w:rPr>
        <w:t>o</w:t>
      </w:r>
      <w:r>
        <w:t xml:space="preserve"> 2426 du 21 novembre 2002 a été créée l’assurance universelle maternelle et infantile (SUMI), qui vise la prestation aux femmes de soins de santé, universelle, intégrale et gratuite pendant la grossesse et jusqu’à six mois après l’accouchement et aux enfants de moins de 5 ans. Cette assurance est à la charge des municipalités; le montant de la prime est fonction des prestations accordées et reçues. </w:t>
      </w:r>
    </w:p>
    <w:p w:rsidR="00000000" w:rsidRDefault="00000000">
      <w:pPr>
        <w:numPr>
          <w:ilvl w:val="0"/>
          <w:numId w:val="110"/>
        </w:numPr>
        <w:spacing w:after="240"/>
      </w:pPr>
      <w:r>
        <w:t>On a mis en œuvre une assurance étudiant, qui est gérée par les organismes universitaires de sécurité sociale et qui protège la population estudiantine. À ce sujet, on peut dire ce qui suit:</w:t>
      </w:r>
    </w:p>
    <w:p w:rsidR="00000000" w:rsidRDefault="00000000">
      <w:pPr>
        <w:numPr>
          <w:ilvl w:val="0"/>
          <w:numId w:val="96"/>
        </w:numPr>
        <w:spacing w:after="240"/>
      </w:pPr>
      <w:r>
        <w:t>L’assurance universitaire de Cochabamba comprend 47 921 affiliés;</w:t>
      </w:r>
    </w:p>
    <w:p w:rsidR="00000000" w:rsidRDefault="00000000">
      <w:pPr>
        <w:numPr>
          <w:ilvl w:val="0"/>
          <w:numId w:val="96"/>
        </w:numPr>
        <w:spacing w:after="240"/>
      </w:pPr>
      <w:r>
        <w:t>L’assurance universitaire d’Oruro comprend 17 081 affiliés;</w:t>
      </w:r>
    </w:p>
    <w:p w:rsidR="00000000" w:rsidRDefault="00000000">
      <w:pPr>
        <w:numPr>
          <w:ilvl w:val="0"/>
          <w:numId w:val="96"/>
        </w:numPr>
        <w:spacing w:after="240"/>
      </w:pPr>
      <w:r>
        <w:t xml:space="preserve">L’assurance universitaire de Potosí comprend 13 440 affiliés; </w:t>
      </w:r>
    </w:p>
    <w:p w:rsidR="00000000" w:rsidRDefault="00000000">
      <w:pPr>
        <w:numPr>
          <w:ilvl w:val="0"/>
          <w:numId w:val="96"/>
        </w:numPr>
        <w:spacing w:after="240"/>
      </w:pPr>
      <w:r>
        <w:t>L’assurance universitaire de Trinidad comprend 5 005 affiliés.</w:t>
      </w:r>
    </w:p>
    <w:p w:rsidR="00000000" w:rsidRDefault="00000000">
      <w:pPr>
        <w:numPr>
          <w:ilvl w:val="0"/>
          <w:numId w:val="110"/>
        </w:numPr>
        <w:spacing w:after="240"/>
      </w:pPr>
      <w:r>
        <w:t>On a élaboré un projet de décret suprême applicable à certains secteurs professionnels qui pourraient cotiser à la sécurité sociale dans son régime d’assurance à court terme (artisans, chefs de microentreprise, chauffeurs, etc.). Le projet est à l’étude auprès des catégories visées et de leurs instances de décision.</w:t>
      </w:r>
    </w:p>
    <w:p w:rsidR="00000000" w:rsidRDefault="00000000">
      <w:pPr>
        <w:numPr>
          <w:ilvl w:val="0"/>
          <w:numId w:val="110"/>
        </w:numPr>
        <w:spacing w:after="240"/>
      </w:pPr>
      <w:r>
        <w:t xml:space="preserve">Conformément à la Constitution et devant la nécessité d’élaborer à l’intention des organismes de gestion une réglementation spécifique conforme à la réalité sociale de notre pays et sans aucune discrimination, l’INASES a approuvé par la Résolution administrative </w:t>
      </w:r>
      <w:r>
        <w:rPr>
          <w:rFonts w:eastAsia="MS Mincho"/>
        </w:rPr>
        <w:t>n</w:t>
      </w:r>
      <w:r>
        <w:rPr>
          <w:rFonts w:eastAsia="MS Mincho"/>
          <w:vertAlign w:val="superscript"/>
        </w:rPr>
        <w:t>o</w:t>
      </w:r>
      <w:r>
        <w:t xml:space="preserve"> 048/2004 du 6 septembre 2004 le règlement d’affiliation des conjoints et ascendants de travailleurs cotisants actifs.</w:t>
      </w:r>
    </w:p>
    <w:p w:rsidR="00000000" w:rsidRDefault="00000000">
      <w:pPr>
        <w:numPr>
          <w:ilvl w:val="0"/>
          <w:numId w:val="110"/>
        </w:numPr>
        <w:spacing w:after="240"/>
      </w:pPr>
      <w:r>
        <w:t xml:space="preserve">Le 9 avril 2003 a été approuvée la loi </w:t>
      </w:r>
      <w:r>
        <w:rPr>
          <w:rFonts w:eastAsia="MS Mincho"/>
        </w:rPr>
        <w:t>n</w:t>
      </w:r>
      <w:r>
        <w:rPr>
          <w:rFonts w:eastAsia="MS Mincho"/>
          <w:vertAlign w:val="superscript"/>
        </w:rPr>
        <w:t>o</w:t>
      </w:r>
      <w:r>
        <w:t xml:space="preserve"> 2450 qui reconnaît aux employées de maison tous les droits afférents au travail (y compris ceux de la sécurité sociale). La loi a été adoptée mais elle n’a pas encore fait l’objet d’un règlement d’application, de sorte qu’elle n’est pas intégralement appliquée.</w:t>
      </w:r>
    </w:p>
    <w:p w:rsidR="00000000" w:rsidRDefault="00000000">
      <w:pPr>
        <w:keepNext/>
        <w:spacing w:after="240"/>
        <w:rPr>
          <w:b/>
          <w:bCs/>
        </w:rPr>
      </w:pPr>
      <w:r>
        <w:rPr>
          <w:b/>
          <w:bCs/>
        </w:rPr>
        <w:t>Droit de toute personne à des conditions de travail équitables et satisfaisantes</w:t>
      </w:r>
    </w:p>
    <w:p w:rsidR="00000000" w:rsidRDefault="00000000">
      <w:pPr>
        <w:spacing w:after="240"/>
      </w:pPr>
      <w:r>
        <w:t>52.</w:t>
      </w:r>
      <w:r>
        <w:tab/>
        <w:t>En Bolivie, la situation socioéconomique n’a pas permis de relever systématiquement le salaire minimum national, malgré les demandes constantes des travailleurs de différents secteurs qui exigent, par une série de pétitions envoyées aux différents ministères, que l’augmentation soit effective.</w:t>
      </w:r>
    </w:p>
    <w:p w:rsidR="00000000" w:rsidRDefault="00000000">
      <w:pPr>
        <w:spacing w:after="240"/>
      </w:pPr>
      <w:r>
        <w:t>53.</w:t>
      </w:r>
      <w:r>
        <w:tab/>
        <w:t xml:space="preserve">Depuis l’année 2002, le salaire minimum national n’a progressé que de 2,32 %. La dernière augmentation a été fixée par le Décret suprême </w:t>
      </w:r>
      <w:r>
        <w:rPr>
          <w:rFonts w:eastAsia="MS Mincho"/>
        </w:rPr>
        <w:t>n</w:t>
      </w:r>
      <w:r>
        <w:rPr>
          <w:rFonts w:eastAsia="MS Mincho"/>
          <w:vertAlign w:val="superscript"/>
        </w:rPr>
        <w:t>o</w:t>
      </w:r>
      <w:r>
        <w:t> 27049 du 26 mai 2003, conformément à la politique d’austérité menée par le Gouvernement.</w:t>
      </w:r>
    </w:p>
    <w:p w:rsidR="00000000" w:rsidRDefault="00000000">
      <w:pPr>
        <w:spacing w:after="240"/>
      </w:pPr>
      <w:r>
        <w:t>54.</w:t>
      </w:r>
      <w:r>
        <w:tab/>
        <w:t xml:space="preserve">À la suite de pressions constantes exercées par le personnel de la santé et de l’éducation, une augmentation de 3 % de la rémunération de base (revenu de base) a été opérée à titre exceptionnel en faveur des secteurs de la santé et de l’éducation, par le biais du Décret suprême </w:t>
      </w:r>
      <w:r>
        <w:rPr>
          <w:rFonts w:eastAsia="MS Mincho"/>
        </w:rPr>
        <w:t>n</w:t>
      </w:r>
      <w:r>
        <w:rPr>
          <w:rFonts w:eastAsia="MS Mincho"/>
          <w:vertAlign w:val="superscript"/>
        </w:rPr>
        <w:t>o</w:t>
      </w:r>
      <w:r>
        <w:t> 27654 du 30 juin 2004 (annexe 6). Cette augmentation est appliquée d’un commun accord ou à la suite d’une décision unilatérale dans le secteur privé, sous réserve de la signature d’une «convention salariale» entre les parties (cette convention doit être approuvée par le Ministère du travail). Le salaire minimum national, fixé à 440 bolivianos depuis l’année 2005, demeure inchangé.</w:t>
      </w:r>
    </w:p>
    <w:p w:rsidR="00000000" w:rsidRDefault="00000000">
      <w:pPr>
        <w:spacing w:after="240"/>
      </w:pPr>
      <w:r>
        <w:t>55.</w:t>
      </w:r>
      <w:r>
        <w:tab/>
        <w:t xml:space="preserve">Étant donné que le Gouvernement a pour politique de relever les niveaux socioéconomiques, il a présenté en 2004 à l’Organisation internationale du Travail des rapports expliquant les mesures prises pour donner effet aux dispositions de la Convention </w:t>
      </w:r>
      <w:r>
        <w:rPr>
          <w:rFonts w:eastAsia="MS Mincho"/>
        </w:rPr>
        <w:t>n</w:t>
      </w:r>
      <w:r>
        <w:rPr>
          <w:rFonts w:eastAsia="MS Mincho"/>
          <w:vertAlign w:val="superscript"/>
        </w:rPr>
        <w:t>o</w:t>
      </w:r>
      <w:r>
        <w:t> 131 de 1970 sur la fixation des salaires minima (annexe 3 h)).</w:t>
      </w:r>
    </w:p>
    <w:p w:rsidR="00000000" w:rsidRDefault="00000000">
      <w:pPr>
        <w:spacing w:after="240"/>
      </w:pPr>
      <w:r>
        <w:t>56.</w:t>
      </w:r>
      <w:r>
        <w:tab/>
        <w:t>Pour faire connaître l’amélioration et l’étendue des prestations, les conditions d’existence et la prévoyance sociale en faveur des travailleurs, des rapports ont été présentés en 2004 à l’Organisation internationale du Travail. Les autres instruments de protection sociale sont:</w:t>
      </w:r>
    </w:p>
    <w:p w:rsidR="00000000" w:rsidRDefault="00000000">
      <w:pPr>
        <w:numPr>
          <w:ilvl w:val="0"/>
          <w:numId w:val="111"/>
        </w:numPr>
        <w:spacing w:after="240"/>
      </w:pPr>
      <w:r>
        <w:t xml:space="preserve">Convention </w:t>
      </w:r>
      <w:r>
        <w:rPr>
          <w:rFonts w:eastAsia="MS Mincho"/>
        </w:rPr>
        <w:t>n</w:t>
      </w:r>
      <w:r>
        <w:rPr>
          <w:rFonts w:eastAsia="MS Mincho"/>
          <w:vertAlign w:val="superscript"/>
        </w:rPr>
        <w:t>o</w:t>
      </w:r>
      <w:r>
        <w:t> 121 de l’OIT sur les prestations en cas d’accidents du travail et de maladies professionnelles, signée par le Gouvernement bolivien en 1964 et ratifiée le 31 janvier 1977;</w:t>
      </w:r>
    </w:p>
    <w:p w:rsidR="00000000" w:rsidRDefault="00000000">
      <w:pPr>
        <w:numPr>
          <w:ilvl w:val="0"/>
          <w:numId w:val="111"/>
        </w:numPr>
        <w:spacing w:after="240"/>
      </w:pPr>
      <w:r>
        <w:t xml:space="preserve">Convention </w:t>
      </w:r>
      <w:r>
        <w:rPr>
          <w:rFonts w:eastAsia="MS Mincho"/>
        </w:rPr>
        <w:t>n</w:t>
      </w:r>
      <w:r>
        <w:rPr>
          <w:rFonts w:eastAsia="MS Mincho"/>
          <w:vertAlign w:val="superscript"/>
        </w:rPr>
        <w:t>o</w:t>
      </w:r>
      <w:r>
        <w:t> 128 de 1967 concernant les prestations d’invalidité, de vieillesse et de survivants, ratifiée par la Bolivie le 23 décembre 1976;</w:t>
      </w:r>
    </w:p>
    <w:p w:rsidR="00000000" w:rsidRDefault="00000000">
      <w:pPr>
        <w:numPr>
          <w:ilvl w:val="0"/>
          <w:numId w:val="111"/>
        </w:numPr>
        <w:spacing w:after="240"/>
      </w:pPr>
      <w:r>
        <w:t xml:space="preserve">Convention </w:t>
      </w:r>
      <w:r>
        <w:rPr>
          <w:rFonts w:eastAsia="MS Mincho"/>
        </w:rPr>
        <w:t>n</w:t>
      </w:r>
      <w:r>
        <w:rPr>
          <w:rFonts w:eastAsia="MS Mincho"/>
          <w:vertAlign w:val="superscript"/>
        </w:rPr>
        <w:t>o</w:t>
      </w:r>
      <w:r>
        <w:t> 130 de 1969 concernant les soins médicaux et les indemnités de maladie, ratifiée le 31 janvier 1977.</w:t>
      </w:r>
    </w:p>
    <w:p w:rsidR="00000000" w:rsidRDefault="00000000">
      <w:pPr>
        <w:spacing w:after="240"/>
        <w:ind w:left="567"/>
        <w:rPr>
          <w:b/>
          <w:bCs/>
        </w:rPr>
      </w:pPr>
      <w:r>
        <w:rPr>
          <w:b/>
          <w:bCs/>
        </w:rPr>
        <w:t>34.</w:t>
      </w:r>
      <w:r>
        <w:rPr>
          <w:b/>
          <w:bCs/>
        </w:rPr>
        <w:tab/>
        <w:t xml:space="preserve">Le Comité recommande à l’État partie d’envisager de ratifier les Conventions de l’OIT </w:t>
      </w:r>
      <w:r>
        <w:rPr>
          <w:rFonts w:eastAsia="MS Mincho"/>
          <w:b/>
          <w:bCs/>
        </w:rPr>
        <w:t>n</w:t>
      </w:r>
      <w:r>
        <w:rPr>
          <w:rFonts w:eastAsia="MS Mincho"/>
          <w:b/>
          <w:bCs/>
          <w:vertAlign w:val="superscript"/>
        </w:rPr>
        <w:t>o</w:t>
      </w:r>
      <w:r>
        <w:rPr>
          <w:b/>
          <w:bCs/>
        </w:rPr>
        <w:t xml:space="preserve"> 2 (sur le chômage) et </w:t>
      </w:r>
      <w:r>
        <w:rPr>
          <w:rFonts w:eastAsia="MS Mincho"/>
          <w:b/>
          <w:bCs/>
        </w:rPr>
        <w:t>n</w:t>
      </w:r>
      <w:r>
        <w:rPr>
          <w:rFonts w:eastAsia="MS Mincho"/>
          <w:b/>
          <w:bCs/>
          <w:vertAlign w:val="superscript"/>
        </w:rPr>
        <w:t>o</w:t>
      </w:r>
      <w:r>
        <w:rPr>
          <w:b/>
          <w:bCs/>
        </w:rPr>
        <w:t> 29 (sur le travail forcé).</w:t>
      </w:r>
    </w:p>
    <w:p w:rsidR="00000000" w:rsidRDefault="00000000">
      <w:pPr>
        <w:spacing w:after="240"/>
      </w:pPr>
      <w:r>
        <w:t>57.</w:t>
      </w:r>
      <w:r>
        <w:tab/>
        <w:t xml:space="preserve">L’État a ratifié par la loi </w:t>
      </w:r>
      <w:r>
        <w:rPr>
          <w:rFonts w:eastAsia="MS Mincho"/>
        </w:rPr>
        <w:t>n</w:t>
      </w:r>
      <w:r>
        <w:rPr>
          <w:rFonts w:eastAsia="MS Mincho"/>
          <w:vertAlign w:val="superscript"/>
        </w:rPr>
        <w:t>o</w:t>
      </w:r>
      <w:r>
        <w:t xml:space="preserve"> 3031 du 29 avril 2005 la Convention </w:t>
      </w:r>
      <w:r>
        <w:rPr>
          <w:rFonts w:eastAsia="MS Mincho"/>
        </w:rPr>
        <w:t>n</w:t>
      </w:r>
      <w:r>
        <w:rPr>
          <w:rFonts w:eastAsia="MS Mincho"/>
          <w:vertAlign w:val="superscript"/>
        </w:rPr>
        <w:t>o</w:t>
      </w:r>
      <w:r>
        <w:t> 29 de l’OIT sur le travail forcé.</w:t>
      </w:r>
    </w:p>
    <w:p w:rsidR="00000000" w:rsidRDefault="00000000">
      <w:pPr>
        <w:spacing w:after="240"/>
        <w:ind w:left="567"/>
        <w:rPr>
          <w:b/>
          <w:bCs/>
        </w:rPr>
      </w:pPr>
      <w:r>
        <w:rPr>
          <w:b/>
          <w:bCs/>
        </w:rPr>
        <w:t>35.</w:t>
      </w:r>
      <w:r>
        <w:rPr>
          <w:b/>
          <w:bCs/>
        </w:rPr>
        <w:tab/>
        <w:t>Le Comité demande instamment à l’État partie de veiller à ce que le salaire minimum soit suffisant pour assurer un niveau de vie adéquat aux travailleurs et à leur famille.</w:t>
      </w:r>
    </w:p>
    <w:p w:rsidR="00000000" w:rsidRDefault="00000000">
      <w:pPr>
        <w:spacing w:after="360"/>
      </w:pPr>
      <w:r>
        <w:t>58.</w:t>
      </w:r>
      <w:r>
        <w:tab/>
        <w:t>Actuellement, le salaire minimum national est de 440 bolivianos (2005).</w:t>
      </w:r>
    </w:p>
    <w:p w:rsidR="00000000" w:rsidRDefault="00000000">
      <w:pPr>
        <w:spacing w:after="240"/>
        <w:jc w:val="center"/>
        <w:rPr>
          <w:b/>
          <w:bCs/>
        </w:rPr>
      </w:pPr>
      <w:r>
        <w:rPr>
          <w:b/>
          <w:bCs/>
        </w:rPr>
        <w:t>TABLEAUX STATISTIQUES</w:t>
      </w:r>
    </w:p>
    <w:p w:rsidR="00000000" w:rsidRDefault="00000000">
      <w:pPr>
        <w:spacing w:after="240"/>
        <w:jc w:val="center"/>
        <w:rPr>
          <w:b/>
          <w:bCs/>
        </w:rPr>
      </w:pPr>
      <w:r>
        <w:rPr>
          <w:b/>
          <w:bCs/>
        </w:rPr>
        <w:t>Tableau 1</w:t>
      </w:r>
    </w:p>
    <w:p w:rsidR="00000000" w:rsidRDefault="00000000">
      <w:pPr>
        <w:spacing w:after="240"/>
        <w:jc w:val="center"/>
        <w:rPr>
          <w:b/>
          <w:bCs/>
        </w:rPr>
      </w:pPr>
      <w:r>
        <w:rPr>
          <w:b/>
          <w:bCs/>
        </w:rPr>
        <w:t>Bolivie: salaire minimum national par an, et augmentations de salaire, 2002</w:t>
      </w:r>
      <w:r>
        <w:rPr>
          <w:b/>
          <w:bCs/>
        </w:rPr>
        <w:noBreakHyphen/>
        <w:t>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0"/>
        <w:gridCol w:w="4293"/>
        <w:gridCol w:w="4293"/>
      </w:tblGrid>
      <w:tr w:rsidR="00000000">
        <w:tblPrEx>
          <w:tblCellMar>
            <w:top w:w="0" w:type="dxa"/>
            <w:bottom w:w="0" w:type="dxa"/>
          </w:tblCellMar>
        </w:tblPrEx>
        <w:tc>
          <w:tcPr>
            <w:tcW w:w="910" w:type="dxa"/>
          </w:tcPr>
          <w:p w:rsidR="00000000" w:rsidRDefault="00000000">
            <w:pPr>
              <w:spacing w:before="60" w:after="60"/>
              <w:jc w:val="center"/>
            </w:pPr>
            <w:r>
              <w:t>Année</w:t>
            </w:r>
          </w:p>
        </w:tc>
        <w:tc>
          <w:tcPr>
            <w:tcW w:w="4293" w:type="dxa"/>
          </w:tcPr>
          <w:p w:rsidR="00000000" w:rsidRDefault="00000000">
            <w:pPr>
              <w:spacing w:before="60" w:after="60"/>
              <w:jc w:val="center"/>
            </w:pPr>
            <w:r>
              <w:t>Salaire minimum national</w:t>
            </w:r>
          </w:p>
        </w:tc>
        <w:tc>
          <w:tcPr>
            <w:tcW w:w="4293" w:type="dxa"/>
          </w:tcPr>
          <w:p w:rsidR="00000000" w:rsidRDefault="00000000">
            <w:pPr>
              <w:spacing w:before="60" w:after="60"/>
              <w:jc w:val="center"/>
            </w:pPr>
            <w:r>
              <w:t>Dispositions juridiques</w:t>
            </w:r>
          </w:p>
        </w:tc>
      </w:tr>
      <w:tr w:rsidR="00000000">
        <w:tblPrEx>
          <w:tblCellMar>
            <w:top w:w="0" w:type="dxa"/>
            <w:bottom w:w="0" w:type="dxa"/>
          </w:tblCellMar>
        </w:tblPrEx>
        <w:tc>
          <w:tcPr>
            <w:tcW w:w="910" w:type="dxa"/>
          </w:tcPr>
          <w:p w:rsidR="00000000" w:rsidRDefault="00000000">
            <w:pPr>
              <w:spacing w:before="60" w:after="60"/>
              <w:jc w:val="center"/>
            </w:pPr>
            <w:r>
              <w:t>2002</w:t>
            </w:r>
          </w:p>
        </w:tc>
        <w:tc>
          <w:tcPr>
            <w:tcW w:w="4293" w:type="dxa"/>
          </w:tcPr>
          <w:p w:rsidR="00000000" w:rsidRDefault="00000000">
            <w:pPr>
              <w:spacing w:before="60" w:after="60"/>
            </w:pPr>
            <w:r>
              <w:t>430</w:t>
            </w:r>
          </w:p>
        </w:tc>
        <w:tc>
          <w:tcPr>
            <w:tcW w:w="4293" w:type="dxa"/>
            <w:vAlign w:val="bottom"/>
          </w:tcPr>
          <w:p w:rsidR="00000000" w:rsidRDefault="00000000">
            <w:pPr>
              <w:spacing w:before="60" w:after="60"/>
            </w:pPr>
            <w:r>
              <w:t>Décret suprême 26547 du 14 mars 2002 (annexe 4)</w:t>
            </w:r>
          </w:p>
        </w:tc>
      </w:tr>
      <w:tr w:rsidR="00000000">
        <w:tblPrEx>
          <w:tblCellMar>
            <w:top w:w="0" w:type="dxa"/>
            <w:bottom w:w="0" w:type="dxa"/>
          </w:tblCellMar>
        </w:tblPrEx>
        <w:tc>
          <w:tcPr>
            <w:tcW w:w="910" w:type="dxa"/>
          </w:tcPr>
          <w:p w:rsidR="00000000" w:rsidRDefault="00000000">
            <w:pPr>
              <w:spacing w:before="60" w:after="60"/>
              <w:jc w:val="center"/>
            </w:pPr>
            <w:r>
              <w:t>2003</w:t>
            </w:r>
          </w:p>
        </w:tc>
        <w:tc>
          <w:tcPr>
            <w:tcW w:w="4293" w:type="dxa"/>
          </w:tcPr>
          <w:p w:rsidR="00000000" w:rsidRDefault="00000000">
            <w:pPr>
              <w:spacing w:before="60" w:after="60"/>
            </w:pPr>
            <w:r>
              <w:t>440</w:t>
            </w:r>
          </w:p>
        </w:tc>
        <w:tc>
          <w:tcPr>
            <w:tcW w:w="4293" w:type="dxa"/>
            <w:vAlign w:val="bottom"/>
          </w:tcPr>
          <w:p w:rsidR="00000000" w:rsidRDefault="00000000">
            <w:pPr>
              <w:spacing w:before="60" w:after="60"/>
            </w:pPr>
            <w:r>
              <w:t>Décret suprême 27049 du 26 mai 2003, Résolution ministérielle 290/03 du 3 juin 2003 (annexe 5)</w:t>
            </w:r>
          </w:p>
        </w:tc>
      </w:tr>
      <w:tr w:rsidR="00000000">
        <w:tblPrEx>
          <w:tblCellMar>
            <w:top w:w="0" w:type="dxa"/>
            <w:bottom w:w="0" w:type="dxa"/>
          </w:tblCellMar>
        </w:tblPrEx>
        <w:tc>
          <w:tcPr>
            <w:tcW w:w="910" w:type="dxa"/>
          </w:tcPr>
          <w:p w:rsidR="00000000" w:rsidRDefault="00000000">
            <w:pPr>
              <w:spacing w:before="60" w:after="60"/>
              <w:jc w:val="center"/>
            </w:pPr>
            <w:r>
              <w:t>2004</w:t>
            </w:r>
          </w:p>
        </w:tc>
        <w:tc>
          <w:tcPr>
            <w:tcW w:w="4293" w:type="dxa"/>
          </w:tcPr>
          <w:p w:rsidR="00000000" w:rsidRDefault="00000000">
            <w:pPr>
              <w:spacing w:before="60" w:after="60"/>
            </w:pPr>
            <w:r>
              <w:t>Augmentation de salaire de 3 % uniquement pour le secteur de la santé et de l’éducation</w:t>
            </w:r>
          </w:p>
        </w:tc>
        <w:tc>
          <w:tcPr>
            <w:tcW w:w="4293" w:type="dxa"/>
          </w:tcPr>
          <w:p w:rsidR="00000000" w:rsidRDefault="00000000">
            <w:pPr>
              <w:spacing w:before="60" w:after="60"/>
            </w:pPr>
            <w:r>
              <w:t>Décret suprême 27654 du 30 juin 2004 (annexe 6)</w:t>
            </w:r>
          </w:p>
        </w:tc>
      </w:tr>
    </w:tbl>
    <w:p w:rsidR="00000000" w:rsidRDefault="00000000">
      <w:pPr>
        <w:spacing w:before="240" w:after="240"/>
        <w:ind w:firstLine="567"/>
      </w:pPr>
      <w:r>
        <w:rPr>
          <w:i/>
          <w:iCs/>
        </w:rPr>
        <w:t>Source</w:t>
      </w:r>
      <w:r>
        <w:t>: Archives centrales − Ministère du travail.</w:t>
      </w:r>
    </w:p>
    <w:p w:rsidR="00000000" w:rsidRDefault="00000000">
      <w:pPr>
        <w:spacing w:after="180"/>
        <w:jc w:val="center"/>
        <w:rPr>
          <w:b/>
          <w:bCs/>
        </w:rPr>
      </w:pPr>
      <w:r>
        <w:rPr>
          <w:b/>
          <w:bCs/>
        </w:rPr>
        <w:br w:type="page"/>
        <w:t>Tableau 2</w:t>
      </w:r>
    </w:p>
    <w:p w:rsidR="00000000" w:rsidRDefault="00000000">
      <w:pPr>
        <w:spacing w:after="180"/>
        <w:jc w:val="center"/>
        <w:rPr>
          <w:b/>
          <w:bCs/>
        </w:rPr>
      </w:pPr>
      <w:r>
        <w:rPr>
          <w:b/>
          <w:bCs/>
        </w:rPr>
        <w:t>Bolivie: Revenu mensuel moyen, dans l’activité principale, par année,</w:t>
      </w:r>
      <w:r>
        <w:rPr>
          <w:b/>
          <w:bCs/>
        </w:rPr>
        <w:br/>
        <w:t>sexe et catégorie professionnelle, 1999</w:t>
      </w:r>
      <w:r>
        <w:rPr>
          <w:b/>
          <w:bCs/>
        </w:rPr>
        <w:noBreakHyphen/>
        <w:t>2003</w:t>
      </w:r>
      <w:r>
        <w:rPr>
          <w:b/>
          <w:bCs/>
          <w:i/>
          <w:iCs/>
          <w:vertAlign w:val="superscript"/>
        </w:rPr>
        <w:t>p</w:t>
      </w:r>
      <w:r>
        <w:rPr>
          <w:b/>
          <w:bCs/>
        </w:rPr>
        <w:br/>
      </w:r>
      <w:r>
        <w:t>(</w:t>
      </w:r>
      <w:r>
        <w:rPr>
          <w:i/>
          <w:iCs/>
        </w:rPr>
        <w:t>En bolivianos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9"/>
        <w:gridCol w:w="1134"/>
        <w:gridCol w:w="1134"/>
        <w:gridCol w:w="1134"/>
        <w:gridCol w:w="1134"/>
        <w:gridCol w:w="1134"/>
      </w:tblGrid>
      <w:tr w:rsidR="00000000">
        <w:tblPrEx>
          <w:tblCellMar>
            <w:top w:w="0" w:type="dxa"/>
            <w:bottom w:w="0" w:type="dxa"/>
          </w:tblCellMar>
        </w:tblPrEx>
        <w:trPr>
          <w:tblHeader/>
        </w:trPr>
        <w:tc>
          <w:tcPr>
            <w:tcW w:w="3799" w:type="dxa"/>
            <w:tcBorders>
              <w:bottom w:val="single" w:sz="4" w:space="0" w:color="auto"/>
            </w:tcBorders>
            <w:vAlign w:val="center"/>
          </w:tcPr>
          <w:p w:rsidR="00000000" w:rsidRDefault="00000000">
            <w:pPr>
              <w:spacing w:before="60" w:after="60"/>
              <w:jc w:val="center"/>
              <w:rPr>
                <w:sz w:val="20"/>
              </w:rPr>
            </w:pPr>
            <w:r>
              <w:rPr>
                <w:sz w:val="20"/>
              </w:rPr>
              <w:t>Catégorie professionnelle</w:t>
            </w:r>
          </w:p>
        </w:tc>
        <w:tc>
          <w:tcPr>
            <w:tcW w:w="1134" w:type="dxa"/>
            <w:vAlign w:val="center"/>
          </w:tcPr>
          <w:p w:rsidR="00000000" w:rsidRDefault="00000000">
            <w:pPr>
              <w:spacing w:before="60" w:after="60"/>
              <w:jc w:val="center"/>
              <w:rPr>
                <w:sz w:val="20"/>
              </w:rPr>
            </w:pPr>
            <w:r>
              <w:rPr>
                <w:sz w:val="20"/>
              </w:rPr>
              <w:t>1999</w:t>
            </w:r>
          </w:p>
        </w:tc>
        <w:tc>
          <w:tcPr>
            <w:tcW w:w="1134" w:type="dxa"/>
            <w:vAlign w:val="center"/>
          </w:tcPr>
          <w:p w:rsidR="00000000" w:rsidRDefault="00000000">
            <w:pPr>
              <w:spacing w:before="60" w:after="60"/>
              <w:jc w:val="center"/>
              <w:rPr>
                <w:sz w:val="20"/>
              </w:rPr>
            </w:pPr>
            <w:r>
              <w:rPr>
                <w:sz w:val="20"/>
              </w:rPr>
              <w:t>2000</w:t>
            </w:r>
          </w:p>
        </w:tc>
        <w:tc>
          <w:tcPr>
            <w:tcW w:w="1134" w:type="dxa"/>
            <w:vAlign w:val="center"/>
          </w:tcPr>
          <w:p w:rsidR="00000000" w:rsidRDefault="00000000">
            <w:pPr>
              <w:spacing w:before="60" w:after="60"/>
              <w:jc w:val="center"/>
              <w:rPr>
                <w:sz w:val="20"/>
              </w:rPr>
            </w:pPr>
            <w:r>
              <w:rPr>
                <w:sz w:val="20"/>
              </w:rPr>
              <w:t>2001</w:t>
            </w:r>
            <w:r>
              <w:rPr>
                <w:b/>
                <w:bCs/>
                <w:i/>
                <w:iCs/>
                <w:sz w:val="20"/>
                <w:vertAlign w:val="superscript"/>
              </w:rPr>
              <w:t>p</w:t>
            </w:r>
          </w:p>
        </w:tc>
        <w:tc>
          <w:tcPr>
            <w:tcW w:w="1134" w:type="dxa"/>
            <w:vAlign w:val="center"/>
          </w:tcPr>
          <w:p w:rsidR="00000000" w:rsidRDefault="00000000">
            <w:pPr>
              <w:spacing w:before="60" w:after="60"/>
              <w:jc w:val="center"/>
              <w:rPr>
                <w:sz w:val="20"/>
              </w:rPr>
            </w:pPr>
            <w:r>
              <w:rPr>
                <w:sz w:val="20"/>
              </w:rPr>
              <w:t>2002</w:t>
            </w:r>
          </w:p>
        </w:tc>
        <w:tc>
          <w:tcPr>
            <w:tcW w:w="1134"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9" w:type="dxa"/>
            <w:tcBorders>
              <w:bottom w:val="nil"/>
            </w:tcBorders>
            <w:vAlign w:val="bottom"/>
          </w:tcPr>
          <w:p w:rsidR="00000000" w:rsidRDefault="00000000">
            <w:pPr>
              <w:spacing w:before="60" w:after="60"/>
              <w:rPr>
                <w:b/>
                <w:bCs/>
                <w:sz w:val="20"/>
              </w:rPr>
            </w:pPr>
            <w:r>
              <w:rPr>
                <w:b/>
                <w:bCs/>
                <w:sz w:val="20"/>
              </w:rPr>
              <w:t>TOTAL</w:t>
            </w:r>
          </w:p>
        </w:tc>
        <w:tc>
          <w:tcPr>
            <w:tcW w:w="1134" w:type="dxa"/>
            <w:vAlign w:val="bottom"/>
          </w:tcPr>
          <w:p w:rsidR="00000000" w:rsidRDefault="00000000">
            <w:pPr>
              <w:widowControl w:val="0"/>
              <w:tabs>
                <w:tab w:val="decimal" w:pos="476"/>
              </w:tabs>
              <w:autoSpaceDE w:val="0"/>
              <w:autoSpaceDN w:val="0"/>
              <w:adjustRightInd w:val="0"/>
              <w:jc w:val="right"/>
              <w:rPr>
                <w:b/>
                <w:sz w:val="20"/>
              </w:rPr>
            </w:pPr>
            <w:r>
              <w:rPr>
                <w:b/>
                <w:sz w:val="20"/>
              </w:rPr>
              <w:t>654,60</w:t>
            </w:r>
          </w:p>
        </w:tc>
        <w:tc>
          <w:tcPr>
            <w:tcW w:w="1134" w:type="dxa"/>
            <w:vAlign w:val="bottom"/>
          </w:tcPr>
          <w:p w:rsidR="00000000" w:rsidRDefault="00000000">
            <w:pPr>
              <w:widowControl w:val="0"/>
              <w:tabs>
                <w:tab w:val="decimal" w:pos="489"/>
              </w:tabs>
              <w:autoSpaceDE w:val="0"/>
              <w:autoSpaceDN w:val="0"/>
              <w:adjustRightInd w:val="0"/>
              <w:jc w:val="right"/>
              <w:rPr>
                <w:b/>
                <w:sz w:val="20"/>
              </w:rPr>
            </w:pPr>
            <w:r>
              <w:rPr>
                <w:b/>
                <w:sz w:val="20"/>
              </w:rPr>
              <w:t>685,80</w:t>
            </w:r>
          </w:p>
        </w:tc>
        <w:tc>
          <w:tcPr>
            <w:tcW w:w="1134" w:type="dxa"/>
            <w:vAlign w:val="bottom"/>
          </w:tcPr>
          <w:p w:rsidR="00000000" w:rsidRDefault="00000000">
            <w:pPr>
              <w:widowControl w:val="0"/>
              <w:tabs>
                <w:tab w:val="decimal" w:pos="460"/>
              </w:tabs>
              <w:autoSpaceDE w:val="0"/>
              <w:autoSpaceDN w:val="0"/>
              <w:adjustRightInd w:val="0"/>
              <w:jc w:val="right"/>
              <w:rPr>
                <w:b/>
                <w:sz w:val="20"/>
              </w:rPr>
            </w:pPr>
            <w:r>
              <w:rPr>
                <w:b/>
                <w:sz w:val="20"/>
              </w:rPr>
              <w:t>603,84</w:t>
            </w:r>
          </w:p>
        </w:tc>
        <w:tc>
          <w:tcPr>
            <w:tcW w:w="1134" w:type="dxa"/>
            <w:vAlign w:val="bottom"/>
          </w:tcPr>
          <w:p w:rsidR="00000000" w:rsidRDefault="00000000">
            <w:pPr>
              <w:widowControl w:val="0"/>
              <w:tabs>
                <w:tab w:val="decimal" w:pos="475"/>
              </w:tabs>
              <w:autoSpaceDE w:val="0"/>
              <w:autoSpaceDN w:val="0"/>
              <w:adjustRightInd w:val="0"/>
              <w:jc w:val="right"/>
              <w:rPr>
                <w:b/>
                <w:sz w:val="20"/>
              </w:rPr>
            </w:pPr>
            <w:r>
              <w:rPr>
                <w:b/>
                <w:sz w:val="20"/>
              </w:rPr>
              <w:t>712,01</w:t>
            </w:r>
          </w:p>
        </w:tc>
        <w:tc>
          <w:tcPr>
            <w:tcW w:w="1134" w:type="dxa"/>
            <w:vAlign w:val="bottom"/>
          </w:tcPr>
          <w:p w:rsidR="00000000" w:rsidRDefault="00000000">
            <w:pPr>
              <w:widowControl w:val="0"/>
              <w:tabs>
                <w:tab w:val="decimal" w:pos="488"/>
              </w:tabs>
              <w:autoSpaceDE w:val="0"/>
              <w:autoSpaceDN w:val="0"/>
              <w:adjustRightInd w:val="0"/>
              <w:jc w:val="right"/>
              <w:rPr>
                <w:b/>
                <w:sz w:val="20"/>
              </w:rPr>
            </w:pPr>
            <w:r>
              <w:rPr>
                <w:b/>
                <w:sz w:val="20"/>
              </w:rPr>
              <w:t>631,49</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Directeurs et chefs d’entreprise,</w:t>
            </w:r>
            <w:r>
              <w:rPr>
                <w:sz w:val="20"/>
              </w:rPr>
              <w:br/>
              <w:t>secteurs public et privé</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2 891,23</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4 616,22</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4 723,35</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4 670,24</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3 207,57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2 236,05</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3 593,87</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1 965,75</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2 485,19</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2 624,82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Techniciens et cadres moyens</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1 274,70</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1 260,41</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1 560,45</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1 513,74</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1 581,75</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Employés de bureau</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1 189,28</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1 264,56</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1 324,05</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1 211,21</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1 285,00</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748,34</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675,91</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555,27</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794,94</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562,93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110,01</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124,41</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148,83</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183,96</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202,12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745,22</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708,33</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640,73</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722,53</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649,64</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Conducteurs d’installations</w:t>
            </w:r>
            <w:r>
              <w:rPr>
                <w:sz w:val="20"/>
              </w:rPr>
              <w:br/>
              <w:t xml:space="preserve">et de machines </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1 264,01</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1 188,47</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1 165,88</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1 284,40</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1 222,38</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Travailleurs non qualifiés</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567,53</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549,43</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317,86</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578,98</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509,50</w:t>
            </w:r>
          </w:p>
        </w:tc>
      </w:tr>
      <w:tr w:rsidR="00000000">
        <w:tblPrEx>
          <w:tblCellMar>
            <w:top w:w="0" w:type="dxa"/>
            <w:bottom w:w="0" w:type="dxa"/>
          </w:tblCellMar>
        </w:tblPrEx>
        <w:tc>
          <w:tcPr>
            <w:tcW w:w="3799" w:type="dxa"/>
            <w:tcBorders>
              <w:top w:val="nil"/>
              <w:bottom w:val="single" w:sz="4" w:space="0" w:color="auto"/>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2 010,61</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2 235,62</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2 337,19</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3 203,43</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2 604,90</w:t>
            </w:r>
          </w:p>
        </w:tc>
      </w:tr>
      <w:tr w:rsidR="00000000">
        <w:tblPrEx>
          <w:tblCellMar>
            <w:top w:w="0" w:type="dxa"/>
            <w:bottom w:w="0" w:type="dxa"/>
          </w:tblCellMar>
        </w:tblPrEx>
        <w:tc>
          <w:tcPr>
            <w:tcW w:w="3799" w:type="dxa"/>
            <w:tcBorders>
              <w:bottom w:val="nil"/>
            </w:tcBorders>
            <w:vAlign w:val="bottom"/>
          </w:tcPr>
          <w:p w:rsidR="00000000" w:rsidRDefault="00000000">
            <w:pPr>
              <w:spacing w:before="60" w:after="60"/>
              <w:rPr>
                <w:b/>
                <w:bCs/>
                <w:sz w:val="20"/>
              </w:rPr>
            </w:pPr>
            <w:r>
              <w:rPr>
                <w:b/>
                <w:bCs/>
                <w:sz w:val="20"/>
              </w:rPr>
              <w:t>HOMMES</w:t>
            </w:r>
          </w:p>
        </w:tc>
        <w:tc>
          <w:tcPr>
            <w:tcW w:w="1134" w:type="dxa"/>
            <w:vAlign w:val="bottom"/>
          </w:tcPr>
          <w:p w:rsidR="00000000" w:rsidRDefault="00000000">
            <w:pPr>
              <w:widowControl w:val="0"/>
              <w:tabs>
                <w:tab w:val="decimal" w:pos="476"/>
              </w:tabs>
              <w:autoSpaceDE w:val="0"/>
              <w:autoSpaceDN w:val="0"/>
              <w:adjustRightInd w:val="0"/>
              <w:jc w:val="right"/>
              <w:rPr>
                <w:b/>
                <w:sz w:val="20"/>
              </w:rPr>
            </w:pPr>
            <w:r>
              <w:rPr>
                <w:b/>
                <w:sz w:val="20"/>
              </w:rPr>
              <w:t>824,67</w:t>
            </w:r>
          </w:p>
        </w:tc>
        <w:tc>
          <w:tcPr>
            <w:tcW w:w="1134" w:type="dxa"/>
            <w:vAlign w:val="bottom"/>
          </w:tcPr>
          <w:p w:rsidR="00000000" w:rsidRDefault="00000000">
            <w:pPr>
              <w:widowControl w:val="0"/>
              <w:tabs>
                <w:tab w:val="decimal" w:pos="489"/>
              </w:tabs>
              <w:autoSpaceDE w:val="0"/>
              <w:autoSpaceDN w:val="0"/>
              <w:adjustRightInd w:val="0"/>
              <w:jc w:val="right"/>
              <w:rPr>
                <w:b/>
                <w:sz w:val="20"/>
              </w:rPr>
            </w:pPr>
            <w:r>
              <w:rPr>
                <w:b/>
                <w:sz w:val="20"/>
              </w:rPr>
              <w:t>847,83</w:t>
            </w:r>
          </w:p>
        </w:tc>
        <w:tc>
          <w:tcPr>
            <w:tcW w:w="1134" w:type="dxa"/>
            <w:vAlign w:val="bottom"/>
          </w:tcPr>
          <w:p w:rsidR="00000000" w:rsidRDefault="00000000">
            <w:pPr>
              <w:widowControl w:val="0"/>
              <w:tabs>
                <w:tab w:val="decimal" w:pos="460"/>
              </w:tabs>
              <w:autoSpaceDE w:val="0"/>
              <w:autoSpaceDN w:val="0"/>
              <w:adjustRightInd w:val="0"/>
              <w:jc w:val="right"/>
              <w:rPr>
                <w:b/>
                <w:sz w:val="20"/>
              </w:rPr>
            </w:pPr>
            <w:r>
              <w:rPr>
                <w:b/>
                <w:sz w:val="20"/>
              </w:rPr>
              <w:t>764,04</w:t>
            </w:r>
          </w:p>
        </w:tc>
        <w:tc>
          <w:tcPr>
            <w:tcW w:w="1134" w:type="dxa"/>
            <w:vAlign w:val="bottom"/>
          </w:tcPr>
          <w:p w:rsidR="00000000" w:rsidRDefault="00000000">
            <w:pPr>
              <w:widowControl w:val="0"/>
              <w:tabs>
                <w:tab w:val="decimal" w:pos="475"/>
              </w:tabs>
              <w:autoSpaceDE w:val="0"/>
              <w:autoSpaceDN w:val="0"/>
              <w:adjustRightInd w:val="0"/>
              <w:jc w:val="right"/>
              <w:rPr>
                <w:b/>
                <w:sz w:val="20"/>
              </w:rPr>
            </w:pPr>
            <w:r>
              <w:rPr>
                <w:b/>
                <w:sz w:val="20"/>
              </w:rPr>
              <w:t>888,85</w:t>
            </w:r>
          </w:p>
        </w:tc>
        <w:tc>
          <w:tcPr>
            <w:tcW w:w="1134" w:type="dxa"/>
            <w:vAlign w:val="bottom"/>
          </w:tcPr>
          <w:p w:rsidR="00000000" w:rsidRDefault="00000000">
            <w:pPr>
              <w:widowControl w:val="0"/>
              <w:tabs>
                <w:tab w:val="decimal" w:pos="488"/>
              </w:tabs>
              <w:autoSpaceDE w:val="0"/>
              <w:autoSpaceDN w:val="0"/>
              <w:adjustRightInd w:val="0"/>
              <w:jc w:val="right"/>
              <w:rPr>
                <w:b/>
                <w:sz w:val="20"/>
              </w:rPr>
            </w:pPr>
            <w:r>
              <w:rPr>
                <w:b/>
                <w:sz w:val="20"/>
              </w:rPr>
              <w:t>781,31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Directeurs et chefs d’entreprise,</w:t>
            </w:r>
            <w:r>
              <w:rPr>
                <w:sz w:val="20"/>
              </w:rPr>
              <w:br/>
              <w:t>secteurs public et privé</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3 130,55</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5 030,15</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4 689,74</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5 150,02</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3 171,73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2 692,27</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4 116,75</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2 405,07</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3 002,96</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3 111,71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Techniciens et cadres moyens</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1 309,63</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1 492,47</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1 690,49</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1 609,31</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1 630,42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Employés de bureau</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1 372,00</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1 321,32</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1 489,88</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1 337,38</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1 380,55</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1 020,85</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936,15</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787,83</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1 274,36</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786,84</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173,30</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190,03</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218,85</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279,68</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311,22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891,64</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813,40</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752,32</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830,89</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747,12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Conducteurs d’installations</w:t>
            </w:r>
            <w:r>
              <w:rPr>
                <w:sz w:val="20"/>
              </w:rPr>
              <w:br/>
              <w:t xml:space="preserve">et de machines </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1 264,68</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1 189,22</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1 171,96</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1 286,59</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1 238,79</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Travailleurs non qualifiés</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749,96</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708,00</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405,71</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669,22</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625,08</w:t>
            </w:r>
          </w:p>
        </w:tc>
      </w:tr>
      <w:tr w:rsidR="00000000">
        <w:tblPrEx>
          <w:tblCellMar>
            <w:top w:w="0" w:type="dxa"/>
            <w:bottom w:w="0" w:type="dxa"/>
          </w:tblCellMar>
        </w:tblPrEx>
        <w:tc>
          <w:tcPr>
            <w:tcW w:w="3799" w:type="dxa"/>
            <w:tcBorders>
              <w:top w:val="nil"/>
              <w:bottom w:val="single" w:sz="4" w:space="0" w:color="auto"/>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2 010,61</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2 235,62</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2 337,19</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3 203,43</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2 604,90</w:t>
            </w:r>
          </w:p>
        </w:tc>
      </w:tr>
      <w:tr w:rsidR="00000000">
        <w:tblPrEx>
          <w:tblCellMar>
            <w:top w:w="0" w:type="dxa"/>
            <w:bottom w:w="0" w:type="dxa"/>
          </w:tblCellMar>
        </w:tblPrEx>
        <w:tc>
          <w:tcPr>
            <w:tcW w:w="3799" w:type="dxa"/>
            <w:tcBorders>
              <w:bottom w:val="nil"/>
            </w:tcBorders>
            <w:vAlign w:val="bottom"/>
          </w:tcPr>
          <w:p w:rsidR="00000000" w:rsidRDefault="00000000">
            <w:pPr>
              <w:pageBreakBefore/>
              <w:spacing w:before="60" w:after="60"/>
              <w:rPr>
                <w:b/>
                <w:bCs/>
                <w:sz w:val="20"/>
              </w:rPr>
            </w:pPr>
            <w:r>
              <w:rPr>
                <w:b/>
                <w:bCs/>
                <w:sz w:val="20"/>
              </w:rPr>
              <w:t>FEMMES</w:t>
            </w:r>
          </w:p>
        </w:tc>
        <w:tc>
          <w:tcPr>
            <w:tcW w:w="1134" w:type="dxa"/>
            <w:vAlign w:val="bottom"/>
          </w:tcPr>
          <w:p w:rsidR="00000000" w:rsidRDefault="00000000">
            <w:pPr>
              <w:pageBreakBefore/>
              <w:widowControl w:val="0"/>
              <w:tabs>
                <w:tab w:val="decimal" w:pos="476"/>
              </w:tabs>
              <w:autoSpaceDE w:val="0"/>
              <w:autoSpaceDN w:val="0"/>
              <w:adjustRightInd w:val="0"/>
              <w:jc w:val="right"/>
              <w:rPr>
                <w:b/>
                <w:sz w:val="20"/>
              </w:rPr>
            </w:pPr>
            <w:r>
              <w:rPr>
                <w:b/>
                <w:sz w:val="20"/>
              </w:rPr>
              <w:t>446,82</w:t>
            </w:r>
          </w:p>
        </w:tc>
        <w:tc>
          <w:tcPr>
            <w:tcW w:w="1134" w:type="dxa"/>
            <w:vAlign w:val="bottom"/>
          </w:tcPr>
          <w:p w:rsidR="00000000" w:rsidRDefault="00000000">
            <w:pPr>
              <w:pageBreakBefore/>
              <w:widowControl w:val="0"/>
              <w:tabs>
                <w:tab w:val="decimal" w:pos="489"/>
              </w:tabs>
              <w:autoSpaceDE w:val="0"/>
              <w:autoSpaceDN w:val="0"/>
              <w:adjustRightInd w:val="0"/>
              <w:jc w:val="right"/>
              <w:rPr>
                <w:b/>
                <w:sz w:val="20"/>
              </w:rPr>
            </w:pPr>
            <w:r>
              <w:rPr>
                <w:b/>
                <w:sz w:val="20"/>
              </w:rPr>
              <w:t>480,63</w:t>
            </w:r>
          </w:p>
        </w:tc>
        <w:tc>
          <w:tcPr>
            <w:tcW w:w="1134" w:type="dxa"/>
            <w:vAlign w:val="bottom"/>
          </w:tcPr>
          <w:p w:rsidR="00000000" w:rsidRDefault="00000000">
            <w:pPr>
              <w:pageBreakBefore/>
              <w:widowControl w:val="0"/>
              <w:tabs>
                <w:tab w:val="decimal" w:pos="460"/>
              </w:tabs>
              <w:autoSpaceDE w:val="0"/>
              <w:autoSpaceDN w:val="0"/>
              <w:adjustRightInd w:val="0"/>
              <w:jc w:val="right"/>
              <w:rPr>
                <w:b/>
                <w:sz w:val="20"/>
              </w:rPr>
            </w:pPr>
            <w:r>
              <w:rPr>
                <w:b/>
                <w:sz w:val="20"/>
              </w:rPr>
              <w:t>409,64</w:t>
            </w:r>
          </w:p>
        </w:tc>
        <w:tc>
          <w:tcPr>
            <w:tcW w:w="1134" w:type="dxa"/>
            <w:vAlign w:val="bottom"/>
          </w:tcPr>
          <w:p w:rsidR="00000000" w:rsidRDefault="00000000">
            <w:pPr>
              <w:pageBreakBefore/>
              <w:widowControl w:val="0"/>
              <w:tabs>
                <w:tab w:val="decimal" w:pos="475"/>
              </w:tabs>
              <w:autoSpaceDE w:val="0"/>
              <w:autoSpaceDN w:val="0"/>
              <w:adjustRightInd w:val="0"/>
              <w:jc w:val="right"/>
              <w:rPr>
                <w:b/>
                <w:sz w:val="20"/>
              </w:rPr>
            </w:pPr>
            <w:r>
              <w:rPr>
                <w:b/>
                <w:sz w:val="20"/>
              </w:rPr>
              <w:t>482,55</w:t>
            </w:r>
          </w:p>
        </w:tc>
        <w:tc>
          <w:tcPr>
            <w:tcW w:w="1134" w:type="dxa"/>
            <w:vAlign w:val="bottom"/>
          </w:tcPr>
          <w:p w:rsidR="00000000" w:rsidRDefault="00000000">
            <w:pPr>
              <w:pageBreakBefore/>
              <w:widowControl w:val="0"/>
              <w:tabs>
                <w:tab w:val="decimal" w:pos="488"/>
              </w:tabs>
              <w:autoSpaceDE w:val="0"/>
              <w:autoSpaceDN w:val="0"/>
              <w:adjustRightInd w:val="0"/>
              <w:jc w:val="right"/>
              <w:rPr>
                <w:b/>
                <w:sz w:val="20"/>
              </w:rPr>
            </w:pPr>
            <w:r>
              <w:rPr>
                <w:b/>
                <w:sz w:val="20"/>
              </w:rPr>
              <w:t>444,13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Directrices et chefs d’entreprise,</w:t>
            </w:r>
            <w:r>
              <w:rPr>
                <w:sz w:val="20"/>
              </w:rPr>
              <w:br/>
              <w:t>secteurs public et privé</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2 281,91</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3 957,47</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4 881,08</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2 698,17</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3 303,78</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1 694,77</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2 723,22</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1 510,18</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1 959,51</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2 241,26</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Techniciennes et cadres moyens</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1 200,54</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922,49</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1 252,14</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1 313,19</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1 470,71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Employées de bureau</w:t>
            </w:r>
          </w:p>
        </w:tc>
        <w:tc>
          <w:tcPr>
            <w:tcW w:w="1134" w:type="dxa"/>
            <w:vAlign w:val="bottom"/>
          </w:tcPr>
          <w:p w:rsidR="00000000" w:rsidRDefault="00000000">
            <w:pPr>
              <w:widowControl w:val="0"/>
              <w:tabs>
                <w:tab w:val="decimal" w:pos="476"/>
              </w:tabs>
              <w:autoSpaceDE w:val="0"/>
              <w:autoSpaceDN w:val="0"/>
              <w:adjustRightInd w:val="0"/>
              <w:jc w:val="right"/>
              <w:rPr>
                <w:sz w:val="20"/>
              </w:rPr>
            </w:pPr>
            <w:r>
              <w:rPr>
                <w:sz w:val="20"/>
              </w:rPr>
              <w:t>1 038,53</w:t>
            </w:r>
          </w:p>
        </w:tc>
        <w:tc>
          <w:tcPr>
            <w:tcW w:w="1134" w:type="dxa"/>
            <w:vAlign w:val="bottom"/>
          </w:tcPr>
          <w:p w:rsidR="00000000" w:rsidRDefault="00000000">
            <w:pPr>
              <w:widowControl w:val="0"/>
              <w:tabs>
                <w:tab w:val="decimal" w:pos="489"/>
              </w:tabs>
              <w:autoSpaceDE w:val="0"/>
              <w:autoSpaceDN w:val="0"/>
              <w:adjustRightInd w:val="0"/>
              <w:jc w:val="right"/>
              <w:rPr>
                <w:sz w:val="20"/>
              </w:rPr>
            </w:pPr>
            <w:r>
              <w:rPr>
                <w:sz w:val="20"/>
              </w:rPr>
              <w:t>1 221,11</w:t>
            </w:r>
          </w:p>
        </w:tc>
        <w:tc>
          <w:tcPr>
            <w:tcW w:w="1134" w:type="dxa"/>
            <w:vAlign w:val="bottom"/>
          </w:tcPr>
          <w:p w:rsidR="00000000" w:rsidRDefault="00000000">
            <w:pPr>
              <w:widowControl w:val="0"/>
              <w:tabs>
                <w:tab w:val="decimal" w:pos="460"/>
              </w:tabs>
              <w:autoSpaceDE w:val="0"/>
              <w:autoSpaceDN w:val="0"/>
              <w:adjustRightInd w:val="0"/>
              <w:jc w:val="right"/>
              <w:rPr>
                <w:sz w:val="20"/>
              </w:rPr>
            </w:pPr>
            <w:r>
              <w:rPr>
                <w:sz w:val="20"/>
              </w:rPr>
              <w:t>1 214,53</w:t>
            </w:r>
          </w:p>
        </w:tc>
        <w:tc>
          <w:tcPr>
            <w:tcW w:w="1134" w:type="dxa"/>
            <w:vAlign w:val="bottom"/>
          </w:tcPr>
          <w:p w:rsidR="00000000" w:rsidRDefault="00000000">
            <w:pPr>
              <w:widowControl w:val="0"/>
              <w:tabs>
                <w:tab w:val="decimal" w:pos="475"/>
              </w:tabs>
              <w:autoSpaceDE w:val="0"/>
              <w:autoSpaceDN w:val="0"/>
              <w:adjustRightInd w:val="0"/>
              <w:jc w:val="right"/>
              <w:rPr>
                <w:sz w:val="20"/>
              </w:rPr>
            </w:pPr>
            <w:r>
              <w:rPr>
                <w:sz w:val="20"/>
              </w:rPr>
              <w:t>1 101,94</w:t>
            </w:r>
          </w:p>
        </w:tc>
        <w:tc>
          <w:tcPr>
            <w:tcW w:w="1134" w:type="dxa"/>
            <w:vAlign w:val="bottom"/>
          </w:tcPr>
          <w:p w:rsidR="00000000" w:rsidRDefault="00000000">
            <w:pPr>
              <w:widowControl w:val="0"/>
              <w:tabs>
                <w:tab w:val="decimal" w:pos="488"/>
              </w:tabs>
              <w:autoSpaceDE w:val="0"/>
              <w:autoSpaceDN w:val="0"/>
              <w:adjustRightInd w:val="0"/>
              <w:jc w:val="right"/>
              <w:rPr>
                <w:sz w:val="20"/>
              </w:rPr>
            </w:pPr>
            <w:r>
              <w:rPr>
                <w:sz w:val="20"/>
              </w:rPr>
              <w:t>1 197,97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keepNext/>
              <w:keepLines/>
              <w:widowControl w:val="0"/>
              <w:tabs>
                <w:tab w:val="decimal" w:pos="476"/>
              </w:tabs>
              <w:autoSpaceDE w:val="0"/>
              <w:autoSpaceDN w:val="0"/>
              <w:adjustRightInd w:val="0"/>
              <w:jc w:val="right"/>
              <w:rPr>
                <w:sz w:val="20"/>
              </w:rPr>
            </w:pPr>
            <w:r>
              <w:rPr>
                <w:sz w:val="20"/>
              </w:rPr>
              <w:t>652,01</w:t>
            </w:r>
          </w:p>
        </w:tc>
        <w:tc>
          <w:tcPr>
            <w:tcW w:w="1134" w:type="dxa"/>
            <w:vAlign w:val="bottom"/>
          </w:tcPr>
          <w:p w:rsidR="00000000" w:rsidRDefault="00000000">
            <w:pPr>
              <w:keepNext/>
              <w:keepLines/>
              <w:widowControl w:val="0"/>
              <w:tabs>
                <w:tab w:val="decimal" w:pos="489"/>
              </w:tabs>
              <w:autoSpaceDE w:val="0"/>
              <w:autoSpaceDN w:val="0"/>
              <w:adjustRightInd w:val="0"/>
              <w:jc w:val="right"/>
              <w:rPr>
                <w:sz w:val="20"/>
              </w:rPr>
            </w:pPr>
            <w:r>
              <w:rPr>
                <w:sz w:val="20"/>
              </w:rPr>
              <w:t>568,61</w:t>
            </w:r>
          </w:p>
        </w:tc>
        <w:tc>
          <w:tcPr>
            <w:tcW w:w="1134" w:type="dxa"/>
            <w:vAlign w:val="bottom"/>
          </w:tcPr>
          <w:p w:rsidR="00000000" w:rsidRDefault="00000000">
            <w:pPr>
              <w:keepNext/>
              <w:keepLines/>
              <w:widowControl w:val="0"/>
              <w:tabs>
                <w:tab w:val="decimal" w:pos="460"/>
              </w:tabs>
              <w:autoSpaceDE w:val="0"/>
              <w:autoSpaceDN w:val="0"/>
              <w:adjustRightInd w:val="0"/>
              <w:jc w:val="right"/>
              <w:rPr>
                <w:sz w:val="20"/>
              </w:rPr>
            </w:pPr>
            <w:r>
              <w:rPr>
                <w:sz w:val="20"/>
              </w:rPr>
              <w:t>463,69</w:t>
            </w:r>
          </w:p>
        </w:tc>
        <w:tc>
          <w:tcPr>
            <w:tcW w:w="1134" w:type="dxa"/>
            <w:vAlign w:val="bottom"/>
          </w:tcPr>
          <w:p w:rsidR="00000000" w:rsidRDefault="00000000">
            <w:pPr>
              <w:keepNext/>
              <w:keepLines/>
              <w:widowControl w:val="0"/>
              <w:tabs>
                <w:tab w:val="decimal" w:pos="475"/>
              </w:tabs>
              <w:autoSpaceDE w:val="0"/>
              <w:autoSpaceDN w:val="0"/>
              <w:adjustRightInd w:val="0"/>
              <w:jc w:val="right"/>
              <w:rPr>
                <w:sz w:val="20"/>
              </w:rPr>
            </w:pPr>
            <w:r>
              <w:rPr>
                <w:sz w:val="20"/>
              </w:rPr>
              <w:t>606,57</w:t>
            </w:r>
          </w:p>
        </w:tc>
        <w:tc>
          <w:tcPr>
            <w:tcW w:w="1134" w:type="dxa"/>
            <w:vAlign w:val="bottom"/>
          </w:tcPr>
          <w:p w:rsidR="00000000" w:rsidRDefault="00000000">
            <w:pPr>
              <w:keepNext/>
              <w:keepLines/>
              <w:widowControl w:val="0"/>
              <w:tabs>
                <w:tab w:val="decimal" w:pos="488"/>
              </w:tabs>
              <w:autoSpaceDE w:val="0"/>
              <w:autoSpaceDN w:val="0"/>
              <w:adjustRightInd w:val="0"/>
              <w:jc w:val="right"/>
              <w:rPr>
                <w:sz w:val="20"/>
              </w:rPr>
            </w:pPr>
            <w:r>
              <w:rPr>
                <w:sz w:val="20"/>
              </w:rPr>
              <w:t>453,21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keepNext/>
              <w:keepLines/>
              <w:widowControl w:val="0"/>
              <w:tabs>
                <w:tab w:val="decimal" w:pos="476"/>
              </w:tabs>
              <w:autoSpaceDE w:val="0"/>
              <w:autoSpaceDN w:val="0"/>
              <w:adjustRightInd w:val="0"/>
              <w:jc w:val="right"/>
              <w:rPr>
                <w:sz w:val="20"/>
              </w:rPr>
            </w:pPr>
            <w:r>
              <w:rPr>
                <w:sz w:val="20"/>
              </w:rPr>
              <w:t>37,08</w:t>
            </w:r>
          </w:p>
        </w:tc>
        <w:tc>
          <w:tcPr>
            <w:tcW w:w="1134" w:type="dxa"/>
            <w:vAlign w:val="bottom"/>
          </w:tcPr>
          <w:p w:rsidR="00000000" w:rsidRDefault="00000000">
            <w:pPr>
              <w:keepNext/>
              <w:keepLines/>
              <w:widowControl w:val="0"/>
              <w:tabs>
                <w:tab w:val="decimal" w:pos="489"/>
              </w:tabs>
              <w:autoSpaceDE w:val="0"/>
              <w:autoSpaceDN w:val="0"/>
              <w:adjustRightInd w:val="0"/>
              <w:jc w:val="right"/>
              <w:rPr>
                <w:sz w:val="20"/>
              </w:rPr>
            </w:pPr>
            <w:r>
              <w:rPr>
                <w:sz w:val="20"/>
              </w:rPr>
              <w:t>38,15</w:t>
            </w:r>
          </w:p>
        </w:tc>
        <w:tc>
          <w:tcPr>
            <w:tcW w:w="1134" w:type="dxa"/>
            <w:vAlign w:val="bottom"/>
          </w:tcPr>
          <w:p w:rsidR="00000000" w:rsidRDefault="00000000">
            <w:pPr>
              <w:keepNext/>
              <w:keepLines/>
              <w:widowControl w:val="0"/>
              <w:tabs>
                <w:tab w:val="decimal" w:pos="460"/>
              </w:tabs>
              <w:autoSpaceDE w:val="0"/>
              <w:autoSpaceDN w:val="0"/>
              <w:adjustRightInd w:val="0"/>
              <w:jc w:val="right"/>
              <w:rPr>
                <w:sz w:val="20"/>
              </w:rPr>
            </w:pPr>
            <w:r>
              <w:rPr>
                <w:sz w:val="20"/>
              </w:rPr>
              <w:t>41,28</w:t>
            </w:r>
          </w:p>
        </w:tc>
        <w:tc>
          <w:tcPr>
            <w:tcW w:w="1134" w:type="dxa"/>
            <w:vAlign w:val="bottom"/>
          </w:tcPr>
          <w:p w:rsidR="00000000" w:rsidRDefault="00000000">
            <w:pPr>
              <w:keepNext/>
              <w:keepLines/>
              <w:widowControl w:val="0"/>
              <w:tabs>
                <w:tab w:val="decimal" w:pos="475"/>
              </w:tabs>
              <w:autoSpaceDE w:val="0"/>
              <w:autoSpaceDN w:val="0"/>
              <w:adjustRightInd w:val="0"/>
              <w:jc w:val="right"/>
              <w:rPr>
                <w:sz w:val="20"/>
              </w:rPr>
            </w:pPr>
            <w:r>
              <w:rPr>
                <w:sz w:val="20"/>
              </w:rPr>
              <w:t>51,41</w:t>
            </w:r>
          </w:p>
        </w:tc>
        <w:tc>
          <w:tcPr>
            <w:tcW w:w="1134" w:type="dxa"/>
            <w:vAlign w:val="bottom"/>
          </w:tcPr>
          <w:p w:rsidR="00000000" w:rsidRDefault="00000000">
            <w:pPr>
              <w:keepNext/>
              <w:keepLines/>
              <w:widowControl w:val="0"/>
              <w:tabs>
                <w:tab w:val="decimal" w:pos="488"/>
              </w:tabs>
              <w:autoSpaceDE w:val="0"/>
              <w:autoSpaceDN w:val="0"/>
              <w:adjustRightInd w:val="0"/>
              <w:jc w:val="right"/>
              <w:rPr>
                <w:sz w:val="20"/>
              </w:rPr>
            </w:pPr>
            <w:r>
              <w:rPr>
                <w:sz w:val="20"/>
              </w:rPr>
              <w:t>60,83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keepNext/>
              <w:keepLines/>
              <w:widowControl w:val="0"/>
              <w:tabs>
                <w:tab w:val="decimal" w:pos="476"/>
              </w:tabs>
              <w:autoSpaceDE w:val="0"/>
              <w:autoSpaceDN w:val="0"/>
              <w:adjustRightInd w:val="0"/>
              <w:jc w:val="right"/>
              <w:rPr>
                <w:sz w:val="20"/>
              </w:rPr>
            </w:pPr>
            <w:r>
              <w:rPr>
                <w:sz w:val="20"/>
              </w:rPr>
              <w:t>290,2</w:t>
            </w:r>
          </w:p>
        </w:tc>
        <w:tc>
          <w:tcPr>
            <w:tcW w:w="1134" w:type="dxa"/>
            <w:vAlign w:val="bottom"/>
          </w:tcPr>
          <w:p w:rsidR="00000000" w:rsidRDefault="00000000">
            <w:pPr>
              <w:keepNext/>
              <w:keepLines/>
              <w:widowControl w:val="0"/>
              <w:tabs>
                <w:tab w:val="decimal" w:pos="489"/>
              </w:tabs>
              <w:autoSpaceDE w:val="0"/>
              <w:autoSpaceDN w:val="0"/>
              <w:adjustRightInd w:val="0"/>
              <w:jc w:val="right"/>
              <w:rPr>
                <w:sz w:val="20"/>
              </w:rPr>
            </w:pPr>
            <w:r>
              <w:rPr>
                <w:sz w:val="20"/>
              </w:rPr>
              <w:t>307,48</w:t>
            </w:r>
          </w:p>
        </w:tc>
        <w:tc>
          <w:tcPr>
            <w:tcW w:w="1134" w:type="dxa"/>
            <w:vAlign w:val="bottom"/>
          </w:tcPr>
          <w:p w:rsidR="00000000" w:rsidRDefault="00000000">
            <w:pPr>
              <w:keepNext/>
              <w:keepLines/>
              <w:widowControl w:val="0"/>
              <w:tabs>
                <w:tab w:val="decimal" w:pos="460"/>
              </w:tabs>
              <w:autoSpaceDE w:val="0"/>
              <w:autoSpaceDN w:val="0"/>
              <w:adjustRightInd w:val="0"/>
              <w:jc w:val="right"/>
              <w:rPr>
                <w:sz w:val="20"/>
              </w:rPr>
            </w:pPr>
            <w:r>
              <w:rPr>
                <w:sz w:val="20"/>
              </w:rPr>
              <w:t>283,03</w:t>
            </w:r>
          </w:p>
        </w:tc>
        <w:tc>
          <w:tcPr>
            <w:tcW w:w="1134" w:type="dxa"/>
            <w:vAlign w:val="bottom"/>
          </w:tcPr>
          <w:p w:rsidR="00000000" w:rsidRDefault="00000000">
            <w:pPr>
              <w:keepNext/>
              <w:keepLines/>
              <w:widowControl w:val="0"/>
              <w:tabs>
                <w:tab w:val="decimal" w:pos="475"/>
              </w:tabs>
              <w:autoSpaceDE w:val="0"/>
              <w:autoSpaceDN w:val="0"/>
              <w:adjustRightInd w:val="0"/>
              <w:jc w:val="right"/>
              <w:rPr>
                <w:sz w:val="20"/>
              </w:rPr>
            </w:pPr>
            <w:r>
              <w:rPr>
                <w:sz w:val="20"/>
              </w:rPr>
              <w:t>437,19</w:t>
            </w:r>
          </w:p>
        </w:tc>
        <w:tc>
          <w:tcPr>
            <w:tcW w:w="1134" w:type="dxa"/>
            <w:vAlign w:val="bottom"/>
          </w:tcPr>
          <w:p w:rsidR="00000000" w:rsidRDefault="00000000">
            <w:pPr>
              <w:keepNext/>
              <w:keepLines/>
              <w:widowControl w:val="0"/>
              <w:tabs>
                <w:tab w:val="decimal" w:pos="488"/>
              </w:tabs>
              <w:autoSpaceDE w:val="0"/>
              <w:autoSpaceDN w:val="0"/>
              <w:adjustRightInd w:val="0"/>
              <w:jc w:val="right"/>
              <w:rPr>
                <w:sz w:val="20"/>
              </w:rPr>
            </w:pPr>
            <w:r>
              <w:rPr>
                <w:sz w:val="20"/>
              </w:rPr>
              <w:t>390,74</w:t>
            </w:r>
          </w:p>
        </w:tc>
      </w:tr>
      <w:tr w:rsidR="00000000">
        <w:tblPrEx>
          <w:tblCellMar>
            <w:top w:w="0" w:type="dxa"/>
            <w:bottom w:w="0" w:type="dxa"/>
          </w:tblCellMar>
        </w:tblPrEx>
        <w:tc>
          <w:tcPr>
            <w:tcW w:w="3799" w:type="dxa"/>
            <w:tcBorders>
              <w:top w:val="nil"/>
              <w:bottom w:val="nil"/>
            </w:tcBorders>
            <w:vAlign w:val="bottom"/>
          </w:tcPr>
          <w:p w:rsidR="00000000" w:rsidRDefault="00000000">
            <w:pPr>
              <w:keepNext/>
              <w:keepLines/>
              <w:spacing w:before="60" w:after="60"/>
              <w:ind w:left="284"/>
              <w:rPr>
                <w:sz w:val="20"/>
              </w:rPr>
            </w:pPr>
            <w:r>
              <w:rPr>
                <w:sz w:val="20"/>
              </w:rPr>
              <w:t>Conductrices d’installations</w:t>
            </w:r>
            <w:r>
              <w:rPr>
                <w:sz w:val="20"/>
              </w:rPr>
              <w:br/>
              <w:t xml:space="preserve">et de machines </w:t>
            </w:r>
          </w:p>
        </w:tc>
        <w:tc>
          <w:tcPr>
            <w:tcW w:w="1134" w:type="dxa"/>
            <w:vAlign w:val="bottom"/>
          </w:tcPr>
          <w:p w:rsidR="00000000" w:rsidRDefault="00000000">
            <w:pPr>
              <w:keepNext/>
              <w:keepLines/>
              <w:widowControl w:val="0"/>
              <w:tabs>
                <w:tab w:val="decimal" w:pos="476"/>
              </w:tabs>
              <w:autoSpaceDE w:val="0"/>
              <w:autoSpaceDN w:val="0"/>
              <w:adjustRightInd w:val="0"/>
              <w:jc w:val="right"/>
              <w:rPr>
                <w:sz w:val="20"/>
              </w:rPr>
            </w:pPr>
            <w:r>
              <w:rPr>
                <w:sz w:val="20"/>
              </w:rPr>
              <w:t>1 130,81</w:t>
            </w:r>
          </w:p>
        </w:tc>
        <w:tc>
          <w:tcPr>
            <w:tcW w:w="1134" w:type="dxa"/>
            <w:vAlign w:val="bottom"/>
          </w:tcPr>
          <w:p w:rsidR="00000000" w:rsidRDefault="00000000">
            <w:pPr>
              <w:keepNext/>
              <w:keepLines/>
              <w:widowControl w:val="0"/>
              <w:tabs>
                <w:tab w:val="decimal" w:pos="489"/>
              </w:tabs>
              <w:autoSpaceDE w:val="0"/>
              <w:autoSpaceDN w:val="0"/>
              <w:adjustRightInd w:val="0"/>
              <w:jc w:val="right"/>
              <w:rPr>
                <w:sz w:val="20"/>
              </w:rPr>
            </w:pPr>
            <w:r>
              <w:rPr>
                <w:sz w:val="20"/>
              </w:rPr>
              <w:t>1 142,09</w:t>
            </w:r>
          </w:p>
        </w:tc>
        <w:tc>
          <w:tcPr>
            <w:tcW w:w="1134" w:type="dxa"/>
            <w:vAlign w:val="bottom"/>
          </w:tcPr>
          <w:p w:rsidR="00000000" w:rsidRDefault="00000000">
            <w:pPr>
              <w:keepNext/>
              <w:keepLines/>
              <w:widowControl w:val="0"/>
              <w:tabs>
                <w:tab w:val="decimal" w:pos="460"/>
              </w:tabs>
              <w:autoSpaceDE w:val="0"/>
              <w:autoSpaceDN w:val="0"/>
              <w:adjustRightInd w:val="0"/>
              <w:jc w:val="right"/>
              <w:rPr>
                <w:sz w:val="20"/>
              </w:rPr>
            </w:pPr>
            <w:r>
              <w:rPr>
                <w:sz w:val="20"/>
              </w:rPr>
              <w:t>739,44</w:t>
            </w:r>
          </w:p>
        </w:tc>
        <w:tc>
          <w:tcPr>
            <w:tcW w:w="1134" w:type="dxa"/>
            <w:vAlign w:val="bottom"/>
          </w:tcPr>
          <w:p w:rsidR="00000000" w:rsidRDefault="00000000">
            <w:pPr>
              <w:keepNext/>
              <w:keepLines/>
              <w:widowControl w:val="0"/>
              <w:tabs>
                <w:tab w:val="decimal" w:pos="475"/>
              </w:tabs>
              <w:autoSpaceDE w:val="0"/>
              <w:autoSpaceDN w:val="0"/>
              <w:adjustRightInd w:val="0"/>
              <w:jc w:val="right"/>
              <w:rPr>
                <w:sz w:val="20"/>
              </w:rPr>
            </w:pPr>
            <w:r>
              <w:rPr>
                <w:sz w:val="20"/>
              </w:rPr>
              <w:t>1 175,13</w:t>
            </w:r>
          </w:p>
        </w:tc>
        <w:tc>
          <w:tcPr>
            <w:tcW w:w="1134" w:type="dxa"/>
            <w:vAlign w:val="bottom"/>
          </w:tcPr>
          <w:p w:rsidR="00000000" w:rsidRDefault="00000000">
            <w:pPr>
              <w:keepNext/>
              <w:keepLines/>
              <w:widowControl w:val="0"/>
              <w:tabs>
                <w:tab w:val="decimal" w:pos="488"/>
              </w:tabs>
              <w:autoSpaceDE w:val="0"/>
              <w:autoSpaceDN w:val="0"/>
              <w:adjustRightInd w:val="0"/>
              <w:jc w:val="right"/>
              <w:rPr>
                <w:sz w:val="20"/>
              </w:rPr>
            </w:pPr>
            <w:r>
              <w:rPr>
                <w:sz w:val="20"/>
              </w:rPr>
              <w:t>171,87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Travailleuses non qualifiées</w:t>
            </w:r>
          </w:p>
        </w:tc>
        <w:tc>
          <w:tcPr>
            <w:tcW w:w="1134" w:type="dxa"/>
            <w:vAlign w:val="bottom"/>
          </w:tcPr>
          <w:p w:rsidR="00000000" w:rsidRDefault="00000000">
            <w:pPr>
              <w:keepNext/>
              <w:keepLines/>
              <w:widowControl w:val="0"/>
              <w:tabs>
                <w:tab w:val="decimal" w:pos="476"/>
              </w:tabs>
              <w:autoSpaceDE w:val="0"/>
              <w:autoSpaceDN w:val="0"/>
              <w:adjustRightInd w:val="0"/>
              <w:jc w:val="right"/>
              <w:rPr>
                <w:sz w:val="20"/>
              </w:rPr>
            </w:pPr>
            <w:r>
              <w:rPr>
                <w:sz w:val="20"/>
              </w:rPr>
              <w:t>459,69</w:t>
            </w:r>
          </w:p>
        </w:tc>
        <w:tc>
          <w:tcPr>
            <w:tcW w:w="1134" w:type="dxa"/>
            <w:vAlign w:val="bottom"/>
          </w:tcPr>
          <w:p w:rsidR="00000000" w:rsidRDefault="00000000">
            <w:pPr>
              <w:keepNext/>
              <w:keepLines/>
              <w:widowControl w:val="0"/>
              <w:tabs>
                <w:tab w:val="decimal" w:pos="489"/>
              </w:tabs>
              <w:autoSpaceDE w:val="0"/>
              <w:autoSpaceDN w:val="0"/>
              <w:adjustRightInd w:val="0"/>
              <w:jc w:val="right"/>
              <w:rPr>
                <w:sz w:val="20"/>
              </w:rPr>
            </w:pPr>
            <w:r>
              <w:rPr>
                <w:sz w:val="20"/>
              </w:rPr>
              <w:t>469,06</w:t>
            </w:r>
          </w:p>
        </w:tc>
        <w:tc>
          <w:tcPr>
            <w:tcW w:w="1134" w:type="dxa"/>
            <w:vAlign w:val="bottom"/>
          </w:tcPr>
          <w:p w:rsidR="00000000" w:rsidRDefault="00000000">
            <w:pPr>
              <w:keepNext/>
              <w:keepLines/>
              <w:widowControl w:val="0"/>
              <w:tabs>
                <w:tab w:val="decimal" w:pos="460"/>
              </w:tabs>
              <w:autoSpaceDE w:val="0"/>
              <w:autoSpaceDN w:val="0"/>
              <w:adjustRightInd w:val="0"/>
              <w:jc w:val="right"/>
              <w:rPr>
                <w:sz w:val="20"/>
              </w:rPr>
            </w:pPr>
            <w:r>
              <w:rPr>
                <w:sz w:val="20"/>
              </w:rPr>
              <w:t>262,36</w:t>
            </w:r>
          </w:p>
        </w:tc>
        <w:tc>
          <w:tcPr>
            <w:tcW w:w="1134" w:type="dxa"/>
            <w:vAlign w:val="bottom"/>
          </w:tcPr>
          <w:p w:rsidR="00000000" w:rsidRDefault="00000000">
            <w:pPr>
              <w:keepNext/>
              <w:keepLines/>
              <w:widowControl w:val="0"/>
              <w:tabs>
                <w:tab w:val="decimal" w:pos="475"/>
              </w:tabs>
              <w:autoSpaceDE w:val="0"/>
              <w:autoSpaceDN w:val="0"/>
              <w:adjustRightInd w:val="0"/>
              <w:jc w:val="right"/>
              <w:rPr>
                <w:sz w:val="20"/>
              </w:rPr>
            </w:pPr>
            <w:r>
              <w:rPr>
                <w:sz w:val="20"/>
              </w:rPr>
              <w:t>508,76</w:t>
            </w:r>
          </w:p>
        </w:tc>
        <w:tc>
          <w:tcPr>
            <w:tcW w:w="1134" w:type="dxa"/>
            <w:vAlign w:val="bottom"/>
          </w:tcPr>
          <w:p w:rsidR="00000000" w:rsidRDefault="00000000">
            <w:pPr>
              <w:keepNext/>
              <w:keepLines/>
              <w:widowControl w:val="0"/>
              <w:tabs>
                <w:tab w:val="decimal" w:pos="488"/>
              </w:tabs>
              <w:autoSpaceDE w:val="0"/>
              <w:autoSpaceDN w:val="0"/>
              <w:adjustRightInd w:val="0"/>
              <w:jc w:val="right"/>
              <w:rPr>
                <w:sz w:val="20"/>
              </w:rPr>
            </w:pPr>
            <w:r>
              <w:rPr>
                <w:sz w:val="20"/>
              </w:rPr>
              <w:t>437,06</w:t>
            </w:r>
          </w:p>
        </w:tc>
      </w:tr>
      <w:tr w:rsidR="00000000">
        <w:tblPrEx>
          <w:tblCellMar>
            <w:top w:w="0" w:type="dxa"/>
            <w:bottom w:w="0" w:type="dxa"/>
          </w:tblCellMar>
        </w:tblPrEx>
        <w:tc>
          <w:tcPr>
            <w:tcW w:w="3799" w:type="dxa"/>
            <w:tcBorders>
              <w:top w:val="nil"/>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keepNext/>
              <w:keepLines/>
              <w:widowControl w:val="0"/>
              <w:tabs>
                <w:tab w:val="decimal" w:pos="521"/>
              </w:tabs>
              <w:autoSpaceDE w:val="0"/>
              <w:autoSpaceDN w:val="0"/>
              <w:adjustRightInd w:val="0"/>
              <w:jc w:val="right"/>
              <w:rPr>
                <w:sz w:val="20"/>
              </w:rPr>
            </w:pPr>
          </w:p>
        </w:tc>
        <w:tc>
          <w:tcPr>
            <w:tcW w:w="1134" w:type="dxa"/>
            <w:vAlign w:val="bottom"/>
          </w:tcPr>
          <w:p w:rsidR="00000000" w:rsidRDefault="00000000">
            <w:pPr>
              <w:keepNext/>
              <w:keepLines/>
              <w:widowControl w:val="0"/>
              <w:autoSpaceDE w:val="0"/>
              <w:autoSpaceDN w:val="0"/>
              <w:adjustRightInd w:val="0"/>
              <w:jc w:val="right"/>
              <w:rPr>
                <w:sz w:val="20"/>
              </w:rPr>
            </w:pPr>
          </w:p>
        </w:tc>
        <w:tc>
          <w:tcPr>
            <w:tcW w:w="1134" w:type="dxa"/>
            <w:vAlign w:val="bottom"/>
          </w:tcPr>
          <w:p w:rsidR="00000000" w:rsidRDefault="00000000">
            <w:pPr>
              <w:keepNext/>
              <w:keepLines/>
              <w:widowControl w:val="0"/>
              <w:autoSpaceDE w:val="0"/>
              <w:autoSpaceDN w:val="0"/>
              <w:adjustRightInd w:val="0"/>
              <w:jc w:val="right"/>
              <w:rPr>
                <w:sz w:val="20"/>
              </w:rPr>
            </w:pPr>
          </w:p>
        </w:tc>
        <w:tc>
          <w:tcPr>
            <w:tcW w:w="1134" w:type="dxa"/>
            <w:vAlign w:val="bottom"/>
          </w:tcPr>
          <w:p w:rsidR="00000000" w:rsidRDefault="00000000">
            <w:pPr>
              <w:keepNext/>
              <w:keepLines/>
              <w:widowControl w:val="0"/>
              <w:tabs>
                <w:tab w:val="decimal" w:pos="475"/>
              </w:tabs>
              <w:autoSpaceDE w:val="0"/>
              <w:autoSpaceDN w:val="0"/>
              <w:adjustRightInd w:val="0"/>
              <w:jc w:val="right"/>
              <w:rPr>
                <w:sz w:val="20"/>
              </w:rPr>
            </w:pPr>
          </w:p>
        </w:tc>
        <w:tc>
          <w:tcPr>
            <w:tcW w:w="1134" w:type="dxa"/>
            <w:vAlign w:val="bottom"/>
          </w:tcPr>
          <w:p w:rsidR="00000000" w:rsidRDefault="00000000">
            <w:pPr>
              <w:keepNext/>
              <w:keepLines/>
              <w:widowControl w:val="0"/>
              <w:tabs>
                <w:tab w:val="decimal" w:pos="589"/>
              </w:tabs>
              <w:autoSpaceDE w:val="0"/>
              <w:autoSpaceDN w:val="0"/>
              <w:adjustRightInd w:val="0"/>
              <w:jc w:val="right"/>
              <w:rPr>
                <w:sz w:val="20"/>
              </w:rPr>
            </w:pP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 xml:space="preserve">p </w:t>
      </w:r>
      <w:r>
        <w:rPr>
          <w:sz w:val="20"/>
        </w:rPr>
        <w:t>Chiffres provisoires.</w:t>
      </w:r>
    </w:p>
    <w:p w:rsidR="00000000" w:rsidRDefault="00000000">
      <w:pPr>
        <w:spacing w:after="180"/>
        <w:jc w:val="center"/>
        <w:rPr>
          <w:b/>
          <w:bCs/>
        </w:rPr>
      </w:pPr>
      <w:r>
        <w:rPr>
          <w:b/>
          <w:bCs/>
        </w:rPr>
        <w:br w:type="page"/>
        <w:t>Tableau 2.1</w:t>
      </w:r>
    </w:p>
    <w:p w:rsidR="00000000" w:rsidRDefault="00000000">
      <w:pPr>
        <w:spacing w:after="180"/>
        <w:jc w:val="center"/>
        <w:rPr>
          <w:b/>
          <w:bCs/>
        </w:rPr>
      </w:pPr>
      <w:r>
        <w:rPr>
          <w:b/>
          <w:bCs/>
        </w:rPr>
        <w:t>Bolivie − Zones urbaines: Revenu mensuel moyen, dans l’activité principale,</w:t>
      </w:r>
      <w:r>
        <w:rPr>
          <w:b/>
          <w:bCs/>
        </w:rPr>
        <w:br/>
        <w:t>par année, sexe et catégorie professionnelle, 1999</w:t>
      </w:r>
      <w:r>
        <w:rPr>
          <w:b/>
          <w:bCs/>
        </w:rPr>
        <w:noBreakHyphen/>
        <w:t>2003</w:t>
      </w:r>
      <w:r>
        <w:rPr>
          <w:b/>
          <w:bCs/>
          <w:i/>
          <w:iCs/>
          <w:vertAlign w:val="superscript"/>
        </w:rPr>
        <w:t>p</w:t>
      </w:r>
      <w:r>
        <w:rPr>
          <w:b/>
          <w:bCs/>
        </w:rPr>
        <w:br/>
      </w:r>
      <w:r>
        <w:t>(</w:t>
      </w:r>
      <w:r>
        <w:rPr>
          <w:i/>
          <w:iCs/>
        </w:rPr>
        <w:t>En bolivianos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9"/>
        <w:gridCol w:w="1134"/>
        <w:gridCol w:w="1134"/>
        <w:gridCol w:w="1134"/>
        <w:gridCol w:w="1134"/>
        <w:gridCol w:w="1134"/>
      </w:tblGrid>
      <w:tr w:rsidR="00000000">
        <w:tblPrEx>
          <w:tblCellMar>
            <w:top w:w="0" w:type="dxa"/>
            <w:bottom w:w="0" w:type="dxa"/>
          </w:tblCellMar>
        </w:tblPrEx>
        <w:trPr>
          <w:tblHeader/>
        </w:trPr>
        <w:tc>
          <w:tcPr>
            <w:tcW w:w="3799" w:type="dxa"/>
            <w:tcBorders>
              <w:bottom w:val="single" w:sz="4" w:space="0" w:color="auto"/>
            </w:tcBorders>
            <w:vAlign w:val="center"/>
          </w:tcPr>
          <w:p w:rsidR="00000000" w:rsidRDefault="00000000">
            <w:pPr>
              <w:spacing w:before="60" w:after="60"/>
              <w:jc w:val="center"/>
              <w:rPr>
                <w:sz w:val="20"/>
              </w:rPr>
            </w:pPr>
            <w:r>
              <w:rPr>
                <w:sz w:val="20"/>
              </w:rPr>
              <w:t>Catégorie professionnelle</w:t>
            </w:r>
          </w:p>
        </w:tc>
        <w:tc>
          <w:tcPr>
            <w:tcW w:w="1134" w:type="dxa"/>
            <w:vAlign w:val="center"/>
          </w:tcPr>
          <w:p w:rsidR="00000000" w:rsidRDefault="00000000">
            <w:pPr>
              <w:spacing w:before="60" w:after="60"/>
              <w:jc w:val="center"/>
              <w:rPr>
                <w:sz w:val="20"/>
              </w:rPr>
            </w:pPr>
            <w:r>
              <w:rPr>
                <w:sz w:val="20"/>
              </w:rPr>
              <w:t>1999</w:t>
            </w:r>
          </w:p>
        </w:tc>
        <w:tc>
          <w:tcPr>
            <w:tcW w:w="1134" w:type="dxa"/>
            <w:vAlign w:val="center"/>
          </w:tcPr>
          <w:p w:rsidR="00000000" w:rsidRDefault="00000000">
            <w:pPr>
              <w:spacing w:before="60" w:after="60"/>
              <w:jc w:val="center"/>
              <w:rPr>
                <w:sz w:val="20"/>
              </w:rPr>
            </w:pPr>
            <w:r>
              <w:rPr>
                <w:sz w:val="20"/>
              </w:rPr>
              <w:t>2000</w:t>
            </w:r>
          </w:p>
        </w:tc>
        <w:tc>
          <w:tcPr>
            <w:tcW w:w="1134" w:type="dxa"/>
            <w:vAlign w:val="center"/>
          </w:tcPr>
          <w:p w:rsidR="00000000" w:rsidRDefault="00000000">
            <w:pPr>
              <w:spacing w:before="60" w:after="60"/>
              <w:jc w:val="center"/>
              <w:rPr>
                <w:sz w:val="20"/>
              </w:rPr>
            </w:pPr>
            <w:r>
              <w:rPr>
                <w:sz w:val="20"/>
              </w:rPr>
              <w:t>2001</w:t>
            </w:r>
            <w:r>
              <w:rPr>
                <w:b/>
                <w:bCs/>
                <w:i/>
                <w:iCs/>
                <w:sz w:val="20"/>
                <w:vertAlign w:val="superscript"/>
              </w:rPr>
              <w:t>p</w:t>
            </w:r>
          </w:p>
        </w:tc>
        <w:tc>
          <w:tcPr>
            <w:tcW w:w="1134" w:type="dxa"/>
            <w:vAlign w:val="center"/>
          </w:tcPr>
          <w:p w:rsidR="00000000" w:rsidRDefault="00000000">
            <w:pPr>
              <w:spacing w:before="60" w:after="60"/>
              <w:jc w:val="center"/>
              <w:rPr>
                <w:sz w:val="20"/>
              </w:rPr>
            </w:pPr>
            <w:r>
              <w:rPr>
                <w:sz w:val="20"/>
              </w:rPr>
              <w:t>2002</w:t>
            </w:r>
          </w:p>
        </w:tc>
        <w:tc>
          <w:tcPr>
            <w:tcW w:w="1134"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9" w:type="dxa"/>
            <w:tcBorders>
              <w:bottom w:val="nil"/>
            </w:tcBorders>
            <w:vAlign w:val="bottom"/>
          </w:tcPr>
          <w:p w:rsidR="00000000" w:rsidRDefault="00000000">
            <w:pPr>
              <w:spacing w:before="60" w:after="60"/>
              <w:rPr>
                <w:b/>
                <w:bCs/>
                <w:sz w:val="20"/>
              </w:rPr>
            </w:pPr>
            <w:r>
              <w:rPr>
                <w:b/>
                <w:bCs/>
                <w:sz w:val="20"/>
              </w:rPr>
              <w:t>TOTAL</w:t>
            </w:r>
          </w:p>
        </w:tc>
        <w:tc>
          <w:tcPr>
            <w:tcW w:w="1134" w:type="dxa"/>
            <w:vAlign w:val="bottom"/>
          </w:tcPr>
          <w:p w:rsidR="00000000" w:rsidRDefault="00000000">
            <w:pPr>
              <w:widowControl w:val="0"/>
              <w:tabs>
                <w:tab w:val="decimal" w:pos="463"/>
              </w:tabs>
              <w:autoSpaceDE w:val="0"/>
              <w:autoSpaceDN w:val="0"/>
              <w:adjustRightInd w:val="0"/>
              <w:spacing w:before="60" w:after="60"/>
              <w:jc w:val="right"/>
              <w:rPr>
                <w:b/>
                <w:sz w:val="20"/>
              </w:rPr>
            </w:pPr>
            <w:r>
              <w:rPr>
                <w:b/>
                <w:sz w:val="20"/>
              </w:rPr>
              <w:t>1 021,47</w:t>
            </w:r>
          </w:p>
        </w:tc>
        <w:tc>
          <w:tcPr>
            <w:tcW w:w="1134" w:type="dxa"/>
            <w:vAlign w:val="bottom"/>
          </w:tcPr>
          <w:p w:rsidR="00000000" w:rsidRDefault="00000000">
            <w:pPr>
              <w:widowControl w:val="0"/>
              <w:tabs>
                <w:tab w:val="decimal" w:pos="463"/>
              </w:tabs>
              <w:autoSpaceDE w:val="0"/>
              <w:autoSpaceDN w:val="0"/>
              <w:adjustRightInd w:val="0"/>
              <w:spacing w:before="60" w:after="60"/>
              <w:jc w:val="right"/>
              <w:rPr>
                <w:b/>
                <w:sz w:val="20"/>
              </w:rPr>
            </w:pPr>
            <w:r>
              <w:rPr>
                <w:b/>
                <w:sz w:val="20"/>
              </w:rPr>
              <w:t>1 052,56</w:t>
            </w:r>
          </w:p>
        </w:tc>
        <w:tc>
          <w:tcPr>
            <w:tcW w:w="1134" w:type="dxa"/>
            <w:vAlign w:val="bottom"/>
          </w:tcPr>
          <w:p w:rsidR="00000000" w:rsidRDefault="00000000">
            <w:pPr>
              <w:widowControl w:val="0"/>
              <w:tabs>
                <w:tab w:val="decimal" w:pos="489"/>
              </w:tabs>
              <w:autoSpaceDE w:val="0"/>
              <w:autoSpaceDN w:val="0"/>
              <w:adjustRightInd w:val="0"/>
              <w:spacing w:before="60" w:after="60"/>
              <w:jc w:val="right"/>
              <w:rPr>
                <w:b/>
                <w:sz w:val="20"/>
              </w:rPr>
            </w:pPr>
            <w:r>
              <w:rPr>
                <w:b/>
                <w:sz w:val="20"/>
              </w:rPr>
              <w:t>932,86</w:t>
            </w:r>
          </w:p>
        </w:tc>
        <w:tc>
          <w:tcPr>
            <w:tcW w:w="1134" w:type="dxa"/>
            <w:vAlign w:val="bottom"/>
          </w:tcPr>
          <w:p w:rsidR="00000000" w:rsidRDefault="00000000">
            <w:pPr>
              <w:widowControl w:val="0"/>
              <w:tabs>
                <w:tab w:val="decimal" w:pos="463"/>
              </w:tabs>
              <w:autoSpaceDE w:val="0"/>
              <w:autoSpaceDN w:val="0"/>
              <w:adjustRightInd w:val="0"/>
              <w:spacing w:before="60" w:after="60"/>
              <w:jc w:val="right"/>
              <w:rPr>
                <w:b/>
                <w:sz w:val="20"/>
              </w:rPr>
            </w:pPr>
            <w:r>
              <w:rPr>
                <w:b/>
                <w:sz w:val="20"/>
              </w:rPr>
              <w:t>1 091,50</w:t>
            </w:r>
          </w:p>
        </w:tc>
        <w:tc>
          <w:tcPr>
            <w:tcW w:w="1134" w:type="dxa"/>
            <w:vAlign w:val="bottom"/>
          </w:tcPr>
          <w:p w:rsidR="00000000" w:rsidRDefault="00000000">
            <w:pPr>
              <w:widowControl w:val="0"/>
              <w:tabs>
                <w:tab w:val="decimal" w:pos="460"/>
              </w:tabs>
              <w:autoSpaceDE w:val="0"/>
              <w:autoSpaceDN w:val="0"/>
              <w:adjustRightInd w:val="0"/>
              <w:spacing w:before="60" w:after="60"/>
              <w:jc w:val="right"/>
              <w:rPr>
                <w:b/>
                <w:sz w:val="20"/>
              </w:rPr>
            </w:pPr>
            <w:r>
              <w:rPr>
                <w:b/>
                <w:sz w:val="20"/>
              </w:rPr>
              <w:t>913,18</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Directeurs et chefs d’entreprise,</w:t>
            </w:r>
            <w:r>
              <w:rPr>
                <w:sz w:val="20"/>
              </w:rPr>
              <w:br/>
              <w:t>secteurs public et privé</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3 042,07</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5 557,07</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5 218,58</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5 150,14</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3 336,95</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2 352,97</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3 634,25</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2 160,02</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2 588,58</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2 713,27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Techniciens et cadres moyens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1 347,97</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1 337,78</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1 625,31</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1 565,10</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1 698,63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Employés de bureau</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1 203,25</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1 287,05</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1 332,55</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1 232,74</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1 294,37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751,69</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706,38</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561,01</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840,01</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598,63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382,30</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488,54</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451,77</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519,81</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365,61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792,00</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744,18</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669,85</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743,75</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694,31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Conducteurs d’installations</w:t>
            </w:r>
            <w:r>
              <w:rPr>
                <w:sz w:val="20"/>
              </w:rPr>
              <w:br/>
              <w:t xml:space="preserve">et de machines </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1 244,01</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1 191,54</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1 187,35</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1 281,21</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1 229,87</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Travailleurs non qualifiés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579,23</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555,02</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526,54</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586,03</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514,12</w:t>
            </w:r>
          </w:p>
        </w:tc>
      </w:tr>
      <w:tr w:rsidR="00000000">
        <w:tblPrEx>
          <w:tblCellMar>
            <w:top w:w="0" w:type="dxa"/>
            <w:bottom w:w="0" w:type="dxa"/>
          </w:tblCellMar>
        </w:tblPrEx>
        <w:tc>
          <w:tcPr>
            <w:tcW w:w="3799" w:type="dxa"/>
            <w:tcBorders>
              <w:top w:val="nil"/>
              <w:bottom w:val="single" w:sz="4" w:space="0" w:color="auto"/>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2 010,61</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2 238,40</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2 337,19</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3 205,24</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2 850,67</w:t>
            </w:r>
          </w:p>
        </w:tc>
      </w:tr>
      <w:tr w:rsidR="00000000">
        <w:tblPrEx>
          <w:tblCellMar>
            <w:top w:w="0" w:type="dxa"/>
            <w:bottom w:w="0" w:type="dxa"/>
          </w:tblCellMar>
        </w:tblPrEx>
        <w:tc>
          <w:tcPr>
            <w:tcW w:w="3799" w:type="dxa"/>
            <w:tcBorders>
              <w:bottom w:val="nil"/>
            </w:tcBorders>
            <w:vAlign w:val="bottom"/>
          </w:tcPr>
          <w:p w:rsidR="00000000" w:rsidRDefault="00000000">
            <w:pPr>
              <w:spacing w:before="60" w:after="60"/>
              <w:rPr>
                <w:b/>
                <w:bCs/>
                <w:sz w:val="20"/>
              </w:rPr>
            </w:pPr>
            <w:r>
              <w:rPr>
                <w:b/>
                <w:bCs/>
                <w:sz w:val="20"/>
              </w:rPr>
              <w:t>HOMMES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b/>
                <w:sz w:val="20"/>
              </w:rPr>
            </w:pPr>
            <w:r>
              <w:rPr>
                <w:b/>
                <w:sz w:val="20"/>
              </w:rPr>
              <w:t>1 250,54</w:t>
            </w:r>
          </w:p>
        </w:tc>
        <w:tc>
          <w:tcPr>
            <w:tcW w:w="1134" w:type="dxa"/>
            <w:vAlign w:val="bottom"/>
          </w:tcPr>
          <w:p w:rsidR="00000000" w:rsidRDefault="00000000">
            <w:pPr>
              <w:widowControl w:val="0"/>
              <w:tabs>
                <w:tab w:val="decimal" w:pos="463"/>
              </w:tabs>
              <w:autoSpaceDE w:val="0"/>
              <w:autoSpaceDN w:val="0"/>
              <w:adjustRightInd w:val="0"/>
              <w:spacing w:before="60" w:after="60"/>
              <w:jc w:val="right"/>
              <w:rPr>
                <w:b/>
                <w:sz w:val="20"/>
              </w:rPr>
            </w:pPr>
            <w:r>
              <w:rPr>
                <w:b/>
                <w:sz w:val="20"/>
              </w:rPr>
              <w:t>1 277,41</w:t>
            </w:r>
          </w:p>
        </w:tc>
        <w:tc>
          <w:tcPr>
            <w:tcW w:w="1134" w:type="dxa"/>
            <w:vAlign w:val="bottom"/>
          </w:tcPr>
          <w:p w:rsidR="00000000" w:rsidRDefault="00000000">
            <w:pPr>
              <w:widowControl w:val="0"/>
              <w:tabs>
                <w:tab w:val="decimal" w:pos="489"/>
              </w:tabs>
              <w:autoSpaceDE w:val="0"/>
              <w:autoSpaceDN w:val="0"/>
              <w:adjustRightInd w:val="0"/>
              <w:spacing w:before="60" w:after="60"/>
              <w:jc w:val="right"/>
              <w:rPr>
                <w:b/>
                <w:sz w:val="20"/>
              </w:rPr>
            </w:pPr>
            <w:r>
              <w:rPr>
                <w:b/>
                <w:sz w:val="20"/>
              </w:rPr>
              <w:t>1 172,22</w:t>
            </w:r>
          </w:p>
        </w:tc>
        <w:tc>
          <w:tcPr>
            <w:tcW w:w="1134" w:type="dxa"/>
            <w:vAlign w:val="bottom"/>
          </w:tcPr>
          <w:p w:rsidR="00000000" w:rsidRDefault="00000000">
            <w:pPr>
              <w:widowControl w:val="0"/>
              <w:tabs>
                <w:tab w:val="decimal" w:pos="463"/>
              </w:tabs>
              <w:autoSpaceDE w:val="0"/>
              <w:autoSpaceDN w:val="0"/>
              <w:adjustRightInd w:val="0"/>
              <w:spacing w:before="60" w:after="60"/>
              <w:jc w:val="right"/>
              <w:rPr>
                <w:b/>
                <w:sz w:val="20"/>
              </w:rPr>
            </w:pPr>
            <w:r>
              <w:rPr>
                <w:b/>
                <w:sz w:val="20"/>
              </w:rPr>
              <w:t>1 351,44</w:t>
            </w:r>
          </w:p>
        </w:tc>
        <w:tc>
          <w:tcPr>
            <w:tcW w:w="1134" w:type="dxa"/>
            <w:vAlign w:val="bottom"/>
          </w:tcPr>
          <w:p w:rsidR="00000000" w:rsidRDefault="00000000">
            <w:pPr>
              <w:widowControl w:val="0"/>
              <w:tabs>
                <w:tab w:val="decimal" w:pos="460"/>
              </w:tabs>
              <w:autoSpaceDE w:val="0"/>
              <w:autoSpaceDN w:val="0"/>
              <w:adjustRightInd w:val="0"/>
              <w:spacing w:before="60" w:after="60"/>
              <w:jc w:val="right"/>
              <w:rPr>
                <w:b/>
                <w:sz w:val="20"/>
              </w:rPr>
            </w:pPr>
            <w:r>
              <w:rPr>
                <w:b/>
                <w:sz w:val="20"/>
              </w:rPr>
              <w:t>1 086,06</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Directeurs et chefs d’entreprise,</w:t>
            </w:r>
            <w:r>
              <w:rPr>
                <w:sz w:val="20"/>
              </w:rPr>
              <w:br/>
              <w:t>secteurs public et privé</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3 329,92</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6 256,05</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5 241,70</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5 700,36</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3 331,51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2 889,52</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4 181,37</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2 675,88</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3 183,13</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3 274,70</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Techniciens et cadres moyens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1 364,17</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1 601,88</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1 743,65</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1 671,80</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1 806,80</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Employés de bureau</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1 385,47</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1 346,18</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1 497,91</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1 359,32</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1 392,80</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1 041,66</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925,91</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764,34</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1 324,13</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805,72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503,18</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638,84</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638,59</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670,26</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532,91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936,17</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835,54</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769,82</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850,00</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758,66</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Conducteurs d’installations</w:t>
            </w:r>
            <w:r>
              <w:rPr>
                <w:sz w:val="20"/>
              </w:rPr>
              <w:br/>
              <w:t xml:space="preserve">et de machines </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1 245,03</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1 192,45</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1 194,54</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1 283,61</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1 232,54</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Travailleurs non qualifiés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798,03</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755,22</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714,68</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685,12</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670,52</w:t>
            </w:r>
          </w:p>
        </w:tc>
      </w:tr>
      <w:tr w:rsidR="00000000">
        <w:tblPrEx>
          <w:tblCellMar>
            <w:top w:w="0" w:type="dxa"/>
            <w:bottom w:w="0" w:type="dxa"/>
          </w:tblCellMar>
        </w:tblPrEx>
        <w:tc>
          <w:tcPr>
            <w:tcW w:w="3799" w:type="dxa"/>
            <w:tcBorders>
              <w:top w:val="nil"/>
              <w:bottom w:val="single" w:sz="4" w:space="0" w:color="auto"/>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2 010,61</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2 238,40</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2 337,19</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3 205,24</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2 850,67</w:t>
            </w:r>
          </w:p>
        </w:tc>
      </w:tr>
      <w:tr w:rsidR="00000000">
        <w:tblPrEx>
          <w:tblCellMar>
            <w:top w:w="0" w:type="dxa"/>
            <w:bottom w:w="0" w:type="dxa"/>
          </w:tblCellMar>
        </w:tblPrEx>
        <w:tc>
          <w:tcPr>
            <w:tcW w:w="3799" w:type="dxa"/>
            <w:tcBorders>
              <w:bottom w:val="nil"/>
            </w:tcBorders>
            <w:vAlign w:val="bottom"/>
          </w:tcPr>
          <w:p w:rsidR="00000000" w:rsidRDefault="00000000">
            <w:pPr>
              <w:pageBreakBefore/>
              <w:spacing w:before="60" w:after="60"/>
              <w:rPr>
                <w:b/>
                <w:bCs/>
                <w:sz w:val="20"/>
              </w:rPr>
            </w:pPr>
            <w:r>
              <w:rPr>
                <w:b/>
                <w:bCs/>
                <w:sz w:val="20"/>
              </w:rPr>
              <w:t>FEMMES</w:t>
            </w:r>
          </w:p>
        </w:tc>
        <w:tc>
          <w:tcPr>
            <w:tcW w:w="1134" w:type="dxa"/>
            <w:vAlign w:val="bottom"/>
          </w:tcPr>
          <w:p w:rsidR="00000000" w:rsidRDefault="00000000">
            <w:pPr>
              <w:pageBreakBefore/>
              <w:widowControl w:val="0"/>
              <w:tabs>
                <w:tab w:val="decimal" w:pos="463"/>
              </w:tabs>
              <w:autoSpaceDE w:val="0"/>
              <w:autoSpaceDN w:val="0"/>
              <w:adjustRightInd w:val="0"/>
              <w:spacing w:before="60" w:after="60"/>
              <w:jc w:val="right"/>
              <w:rPr>
                <w:b/>
                <w:sz w:val="20"/>
              </w:rPr>
            </w:pPr>
            <w:r>
              <w:rPr>
                <w:b/>
                <w:sz w:val="20"/>
              </w:rPr>
              <w:t>729,52</w:t>
            </w:r>
          </w:p>
        </w:tc>
        <w:tc>
          <w:tcPr>
            <w:tcW w:w="1134" w:type="dxa"/>
            <w:vAlign w:val="bottom"/>
          </w:tcPr>
          <w:p w:rsidR="00000000" w:rsidRDefault="00000000">
            <w:pPr>
              <w:pageBreakBefore/>
              <w:widowControl w:val="0"/>
              <w:tabs>
                <w:tab w:val="decimal" w:pos="463"/>
              </w:tabs>
              <w:autoSpaceDE w:val="0"/>
              <w:autoSpaceDN w:val="0"/>
              <w:adjustRightInd w:val="0"/>
              <w:spacing w:before="60" w:after="60"/>
              <w:jc w:val="right"/>
              <w:rPr>
                <w:b/>
                <w:sz w:val="20"/>
              </w:rPr>
            </w:pPr>
            <w:r>
              <w:rPr>
                <w:b/>
                <w:sz w:val="20"/>
              </w:rPr>
              <w:t>768,26</w:t>
            </w:r>
          </w:p>
        </w:tc>
        <w:tc>
          <w:tcPr>
            <w:tcW w:w="1134" w:type="dxa"/>
            <w:vAlign w:val="bottom"/>
          </w:tcPr>
          <w:p w:rsidR="00000000" w:rsidRDefault="00000000">
            <w:pPr>
              <w:pageBreakBefore/>
              <w:widowControl w:val="0"/>
              <w:tabs>
                <w:tab w:val="decimal" w:pos="489"/>
              </w:tabs>
              <w:autoSpaceDE w:val="0"/>
              <w:autoSpaceDN w:val="0"/>
              <w:adjustRightInd w:val="0"/>
              <w:spacing w:before="60" w:after="60"/>
              <w:jc w:val="right"/>
              <w:rPr>
                <w:b/>
                <w:sz w:val="20"/>
              </w:rPr>
            </w:pPr>
            <w:r>
              <w:rPr>
                <w:b/>
                <w:sz w:val="20"/>
              </w:rPr>
              <w:t>652,67</w:t>
            </w:r>
          </w:p>
        </w:tc>
        <w:tc>
          <w:tcPr>
            <w:tcW w:w="1134" w:type="dxa"/>
            <w:vAlign w:val="bottom"/>
          </w:tcPr>
          <w:p w:rsidR="00000000" w:rsidRDefault="00000000">
            <w:pPr>
              <w:pageBreakBefore/>
              <w:widowControl w:val="0"/>
              <w:tabs>
                <w:tab w:val="decimal" w:pos="463"/>
              </w:tabs>
              <w:autoSpaceDE w:val="0"/>
              <w:autoSpaceDN w:val="0"/>
              <w:adjustRightInd w:val="0"/>
              <w:spacing w:before="60" w:after="60"/>
              <w:jc w:val="right"/>
              <w:rPr>
                <w:b/>
                <w:sz w:val="20"/>
              </w:rPr>
            </w:pPr>
            <w:r>
              <w:rPr>
                <w:b/>
                <w:sz w:val="20"/>
              </w:rPr>
              <w:t>773,00</w:t>
            </w:r>
          </w:p>
        </w:tc>
        <w:tc>
          <w:tcPr>
            <w:tcW w:w="1134" w:type="dxa"/>
            <w:vAlign w:val="bottom"/>
          </w:tcPr>
          <w:p w:rsidR="00000000" w:rsidRDefault="00000000">
            <w:pPr>
              <w:pageBreakBefore/>
              <w:widowControl w:val="0"/>
              <w:tabs>
                <w:tab w:val="decimal" w:pos="460"/>
              </w:tabs>
              <w:autoSpaceDE w:val="0"/>
              <w:autoSpaceDN w:val="0"/>
              <w:adjustRightInd w:val="0"/>
              <w:spacing w:before="60" w:after="60"/>
              <w:jc w:val="right"/>
              <w:rPr>
                <w:b/>
                <w:sz w:val="20"/>
              </w:rPr>
            </w:pPr>
            <w:r>
              <w:rPr>
                <w:b/>
                <w:sz w:val="20"/>
              </w:rPr>
              <w:t>699,11</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Directrices et chefs d’entreprise,</w:t>
            </w:r>
            <w:r>
              <w:rPr>
                <w:sz w:val="20"/>
              </w:rPr>
              <w:br/>
              <w:t>secteurs public et privé</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2 302,62</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4 553,45</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5 120,62</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2 901,73</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3 350,03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1 741,36</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2 738,52</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1 629,66</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2 009,79</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2 287,99</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Techniciennes et cadres moyens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1 312,00</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953,87</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1 330,96</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1 347,46</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1 494,56</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Employées de bureau</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1 052,66</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1 242,11</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1 225,09</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1 122,73</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1 205,53</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Services et commerce</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645,09</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608,82</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476,88</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638,57</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488,84</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105,51</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101,96</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107,88</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170,91</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130,20</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306,13</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342,04</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309,93</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469,83</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473,92</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Conductrices d’installations</w:t>
            </w:r>
            <w:r>
              <w:rPr>
                <w:sz w:val="20"/>
              </w:rPr>
              <w:br/>
              <w:t xml:space="preserve">et de machines </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916,00</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1 142,09</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739,44</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1 175,13</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500,36</w:t>
            </w:r>
          </w:p>
        </w:tc>
      </w:tr>
      <w:tr w:rsidR="00000000">
        <w:tblPrEx>
          <w:tblCellMar>
            <w:top w:w="0" w:type="dxa"/>
            <w:bottom w:w="0" w:type="dxa"/>
          </w:tblCellMar>
        </w:tblPrEx>
        <w:tc>
          <w:tcPr>
            <w:tcW w:w="3799" w:type="dxa"/>
            <w:tcBorders>
              <w:top w:val="nil"/>
              <w:bottom w:val="nil"/>
            </w:tcBorders>
            <w:vAlign w:val="bottom"/>
          </w:tcPr>
          <w:p w:rsidR="00000000" w:rsidRDefault="00000000">
            <w:pPr>
              <w:spacing w:before="60" w:after="60"/>
              <w:ind w:left="284"/>
              <w:rPr>
                <w:sz w:val="20"/>
              </w:rPr>
            </w:pPr>
            <w:r>
              <w:rPr>
                <w:sz w:val="20"/>
              </w:rPr>
              <w:t>Travailleuses non qualifiées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479,65</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474,28</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442,01</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529,61</w:t>
            </w:r>
          </w:p>
        </w:tc>
        <w:tc>
          <w:tcPr>
            <w:tcW w:w="1134" w:type="dxa"/>
            <w:vAlign w:val="bottom"/>
          </w:tcPr>
          <w:p w:rsidR="00000000" w:rsidRDefault="00000000">
            <w:pPr>
              <w:widowControl w:val="0"/>
              <w:tabs>
                <w:tab w:val="decimal" w:pos="460"/>
              </w:tabs>
              <w:autoSpaceDE w:val="0"/>
              <w:autoSpaceDN w:val="0"/>
              <w:adjustRightInd w:val="0"/>
              <w:spacing w:before="60" w:after="60"/>
              <w:jc w:val="right"/>
              <w:rPr>
                <w:sz w:val="20"/>
              </w:rPr>
            </w:pPr>
            <w:r>
              <w:rPr>
                <w:sz w:val="20"/>
              </w:rPr>
              <w:t>442,27</w:t>
            </w:r>
          </w:p>
        </w:tc>
      </w:tr>
      <w:tr w:rsidR="00000000">
        <w:tblPrEx>
          <w:tblCellMar>
            <w:top w:w="0" w:type="dxa"/>
            <w:bottom w:w="0" w:type="dxa"/>
          </w:tblCellMar>
        </w:tblPrEx>
        <w:tc>
          <w:tcPr>
            <w:tcW w:w="3799" w:type="dxa"/>
            <w:tcBorders>
              <w:top w:val="nil"/>
            </w:tcBorders>
            <w:vAlign w:val="bottom"/>
          </w:tcPr>
          <w:p w:rsidR="00000000" w:rsidRDefault="00000000">
            <w:pPr>
              <w:spacing w:before="60" w:after="60"/>
              <w:ind w:left="284"/>
              <w:rPr>
                <w:sz w:val="20"/>
              </w:rPr>
            </w:pPr>
            <w:r>
              <w:rPr>
                <w:sz w:val="20"/>
              </w:rPr>
              <w:t>Forces armées</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89"/>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63"/>
              </w:tabs>
              <w:autoSpaceDE w:val="0"/>
              <w:autoSpaceDN w:val="0"/>
              <w:adjustRightInd w:val="0"/>
              <w:spacing w:before="60" w:after="60"/>
              <w:jc w:val="right"/>
              <w:rPr>
                <w:sz w:val="20"/>
              </w:rPr>
            </w:pPr>
            <w:r>
              <w:rPr>
                <w:sz w:val="20"/>
              </w:rPr>
              <w:t>0,00</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b/>
          <w:bCs/>
        </w:rPr>
      </w:pPr>
      <w:r>
        <w:rPr>
          <w:b/>
          <w:bCs/>
          <w:i/>
          <w:iCs/>
          <w:sz w:val="20"/>
          <w:vertAlign w:val="superscript"/>
        </w:rPr>
        <w:t xml:space="preserve">p </w:t>
      </w:r>
      <w:r>
        <w:rPr>
          <w:sz w:val="20"/>
        </w:rPr>
        <w:t>Chiffres provisoires.</w:t>
      </w:r>
    </w:p>
    <w:p w:rsidR="00000000" w:rsidRDefault="00000000">
      <w:pPr>
        <w:spacing w:after="180"/>
        <w:jc w:val="center"/>
        <w:rPr>
          <w:b/>
          <w:bCs/>
        </w:rPr>
      </w:pPr>
      <w:r>
        <w:rPr>
          <w:b/>
          <w:bCs/>
        </w:rPr>
        <w:br w:type="page"/>
        <w:t>Tableau 2.2</w:t>
      </w:r>
    </w:p>
    <w:p w:rsidR="00000000" w:rsidRDefault="00000000">
      <w:pPr>
        <w:spacing w:after="180"/>
        <w:jc w:val="center"/>
        <w:rPr>
          <w:b/>
          <w:bCs/>
        </w:rPr>
      </w:pPr>
      <w:r>
        <w:rPr>
          <w:b/>
          <w:bCs/>
        </w:rPr>
        <w:t>Bolivie − Zones rurales: Revenu mensuel moyen, dans l’activité principale,</w:t>
      </w:r>
      <w:r>
        <w:rPr>
          <w:b/>
          <w:bCs/>
        </w:rPr>
        <w:br/>
        <w:t>par année, sexe et catégorie professionnelle, 1999</w:t>
      </w:r>
      <w:r>
        <w:rPr>
          <w:b/>
          <w:bCs/>
        </w:rPr>
        <w:noBreakHyphen/>
        <w:t>2003</w:t>
      </w:r>
      <w:r>
        <w:rPr>
          <w:b/>
          <w:bCs/>
          <w:i/>
          <w:iCs/>
          <w:vertAlign w:val="superscript"/>
        </w:rPr>
        <w:t>p</w:t>
      </w:r>
      <w:r>
        <w:rPr>
          <w:b/>
          <w:bCs/>
        </w:rPr>
        <w:br/>
      </w:r>
      <w:r>
        <w:t>(</w:t>
      </w:r>
      <w:r>
        <w:rPr>
          <w:i/>
          <w:iCs/>
        </w:rPr>
        <w:t>En bolivianos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0"/>
        <w:gridCol w:w="1143"/>
        <w:gridCol w:w="1134"/>
        <w:gridCol w:w="1134"/>
        <w:gridCol w:w="1134"/>
        <w:gridCol w:w="1134"/>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rPr>
            </w:pPr>
            <w:r>
              <w:rPr>
                <w:sz w:val="20"/>
              </w:rPr>
              <w:t>Catégorie professionnelle</w:t>
            </w:r>
          </w:p>
        </w:tc>
        <w:tc>
          <w:tcPr>
            <w:tcW w:w="1143" w:type="dxa"/>
            <w:vAlign w:val="center"/>
          </w:tcPr>
          <w:p w:rsidR="00000000" w:rsidRDefault="00000000">
            <w:pPr>
              <w:spacing w:before="60" w:after="60"/>
              <w:jc w:val="center"/>
              <w:rPr>
                <w:sz w:val="20"/>
              </w:rPr>
            </w:pPr>
            <w:r>
              <w:rPr>
                <w:sz w:val="20"/>
              </w:rPr>
              <w:t>1999</w:t>
            </w:r>
          </w:p>
        </w:tc>
        <w:tc>
          <w:tcPr>
            <w:tcW w:w="1134" w:type="dxa"/>
            <w:vAlign w:val="center"/>
          </w:tcPr>
          <w:p w:rsidR="00000000" w:rsidRDefault="00000000">
            <w:pPr>
              <w:spacing w:before="60" w:after="60"/>
              <w:jc w:val="center"/>
              <w:rPr>
                <w:sz w:val="20"/>
              </w:rPr>
            </w:pPr>
            <w:r>
              <w:rPr>
                <w:sz w:val="20"/>
              </w:rPr>
              <w:t>2000</w:t>
            </w:r>
          </w:p>
        </w:tc>
        <w:tc>
          <w:tcPr>
            <w:tcW w:w="1134" w:type="dxa"/>
            <w:vAlign w:val="center"/>
          </w:tcPr>
          <w:p w:rsidR="00000000" w:rsidRDefault="00000000">
            <w:pPr>
              <w:spacing w:before="60" w:after="60"/>
              <w:jc w:val="center"/>
              <w:rPr>
                <w:sz w:val="20"/>
              </w:rPr>
            </w:pPr>
            <w:r>
              <w:rPr>
                <w:sz w:val="20"/>
              </w:rPr>
              <w:t>2001</w:t>
            </w:r>
          </w:p>
        </w:tc>
        <w:tc>
          <w:tcPr>
            <w:tcW w:w="1134" w:type="dxa"/>
            <w:vAlign w:val="center"/>
          </w:tcPr>
          <w:p w:rsidR="00000000" w:rsidRDefault="00000000">
            <w:pPr>
              <w:spacing w:before="60" w:after="60"/>
              <w:jc w:val="center"/>
              <w:rPr>
                <w:sz w:val="20"/>
              </w:rPr>
            </w:pPr>
            <w:r>
              <w:rPr>
                <w:sz w:val="20"/>
              </w:rPr>
              <w:t>2002</w:t>
            </w:r>
          </w:p>
        </w:tc>
        <w:tc>
          <w:tcPr>
            <w:tcW w:w="1134"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TOTAL</w:t>
            </w:r>
          </w:p>
        </w:tc>
        <w:tc>
          <w:tcPr>
            <w:tcW w:w="1143" w:type="dxa"/>
            <w:vAlign w:val="bottom"/>
          </w:tcPr>
          <w:p w:rsidR="00000000" w:rsidRDefault="00000000">
            <w:pPr>
              <w:widowControl w:val="0"/>
              <w:tabs>
                <w:tab w:val="decimal" w:pos="477"/>
              </w:tabs>
              <w:autoSpaceDE w:val="0"/>
              <w:autoSpaceDN w:val="0"/>
              <w:adjustRightInd w:val="0"/>
              <w:spacing w:before="60" w:after="60"/>
              <w:jc w:val="right"/>
              <w:rPr>
                <w:b/>
                <w:sz w:val="20"/>
              </w:rPr>
            </w:pPr>
            <w:r>
              <w:rPr>
                <w:b/>
                <w:sz w:val="20"/>
              </w:rPr>
              <w:t>198,06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b/>
                <w:sz w:val="20"/>
              </w:rPr>
            </w:pPr>
            <w:r>
              <w:rPr>
                <w:b/>
                <w:sz w:val="20"/>
              </w:rPr>
              <w:t>189,66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b/>
                <w:sz w:val="20"/>
              </w:rPr>
            </w:pPr>
            <w:r>
              <w:rPr>
                <w:b/>
                <w:sz w:val="20"/>
              </w:rPr>
              <w:t>193,28</w:t>
            </w:r>
          </w:p>
        </w:tc>
        <w:tc>
          <w:tcPr>
            <w:tcW w:w="1134" w:type="dxa"/>
            <w:vAlign w:val="bottom"/>
          </w:tcPr>
          <w:p w:rsidR="00000000" w:rsidRDefault="00000000">
            <w:pPr>
              <w:widowControl w:val="0"/>
              <w:tabs>
                <w:tab w:val="decimal" w:pos="477"/>
              </w:tabs>
              <w:autoSpaceDE w:val="0"/>
              <w:autoSpaceDN w:val="0"/>
              <w:adjustRightInd w:val="0"/>
              <w:spacing w:before="60" w:after="60"/>
              <w:jc w:val="right"/>
              <w:rPr>
                <w:b/>
                <w:sz w:val="20"/>
              </w:rPr>
            </w:pPr>
            <w:r>
              <w:rPr>
                <w:b/>
                <w:sz w:val="20"/>
              </w:rPr>
              <w:t>240,91</w:t>
            </w:r>
          </w:p>
        </w:tc>
        <w:tc>
          <w:tcPr>
            <w:tcW w:w="1134" w:type="dxa"/>
            <w:vAlign w:val="bottom"/>
          </w:tcPr>
          <w:p w:rsidR="00000000" w:rsidRDefault="00000000">
            <w:pPr>
              <w:widowControl w:val="0"/>
              <w:tabs>
                <w:tab w:val="decimal" w:pos="477"/>
              </w:tabs>
              <w:autoSpaceDE w:val="0"/>
              <w:autoSpaceDN w:val="0"/>
              <w:adjustRightInd w:val="0"/>
              <w:spacing w:before="60" w:after="60"/>
              <w:jc w:val="right"/>
              <w:rPr>
                <w:b/>
                <w:sz w:val="20"/>
              </w:rPr>
            </w:pPr>
            <w:r>
              <w:rPr>
                <w:b/>
                <w:sz w:val="20"/>
              </w:rPr>
              <w:t>269,88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Directeurs et chefs d’entreprise,</w:t>
            </w:r>
            <w:r>
              <w:rPr>
                <w:sz w:val="20"/>
              </w:rPr>
              <w:br/>
              <w:t>secteurs public et privé</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1 743,54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694,70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1 454,36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1 209,19</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2 541,58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864,88</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1 509,95</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1 016,52</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1 305,17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1 522,78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Techniciens et cadres moyens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847,23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796,96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614,68</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1 066,78</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1 034,19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Employés de bureau</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496,38</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759,56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847,51</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560,48</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971,35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et commerce</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717,70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407,72</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507,32</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377,47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282,08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96,26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102,11</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121,70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157,66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187,22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524,49</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486,42</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483,73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576,98</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466,70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Conducteurs d’installations</w:t>
            </w:r>
            <w:r>
              <w:rPr>
                <w:sz w:val="20"/>
              </w:rPr>
              <w:br/>
              <w:t xml:space="preserve">et de machines </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1 568,83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1 166,44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994,15</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1 309,67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1 109,58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Travailleurs non qualifiés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511,73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516,54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129,64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551,83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488,60</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Forces armées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2 216,30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3 161,92</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1 500,00</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HOMMES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b/>
                <w:sz w:val="20"/>
              </w:rPr>
            </w:pPr>
            <w:r>
              <w:rPr>
                <w:b/>
                <w:sz w:val="20"/>
              </w:rPr>
              <w:t>271,59</w:t>
            </w:r>
          </w:p>
        </w:tc>
        <w:tc>
          <w:tcPr>
            <w:tcW w:w="1134" w:type="dxa"/>
            <w:vAlign w:val="bottom"/>
          </w:tcPr>
          <w:p w:rsidR="00000000" w:rsidRDefault="00000000">
            <w:pPr>
              <w:widowControl w:val="0"/>
              <w:tabs>
                <w:tab w:val="decimal" w:pos="477"/>
              </w:tabs>
              <w:autoSpaceDE w:val="0"/>
              <w:autoSpaceDN w:val="0"/>
              <w:adjustRightInd w:val="0"/>
              <w:spacing w:before="60" w:after="60"/>
              <w:jc w:val="right"/>
              <w:rPr>
                <w:b/>
                <w:sz w:val="20"/>
              </w:rPr>
            </w:pPr>
            <w:r>
              <w:rPr>
                <w:b/>
                <w:sz w:val="20"/>
              </w:rPr>
              <w:t>267,58</w:t>
            </w:r>
          </w:p>
        </w:tc>
        <w:tc>
          <w:tcPr>
            <w:tcW w:w="1134" w:type="dxa"/>
            <w:vAlign w:val="bottom"/>
          </w:tcPr>
          <w:p w:rsidR="00000000" w:rsidRDefault="00000000">
            <w:pPr>
              <w:widowControl w:val="0"/>
              <w:tabs>
                <w:tab w:val="decimal" w:pos="477"/>
              </w:tabs>
              <w:autoSpaceDE w:val="0"/>
              <w:autoSpaceDN w:val="0"/>
              <w:adjustRightInd w:val="0"/>
              <w:spacing w:before="60" w:after="60"/>
              <w:jc w:val="right"/>
              <w:rPr>
                <w:b/>
                <w:sz w:val="20"/>
              </w:rPr>
            </w:pPr>
            <w:r>
              <w:rPr>
                <w:b/>
                <w:sz w:val="20"/>
              </w:rPr>
              <w:t>272,45</w:t>
            </w:r>
          </w:p>
        </w:tc>
        <w:tc>
          <w:tcPr>
            <w:tcW w:w="1134" w:type="dxa"/>
            <w:vAlign w:val="bottom"/>
          </w:tcPr>
          <w:p w:rsidR="00000000" w:rsidRDefault="00000000">
            <w:pPr>
              <w:widowControl w:val="0"/>
              <w:tabs>
                <w:tab w:val="decimal" w:pos="477"/>
              </w:tabs>
              <w:autoSpaceDE w:val="0"/>
              <w:autoSpaceDN w:val="0"/>
              <w:adjustRightInd w:val="0"/>
              <w:spacing w:before="60" w:after="60"/>
              <w:jc w:val="right"/>
              <w:rPr>
                <w:b/>
                <w:sz w:val="20"/>
              </w:rPr>
            </w:pPr>
            <w:r>
              <w:rPr>
                <w:b/>
                <w:sz w:val="20"/>
              </w:rPr>
              <w:t>345,83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b/>
                <w:sz w:val="20"/>
              </w:rPr>
            </w:pPr>
            <w:r>
              <w:rPr>
                <w:b/>
                <w:sz w:val="20"/>
              </w:rPr>
              <w:t>394,02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Directeurs et chefs d’entreprise,</w:t>
            </w:r>
            <w:r>
              <w:rPr>
                <w:sz w:val="20"/>
              </w:rPr>
              <w:br/>
              <w:t>secteurs public et privé</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1 580,11</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828,71</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1 503,37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1 218,04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2 485,25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823,34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1 621,39</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1 114,09</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1 376,51</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1 550,86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Techniciens et cadres moyens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957,64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840,27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701,27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1 110,44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1 023,95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Employés de bureau</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670,78</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811,52</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1 201,48</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633,14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1 028,96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et commerce</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753,09</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1 116,96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1 077,89</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491,99</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516,54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151,31</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154,60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178,38</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242,29</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290,23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655,93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642,27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639,06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705,57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678,30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Conducteurs d’installations</w:t>
            </w:r>
            <w:r>
              <w:rPr>
                <w:sz w:val="20"/>
              </w:rPr>
              <w:br/>
              <w:t xml:space="preserve">et de machines </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1 573,93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1 166,44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994,15</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1 309,67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1 354,77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Travailleurs non qualifiés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639,92</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580,23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216,59</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638,61</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533,21</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Forces armées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2 216,30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3 161,92</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1 500,00</w:t>
            </w:r>
          </w:p>
        </w:tc>
      </w:tr>
      <w:tr w:rsidR="00000000">
        <w:tblPrEx>
          <w:tblCellMar>
            <w:top w:w="0" w:type="dxa"/>
            <w:bottom w:w="0" w:type="dxa"/>
          </w:tblCellMar>
        </w:tblPrEx>
        <w:tc>
          <w:tcPr>
            <w:tcW w:w="3790" w:type="dxa"/>
            <w:tcBorders>
              <w:bottom w:val="nil"/>
            </w:tcBorders>
            <w:vAlign w:val="bottom"/>
          </w:tcPr>
          <w:p w:rsidR="00000000" w:rsidRDefault="00000000">
            <w:pPr>
              <w:pageBreakBefore/>
              <w:spacing w:before="60" w:after="60"/>
              <w:rPr>
                <w:b/>
                <w:bCs/>
                <w:sz w:val="20"/>
              </w:rPr>
            </w:pPr>
            <w:r>
              <w:rPr>
                <w:b/>
                <w:bCs/>
                <w:sz w:val="20"/>
              </w:rPr>
              <w:t>FEMMES</w:t>
            </w:r>
          </w:p>
        </w:tc>
        <w:tc>
          <w:tcPr>
            <w:tcW w:w="1143" w:type="dxa"/>
            <w:vAlign w:val="bottom"/>
          </w:tcPr>
          <w:p w:rsidR="00000000" w:rsidRDefault="00000000">
            <w:pPr>
              <w:pageBreakBefore/>
              <w:widowControl w:val="0"/>
              <w:tabs>
                <w:tab w:val="decimal" w:pos="477"/>
              </w:tabs>
              <w:autoSpaceDE w:val="0"/>
              <w:autoSpaceDN w:val="0"/>
              <w:adjustRightInd w:val="0"/>
              <w:spacing w:before="60" w:after="60"/>
              <w:jc w:val="right"/>
              <w:rPr>
                <w:b/>
                <w:sz w:val="20"/>
              </w:rPr>
            </w:pPr>
            <w:r>
              <w:rPr>
                <w:b/>
                <w:sz w:val="20"/>
              </w:rPr>
              <w:t>112,80</w:t>
            </w:r>
          </w:p>
        </w:tc>
        <w:tc>
          <w:tcPr>
            <w:tcW w:w="1134" w:type="dxa"/>
            <w:vAlign w:val="bottom"/>
          </w:tcPr>
          <w:p w:rsidR="00000000" w:rsidRDefault="00000000">
            <w:pPr>
              <w:pageBreakBefore/>
              <w:widowControl w:val="0"/>
              <w:tabs>
                <w:tab w:val="decimal" w:pos="477"/>
              </w:tabs>
              <w:autoSpaceDE w:val="0"/>
              <w:autoSpaceDN w:val="0"/>
              <w:adjustRightInd w:val="0"/>
              <w:spacing w:before="60" w:after="60"/>
              <w:jc w:val="right"/>
              <w:rPr>
                <w:b/>
                <w:sz w:val="20"/>
              </w:rPr>
            </w:pPr>
            <w:r>
              <w:rPr>
                <w:b/>
                <w:sz w:val="20"/>
              </w:rPr>
              <w:t>90,81</w:t>
            </w:r>
          </w:p>
        </w:tc>
        <w:tc>
          <w:tcPr>
            <w:tcW w:w="1134" w:type="dxa"/>
            <w:vAlign w:val="bottom"/>
          </w:tcPr>
          <w:p w:rsidR="00000000" w:rsidRDefault="00000000">
            <w:pPr>
              <w:pageBreakBefore/>
              <w:widowControl w:val="0"/>
              <w:tabs>
                <w:tab w:val="decimal" w:pos="477"/>
              </w:tabs>
              <w:autoSpaceDE w:val="0"/>
              <w:autoSpaceDN w:val="0"/>
              <w:adjustRightInd w:val="0"/>
              <w:spacing w:before="60" w:after="60"/>
              <w:jc w:val="right"/>
              <w:rPr>
                <w:b/>
                <w:sz w:val="20"/>
              </w:rPr>
            </w:pPr>
            <w:r>
              <w:rPr>
                <w:b/>
                <w:sz w:val="20"/>
              </w:rPr>
              <w:t>93,02</w:t>
            </w:r>
          </w:p>
        </w:tc>
        <w:tc>
          <w:tcPr>
            <w:tcW w:w="1134" w:type="dxa"/>
            <w:vAlign w:val="bottom"/>
          </w:tcPr>
          <w:p w:rsidR="00000000" w:rsidRDefault="00000000">
            <w:pPr>
              <w:pageBreakBefore/>
              <w:widowControl w:val="0"/>
              <w:tabs>
                <w:tab w:val="decimal" w:pos="477"/>
              </w:tabs>
              <w:autoSpaceDE w:val="0"/>
              <w:autoSpaceDN w:val="0"/>
              <w:adjustRightInd w:val="0"/>
              <w:spacing w:before="60" w:after="60"/>
              <w:jc w:val="right"/>
              <w:rPr>
                <w:b/>
                <w:sz w:val="20"/>
              </w:rPr>
            </w:pPr>
            <w:r>
              <w:rPr>
                <w:b/>
                <w:sz w:val="20"/>
              </w:rPr>
              <w:t>94,65</w:t>
            </w:r>
          </w:p>
        </w:tc>
        <w:tc>
          <w:tcPr>
            <w:tcW w:w="1134" w:type="dxa"/>
            <w:vAlign w:val="bottom"/>
          </w:tcPr>
          <w:p w:rsidR="00000000" w:rsidRDefault="00000000">
            <w:pPr>
              <w:pageBreakBefore/>
              <w:widowControl w:val="0"/>
              <w:tabs>
                <w:tab w:val="decimal" w:pos="477"/>
              </w:tabs>
              <w:autoSpaceDE w:val="0"/>
              <w:autoSpaceDN w:val="0"/>
              <w:adjustRightInd w:val="0"/>
              <w:spacing w:before="60" w:after="60"/>
              <w:jc w:val="right"/>
              <w:rPr>
                <w:b/>
                <w:sz w:val="20"/>
              </w:rPr>
            </w:pPr>
            <w:r>
              <w:rPr>
                <w:b/>
                <w:sz w:val="20"/>
              </w:rPr>
              <w:t>112,61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Directrices et chefs d’entreprise,</w:t>
            </w:r>
            <w:r>
              <w:rPr>
                <w:sz w:val="20"/>
              </w:rPr>
              <w:br/>
              <w:t>secteurs public et privé</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2 132,63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355,36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848,96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1 171,22</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2 850,17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Cadres supérieurs et membres de professions libérales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945,27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967,50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910,99</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1 186,95</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1 486,92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Techniciennes et cadres moyens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664,61</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733,27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504,95</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947,84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1 117,48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Employées de bureau</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364,23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712,95</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282,74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503,88</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900,00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et commerce</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709,32</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279,22</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366,54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353,49</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226,97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pêche</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34,86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35,67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36,00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44,83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54,83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extractives, bâtiment</w:t>
            </w:r>
            <w:r>
              <w:rPr>
                <w:sz w:val="20"/>
              </w:rPr>
              <w:br/>
              <w:t>et travaux publics, industries manufacturières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235,52</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193,44</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192,33</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182,81</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226,32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Conductrices d’installations</w:t>
            </w:r>
            <w:r>
              <w:rPr>
                <w:sz w:val="20"/>
              </w:rPr>
              <w:br/>
              <w:t xml:space="preserve">et de machines </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1 425,80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77,79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Travailleuses non qualifiées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271,66</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410,80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56,51</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322,07</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382,60</w:t>
            </w:r>
          </w:p>
        </w:tc>
      </w:tr>
      <w:tr w:rsidR="00000000">
        <w:tblPrEx>
          <w:tblCellMar>
            <w:top w:w="0" w:type="dxa"/>
            <w:bottom w:w="0" w:type="dxa"/>
          </w:tblCellMar>
        </w:tblPrEx>
        <w:tc>
          <w:tcPr>
            <w:tcW w:w="3790" w:type="dxa"/>
            <w:tcBorders>
              <w:top w:val="nil"/>
            </w:tcBorders>
            <w:vAlign w:val="bottom"/>
          </w:tcPr>
          <w:p w:rsidR="00000000" w:rsidRDefault="00000000">
            <w:pPr>
              <w:spacing w:before="60" w:after="60"/>
              <w:ind w:left="284"/>
              <w:rPr>
                <w:sz w:val="20"/>
              </w:rPr>
            </w:pPr>
            <w:r>
              <w:rPr>
                <w:sz w:val="20"/>
              </w:rPr>
              <w:t>Forces armées</w:t>
            </w:r>
          </w:p>
        </w:tc>
        <w:tc>
          <w:tcPr>
            <w:tcW w:w="1143"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0,00</w:t>
            </w:r>
          </w:p>
        </w:tc>
        <w:tc>
          <w:tcPr>
            <w:tcW w:w="1134" w:type="dxa"/>
            <w:vAlign w:val="bottom"/>
          </w:tcPr>
          <w:p w:rsidR="00000000" w:rsidRDefault="00000000">
            <w:pPr>
              <w:widowControl w:val="0"/>
              <w:tabs>
                <w:tab w:val="decimal" w:pos="477"/>
              </w:tabs>
              <w:autoSpaceDE w:val="0"/>
              <w:autoSpaceDN w:val="0"/>
              <w:adjustRightInd w:val="0"/>
              <w:spacing w:before="60" w:after="60"/>
              <w:jc w:val="right"/>
              <w:rPr>
                <w:sz w:val="20"/>
              </w:rPr>
            </w:pPr>
            <w:r>
              <w:rPr>
                <w:sz w:val="20"/>
              </w:rPr>
              <w:t>0,00</w:t>
            </w:r>
          </w:p>
        </w:tc>
      </w:tr>
    </w:tbl>
    <w:p w:rsidR="00000000" w:rsidRDefault="00000000">
      <w:pPr>
        <w:spacing w:before="240" w:after="240"/>
        <w:ind w:firstLine="567"/>
        <w:rPr>
          <w:sz w:val="20"/>
        </w:rPr>
      </w:pPr>
      <w:r>
        <w:rPr>
          <w:i/>
          <w:iCs/>
          <w:sz w:val="20"/>
        </w:rPr>
        <w:t>Source</w:t>
      </w:r>
      <w:r>
        <w:rPr>
          <w:sz w:val="20"/>
        </w:rPr>
        <w:t>: Institut national de statistique.</w:t>
      </w:r>
    </w:p>
    <w:p w:rsidR="00000000" w:rsidRDefault="00000000">
      <w:pPr>
        <w:spacing w:after="240"/>
        <w:rPr>
          <w:sz w:val="20"/>
        </w:rPr>
      </w:pPr>
      <w:r>
        <w:rPr>
          <w:b/>
          <w:bCs/>
          <w:i/>
          <w:iCs/>
          <w:sz w:val="20"/>
          <w:vertAlign w:val="superscript"/>
        </w:rPr>
        <w:t xml:space="preserve">p </w:t>
      </w:r>
      <w:r>
        <w:rPr>
          <w:sz w:val="20"/>
        </w:rPr>
        <w:t>Chiffres provisoires.</w:t>
      </w:r>
    </w:p>
    <w:p w:rsidR="00000000" w:rsidRDefault="00000000">
      <w:pPr>
        <w:spacing w:after="180"/>
        <w:jc w:val="center"/>
        <w:rPr>
          <w:b/>
          <w:bCs/>
        </w:rPr>
      </w:pPr>
      <w:r>
        <w:br w:type="page"/>
      </w:r>
      <w:r>
        <w:rPr>
          <w:b/>
          <w:bCs/>
        </w:rPr>
        <w:t>Tableau 3</w:t>
      </w:r>
    </w:p>
    <w:p w:rsidR="00000000" w:rsidRDefault="00000000">
      <w:pPr>
        <w:spacing w:after="180"/>
        <w:jc w:val="center"/>
      </w:pPr>
      <w:r>
        <w:rPr>
          <w:b/>
          <w:bCs/>
        </w:rPr>
        <w:t>Bolivie: Revenu mensuel moyen, dans l’activité principale, par année,</w:t>
      </w:r>
      <w:r>
        <w:rPr>
          <w:b/>
          <w:bCs/>
        </w:rPr>
        <w:br/>
        <w:t>sexe et statut professionnel, 1999</w:t>
      </w:r>
      <w:r>
        <w:rPr>
          <w:b/>
          <w:bCs/>
        </w:rPr>
        <w:noBreakHyphen/>
        <w:t>2003</w:t>
      </w:r>
      <w:r>
        <w:rPr>
          <w:b/>
          <w:bCs/>
          <w:i/>
          <w:iCs/>
          <w:vertAlign w:val="superscript"/>
        </w:rPr>
        <w:t>p</w:t>
      </w:r>
      <w:r>
        <w:rPr>
          <w:b/>
          <w:bCs/>
        </w:rPr>
        <w:br/>
      </w:r>
      <w:r>
        <w:t>(</w:t>
      </w:r>
      <w:r>
        <w:rPr>
          <w:i/>
          <w:iCs/>
        </w:rPr>
        <w:t>En bolivianos</w:t>
      </w:r>
      <w:r>
        <w: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0"/>
        <w:gridCol w:w="1141"/>
        <w:gridCol w:w="1141"/>
        <w:gridCol w:w="1142"/>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lang w:val="fr-FR"/>
              </w:rPr>
            </w:pPr>
            <w:r>
              <w:rPr>
                <w:sz w:val="20"/>
                <w:lang w:val="fr-FR"/>
              </w:rPr>
              <w:t>Statut professionnel</w:t>
            </w:r>
          </w:p>
        </w:tc>
        <w:tc>
          <w:tcPr>
            <w:tcW w:w="1141" w:type="dxa"/>
            <w:vAlign w:val="center"/>
          </w:tcPr>
          <w:p w:rsidR="00000000" w:rsidRDefault="00000000">
            <w:pPr>
              <w:keepNext/>
              <w:spacing w:before="60" w:after="60"/>
              <w:jc w:val="center"/>
              <w:rPr>
                <w:sz w:val="20"/>
                <w:lang w:val="fr-FR"/>
              </w:rPr>
            </w:pPr>
            <w:r>
              <w:rPr>
                <w:sz w:val="20"/>
                <w:lang w:val="fr-FR"/>
              </w:rPr>
              <w:t>1999</w:t>
            </w:r>
          </w:p>
        </w:tc>
        <w:tc>
          <w:tcPr>
            <w:tcW w:w="1141" w:type="dxa"/>
            <w:vAlign w:val="center"/>
          </w:tcPr>
          <w:p w:rsidR="00000000" w:rsidRDefault="00000000">
            <w:pPr>
              <w:keepNext/>
              <w:spacing w:before="60" w:after="60"/>
              <w:jc w:val="center"/>
              <w:rPr>
                <w:sz w:val="20"/>
                <w:lang w:val="fr-FR"/>
              </w:rPr>
            </w:pPr>
            <w:r>
              <w:rPr>
                <w:sz w:val="20"/>
                <w:lang w:val="fr-FR"/>
              </w:rPr>
              <w:t>2000</w:t>
            </w:r>
          </w:p>
        </w:tc>
        <w:tc>
          <w:tcPr>
            <w:tcW w:w="1142" w:type="dxa"/>
            <w:vAlign w:val="center"/>
          </w:tcPr>
          <w:p w:rsidR="00000000" w:rsidRDefault="00000000">
            <w:pPr>
              <w:keepNext/>
              <w:spacing w:before="60" w:after="60"/>
              <w:jc w:val="center"/>
              <w:rPr>
                <w:sz w:val="20"/>
                <w:lang w:val="fr-FR"/>
              </w:rPr>
            </w:pPr>
            <w:r>
              <w:rPr>
                <w:sz w:val="20"/>
                <w:lang w:val="fr-FR"/>
              </w:rPr>
              <w:t>2001</w:t>
            </w:r>
          </w:p>
        </w:tc>
        <w:tc>
          <w:tcPr>
            <w:tcW w:w="1141" w:type="dxa"/>
            <w:vAlign w:val="center"/>
          </w:tcPr>
          <w:p w:rsidR="00000000" w:rsidRDefault="00000000">
            <w:pPr>
              <w:keepNext/>
              <w:spacing w:before="60" w:after="60"/>
              <w:jc w:val="center"/>
              <w:rPr>
                <w:sz w:val="20"/>
                <w:lang w:val="fr-FR"/>
              </w:rPr>
            </w:pPr>
            <w:r>
              <w:rPr>
                <w:sz w:val="20"/>
                <w:lang w:val="fr-FR"/>
              </w:rPr>
              <w:t>2002</w:t>
            </w:r>
          </w:p>
        </w:tc>
        <w:tc>
          <w:tcPr>
            <w:tcW w:w="1142" w:type="dxa"/>
            <w:vAlign w:val="center"/>
          </w:tcPr>
          <w:p w:rsidR="00000000" w:rsidRDefault="00000000">
            <w:pPr>
              <w:keepNext/>
              <w:spacing w:before="60" w:after="60"/>
              <w:jc w:val="center"/>
              <w:rPr>
                <w:sz w:val="20"/>
                <w:lang w:val="fr-FR"/>
              </w:rPr>
            </w:pPr>
            <w:r>
              <w:rPr>
                <w:sz w:val="20"/>
                <w:lang w:val="fr-FR"/>
              </w:rPr>
              <w:t>2003</w:t>
            </w:r>
            <w:r>
              <w:rPr>
                <w:b/>
                <w:bCs/>
                <w:i/>
                <w:iCs/>
                <w:sz w:val="20"/>
                <w:vertAlign w:val="superscript"/>
                <w:lang w:val="fr-FR"/>
              </w:rPr>
              <w:t>p</w:t>
            </w:r>
          </w:p>
        </w:tc>
      </w:tr>
      <w:tr w:rsidR="00000000">
        <w:tblPrEx>
          <w:tblCellMar>
            <w:top w:w="0" w:type="dxa"/>
            <w:bottom w:w="0" w:type="dxa"/>
          </w:tblCellMar>
        </w:tblPrEx>
        <w:tc>
          <w:tcPr>
            <w:tcW w:w="3790" w:type="dxa"/>
            <w:tcBorders>
              <w:bottom w:val="nil"/>
            </w:tcBorders>
          </w:tcPr>
          <w:p w:rsidR="00000000" w:rsidRDefault="00000000">
            <w:pPr>
              <w:spacing w:before="30" w:after="30"/>
              <w:rPr>
                <w:b/>
                <w:bCs/>
                <w:sz w:val="20"/>
              </w:rPr>
            </w:pPr>
            <w:r>
              <w:rPr>
                <w:b/>
                <w:bCs/>
                <w:sz w:val="20"/>
              </w:rPr>
              <w:t>TOTAL</w:t>
            </w:r>
          </w:p>
        </w:tc>
        <w:tc>
          <w:tcPr>
            <w:tcW w:w="1141" w:type="dxa"/>
            <w:vAlign w:val="bottom"/>
          </w:tcPr>
          <w:p w:rsidR="00000000" w:rsidRDefault="00000000">
            <w:pPr>
              <w:widowControl w:val="0"/>
              <w:tabs>
                <w:tab w:val="decimal" w:pos="476"/>
              </w:tabs>
              <w:autoSpaceDE w:val="0"/>
              <w:autoSpaceDN w:val="0"/>
              <w:adjustRightInd w:val="0"/>
              <w:spacing w:before="30" w:after="30"/>
              <w:jc w:val="right"/>
              <w:rPr>
                <w:b/>
                <w:sz w:val="20"/>
              </w:rPr>
            </w:pPr>
            <w:r>
              <w:rPr>
                <w:b/>
                <w:sz w:val="20"/>
              </w:rPr>
              <w:t>654,60</w:t>
            </w:r>
          </w:p>
        </w:tc>
        <w:tc>
          <w:tcPr>
            <w:tcW w:w="1141" w:type="dxa"/>
            <w:vAlign w:val="bottom"/>
          </w:tcPr>
          <w:p w:rsidR="00000000" w:rsidRDefault="00000000">
            <w:pPr>
              <w:widowControl w:val="0"/>
              <w:tabs>
                <w:tab w:val="decimal" w:pos="489"/>
              </w:tabs>
              <w:autoSpaceDE w:val="0"/>
              <w:autoSpaceDN w:val="0"/>
              <w:adjustRightInd w:val="0"/>
              <w:spacing w:before="30" w:after="30"/>
              <w:jc w:val="right"/>
              <w:rPr>
                <w:b/>
                <w:sz w:val="20"/>
              </w:rPr>
            </w:pPr>
            <w:r>
              <w:rPr>
                <w:b/>
                <w:sz w:val="20"/>
              </w:rPr>
              <w:t>685,80</w:t>
            </w:r>
          </w:p>
        </w:tc>
        <w:tc>
          <w:tcPr>
            <w:tcW w:w="1142" w:type="dxa"/>
            <w:vAlign w:val="bottom"/>
          </w:tcPr>
          <w:p w:rsidR="00000000" w:rsidRDefault="00000000">
            <w:pPr>
              <w:widowControl w:val="0"/>
              <w:tabs>
                <w:tab w:val="decimal" w:pos="421"/>
              </w:tabs>
              <w:autoSpaceDE w:val="0"/>
              <w:autoSpaceDN w:val="0"/>
              <w:adjustRightInd w:val="0"/>
              <w:spacing w:before="30" w:after="30"/>
              <w:jc w:val="right"/>
              <w:rPr>
                <w:b/>
                <w:sz w:val="20"/>
              </w:rPr>
            </w:pPr>
            <w:r>
              <w:rPr>
                <w:b/>
                <w:sz w:val="20"/>
              </w:rPr>
              <w:t>603,84</w:t>
            </w:r>
          </w:p>
        </w:tc>
        <w:tc>
          <w:tcPr>
            <w:tcW w:w="1141" w:type="dxa"/>
            <w:vAlign w:val="bottom"/>
          </w:tcPr>
          <w:p w:rsidR="00000000" w:rsidRDefault="00000000">
            <w:pPr>
              <w:widowControl w:val="0"/>
              <w:tabs>
                <w:tab w:val="decimal" w:pos="448"/>
              </w:tabs>
              <w:autoSpaceDE w:val="0"/>
              <w:autoSpaceDN w:val="0"/>
              <w:adjustRightInd w:val="0"/>
              <w:spacing w:before="30" w:after="30"/>
              <w:jc w:val="right"/>
              <w:rPr>
                <w:b/>
                <w:sz w:val="20"/>
              </w:rPr>
            </w:pPr>
            <w:r>
              <w:rPr>
                <w:b/>
                <w:sz w:val="20"/>
              </w:rPr>
              <w:t>712,01</w:t>
            </w:r>
          </w:p>
        </w:tc>
        <w:tc>
          <w:tcPr>
            <w:tcW w:w="1142" w:type="dxa"/>
            <w:vAlign w:val="bottom"/>
          </w:tcPr>
          <w:p w:rsidR="00000000" w:rsidRDefault="00000000">
            <w:pPr>
              <w:widowControl w:val="0"/>
              <w:tabs>
                <w:tab w:val="decimal" w:pos="491"/>
              </w:tabs>
              <w:autoSpaceDE w:val="0"/>
              <w:autoSpaceDN w:val="0"/>
              <w:adjustRightInd w:val="0"/>
              <w:spacing w:before="30" w:after="30"/>
              <w:jc w:val="right"/>
              <w:rPr>
                <w:b/>
                <w:sz w:val="20"/>
              </w:rPr>
            </w:pPr>
            <w:r>
              <w:rPr>
                <w:b/>
                <w:sz w:val="20"/>
              </w:rPr>
              <w:t>631,49</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Ouvrier</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762,95</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774,10</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739,63</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701,93</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818,84</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Employé</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1 371,80</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1 621,56</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1 439,99</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1 570,32</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1 499,74</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Travailleur indépendant</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567,88</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534,69</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505,81</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650,35</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560,80</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Patron, associé ou employeur</w:t>
            </w:r>
            <w:r>
              <w:rPr>
                <w:sz w:val="20"/>
              </w:rPr>
              <w:br/>
              <w:t>percevant une rémunération</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3 820,64</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2 725,42</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3 759,94</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3 554,82</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3 153,64</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Patron, associé ou employeur non rémunéré</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1 712,46</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1 971,39</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1 664,15</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1 274,12</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1 206,76</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959,22</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839,01</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502,59</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727,12</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708,05</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Travailleur familial ou apprenti non rémunéré</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0,00</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9,06</w:t>
            </w:r>
            <w:r>
              <w:rPr>
                <w:b/>
                <w:sz w:val="20"/>
                <w:vertAlign w:val="superscript"/>
              </w:rPr>
              <w:t>(1)</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10,19</w:t>
            </w:r>
            <w:r>
              <w:rPr>
                <w:b/>
                <w:sz w:val="20"/>
                <w:vertAlign w:val="superscript"/>
              </w:rPr>
              <w:t>(1)</w:t>
            </w:r>
          </w:p>
        </w:tc>
      </w:tr>
      <w:tr w:rsidR="00000000">
        <w:tblPrEx>
          <w:tblCellMar>
            <w:top w:w="0" w:type="dxa"/>
            <w:bottom w:w="0" w:type="dxa"/>
          </w:tblCellMar>
        </w:tblPrEx>
        <w:tc>
          <w:tcPr>
            <w:tcW w:w="3790" w:type="dxa"/>
            <w:tcBorders>
              <w:top w:val="nil"/>
              <w:bottom w:val="single" w:sz="4" w:space="0" w:color="auto"/>
            </w:tcBorders>
          </w:tcPr>
          <w:p w:rsidR="00000000" w:rsidRDefault="00000000">
            <w:pPr>
              <w:spacing w:before="30" w:after="30"/>
              <w:ind w:left="284"/>
              <w:rPr>
                <w:sz w:val="20"/>
              </w:rPr>
            </w:pPr>
            <w:r>
              <w:rPr>
                <w:sz w:val="20"/>
              </w:rPr>
              <w:t>Employé de maison</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515,10</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589,29</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587,01</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663,72</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439,52</w:t>
            </w:r>
          </w:p>
        </w:tc>
      </w:tr>
      <w:tr w:rsidR="00000000">
        <w:tblPrEx>
          <w:tblCellMar>
            <w:top w:w="0" w:type="dxa"/>
            <w:bottom w:w="0" w:type="dxa"/>
          </w:tblCellMar>
        </w:tblPrEx>
        <w:tc>
          <w:tcPr>
            <w:tcW w:w="3790" w:type="dxa"/>
            <w:tcBorders>
              <w:bottom w:val="nil"/>
            </w:tcBorders>
          </w:tcPr>
          <w:p w:rsidR="00000000" w:rsidRDefault="00000000">
            <w:pPr>
              <w:spacing w:before="30" w:after="30"/>
              <w:rPr>
                <w:b/>
                <w:bCs/>
                <w:sz w:val="20"/>
              </w:rPr>
            </w:pPr>
            <w:r>
              <w:rPr>
                <w:b/>
                <w:bCs/>
                <w:sz w:val="20"/>
              </w:rPr>
              <w:t>HOMMES</w:t>
            </w:r>
          </w:p>
        </w:tc>
        <w:tc>
          <w:tcPr>
            <w:tcW w:w="1141" w:type="dxa"/>
            <w:vAlign w:val="bottom"/>
          </w:tcPr>
          <w:p w:rsidR="00000000" w:rsidRDefault="00000000">
            <w:pPr>
              <w:widowControl w:val="0"/>
              <w:tabs>
                <w:tab w:val="decimal" w:pos="476"/>
              </w:tabs>
              <w:autoSpaceDE w:val="0"/>
              <w:autoSpaceDN w:val="0"/>
              <w:adjustRightInd w:val="0"/>
              <w:spacing w:before="30" w:after="30"/>
              <w:jc w:val="right"/>
              <w:rPr>
                <w:b/>
                <w:sz w:val="20"/>
              </w:rPr>
            </w:pPr>
            <w:r>
              <w:rPr>
                <w:b/>
                <w:sz w:val="20"/>
              </w:rPr>
              <w:t>824,67</w:t>
            </w:r>
          </w:p>
        </w:tc>
        <w:tc>
          <w:tcPr>
            <w:tcW w:w="1141" w:type="dxa"/>
            <w:vAlign w:val="bottom"/>
          </w:tcPr>
          <w:p w:rsidR="00000000" w:rsidRDefault="00000000">
            <w:pPr>
              <w:widowControl w:val="0"/>
              <w:tabs>
                <w:tab w:val="decimal" w:pos="489"/>
              </w:tabs>
              <w:autoSpaceDE w:val="0"/>
              <w:autoSpaceDN w:val="0"/>
              <w:adjustRightInd w:val="0"/>
              <w:spacing w:before="30" w:after="30"/>
              <w:jc w:val="right"/>
              <w:rPr>
                <w:b/>
                <w:sz w:val="20"/>
              </w:rPr>
            </w:pPr>
            <w:r>
              <w:rPr>
                <w:b/>
                <w:sz w:val="20"/>
              </w:rPr>
              <w:t>847,83</w:t>
            </w:r>
          </w:p>
        </w:tc>
        <w:tc>
          <w:tcPr>
            <w:tcW w:w="1142" w:type="dxa"/>
            <w:vAlign w:val="bottom"/>
          </w:tcPr>
          <w:p w:rsidR="00000000" w:rsidRDefault="00000000">
            <w:pPr>
              <w:widowControl w:val="0"/>
              <w:tabs>
                <w:tab w:val="decimal" w:pos="421"/>
              </w:tabs>
              <w:autoSpaceDE w:val="0"/>
              <w:autoSpaceDN w:val="0"/>
              <w:adjustRightInd w:val="0"/>
              <w:spacing w:before="30" w:after="30"/>
              <w:jc w:val="right"/>
              <w:rPr>
                <w:b/>
                <w:sz w:val="20"/>
              </w:rPr>
            </w:pPr>
            <w:r>
              <w:rPr>
                <w:b/>
                <w:sz w:val="20"/>
              </w:rPr>
              <w:t>764,04</w:t>
            </w:r>
          </w:p>
        </w:tc>
        <w:tc>
          <w:tcPr>
            <w:tcW w:w="1141" w:type="dxa"/>
            <w:vAlign w:val="bottom"/>
          </w:tcPr>
          <w:p w:rsidR="00000000" w:rsidRDefault="00000000">
            <w:pPr>
              <w:widowControl w:val="0"/>
              <w:tabs>
                <w:tab w:val="decimal" w:pos="448"/>
              </w:tabs>
              <w:autoSpaceDE w:val="0"/>
              <w:autoSpaceDN w:val="0"/>
              <w:adjustRightInd w:val="0"/>
              <w:spacing w:before="30" w:after="30"/>
              <w:jc w:val="right"/>
              <w:rPr>
                <w:b/>
                <w:sz w:val="20"/>
              </w:rPr>
            </w:pPr>
            <w:r>
              <w:rPr>
                <w:b/>
                <w:sz w:val="20"/>
              </w:rPr>
              <w:t>888,85</w:t>
            </w:r>
          </w:p>
        </w:tc>
        <w:tc>
          <w:tcPr>
            <w:tcW w:w="1142" w:type="dxa"/>
            <w:vAlign w:val="bottom"/>
          </w:tcPr>
          <w:p w:rsidR="00000000" w:rsidRDefault="00000000">
            <w:pPr>
              <w:widowControl w:val="0"/>
              <w:tabs>
                <w:tab w:val="decimal" w:pos="491"/>
              </w:tabs>
              <w:autoSpaceDE w:val="0"/>
              <w:autoSpaceDN w:val="0"/>
              <w:adjustRightInd w:val="0"/>
              <w:spacing w:before="30" w:after="30"/>
              <w:jc w:val="right"/>
              <w:rPr>
                <w:b/>
                <w:sz w:val="20"/>
              </w:rPr>
            </w:pPr>
            <w:r>
              <w:rPr>
                <w:b/>
                <w:sz w:val="20"/>
              </w:rPr>
              <w:t>781,31</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Ouvrier</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813,97</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821,02</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781,01</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759,31</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864,07</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Employé</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1 525,69</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1 839,37</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1 582,80</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1 755,39</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1 532,48</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Travailleur indépendant</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607,94</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545,28</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557,10</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701,35</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656,11</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Patron, associé ou employeur</w:t>
            </w:r>
            <w:r>
              <w:rPr>
                <w:sz w:val="20"/>
              </w:rPr>
              <w:br/>
              <w:t>percevant une rémunération</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3 530,66</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2 853,48</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4 189,41</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3 697,80</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2 941,09</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Patron, associé ou employeur non rémunéré</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1 725,95</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1 781,98</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1 984,93</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1 278,42</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1 176,03</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959,22</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866,40</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521,34</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746,35</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708,05</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Travailleur familial ou apprenti non rémunéré</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0,00</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13,44</w:t>
            </w:r>
            <w:r>
              <w:rPr>
                <w:b/>
                <w:sz w:val="20"/>
                <w:vertAlign w:val="superscript"/>
              </w:rPr>
              <w:t>(1)</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8,43</w:t>
            </w:r>
            <w:r>
              <w:rPr>
                <w:b/>
                <w:sz w:val="20"/>
                <w:vertAlign w:val="superscript"/>
              </w:rPr>
              <w:t>(1)</w:t>
            </w:r>
          </w:p>
        </w:tc>
      </w:tr>
      <w:tr w:rsidR="00000000">
        <w:tblPrEx>
          <w:tblCellMar>
            <w:top w:w="0" w:type="dxa"/>
            <w:bottom w:w="0" w:type="dxa"/>
          </w:tblCellMar>
        </w:tblPrEx>
        <w:tc>
          <w:tcPr>
            <w:tcW w:w="3790" w:type="dxa"/>
            <w:tcBorders>
              <w:top w:val="nil"/>
              <w:bottom w:val="single" w:sz="4" w:space="0" w:color="auto"/>
            </w:tcBorders>
          </w:tcPr>
          <w:p w:rsidR="00000000" w:rsidRDefault="00000000">
            <w:pPr>
              <w:spacing w:before="30" w:after="30"/>
              <w:ind w:left="284"/>
              <w:rPr>
                <w:sz w:val="20"/>
              </w:rPr>
            </w:pPr>
            <w:r>
              <w:rPr>
                <w:sz w:val="20"/>
              </w:rPr>
              <w:t>Employé de maison</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661,47</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843,23</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692,61</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878,22</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529,59</w:t>
            </w:r>
          </w:p>
        </w:tc>
      </w:tr>
      <w:tr w:rsidR="00000000">
        <w:tblPrEx>
          <w:tblCellMar>
            <w:top w:w="0" w:type="dxa"/>
            <w:bottom w:w="0" w:type="dxa"/>
          </w:tblCellMar>
        </w:tblPrEx>
        <w:tc>
          <w:tcPr>
            <w:tcW w:w="3790" w:type="dxa"/>
            <w:tcBorders>
              <w:bottom w:val="nil"/>
            </w:tcBorders>
          </w:tcPr>
          <w:p w:rsidR="00000000" w:rsidRDefault="00000000">
            <w:pPr>
              <w:spacing w:before="30" w:after="30"/>
              <w:rPr>
                <w:b/>
                <w:bCs/>
                <w:sz w:val="20"/>
              </w:rPr>
            </w:pPr>
            <w:r>
              <w:rPr>
                <w:b/>
                <w:bCs/>
                <w:sz w:val="20"/>
              </w:rPr>
              <w:t>FEMMES</w:t>
            </w:r>
          </w:p>
        </w:tc>
        <w:tc>
          <w:tcPr>
            <w:tcW w:w="1141" w:type="dxa"/>
            <w:vAlign w:val="bottom"/>
          </w:tcPr>
          <w:p w:rsidR="00000000" w:rsidRDefault="00000000">
            <w:pPr>
              <w:widowControl w:val="0"/>
              <w:tabs>
                <w:tab w:val="decimal" w:pos="476"/>
              </w:tabs>
              <w:autoSpaceDE w:val="0"/>
              <w:autoSpaceDN w:val="0"/>
              <w:adjustRightInd w:val="0"/>
              <w:spacing w:before="30" w:after="30"/>
              <w:jc w:val="right"/>
              <w:rPr>
                <w:b/>
                <w:sz w:val="20"/>
              </w:rPr>
            </w:pPr>
            <w:r>
              <w:rPr>
                <w:b/>
                <w:sz w:val="20"/>
              </w:rPr>
              <w:t>446,82</w:t>
            </w:r>
          </w:p>
        </w:tc>
        <w:tc>
          <w:tcPr>
            <w:tcW w:w="1141" w:type="dxa"/>
            <w:vAlign w:val="bottom"/>
          </w:tcPr>
          <w:p w:rsidR="00000000" w:rsidRDefault="00000000">
            <w:pPr>
              <w:widowControl w:val="0"/>
              <w:tabs>
                <w:tab w:val="decimal" w:pos="489"/>
              </w:tabs>
              <w:autoSpaceDE w:val="0"/>
              <w:autoSpaceDN w:val="0"/>
              <w:adjustRightInd w:val="0"/>
              <w:spacing w:before="30" w:after="30"/>
              <w:jc w:val="right"/>
              <w:rPr>
                <w:b/>
                <w:sz w:val="20"/>
              </w:rPr>
            </w:pPr>
            <w:r>
              <w:rPr>
                <w:b/>
                <w:sz w:val="20"/>
              </w:rPr>
              <w:t>480,63</w:t>
            </w:r>
          </w:p>
        </w:tc>
        <w:tc>
          <w:tcPr>
            <w:tcW w:w="1142" w:type="dxa"/>
            <w:vAlign w:val="bottom"/>
          </w:tcPr>
          <w:p w:rsidR="00000000" w:rsidRDefault="00000000">
            <w:pPr>
              <w:widowControl w:val="0"/>
              <w:tabs>
                <w:tab w:val="decimal" w:pos="421"/>
              </w:tabs>
              <w:autoSpaceDE w:val="0"/>
              <w:autoSpaceDN w:val="0"/>
              <w:adjustRightInd w:val="0"/>
              <w:spacing w:before="30" w:after="30"/>
              <w:jc w:val="right"/>
              <w:rPr>
                <w:b/>
                <w:sz w:val="20"/>
              </w:rPr>
            </w:pPr>
            <w:r>
              <w:rPr>
                <w:b/>
                <w:sz w:val="20"/>
              </w:rPr>
              <w:t>409,64</w:t>
            </w:r>
          </w:p>
        </w:tc>
        <w:tc>
          <w:tcPr>
            <w:tcW w:w="1141" w:type="dxa"/>
            <w:vAlign w:val="bottom"/>
          </w:tcPr>
          <w:p w:rsidR="00000000" w:rsidRDefault="00000000">
            <w:pPr>
              <w:widowControl w:val="0"/>
              <w:tabs>
                <w:tab w:val="decimal" w:pos="448"/>
              </w:tabs>
              <w:autoSpaceDE w:val="0"/>
              <w:autoSpaceDN w:val="0"/>
              <w:adjustRightInd w:val="0"/>
              <w:spacing w:before="30" w:after="30"/>
              <w:jc w:val="right"/>
              <w:rPr>
                <w:b/>
                <w:sz w:val="20"/>
              </w:rPr>
            </w:pPr>
            <w:r>
              <w:rPr>
                <w:b/>
                <w:sz w:val="20"/>
              </w:rPr>
              <w:t>482,55</w:t>
            </w:r>
          </w:p>
        </w:tc>
        <w:tc>
          <w:tcPr>
            <w:tcW w:w="1142" w:type="dxa"/>
            <w:vAlign w:val="bottom"/>
          </w:tcPr>
          <w:p w:rsidR="00000000" w:rsidRDefault="00000000">
            <w:pPr>
              <w:widowControl w:val="0"/>
              <w:tabs>
                <w:tab w:val="decimal" w:pos="491"/>
              </w:tabs>
              <w:autoSpaceDE w:val="0"/>
              <w:autoSpaceDN w:val="0"/>
              <w:adjustRightInd w:val="0"/>
              <w:spacing w:before="30" w:after="30"/>
              <w:jc w:val="right"/>
              <w:rPr>
                <w:b/>
                <w:sz w:val="20"/>
              </w:rPr>
            </w:pPr>
            <w:r>
              <w:rPr>
                <w:b/>
                <w:sz w:val="20"/>
              </w:rPr>
              <w:t>444,13</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Ouvrière</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375,13</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422,60</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453,14</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402,70</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487,85</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Employée</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1 105,99</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1 261,28</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1 212,05</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1 240,76</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1 447,48</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Travailleuse indépendante</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514,10</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517,89</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431,52</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574,37</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446,69</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Patronne, associée ou employeuse percevant une rémunération</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4 791,19</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2 009,24</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2 163,44</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2 651,30</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4 434,46</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Patronne, associée ou employeuse non rémunérée</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1 661,10</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2 499,55</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953,39</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1 257,91</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1 378,65</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270,11</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104,42</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213,94</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0,00</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Travailleuse familiale ou apprentie non rémunérée</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0,00</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6,40</w:t>
            </w:r>
            <w:r>
              <w:rPr>
                <w:b/>
                <w:sz w:val="20"/>
                <w:vertAlign w:val="superscript"/>
              </w:rPr>
              <w:t>(1)</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11,26</w:t>
            </w:r>
            <w:r>
              <w:rPr>
                <w:b/>
                <w:sz w:val="20"/>
                <w:vertAlign w:val="superscript"/>
              </w:rPr>
              <w:t>(1)</w:t>
            </w:r>
          </w:p>
        </w:tc>
      </w:tr>
      <w:tr w:rsidR="00000000">
        <w:tblPrEx>
          <w:tblCellMar>
            <w:top w:w="0" w:type="dxa"/>
            <w:bottom w:w="0" w:type="dxa"/>
          </w:tblCellMar>
        </w:tblPrEx>
        <w:tc>
          <w:tcPr>
            <w:tcW w:w="3790" w:type="dxa"/>
            <w:tcBorders>
              <w:top w:val="nil"/>
            </w:tcBorders>
          </w:tcPr>
          <w:p w:rsidR="00000000" w:rsidRDefault="00000000">
            <w:pPr>
              <w:spacing w:before="30" w:after="30"/>
              <w:ind w:left="284"/>
              <w:rPr>
                <w:sz w:val="20"/>
              </w:rPr>
            </w:pPr>
            <w:r>
              <w:rPr>
                <w:sz w:val="20"/>
              </w:rPr>
              <w:t>Employée de maison</w:t>
            </w:r>
          </w:p>
        </w:tc>
        <w:tc>
          <w:tcPr>
            <w:tcW w:w="1141" w:type="dxa"/>
            <w:vAlign w:val="bottom"/>
          </w:tcPr>
          <w:p w:rsidR="00000000" w:rsidRDefault="00000000">
            <w:pPr>
              <w:widowControl w:val="0"/>
              <w:tabs>
                <w:tab w:val="decimal" w:pos="476"/>
              </w:tabs>
              <w:autoSpaceDE w:val="0"/>
              <w:autoSpaceDN w:val="0"/>
              <w:adjustRightInd w:val="0"/>
              <w:spacing w:before="30" w:after="30"/>
              <w:jc w:val="right"/>
              <w:rPr>
                <w:sz w:val="20"/>
              </w:rPr>
            </w:pPr>
            <w:r>
              <w:rPr>
                <w:sz w:val="20"/>
              </w:rPr>
              <w:t>507,41</w:t>
            </w:r>
          </w:p>
        </w:tc>
        <w:tc>
          <w:tcPr>
            <w:tcW w:w="1141" w:type="dxa"/>
            <w:vAlign w:val="bottom"/>
          </w:tcPr>
          <w:p w:rsidR="00000000" w:rsidRDefault="00000000">
            <w:pPr>
              <w:widowControl w:val="0"/>
              <w:tabs>
                <w:tab w:val="decimal" w:pos="489"/>
              </w:tabs>
              <w:autoSpaceDE w:val="0"/>
              <w:autoSpaceDN w:val="0"/>
              <w:adjustRightInd w:val="0"/>
              <w:spacing w:before="30" w:after="30"/>
              <w:jc w:val="right"/>
              <w:rPr>
                <w:sz w:val="20"/>
              </w:rPr>
            </w:pPr>
            <w:r>
              <w:rPr>
                <w:sz w:val="20"/>
              </w:rPr>
              <w:t>581,58</w:t>
            </w:r>
          </w:p>
        </w:tc>
        <w:tc>
          <w:tcPr>
            <w:tcW w:w="1142" w:type="dxa"/>
            <w:vAlign w:val="bottom"/>
          </w:tcPr>
          <w:p w:rsidR="00000000" w:rsidRDefault="00000000">
            <w:pPr>
              <w:widowControl w:val="0"/>
              <w:tabs>
                <w:tab w:val="decimal" w:pos="421"/>
              </w:tabs>
              <w:autoSpaceDE w:val="0"/>
              <w:autoSpaceDN w:val="0"/>
              <w:adjustRightInd w:val="0"/>
              <w:spacing w:before="30" w:after="30"/>
              <w:jc w:val="right"/>
              <w:rPr>
                <w:sz w:val="20"/>
              </w:rPr>
            </w:pPr>
            <w:r>
              <w:rPr>
                <w:sz w:val="20"/>
              </w:rPr>
              <w:t>582,79</w:t>
            </w:r>
          </w:p>
        </w:tc>
        <w:tc>
          <w:tcPr>
            <w:tcW w:w="1141" w:type="dxa"/>
            <w:vAlign w:val="bottom"/>
          </w:tcPr>
          <w:p w:rsidR="00000000" w:rsidRDefault="00000000">
            <w:pPr>
              <w:widowControl w:val="0"/>
              <w:tabs>
                <w:tab w:val="decimal" w:pos="448"/>
              </w:tabs>
              <w:autoSpaceDE w:val="0"/>
              <w:autoSpaceDN w:val="0"/>
              <w:adjustRightInd w:val="0"/>
              <w:spacing w:before="30" w:after="30"/>
              <w:jc w:val="right"/>
              <w:rPr>
                <w:sz w:val="20"/>
              </w:rPr>
            </w:pPr>
            <w:r>
              <w:rPr>
                <w:sz w:val="20"/>
              </w:rPr>
              <w:t>656,09</w:t>
            </w:r>
          </w:p>
        </w:tc>
        <w:tc>
          <w:tcPr>
            <w:tcW w:w="1142" w:type="dxa"/>
            <w:vAlign w:val="bottom"/>
          </w:tcPr>
          <w:p w:rsidR="00000000" w:rsidRDefault="00000000">
            <w:pPr>
              <w:widowControl w:val="0"/>
              <w:tabs>
                <w:tab w:val="decimal" w:pos="491"/>
              </w:tabs>
              <w:autoSpaceDE w:val="0"/>
              <w:autoSpaceDN w:val="0"/>
              <w:adjustRightInd w:val="0"/>
              <w:spacing w:before="30" w:after="30"/>
              <w:jc w:val="right"/>
              <w:rPr>
                <w:sz w:val="20"/>
              </w:rPr>
            </w:pPr>
            <w:r>
              <w:rPr>
                <w:sz w:val="20"/>
              </w:rPr>
              <w:t>435,85</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lang w:val="fr-FR"/>
        </w:rPr>
        <w:t>p</w:t>
      </w:r>
      <w:r>
        <w:rPr>
          <w:sz w:val="20"/>
        </w:rPr>
        <w:t xml:space="preserve"> Chiffres provisoires.</w:t>
      </w:r>
    </w:p>
    <w:p w:rsidR="00000000" w:rsidRDefault="00000000">
      <w:pPr>
        <w:spacing w:after="180"/>
        <w:jc w:val="center"/>
        <w:rPr>
          <w:b/>
          <w:bCs/>
        </w:rPr>
      </w:pPr>
      <w:r>
        <w:br w:type="page"/>
      </w:r>
      <w:r>
        <w:rPr>
          <w:b/>
          <w:bCs/>
        </w:rPr>
        <w:t>Tableau 3.1</w:t>
      </w:r>
    </w:p>
    <w:p w:rsidR="00000000" w:rsidRDefault="00000000">
      <w:pPr>
        <w:spacing w:after="180"/>
        <w:ind w:left="567" w:hanging="567"/>
        <w:jc w:val="center"/>
      </w:pPr>
      <w:r>
        <w:rPr>
          <w:b/>
          <w:bCs/>
        </w:rPr>
        <w:t>Bolivie − Zones urbaines: Revenu mensuel moyen, dans l’activité principale,</w:t>
      </w:r>
      <w:r>
        <w:rPr>
          <w:b/>
          <w:bCs/>
        </w:rPr>
        <w:br/>
        <w:t>par année, sexe et statut professionnel, 1999</w:t>
      </w:r>
      <w:r>
        <w:rPr>
          <w:b/>
          <w:bCs/>
        </w:rPr>
        <w:noBreakHyphen/>
        <w:t>2003</w:t>
      </w:r>
      <w:r>
        <w:rPr>
          <w:b/>
          <w:bCs/>
          <w:i/>
          <w:iCs/>
          <w:vertAlign w:val="superscript"/>
        </w:rPr>
        <w:t>p</w:t>
      </w:r>
      <w:r>
        <w:rPr>
          <w:b/>
          <w:bCs/>
        </w:rPr>
        <w:br/>
      </w:r>
      <w:r>
        <w:t>(</w:t>
      </w:r>
      <w:r>
        <w:rPr>
          <w:i/>
          <w:iCs/>
        </w:rPr>
        <w:t>En bolivianos</w:t>
      </w:r>
      <w:r>
        <w: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0"/>
        <w:gridCol w:w="1141"/>
        <w:gridCol w:w="1141"/>
        <w:gridCol w:w="1142"/>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lang w:val="fr-FR"/>
              </w:rPr>
            </w:pPr>
            <w:r>
              <w:rPr>
                <w:sz w:val="20"/>
                <w:lang w:val="fr-FR"/>
              </w:rPr>
              <w:t>Statut professionnel</w:t>
            </w:r>
          </w:p>
        </w:tc>
        <w:tc>
          <w:tcPr>
            <w:tcW w:w="1141" w:type="dxa"/>
            <w:vAlign w:val="center"/>
          </w:tcPr>
          <w:p w:rsidR="00000000" w:rsidRDefault="00000000">
            <w:pPr>
              <w:keepNext/>
              <w:spacing w:before="60" w:after="60"/>
              <w:jc w:val="center"/>
              <w:rPr>
                <w:sz w:val="20"/>
                <w:lang w:val="fr-FR"/>
              </w:rPr>
            </w:pPr>
            <w:r>
              <w:rPr>
                <w:sz w:val="20"/>
                <w:lang w:val="fr-FR"/>
              </w:rPr>
              <w:t>1999</w:t>
            </w:r>
          </w:p>
        </w:tc>
        <w:tc>
          <w:tcPr>
            <w:tcW w:w="1141" w:type="dxa"/>
            <w:vAlign w:val="center"/>
          </w:tcPr>
          <w:p w:rsidR="00000000" w:rsidRDefault="00000000">
            <w:pPr>
              <w:keepNext/>
              <w:spacing w:before="60" w:after="60"/>
              <w:jc w:val="center"/>
              <w:rPr>
                <w:sz w:val="20"/>
                <w:lang w:val="fr-FR"/>
              </w:rPr>
            </w:pPr>
            <w:r>
              <w:rPr>
                <w:sz w:val="20"/>
                <w:lang w:val="fr-FR"/>
              </w:rPr>
              <w:t>2000</w:t>
            </w:r>
          </w:p>
        </w:tc>
        <w:tc>
          <w:tcPr>
            <w:tcW w:w="1142" w:type="dxa"/>
            <w:vAlign w:val="center"/>
          </w:tcPr>
          <w:p w:rsidR="00000000" w:rsidRDefault="00000000">
            <w:pPr>
              <w:keepNext/>
              <w:spacing w:before="60" w:after="60"/>
              <w:jc w:val="center"/>
              <w:rPr>
                <w:sz w:val="20"/>
                <w:lang w:val="fr-FR"/>
              </w:rPr>
            </w:pPr>
            <w:r>
              <w:rPr>
                <w:sz w:val="20"/>
                <w:lang w:val="fr-FR"/>
              </w:rPr>
              <w:t>2001</w:t>
            </w:r>
          </w:p>
        </w:tc>
        <w:tc>
          <w:tcPr>
            <w:tcW w:w="1141" w:type="dxa"/>
            <w:vAlign w:val="center"/>
          </w:tcPr>
          <w:p w:rsidR="00000000" w:rsidRDefault="00000000">
            <w:pPr>
              <w:keepNext/>
              <w:spacing w:before="60" w:after="60"/>
              <w:jc w:val="center"/>
              <w:rPr>
                <w:sz w:val="20"/>
                <w:lang w:val="fr-FR"/>
              </w:rPr>
            </w:pPr>
            <w:r>
              <w:rPr>
                <w:sz w:val="20"/>
                <w:lang w:val="fr-FR"/>
              </w:rPr>
              <w:t>2002</w:t>
            </w:r>
          </w:p>
        </w:tc>
        <w:tc>
          <w:tcPr>
            <w:tcW w:w="1142" w:type="dxa"/>
            <w:vAlign w:val="center"/>
          </w:tcPr>
          <w:p w:rsidR="00000000" w:rsidRDefault="00000000">
            <w:pPr>
              <w:keepNext/>
              <w:spacing w:before="60" w:after="60"/>
              <w:jc w:val="center"/>
              <w:rPr>
                <w:sz w:val="20"/>
                <w:lang w:val="fr-FR"/>
              </w:rPr>
            </w:pPr>
            <w:r>
              <w:rPr>
                <w:sz w:val="20"/>
                <w:lang w:val="fr-FR"/>
              </w:rPr>
              <w:t>2003</w:t>
            </w:r>
            <w:r>
              <w:rPr>
                <w:b/>
                <w:bCs/>
                <w:i/>
                <w:iCs/>
                <w:sz w:val="20"/>
                <w:vertAlign w:val="superscript"/>
                <w:lang w:val="fr-FR"/>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30" w:after="30"/>
              <w:rPr>
                <w:b/>
                <w:bCs/>
                <w:sz w:val="20"/>
              </w:rPr>
            </w:pPr>
            <w:r>
              <w:rPr>
                <w:b/>
                <w:bCs/>
                <w:sz w:val="20"/>
              </w:rPr>
              <w:t>TOTAL</w:t>
            </w:r>
          </w:p>
        </w:tc>
        <w:tc>
          <w:tcPr>
            <w:tcW w:w="1141" w:type="dxa"/>
            <w:vAlign w:val="bottom"/>
          </w:tcPr>
          <w:p w:rsidR="00000000" w:rsidRDefault="00000000">
            <w:pPr>
              <w:keepNext/>
              <w:keepLines/>
              <w:tabs>
                <w:tab w:val="decimal" w:pos="517"/>
              </w:tabs>
              <w:autoSpaceDE w:val="0"/>
              <w:autoSpaceDN w:val="0"/>
              <w:adjustRightInd w:val="0"/>
              <w:spacing w:before="30" w:after="30"/>
              <w:jc w:val="right"/>
              <w:rPr>
                <w:b/>
                <w:sz w:val="20"/>
              </w:rPr>
            </w:pPr>
            <w:r>
              <w:rPr>
                <w:b/>
                <w:sz w:val="20"/>
              </w:rPr>
              <w:t>1 021,47</w:t>
            </w:r>
          </w:p>
        </w:tc>
        <w:tc>
          <w:tcPr>
            <w:tcW w:w="1141" w:type="dxa"/>
            <w:vAlign w:val="bottom"/>
          </w:tcPr>
          <w:p w:rsidR="00000000" w:rsidRDefault="00000000">
            <w:pPr>
              <w:keepNext/>
              <w:keepLines/>
              <w:tabs>
                <w:tab w:val="decimal" w:pos="532"/>
              </w:tabs>
              <w:autoSpaceDE w:val="0"/>
              <w:autoSpaceDN w:val="0"/>
              <w:adjustRightInd w:val="0"/>
              <w:spacing w:before="30" w:after="30"/>
              <w:jc w:val="right"/>
              <w:rPr>
                <w:b/>
                <w:sz w:val="20"/>
              </w:rPr>
            </w:pPr>
            <w:r>
              <w:rPr>
                <w:b/>
                <w:sz w:val="20"/>
              </w:rPr>
              <w:t>1 052,56</w:t>
            </w:r>
          </w:p>
        </w:tc>
        <w:tc>
          <w:tcPr>
            <w:tcW w:w="1142" w:type="dxa"/>
            <w:vAlign w:val="bottom"/>
          </w:tcPr>
          <w:p w:rsidR="00000000" w:rsidRDefault="00000000">
            <w:pPr>
              <w:keepNext/>
              <w:keepLines/>
              <w:tabs>
                <w:tab w:val="decimal" w:pos="518"/>
              </w:tabs>
              <w:autoSpaceDE w:val="0"/>
              <w:autoSpaceDN w:val="0"/>
              <w:adjustRightInd w:val="0"/>
              <w:spacing w:before="30" w:after="30"/>
              <w:jc w:val="right"/>
              <w:rPr>
                <w:b/>
                <w:sz w:val="20"/>
              </w:rPr>
            </w:pPr>
            <w:r>
              <w:rPr>
                <w:b/>
                <w:sz w:val="20"/>
              </w:rPr>
              <w:t>932,86</w:t>
            </w:r>
          </w:p>
        </w:tc>
        <w:tc>
          <w:tcPr>
            <w:tcW w:w="1141" w:type="dxa"/>
            <w:vAlign w:val="bottom"/>
          </w:tcPr>
          <w:p w:rsidR="00000000" w:rsidRDefault="00000000">
            <w:pPr>
              <w:keepNext/>
              <w:keepLines/>
              <w:tabs>
                <w:tab w:val="decimal" w:pos="517"/>
              </w:tabs>
              <w:autoSpaceDE w:val="0"/>
              <w:autoSpaceDN w:val="0"/>
              <w:adjustRightInd w:val="0"/>
              <w:spacing w:before="30" w:after="30"/>
              <w:jc w:val="right"/>
              <w:rPr>
                <w:b/>
                <w:sz w:val="20"/>
              </w:rPr>
            </w:pPr>
            <w:r>
              <w:rPr>
                <w:b/>
                <w:sz w:val="20"/>
              </w:rPr>
              <w:t>1 091,50</w:t>
            </w:r>
          </w:p>
        </w:tc>
        <w:tc>
          <w:tcPr>
            <w:tcW w:w="1142" w:type="dxa"/>
            <w:vAlign w:val="bottom"/>
          </w:tcPr>
          <w:p w:rsidR="00000000" w:rsidRDefault="00000000">
            <w:pPr>
              <w:keepNext/>
              <w:keepLines/>
              <w:tabs>
                <w:tab w:val="decimal" w:pos="490"/>
              </w:tabs>
              <w:autoSpaceDE w:val="0"/>
              <w:autoSpaceDN w:val="0"/>
              <w:adjustRightInd w:val="0"/>
              <w:spacing w:before="30" w:after="30"/>
              <w:jc w:val="right"/>
              <w:rPr>
                <w:b/>
                <w:sz w:val="20"/>
              </w:rPr>
            </w:pPr>
            <w:r>
              <w:rPr>
                <w:b/>
                <w:sz w:val="20"/>
              </w:rPr>
              <w:t>913,18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Ouvrier</w:t>
            </w:r>
          </w:p>
        </w:tc>
        <w:tc>
          <w:tcPr>
            <w:tcW w:w="1141" w:type="dxa"/>
            <w:vAlign w:val="bottom"/>
          </w:tcPr>
          <w:p w:rsidR="00000000" w:rsidRDefault="00000000">
            <w:pPr>
              <w:keepNext/>
              <w:keepLines/>
              <w:tabs>
                <w:tab w:val="decimal" w:pos="517"/>
              </w:tabs>
              <w:autoSpaceDE w:val="0"/>
              <w:autoSpaceDN w:val="0"/>
              <w:adjustRightInd w:val="0"/>
              <w:spacing w:before="30" w:after="30"/>
              <w:jc w:val="right"/>
              <w:rPr>
                <w:sz w:val="20"/>
              </w:rPr>
            </w:pPr>
            <w:r>
              <w:rPr>
                <w:sz w:val="20"/>
              </w:rPr>
              <w:t>829,72</w:t>
            </w:r>
          </w:p>
        </w:tc>
        <w:tc>
          <w:tcPr>
            <w:tcW w:w="1141" w:type="dxa"/>
            <w:vAlign w:val="bottom"/>
          </w:tcPr>
          <w:p w:rsidR="00000000" w:rsidRDefault="00000000">
            <w:pPr>
              <w:keepNext/>
              <w:keepLines/>
              <w:tabs>
                <w:tab w:val="decimal" w:pos="532"/>
              </w:tabs>
              <w:autoSpaceDE w:val="0"/>
              <w:autoSpaceDN w:val="0"/>
              <w:adjustRightInd w:val="0"/>
              <w:spacing w:before="30" w:after="30"/>
              <w:jc w:val="right"/>
              <w:rPr>
                <w:sz w:val="20"/>
              </w:rPr>
            </w:pPr>
            <w:r>
              <w:rPr>
                <w:sz w:val="20"/>
              </w:rPr>
              <w:t>806,54</w:t>
            </w:r>
          </w:p>
        </w:tc>
        <w:tc>
          <w:tcPr>
            <w:tcW w:w="1142" w:type="dxa"/>
            <w:vAlign w:val="bottom"/>
          </w:tcPr>
          <w:p w:rsidR="00000000" w:rsidRDefault="00000000">
            <w:pPr>
              <w:keepNext/>
              <w:keepLines/>
              <w:tabs>
                <w:tab w:val="decimal" w:pos="518"/>
              </w:tabs>
              <w:autoSpaceDE w:val="0"/>
              <w:autoSpaceDN w:val="0"/>
              <w:adjustRightInd w:val="0"/>
              <w:spacing w:before="30" w:after="30"/>
              <w:jc w:val="right"/>
              <w:rPr>
                <w:sz w:val="20"/>
              </w:rPr>
            </w:pPr>
            <w:r>
              <w:rPr>
                <w:sz w:val="20"/>
              </w:rPr>
              <w:t>785,39</w:t>
            </w:r>
          </w:p>
        </w:tc>
        <w:tc>
          <w:tcPr>
            <w:tcW w:w="1141" w:type="dxa"/>
            <w:vAlign w:val="bottom"/>
          </w:tcPr>
          <w:p w:rsidR="00000000" w:rsidRDefault="00000000">
            <w:pPr>
              <w:keepNext/>
              <w:keepLines/>
              <w:tabs>
                <w:tab w:val="decimal" w:pos="517"/>
              </w:tabs>
              <w:autoSpaceDE w:val="0"/>
              <w:autoSpaceDN w:val="0"/>
              <w:adjustRightInd w:val="0"/>
              <w:spacing w:before="30" w:after="30"/>
              <w:jc w:val="right"/>
              <w:rPr>
                <w:sz w:val="20"/>
              </w:rPr>
            </w:pPr>
            <w:r>
              <w:rPr>
                <w:sz w:val="20"/>
              </w:rPr>
              <w:t>719,26</w:t>
            </w:r>
          </w:p>
        </w:tc>
        <w:tc>
          <w:tcPr>
            <w:tcW w:w="1142" w:type="dxa"/>
            <w:vAlign w:val="bottom"/>
          </w:tcPr>
          <w:p w:rsidR="00000000" w:rsidRDefault="00000000">
            <w:pPr>
              <w:keepNext/>
              <w:keepLines/>
              <w:tabs>
                <w:tab w:val="decimal" w:pos="490"/>
              </w:tabs>
              <w:autoSpaceDE w:val="0"/>
              <w:autoSpaceDN w:val="0"/>
              <w:adjustRightInd w:val="0"/>
              <w:spacing w:before="30" w:after="30"/>
              <w:jc w:val="right"/>
              <w:rPr>
                <w:sz w:val="20"/>
              </w:rPr>
            </w:pPr>
            <w:r>
              <w:rPr>
                <w:sz w:val="20"/>
              </w:rPr>
              <w:t>858,81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Employé</w:t>
            </w:r>
          </w:p>
        </w:tc>
        <w:tc>
          <w:tcPr>
            <w:tcW w:w="1141" w:type="dxa"/>
            <w:vAlign w:val="bottom"/>
          </w:tcPr>
          <w:p w:rsidR="00000000" w:rsidRDefault="00000000">
            <w:pPr>
              <w:keepNext/>
              <w:keepLines/>
              <w:tabs>
                <w:tab w:val="decimal" w:pos="517"/>
              </w:tabs>
              <w:autoSpaceDE w:val="0"/>
              <w:autoSpaceDN w:val="0"/>
              <w:adjustRightInd w:val="0"/>
              <w:spacing w:before="30" w:after="30"/>
              <w:jc w:val="right"/>
              <w:rPr>
                <w:sz w:val="20"/>
              </w:rPr>
            </w:pPr>
            <w:r>
              <w:rPr>
                <w:sz w:val="20"/>
              </w:rPr>
              <w:t>1 420,86</w:t>
            </w:r>
          </w:p>
        </w:tc>
        <w:tc>
          <w:tcPr>
            <w:tcW w:w="1141" w:type="dxa"/>
            <w:vAlign w:val="bottom"/>
          </w:tcPr>
          <w:p w:rsidR="00000000" w:rsidRDefault="00000000">
            <w:pPr>
              <w:keepNext/>
              <w:keepLines/>
              <w:tabs>
                <w:tab w:val="decimal" w:pos="532"/>
              </w:tabs>
              <w:autoSpaceDE w:val="0"/>
              <w:autoSpaceDN w:val="0"/>
              <w:adjustRightInd w:val="0"/>
              <w:spacing w:before="30" w:after="30"/>
              <w:jc w:val="right"/>
              <w:rPr>
                <w:sz w:val="20"/>
              </w:rPr>
            </w:pPr>
            <w:r>
              <w:rPr>
                <w:sz w:val="20"/>
              </w:rPr>
              <w:t>1 694,34</w:t>
            </w:r>
          </w:p>
        </w:tc>
        <w:tc>
          <w:tcPr>
            <w:tcW w:w="1142" w:type="dxa"/>
            <w:vAlign w:val="bottom"/>
          </w:tcPr>
          <w:p w:rsidR="00000000" w:rsidRDefault="00000000">
            <w:pPr>
              <w:keepNext/>
              <w:keepLines/>
              <w:tabs>
                <w:tab w:val="decimal" w:pos="518"/>
              </w:tabs>
              <w:autoSpaceDE w:val="0"/>
              <w:autoSpaceDN w:val="0"/>
              <w:adjustRightInd w:val="0"/>
              <w:spacing w:before="30" w:after="30"/>
              <w:jc w:val="right"/>
              <w:rPr>
                <w:sz w:val="20"/>
              </w:rPr>
            </w:pPr>
            <w:r>
              <w:rPr>
                <w:sz w:val="20"/>
              </w:rPr>
              <w:t>1 491,15</w:t>
            </w:r>
          </w:p>
        </w:tc>
        <w:tc>
          <w:tcPr>
            <w:tcW w:w="1141" w:type="dxa"/>
            <w:vAlign w:val="bottom"/>
          </w:tcPr>
          <w:p w:rsidR="00000000" w:rsidRDefault="00000000">
            <w:pPr>
              <w:keepNext/>
              <w:keepLines/>
              <w:tabs>
                <w:tab w:val="decimal" w:pos="517"/>
              </w:tabs>
              <w:autoSpaceDE w:val="0"/>
              <w:autoSpaceDN w:val="0"/>
              <w:adjustRightInd w:val="0"/>
              <w:spacing w:before="30" w:after="30"/>
              <w:jc w:val="right"/>
              <w:rPr>
                <w:sz w:val="20"/>
              </w:rPr>
            </w:pPr>
            <w:r>
              <w:rPr>
                <w:sz w:val="20"/>
              </w:rPr>
              <w:t>1 615,14</w:t>
            </w:r>
          </w:p>
        </w:tc>
        <w:tc>
          <w:tcPr>
            <w:tcW w:w="1142" w:type="dxa"/>
            <w:vAlign w:val="bottom"/>
          </w:tcPr>
          <w:p w:rsidR="00000000" w:rsidRDefault="00000000">
            <w:pPr>
              <w:keepNext/>
              <w:keepLines/>
              <w:tabs>
                <w:tab w:val="decimal" w:pos="490"/>
              </w:tabs>
              <w:autoSpaceDE w:val="0"/>
              <w:autoSpaceDN w:val="0"/>
              <w:adjustRightInd w:val="0"/>
              <w:spacing w:before="30" w:after="30"/>
              <w:jc w:val="right"/>
              <w:rPr>
                <w:sz w:val="20"/>
              </w:rPr>
            </w:pPr>
            <w:r>
              <w:rPr>
                <w:sz w:val="20"/>
              </w:rPr>
              <w:t>1 536,59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indépendant</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818,12</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743,62</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724,09</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860,71</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742,66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w:t>
            </w:r>
            <w:r>
              <w:rPr>
                <w:sz w:val="20"/>
              </w:rPr>
              <w:br/>
              <w:t>percevant une rémunération</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3 944,45</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2 889,69</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3 931,69</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3 817,38</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3 192,28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 non rémunéré</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1 936,97</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2 199,21</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2 071,96</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2 014,60</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1 770,48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1 699,11</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941,50</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560,17</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756,79</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650,38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familial ou apprenti non rémunéré</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0,00</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13,02</w:t>
            </w:r>
            <w:r>
              <w:rPr>
                <w:b/>
                <w:sz w:val="20"/>
                <w:vertAlign w:val="superscript"/>
              </w:rPr>
              <w:t>(1)</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17,89</w:t>
            </w:r>
            <w:r>
              <w:rPr>
                <w:b/>
                <w:sz w:val="20"/>
                <w:vertAlign w:val="superscript"/>
              </w:rPr>
              <w:t>(1)</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30" w:after="30"/>
              <w:ind w:left="284"/>
              <w:rPr>
                <w:sz w:val="20"/>
              </w:rPr>
            </w:pPr>
            <w:r>
              <w:rPr>
                <w:sz w:val="20"/>
              </w:rPr>
              <w:t>Employé de maison</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533,65</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590,62</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594,05</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687,00</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445,43</w:t>
            </w:r>
          </w:p>
        </w:tc>
      </w:tr>
      <w:tr w:rsidR="00000000">
        <w:tblPrEx>
          <w:tblCellMar>
            <w:top w:w="0" w:type="dxa"/>
            <w:bottom w:w="0" w:type="dxa"/>
          </w:tblCellMar>
        </w:tblPrEx>
        <w:tc>
          <w:tcPr>
            <w:tcW w:w="3790" w:type="dxa"/>
            <w:tcBorders>
              <w:bottom w:val="nil"/>
            </w:tcBorders>
            <w:vAlign w:val="bottom"/>
          </w:tcPr>
          <w:p w:rsidR="00000000" w:rsidRDefault="00000000">
            <w:pPr>
              <w:spacing w:before="30" w:after="30"/>
              <w:rPr>
                <w:b/>
                <w:bCs/>
                <w:sz w:val="20"/>
              </w:rPr>
            </w:pPr>
            <w:r>
              <w:rPr>
                <w:b/>
                <w:bCs/>
                <w:sz w:val="20"/>
              </w:rPr>
              <w:t>HOMMES</w:t>
            </w:r>
          </w:p>
        </w:tc>
        <w:tc>
          <w:tcPr>
            <w:tcW w:w="1141" w:type="dxa"/>
            <w:vAlign w:val="bottom"/>
          </w:tcPr>
          <w:p w:rsidR="00000000" w:rsidRDefault="00000000">
            <w:pPr>
              <w:widowControl w:val="0"/>
              <w:tabs>
                <w:tab w:val="decimal" w:pos="517"/>
              </w:tabs>
              <w:autoSpaceDE w:val="0"/>
              <w:autoSpaceDN w:val="0"/>
              <w:adjustRightInd w:val="0"/>
              <w:spacing w:before="30" w:after="30"/>
              <w:jc w:val="right"/>
              <w:rPr>
                <w:b/>
                <w:sz w:val="20"/>
              </w:rPr>
            </w:pPr>
            <w:r>
              <w:rPr>
                <w:b/>
                <w:sz w:val="20"/>
              </w:rPr>
              <w:t>1 250,54</w:t>
            </w:r>
          </w:p>
        </w:tc>
        <w:tc>
          <w:tcPr>
            <w:tcW w:w="1141" w:type="dxa"/>
            <w:vAlign w:val="bottom"/>
          </w:tcPr>
          <w:p w:rsidR="00000000" w:rsidRDefault="00000000">
            <w:pPr>
              <w:widowControl w:val="0"/>
              <w:tabs>
                <w:tab w:val="decimal" w:pos="532"/>
              </w:tabs>
              <w:autoSpaceDE w:val="0"/>
              <w:autoSpaceDN w:val="0"/>
              <w:adjustRightInd w:val="0"/>
              <w:spacing w:before="30" w:after="30"/>
              <w:jc w:val="right"/>
              <w:rPr>
                <w:b/>
                <w:sz w:val="20"/>
              </w:rPr>
            </w:pPr>
            <w:r>
              <w:rPr>
                <w:b/>
                <w:sz w:val="20"/>
              </w:rPr>
              <w:t>1 277,41</w:t>
            </w:r>
          </w:p>
        </w:tc>
        <w:tc>
          <w:tcPr>
            <w:tcW w:w="1142" w:type="dxa"/>
            <w:vAlign w:val="bottom"/>
          </w:tcPr>
          <w:p w:rsidR="00000000" w:rsidRDefault="00000000">
            <w:pPr>
              <w:widowControl w:val="0"/>
              <w:tabs>
                <w:tab w:val="decimal" w:pos="518"/>
              </w:tabs>
              <w:autoSpaceDE w:val="0"/>
              <w:autoSpaceDN w:val="0"/>
              <w:adjustRightInd w:val="0"/>
              <w:spacing w:before="30" w:after="30"/>
              <w:jc w:val="right"/>
              <w:rPr>
                <w:b/>
                <w:sz w:val="20"/>
              </w:rPr>
            </w:pPr>
            <w:r>
              <w:rPr>
                <w:b/>
                <w:sz w:val="20"/>
              </w:rPr>
              <w:t>1 172,22</w:t>
            </w:r>
          </w:p>
        </w:tc>
        <w:tc>
          <w:tcPr>
            <w:tcW w:w="1141" w:type="dxa"/>
            <w:vAlign w:val="bottom"/>
          </w:tcPr>
          <w:p w:rsidR="00000000" w:rsidRDefault="00000000">
            <w:pPr>
              <w:widowControl w:val="0"/>
              <w:tabs>
                <w:tab w:val="decimal" w:pos="517"/>
              </w:tabs>
              <w:autoSpaceDE w:val="0"/>
              <w:autoSpaceDN w:val="0"/>
              <w:adjustRightInd w:val="0"/>
              <w:spacing w:before="30" w:after="30"/>
              <w:jc w:val="right"/>
              <w:rPr>
                <w:b/>
                <w:sz w:val="20"/>
              </w:rPr>
            </w:pPr>
            <w:r>
              <w:rPr>
                <w:b/>
                <w:sz w:val="20"/>
              </w:rPr>
              <w:t>1 351,44</w:t>
            </w:r>
          </w:p>
        </w:tc>
        <w:tc>
          <w:tcPr>
            <w:tcW w:w="1142" w:type="dxa"/>
            <w:vAlign w:val="bottom"/>
          </w:tcPr>
          <w:p w:rsidR="00000000" w:rsidRDefault="00000000">
            <w:pPr>
              <w:widowControl w:val="0"/>
              <w:tabs>
                <w:tab w:val="decimal" w:pos="490"/>
              </w:tabs>
              <w:autoSpaceDE w:val="0"/>
              <w:autoSpaceDN w:val="0"/>
              <w:adjustRightInd w:val="0"/>
              <w:spacing w:before="30" w:after="30"/>
              <w:jc w:val="right"/>
              <w:rPr>
                <w:b/>
                <w:sz w:val="20"/>
              </w:rPr>
            </w:pPr>
            <w:r>
              <w:rPr>
                <w:b/>
                <w:sz w:val="20"/>
              </w:rPr>
              <w:t>1 086,06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Ouvrier</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880,00</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852,23</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826,66</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767,97</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894,54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Employé</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1 569,86</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1 921,66</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1 637,19</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1 816,92</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1 561,38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indépendant</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1 049,44</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881,32</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967,97</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1 102,41</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991,91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w:t>
            </w:r>
            <w:r>
              <w:rPr>
                <w:sz w:val="20"/>
              </w:rPr>
              <w:br/>
              <w:t>percevant une rémunération</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3 668,03</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3 060,96</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4 294,65</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3 965,63</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2 980,83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 associé ou employeur non rémunéré</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1 971,04</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1 974,07</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2 612,11</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2 098,01</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1 817,06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1 699,11</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990,34</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573,45</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769,02</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650,38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Travailleur familial ou apprenti non rémunéré</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0,00</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26,10</w:t>
            </w:r>
            <w:r>
              <w:rPr>
                <w:b/>
                <w:sz w:val="20"/>
                <w:vertAlign w:val="superscript"/>
              </w:rPr>
              <w:t>(1)</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9,72</w:t>
            </w:r>
            <w:r>
              <w:rPr>
                <w:b/>
                <w:sz w:val="20"/>
                <w:vertAlign w:val="superscript"/>
              </w:rPr>
              <w:t>(1)</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30" w:after="30"/>
              <w:ind w:left="284"/>
              <w:rPr>
                <w:sz w:val="20"/>
              </w:rPr>
            </w:pPr>
            <w:r>
              <w:rPr>
                <w:sz w:val="20"/>
              </w:rPr>
              <w:t>Employé de maison</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608,41</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780,28</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708,33</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987,37</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534,01</w:t>
            </w:r>
          </w:p>
        </w:tc>
      </w:tr>
      <w:tr w:rsidR="00000000">
        <w:tblPrEx>
          <w:tblCellMar>
            <w:top w:w="0" w:type="dxa"/>
            <w:bottom w:w="0" w:type="dxa"/>
          </w:tblCellMar>
        </w:tblPrEx>
        <w:tc>
          <w:tcPr>
            <w:tcW w:w="3790" w:type="dxa"/>
            <w:tcBorders>
              <w:bottom w:val="nil"/>
            </w:tcBorders>
            <w:vAlign w:val="bottom"/>
          </w:tcPr>
          <w:p w:rsidR="00000000" w:rsidRDefault="00000000">
            <w:pPr>
              <w:spacing w:before="30" w:after="30"/>
              <w:rPr>
                <w:b/>
                <w:bCs/>
                <w:sz w:val="20"/>
              </w:rPr>
            </w:pPr>
            <w:r>
              <w:rPr>
                <w:b/>
                <w:bCs/>
                <w:sz w:val="20"/>
              </w:rPr>
              <w:t>FEMMES</w:t>
            </w:r>
          </w:p>
        </w:tc>
        <w:tc>
          <w:tcPr>
            <w:tcW w:w="1141" w:type="dxa"/>
            <w:vAlign w:val="bottom"/>
          </w:tcPr>
          <w:p w:rsidR="00000000" w:rsidRDefault="00000000">
            <w:pPr>
              <w:widowControl w:val="0"/>
              <w:tabs>
                <w:tab w:val="decimal" w:pos="517"/>
              </w:tabs>
              <w:autoSpaceDE w:val="0"/>
              <w:autoSpaceDN w:val="0"/>
              <w:adjustRightInd w:val="0"/>
              <w:spacing w:before="30" w:after="30"/>
              <w:jc w:val="right"/>
              <w:rPr>
                <w:b/>
                <w:sz w:val="20"/>
              </w:rPr>
            </w:pPr>
            <w:r>
              <w:rPr>
                <w:b/>
                <w:sz w:val="20"/>
              </w:rPr>
              <w:t>729,52</w:t>
            </w:r>
          </w:p>
        </w:tc>
        <w:tc>
          <w:tcPr>
            <w:tcW w:w="1141" w:type="dxa"/>
            <w:vAlign w:val="bottom"/>
          </w:tcPr>
          <w:p w:rsidR="00000000" w:rsidRDefault="00000000">
            <w:pPr>
              <w:widowControl w:val="0"/>
              <w:tabs>
                <w:tab w:val="decimal" w:pos="532"/>
              </w:tabs>
              <w:autoSpaceDE w:val="0"/>
              <w:autoSpaceDN w:val="0"/>
              <w:adjustRightInd w:val="0"/>
              <w:spacing w:before="30" w:after="30"/>
              <w:jc w:val="right"/>
              <w:rPr>
                <w:b/>
                <w:sz w:val="20"/>
              </w:rPr>
            </w:pPr>
            <w:r>
              <w:rPr>
                <w:b/>
                <w:sz w:val="20"/>
              </w:rPr>
              <w:t>768,26</w:t>
            </w:r>
          </w:p>
        </w:tc>
        <w:tc>
          <w:tcPr>
            <w:tcW w:w="1142" w:type="dxa"/>
            <w:vAlign w:val="bottom"/>
          </w:tcPr>
          <w:p w:rsidR="00000000" w:rsidRDefault="00000000">
            <w:pPr>
              <w:widowControl w:val="0"/>
              <w:tabs>
                <w:tab w:val="decimal" w:pos="518"/>
              </w:tabs>
              <w:autoSpaceDE w:val="0"/>
              <w:autoSpaceDN w:val="0"/>
              <w:adjustRightInd w:val="0"/>
              <w:spacing w:before="30" w:after="30"/>
              <w:jc w:val="right"/>
              <w:rPr>
                <w:b/>
                <w:sz w:val="20"/>
              </w:rPr>
            </w:pPr>
            <w:r>
              <w:rPr>
                <w:b/>
                <w:sz w:val="20"/>
              </w:rPr>
              <w:t>652,67</w:t>
            </w:r>
          </w:p>
        </w:tc>
        <w:tc>
          <w:tcPr>
            <w:tcW w:w="1141" w:type="dxa"/>
            <w:vAlign w:val="bottom"/>
          </w:tcPr>
          <w:p w:rsidR="00000000" w:rsidRDefault="00000000">
            <w:pPr>
              <w:widowControl w:val="0"/>
              <w:tabs>
                <w:tab w:val="decimal" w:pos="517"/>
              </w:tabs>
              <w:autoSpaceDE w:val="0"/>
              <w:autoSpaceDN w:val="0"/>
              <w:adjustRightInd w:val="0"/>
              <w:spacing w:before="30" w:after="30"/>
              <w:jc w:val="right"/>
              <w:rPr>
                <w:b/>
                <w:sz w:val="20"/>
              </w:rPr>
            </w:pPr>
            <w:r>
              <w:rPr>
                <w:b/>
                <w:sz w:val="20"/>
              </w:rPr>
              <w:t>773,00</w:t>
            </w:r>
          </w:p>
        </w:tc>
        <w:tc>
          <w:tcPr>
            <w:tcW w:w="1142" w:type="dxa"/>
            <w:vAlign w:val="bottom"/>
          </w:tcPr>
          <w:p w:rsidR="00000000" w:rsidRDefault="00000000">
            <w:pPr>
              <w:widowControl w:val="0"/>
              <w:tabs>
                <w:tab w:val="decimal" w:pos="490"/>
              </w:tabs>
              <w:autoSpaceDE w:val="0"/>
              <w:autoSpaceDN w:val="0"/>
              <w:adjustRightInd w:val="0"/>
              <w:spacing w:before="30" w:after="30"/>
              <w:jc w:val="right"/>
              <w:rPr>
                <w:b/>
                <w:sz w:val="20"/>
              </w:rPr>
            </w:pPr>
            <w:r>
              <w:rPr>
                <w:b/>
                <w:sz w:val="20"/>
              </w:rPr>
              <w:t>699,11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Ouvrière</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448,34</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470,67</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490,49</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465,07</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570,43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Employée</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1 154,84</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1 319,85</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1 257,88</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1 265,85</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1 498,16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Travailleuse indépendante</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620,18</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610,01</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520,39</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657,47</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547,42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Patronne, associée ou employeuse percevant une rémunération</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4 791,19</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2 009,24</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2 436,61</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2 883,79</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4 434,46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Patronne, associée ou employeuse non rémunérée</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1 815,75</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2 804,75</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1 070,17</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1 782,07</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1 624,71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270,11</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200,00</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268,18</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30" w:after="30"/>
              <w:ind w:left="284"/>
              <w:rPr>
                <w:sz w:val="20"/>
              </w:rPr>
            </w:pPr>
            <w:r>
              <w:rPr>
                <w:sz w:val="20"/>
              </w:rPr>
              <w:t>Travailleuse familiale ou apprentie non rémunérée</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0,00</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4,66</w:t>
            </w:r>
            <w:r>
              <w:rPr>
                <w:b/>
                <w:sz w:val="20"/>
                <w:vertAlign w:val="superscript"/>
              </w:rPr>
              <w:t>(1)</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23,80</w:t>
            </w:r>
            <w:r>
              <w:rPr>
                <w:b/>
                <w:sz w:val="20"/>
                <w:vertAlign w:val="superscript"/>
              </w:rPr>
              <w:t>(1)</w:t>
            </w:r>
          </w:p>
        </w:tc>
      </w:tr>
      <w:tr w:rsidR="00000000">
        <w:tblPrEx>
          <w:tblCellMar>
            <w:top w:w="0" w:type="dxa"/>
            <w:bottom w:w="0" w:type="dxa"/>
          </w:tblCellMar>
        </w:tblPrEx>
        <w:tc>
          <w:tcPr>
            <w:tcW w:w="3790" w:type="dxa"/>
            <w:tcBorders>
              <w:top w:val="nil"/>
            </w:tcBorders>
            <w:vAlign w:val="bottom"/>
          </w:tcPr>
          <w:p w:rsidR="00000000" w:rsidRDefault="00000000">
            <w:pPr>
              <w:spacing w:before="30" w:after="30"/>
              <w:ind w:left="284"/>
              <w:rPr>
                <w:sz w:val="20"/>
              </w:rPr>
            </w:pPr>
            <w:r>
              <w:rPr>
                <w:sz w:val="20"/>
              </w:rPr>
              <w:t>Employée de maison</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529,69</w:t>
            </w:r>
          </w:p>
        </w:tc>
        <w:tc>
          <w:tcPr>
            <w:tcW w:w="1141" w:type="dxa"/>
            <w:vAlign w:val="bottom"/>
          </w:tcPr>
          <w:p w:rsidR="00000000" w:rsidRDefault="00000000">
            <w:pPr>
              <w:widowControl w:val="0"/>
              <w:tabs>
                <w:tab w:val="decimal" w:pos="532"/>
              </w:tabs>
              <w:autoSpaceDE w:val="0"/>
              <w:autoSpaceDN w:val="0"/>
              <w:adjustRightInd w:val="0"/>
              <w:spacing w:before="30" w:after="30"/>
              <w:jc w:val="right"/>
              <w:rPr>
                <w:sz w:val="20"/>
              </w:rPr>
            </w:pPr>
            <w:r>
              <w:rPr>
                <w:sz w:val="20"/>
              </w:rPr>
              <w:t>585,58</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589,28</w:t>
            </w:r>
          </w:p>
        </w:tc>
        <w:tc>
          <w:tcPr>
            <w:tcW w:w="1141" w:type="dxa"/>
            <w:vAlign w:val="bottom"/>
          </w:tcPr>
          <w:p w:rsidR="00000000" w:rsidRDefault="00000000">
            <w:pPr>
              <w:widowControl w:val="0"/>
              <w:tabs>
                <w:tab w:val="decimal" w:pos="517"/>
              </w:tabs>
              <w:autoSpaceDE w:val="0"/>
              <w:autoSpaceDN w:val="0"/>
              <w:adjustRightInd w:val="0"/>
              <w:spacing w:before="30" w:after="30"/>
              <w:jc w:val="right"/>
              <w:rPr>
                <w:sz w:val="20"/>
              </w:rPr>
            </w:pPr>
            <w:r>
              <w:rPr>
                <w:sz w:val="20"/>
              </w:rPr>
              <w:t>677,25</w:t>
            </w:r>
          </w:p>
        </w:tc>
        <w:tc>
          <w:tcPr>
            <w:tcW w:w="1142" w:type="dxa"/>
            <w:vAlign w:val="bottom"/>
          </w:tcPr>
          <w:p w:rsidR="00000000" w:rsidRDefault="00000000">
            <w:pPr>
              <w:widowControl w:val="0"/>
              <w:tabs>
                <w:tab w:val="decimal" w:pos="490"/>
              </w:tabs>
              <w:autoSpaceDE w:val="0"/>
              <w:autoSpaceDN w:val="0"/>
              <w:adjustRightInd w:val="0"/>
              <w:spacing w:before="30" w:after="30"/>
              <w:jc w:val="right"/>
              <w:rPr>
                <w:sz w:val="20"/>
              </w:rPr>
            </w:pPr>
            <w:r>
              <w:rPr>
                <w:sz w:val="20"/>
              </w:rPr>
              <w:t>442,72</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lang w:val="fr-FR"/>
        </w:rPr>
        <w:t>p</w:t>
      </w:r>
      <w:r>
        <w:rPr>
          <w:sz w:val="20"/>
        </w:rPr>
        <w:t xml:space="preserve"> Chiffres provisoires.</w:t>
      </w:r>
    </w:p>
    <w:p w:rsidR="00000000" w:rsidRDefault="00000000">
      <w:pPr>
        <w:spacing w:after="180"/>
        <w:jc w:val="center"/>
        <w:rPr>
          <w:b/>
          <w:bCs/>
        </w:rPr>
      </w:pPr>
      <w:r>
        <w:br w:type="page"/>
      </w:r>
      <w:r>
        <w:rPr>
          <w:b/>
          <w:bCs/>
        </w:rPr>
        <w:t>Tableau 3.2</w:t>
      </w:r>
    </w:p>
    <w:p w:rsidR="00000000" w:rsidRDefault="00000000">
      <w:pPr>
        <w:spacing w:after="180"/>
        <w:jc w:val="center"/>
      </w:pPr>
      <w:r>
        <w:rPr>
          <w:b/>
          <w:bCs/>
        </w:rPr>
        <w:t>Bolivie − Zones rurales: Revenu mensuel moyen, dans l’activité principale,</w:t>
      </w:r>
      <w:r>
        <w:rPr>
          <w:b/>
          <w:bCs/>
        </w:rPr>
        <w:br/>
        <w:t>par année, sexe et statut professionnel, 1999</w:t>
      </w:r>
      <w:r>
        <w:rPr>
          <w:b/>
          <w:bCs/>
        </w:rPr>
        <w:noBreakHyphen/>
        <w:t>2003</w:t>
      </w:r>
      <w:r>
        <w:rPr>
          <w:b/>
          <w:bCs/>
          <w:i/>
          <w:iCs/>
          <w:vertAlign w:val="superscript"/>
        </w:rPr>
        <w:t>p</w:t>
      </w:r>
      <w:r>
        <w:rPr>
          <w:b/>
          <w:bCs/>
        </w:rPr>
        <w:br/>
      </w:r>
      <w:r>
        <w:t>(</w:t>
      </w:r>
      <w:r>
        <w:rPr>
          <w:i/>
          <w:iCs/>
        </w:rPr>
        <w:t>En bolivianos</w:t>
      </w:r>
      <w:r>
        <w: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0"/>
        <w:gridCol w:w="1141"/>
        <w:gridCol w:w="1141"/>
        <w:gridCol w:w="1142"/>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30" w:after="30"/>
              <w:jc w:val="center"/>
              <w:rPr>
                <w:sz w:val="20"/>
                <w:lang w:val="fr-FR"/>
              </w:rPr>
            </w:pPr>
            <w:r>
              <w:rPr>
                <w:sz w:val="20"/>
                <w:lang w:val="fr-FR"/>
              </w:rPr>
              <w:t>Statut professionnel</w:t>
            </w:r>
          </w:p>
        </w:tc>
        <w:tc>
          <w:tcPr>
            <w:tcW w:w="1141" w:type="dxa"/>
            <w:vAlign w:val="center"/>
          </w:tcPr>
          <w:p w:rsidR="00000000" w:rsidRDefault="00000000">
            <w:pPr>
              <w:keepNext/>
              <w:spacing w:before="30" w:after="30"/>
              <w:jc w:val="center"/>
              <w:rPr>
                <w:sz w:val="20"/>
                <w:lang w:val="fr-FR"/>
              </w:rPr>
            </w:pPr>
            <w:r>
              <w:rPr>
                <w:sz w:val="20"/>
                <w:lang w:val="fr-FR"/>
              </w:rPr>
              <w:t>1999</w:t>
            </w:r>
          </w:p>
        </w:tc>
        <w:tc>
          <w:tcPr>
            <w:tcW w:w="1141" w:type="dxa"/>
            <w:vAlign w:val="center"/>
          </w:tcPr>
          <w:p w:rsidR="00000000" w:rsidRDefault="00000000">
            <w:pPr>
              <w:keepNext/>
              <w:spacing w:before="30" w:after="30"/>
              <w:jc w:val="center"/>
              <w:rPr>
                <w:sz w:val="20"/>
                <w:lang w:val="fr-FR"/>
              </w:rPr>
            </w:pPr>
            <w:r>
              <w:rPr>
                <w:sz w:val="20"/>
                <w:lang w:val="fr-FR"/>
              </w:rPr>
              <w:t>2000</w:t>
            </w:r>
          </w:p>
        </w:tc>
        <w:tc>
          <w:tcPr>
            <w:tcW w:w="1142" w:type="dxa"/>
            <w:vAlign w:val="center"/>
          </w:tcPr>
          <w:p w:rsidR="00000000" w:rsidRDefault="00000000">
            <w:pPr>
              <w:keepNext/>
              <w:spacing w:before="30" w:after="30"/>
              <w:jc w:val="center"/>
              <w:rPr>
                <w:sz w:val="20"/>
                <w:lang w:val="fr-FR"/>
              </w:rPr>
            </w:pPr>
            <w:r>
              <w:rPr>
                <w:sz w:val="20"/>
                <w:lang w:val="fr-FR"/>
              </w:rPr>
              <w:t>2001</w:t>
            </w:r>
          </w:p>
        </w:tc>
        <w:tc>
          <w:tcPr>
            <w:tcW w:w="1141" w:type="dxa"/>
            <w:vAlign w:val="center"/>
          </w:tcPr>
          <w:p w:rsidR="00000000" w:rsidRDefault="00000000">
            <w:pPr>
              <w:keepNext/>
              <w:spacing w:before="30" w:after="30"/>
              <w:jc w:val="center"/>
              <w:rPr>
                <w:sz w:val="20"/>
                <w:lang w:val="fr-FR"/>
              </w:rPr>
            </w:pPr>
            <w:r>
              <w:rPr>
                <w:sz w:val="20"/>
                <w:lang w:val="fr-FR"/>
              </w:rPr>
              <w:t>2002</w:t>
            </w:r>
          </w:p>
        </w:tc>
        <w:tc>
          <w:tcPr>
            <w:tcW w:w="1142" w:type="dxa"/>
            <w:vAlign w:val="center"/>
          </w:tcPr>
          <w:p w:rsidR="00000000" w:rsidRDefault="00000000">
            <w:pPr>
              <w:keepNext/>
              <w:spacing w:before="30" w:after="30"/>
              <w:jc w:val="center"/>
              <w:rPr>
                <w:sz w:val="20"/>
                <w:lang w:val="fr-FR"/>
              </w:rPr>
            </w:pPr>
            <w:r>
              <w:rPr>
                <w:sz w:val="20"/>
                <w:lang w:val="fr-FR"/>
              </w:rPr>
              <w:t>2003</w:t>
            </w:r>
            <w:r>
              <w:rPr>
                <w:b/>
                <w:bCs/>
                <w:i/>
                <w:iCs/>
                <w:sz w:val="20"/>
                <w:vertAlign w:val="superscript"/>
                <w:lang w:val="fr-FR"/>
              </w:rPr>
              <w:t>p</w:t>
            </w:r>
          </w:p>
        </w:tc>
      </w:tr>
      <w:tr w:rsidR="00000000">
        <w:tblPrEx>
          <w:tblCellMar>
            <w:top w:w="0" w:type="dxa"/>
            <w:bottom w:w="0" w:type="dxa"/>
          </w:tblCellMar>
        </w:tblPrEx>
        <w:tc>
          <w:tcPr>
            <w:tcW w:w="3790" w:type="dxa"/>
            <w:tcBorders>
              <w:bottom w:val="nil"/>
            </w:tcBorders>
          </w:tcPr>
          <w:p w:rsidR="00000000" w:rsidRDefault="00000000">
            <w:pPr>
              <w:spacing w:before="30" w:after="30"/>
              <w:rPr>
                <w:b/>
                <w:bCs/>
                <w:sz w:val="20"/>
              </w:rPr>
            </w:pPr>
            <w:r>
              <w:rPr>
                <w:b/>
                <w:bCs/>
                <w:sz w:val="20"/>
              </w:rPr>
              <w:t>TOTAL</w:t>
            </w:r>
          </w:p>
        </w:tc>
        <w:tc>
          <w:tcPr>
            <w:tcW w:w="1141" w:type="dxa"/>
            <w:vAlign w:val="bottom"/>
          </w:tcPr>
          <w:p w:rsidR="00000000" w:rsidRDefault="00000000">
            <w:pPr>
              <w:keepNext/>
              <w:keepLines/>
              <w:tabs>
                <w:tab w:val="decimal" w:pos="503"/>
              </w:tabs>
              <w:autoSpaceDE w:val="0"/>
              <w:autoSpaceDN w:val="0"/>
              <w:adjustRightInd w:val="0"/>
              <w:spacing w:before="30" w:after="30"/>
              <w:jc w:val="right"/>
              <w:rPr>
                <w:b/>
                <w:sz w:val="20"/>
              </w:rPr>
            </w:pPr>
            <w:r>
              <w:rPr>
                <w:b/>
                <w:sz w:val="20"/>
              </w:rPr>
              <w:t>198,06</w:t>
            </w:r>
          </w:p>
        </w:tc>
        <w:tc>
          <w:tcPr>
            <w:tcW w:w="1141" w:type="dxa"/>
            <w:vAlign w:val="bottom"/>
          </w:tcPr>
          <w:p w:rsidR="00000000" w:rsidRDefault="00000000">
            <w:pPr>
              <w:keepNext/>
              <w:keepLines/>
              <w:tabs>
                <w:tab w:val="decimal" w:pos="474"/>
              </w:tabs>
              <w:autoSpaceDE w:val="0"/>
              <w:autoSpaceDN w:val="0"/>
              <w:adjustRightInd w:val="0"/>
              <w:spacing w:before="30" w:after="30"/>
              <w:jc w:val="right"/>
              <w:rPr>
                <w:b/>
                <w:sz w:val="20"/>
              </w:rPr>
            </w:pPr>
            <w:r>
              <w:rPr>
                <w:b/>
                <w:sz w:val="20"/>
              </w:rPr>
              <w:t>189,66</w:t>
            </w:r>
          </w:p>
        </w:tc>
        <w:tc>
          <w:tcPr>
            <w:tcW w:w="1142" w:type="dxa"/>
            <w:vAlign w:val="bottom"/>
          </w:tcPr>
          <w:p w:rsidR="00000000" w:rsidRDefault="00000000">
            <w:pPr>
              <w:keepNext/>
              <w:keepLines/>
              <w:tabs>
                <w:tab w:val="decimal" w:pos="504"/>
              </w:tabs>
              <w:autoSpaceDE w:val="0"/>
              <w:autoSpaceDN w:val="0"/>
              <w:adjustRightInd w:val="0"/>
              <w:spacing w:before="30" w:after="30"/>
              <w:jc w:val="right"/>
              <w:rPr>
                <w:b/>
                <w:sz w:val="20"/>
              </w:rPr>
            </w:pPr>
            <w:r>
              <w:rPr>
                <w:b/>
                <w:sz w:val="20"/>
              </w:rPr>
              <w:t>193,28</w:t>
            </w:r>
          </w:p>
        </w:tc>
        <w:tc>
          <w:tcPr>
            <w:tcW w:w="1141" w:type="dxa"/>
            <w:vAlign w:val="bottom"/>
          </w:tcPr>
          <w:p w:rsidR="00000000" w:rsidRDefault="00000000">
            <w:pPr>
              <w:keepNext/>
              <w:keepLines/>
              <w:tabs>
                <w:tab w:val="decimal" w:pos="504"/>
              </w:tabs>
              <w:autoSpaceDE w:val="0"/>
              <w:autoSpaceDN w:val="0"/>
              <w:adjustRightInd w:val="0"/>
              <w:spacing w:before="30" w:after="30"/>
              <w:jc w:val="right"/>
              <w:rPr>
                <w:b/>
                <w:sz w:val="20"/>
              </w:rPr>
            </w:pPr>
            <w:r>
              <w:rPr>
                <w:b/>
                <w:sz w:val="20"/>
              </w:rPr>
              <w:t>240,91</w:t>
            </w:r>
          </w:p>
        </w:tc>
        <w:tc>
          <w:tcPr>
            <w:tcW w:w="1142" w:type="dxa"/>
            <w:vAlign w:val="bottom"/>
          </w:tcPr>
          <w:p w:rsidR="00000000" w:rsidRDefault="00000000">
            <w:pPr>
              <w:keepNext/>
              <w:keepLines/>
              <w:tabs>
                <w:tab w:val="decimal" w:pos="518"/>
              </w:tabs>
              <w:autoSpaceDE w:val="0"/>
              <w:autoSpaceDN w:val="0"/>
              <w:adjustRightInd w:val="0"/>
              <w:spacing w:before="30" w:after="30"/>
              <w:jc w:val="right"/>
              <w:rPr>
                <w:b/>
                <w:sz w:val="20"/>
              </w:rPr>
            </w:pPr>
            <w:r>
              <w:rPr>
                <w:b/>
                <w:sz w:val="20"/>
              </w:rPr>
              <w:t>269,88</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Ouvrier</w:t>
            </w:r>
          </w:p>
        </w:tc>
        <w:tc>
          <w:tcPr>
            <w:tcW w:w="1141" w:type="dxa"/>
            <w:vAlign w:val="bottom"/>
          </w:tcPr>
          <w:p w:rsidR="00000000" w:rsidRDefault="00000000">
            <w:pPr>
              <w:keepNext/>
              <w:keepLines/>
              <w:tabs>
                <w:tab w:val="decimal" w:pos="503"/>
              </w:tabs>
              <w:autoSpaceDE w:val="0"/>
              <w:autoSpaceDN w:val="0"/>
              <w:adjustRightInd w:val="0"/>
              <w:spacing w:before="30" w:after="30"/>
              <w:jc w:val="right"/>
              <w:rPr>
                <w:sz w:val="20"/>
              </w:rPr>
            </w:pPr>
            <w:r>
              <w:rPr>
                <w:sz w:val="20"/>
              </w:rPr>
              <w:t>607,47</w:t>
            </w:r>
          </w:p>
        </w:tc>
        <w:tc>
          <w:tcPr>
            <w:tcW w:w="1141" w:type="dxa"/>
            <w:vAlign w:val="bottom"/>
          </w:tcPr>
          <w:p w:rsidR="00000000" w:rsidRDefault="00000000">
            <w:pPr>
              <w:keepNext/>
              <w:keepLines/>
              <w:tabs>
                <w:tab w:val="decimal" w:pos="474"/>
              </w:tabs>
              <w:autoSpaceDE w:val="0"/>
              <w:autoSpaceDN w:val="0"/>
              <w:adjustRightInd w:val="0"/>
              <w:spacing w:before="30" w:after="30"/>
              <w:jc w:val="right"/>
              <w:rPr>
                <w:sz w:val="20"/>
              </w:rPr>
            </w:pPr>
            <w:r>
              <w:rPr>
                <w:sz w:val="20"/>
              </w:rPr>
              <w:t>661,00</w:t>
            </w:r>
          </w:p>
        </w:tc>
        <w:tc>
          <w:tcPr>
            <w:tcW w:w="1142" w:type="dxa"/>
            <w:vAlign w:val="bottom"/>
          </w:tcPr>
          <w:p w:rsidR="00000000" w:rsidRDefault="00000000">
            <w:pPr>
              <w:keepNext/>
              <w:keepLines/>
              <w:tabs>
                <w:tab w:val="decimal" w:pos="504"/>
              </w:tabs>
              <w:autoSpaceDE w:val="0"/>
              <w:autoSpaceDN w:val="0"/>
              <w:adjustRightInd w:val="0"/>
              <w:spacing w:before="30" w:after="30"/>
              <w:jc w:val="right"/>
              <w:rPr>
                <w:sz w:val="20"/>
              </w:rPr>
            </w:pPr>
            <w:r>
              <w:rPr>
                <w:sz w:val="20"/>
              </w:rPr>
              <w:t>633,72</w:t>
            </w:r>
          </w:p>
        </w:tc>
        <w:tc>
          <w:tcPr>
            <w:tcW w:w="1141" w:type="dxa"/>
            <w:vAlign w:val="bottom"/>
          </w:tcPr>
          <w:p w:rsidR="00000000" w:rsidRDefault="00000000">
            <w:pPr>
              <w:keepNext/>
              <w:keepLines/>
              <w:tabs>
                <w:tab w:val="decimal" w:pos="504"/>
              </w:tabs>
              <w:autoSpaceDE w:val="0"/>
              <w:autoSpaceDN w:val="0"/>
              <w:adjustRightInd w:val="0"/>
              <w:spacing w:before="30" w:after="30"/>
              <w:jc w:val="right"/>
              <w:rPr>
                <w:sz w:val="20"/>
              </w:rPr>
            </w:pPr>
            <w:r>
              <w:rPr>
                <w:sz w:val="20"/>
              </w:rPr>
              <w:t>664,95</w:t>
            </w:r>
          </w:p>
        </w:tc>
        <w:tc>
          <w:tcPr>
            <w:tcW w:w="1142" w:type="dxa"/>
            <w:vAlign w:val="bottom"/>
          </w:tcPr>
          <w:p w:rsidR="00000000" w:rsidRDefault="00000000">
            <w:pPr>
              <w:keepNext/>
              <w:keepLines/>
              <w:tabs>
                <w:tab w:val="decimal" w:pos="518"/>
              </w:tabs>
              <w:autoSpaceDE w:val="0"/>
              <w:autoSpaceDN w:val="0"/>
              <w:adjustRightInd w:val="0"/>
              <w:spacing w:before="30" w:after="30"/>
              <w:jc w:val="right"/>
              <w:rPr>
                <w:sz w:val="20"/>
              </w:rPr>
            </w:pPr>
            <w:r>
              <w:rPr>
                <w:sz w:val="20"/>
              </w:rPr>
              <w:t>722,20</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Employé</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823,64</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871,02</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944,38</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1 054,49</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1 177,48</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Travailleur indépendant</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275,47</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269,95</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263,41</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370,12</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337,83</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Patron, associé ou employeur</w:t>
            </w:r>
            <w:r>
              <w:rPr>
                <w:sz w:val="20"/>
              </w:rPr>
              <w:br/>
              <w:t>percevant une rémunération</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2 047,27</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491,66</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381,11</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827,49</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1 400,00</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Patron, associé ou employeur non rémunéré</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1 013,98</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619,03</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570,14</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534,34</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647,49</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533,65</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623,80</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482,63</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675,60</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774,50</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Travailleur familial ou apprenti non rémunéré</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0,00</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8,19</w:t>
            </w:r>
            <w:r>
              <w:rPr>
                <w:b/>
                <w:sz w:val="20"/>
                <w:vertAlign w:val="superscript"/>
              </w:rPr>
              <w:t>(1)</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7,42</w:t>
            </w:r>
            <w:r>
              <w:rPr>
                <w:b/>
                <w:sz w:val="20"/>
                <w:vertAlign w:val="superscript"/>
              </w:rPr>
              <w:t>(1)</w:t>
            </w:r>
          </w:p>
        </w:tc>
      </w:tr>
      <w:tr w:rsidR="00000000">
        <w:tblPrEx>
          <w:tblCellMar>
            <w:top w:w="0" w:type="dxa"/>
            <w:bottom w:w="0" w:type="dxa"/>
          </w:tblCellMar>
        </w:tblPrEx>
        <w:tc>
          <w:tcPr>
            <w:tcW w:w="3790" w:type="dxa"/>
            <w:tcBorders>
              <w:top w:val="nil"/>
              <w:bottom w:val="single" w:sz="4" w:space="0" w:color="auto"/>
            </w:tcBorders>
          </w:tcPr>
          <w:p w:rsidR="00000000" w:rsidRDefault="00000000">
            <w:pPr>
              <w:spacing w:before="30" w:after="30"/>
              <w:ind w:left="284"/>
              <w:rPr>
                <w:sz w:val="20"/>
              </w:rPr>
            </w:pPr>
            <w:r>
              <w:rPr>
                <w:sz w:val="20"/>
              </w:rPr>
              <w:t>Employé de maison</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374,16</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568,05</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502,97</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356,29</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382,49</w:t>
            </w:r>
          </w:p>
        </w:tc>
      </w:tr>
      <w:tr w:rsidR="00000000">
        <w:tblPrEx>
          <w:tblCellMar>
            <w:top w:w="0" w:type="dxa"/>
            <w:bottom w:w="0" w:type="dxa"/>
          </w:tblCellMar>
        </w:tblPrEx>
        <w:tc>
          <w:tcPr>
            <w:tcW w:w="3790" w:type="dxa"/>
            <w:tcBorders>
              <w:bottom w:val="nil"/>
            </w:tcBorders>
          </w:tcPr>
          <w:p w:rsidR="00000000" w:rsidRDefault="00000000">
            <w:pPr>
              <w:spacing w:before="30" w:after="30"/>
              <w:rPr>
                <w:b/>
                <w:bCs/>
                <w:sz w:val="20"/>
              </w:rPr>
            </w:pPr>
            <w:r>
              <w:rPr>
                <w:b/>
                <w:bCs/>
                <w:sz w:val="20"/>
              </w:rPr>
              <w:t>HOMMES</w:t>
            </w:r>
          </w:p>
        </w:tc>
        <w:tc>
          <w:tcPr>
            <w:tcW w:w="1141" w:type="dxa"/>
            <w:vAlign w:val="bottom"/>
          </w:tcPr>
          <w:p w:rsidR="00000000" w:rsidRDefault="00000000">
            <w:pPr>
              <w:widowControl w:val="0"/>
              <w:tabs>
                <w:tab w:val="decimal" w:pos="503"/>
              </w:tabs>
              <w:autoSpaceDE w:val="0"/>
              <w:autoSpaceDN w:val="0"/>
              <w:adjustRightInd w:val="0"/>
              <w:spacing w:before="30" w:after="30"/>
              <w:jc w:val="right"/>
              <w:rPr>
                <w:b/>
                <w:sz w:val="20"/>
              </w:rPr>
            </w:pPr>
            <w:r>
              <w:rPr>
                <w:b/>
                <w:sz w:val="20"/>
              </w:rPr>
              <w:t>271,59</w:t>
            </w:r>
          </w:p>
        </w:tc>
        <w:tc>
          <w:tcPr>
            <w:tcW w:w="1141" w:type="dxa"/>
            <w:vAlign w:val="bottom"/>
          </w:tcPr>
          <w:p w:rsidR="00000000" w:rsidRDefault="00000000">
            <w:pPr>
              <w:widowControl w:val="0"/>
              <w:tabs>
                <w:tab w:val="decimal" w:pos="474"/>
              </w:tabs>
              <w:autoSpaceDE w:val="0"/>
              <w:autoSpaceDN w:val="0"/>
              <w:adjustRightInd w:val="0"/>
              <w:spacing w:before="30" w:after="30"/>
              <w:jc w:val="right"/>
              <w:rPr>
                <w:b/>
                <w:sz w:val="20"/>
              </w:rPr>
            </w:pPr>
            <w:r>
              <w:rPr>
                <w:b/>
                <w:sz w:val="20"/>
              </w:rPr>
              <w:t>267,58</w:t>
            </w:r>
          </w:p>
        </w:tc>
        <w:tc>
          <w:tcPr>
            <w:tcW w:w="1142" w:type="dxa"/>
            <w:vAlign w:val="bottom"/>
          </w:tcPr>
          <w:p w:rsidR="00000000" w:rsidRDefault="00000000">
            <w:pPr>
              <w:widowControl w:val="0"/>
              <w:tabs>
                <w:tab w:val="decimal" w:pos="504"/>
              </w:tabs>
              <w:autoSpaceDE w:val="0"/>
              <w:autoSpaceDN w:val="0"/>
              <w:adjustRightInd w:val="0"/>
              <w:spacing w:before="30" w:after="30"/>
              <w:jc w:val="right"/>
              <w:rPr>
                <w:b/>
                <w:sz w:val="20"/>
              </w:rPr>
            </w:pPr>
            <w:r>
              <w:rPr>
                <w:b/>
                <w:sz w:val="20"/>
              </w:rPr>
              <w:t>272,45</w:t>
            </w:r>
          </w:p>
        </w:tc>
        <w:tc>
          <w:tcPr>
            <w:tcW w:w="1141" w:type="dxa"/>
            <w:vAlign w:val="bottom"/>
          </w:tcPr>
          <w:p w:rsidR="00000000" w:rsidRDefault="00000000">
            <w:pPr>
              <w:widowControl w:val="0"/>
              <w:tabs>
                <w:tab w:val="decimal" w:pos="504"/>
              </w:tabs>
              <w:autoSpaceDE w:val="0"/>
              <w:autoSpaceDN w:val="0"/>
              <w:adjustRightInd w:val="0"/>
              <w:spacing w:before="30" w:after="30"/>
              <w:jc w:val="right"/>
              <w:rPr>
                <w:b/>
                <w:sz w:val="20"/>
              </w:rPr>
            </w:pPr>
            <w:r>
              <w:rPr>
                <w:b/>
                <w:sz w:val="20"/>
              </w:rPr>
              <w:t>345,83</w:t>
            </w:r>
          </w:p>
        </w:tc>
        <w:tc>
          <w:tcPr>
            <w:tcW w:w="1142" w:type="dxa"/>
            <w:vAlign w:val="bottom"/>
          </w:tcPr>
          <w:p w:rsidR="00000000" w:rsidRDefault="00000000">
            <w:pPr>
              <w:widowControl w:val="0"/>
              <w:tabs>
                <w:tab w:val="decimal" w:pos="518"/>
              </w:tabs>
              <w:autoSpaceDE w:val="0"/>
              <w:autoSpaceDN w:val="0"/>
              <w:adjustRightInd w:val="0"/>
              <w:spacing w:before="30" w:after="30"/>
              <w:jc w:val="right"/>
              <w:rPr>
                <w:b/>
                <w:sz w:val="20"/>
              </w:rPr>
            </w:pPr>
            <w:r>
              <w:rPr>
                <w:b/>
                <w:sz w:val="20"/>
              </w:rPr>
              <w:t>394,02</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Ouvrier</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660,33</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713,28</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673,94</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740,82</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787,46</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Employé</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948,33</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1 005,22</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1 054,27</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1 128,30</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1 304,95</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Travailleur indépendant</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269,99</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271,66</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277,63</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391,25</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387,95</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Patron, associé ou employeur</w:t>
            </w:r>
            <w:r>
              <w:rPr>
                <w:sz w:val="20"/>
              </w:rPr>
              <w:br/>
              <w:t>percevant une rémunération</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2 047,27</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491,66</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573,74</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930,80</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1 400,00</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Patron, associé ou employeur non rémunéré</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1 006,67</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713,61</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609,16</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564,55</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662,25</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533,65</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623,80</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503,04</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705,66</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774,50</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Travailleur familial ou apprenti non rémunéré</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0,00</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10,57</w:t>
            </w:r>
            <w:r>
              <w:rPr>
                <w:b/>
                <w:sz w:val="20"/>
                <w:vertAlign w:val="superscript"/>
              </w:rPr>
              <w:t>(1)</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7,90</w:t>
            </w:r>
            <w:r>
              <w:rPr>
                <w:b/>
                <w:sz w:val="20"/>
                <w:vertAlign w:val="superscript"/>
              </w:rPr>
              <w:t>(1)</w:t>
            </w:r>
          </w:p>
        </w:tc>
      </w:tr>
      <w:tr w:rsidR="00000000">
        <w:tblPrEx>
          <w:tblCellMar>
            <w:top w:w="0" w:type="dxa"/>
            <w:bottom w:w="0" w:type="dxa"/>
          </w:tblCellMar>
        </w:tblPrEx>
        <w:tc>
          <w:tcPr>
            <w:tcW w:w="3790" w:type="dxa"/>
            <w:tcBorders>
              <w:top w:val="nil"/>
              <w:bottom w:val="single" w:sz="4" w:space="0" w:color="auto"/>
            </w:tcBorders>
          </w:tcPr>
          <w:p w:rsidR="00000000" w:rsidRDefault="00000000">
            <w:pPr>
              <w:spacing w:before="30" w:after="30"/>
              <w:ind w:left="284"/>
              <w:rPr>
                <w:sz w:val="20"/>
              </w:rPr>
            </w:pPr>
            <w:r>
              <w:rPr>
                <w:sz w:val="20"/>
              </w:rPr>
              <w:t>Employé de maison</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1 100,00</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1 142,48</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296,93</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257,84</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520,00</w:t>
            </w:r>
          </w:p>
        </w:tc>
      </w:tr>
      <w:tr w:rsidR="00000000">
        <w:tblPrEx>
          <w:tblCellMar>
            <w:top w:w="0" w:type="dxa"/>
            <w:bottom w:w="0" w:type="dxa"/>
          </w:tblCellMar>
        </w:tblPrEx>
        <w:tc>
          <w:tcPr>
            <w:tcW w:w="3790" w:type="dxa"/>
            <w:tcBorders>
              <w:bottom w:val="nil"/>
            </w:tcBorders>
          </w:tcPr>
          <w:p w:rsidR="00000000" w:rsidRDefault="00000000">
            <w:pPr>
              <w:spacing w:before="30" w:after="30"/>
              <w:rPr>
                <w:b/>
                <w:bCs/>
                <w:sz w:val="20"/>
              </w:rPr>
            </w:pPr>
            <w:r>
              <w:rPr>
                <w:b/>
                <w:bCs/>
                <w:sz w:val="20"/>
              </w:rPr>
              <w:t>FEMMES</w:t>
            </w:r>
          </w:p>
        </w:tc>
        <w:tc>
          <w:tcPr>
            <w:tcW w:w="1141" w:type="dxa"/>
            <w:vAlign w:val="bottom"/>
          </w:tcPr>
          <w:p w:rsidR="00000000" w:rsidRDefault="00000000">
            <w:pPr>
              <w:widowControl w:val="0"/>
              <w:tabs>
                <w:tab w:val="decimal" w:pos="503"/>
              </w:tabs>
              <w:autoSpaceDE w:val="0"/>
              <w:autoSpaceDN w:val="0"/>
              <w:adjustRightInd w:val="0"/>
              <w:spacing w:before="30" w:after="30"/>
              <w:jc w:val="right"/>
              <w:rPr>
                <w:b/>
                <w:sz w:val="20"/>
              </w:rPr>
            </w:pPr>
            <w:r>
              <w:rPr>
                <w:b/>
                <w:sz w:val="20"/>
              </w:rPr>
              <w:t>112,80</w:t>
            </w:r>
          </w:p>
        </w:tc>
        <w:tc>
          <w:tcPr>
            <w:tcW w:w="1141" w:type="dxa"/>
            <w:vAlign w:val="bottom"/>
          </w:tcPr>
          <w:p w:rsidR="00000000" w:rsidRDefault="00000000">
            <w:pPr>
              <w:widowControl w:val="0"/>
              <w:tabs>
                <w:tab w:val="decimal" w:pos="474"/>
              </w:tabs>
              <w:autoSpaceDE w:val="0"/>
              <w:autoSpaceDN w:val="0"/>
              <w:adjustRightInd w:val="0"/>
              <w:spacing w:before="30" w:after="30"/>
              <w:jc w:val="right"/>
              <w:rPr>
                <w:b/>
                <w:sz w:val="20"/>
              </w:rPr>
            </w:pPr>
            <w:r>
              <w:rPr>
                <w:b/>
                <w:sz w:val="20"/>
              </w:rPr>
              <w:t>90,81</w:t>
            </w:r>
          </w:p>
        </w:tc>
        <w:tc>
          <w:tcPr>
            <w:tcW w:w="1142" w:type="dxa"/>
            <w:vAlign w:val="bottom"/>
          </w:tcPr>
          <w:p w:rsidR="00000000" w:rsidRDefault="00000000">
            <w:pPr>
              <w:widowControl w:val="0"/>
              <w:tabs>
                <w:tab w:val="decimal" w:pos="504"/>
              </w:tabs>
              <w:autoSpaceDE w:val="0"/>
              <w:autoSpaceDN w:val="0"/>
              <w:adjustRightInd w:val="0"/>
              <w:spacing w:before="30" w:after="30"/>
              <w:jc w:val="right"/>
              <w:rPr>
                <w:b/>
                <w:sz w:val="20"/>
              </w:rPr>
            </w:pPr>
            <w:r>
              <w:rPr>
                <w:b/>
                <w:sz w:val="20"/>
              </w:rPr>
              <w:t>93,02</w:t>
            </w:r>
          </w:p>
        </w:tc>
        <w:tc>
          <w:tcPr>
            <w:tcW w:w="1141" w:type="dxa"/>
            <w:vAlign w:val="bottom"/>
          </w:tcPr>
          <w:p w:rsidR="00000000" w:rsidRDefault="00000000">
            <w:pPr>
              <w:widowControl w:val="0"/>
              <w:tabs>
                <w:tab w:val="decimal" w:pos="504"/>
              </w:tabs>
              <w:autoSpaceDE w:val="0"/>
              <w:autoSpaceDN w:val="0"/>
              <w:adjustRightInd w:val="0"/>
              <w:spacing w:before="30" w:after="30"/>
              <w:jc w:val="right"/>
              <w:rPr>
                <w:b/>
                <w:sz w:val="20"/>
              </w:rPr>
            </w:pPr>
            <w:r>
              <w:rPr>
                <w:b/>
                <w:sz w:val="20"/>
              </w:rPr>
              <w:t>94,65</w:t>
            </w:r>
          </w:p>
        </w:tc>
        <w:tc>
          <w:tcPr>
            <w:tcW w:w="1142" w:type="dxa"/>
            <w:vAlign w:val="bottom"/>
          </w:tcPr>
          <w:p w:rsidR="00000000" w:rsidRDefault="00000000">
            <w:pPr>
              <w:widowControl w:val="0"/>
              <w:tabs>
                <w:tab w:val="decimal" w:pos="518"/>
              </w:tabs>
              <w:autoSpaceDE w:val="0"/>
              <w:autoSpaceDN w:val="0"/>
              <w:adjustRightInd w:val="0"/>
              <w:spacing w:before="30" w:after="30"/>
              <w:jc w:val="right"/>
              <w:rPr>
                <w:b/>
                <w:sz w:val="20"/>
              </w:rPr>
            </w:pPr>
            <w:r>
              <w:rPr>
                <w:b/>
                <w:sz w:val="20"/>
              </w:rPr>
              <w:t>112,61</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Ouvrière</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203,66</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241,40</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373,96</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269,86</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335,28</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Employée</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672,57</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639,51</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770,22</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868,47</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912,51</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Travailleuse indépendante</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288,51</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264,35</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222,29</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292,04</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234,05</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Patronne, associée ou employeuse percevant une rémunération</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0,00</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216,50</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150,00</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0,00</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Patronne, associée ou employeuse non rémunérée</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1 049,08</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287,51</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419,27</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370,72</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423,92</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Membre d’une coopérative de production</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0,00</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80,00</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173,20</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10,00</w:t>
            </w:r>
          </w:p>
        </w:tc>
      </w:tr>
      <w:tr w:rsidR="00000000">
        <w:tblPrEx>
          <w:tblCellMar>
            <w:top w:w="0" w:type="dxa"/>
            <w:bottom w:w="0" w:type="dxa"/>
          </w:tblCellMar>
        </w:tblPrEx>
        <w:tc>
          <w:tcPr>
            <w:tcW w:w="3790" w:type="dxa"/>
            <w:tcBorders>
              <w:top w:val="nil"/>
              <w:bottom w:val="nil"/>
            </w:tcBorders>
          </w:tcPr>
          <w:p w:rsidR="00000000" w:rsidRDefault="00000000">
            <w:pPr>
              <w:spacing w:before="30" w:after="30"/>
              <w:ind w:left="284"/>
              <w:rPr>
                <w:sz w:val="20"/>
              </w:rPr>
            </w:pPr>
            <w:r>
              <w:rPr>
                <w:sz w:val="20"/>
              </w:rPr>
              <w:t>Travailleuse familiale ou apprentie non rémunérée</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0,00</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0,00</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6,77</w:t>
            </w:r>
            <w:r>
              <w:rPr>
                <w:b/>
                <w:sz w:val="20"/>
                <w:vertAlign w:val="superscript"/>
              </w:rPr>
              <w:t>(1)</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7,15</w:t>
            </w:r>
            <w:r>
              <w:rPr>
                <w:b/>
                <w:sz w:val="20"/>
                <w:vertAlign w:val="superscript"/>
              </w:rPr>
              <w:t>(1)</w:t>
            </w:r>
          </w:p>
        </w:tc>
      </w:tr>
      <w:tr w:rsidR="00000000">
        <w:tblPrEx>
          <w:tblCellMar>
            <w:top w:w="0" w:type="dxa"/>
            <w:bottom w:w="0" w:type="dxa"/>
          </w:tblCellMar>
        </w:tblPrEx>
        <w:tc>
          <w:tcPr>
            <w:tcW w:w="3790" w:type="dxa"/>
            <w:tcBorders>
              <w:top w:val="nil"/>
            </w:tcBorders>
          </w:tcPr>
          <w:p w:rsidR="00000000" w:rsidRDefault="00000000">
            <w:pPr>
              <w:spacing w:before="30" w:after="30"/>
              <w:ind w:left="284"/>
              <w:rPr>
                <w:sz w:val="20"/>
              </w:rPr>
            </w:pPr>
            <w:r>
              <w:rPr>
                <w:sz w:val="20"/>
              </w:rPr>
              <w:t>Employée de maison</w:t>
            </w:r>
          </w:p>
        </w:tc>
        <w:tc>
          <w:tcPr>
            <w:tcW w:w="1141" w:type="dxa"/>
            <w:vAlign w:val="bottom"/>
          </w:tcPr>
          <w:p w:rsidR="00000000" w:rsidRDefault="00000000">
            <w:pPr>
              <w:widowControl w:val="0"/>
              <w:tabs>
                <w:tab w:val="decimal" w:pos="503"/>
              </w:tabs>
              <w:autoSpaceDE w:val="0"/>
              <w:autoSpaceDN w:val="0"/>
              <w:adjustRightInd w:val="0"/>
              <w:spacing w:before="30" w:after="30"/>
              <w:jc w:val="right"/>
              <w:rPr>
                <w:sz w:val="20"/>
              </w:rPr>
            </w:pPr>
            <w:r>
              <w:rPr>
                <w:sz w:val="20"/>
              </w:rPr>
              <w:t>338,87</w:t>
            </w:r>
          </w:p>
        </w:tc>
        <w:tc>
          <w:tcPr>
            <w:tcW w:w="1141" w:type="dxa"/>
            <w:vAlign w:val="bottom"/>
          </w:tcPr>
          <w:p w:rsidR="00000000" w:rsidRDefault="00000000">
            <w:pPr>
              <w:widowControl w:val="0"/>
              <w:tabs>
                <w:tab w:val="decimal" w:pos="474"/>
              </w:tabs>
              <w:autoSpaceDE w:val="0"/>
              <w:autoSpaceDN w:val="0"/>
              <w:adjustRightInd w:val="0"/>
              <w:spacing w:before="30" w:after="30"/>
              <w:jc w:val="right"/>
              <w:rPr>
                <w:sz w:val="20"/>
              </w:rPr>
            </w:pPr>
            <w:r>
              <w:rPr>
                <w:sz w:val="20"/>
              </w:rPr>
              <w:t>513,53</w:t>
            </w:r>
          </w:p>
        </w:tc>
        <w:tc>
          <w:tcPr>
            <w:tcW w:w="1142"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506,96</w:t>
            </w:r>
          </w:p>
        </w:tc>
        <w:tc>
          <w:tcPr>
            <w:tcW w:w="1141" w:type="dxa"/>
            <w:vAlign w:val="bottom"/>
          </w:tcPr>
          <w:p w:rsidR="00000000" w:rsidRDefault="00000000">
            <w:pPr>
              <w:widowControl w:val="0"/>
              <w:tabs>
                <w:tab w:val="decimal" w:pos="504"/>
              </w:tabs>
              <w:autoSpaceDE w:val="0"/>
              <w:autoSpaceDN w:val="0"/>
              <w:adjustRightInd w:val="0"/>
              <w:spacing w:before="30" w:after="30"/>
              <w:jc w:val="right"/>
              <w:rPr>
                <w:sz w:val="20"/>
              </w:rPr>
            </w:pPr>
            <w:r>
              <w:rPr>
                <w:sz w:val="20"/>
              </w:rPr>
              <w:t>364,05</w:t>
            </w:r>
          </w:p>
        </w:tc>
        <w:tc>
          <w:tcPr>
            <w:tcW w:w="1142" w:type="dxa"/>
            <w:vAlign w:val="bottom"/>
          </w:tcPr>
          <w:p w:rsidR="00000000" w:rsidRDefault="00000000">
            <w:pPr>
              <w:widowControl w:val="0"/>
              <w:tabs>
                <w:tab w:val="decimal" w:pos="518"/>
              </w:tabs>
              <w:autoSpaceDE w:val="0"/>
              <w:autoSpaceDN w:val="0"/>
              <w:adjustRightInd w:val="0"/>
              <w:spacing w:before="30" w:after="30"/>
              <w:jc w:val="right"/>
              <w:rPr>
                <w:sz w:val="20"/>
              </w:rPr>
            </w:pPr>
            <w:r>
              <w:rPr>
                <w:sz w:val="20"/>
              </w:rPr>
              <w:t>361,60</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pPr>
      <w:r>
        <w:rPr>
          <w:b/>
          <w:bCs/>
          <w:i/>
          <w:iCs/>
          <w:sz w:val="20"/>
          <w:vertAlign w:val="superscript"/>
          <w:lang w:val="fr-FR"/>
        </w:rPr>
        <w:t>p</w:t>
      </w:r>
      <w:r>
        <w:rPr>
          <w:sz w:val="20"/>
        </w:rPr>
        <w:t xml:space="preserve"> Chiffres provisoires.</w:t>
      </w:r>
    </w:p>
    <w:p w:rsidR="00000000" w:rsidRDefault="00000000">
      <w:pPr>
        <w:spacing w:after="180"/>
        <w:jc w:val="center"/>
        <w:rPr>
          <w:b/>
          <w:bCs/>
        </w:rPr>
      </w:pPr>
      <w:r>
        <w:br w:type="page"/>
      </w:r>
      <w:r>
        <w:rPr>
          <w:b/>
          <w:bCs/>
        </w:rPr>
        <w:t>Tableau 4</w:t>
      </w:r>
    </w:p>
    <w:p w:rsidR="00000000" w:rsidRDefault="00000000">
      <w:pPr>
        <w:spacing w:after="180"/>
        <w:jc w:val="center"/>
      </w:pPr>
      <w:r>
        <w:rPr>
          <w:b/>
          <w:bCs/>
        </w:rPr>
        <w:t>Bolivie: Revenu mensuel moyen, dans l’activité principale, par année,</w:t>
      </w:r>
      <w:r>
        <w:rPr>
          <w:b/>
          <w:bCs/>
        </w:rPr>
        <w:br/>
        <w:t>sexe et branche d’activité, 1999</w:t>
      </w:r>
      <w:r>
        <w:rPr>
          <w:b/>
          <w:bCs/>
        </w:rPr>
        <w:noBreakHyphen/>
        <w:t>2003</w:t>
      </w:r>
      <w:r>
        <w:rPr>
          <w:b/>
          <w:bCs/>
          <w:i/>
          <w:iCs/>
          <w:vertAlign w:val="superscript"/>
        </w:rPr>
        <w:t>p</w:t>
      </w:r>
      <w:r>
        <w:rPr>
          <w:b/>
          <w:bCs/>
        </w:rPr>
        <w:br/>
      </w:r>
      <w:r>
        <w:t>(</w:t>
      </w:r>
      <w:r>
        <w:rPr>
          <w:i/>
          <w:iCs/>
        </w:rPr>
        <w:t>En bolivianos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41"/>
        <w:gridCol w:w="1141"/>
        <w:gridCol w:w="1141"/>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rPr>
            </w:pPr>
            <w:r>
              <w:rPr>
                <w:sz w:val="20"/>
              </w:rPr>
              <w:t>Branche d’activité</w:t>
            </w:r>
          </w:p>
        </w:tc>
        <w:tc>
          <w:tcPr>
            <w:tcW w:w="1141" w:type="dxa"/>
            <w:vAlign w:val="center"/>
          </w:tcPr>
          <w:p w:rsidR="00000000" w:rsidRDefault="00000000">
            <w:pPr>
              <w:spacing w:before="60" w:after="60"/>
              <w:jc w:val="center"/>
              <w:rPr>
                <w:sz w:val="20"/>
              </w:rPr>
            </w:pPr>
            <w:r>
              <w:rPr>
                <w:sz w:val="20"/>
              </w:rPr>
              <w:t>1999</w:t>
            </w:r>
          </w:p>
        </w:tc>
        <w:tc>
          <w:tcPr>
            <w:tcW w:w="1141" w:type="dxa"/>
            <w:vAlign w:val="center"/>
          </w:tcPr>
          <w:p w:rsidR="00000000" w:rsidRDefault="00000000">
            <w:pPr>
              <w:spacing w:before="60" w:after="60"/>
              <w:jc w:val="center"/>
              <w:rPr>
                <w:sz w:val="20"/>
              </w:rPr>
            </w:pPr>
            <w:r>
              <w:rPr>
                <w:sz w:val="20"/>
              </w:rPr>
              <w:t>2000</w:t>
            </w:r>
          </w:p>
        </w:tc>
        <w:tc>
          <w:tcPr>
            <w:tcW w:w="1141" w:type="dxa"/>
            <w:vAlign w:val="center"/>
          </w:tcPr>
          <w:p w:rsidR="00000000" w:rsidRDefault="00000000">
            <w:pPr>
              <w:spacing w:before="60" w:after="60"/>
              <w:jc w:val="center"/>
              <w:rPr>
                <w:sz w:val="20"/>
              </w:rPr>
            </w:pPr>
            <w:r>
              <w:rPr>
                <w:sz w:val="20"/>
              </w:rPr>
              <w:t>2001</w:t>
            </w:r>
          </w:p>
        </w:tc>
        <w:tc>
          <w:tcPr>
            <w:tcW w:w="1141" w:type="dxa"/>
            <w:vAlign w:val="center"/>
          </w:tcPr>
          <w:p w:rsidR="00000000" w:rsidRDefault="00000000">
            <w:pPr>
              <w:spacing w:before="60" w:after="60"/>
              <w:jc w:val="center"/>
              <w:rPr>
                <w:sz w:val="20"/>
              </w:rPr>
            </w:pPr>
            <w:r>
              <w:rPr>
                <w:sz w:val="20"/>
              </w:rPr>
              <w:t>2002</w:t>
            </w:r>
          </w:p>
        </w:tc>
        <w:tc>
          <w:tcPr>
            <w:tcW w:w="1142"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TOTAL</w:t>
            </w:r>
          </w:p>
        </w:tc>
        <w:tc>
          <w:tcPr>
            <w:tcW w:w="1141" w:type="dxa"/>
            <w:vAlign w:val="bottom"/>
          </w:tcPr>
          <w:p w:rsidR="00000000" w:rsidRDefault="00000000">
            <w:pPr>
              <w:keepNext/>
              <w:keepLines/>
              <w:tabs>
                <w:tab w:val="decimal" w:pos="530"/>
              </w:tabs>
              <w:autoSpaceDE w:val="0"/>
              <w:autoSpaceDN w:val="0"/>
              <w:adjustRightInd w:val="0"/>
              <w:spacing w:before="60" w:after="60"/>
              <w:jc w:val="right"/>
              <w:rPr>
                <w:b/>
                <w:sz w:val="20"/>
              </w:rPr>
            </w:pPr>
            <w:r>
              <w:rPr>
                <w:b/>
                <w:sz w:val="20"/>
              </w:rPr>
              <w:t>654,60</w:t>
            </w:r>
          </w:p>
        </w:tc>
        <w:tc>
          <w:tcPr>
            <w:tcW w:w="1141" w:type="dxa"/>
            <w:vAlign w:val="bottom"/>
          </w:tcPr>
          <w:p w:rsidR="00000000" w:rsidRDefault="00000000">
            <w:pPr>
              <w:keepNext/>
              <w:keepLines/>
              <w:tabs>
                <w:tab w:val="decimal" w:pos="485"/>
              </w:tabs>
              <w:autoSpaceDE w:val="0"/>
              <w:autoSpaceDN w:val="0"/>
              <w:adjustRightInd w:val="0"/>
              <w:spacing w:before="60" w:after="60"/>
              <w:jc w:val="right"/>
              <w:rPr>
                <w:b/>
                <w:sz w:val="20"/>
              </w:rPr>
            </w:pPr>
            <w:r>
              <w:rPr>
                <w:b/>
                <w:sz w:val="20"/>
              </w:rPr>
              <w:t>685,80</w:t>
            </w:r>
          </w:p>
        </w:tc>
        <w:tc>
          <w:tcPr>
            <w:tcW w:w="1141" w:type="dxa"/>
            <w:vAlign w:val="bottom"/>
          </w:tcPr>
          <w:p w:rsidR="00000000" w:rsidRDefault="00000000">
            <w:pPr>
              <w:keepNext/>
              <w:keepLines/>
              <w:tabs>
                <w:tab w:val="decimal" w:pos="541"/>
              </w:tabs>
              <w:autoSpaceDE w:val="0"/>
              <w:autoSpaceDN w:val="0"/>
              <w:adjustRightInd w:val="0"/>
              <w:spacing w:before="60" w:after="60"/>
              <w:jc w:val="right"/>
              <w:rPr>
                <w:b/>
                <w:sz w:val="20"/>
              </w:rPr>
            </w:pPr>
            <w:r>
              <w:rPr>
                <w:b/>
                <w:sz w:val="20"/>
              </w:rPr>
              <w:t>603,84</w:t>
            </w:r>
          </w:p>
        </w:tc>
        <w:tc>
          <w:tcPr>
            <w:tcW w:w="1141" w:type="dxa"/>
            <w:vAlign w:val="bottom"/>
          </w:tcPr>
          <w:p w:rsidR="00000000" w:rsidRDefault="00000000">
            <w:pPr>
              <w:keepNext/>
              <w:keepLines/>
              <w:tabs>
                <w:tab w:val="decimal" w:pos="528"/>
              </w:tabs>
              <w:autoSpaceDE w:val="0"/>
              <w:autoSpaceDN w:val="0"/>
              <w:adjustRightInd w:val="0"/>
              <w:spacing w:before="60" w:after="60"/>
              <w:jc w:val="right"/>
              <w:rPr>
                <w:b/>
                <w:sz w:val="20"/>
              </w:rPr>
            </w:pPr>
            <w:r>
              <w:rPr>
                <w:b/>
                <w:sz w:val="20"/>
              </w:rPr>
              <w:t>712,01</w:t>
            </w:r>
          </w:p>
        </w:tc>
        <w:tc>
          <w:tcPr>
            <w:tcW w:w="1142" w:type="dxa"/>
            <w:vAlign w:val="bottom"/>
          </w:tcPr>
          <w:p w:rsidR="00000000" w:rsidRDefault="00000000">
            <w:pPr>
              <w:keepNext/>
              <w:keepLines/>
              <w:tabs>
                <w:tab w:val="decimal" w:pos="571"/>
              </w:tabs>
              <w:autoSpaceDE w:val="0"/>
              <w:autoSpaceDN w:val="0"/>
              <w:adjustRightInd w:val="0"/>
              <w:spacing w:before="60" w:after="60"/>
              <w:jc w:val="right"/>
              <w:rPr>
                <w:b/>
                <w:sz w:val="20"/>
              </w:rPr>
            </w:pPr>
            <w:r>
              <w:rPr>
                <w:b/>
                <w:sz w:val="20"/>
              </w:rPr>
              <w:t>631,49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keepNext/>
              <w:keepLines/>
              <w:tabs>
                <w:tab w:val="decimal" w:pos="530"/>
              </w:tabs>
              <w:autoSpaceDE w:val="0"/>
              <w:autoSpaceDN w:val="0"/>
              <w:adjustRightInd w:val="0"/>
              <w:spacing w:before="60" w:after="60"/>
              <w:jc w:val="right"/>
              <w:rPr>
                <w:sz w:val="20"/>
              </w:rPr>
            </w:pPr>
            <w:r>
              <w:rPr>
                <w:sz w:val="20"/>
              </w:rPr>
              <w:t>127,77</w:t>
            </w:r>
          </w:p>
        </w:tc>
        <w:tc>
          <w:tcPr>
            <w:tcW w:w="1141" w:type="dxa"/>
            <w:vAlign w:val="bottom"/>
          </w:tcPr>
          <w:p w:rsidR="00000000" w:rsidRDefault="00000000">
            <w:pPr>
              <w:keepNext/>
              <w:keepLines/>
              <w:tabs>
                <w:tab w:val="decimal" w:pos="485"/>
              </w:tabs>
              <w:autoSpaceDE w:val="0"/>
              <w:autoSpaceDN w:val="0"/>
              <w:adjustRightInd w:val="0"/>
              <w:spacing w:before="60" w:after="60"/>
              <w:jc w:val="right"/>
              <w:rPr>
                <w:sz w:val="20"/>
              </w:rPr>
            </w:pPr>
            <w:r>
              <w:rPr>
                <w:sz w:val="20"/>
              </w:rPr>
              <w:t>149,54</w:t>
            </w:r>
          </w:p>
        </w:tc>
        <w:tc>
          <w:tcPr>
            <w:tcW w:w="1141" w:type="dxa"/>
            <w:vAlign w:val="bottom"/>
          </w:tcPr>
          <w:p w:rsidR="00000000" w:rsidRDefault="00000000">
            <w:pPr>
              <w:keepNext/>
              <w:keepLines/>
              <w:tabs>
                <w:tab w:val="decimal" w:pos="541"/>
              </w:tabs>
              <w:autoSpaceDE w:val="0"/>
              <w:autoSpaceDN w:val="0"/>
              <w:adjustRightInd w:val="0"/>
              <w:spacing w:before="60" w:after="60"/>
              <w:jc w:val="right"/>
              <w:rPr>
                <w:sz w:val="20"/>
              </w:rPr>
            </w:pPr>
            <w:r>
              <w:rPr>
                <w:sz w:val="20"/>
              </w:rPr>
              <w:t>203,01</w:t>
            </w:r>
          </w:p>
        </w:tc>
        <w:tc>
          <w:tcPr>
            <w:tcW w:w="1141" w:type="dxa"/>
            <w:vAlign w:val="bottom"/>
          </w:tcPr>
          <w:p w:rsidR="00000000" w:rsidRDefault="00000000">
            <w:pPr>
              <w:keepNext/>
              <w:keepLines/>
              <w:tabs>
                <w:tab w:val="decimal" w:pos="528"/>
              </w:tabs>
              <w:autoSpaceDE w:val="0"/>
              <w:autoSpaceDN w:val="0"/>
              <w:adjustRightInd w:val="0"/>
              <w:spacing w:before="60" w:after="60"/>
              <w:jc w:val="right"/>
              <w:rPr>
                <w:sz w:val="20"/>
              </w:rPr>
            </w:pPr>
            <w:r>
              <w:rPr>
                <w:sz w:val="20"/>
              </w:rPr>
              <w:t>229,31</w:t>
            </w:r>
          </w:p>
        </w:tc>
        <w:tc>
          <w:tcPr>
            <w:tcW w:w="1142" w:type="dxa"/>
            <w:vAlign w:val="bottom"/>
          </w:tcPr>
          <w:p w:rsidR="00000000" w:rsidRDefault="00000000">
            <w:pPr>
              <w:keepNext/>
              <w:keepLines/>
              <w:tabs>
                <w:tab w:val="decimal" w:pos="571"/>
              </w:tabs>
              <w:autoSpaceDE w:val="0"/>
              <w:autoSpaceDN w:val="0"/>
              <w:adjustRightInd w:val="0"/>
              <w:spacing w:before="60" w:after="60"/>
              <w:jc w:val="right"/>
              <w:rPr>
                <w:sz w:val="20"/>
              </w:rPr>
            </w:pPr>
            <w:r>
              <w:rPr>
                <w:sz w:val="20"/>
              </w:rPr>
              <w:t>208,12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410,86</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618,21</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275,10</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232,16</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1 261,46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1 296,17</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3 044,92</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1 263,76</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1 413,33</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1 817,15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699,98</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747,73</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663,94</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744,69</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748,42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 de gaz et d’eau</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1 789,59</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2 148,05</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1 692,98</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3 508,49</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1 515,58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1 169,37</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1 107,43</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923,75</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979,63</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789,11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813,41</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673,18</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581,96</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868,41</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618,10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893,24</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769,48</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637,91</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676,48</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465,48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Transport, stockage, communications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1 400,23</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1 415,84</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1 254,09</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1 319,79</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1 135,02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2 430,26</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3 073,29</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5 460,83</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4 052,25</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3 057,45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2 199,46</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2 050,49</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1 595,11</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1 960,62</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1 747,78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 et sécurité sociale</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1 733,78</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1 796,34</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2 320,21</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2 314,45</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1 999,98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1 067,83</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1 062,13</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1 141,25</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1 558,38</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1 697,66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1 316,42</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1 500,33</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1 197,74</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1 499,08</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1 669,01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communautaires</w:t>
            </w:r>
            <w:r>
              <w:rPr>
                <w:sz w:val="20"/>
              </w:rPr>
              <w:br/>
              <w:t>et services à la personne</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637,40</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691,76</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777,89</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1 004,79</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757,52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455,40</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523,05</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537,38</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644,14</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423,15</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758,33</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3 434,39</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1 053,23</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1 238,02</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6 028,46</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HOMMES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b/>
                <w:sz w:val="20"/>
              </w:rPr>
            </w:pPr>
            <w:r>
              <w:rPr>
                <w:b/>
                <w:sz w:val="20"/>
              </w:rPr>
              <w:t>824,67</w:t>
            </w:r>
          </w:p>
        </w:tc>
        <w:tc>
          <w:tcPr>
            <w:tcW w:w="1141" w:type="dxa"/>
            <w:vAlign w:val="bottom"/>
          </w:tcPr>
          <w:p w:rsidR="00000000" w:rsidRDefault="00000000">
            <w:pPr>
              <w:widowControl w:val="0"/>
              <w:tabs>
                <w:tab w:val="decimal" w:pos="485"/>
              </w:tabs>
              <w:autoSpaceDE w:val="0"/>
              <w:autoSpaceDN w:val="0"/>
              <w:adjustRightInd w:val="0"/>
              <w:spacing w:before="60" w:after="60"/>
              <w:jc w:val="right"/>
              <w:rPr>
                <w:b/>
                <w:sz w:val="20"/>
              </w:rPr>
            </w:pPr>
            <w:r>
              <w:rPr>
                <w:b/>
                <w:sz w:val="20"/>
              </w:rPr>
              <w:t>847,83</w:t>
            </w:r>
          </w:p>
        </w:tc>
        <w:tc>
          <w:tcPr>
            <w:tcW w:w="1141" w:type="dxa"/>
            <w:vAlign w:val="bottom"/>
          </w:tcPr>
          <w:p w:rsidR="00000000" w:rsidRDefault="00000000">
            <w:pPr>
              <w:widowControl w:val="0"/>
              <w:tabs>
                <w:tab w:val="decimal" w:pos="541"/>
              </w:tabs>
              <w:autoSpaceDE w:val="0"/>
              <w:autoSpaceDN w:val="0"/>
              <w:adjustRightInd w:val="0"/>
              <w:spacing w:before="60" w:after="60"/>
              <w:jc w:val="right"/>
              <w:rPr>
                <w:b/>
                <w:sz w:val="20"/>
              </w:rPr>
            </w:pPr>
            <w:r>
              <w:rPr>
                <w:b/>
                <w:sz w:val="20"/>
              </w:rPr>
              <w:t>764,04</w:t>
            </w:r>
          </w:p>
        </w:tc>
        <w:tc>
          <w:tcPr>
            <w:tcW w:w="1141" w:type="dxa"/>
            <w:vAlign w:val="bottom"/>
          </w:tcPr>
          <w:p w:rsidR="00000000" w:rsidRDefault="00000000">
            <w:pPr>
              <w:widowControl w:val="0"/>
              <w:tabs>
                <w:tab w:val="decimal" w:pos="528"/>
              </w:tabs>
              <w:autoSpaceDE w:val="0"/>
              <w:autoSpaceDN w:val="0"/>
              <w:adjustRightInd w:val="0"/>
              <w:spacing w:before="60" w:after="60"/>
              <w:jc w:val="right"/>
              <w:rPr>
                <w:b/>
                <w:sz w:val="20"/>
              </w:rPr>
            </w:pPr>
            <w:r>
              <w:rPr>
                <w:b/>
                <w:sz w:val="20"/>
              </w:rPr>
              <w:t>888,85</w:t>
            </w:r>
          </w:p>
        </w:tc>
        <w:tc>
          <w:tcPr>
            <w:tcW w:w="1142" w:type="dxa"/>
            <w:vAlign w:val="bottom"/>
          </w:tcPr>
          <w:p w:rsidR="00000000" w:rsidRDefault="00000000">
            <w:pPr>
              <w:widowControl w:val="0"/>
              <w:tabs>
                <w:tab w:val="decimal" w:pos="571"/>
              </w:tabs>
              <w:autoSpaceDE w:val="0"/>
              <w:autoSpaceDN w:val="0"/>
              <w:adjustRightInd w:val="0"/>
              <w:spacing w:before="60" w:after="60"/>
              <w:jc w:val="right"/>
              <w:rPr>
                <w:b/>
                <w:sz w:val="20"/>
              </w:rPr>
            </w:pPr>
            <w:r>
              <w:rPr>
                <w:b/>
                <w:sz w:val="20"/>
              </w:rPr>
              <w:t>781,31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203,54</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220,57</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283,06</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345,94</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310,89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461,08</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652,31</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382,95</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352,22</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1 446,82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1 523,59</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2 991,64</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1 302,18</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1 221,16</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1 817,69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933,14</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935,14</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894,00</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907,41</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979,48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 de gaz et d’eau</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1 751,18</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2 278,46</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1 757,42</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3 650,93</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1 422,22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1 174,06</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993,69</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895,20</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993,41</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818,10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1 081,45</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904,83</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788,33</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1 250,01</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815,56</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Hôtellerie et restauration</w:t>
            </w:r>
          </w:p>
        </w:tc>
        <w:tc>
          <w:tcPr>
            <w:tcW w:w="1141" w:type="dxa"/>
            <w:tcBorders>
              <w:bottom w:val="single" w:sz="4" w:space="0" w:color="auto"/>
            </w:tcBorders>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1 420,59</w:t>
            </w:r>
          </w:p>
        </w:tc>
        <w:tc>
          <w:tcPr>
            <w:tcW w:w="1141" w:type="dxa"/>
            <w:tcBorders>
              <w:bottom w:val="single" w:sz="4" w:space="0" w:color="auto"/>
            </w:tcBorders>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1 197,05</w:t>
            </w:r>
          </w:p>
        </w:tc>
        <w:tc>
          <w:tcPr>
            <w:tcW w:w="1141" w:type="dxa"/>
            <w:tcBorders>
              <w:bottom w:val="single" w:sz="4" w:space="0" w:color="auto"/>
            </w:tcBorders>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968,01</w:t>
            </w:r>
          </w:p>
        </w:tc>
        <w:tc>
          <w:tcPr>
            <w:tcW w:w="1141" w:type="dxa"/>
            <w:tcBorders>
              <w:bottom w:val="single" w:sz="4" w:space="0" w:color="auto"/>
            </w:tcBorders>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775,12</w:t>
            </w:r>
          </w:p>
        </w:tc>
        <w:tc>
          <w:tcPr>
            <w:tcW w:w="1142" w:type="dxa"/>
            <w:tcBorders>
              <w:bottom w:val="single" w:sz="4" w:space="0" w:color="auto"/>
            </w:tcBorders>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465,45</w:t>
            </w:r>
          </w:p>
        </w:tc>
      </w:tr>
      <w:tr w:rsidR="00000000">
        <w:tblPrEx>
          <w:tblCellMar>
            <w:top w:w="0" w:type="dxa"/>
            <w:bottom w:w="0" w:type="dxa"/>
          </w:tblCellMar>
        </w:tblPrEx>
        <w:tc>
          <w:tcPr>
            <w:tcW w:w="3790" w:type="dxa"/>
            <w:tcBorders>
              <w:top w:val="single" w:sz="4" w:space="0" w:color="auto"/>
              <w:bottom w:val="nil"/>
            </w:tcBorders>
            <w:vAlign w:val="bottom"/>
          </w:tcPr>
          <w:p w:rsidR="00000000" w:rsidRDefault="00000000">
            <w:pPr>
              <w:pageBreakBefore/>
              <w:spacing w:before="60" w:after="60"/>
              <w:ind w:left="284"/>
              <w:rPr>
                <w:sz w:val="20"/>
              </w:rPr>
            </w:pPr>
            <w:r>
              <w:rPr>
                <w:sz w:val="20"/>
              </w:rPr>
              <w:t>Transport, stockage, communications</w:t>
            </w:r>
          </w:p>
        </w:tc>
        <w:tc>
          <w:tcPr>
            <w:tcW w:w="1141" w:type="dxa"/>
            <w:tcBorders>
              <w:top w:val="single" w:sz="4" w:space="0" w:color="auto"/>
            </w:tcBorders>
            <w:vAlign w:val="bottom"/>
          </w:tcPr>
          <w:p w:rsidR="00000000" w:rsidRDefault="00000000">
            <w:pPr>
              <w:pageBreakBefore/>
              <w:widowControl w:val="0"/>
              <w:tabs>
                <w:tab w:val="decimal" w:pos="530"/>
              </w:tabs>
              <w:autoSpaceDE w:val="0"/>
              <w:autoSpaceDN w:val="0"/>
              <w:adjustRightInd w:val="0"/>
              <w:spacing w:before="60" w:after="60"/>
              <w:jc w:val="right"/>
              <w:rPr>
                <w:sz w:val="20"/>
              </w:rPr>
            </w:pPr>
            <w:r>
              <w:rPr>
                <w:sz w:val="20"/>
              </w:rPr>
              <w:t>1 315,79</w:t>
            </w:r>
          </w:p>
        </w:tc>
        <w:tc>
          <w:tcPr>
            <w:tcW w:w="1141" w:type="dxa"/>
            <w:tcBorders>
              <w:top w:val="single" w:sz="4" w:space="0" w:color="auto"/>
            </w:tcBorders>
            <w:vAlign w:val="bottom"/>
          </w:tcPr>
          <w:p w:rsidR="00000000" w:rsidRDefault="00000000">
            <w:pPr>
              <w:pageBreakBefore/>
              <w:widowControl w:val="0"/>
              <w:tabs>
                <w:tab w:val="decimal" w:pos="485"/>
              </w:tabs>
              <w:autoSpaceDE w:val="0"/>
              <w:autoSpaceDN w:val="0"/>
              <w:adjustRightInd w:val="0"/>
              <w:spacing w:before="60" w:after="60"/>
              <w:jc w:val="right"/>
              <w:rPr>
                <w:sz w:val="20"/>
              </w:rPr>
            </w:pPr>
            <w:r>
              <w:rPr>
                <w:sz w:val="20"/>
              </w:rPr>
              <w:t>1 353,77</w:t>
            </w:r>
          </w:p>
        </w:tc>
        <w:tc>
          <w:tcPr>
            <w:tcW w:w="1141" w:type="dxa"/>
            <w:tcBorders>
              <w:top w:val="single" w:sz="4" w:space="0" w:color="auto"/>
            </w:tcBorders>
            <w:vAlign w:val="bottom"/>
          </w:tcPr>
          <w:p w:rsidR="00000000" w:rsidRDefault="00000000">
            <w:pPr>
              <w:pageBreakBefore/>
              <w:widowControl w:val="0"/>
              <w:tabs>
                <w:tab w:val="decimal" w:pos="541"/>
              </w:tabs>
              <w:autoSpaceDE w:val="0"/>
              <w:autoSpaceDN w:val="0"/>
              <w:adjustRightInd w:val="0"/>
              <w:spacing w:before="60" w:after="60"/>
              <w:jc w:val="right"/>
              <w:rPr>
                <w:sz w:val="20"/>
              </w:rPr>
            </w:pPr>
            <w:r>
              <w:rPr>
                <w:sz w:val="20"/>
              </w:rPr>
              <w:t>1 204,43</w:t>
            </w:r>
          </w:p>
        </w:tc>
        <w:tc>
          <w:tcPr>
            <w:tcW w:w="1141" w:type="dxa"/>
            <w:tcBorders>
              <w:top w:val="single" w:sz="4" w:space="0" w:color="auto"/>
            </w:tcBorders>
            <w:vAlign w:val="bottom"/>
          </w:tcPr>
          <w:p w:rsidR="00000000" w:rsidRDefault="00000000">
            <w:pPr>
              <w:pageBreakBefore/>
              <w:widowControl w:val="0"/>
              <w:tabs>
                <w:tab w:val="decimal" w:pos="528"/>
              </w:tabs>
              <w:autoSpaceDE w:val="0"/>
              <w:autoSpaceDN w:val="0"/>
              <w:adjustRightInd w:val="0"/>
              <w:spacing w:before="60" w:after="60"/>
              <w:jc w:val="right"/>
              <w:rPr>
                <w:sz w:val="20"/>
              </w:rPr>
            </w:pPr>
            <w:r>
              <w:rPr>
                <w:sz w:val="20"/>
              </w:rPr>
              <w:t>1 310,57</w:t>
            </w:r>
          </w:p>
        </w:tc>
        <w:tc>
          <w:tcPr>
            <w:tcW w:w="1142" w:type="dxa"/>
            <w:tcBorders>
              <w:top w:val="single" w:sz="4" w:space="0" w:color="auto"/>
            </w:tcBorders>
            <w:vAlign w:val="bottom"/>
          </w:tcPr>
          <w:p w:rsidR="00000000" w:rsidRDefault="00000000">
            <w:pPr>
              <w:pageBreakBefore/>
              <w:widowControl w:val="0"/>
              <w:tabs>
                <w:tab w:val="decimal" w:pos="571"/>
              </w:tabs>
              <w:autoSpaceDE w:val="0"/>
              <w:autoSpaceDN w:val="0"/>
              <w:adjustRightInd w:val="0"/>
              <w:spacing w:before="60" w:after="60"/>
              <w:jc w:val="right"/>
              <w:rPr>
                <w:sz w:val="20"/>
              </w:rPr>
            </w:pPr>
            <w:r>
              <w:rPr>
                <w:sz w:val="20"/>
              </w:rPr>
              <w:t>1 129,48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2 883,21</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3 208,70</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5 030,17</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5 834,87</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2 940,22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2 417,57</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2 297,21</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1 723,77</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2 101,84</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2 000,78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1 639,23</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1 639,66</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2 421,40</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2 525,60</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1 723,18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1 173,03</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1 303,23</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1 498,50</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1 882,80</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1 858,83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1 775,22</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1 552,12</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1 298,20</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1 831,70</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1 619,64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838,74</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918,63</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964,45</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1 553,38</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955,55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661,47</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490,19</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552,09</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653,79</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396,57</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758,33</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1 100,00</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1 053,23</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1 260,97</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6 933,33</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FEMMES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b/>
                <w:sz w:val="20"/>
              </w:rPr>
            </w:pPr>
            <w:r>
              <w:rPr>
                <w:b/>
                <w:sz w:val="20"/>
              </w:rPr>
              <w:t>446,82</w:t>
            </w:r>
          </w:p>
        </w:tc>
        <w:tc>
          <w:tcPr>
            <w:tcW w:w="1141" w:type="dxa"/>
            <w:vAlign w:val="bottom"/>
          </w:tcPr>
          <w:p w:rsidR="00000000" w:rsidRDefault="00000000">
            <w:pPr>
              <w:widowControl w:val="0"/>
              <w:tabs>
                <w:tab w:val="decimal" w:pos="485"/>
              </w:tabs>
              <w:autoSpaceDE w:val="0"/>
              <w:autoSpaceDN w:val="0"/>
              <w:adjustRightInd w:val="0"/>
              <w:spacing w:before="60" w:after="60"/>
              <w:jc w:val="right"/>
              <w:rPr>
                <w:b/>
                <w:sz w:val="20"/>
              </w:rPr>
            </w:pPr>
            <w:r>
              <w:rPr>
                <w:b/>
                <w:sz w:val="20"/>
              </w:rPr>
              <w:t>480,63</w:t>
            </w:r>
          </w:p>
        </w:tc>
        <w:tc>
          <w:tcPr>
            <w:tcW w:w="1141" w:type="dxa"/>
            <w:vAlign w:val="bottom"/>
          </w:tcPr>
          <w:p w:rsidR="00000000" w:rsidRDefault="00000000">
            <w:pPr>
              <w:widowControl w:val="0"/>
              <w:tabs>
                <w:tab w:val="decimal" w:pos="541"/>
              </w:tabs>
              <w:autoSpaceDE w:val="0"/>
              <w:autoSpaceDN w:val="0"/>
              <w:adjustRightInd w:val="0"/>
              <w:spacing w:before="60" w:after="60"/>
              <w:jc w:val="right"/>
              <w:rPr>
                <w:b/>
                <w:sz w:val="20"/>
              </w:rPr>
            </w:pPr>
            <w:r>
              <w:rPr>
                <w:b/>
                <w:sz w:val="20"/>
              </w:rPr>
              <w:t>409,64</w:t>
            </w:r>
          </w:p>
        </w:tc>
        <w:tc>
          <w:tcPr>
            <w:tcW w:w="1141" w:type="dxa"/>
            <w:vAlign w:val="bottom"/>
          </w:tcPr>
          <w:p w:rsidR="00000000" w:rsidRDefault="00000000">
            <w:pPr>
              <w:widowControl w:val="0"/>
              <w:tabs>
                <w:tab w:val="decimal" w:pos="528"/>
              </w:tabs>
              <w:autoSpaceDE w:val="0"/>
              <w:autoSpaceDN w:val="0"/>
              <w:adjustRightInd w:val="0"/>
              <w:spacing w:before="60" w:after="60"/>
              <w:jc w:val="right"/>
              <w:rPr>
                <w:b/>
                <w:sz w:val="20"/>
              </w:rPr>
            </w:pPr>
            <w:r>
              <w:rPr>
                <w:b/>
                <w:sz w:val="20"/>
              </w:rPr>
              <w:t>482,55</w:t>
            </w:r>
          </w:p>
        </w:tc>
        <w:tc>
          <w:tcPr>
            <w:tcW w:w="1142" w:type="dxa"/>
            <w:vAlign w:val="bottom"/>
          </w:tcPr>
          <w:p w:rsidR="00000000" w:rsidRDefault="00000000">
            <w:pPr>
              <w:widowControl w:val="0"/>
              <w:tabs>
                <w:tab w:val="decimal" w:pos="571"/>
              </w:tabs>
              <w:autoSpaceDE w:val="0"/>
              <w:autoSpaceDN w:val="0"/>
              <w:adjustRightInd w:val="0"/>
              <w:spacing w:before="60" w:after="60"/>
              <w:jc w:val="right"/>
              <w:rPr>
                <w:b/>
                <w:sz w:val="20"/>
              </w:rPr>
            </w:pPr>
            <w:r>
              <w:rPr>
                <w:b/>
                <w:sz w:val="20"/>
              </w:rPr>
              <w:t>444,13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37,28</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54,06</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99,14</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56,65</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74,11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70,56</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435,20</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40,38</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28,66</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382,13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169,02</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3 448,75</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789,84</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3 135,20</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1 810,58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375,72</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448,34</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334,10</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483,21</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451,74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 de gaz et d’eau</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2 166,67</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1 118,76</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1 514,58</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2 737,95</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2 369,30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798,49</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4 284,96</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1 769,50</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721,54</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362,17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655,50</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534,31</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453,50</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633,63</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480,57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709,35</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645,74</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523,95</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647,05</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465,49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Transport, stockage, communications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2 905,68</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2 029,35</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1 644,08</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1 440,45</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1 205,90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1 945,78</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2 788,62</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6 891,39</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1 520,15</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3 352,41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1 852,42</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1 315,75</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1 327,58</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1 691,75</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1 213,47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 et sécurité sociale</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2 030,36</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2 300,72</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1 931,84</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1 612,00</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2 946,94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951,51</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867,07</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879,38</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1 274,86</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1 549,21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1 110,59</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1462,38</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1 106,18</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1 315,11</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1 709,31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390,44</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487,84</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623,10</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517,90</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640,33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447,42</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525,21</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536,72</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642,91</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424,97</w:t>
            </w:r>
          </w:p>
        </w:tc>
      </w:tr>
      <w:tr w:rsidR="00000000">
        <w:tblPrEx>
          <w:tblCellMar>
            <w:top w:w="0" w:type="dxa"/>
            <w:bottom w:w="0" w:type="dxa"/>
          </w:tblCellMar>
        </w:tblPrEx>
        <w:tc>
          <w:tcPr>
            <w:tcW w:w="3790" w:type="dxa"/>
            <w:tcBorders>
              <w:top w:val="nil"/>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530"/>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485"/>
              </w:tabs>
              <w:autoSpaceDE w:val="0"/>
              <w:autoSpaceDN w:val="0"/>
              <w:adjustRightInd w:val="0"/>
              <w:spacing w:before="60" w:after="60"/>
              <w:jc w:val="right"/>
              <w:rPr>
                <w:sz w:val="20"/>
              </w:rPr>
            </w:pPr>
            <w:r>
              <w:rPr>
                <w:sz w:val="20"/>
              </w:rPr>
              <w:t>4 656,16</w:t>
            </w:r>
          </w:p>
        </w:tc>
        <w:tc>
          <w:tcPr>
            <w:tcW w:w="1141" w:type="dxa"/>
            <w:vAlign w:val="bottom"/>
          </w:tcPr>
          <w:p w:rsidR="00000000" w:rsidRDefault="00000000">
            <w:pPr>
              <w:widowControl w:val="0"/>
              <w:tabs>
                <w:tab w:val="decimal" w:pos="541"/>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28"/>
              </w:tabs>
              <w:autoSpaceDE w:val="0"/>
              <w:autoSpaceDN w:val="0"/>
              <w:adjustRightInd w:val="0"/>
              <w:spacing w:before="60" w:after="60"/>
              <w:jc w:val="right"/>
              <w:rPr>
                <w:sz w:val="20"/>
              </w:rPr>
            </w:pPr>
            <w:r>
              <w:rPr>
                <w:sz w:val="20"/>
              </w:rPr>
              <w:t>1 213,58</w:t>
            </w:r>
          </w:p>
        </w:tc>
        <w:tc>
          <w:tcPr>
            <w:tcW w:w="1142" w:type="dxa"/>
            <w:vAlign w:val="bottom"/>
          </w:tcPr>
          <w:p w:rsidR="00000000" w:rsidRDefault="00000000">
            <w:pPr>
              <w:widowControl w:val="0"/>
              <w:tabs>
                <w:tab w:val="decimal" w:pos="571"/>
              </w:tabs>
              <w:autoSpaceDE w:val="0"/>
              <w:autoSpaceDN w:val="0"/>
              <w:adjustRightInd w:val="0"/>
              <w:spacing w:before="60" w:after="60"/>
              <w:jc w:val="right"/>
              <w:rPr>
                <w:sz w:val="20"/>
              </w:rPr>
            </w:pPr>
            <w:r>
              <w:rPr>
                <w:sz w:val="20"/>
              </w:rPr>
              <w:t>2 400,00</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spacing w:after="180"/>
        <w:jc w:val="center"/>
        <w:rPr>
          <w:b/>
          <w:bCs/>
        </w:rPr>
      </w:pPr>
      <w:r>
        <w:rPr>
          <w:sz w:val="20"/>
        </w:rPr>
        <w:br w:type="page"/>
      </w:r>
      <w:r>
        <w:rPr>
          <w:b/>
          <w:bCs/>
        </w:rPr>
        <w:t>Tableau 4.1</w:t>
      </w:r>
    </w:p>
    <w:p w:rsidR="00000000" w:rsidRDefault="00000000">
      <w:pPr>
        <w:spacing w:after="180"/>
        <w:jc w:val="center"/>
      </w:pPr>
      <w:r>
        <w:rPr>
          <w:b/>
          <w:bCs/>
        </w:rPr>
        <w:t>Bolivie − Zones urbaines: Revenu mensuel moyen, dans l’activité principale,</w:t>
      </w:r>
      <w:r>
        <w:rPr>
          <w:b/>
          <w:bCs/>
        </w:rPr>
        <w:br/>
        <w:t>par année, sexe et branche d’activité, 1999</w:t>
      </w:r>
      <w:r>
        <w:rPr>
          <w:b/>
          <w:bCs/>
        </w:rPr>
        <w:noBreakHyphen/>
        <w:t>2003</w:t>
      </w:r>
      <w:r>
        <w:rPr>
          <w:b/>
          <w:bCs/>
          <w:i/>
          <w:iCs/>
          <w:vertAlign w:val="superscript"/>
        </w:rPr>
        <w:t>p</w:t>
      </w:r>
      <w:r>
        <w:rPr>
          <w:b/>
          <w:bCs/>
        </w:rPr>
        <w:br/>
      </w:r>
      <w:r>
        <w:t>(</w:t>
      </w:r>
      <w:r>
        <w:rPr>
          <w:i/>
          <w:iCs/>
        </w:rPr>
        <w:t>En bolivianos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41"/>
        <w:gridCol w:w="1141"/>
        <w:gridCol w:w="1141"/>
        <w:gridCol w:w="1141"/>
        <w:gridCol w:w="1142"/>
      </w:tblGrid>
      <w:tr w:rsidR="00000000">
        <w:tblPrEx>
          <w:tblCellMar>
            <w:top w:w="0" w:type="dxa"/>
            <w:bottom w:w="0" w:type="dxa"/>
          </w:tblCellMar>
        </w:tblPrEx>
        <w:trPr>
          <w:tblHeader/>
        </w:trPr>
        <w:tc>
          <w:tcPr>
            <w:tcW w:w="3790" w:type="dxa"/>
            <w:tcBorders>
              <w:bottom w:val="single" w:sz="4" w:space="0" w:color="auto"/>
            </w:tcBorders>
            <w:vAlign w:val="bottom"/>
          </w:tcPr>
          <w:p w:rsidR="00000000" w:rsidRDefault="00000000">
            <w:pPr>
              <w:spacing w:before="60" w:after="60"/>
              <w:jc w:val="center"/>
              <w:rPr>
                <w:sz w:val="20"/>
              </w:rPr>
            </w:pPr>
            <w:r>
              <w:rPr>
                <w:sz w:val="20"/>
              </w:rPr>
              <w:t>Branche d’activité</w:t>
            </w:r>
          </w:p>
        </w:tc>
        <w:tc>
          <w:tcPr>
            <w:tcW w:w="1141" w:type="dxa"/>
            <w:vAlign w:val="bottom"/>
          </w:tcPr>
          <w:p w:rsidR="00000000" w:rsidRDefault="00000000">
            <w:pPr>
              <w:spacing w:before="60" w:after="60"/>
              <w:jc w:val="center"/>
              <w:rPr>
                <w:sz w:val="20"/>
              </w:rPr>
            </w:pPr>
            <w:r>
              <w:rPr>
                <w:sz w:val="20"/>
              </w:rPr>
              <w:t>1999</w:t>
            </w:r>
          </w:p>
        </w:tc>
        <w:tc>
          <w:tcPr>
            <w:tcW w:w="1141" w:type="dxa"/>
            <w:vAlign w:val="bottom"/>
          </w:tcPr>
          <w:p w:rsidR="00000000" w:rsidRDefault="00000000">
            <w:pPr>
              <w:spacing w:before="60" w:after="60"/>
              <w:jc w:val="center"/>
              <w:rPr>
                <w:sz w:val="20"/>
              </w:rPr>
            </w:pPr>
            <w:r>
              <w:rPr>
                <w:sz w:val="20"/>
              </w:rPr>
              <w:t>2000</w:t>
            </w:r>
          </w:p>
        </w:tc>
        <w:tc>
          <w:tcPr>
            <w:tcW w:w="1141" w:type="dxa"/>
            <w:vAlign w:val="bottom"/>
          </w:tcPr>
          <w:p w:rsidR="00000000" w:rsidRDefault="00000000">
            <w:pPr>
              <w:spacing w:before="60" w:after="60"/>
              <w:jc w:val="center"/>
              <w:rPr>
                <w:sz w:val="20"/>
              </w:rPr>
            </w:pPr>
            <w:r>
              <w:rPr>
                <w:sz w:val="20"/>
              </w:rPr>
              <w:t>2001</w:t>
            </w:r>
          </w:p>
        </w:tc>
        <w:tc>
          <w:tcPr>
            <w:tcW w:w="1141" w:type="dxa"/>
            <w:vAlign w:val="bottom"/>
          </w:tcPr>
          <w:p w:rsidR="00000000" w:rsidRDefault="00000000">
            <w:pPr>
              <w:spacing w:before="60" w:after="60"/>
              <w:jc w:val="center"/>
              <w:rPr>
                <w:sz w:val="20"/>
              </w:rPr>
            </w:pPr>
            <w:r>
              <w:rPr>
                <w:sz w:val="20"/>
              </w:rPr>
              <w:t>2002</w:t>
            </w:r>
          </w:p>
        </w:tc>
        <w:tc>
          <w:tcPr>
            <w:tcW w:w="1142" w:type="dxa"/>
            <w:vAlign w:val="bottom"/>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TOTAL</w:t>
            </w:r>
          </w:p>
        </w:tc>
        <w:tc>
          <w:tcPr>
            <w:tcW w:w="1141" w:type="dxa"/>
            <w:vAlign w:val="bottom"/>
          </w:tcPr>
          <w:p w:rsidR="00000000" w:rsidRDefault="00000000">
            <w:pPr>
              <w:widowControl w:val="0"/>
              <w:tabs>
                <w:tab w:val="decimal" w:pos="532"/>
              </w:tabs>
              <w:autoSpaceDE w:val="0"/>
              <w:autoSpaceDN w:val="0"/>
              <w:adjustRightInd w:val="0"/>
              <w:spacing w:before="60" w:after="60"/>
              <w:jc w:val="right"/>
              <w:rPr>
                <w:b/>
                <w:sz w:val="20"/>
              </w:rPr>
            </w:pPr>
            <w:r>
              <w:rPr>
                <w:b/>
                <w:sz w:val="20"/>
              </w:rPr>
              <w:t>1 021,47</w:t>
            </w:r>
          </w:p>
        </w:tc>
        <w:tc>
          <w:tcPr>
            <w:tcW w:w="1141" w:type="dxa"/>
            <w:vAlign w:val="bottom"/>
          </w:tcPr>
          <w:p w:rsidR="00000000" w:rsidRDefault="00000000">
            <w:pPr>
              <w:widowControl w:val="0"/>
              <w:tabs>
                <w:tab w:val="decimal" w:pos="532"/>
              </w:tabs>
              <w:autoSpaceDE w:val="0"/>
              <w:autoSpaceDN w:val="0"/>
              <w:adjustRightInd w:val="0"/>
              <w:spacing w:before="60" w:after="60"/>
              <w:jc w:val="right"/>
              <w:rPr>
                <w:b/>
                <w:sz w:val="20"/>
              </w:rPr>
            </w:pPr>
            <w:r>
              <w:rPr>
                <w:b/>
                <w:sz w:val="20"/>
              </w:rPr>
              <w:t>1 052,56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b/>
                <w:sz w:val="20"/>
              </w:rPr>
            </w:pPr>
            <w:r>
              <w:rPr>
                <w:b/>
                <w:sz w:val="20"/>
              </w:rPr>
              <w:t>932,86</w:t>
            </w:r>
          </w:p>
        </w:tc>
        <w:tc>
          <w:tcPr>
            <w:tcW w:w="1141" w:type="dxa"/>
            <w:vAlign w:val="bottom"/>
          </w:tcPr>
          <w:p w:rsidR="00000000" w:rsidRDefault="00000000">
            <w:pPr>
              <w:widowControl w:val="0"/>
              <w:tabs>
                <w:tab w:val="decimal" w:pos="516"/>
              </w:tabs>
              <w:autoSpaceDE w:val="0"/>
              <w:autoSpaceDN w:val="0"/>
              <w:adjustRightInd w:val="0"/>
              <w:spacing w:before="60" w:after="60"/>
              <w:jc w:val="right"/>
              <w:rPr>
                <w:b/>
                <w:sz w:val="20"/>
              </w:rPr>
            </w:pPr>
            <w:r>
              <w:rPr>
                <w:b/>
                <w:sz w:val="20"/>
              </w:rPr>
              <w:t>1 091,50</w:t>
            </w:r>
          </w:p>
        </w:tc>
        <w:tc>
          <w:tcPr>
            <w:tcW w:w="1142" w:type="dxa"/>
            <w:vAlign w:val="bottom"/>
          </w:tcPr>
          <w:p w:rsidR="00000000" w:rsidRDefault="00000000">
            <w:pPr>
              <w:widowControl w:val="0"/>
              <w:tabs>
                <w:tab w:val="decimal" w:pos="529"/>
              </w:tabs>
              <w:autoSpaceDE w:val="0"/>
              <w:autoSpaceDN w:val="0"/>
              <w:adjustRightInd w:val="0"/>
              <w:spacing w:before="60" w:after="60"/>
              <w:jc w:val="right"/>
              <w:rPr>
                <w:b/>
                <w:sz w:val="20"/>
              </w:rPr>
            </w:pPr>
            <w:r>
              <w:rPr>
                <w:b/>
                <w:sz w:val="20"/>
              </w:rPr>
              <w:t>913,18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441,39</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576,92</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706,57</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766,13</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437,14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931,72</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1 089,73</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545,96</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1 830,52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2 669,98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4 163,94</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1 795,19</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1 708,18</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1 228,25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736,69</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802,60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709,96</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778,02</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849,08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w:t>
            </w:r>
            <w:r>
              <w:rPr>
                <w:sz w:val="20"/>
              </w:rPr>
              <w:br/>
              <w:t>de gaz et d’eau</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2 086,08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2 259,55</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1 710,95</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3 636,44</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1 918,17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1 281,25</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1 158,73</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958,24</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1 024,42</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821,41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817,02</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694,28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593,97</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915,50</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651,74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933,43</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803,20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651,90</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710,48</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519,93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Transport, stockage, communications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1 396,08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1 443,49</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1 276,89</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1 324,70</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1 163,36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2 430,26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3 073,29</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5 460,83</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4 128,93</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3 057,45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2 207,00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2 088,66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1 623,62</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1 988,20</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1 746,33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1 781,51</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1 870,39</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2 396,06</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2 488,43</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2 060,50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1 118,63</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1 129,64</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1 219,46</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1 600,68</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1 825,36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1 325,03</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1 540,31</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1 184,64</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1 582,52</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2 006,97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communautaires</w:t>
            </w:r>
            <w:r>
              <w:rPr>
                <w:sz w:val="20"/>
              </w:rPr>
              <w:br/>
              <w:t>et services à la personne</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643,46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719,16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810,99</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1 033,28</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774,53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465,16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534,50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553,07</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661,64</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431,16</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758,33</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3 434,39</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1 053,23</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1 328,01</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6 028,46</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HOMMES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b/>
                <w:sz w:val="20"/>
              </w:rPr>
            </w:pPr>
            <w:r>
              <w:rPr>
                <w:b/>
                <w:sz w:val="20"/>
              </w:rPr>
              <w:t>1 250,54</w:t>
            </w:r>
          </w:p>
        </w:tc>
        <w:tc>
          <w:tcPr>
            <w:tcW w:w="1141" w:type="dxa"/>
            <w:vAlign w:val="bottom"/>
          </w:tcPr>
          <w:p w:rsidR="00000000" w:rsidRDefault="00000000">
            <w:pPr>
              <w:widowControl w:val="0"/>
              <w:tabs>
                <w:tab w:val="decimal" w:pos="532"/>
              </w:tabs>
              <w:autoSpaceDE w:val="0"/>
              <w:autoSpaceDN w:val="0"/>
              <w:adjustRightInd w:val="0"/>
              <w:spacing w:before="60" w:after="60"/>
              <w:jc w:val="right"/>
              <w:rPr>
                <w:b/>
                <w:sz w:val="20"/>
              </w:rPr>
            </w:pPr>
            <w:r>
              <w:rPr>
                <w:b/>
                <w:sz w:val="20"/>
              </w:rPr>
              <w:t>1 277,41</w:t>
            </w:r>
          </w:p>
        </w:tc>
        <w:tc>
          <w:tcPr>
            <w:tcW w:w="1141" w:type="dxa"/>
            <w:vAlign w:val="bottom"/>
          </w:tcPr>
          <w:p w:rsidR="00000000" w:rsidRDefault="00000000">
            <w:pPr>
              <w:widowControl w:val="0"/>
              <w:tabs>
                <w:tab w:val="decimal" w:pos="532"/>
              </w:tabs>
              <w:autoSpaceDE w:val="0"/>
              <w:autoSpaceDN w:val="0"/>
              <w:adjustRightInd w:val="0"/>
              <w:spacing w:before="60" w:after="60"/>
              <w:jc w:val="right"/>
              <w:rPr>
                <w:b/>
                <w:sz w:val="20"/>
              </w:rPr>
            </w:pPr>
            <w:r>
              <w:rPr>
                <w:b/>
                <w:sz w:val="20"/>
              </w:rPr>
              <w:t>1 172,22</w:t>
            </w:r>
          </w:p>
        </w:tc>
        <w:tc>
          <w:tcPr>
            <w:tcW w:w="1141" w:type="dxa"/>
            <w:vAlign w:val="bottom"/>
          </w:tcPr>
          <w:p w:rsidR="00000000" w:rsidRDefault="00000000">
            <w:pPr>
              <w:widowControl w:val="0"/>
              <w:tabs>
                <w:tab w:val="decimal" w:pos="516"/>
              </w:tabs>
              <w:autoSpaceDE w:val="0"/>
              <w:autoSpaceDN w:val="0"/>
              <w:adjustRightInd w:val="0"/>
              <w:spacing w:before="60" w:after="60"/>
              <w:jc w:val="right"/>
              <w:rPr>
                <w:b/>
                <w:sz w:val="20"/>
              </w:rPr>
            </w:pPr>
            <w:r>
              <w:rPr>
                <w:b/>
                <w:sz w:val="20"/>
              </w:rPr>
              <w:t>1 351,44</w:t>
            </w:r>
          </w:p>
        </w:tc>
        <w:tc>
          <w:tcPr>
            <w:tcW w:w="1142" w:type="dxa"/>
            <w:vAlign w:val="bottom"/>
          </w:tcPr>
          <w:p w:rsidR="00000000" w:rsidRDefault="00000000">
            <w:pPr>
              <w:widowControl w:val="0"/>
              <w:tabs>
                <w:tab w:val="decimal" w:pos="529"/>
              </w:tabs>
              <w:autoSpaceDE w:val="0"/>
              <w:autoSpaceDN w:val="0"/>
              <w:adjustRightInd w:val="0"/>
              <w:spacing w:before="60" w:after="60"/>
              <w:jc w:val="right"/>
              <w:rPr>
                <w:b/>
                <w:sz w:val="20"/>
              </w:rPr>
            </w:pPr>
            <w:r>
              <w:rPr>
                <w:b/>
                <w:sz w:val="20"/>
              </w:rPr>
              <w:t>1 086,06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578,46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712,97</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888,25</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964,87</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613,21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931,72</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1 397,03</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545,96</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1 742,13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2 782,77</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4 205,89</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1 841,92</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1 372,64</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1 155,90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955,64</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967,00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919,10</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937,19</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985,79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 de gaz et d’eau</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2 073,34</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2 340,38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1 783,98</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3 759,70</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1 840,47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1 285,80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1 033,96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924,38</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1 036,50</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852,27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1 093,34</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891,98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777,59</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1 302,74</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879,48</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Hôtellerie et restauration</w:t>
            </w:r>
          </w:p>
        </w:tc>
        <w:tc>
          <w:tcPr>
            <w:tcW w:w="1141" w:type="dxa"/>
            <w:tcBorders>
              <w:bottom w:val="single" w:sz="4" w:space="0" w:color="auto"/>
            </w:tcBorders>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1 497,57</w:t>
            </w:r>
          </w:p>
        </w:tc>
        <w:tc>
          <w:tcPr>
            <w:tcW w:w="1141" w:type="dxa"/>
            <w:tcBorders>
              <w:bottom w:val="single" w:sz="4" w:space="0" w:color="auto"/>
            </w:tcBorders>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1 212,99</w:t>
            </w:r>
          </w:p>
        </w:tc>
        <w:tc>
          <w:tcPr>
            <w:tcW w:w="1141" w:type="dxa"/>
            <w:tcBorders>
              <w:bottom w:val="single" w:sz="4" w:space="0" w:color="auto"/>
            </w:tcBorders>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1 011,83</w:t>
            </w:r>
          </w:p>
        </w:tc>
        <w:tc>
          <w:tcPr>
            <w:tcW w:w="1141" w:type="dxa"/>
            <w:tcBorders>
              <w:bottom w:val="single" w:sz="4" w:space="0" w:color="auto"/>
            </w:tcBorders>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801,64</w:t>
            </w:r>
          </w:p>
        </w:tc>
        <w:tc>
          <w:tcPr>
            <w:tcW w:w="1142" w:type="dxa"/>
            <w:tcBorders>
              <w:bottom w:val="single" w:sz="4" w:space="0" w:color="auto"/>
            </w:tcBorders>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569,67</w:t>
            </w:r>
          </w:p>
        </w:tc>
      </w:tr>
      <w:tr w:rsidR="00000000">
        <w:tblPrEx>
          <w:tblCellMar>
            <w:top w:w="0" w:type="dxa"/>
            <w:bottom w:w="0" w:type="dxa"/>
          </w:tblCellMar>
        </w:tblPrEx>
        <w:tc>
          <w:tcPr>
            <w:tcW w:w="3790" w:type="dxa"/>
            <w:tcBorders>
              <w:top w:val="single" w:sz="4" w:space="0" w:color="auto"/>
              <w:bottom w:val="nil"/>
            </w:tcBorders>
            <w:vAlign w:val="bottom"/>
          </w:tcPr>
          <w:p w:rsidR="00000000" w:rsidRDefault="00000000">
            <w:pPr>
              <w:pageBreakBefore/>
              <w:spacing w:before="60" w:after="60"/>
              <w:ind w:left="284"/>
              <w:rPr>
                <w:sz w:val="20"/>
              </w:rPr>
            </w:pPr>
            <w:r>
              <w:rPr>
                <w:sz w:val="20"/>
              </w:rPr>
              <w:t>Transport, stockage, communications</w:t>
            </w:r>
          </w:p>
        </w:tc>
        <w:tc>
          <w:tcPr>
            <w:tcW w:w="1141" w:type="dxa"/>
            <w:tcBorders>
              <w:top w:val="single" w:sz="4" w:space="0" w:color="auto"/>
            </w:tcBorders>
            <w:vAlign w:val="bottom"/>
          </w:tcPr>
          <w:p w:rsidR="00000000" w:rsidRDefault="00000000">
            <w:pPr>
              <w:pageBreakBefore/>
              <w:widowControl w:val="0"/>
              <w:tabs>
                <w:tab w:val="decimal" w:pos="532"/>
              </w:tabs>
              <w:autoSpaceDE w:val="0"/>
              <w:autoSpaceDN w:val="0"/>
              <w:adjustRightInd w:val="0"/>
              <w:spacing w:before="60" w:after="60"/>
              <w:jc w:val="right"/>
              <w:rPr>
                <w:sz w:val="20"/>
              </w:rPr>
            </w:pPr>
            <w:r>
              <w:rPr>
                <w:sz w:val="20"/>
              </w:rPr>
              <w:t>1 303,16</w:t>
            </w:r>
          </w:p>
        </w:tc>
        <w:tc>
          <w:tcPr>
            <w:tcW w:w="1141" w:type="dxa"/>
            <w:tcBorders>
              <w:top w:val="single" w:sz="4" w:space="0" w:color="auto"/>
            </w:tcBorders>
            <w:vAlign w:val="bottom"/>
          </w:tcPr>
          <w:p w:rsidR="00000000" w:rsidRDefault="00000000">
            <w:pPr>
              <w:pageBreakBefore/>
              <w:widowControl w:val="0"/>
              <w:tabs>
                <w:tab w:val="decimal" w:pos="532"/>
              </w:tabs>
              <w:autoSpaceDE w:val="0"/>
              <w:autoSpaceDN w:val="0"/>
              <w:adjustRightInd w:val="0"/>
              <w:spacing w:before="60" w:after="60"/>
              <w:jc w:val="right"/>
              <w:rPr>
                <w:sz w:val="20"/>
              </w:rPr>
            </w:pPr>
            <w:r>
              <w:rPr>
                <w:sz w:val="20"/>
              </w:rPr>
              <w:t>1 368,24</w:t>
            </w:r>
          </w:p>
        </w:tc>
        <w:tc>
          <w:tcPr>
            <w:tcW w:w="1141" w:type="dxa"/>
            <w:tcBorders>
              <w:top w:val="single" w:sz="4" w:space="0" w:color="auto"/>
            </w:tcBorders>
            <w:vAlign w:val="bottom"/>
          </w:tcPr>
          <w:p w:rsidR="00000000" w:rsidRDefault="00000000">
            <w:pPr>
              <w:pageBreakBefore/>
              <w:widowControl w:val="0"/>
              <w:tabs>
                <w:tab w:val="decimal" w:pos="532"/>
              </w:tabs>
              <w:autoSpaceDE w:val="0"/>
              <w:autoSpaceDN w:val="0"/>
              <w:adjustRightInd w:val="0"/>
              <w:spacing w:before="60" w:after="60"/>
              <w:jc w:val="right"/>
              <w:rPr>
                <w:sz w:val="20"/>
              </w:rPr>
            </w:pPr>
            <w:r>
              <w:rPr>
                <w:sz w:val="20"/>
              </w:rPr>
              <w:t>1 223,10</w:t>
            </w:r>
          </w:p>
        </w:tc>
        <w:tc>
          <w:tcPr>
            <w:tcW w:w="1141" w:type="dxa"/>
            <w:tcBorders>
              <w:top w:val="single" w:sz="4" w:space="0" w:color="auto"/>
            </w:tcBorders>
            <w:vAlign w:val="bottom"/>
          </w:tcPr>
          <w:p w:rsidR="00000000" w:rsidRDefault="00000000">
            <w:pPr>
              <w:pageBreakBefore/>
              <w:widowControl w:val="0"/>
              <w:tabs>
                <w:tab w:val="decimal" w:pos="516"/>
              </w:tabs>
              <w:autoSpaceDE w:val="0"/>
              <w:autoSpaceDN w:val="0"/>
              <w:adjustRightInd w:val="0"/>
              <w:spacing w:before="60" w:after="60"/>
              <w:jc w:val="right"/>
              <w:rPr>
                <w:sz w:val="20"/>
              </w:rPr>
            </w:pPr>
            <w:r>
              <w:rPr>
                <w:sz w:val="20"/>
              </w:rPr>
              <w:t>1 312,71</w:t>
            </w:r>
          </w:p>
        </w:tc>
        <w:tc>
          <w:tcPr>
            <w:tcW w:w="1142" w:type="dxa"/>
            <w:tcBorders>
              <w:top w:val="single" w:sz="4" w:space="0" w:color="auto"/>
            </w:tcBorders>
            <w:vAlign w:val="bottom"/>
          </w:tcPr>
          <w:p w:rsidR="00000000" w:rsidRDefault="00000000">
            <w:pPr>
              <w:pageBreakBefore/>
              <w:widowControl w:val="0"/>
              <w:tabs>
                <w:tab w:val="decimal" w:pos="529"/>
              </w:tabs>
              <w:autoSpaceDE w:val="0"/>
              <w:autoSpaceDN w:val="0"/>
              <w:adjustRightInd w:val="0"/>
              <w:spacing w:before="60" w:after="60"/>
              <w:jc w:val="right"/>
              <w:rPr>
                <w:sz w:val="20"/>
              </w:rPr>
            </w:pPr>
            <w:r>
              <w:rPr>
                <w:sz w:val="20"/>
              </w:rPr>
              <w:t>1 159,81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2 883,21</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3 208,70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5 030,17</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6 056,45</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2 940,22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2 417,71</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2 357,08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1 748,84</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2 148,74</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1 998,86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1 678,17</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1 693,67</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2 506,10</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2 713,35</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1 780,27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1 262,79</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1 443,06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1 721,27</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1 977,64</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2 173,56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1 781,48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1 543,91</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1 303,40</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1 954,15</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2 146,07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849,74</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942,61</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984,26</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1 618,37</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955,55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608,41</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503,65</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575,36</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667,40</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463,29</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758,33</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1 100,00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1 053,23</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1 451,77</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6 933,33</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FEMMES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b/>
                <w:sz w:val="20"/>
              </w:rPr>
            </w:pPr>
            <w:r>
              <w:rPr>
                <w:b/>
                <w:sz w:val="20"/>
              </w:rPr>
              <w:t>729,52</w:t>
            </w:r>
          </w:p>
        </w:tc>
        <w:tc>
          <w:tcPr>
            <w:tcW w:w="1141" w:type="dxa"/>
            <w:vAlign w:val="bottom"/>
          </w:tcPr>
          <w:p w:rsidR="00000000" w:rsidRDefault="00000000">
            <w:pPr>
              <w:widowControl w:val="0"/>
              <w:tabs>
                <w:tab w:val="decimal" w:pos="532"/>
              </w:tabs>
              <w:autoSpaceDE w:val="0"/>
              <w:autoSpaceDN w:val="0"/>
              <w:adjustRightInd w:val="0"/>
              <w:spacing w:before="60" w:after="60"/>
              <w:jc w:val="right"/>
              <w:rPr>
                <w:b/>
                <w:sz w:val="20"/>
              </w:rPr>
            </w:pPr>
            <w:r>
              <w:rPr>
                <w:b/>
                <w:sz w:val="20"/>
              </w:rPr>
              <w:t>768,26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b/>
                <w:sz w:val="20"/>
              </w:rPr>
            </w:pPr>
            <w:r>
              <w:rPr>
                <w:b/>
                <w:sz w:val="20"/>
              </w:rPr>
              <w:t>652,67</w:t>
            </w:r>
          </w:p>
        </w:tc>
        <w:tc>
          <w:tcPr>
            <w:tcW w:w="1141" w:type="dxa"/>
            <w:vAlign w:val="bottom"/>
          </w:tcPr>
          <w:p w:rsidR="00000000" w:rsidRDefault="00000000">
            <w:pPr>
              <w:widowControl w:val="0"/>
              <w:tabs>
                <w:tab w:val="decimal" w:pos="516"/>
              </w:tabs>
              <w:autoSpaceDE w:val="0"/>
              <w:autoSpaceDN w:val="0"/>
              <w:adjustRightInd w:val="0"/>
              <w:spacing w:before="60" w:after="60"/>
              <w:jc w:val="right"/>
              <w:rPr>
                <w:b/>
                <w:sz w:val="20"/>
              </w:rPr>
            </w:pPr>
            <w:r>
              <w:rPr>
                <w:b/>
                <w:sz w:val="20"/>
              </w:rPr>
              <w:t>773,00</w:t>
            </w:r>
          </w:p>
        </w:tc>
        <w:tc>
          <w:tcPr>
            <w:tcW w:w="1142" w:type="dxa"/>
            <w:vAlign w:val="bottom"/>
          </w:tcPr>
          <w:p w:rsidR="00000000" w:rsidRDefault="00000000">
            <w:pPr>
              <w:widowControl w:val="0"/>
              <w:tabs>
                <w:tab w:val="decimal" w:pos="529"/>
              </w:tabs>
              <w:autoSpaceDE w:val="0"/>
              <w:autoSpaceDN w:val="0"/>
              <w:adjustRightInd w:val="0"/>
              <w:spacing w:before="60" w:after="60"/>
              <w:jc w:val="right"/>
              <w:rPr>
                <w:b/>
                <w:sz w:val="20"/>
              </w:rPr>
            </w:pPr>
            <w:r>
              <w:rPr>
                <w:b/>
                <w:sz w:val="20"/>
              </w:rPr>
              <w:t>699,11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86,11</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257,52</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480,36</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205,12</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163,25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617,30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0,00</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2 185,24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673,79</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3 924,54</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1 016,85</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5 112,94</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1 810,58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398,42</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514,91</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374,73</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520,79</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592,97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 de gaz et d’eau</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2 166,67</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1 395,98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1 514,58</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2 941,74</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2 369,30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798,29</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4 284,96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1 889,01</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787,19</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330,27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647,86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567,51</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471,93</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667,12</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504,91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721,48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673,18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525,16</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682,13</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500,17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Transport, stockage, communications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3 092,06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2 176,25</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1 670,48</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1 474,68</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1 205,90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1 945,78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2 788,62</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6 891,39</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1 520,15</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3 352,41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1 877,72</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1 315,75</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1 364,10</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1 691,75</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1 213,47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 et sécurité sociale</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2 111,48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2 406,30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1 986,79</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1 729,47</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2 954,29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967,90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898,91</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900,53</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1 290,30</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1 581,43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1 112,39</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1 537,57</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1 075,34</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1 395,19</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1 937,71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396,30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514,48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661,97</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520,36</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657,62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459,68</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535,80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552,04</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660,93</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430,08</w:t>
            </w:r>
          </w:p>
        </w:tc>
      </w:tr>
      <w:tr w:rsidR="00000000">
        <w:tblPrEx>
          <w:tblCellMar>
            <w:top w:w="0" w:type="dxa"/>
            <w:bottom w:w="0" w:type="dxa"/>
          </w:tblCellMar>
        </w:tblPrEx>
        <w:tc>
          <w:tcPr>
            <w:tcW w:w="3790" w:type="dxa"/>
            <w:tcBorders>
              <w:top w:val="nil"/>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4 656,16</w:t>
            </w:r>
          </w:p>
        </w:tc>
        <w:tc>
          <w:tcPr>
            <w:tcW w:w="1141" w:type="dxa"/>
            <w:vAlign w:val="bottom"/>
          </w:tcPr>
          <w:p w:rsidR="00000000" w:rsidRDefault="00000000">
            <w:pPr>
              <w:widowControl w:val="0"/>
              <w:tabs>
                <w:tab w:val="decimal" w:pos="532"/>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6"/>
              </w:tabs>
              <w:autoSpaceDE w:val="0"/>
              <w:autoSpaceDN w:val="0"/>
              <w:adjustRightInd w:val="0"/>
              <w:spacing w:before="60" w:after="60"/>
              <w:jc w:val="right"/>
              <w:rPr>
                <w:sz w:val="20"/>
              </w:rPr>
            </w:pPr>
            <w:r>
              <w:rPr>
                <w:sz w:val="20"/>
              </w:rPr>
              <w:t>1 213,58</w:t>
            </w:r>
          </w:p>
        </w:tc>
        <w:tc>
          <w:tcPr>
            <w:tcW w:w="1142" w:type="dxa"/>
            <w:vAlign w:val="bottom"/>
          </w:tcPr>
          <w:p w:rsidR="00000000" w:rsidRDefault="00000000">
            <w:pPr>
              <w:widowControl w:val="0"/>
              <w:tabs>
                <w:tab w:val="decimal" w:pos="529"/>
              </w:tabs>
              <w:autoSpaceDE w:val="0"/>
              <w:autoSpaceDN w:val="0"/>
              <w:adjustRightInd w:val="0"/>
              <w:spacing w:before="60" w:after="60"/>
              <w:jc w:val="right"/>
              <w:rPr>
                <w:sz w:val="20"/>
              </w:rPr>
            </w:pPr>
            <w:r>
              <w:rPr>
                <w:sz w:val="20"/>
              </w:rPr>
              <w:t>2 400,00</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rPr>
          <w:sz w:val="20"/>
        </w:rPr>
      </w:pPr>
      <w:r>
        <w:rPr>
          <w:b/>
          <w:bCs/>
          <w:i/>
          <w:iCs/>
          <w:sz w:val="20"/>
          <w:vertAlign w:val="superscript"/>
        </w:rPr>
        <w:t>p</w:t>
      </w:r>
      <w:r>
        <w:rPr>
          <w:sz w:val="20"/>
        </w:rPr>
        <w:t xml:space="preserve"> Chiffres provisoires.</w:t>
      </w:r>
    </w:p>
    <w:p w:rsidR="00000000" w:rsidRDefault="00000000">
      <w:pPr>
        <w:spacing w:after="180"/>
        <w:jc w:val="center"/>
        <w:rPr>
          <w:b/>
          <w:bCs/>
        </w:rPr>
      </w:pPr>
      <w:r>
        <w:rPr>
          <w:sz w:val="20"/>
        </w:rPr>
        <w:br w:type="page"/>
      </w:r>
      <w:r>
        <w:rPr>
          <w:b/>
          <w:bCs/>
        </w:rPr>
        <w:t>Tableau 4.2</w:t>
      </w:r>
    </w:p>
    <w:p w:rsidR="00000000" w:rsidRDefault="00000000">
      <w:pPr>
        <w:spacing w:after="180"/>
        <w:jc w:val="center"/>
      </w:pPr>
      <w:r>
        <w:rPr>
          <w:b/>
          <w:bCs/>
        </w:rPr>
        <w:t>Bolivie − Zones rurales: Revenu mensuel moyen, dans l’activité principale,</w:t>
      </w:r>
      <w:r>
        <w:rPr>
          <w:b/>
          <w:bCs/>
        </w:rPr>
        <w:br/>
        <w:t>par année, sexe et branche d’activité, 1999</w:t>
      </w:r>
      <w:r>
        <w:rPr>
          <w:b/>
          <w:bCs/>
        </w:rPr>
        <w:noBreakHyphen/>
        <w:t>2003</w:t>
      </w:r>
      <w:r>
        <w:rPr>
          <w:b/>
          <w:bCs/>
          <w:i/>
          <w:iCs/>
          <w:vertAlign w:val="superscript"/>
        </w:rPr>
        <w:t>p</w:t>
      </w:r>
      <w:r>
        <w:rPr>
          <w:b/>
          <w:bCs/>
        </w:rPr>
        <w:br/>
      </w:r>
      <w:r>
        <w:t>(</w:t>
      </w:r>
      <w:r>
        <w:rPr>
          <w:i/>
          <w:iCs/>
        </w:rPr>
        <w:t>En bolivianos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41"/>
        <w:gridCol w:w="1141"/>
        <w:gridCol w:w="1141"/>
        <w:gridCol w:w="1141"/>
        <w:gridCol w:w="1142"/>
      </w:tblGrid>
      <w:tr w:rsidR="00000000">
        <w:tblPrEx>
          <w:tblCellMar>
            <w:top w:w="0" w:type="dxa"/>
            <w:bottom w:w="0" w:type="dxa"/>
          </w:tblCellMar>
        </w:tblPrEx>
        <w:trPr>
          <w:tblHeader/>
        </w:trPr>
        <w:tc>
          <w:tcPr>
            <w:tcW w:w="3790" w:type="dxa"/>
            <w:tcBorders>
              <w:bottom w:val="single" w:sz="4" w:space="0" w:color="auto"/>
            </w:tcBorders>
            <w:vAlign w:val="center"/>
          </w:tcPr>
          <w:p w:rsidR="00000000" w:rsidRDefault="00000000">
            <w:pPr>
              <w:spacing w:before="60" w:after="60"/>
              <w:jc w:val="center"/>
              <w:rPr>
                <w:sz w:val="20"/>
              </w:rPr>
            </w:pPr>
            <w:r>
              <w:rPr>
                <w:sz w:val="20"/>
              </w:rPr>
              <w:t>Branche d’activité</w:t>
            </w:r>
          </w:p>
        </w:tc>
        <w:tc>
          <w:tcPr>
            <w:tcW w:w="1141" w:type="dxa"/>
            <w:vAlign w:val="center"/>
          </w:tcPr>
          <w:p w:rsidR="00000000" w:rsidRDefault="00000000">
            <w:pPr>
              <w:spacing w:before="60" w:after="60"/>
              <w:jc w:val="center"/>
              <w:rPr>
                <w:sz w:val="20"/>
              </w:rPr>
            </w:pPr>
            <w:r>
              <w:rPr>
                <w:sz w:val="20"/>
              </w:rPr>
              <w:t>1999</w:t>
            </w:r>
          </w:p>
        </w:tc>
        <w:tc>
          <w:tcPr>
            <w:tcW w:w="1141" w:type="dxa"/>
            <w:vAlign w:val="center"/>
          </w:tcPr>
          <w:p w:rsidR="00000000" w:rsidRDefault="00000000">
            <w:pPr>
              <w:spacing w:before="60" w:after="60"/>
              <w:jc w:val="center"/>
              <w:rPr>
                <w:sz w:val="20"/>
              </w:rPr>
            </w:pPr>
            <w:r>
              <w:rPr>
                <w:sz w:val="20"/>
              </w:rPr>
              <w:t>2000</w:t>
            </w:r>
          </w:p>
        </w:tc>
        <w:tc>
          <w:tcPr>
            <w:tcW w:w="1141" w:type="dxa"/>
            <w:vAlign w:val="center"/>
          </w:tcPr>
          <w:p w:rsidR="00000000" w:rsidRDefault="00000000">
            <w:pPr>
              <w:spacing w:before="60" w:after="60"/>
              <w:jc w:val="center"/>
              <w:rPr>
                <w:sz w:val="20"/>
              </w:rPr>
            </w:pPr>
            <w:r>
              <w:rPr>
                <w:sz w:val="20"/>
              </w:rPr>
              <w:t>2001</w:t>
            </w:r>
          </w:p>
        </w:tc>
        <w:tc>
          <w:tcPr>
            <w:tcW w:w="1141" w:type="dxa"/>
            <w:vAlign w:val="center"/>
          </w:tcPr>
          <w:p w:rsidR="00000000" w:rsidRDefault="00000000">
            <w:pPr>
              <w:spacing w:before="60" w:after="60"/>
              <w:jc w:val="center"/>
              <w:rPr>
                <w:sz w:val="20"/>
              </w:rPr>
            </w:pPr>
            <w:r>
              <w:rPr>
                <w:sz w:val="20"/>
              </w:rPr>
              <w:t>2002</w:t>
            </w:r>
          </w:p>
        </w:tc>
        <w:tc>
          <w:tcPr>
            <w:tcW w:w="1142" w:type="dxa"/>
            <w:vAlign w:val="center"/>
          </w:tcPr>
          <w:p w:rsidR="00000000" w:rsidRDefault="00000000">
            <w:pPr>
              <w:spacing w:before="60" w:after="60"/>
              <w:jc w:val="center"/>
              <w:rPr>
                <w:sz w:val="20"/>
              </w:rPr>
            </w:pPr>
            <w:r>
              <w:rPr>
                <w:sz w:val="20"/>
              </w:rPr>
              <w:t>2003</w:t>
            </w:r>
            <w:r>
              <w:rPr>
                <w:b/>
                <w:bCs/>
                <w:i/>
                <w:iCs/>
                <w:sz w:val="20"/>
                <w:vertAlign w:val="superscript"/>
              </w:rPr>
              <w:t>p</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TOTAL</w:t>
            </w:r>
          </w:p>
        </w:tc>
        <w:tc>
          <w:tcPr>
            <w:tcW w:w="1141" w:type="dxa"/>
            <w:vAlign w:val="bottom"/>
          </w:tcPr>
          <w:p w:rsidR="00000000" w:rsidRDefault="00000000">
            <w:pPr>
              <w:widowControl w:val="0"/>
              <w:tabs>
                <w:tab w:val="decimal" w:pos="544"/>
              </w:tabs>
              <w:autoSpaceDE w:val="0"/>
              <w:autoSpaceDN w:val="0"/>
              <w:adjustRightInd w:val="0"/>
              <w:spacing w:before="60" w:after="60"/>
              <w:jc w:val="right"/>
              <w:rPr>
                <w:b/>
                <w:sz w:val="20"/>
              </w:rPr>
            </w:pPr>
            <w:r>
              <w:rPr>
                <w:b/>
                <w:sz w:val="20"/>
              </w:rPr>
              <w:t>198,06</w:t>
            </w:r>
          </w:p>
        </w:tc>
        <w:tc>
          <w:tcPr>
            <w:tcW w:w="1141" w:type="dxa"/>
            <w:vAlign w:val="bottom"/>
          </w:tcPr>
          <w:p w:rsidR="00000000" w:rsidRDefault="00000000">
            <w:pPr>
              <w:widowControl w:val="0"/>
              <w:tabs>
                <w:tab w:val="decimal" w:pos="515"/>
              </w:tabs>
              <w:autoSpaceDE w:val="0"/>
              <w:autoSpaceDN w:val="0"/>
              <w:adjustRightInd w:val="0"/>
              <w:spacing w:before="60" w:after="60"/>
              <w:jc w:val="right"/>
              <w:rPr>
                <w:b/>
                <w:sz w:val="20"/>
              </w:rPr>
            </w:pPr>
            <w:r>
              <w:rPr>
                <w:b/>
                <w:sz w:val="20"/>
              </w:rPr>
              <w:t>189,66</w:t>
            </w:r>
          </w:p>
        </w:tc>
        <w:tc>
          <w:tcPr>
            <w:tcW w:w="1141" w:type="dxa"/>
            <w:vAlign w:val="bottom"/>
          </w:tcPr>
          <w:p w:rsidR="00000000" w:rsidRDefault="00000000">
            <w:pPr>
              <w:widowControl w:val="0"/>
              <w:tabs>
                <w:tab w:val="decimal" w:pos="546"/>
              </w:tabs>
              <w:autoSpaceDE w:val="0"/>
              <w:autoSpaceDN w:val="0"/>
              <w:adjustRightInd w:val="0"/>
              <w:spacing w:before="60" w:after="60"/>
              <w:jc w:val="right"/>
              <w:rPr>
                <w:b/>
                <w:sz w:val="20"/>
              </w:rPr>
            </w:pPr>
            <w:r>
              <w:rPr>
                <w:b/>
                <w:sz w:val="20"/>
              </w:rPr>
              <w:t>193,28</w:t>
            </w:r>
          </w:p>
        </w:tc>
        <w:tc>
          <w:tcPr>
            <w:tcW w:w="1141" w:type="dxa"/>
            <w:vAlign w:val="bottom"/>
          </w:tcPr>
          <w:p w:rsidR="00000000" w:rsidRDefault="00000000">
            <w:pPr>
              <w:widowControl w:val="0"/>
              <w:tabs>
                <w:tab w:val="decimal" w:pos="518"/>
              </w:tabs>
              <w:autoSpaceDE w:val="0"/>
              <w:autoSpaceDN w:val="0"/>
              <w:adjustRightInd w:val="0"/>
              <w:spacing w:before="60" w:after="60"/>
              <w:jc w:val="right"/>
              <w:rPr>
                <w:b/>
                <w:sz w:val="20"/>
              </w:rPr>
            </w:pPr>
            <w:r>
              <w:rPr>
                <w:b/>
                <w:sz w:val="20"/>
              </w:rPr>
              <w:t>240,91</w:t>
            </w:r>
          </w:p>
        </w:tc>
        <w:tc>
          <w:tcPr>
            <w:tcW w:w="1142" w:type="dxa"/>
            <w:vAlign w:val="bottom"/>
          </w:tcPr>
          <w:p w:rsidR="00000000" w:rsidRDefault="00000000">
            <w:pPr>
              <w:widowControl w:val="0"/>
              <w:tabs>
                <w:tab w:val="decimal" w:pos="531"/>
              </w:tabs>
              <w:autoSpaceDE w:val="0"/>
              <w:autoSpaceDN w:val="0"/>
              <w:adjustRightInd w:val="0"/>
              <w:spacing w:before="60" w:after="60"/>
              <w:jc w:val="right"/>
              <w:rPr>
                <w:b/>
                <w:sz w:val="20"/>
              </w:rPr>
            </w:pPr>
            <w:r>
              <w:rPr>
                <w:b/>
                <w:sz w:val="20"/>
              </w:rPr>
              <w:t>269,88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110,54</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116,95</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118,96</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180,32</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185,51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302,95</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445,26</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275,10</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213,37</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1 160,62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631,35</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730,44</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742,38</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868,18</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3 095,97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391,57</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374,67</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394,68</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448,59</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296,34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 de gaz et d’eau</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1 167,59</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874,34</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856,18</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595,54</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694,84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620,07</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643,56</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706,58</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739,31</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604,38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772,17</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441,63</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455,65</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403,71</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316,09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550,56</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500,14</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542,15</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345,54</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243,82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Transport, stockage, communications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1 489,38</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1 123,59</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993,06</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1 259,84</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699,01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1 359,00</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1 905,41</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547,26</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820,78</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589,76</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4 200,00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638,43</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1 101,13</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1 262,77</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820,61</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1 006,15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860,44</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774,38</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847,04</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1 265,77</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1 230,57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1 165,70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1 013,78</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1 329,48</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775,01</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827,80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communautaires</w:t>
            </w:r>
            <w:r>
              <w:rPr>
                <w:sz w:val="20"/>
              </w:rPr>
              <w:br/>
              <w:t>et services à la personne</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548,78</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330,08</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434,04</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650,08</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451,25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364,75</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402,58</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388,33</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375,66</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357,30</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0,00</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0,00</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HOMMES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b/>
                <w:sz w:val="20"/>
              </w:rPr>
            </w:pPr>
            <w:r>
              <w:rPr>
                <w:b/>
                <w:sz w:val="20"/>
              </w:rPr>
              <w:t>271,59</w:t>
            </w:r>
          </w:p>
        </w:tc>
        <w:tc>
          <w:tcPr>
            <w:tcW w:w="1141" w:type="dxa"/>
            <w:vAlign w:val="bottom"/>
          </w:tcPr>
          <w:p w:rsidR="00000000" w:rsidRDefault="00000000">
            <w:pPr>
              <w:widowControl w:val="0"/>
              <w:tabs>
                <w:tab w:val="decimal" w:pos="515"/>
              </w:tabs>
              <w:autoSpaceDE w:val="0"/>
              <w:autoSpaceDN w:val="0"/>
              <w:adjustRightInd w:val="0"/>
              <w:spacing w:before="60" w:after="60"/>
              <w:jc w:val="right"/>
              <w:rPr>
                <w:b/>
                <w:sz w:val="20"/>
              </w:rPr>
            </w:pPr>
            <w:r>
              <w:rPr>
                <w:b/>
                <w:sz w:val="20"/>
              </w:rPr>
              <w:t>267,58</w:t>
            </w:r>
          </w:p>
        </w:tc>
        <w:tc>
          <w:tcPr>
            <w:tcW w:w="1141" w:type="dxa"/>
            <w:vAlign w:val="bottom"/>
          </w:tcPr>
          <w:p w:rsidR="00000000" w:rsidRDefault="00000000">
            <w:pPr>
              <w:widowControl w:val="0"/>
              <w:tabs>
                <w:tab w:val="decimal" w:pos="546"/>
              </w:tabs>
              <w:autoSpaceDE w:val="0"/>
              <w:autoSpaceDN w:val="0"/>
              <w:adjustRightInd w:val="0"/>
              <w:spacing w:before="60" w:after="60"/>
              <w:jc w:val="right"/>
              <w:rPr>
                <w:b/>
                <w:sz w:val="20"/>
              </w:rPr>
            </w:pPr>
            <w:r>
              <w:rPr>
                <w:b/>
                <w:sz w:val="20"/>
              </w:rPr>
              <w:t>272,45</w:t>
            </w:r>
          </w:p>
        </w:tc>
        <w:tc>
          <w:tcPr>
            <w:tcW w:w="1141" w:type="dxa"/>
            <w:vAlign w:val="bottom"/>
          </w:tcPr>
          <w:p w:rsidR="00000000" w:rsidRDefault="00000000">
            <w:pPr>
              <w:widowControl w:val="0"/>
              <w:tabs>
                <w:tab w:val="decimal" w:pos="518"/>
              </w:tabs>
              <w:autoSpaceDE w:val="0"/>
              <w:autoSpaceDN w:val="0"/>
              <w:adjustRightInd w:val="0"/>
              <w:spacing w:before="60" w:after="60"/>
              <w:jc w:val="right"/>
              <w:rPr>
                <w:b/>
                <w:sz w:val="20"/>
              </w:rPr>
            </w:pPr>
            <w:r>
              <w:rPr>
                <w:b/>
                <w:sz w:val="20"/>
              </w:rPr>
              <w:t>345,83</w:t>
            </w:r>
          </w:p>
        </w:tc>
        <w:tc>
          <w:tcPr>
            <w:tcW w:w="1142" w:type="dxa"/>
            <w:vAlign w:val="bottom"/>
          </w:tcPr>
          <w:p w:rsidR="00000000" w:rsidRDefault="00000000">
            <w:pPr>
              <w:widowControl w:val="0"/>
              <w:tabs>
                <w:tab w:val="decimal" w:pos="531"/>
              </w:tabs>
              <w:autoSpaceDE w:val="0"/>
              <w:autoSpaceDN w:val="0"/>
              <w:adjustRightInd w:val="0"/>
              <w:spacing w:before="60" w:after="60"/>
              <w:jc w:val="right"/>
              <w:rPr>
                <w:b/>
                <w:sz w:val="20"/>
              </w:rPr>
            </w:pPr>
            <w:r>
              <w:rPr>
                <w:b/>
                <w:sz w:val="20"/>
              </w:rPr>
              <w:t>394,02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175,73</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173,84</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184,16</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274,50</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278,55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345,65</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474,33</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382,95</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333,11</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1 396,37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781,06</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744,04</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751,42</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931,38</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3 095,97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622,00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641,81</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685,09</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637,09</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863,12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 de gaz et d’eau</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1 167,59</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1 164,58</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856,18</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740,90</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694,84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614,94</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643,56</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714,77</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758,72</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616,23</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889,30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1 179,63</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993,91</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533,13</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425,74</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Hôtellerie et restauration</w:t>
            </w:r>
          </w:p>
        </w:tc>
        <w:tc>
          <w:tcPr>
            <w:tcW w:w="1141" w:type="dxa"/>
            <w:tcBorders>
              <w:bottom w:val="single" w:sz="4" w:space="0" w:color="auto"/>
            </w:tcBorders>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88,36</w:t>
            </w:r>
          </w:p>
        </w:tc>
        <w:tc>
          <w:tcPr>
            <w:tcW w:w="1141" w:type="dxa"/>
            <w:tcBorders>
              <w:bottom w:val="single" w:sz="4" w:space="0" w:color="auto"/>
            </w:tcBorders>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868,66</w:t>
            </w:r>
          </w:p>
        </w:tc>
        <w:tc>
          <w:tcPr>
            <w:tcW w:w="1141" w:type="dxa"/>
            <w:tcBorders>
              <w:bottom w:val="single" w:sz="4" w:space="0" w:color="auto"/>
            </w:tcBorders>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629,59</w:t>
            </w:r>
          </w:p>
        </w:tc>
        <w:tc>
          <w:tcPr>
            <w:tcW w:w="1141" w:type="dxa"/>
            <w:tcBorders>
              <w:bottom w:val="single" w:sz="4" w:space="0" w:color="auto"/>
            </w:tcBorders>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386,73</w:t>
            </w:r>
          </w:p>
        </w:tc>
        <w:tc>
          <w:tcPr>
            <w:tcW w:w="1142" w:type="dxa"/>
            <w:tcBorders>
              <w:bottom w:val="single" w:sz="4" w:space="0" w:color="auto"/>
            </w:tcBorders>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62,83</w:t>
            </w:r>
          </w:p>
        </w:tc>
      </w:tr>
      <w:tr w:rsidR="00000000">
        <w:tblPrEx>
          <w:tblCellMar>
            <w:top w:w="0" w:type="dxa"/>
            <w:bottom w:w="0" w:type="dxa"/>
          </w:tblCellMar>
        </w:tblPrEx>
        <w:tc>
          <w:tcPr>
            <w:tcW w:w="3790" w:type="dxa"/>
            <w:tcBorders>
              <w:top w:val="single" w:sz="4" w:space="0" w:color="auto"/>
              <w:bottom w:val="nil"/>
            </w:tcBorders>
            <w:vAlign w:val="bottom"/>
          </w:tcPr>
          <w:p w:rsidR="00000000" w:rsidRDefault="00000000">
            <w:pPr>
              <w:pageBreakBefore/>
              <w:spacing w:before="60" w:after="60"/>
              <w:ind w:left="284"/>
              <w:rPr>
                <w:sz w:val="20"/>
              </w:rPr>
            </w:pPr>
            <w:r>
              <w:rPr>
                <w:sz w:val="20"/>
              </w:rPr>
              <w:t>Transport, stockage, communications</w:t>
            </w:r>
          </w:p>
        </w:tc>
        <w:tc>
          <w:tcPr>
            <w:tcW w:w="1141" w:type="dxa"/>
            <w:tcBorders>
              <w:top w:val="single" w:sz="4" w:space="0" w:color="auto"/>
            </w:tcBorders>
            <w:vAlign w:val="bottom"/>
          </w:tcPr>
          <w:p w:rsidR="00000000" w:rsidRDefault="00000000">
            <w:pPr>
              <w:pageBreakBefore/>
              <w:widowControl w:val="0"/>
              <w:tabs>
                <w:tab w:val="decimal" w:pos="544"/>
              </w:tabs>
              <w:autoSpaceDE w:val="0"/>
              <w:autoSpaceDN w:val="0"/>
              <w:adjustRightInd w:val="0"/>
              <w:spacing w:before="60" w:after="60"/>
              <w:jc w:val="right"/>
              <w:rPr>
                <w:sz w:val="20"/>
              </w:rPr>
            </w:pPr>
            <w:r>
              <w:rPr>
                <w:sz w:val="20"/>
              </w:rPr>
              <w:t>1 594,98</w:t>
            </w:r>
          </w:p>
        </w:tc>
        <w:tc>
          <w:tcPr>
            <w:tcW w:w="1141" w:type="dxa"/>
            <w:tcBorders>
              <w:top w:val="single" w:sz="4" w:space="0" w:color="auto"/>
            </w:tcBorders>
            <w:vAlign w:val="bottom"/>
          </w:tcPr>
          <w:p w:rsidR="00000000" w:rsidRDefault="00000000">
            <w:pPr>
              <w:pageBreakBefore/>
              <w:widowControl w:val="0"/>
              <w:tabs>
                <w:tab w:val="decimal" w:pos="515"/>
              </w:tabs>
              <w:autoSpaceDE w:val="0"/>
              <w:autoSpaceDN w:val="0"/>
              <w:adjustRightInd w:val="0"/>
              <w:spacing w:before="60" w:after="60"/>
              <w:jc w:val="right"/>
              <w:rPr>
                <w:sz w:val="20"/>
              </w:rPr>
            </w:pPr>
            <w:r>
              <w:rPr>
                <w:sz w:val="20"/>
              </w:rPr>
              <w:t>1 203,19</w:t>
            </w:r>
          </w:p>
        </w:tc>
        <w:tc>
          <w:tcPr>
            <w:tcW w:w="1141" w:type="dxa"/>
            <w:tcBorders>
              <w:top w:val="single" w:sz="4" w:space="0" w:color="auto"/>
            </w:tcBorders>
            <w:vAlign w:val="bottom"/>
          </w:tcPr>
          <w:p w:rsidR="00000000" w:rsidRDefault="00000000">
            <w:pPr>
              <w:pageBreakBefore/>
              <w:widowControl w:val="0"/>
              <w:tabs>
                <w:tab w:val="decimal" w:pos="546"/>
              </w:tabs>
              <w:autoSpaceDE w:val="0"/>
              <w:autoSpaceDN w:val="0"/>
              <w:adjustRightInd w:val="0"/>
              <w:spacing w:before="60" w:after="60"/>
              <w:jc w:val="right"/>
              <w:rPr>
                <w:sz w:val="20"/>
              </w:rPr>
            </w:pPr>
            <w:r>
              <w:rPr>
                <w:sz w:val="20"/>
              </w:rPr>
              <w:t>1 010,67</w:t>
            </w:r>
          </w:p>
        </w:tc>
        <w:tc>
          <w:tcPr>
            <w:tcW w:w="1141" w:type="dxa"/>
            <w:tcBorders>
              <w:top w:val="single" w:sz="4" w:space="0" w:color="auto"/>
            </w:tcBorders>
            <w:vAlign w:val="bottom"/>
          </w:tcPr>
          <w:p w:rsidR="00000000" w:rsidRDefault="00000000">
            <w:pPr>
              <w:pageBreakBefore/>
              <w:widowControl w:val="0"/>
              <w:tabs>
                <w:tab w:val="decimal" w:pos="518"/>
              </w:tabs>
              <w:autoSpaceDE w:val="0"/>
              <w:autoSpaceDN w:val="0"/>
              <w:adjustRightInd w:val="0"/>
              <w:spacing w:before="60" w:after="60"/>
              <w:jc w:val="right"/>
              <w:rPr>
                <w:sz w:val="20"/>
              </w:rPr>
            </w:pPr>
            <w:r>
              <w:rPr>
                <w:sz w:val="20"/>
              </w:rPr>
              <w:t>1 285,55</w:t>
            </w:r>
          </w:p>
        </w:tc>
        <w:tc>
          <w:tcPr>
            <w:tcW w:w="1142" w:type="dxa"/>
            <w:tcBorders>
              <w:top w:val="single" w:sz="4" w:space="0" w:color="auto"/>
            </w:tcBorders>
            <w:vAlign w:val="bottom"/>
          </w:tcPr>
          <w:p w:rsidR="00000000" w:rsidRDefault="00000000">
            <w:pPr>
              <w:pageBreakBefore/>
              <w:widowControl w:val="0"/>
              <w:tabs>
                <w:tab w:val="decimal" w:pos="531"/>
              </w:tabs>
              <w:autoSpaceDE w:val="0"/>
              <w:autoSpaceDN w:val="0"/>
              <w:adjustRightInd w:val="0"/>
              <w:spacing w:before="60" w:after="60"/>
              <w:jc w:val="right"/>
              <w:rPr>
                <w:sz w:val="20"/>
              </w:rPr>
            </w:pPr>
            <w:r>
              <w:rPr>
                <w:sz w:val="20"/>
              </w:rPr>
              <w:t>699,01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1 359,00</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2 413,33</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547,26</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1 063,17</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589,76</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4 200,00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 et sécurité sociale</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643,58</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1 199,45</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1 346,66</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861,44</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994,35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851,27</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840,54</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908,92</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1 361,93</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1 206,00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1 567,37</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1 690,99</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1 242,97</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1 170,06</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1 031,65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700,83</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550,38</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700,76</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809,89</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1 100,00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470,14</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232,81</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513,39</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341,58</w:t>
            </w:r>
          </w:p>
        </w:tc>
      </w:tr>
      <w:tr w:rsidR="00000000">
        <w:tblPrEx>
          <w:tblCellMar>
            <w:top w:w="0" w:type="dxa"/>
            <w:bottom w:w="0" w:type="dxa"/>
          </w:tblCellMar>
        </w:tblPrEx>
        <w:tc>
          <w:tcPr>
            <w:tcW w:w="3790" w:type="dxa"/>
            <w:tcBorders>
              <w:top w:val="nil"/>
              <w:bottom w:val="single" w:sz="4" w:space="0" w:color="auto"/>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0,00</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0,00</w:t>
            </w:r>
          </w:p>
        </w:tc>
      </w:tr>
      <w:tr w:rsidR="00000000">
        <w:tblPrEx>
          <w:tblCellMar>
            <w:top w:w="0" w:type="dxa"/>
            <w:bottom w:w="0" w:type="dxa"/>
          </w:tblCellMar>
        </w:tblPrEx>
        <w:tc>
          <w:tcPr>
            <w:tcW w:w="3790" w:type="dxa"/>
            <w:tcBorders>
              <w:bottom w:val="nil"/>
            </w:tcBorders>
            <w:vAlign w:val="bottom"/>
          </w:tcPr>
          <w:p w:rsidR="00000000" w:rsidRDefault="00000000">
            <w:pPr>
              <w:spacing w:before="60" w:after="60"/>
              <w:rPr>
                <w:b/>
                <w:bCs/>
                <w:sz w:val="20"/>
              </w:rPr>
            </w:pPr>
            <w:r>
              <w:rPr>
                <w:b/>
                <w:bCs/>
                <w:sz w:val="20"/>
              </w:rPr>
              <w:t>FEMMES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b/>
                <w:sz w:val="20"/>
              </w:rPr>
            </w:pPr>
            <w:r>
              <w:rPr>
                <w:b/>
                <w:sz w:val="20"/>
              </w:rPr>
              <w:t>112,80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b/>
                <w:sz w:val="20"/>
              </w:rPr>
            </w:pPr>
            <w:r>
              <w:rPr>
                <w:b/>
                <w:sz w:val="20"/>
              </w:rPr>
              <w:t>134,34</w:t>
            </w:r>
          </w:p>
        </w:tc>
        <w:tc>
          <w:tcPr>
            <w:tcW w:w="1141" w:type="dxa"/>
            <w:vAlign w:val="bottom"/>
          </w:tcPr>
          <w:p w:rsidR="00000000" w:rsidRDefault="00000000">
            <w:pPr>
              <w:widowControl w:val="0"/>
              <w:tabs>
                <w:tab w:val="decimal" w:pos="546"/>
              </w:tabs>
              <w:autoSpaceDE w:val="0"/>
              <w:autoSpaceDN w:val="0"/>
              <w:adjustRightInd w:val="0"/>
              <w:spacing w:before="60" w:after="60"/>
              <w:jc w:val="right"/>
              <w:rPr>
                <w:b/>
                <w:sz w:val="20"/>
              </w:rPr>
            </w:pPr>
            <w:r>
              <w:rPr>
                <w:b/>
                <w:sz w:val="20"/>
              </w:rPr>
              <w:t>93,02</w:t>
            </w:r>
          </w:p>
        </w:tc>
        <w:tc>
          <w:tcPr>
            <w:tcW w:w="1141" w:type="dxa"/>
            <w:vAlign w:val="bottom"/>
          </w:tcPr>
          <w:p w:rsidR="00000000" w:rsidRDefault="00000000">
            <w:pPr>
              <w:widowControl w:val="0"/>
              <w:tabs>
                <w:tab w:val="decimal" w:pos="518"/>
              </w:tabs>
              <w:autoSpaceDE w:val="0"/>
              <w:autoSpaceDN w:val="0"/>
              <w:adjustRightInd w:val="0"/>
              <w:spacing w:before="60" w:after="60"/>
              <w:jc w:val="right"/>
              <w:rPr>
                <w:b/>
                <w:sz w:val="20"/>
              </w:rPr>
            </w:pPr>
            <w:r>
              <w:rPr>
                <w:b/>
                <w:sz w:val="20"/>
              </w:rPr>
              <w:t>94,65</w:t>
            </w:r>
          </w:p>
        </w:tc>
        <w:tc>
          <w:tcPr>
            <w:tcW w:w="1142" w:type="dxa"/>
            <w:vAlign w:val="bottom"/>
          </w:tcPr>
          <w:p w:rsidR="00000000" w:rsidRDefault="00000000">
            <w:pPr>
              <w:widowControl w:val="0"/>
              <w:tabs>
                <w:tab w:val="decimal" w:pos="531"/>
              </w:tabs>
              <w:autoSpaceDE w:val="0"/>
              <w:autoSpaceDN w:val="0"/>
              <w:adjustRightInd w:val="0"/>
              <w:spacing w:before="60" w:after="60"/>
              <w:jc w:val="right"/>
              <w:rPr>
                <w:b/>
                <w:sz w:val="20"/>
              </w:rPr>
            </w:pPr>
            <w:r>
              <w:rPr>
                <w:b/>
                <w:sz w:val="20"/>
              </w:rPr>
              <w:t>112,61</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Agriculture, élevage et chasse</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35,67</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62,54</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33,76</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48,13</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66,25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Sylviculture et pêche</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70,56</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299,10</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40,38</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28,66</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6,34</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Exploitation des mines et des carrières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110,50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510,26</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654,21</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405,46</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Industries manufacturières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257,00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175,31</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173,06</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160,58</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189,29</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Production et distribution d’électricité, de gaz et d’eau</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458,59</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216,67</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Bâtiment et travaux publics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798,80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240,12</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448,82</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483,18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Vente et réparation</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729,30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530,46</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304,37</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352,48</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166,58</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Hôtellerie et restauration</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622,42</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1 044,03</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515,94</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337,83</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321,25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Transport, stockage, communications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242,80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190,88</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414,64</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519,59</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financiers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0,00</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immobiliers, services aux entreprises et services de location</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100,00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267,43</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0,00</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0,00</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Administration publique, défense</w:t>
            </w:r>
            <w:r>
              <w:rPr>
                <w:sz w:val="20"/>
              </w:rPr>
              <w:br/>
              <w:t>et sécurité sociale</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627,28</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436,77</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720,84</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699,88</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1 561,87</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Éducation</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873,21</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624,17</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770,69</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1 139,00</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1 295,82</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sociaux et de santé</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1 084,78</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654,31</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1 401,09</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314,65</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245,36</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Services fournis à la collectivité</w:t>
            </w:r>
            <w:r>
              <w:rPr>
                <w:sz w:val="20"/>
              </w:rPr>
              <w:br/>
              <w:t>et services à la personne</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283,48</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178,73</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283,46</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484,76</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451,25</w:t>
            </w:r>
          </w:p>
        </w:tc>
      </w:tr>
      <w:tr w:rsidR="00000000">
        <w:tblPrEx>
          <w:tblCellMar>
            <w:top w:w="0" w:type="dxa"/>
            <w:bottom w:w="0" w:type="dxa"/>
          </w:tblCellMar>
        </w:tblPrEx>
        <w:tc>
          <w:tcPr>
            <w:tcW w:w="3790" w:type="dxa"/>
            <w:tcBorders>
              <w:top w:val="nil"/>
              <w:bottom w:val="nil"/>
            </w:tcBorders>
            <w:vAlign w:val="bottom"/>
          </w:tcPr>
          <w:p w:rsidR="00000000" w:rsidRDefault="00000000">
            <w:pPr>
              <w:spacing w:before="60" w:after="60"/>
              <w:ind w:left="284"/>
              <w:rPr>
                <w:sz w:val="20"/>
              </w:rPr>
            </w:pPr>
            <w:r>
              <w:rPr>
                <w:sz w:val="20"/>
              </w:rPr>
              <w:t>Travail chez des particuliers</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333,01</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374,59</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393,24</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348,71</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364,85</w:t>
            </w:r>
          </w:p>
        </w:tc>
      </w:tr>
      <w:tr w:rsidR="00000000">
        <w:tblPrEx>
          <w:tblCellMar>
            <w:top w:w="0" w:type="dxa"/>
            <w:bottom w:w="0" w:type="dxa"/>
          </w:tblCellMar>
        </w:tblPrEx>
        <w:tc>
          <w:tcPr>
            <w:tcW w:w="3790" w:type="dxa"/>
            <w:tcBorders>
              <w:top w:val="nil"/>
            </w:tcBorders>
            <w:vAlign w:val="bottom"/>
          </w:tcPr>
          <w:p w:rsidR="00000000" w:rsidRDefault="00000000">
            <w:pPr>
              <w:spacing w:before="60" w:after="60"/>
              <w:ind w:left="284"/>
              <w:rPr>
                <w:sz w:val="20"/>
              </w:rPr>
            </w:pPr>
            <w:r>
              <w:rPr>
                <w:sz w:val="20"/>
              </w:rPr>
              <w:t>Organismes extraterritoriaux</w:t>
            </w:r>
          </w:p>
        </w:tc>
        <w:tc>
          <w:tcPr>
            <w:tcW w:w="1141" w:type="dxa"/>
            <w:vAlign w:val="bottom"/>
          </w:tcPr>
          <w:p w:rsidR="00000000" w:rsidRDefault="00000000">
            <w:pPr>
              <w:widowControl w:val="0"/>
              <w:tabs>
                <w:tab w:val="decimal" w:pos="544"/>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5"/>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46"/>
              </w:tabs>
              <w:autoSpaceDE w:val="0"/>
              <w:autoSpaceDN w:val="0"/>
              <w:adjustRightInd w:val="0"/>
              <w:spacing w:before="60" w:after="60"/>
              <w:jc w:val="right"/>
              <w:rPr>
                <w:sz w:val="20"/>
              </w:rPr>
            </w:pPr>
            <w:r>
              <w:rPr>
                <w:sz w:val="20"/>
              </w:rPr>
              <w:t>0,00</w:t>
            </w:r>
          </w:p>
        </w:tc>
        <w:tc>
          <w:tcPr>
            <w:tcW w:w="1141" w:type="dxa"/>
            <w:vAlign w:val="bottom"/>
          </w:tcPr>
          <w:p w:rsidR="00000000" w:rsidRDefault="00000000">
            <w:pPr>
              <w:widowControl w:val="0"/>
              <w:tabs>
                <w:tab w:val="decimal" w:pos="518"/>
              </w:tabs>
              <w:autoSpaceDE w:val="0"/>
              <w:autoSpaceDN w:val="0"/>
              <w:adjustRightInd w:val="0"/>
              <w:spacing w:before="60" w:after="60"/>
              <w:jc w:val="right"/>
              <w:rPr>
                <w:sz w:val="20"/>
              </w:rPr>
            </w:pPr>
            <w:r>
              <w:rPr>
                <w:sz w:val="20"/>
              </w:rPr>
              <w:t>0,00</w:t>
            </w:r>
          </w:p>
        </w:tc>
        <w:tc>
          <w:tcPr>
            <w:tcW w:w="1142" w:type="dxa"/>
            <w:vAlign w:val="bottom"/>
          </w:tcPr>
          <w:p w:rsidR="00000000" w:rsidRDefault="00000000">
            <w:pPr>
              <w:widowControl w:val="0"/>
              <w:tabs>
                <w:tab w:val="decimal" w:pos="531"/>
              </w:tabs>
              <w:autoSpaceDE w:val="0"/>
              <w:autoSpaceDN w:val="0"/>
              <w:adjustRightInd w:val="0"/>
              <w:spacing w:before="60" w:after="60"/>
              <w:jc w:val="right"/>
              <w:rPr>
                <w:sz w:val="20"/>
              </w:rPr>
            </w:pPr>
            <w:r>
              <w:rPr>
                <w:sz w:val="20"/>
              </w:rPr>
              <w:t>0,00</w:t>
            </w:r>
          </w:p>
        </w:tc>
      </w:tr>
    </w:tbl>
    <w:p w:rsidR="00000000" w:rsidRDefault="00000000">
      <w:pPr>
        <w:spacing w:before="180"/>
        <w:ind w:firstLine="567"/>
        <w:rPr>
          <w:sz w:val="20"/>
        </w:rPr>
      </w:pPr>
      <w:r>
        <w:rPr>
          <w:i/>
          <w:iCs/>
          <w:sz w:val="20"/>
        </w:rPr>
        <w:t>Source</w:t>
      </w:r>
      <w:r>
        <w:rPr>
          <w:sz w:val="20"/>
        </w:rPr>
        <w:t>: Institut national de statistique.</w:t>
      </w:r>
    </w:p>
    <w:p w:rsidR="00000000" w:rsidRDefault="00000000">
      <w:pPr>
        <w:spacing w:before="180"/>
      </w:pPr>
      <w:r>
        <w:rPr>
          <w:b/>
          <w:bCs/>
          <w:i/>
          <w:iCs/>
          <w:sz w:val="20"/>
          <w:vertAlign w:val="superscript"/>
        </w:rPr>
        <w:t>p</w:t>
      </w:r>
      <w:r>
        <w:rPr>
          <w:sz w:val="20"/>
        </w:rPr>
        <w:t xml:space="preserve"> Chiffres provisoires.</w:t>
      </w:r>
    </w:p>
    <w:p w:rsidR="00000000" w:rsidRDefault="00000000">
      <w:pPr>
        <w:spacing w:after="180"/>
        <w:jc w:val="center"/>
        <w:rPr>
          <w:b/>
          <w:bCs/>
        </w:rPr>
      </w:pPr>
      <w:r>
        <w:br w:type="page"/>
      </w:r>
      <w:r>
        <w:rPr>
          <w:b/>
          <w:bCs/>
        </w:rPr>
        <w:t>Tableau 5</w:t>
      </w:r>
    </w:p>
    <w:p w:rsidR="00000000" w:rsidRDefault="00000000">
      <w:pPr>
        <w:spacing w:after="180"/>
        <w:jc w:val="center"/>
      </w:pPr>
      <w:r>
        <w:rPr>
          <w:b/>
          <w:bCs/>
        </w:rPr>
        <w:t>Bolivie: Revenu mensuel moyen, dans l’activité principale, par année,</w:t>
      </w:r>
      <w:r>
        <w:rPr>
          <w:b/>
          <w:bCs/>
        </w:rPr>
        <w:br/>
        <w:t>sexe et secteur du marché du travail, 1999</w:t>
      </w:r>
      <w:r>
        <w:rPr>
          <w:b/>
          <w:bCs/>
        </w:rPr>
        <w:noBreakHyphen/>
        <w:t>2003</w:t>
      </w:r>
      <w:r>
        <w:rPr>
          <w:b/>
          <w:bCs/>
          <w:i/>
          <w:iCs/>
          <w:vertAlign w:val="superscript"/>
        </w:rPr>
        <w:t>p</w:t>
      </w:r>
      <w:r>
        <w:rPr>
          <w:b/>
          <w:bCs/>
        </w:rPr>
        <w:br/>
      </w:r>
      <w:r>
        <w:t>(</w:t>
      </w:r>
      <w:r>
        <w:rPr>
          <w:i/>
          <w:iCs/>
        </w:rPr>
        <w:t>En bolivianos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261"/>
        <w:gridCol w:w="1261"/>
        <w:gridCol w:w="1261"/>
        <w:gridCol w:w="1261"/>
        <w:gridCol w:w="1262"/>
      </w:tblGrid>
      <w:tr w:rsidR="00000000">
        <w:tblPrEx>
          <w:tblCellMar>
            <w:top w:w="0" w:type="dxa"/>
            <w:bottom w:w="0" w:type="dxa"/>
          </w:tblCellMar>
        </w:tblPrEx>
        <w:trPr>
          <w:tblHeader/>
        </w:trPr>
        <w:tc>
          <w:tcPr>
            <w:tcW w:w="3190" w:type="dxa"/>
            <w:tcBorders>
              <w:bottom w:val="single" w:sz="4" w:space="0" w:color="auto"/>
            </w:tcBorders>
            <w:vAlign w:val="center"/>
          </w:tcPr>
          <w:p w:rsidR="00000000" w:rsidRDefault="00000000">
            <w:pPr>
              <w:spacing w:before="60" w:after="60"/>
              <w:jc w:val="center"/>
            </w:pPr>
            <w:r>
              <w:t>Secteur du marché du travail</w:t>
            </w:r>
          </w:p>
        </w:tc>
        <w:tc>
          <w:tcPr>
            <w:tcW w:w="1261" w:type="dxa"/>
            <w:vAlign w:val="center"/>
          </w:tcPr>
          <w:p w:rsidR="00000000" w:rsidRDefault="00000000">
            <w:pPr>
              <w:spacing w:before="60" w:after="60"/>
              <w:jc w:val="center"/>
            </w:pPr>
            <w:r>
              <w:t>1999</w:t>
            </w:r>
          </w:p>
        </w:tc>
        <w:tc>
          <w:tcPr>
            <w:tcW w:w="1261" w:type="dxa"/>
            <w:vAlign w:val="center"/>
          </w:tcPr>
          <w:p w:rsidR="00000000" w:rsidRDefault="00000000">
            <w:pPr>
              <w:spacing w:before="60" w:after="60"/>
              <w:jc w:val="center"/>
            </w:pPr>
            <w:r>
              <w:t>2000</w:t>
            </w:r>
          </w:p>
        </w:tc>
        <w:tc>
          <w:tcPr>
            <w:tcW w:w="1261" w:type="dxa"/>
            <w:vAlign w:val="center"/>
          </w:tcPr>
          <w:p w:rsidR="00000000" w:rsidRDefault="00000000">
            <w:pPr>
              <w:spacing w:before="60" w:after="60"/>
              <w:jc w:val="center"/>
            </w:pPr>
            <w:r>
              <w:t>2001</w:t>
            </w:r>
          </w:p>
        </w:tc>
        <w:tc>
          <w:tcPr>
            <w:tcW w:w="1261" w:type="dxa"/>
            <w:vAlign w:val="center"/>
          </w:tcPr>
          <w:p w:rsidR="00000000" w:rsidRDefault="00000000">
            <w:pPr>
              <w:spacing w:before="60" w:after="60"/>
              <w:jc w:val="center"/>
            </w:pPr>
            <w:r>
              <w:t>2002</w:t>
            </w:r>
          </w:p>
        </w:tc>
        <w:tc>
          <w:tcPr>
            <w:tcW w:w="1262" w:type="dxa"/>
            <w:vAlign w:val="center"/>
          </w:tcPr>
          <w:p w:rsidR="00000000" w:rsidRDefault="00000000">
            <w:pPr>
              <w:spacing w:before="60" w:after="60"/>
              <w:jc w:val="center"/>
            </w:pPr>
            <w:r>
              <w:t>2003</w:t>
            </w:r>
            <w:r>
              <w:rPr>
                <w:b/>
                <w:bCs/>
                <w:i/>
                <w:iCs/>
                <w:vertAlign w:val="superscript"/>
              </w:rPr>
              <w:t>p</w:t>
            </w:r>
          </w:p>
        </w:tc>
      </w:tr>
      <w:tr w:rsidR="00000000">
        <w:tblPrEx>
          <w:tblCellMar>
            <w:top w:w="0" w:type="dxa"/>
            <w:bottom w:w="0" w:type="dxa"/>
          </w:tblCellMar>
        </w:tblPrEx>
        <w:tc>
          <w:tcPr>
            <w:tcW w:w="3190" w:type="dxa"/>
            <w:tcBorders>
              <w:bottom w:val="nil"/>
            </w:tcBorders>
            <w:vAlign w:val="center"/>
          </w:tcPr>
          <w:p w:rsidR="00000000" w:rsidRDefault="00000000">
            <w:pPr>
              <w:spacing w:before="60" w:after="60"/>
              <w:rPr>
                <w:b/>
                <w:bCs/>
              </w:rPr>
            </w:pPr>
            <w:r>
              <w:rPr>
                <w:b/>
                <w:bCs/>
              </w:rPr>
              <w:t>TOTAL</w:t>
            </w:r>
          </w:p>
        </w:tc>
        <w:tc>
          <w:tcPr>
            <w:tcW w:w="1261" w:type="dxa"/>
            <w:vAlign w:val="center"/>
          </w:tcPr>
          <w:p w:rsidR="00000000" w:rsidRDefault="00000000">
            <w:pPr>
              <w:widowControl w:val="0"/>
              <w:tabs>
                <w:tab w:val="decimal" w:pos="771"/>
              </w:tabs>
              <w:autoSpaceDE w:val="0"/>
              <w:autoSpaceDN w:val="0"/>
              <w:adjustRightInd w:val="0"/>
              <w:spacing w:before="60" w:after="60"/>
              <w:jc w:val="right"/>
              <w:rPr>
                <w:b/>
              </w:rPr>
            </w:pPr>
            <w:r>
              <w:rPr>
                <w:b/>
              </w:rPr>
              <w:t>654,60</w:t>
            </w:r>
          </w:p>
        </w:tc>
        <w:tc>
          <w:tcPr>
            <w:tcW w:w="1261" w:type="dxa"/>
            <w:vAlign w:val="center"/>
          </w:tcPr>
          <w:p w:rsidR="00000000" w:rsidRDefault="00000000">
            <w:pPr>
              <w:widowControl w:val="0"/>
              <w:tabs>
                <w:tab w:val="decimal" w:pos="771"/>
              </w:tabs>
              <w:autoSpaceDE w:val="0"/>
              <w:autoSpaceDN w:val="0"/>
              <w:adjustRightInd w:val="0"/>
              <w:spacing w:before="60" w:after="60"/>
              <w:jc w:val="right"/>
              <w:rPr>
                <w:b/>
              </w:rPr>
            </w:pPr>
            <w:r>
              <w:rPr>
                <w:b/>
              </w:rPr>
              <w:t>685,80</w:t>
            </w:r>
          </w:p>
        </w:tc>
        <w:tc>
          <w:tcPr>
            <w:tcW w:w="1261" w:type="dxa"/>
            <w:vAlign w:val="center"/>
          </w:tcPr>
          <w:p w:rsidR="00000000" w:rsidRDefault="00000000">
            <w:pPr>
              <w:widowControl w:val="0"/>
              <w:tabs>
                <w:tab w:val="decimal" w:pos="771"/>
              </w:tabs>
              <w:autoSpaceDE w:val="0"/>
              <w:autoSpaceDN w:val="0"/>
              <w:adjustRightInd w:val="0"/>
              <w:spacing w:before="60" w:after="60"/>
              <w:jc w:val="right"/>
              <w:rPr>
                <w:b/>
              </w:rPr>
            </w:pPr>
            <w:r>
              <w:rPr>
                <w:b/>
              </w:rPr>
              <w:t>603,84</w:t>
            </w:r>
          </w:p>
        </w:tc>
        <w:tc>
          <w:tcPr>
            <w:tcW w:w="1261" w:type="dxa"/>
            <w:vAlign w:val="center"/>
          </w:tcPr>
          <w:p w:rsidR="00000000" w:rsidRDefault="00000000">
            <w:pPr>
              <w:widowControl w:val="0"/>
              <w:tabs>
                <w:tab w:val="decimal" w:pos="771"/>
              </w:tabs>
              <w:autoSpaceDE w:val="0"/>
              <w:autoSpaceDN w:val="0"/>
              <w:adjustRightInd w:val="0"/>
              <w:spacing w:before="60" w:after="60"/>
              <w:jc w:val="right"/>
              <w:rPr>
                <w:b/>
              </w:rPr>
            </w:pPr>
            <w:r>
              <w:rPr>
                <w:b/>
              </w:rPr>
              <w:t>712,01</w:t>
            </w:r>
          </w:p>
        </w:tc>
        <w:tc>
          <w:tcPr>
            <w:tcW w:w="1262" w:type="dxa"/>
            <w:vAlign w:val="center"/>
          </w:tcPr>
          <w:p w:rsidR="00000000" w:rsidRDefault="00000000">
            <w:pPr>
              <w:widowControl w:val="0"/>
              <w:tabs>
                <w:tab w:val="decimal" w:pos="771"/>
              </w:tabs>
              <w:autoSpaceDE w:val="0"/>
              <w:autoSpaceDN w:val="0"/>
              <w:adjustRightInd w:val="0"/>
              <w:spacing w:before="60" w:after="60"/>
              <w:jc w:val="right"/>
              <w:rPr>
                <w:b/>
              </w:rPr>
            </w:pPr>
            <w:r>
              <w:rPr>
                <w:b/>
              </w:rPr>
              <w:t>631,49</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Domestique</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515,10</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589,29</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587,01</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663,72</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439,52</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Étatique</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1 331,07</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1 398,71</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1 611,34</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1 636,90</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1 582,41</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Familial</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346,26</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337,13</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278,55</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377,03</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331,28</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Semi-entreprise</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918,83</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820,16</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802,06</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897,95</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772,80</w:t>
            </w:r>
          </w:p>
        </w:tc>
      </w:tr>
      <w:tr w:rsidR="00000000">
        <w:tblPrEx>
          <w:tblCellMar>
            <w:top w:w="0" w:type="dxa"/>
            <w:bottom w:w="0" w:type="dxa"/>
          </w:tblCellMar>
        </w:tblPrEx>
        <w:tc>
          <w:tcPr>
            <w:tcW w:w="3190" w:type="dxa"/>
            <w:tcBorders>
              <w:top w:val="nil"/>
              <w:bottom w:val="single" w:sz="4" w:space="0" w:color="auto"/>
            </w:tcBorders>
            <w:vAlign w:val="center"/>
          </w:tcPr>
          <w:p w:rsidR="00000000" w:rsidRDefault="00000000">
            <w:pPr>
              <w:spacing w:before="60" w:after="60"/>
              <w:ind w:left="284"/>
            </w:pPr>
            <w:r>
              <w:t>Entreprise</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1 550,60</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1 803,06</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1 403,65</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1 621,97</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1 422,33</w:t>
            </w:r>
          </w:p>
        </w:tc>
      </w:tr>
      <w:tr w:rsidR="00000000">
        <w:tblPrEx>
          <w:tblCellMar>
            <w:top w:w="0" w:type="dxa"/>
            <w:bottom w:w="0" w:type="dxa"/>
          </w:tblCellMar>
        </w:tblPrEx>
        <w:tc>
          <w:tcPr>
            <w:tcW w:w="3190" w:type="dxa"/>
            <w:tcBorders>
              <w:bottom w:val="nil"/>
            </w:tcBorders>
            <w:vAlign w:val="center"/>
          </w:tcPr>
          <w:p w:rsidR="00000000" w:rsidRDefault="00000000">
            <w:pPr>
              <w:spacing w:before="60" w:after="60"/>
              <w:rPr>
                <w:b/>
                <w:bCs/>
              </w:rPr>
            </w:pPr>
            <w:r>
              <w:rPr>
                <w:b/>
                <w:bCs/>
              </w:rPr>
              <w:t>HOMMES</w:t>
            </w:r>
          </w:p>
        </w:tc>
        <w:tc>
          <w:tcPr>
            <w:tcW w:w="1261" w:type="dxa"/>
            <w:vAlign w:val="center"/>
          </w:tcPr>
          <w:p w:rsidR="00000000" w:rsidRDefault="00000000">
            <w:pPr>
              <w:widowControl w:val="0"/>
              <w:tabs>
                <w:tab w:val="decimal" w:pos="771"/>
              </w:tabs>
              <w:autoSpaceDE w:val="0"/>
              <w:autoSpaceDN w:val="0"/>
              <w:adjustRightInd w:val="0"/>
              <w:spacing w:before="60" w:after="60"/>
              <w:jc w:val="right"/>
              <w:rPr>
                <w:b/>
              </w:rPr>
            </w:pPr>
            <w:r>
              <w:rPr>
                <w:b/>
              </w:rPr>
              <w:t>824,67</w:t>
            </w:r>
          </w:p>
        </w:tc>
        <w:tc>
          <w:tcPr>
            <w:tcW w:w="1261" w:type="dxa"/>
            <w:vAlign w:val="center"/>
          </w:tcPr>
          <w:p w:rsidR="00000000" w:rsidRDefault="00000000">
            <w:pPr>
              <w:widowControl w:val="0"/>
              <w:tabs>
                <w:tab w:val="decimal" w:pos="771"/>
              </w:tabs>
              <w:autoSpaceDE w:val="0"/>
              <w:autoSpaceDN w:val="0"/>
              <w:adjustRightInd w:val="0"/>
              <w:spacing w:before="60" w:after="60"/>
              <w:jc w:val="right"/>
              <w:rPr>
                <w:b/>
              </w:rPr>
            </w:pPr>
            <w:r>
              <w:rPr>
                <w:b/>
              </w:rPr>
              <w:t>847,83</w:t>
            </w:r>
          </w:p>
        </w:tc>
        <w:tc>
          <w:tcPr>
            <w:tcW w:w="1261" w:type="dxa"/>
            <w:vAlign w:val="center"/>
          </w:tcPr>
          <w:p w:rsidR="00000000" w:rsidRDefault="00000000">
            <w:pPr>
              <w:widowControl w:val="0"/>
              <w:tabs>
                <w:tab w:val="decimal" w:pos="771"/>
              </w:tabs>
              <w:autoSpaceDE w:val="0"/>
              <w:autoSpaceDN w:val="0"/>
              <w:adjustRightInd w:val="0"/>
              <w:spacing w:before="60" w:after="60"/>
              <w:jc w:val="right"/>
              <w:rPr>
                <w:b/>
              </w:rPr>
            </w:pPr>
            <w:r>
              <w:rPr>
                <w:b/>
              </w:rPr>
              <w:t>764,04</w:t>
            </w:r>
          </w:p>
        </w:tc>
        <w:tc>
          <w:tcPr>
            <w:tcW w:w="1261" w:type="dxa"/>
            <w:vAlign w:val="center"/>
          </w:tcPr>
          <w:p w:rsidR="00000000" w:rsidRDefault="00000000">
            <w:pPr>
              <w:widowControl w:val="0"/>
              <w:tabs>
                <w:tab w:val="decimal" w:pos="771"/>
              </w:tabs>
              <w:autoSpaceDE w:val="0"/>
              <w:autoSpaceDN w:val="0"/>
              <w:adjustRightInd w:val="0"/>
              <w:spacing w:before="60" w:after="60"/>
              <w:jc w:val="right"/>
              <w:rPr>
                <w:b/>
              </w:rPr>
            </w:pPr>
            <w:r>
              <w:rPr>
                <w:b/>
              </w:rPr>
              <w:t>888,85</w:t>
            </w:r>
          </w:p>
        </w:tc>
        <w:tc>
          <w:tcPr>
            <w:tcW w:w="1262" w:type="dxa"/>
            <w:vAlign w:val="center"/>
          </w:tcPr>
          <w:p w:rsidR="00000000" w:rsidRDefault="00000000">
            <w:pPr>
              <w:widowControl w:val="0"/>
              <w:tabs>
                <w:tab w:val="decimal" w:pos="771"/>
              </w:tabs>
              <w:autoSpaceDE w:val="0"/>
              <w:autoSpaceDN w:val="0"/>
              <w:adjustRightInd w:val="0"/>
              <w:spacing w:before="60" w:after="60"/>
              <w:jc w:val="right"/>
              <w:rPr>
                <w:b/>
              </w:rPr>
            </w:pPr>
            <w:r>
              <w:rPr>
                <w:b/>
              </w:rPr>
              <w:t>781,31</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Domestique</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661,47</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843,23</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692,61</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878,22</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529,59</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Étatique</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1 423,41</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1 521,12</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1 851,98</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1 831,19</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1 643,78</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Familial</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438,81</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412,55</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366,85</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481,58</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441,39</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Semi-entreprise</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926,74</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850,20</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833,21</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932,10</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815,10</w:t>
            </w:r>
          </w:p>
        </w:tc>
      </w:tr>
      <w:tr w:rsidR="00000000">
        <w:tblPrEx>
          <w:tblCellMar>
            <w:top w:w="0" w:type="dxa"/>
            <w:bottom w:w="0" w:type="dxa"/>
          </w:tblCellMar>
        </w:tblPrEx>
        <w:tc>
          <w:tcPr>
            <w:tcW w:w="3190" w:type="dxa"/>
            <w:tcBorders>
              <w:top w:val="nil"/>
              <w:bottom w:val="single" w:sz="4" w:space="0" w:color="auto"/>
            </w:tcBorders>
            <w:vAlign w:val="center"/>
          </w:tcPr>
          <w:p w:rsidR="00000000" w:rsidRDefault="00000000">
            <w:pPr>
              <w:spacing w:before="60" w:after="60"/>
              <w:ind w:left="284"/>
            </w:pPr>
            <w:r>
              <w:t>Entreprise</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1 642,13</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1 942,23</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1 462,94</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1 736,05</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1 359,13</w:t>
            </w:r>
          </w:p>
        </w:tc>
      </w:tr>
      <w:tr w:rsidR="00000000">
        <w:tblPrEx>
          <w:tblCellMar>
            <w:top w:w="0" w:type="dxa"/>
            <w:bottom w:w="0" w:type="dxa"/>
          </w:tblCellMar>
        </w:tblPrEx>
        <w:tc>
          <w:tcPr>
            <w:tcW w:w="3190" w:type="dxa"/>
            <w:tcBorders>
              <w:bottom w:val="nil"/>
            </w:tcBorders>
            <w:vAlign w:val="center"/>
          </w:tcPr>
          <w:p w:rsidR="00000000" w:rsidRDefault="00000000">
            <w:pPr>
              <w:spacing w:before="60" w:after="60"/>
              <w:rPr>
                <w:b/>
                <w:bCs/>
              </w:rPr>
            </w:pPr>
            <w:r>
              <w:rPr>
                <w:b/>
                <w:bCs/>
              </w:rPr>
              <w:t>FEMMES</w:t>
            </w:r>
          </w:p>
        </w:tc>
        <w:tc>
          <w:tcPr>
            <w:tcW w:w="1261" w:type="dxa"/>
            <w:vAlign w:val="center"/>
          </w:tcPr>
          <w:p w:rsidR="00000000" w:rsidRDefault="00000000">
            <w:pPr>
              <w:widowControl w:val="0"/>
              <w:tabs>
                <w:tab w:val="decimal" w:pos="771"/>
              </w:tabs>
              <w:autoSpaceDE w:val="0"/>
              <w:autoSpaceDN w:val="0"/>
              <w:adjustRightInd w:val="0"/>
              <w:spacing w:before="60" w:after="60"/>
              <w:jc w:val="right"/>
              <w:rPr>
                <w:b/>
              </w:rPr>
            </w:pPr>
            <w:r>
              <w:rPr>
                <w:b/>
              </w:rPr>
              <w:t>446,82</w:t>
            </w:r>
          </w:p>
        </w:tc>
        <w:tc>
          <w:tcPr>
            <w:tcW w:w="1261" w:type="dxa"/>
            <w:vAlign w:val="center"/>
          </w:tcPr>
          <w:p w:rsidR="00000000" w:rsidRDefault="00000000">
            <w:pPr>
              <w:widowControl w:val="0"/>
              <w:tabs>
                <w:tab w:val="decimal" w:pos="771"/>
              </w:tabs>
              <w:autoSpaceDE w:val="0"/>
              <w:autoSpaceDN w:val="0"/>
              <w:adjustRightInd w:val="0"/>
              <w:spacing w:before="60" w:after="60"/>
              <w:jc w:val="right"/>
              <w:rPr>
                <w:b/>
              </w:rPr>
            </w:pPr>
            <w:r>
              <w:rPr>
                <w:b/>
              </w:rPr>
              <w:t>480,63</w:t>
            </w:r>
          </w:p>
        </w:tc>
        <w:tc>
          <w:tcPr>
            <w:tcW w:w="1261" w:type="dxa"/>
            <w:vAlign w:val="center"/>
          </w:tcPr>
          <w:p w:rsidR="00000000" w:rsidRDefault="00000000">
            <w:pPr>
              <w:widowControl w:val="0"/>
              <w:tabs>
                <w:tab w:val="decimal" w:pos="771"/>
              </w:tabs>
              <w:autoSpaceDE w:val="0"/>
              <w:autoSpaceDN w:val="0"/>
              <w:adjustRightInd w:val="0"/>
              <w:spacing w:before="60" w:after="60"/>
              <w:jc w:val="right"/>
              <w:rPr>
                <w:b/>
              </w:rPr>
            </w:pPr>
            <w:r>
              <w:rPr>
                <w:b/>
              </w:rPr>
              <w:t>409,64</w:t>
            </w:r>
          </w:p>
        </w:tc>
        <w:tc>
          <w:tcPr>
            <w:tcW w:w="1261" w:type="dxa"/>
            <w:vAlign w:val="center"/>
          </w:tcPr>
          <w:p w:rsidR="00000000" w:rsidRDefault="00000000">
            <w:pPr>
              <w:widowControl w:val="0"/>
              <w:tabs>
                <w:tab w:val="decimal" w:pos="771"/>
              </w:tabs>
              <w:autoSpaceDE w:val="0"/>
              <w:autoSpaceDN w:val="0"/>
              <w:adjustRightInd w:val="0"/>
              <w:spacing w:before="60" w:after="60"/>
              <w:jc w:val="right"/>
              <w:rPr>
                <w:b/>
              </w:rPr>
            </w:pPr>
            <w:r>
              <w:rPr>
                <w:b/>
              </w:rPr>
              <w:t>482,55</w:t>
            </w:r>
          </w:p>
        </w:tc>
        <w:tc>
          <w:tcPr>
            <w:tcW w:w="1262" w:type="dxa"/>
            <w:vAlign w:val="center"/>
          </w:tcPr>
          <w:p w:rsidR="00000000" w:rsidRDefault="00000000">
            <w:pPr>
              <w:widowControl w:val="0"/>
              <w:tabs>
                <w:tab w:val="decimal" w:pos="771"/>
              </w:tabs>
              <w:autoSpaceDE w:val="0"/>
              <w:autoSpaceDN w:val="0"/>
              <w:adjustRightInd w:val="0"/>
              <w:spacing w:before="60" w:after="60"/>
              <w:jc w:val="right"/>
              <w:rPr>
                <w:b/>
              </w:rPr>
            </w:pPr>
            <w:r>
              <w:rPr>
                <w:b/>
              </w:rPr>
              <w:t>444,13</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Domestique</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507,41</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581,58</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582,79</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656,09</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435,85</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Étatique</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1 211,09</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1 222,68</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1 287,63</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1 399,27</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1 500,56</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Familial</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259,41</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258,29</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192,10</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270,57</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231,53</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Semi-entreprise</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896,80</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712,00</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712,74</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801,49</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621,82</w:t>
            </w:r>
          </w:p>
        </w:tc>
      </w:tr>
      <w:tr w:rsidR="00000000">
        <w:tblPrEx>
          <w:tblCellMar>
            <w:top w:w="0" w:type="dxa"/>
            <w:bottom w:w="0" w:type="dxa"/>
          </w:tblCellMar>
        </w:tblPrEx>
        <w:tc>
          <w:tcPr>
            <w:tcW w:w="3190" w:type="dxa"/>
            <w:tcBorders>
              <w:top w:val="nil"/>
            </w:tcBorders>
            <w:vAlign w:val="center"/>
          </w:tcPr>
          <w:p w:rsidR="00000000" w:rsidRDefault="00000000">
            <w:pPr>
              <w:spacing w:before="60" w:after="60"/>
              <w:ind w:left="284"/>
            </w:pPr>
            <w:r>
              <w:t>Entreprise</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1 248,10</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1 458,23</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1 230,11</w:t>
            </w:r>
          </w:p>
        </w:tc>
        <w:tc>
          <w:tcPr>
            <w:tcW w:w="1261" w:type="dxa"/>
            <w:vAlign w:val="center"/>
          </w:tcPr>
          <w:p w:rsidR="00000000" w:rsidRDefault="00000000">
            <w:pPr>
              <w:widowControl w:val="0"/>
              <w:tabs>
                <w:tab w:val="decimal" w:pos="771"/>
              </w:tabs>
              <w:autoSpaceDE w:val="0"/>
              <w:autoSpaceDN w:val="0"/>
              <w:adjustRightInd w:val="0"/>
              <w:spacing w:before="60" w:after="60"/>
              <w:jc w:val="right"/>
            </w:pPr>
            <w:r>
              <w:t>1 230,22</w:t>
            </w:r>
          </w:p>
        </w:tc>
        <w:tc>
          <w:tcPr>
            <w:tcW w:w="1262" w:type="dxa"/>
            <w:vAlign w:val="center"/>
          </w:tcPr>
          <w:p w:rsidR="00000000" w:rsidRDefault="00000000">
            <w:pPr>
              <w:widowControl w:val="0"/>
              <w:tabs>
                <w:tab w:val="decimal" w:pos="771"/>
              </w:tabs>
              <w:autoSpaceDE w:val="0"/>
              <w:autoSpaceDN w:val="0"/>
              <w:adjustRightInd w:val="0"/>
              <w:spacing w:before="60" w:after="60"/>
              <w:jc w:val="right"/>
            </w:pPr>
            <w:r>
              <w:t>1 672,62</w:t>
            </w:r>
          </w:p>
        </w:tc>
      </w:tr>
    </w:tbl>
    <w:p w:rsidR="00000000" w:rsidRDefault="00000000">
      <w:pPr>
        <w:spacing w:before="240"/>
        <w:ind w:firstLine="567"/>
      </w:pPr>
      <w:r>
        <w:rPr>
          <w:i/>
          <w:iCs/>
        </w:rPr>
        <w:t>Source</w:t>
      </w:r>
      <w:r>
        <w:t>: Institut national de statistique.</w:t>
      </w:r>
    </w:p>
    <w:p w:rsidR="00000000" w:rsidRDefault="00000000">
      <w:pPr>
        <w:spacing w:before="240"/>
      </w:pPr>
      <w:r>
        <w:rPr>
          <w:b/>
          <w:bCs/>
          <w:i/>
          <w:iCs/>
          <w:vertAlign w:val="superscript"/>
        </w:rPr>
        <w:t>p</w:t>
      </w:r>
      <w:r>
        <w:t xml:space="preserve"> Chiffres provisoires.</w:t>
      </w:r>
    </w:p>
    <w:p w:rsidR="00000000" w:rsidRDefault="00000000">
      <w:pPr>
        <w:spacing w:after="180"/>
        <w:jc w:val="center"/>
        <w:rPr>
          <w:b/>
          <w:bCs/>
        </w:rPr>
      </w:pPr>
      <w:r>
        <w:br w:type="page"/>
      </w:r>
      <w:r>
        <w:rPr>
          <w:b/>
          <w:bCs/>
        </w:rPr>
        <w:t>Tableau 5.1</w:t>
      </w:r>
    </w:p>
    <w:p w:rsidR="00000000" w:rsidRDefault="00000000">
      <w:pPr>
        <w:spacing w:after="180"/>
        <w:jc w:val="center"/>
      </w:pPr>
      <w:r>
        <w:rPr>
          <w:b/>
          <w:bCs/>
        </w:rPr>
        <w:t>Bolivie − Zones urbaines: Revenu mensuel moyen, dans l’activité principale,</w:t>
      </w:r>
      <w:r>
        <w:rPr>
          <w:b/>
          <w:bCs/>
        </w:rPr>
        <w:br/>
        <w:t>par année, sexe et secteur du marché du travail, 1999</w:t>
      </w:r>
      <w:r>
        <w:rPr>
          <w:b/>
          <w:bCs/>
        </w:rPr>
        <w:noBreakHyphen/>
        <w:t>2003</w:t>
      </w:r>
      <w:r>
        <w:rPr>
          <w:b/>
          <w:bCs/>
          <w:i/>
          <w:iCs/>
          <w:vertAlign w:val="superscript"/>
        </w:rPr>
        <w:t>p</w:t>
      </w:r>
      <w:r>
        <w:rPr>
          <w:b/>
          <w:bCs/>
        </w:rPr>
        <w:br/>
      </w:r>
      <w:r>
        <w:t>(</w:t>
      </w:r>
      <w:r>
        <w:rPr>
          <w:i/>
          <w:iCs/>
        </w:rPr>
        <w:t>En bolivianos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261"/>
        <w:gridCol w:w="1261"/>
        <w:gridCol w:w="1261"/>
        <w:gridCol w:w="1261"/>
        <w:gridCol w:w="1262"/>
      </w:tblGrid>
      <w:tr w:rsidR="00000000">
        <w:tblPrEx>
          <w:tblCellMar>
            <w:top w:w="0" w:type="dxa"/>
            <w:bottom w:w="0" w:type="dxa"/>
          </w:tblCellMar>
        </w:tblPrEx>
        <w:trPr>
          <w:tblHeader/>
        </w:trPr>
        <w:tc>
          <w:tcPr>
            <w:tcW w:w="3190" w:type="dxa"/>
            <w:tcBorders>
              <w:bottom w:val="single" w:sz="4" w:space="0" w:color="auto"/>
            </w:tcBorders>
            <w:vAlign w:val="center"/>
          </w:tcPr>
          <w:p w:rsidR="00000000" w:rsidRDefault="00000000">
            <w:pPr>
              <w:spacing w:before="60" w:after="60"/>
              <w:jc w:val="center"/>
            </w:pPr>
            <w:r>
              <w:t>Secteur du marché du travail</w:t>
            </w:r>
          </w:p>
        </w:tc>
        <w:tc>
          <w:tcPr>
            <w:tcW w:w="1261" w:type="dxa"/>
            <w:vAlign w:val="center"/>
          </w:tcPr>
          <w:p w:rsidR="00000000" w:rsidRDefault="00000000">
            <w:pPr>
              <w:spacing w:before="60" w:after="60"/>
              <w:jc w:val="center"/>
            </w:pPr>
            <w:r>
              <w:t>1999</w:t>
            </w:r>
          </w:p>
        </w:tc>
        <w:tc>
          <w:tcPr>
            <w:tcW w:w="1261" w:type="dxa"/>
            <w:vAlign w:val="center"/>
          </w:tcPr>
          <w:p w:rsidR="00000000" w:rsidRDefault="00000000">
            <w:pPr>
              <w:spacing w:before="60" w:after="60"/>
              <w:jc w:val="center"/>
            </w:pPr>
            <w:r>
              <w:t>2000</w:t>
            </w:r>
          </w:p>
        </w:tc>
        <w:tc>
          <w:tcPr>
            <w:tcW w:w="1261" w:type="dxa"/>
            <w:vAlign w:val="center"/>
          </w:tcPr>
          <w:p w:rsidR="00000000" w:rsidRDefault="00000000">
            <w:pPr>
              <w:spacing w:before="60" w:after="60"/>
              <w:jc w:val="center"/>
            </w:pPr>
            <w:r>
              <w:t>2001</w:t>
            </w:r>
          </w:p>
        </w:tc>
        <w:tc>
          <w:tcPr>
            <w:tcW w:w="1261" w:type="dxa"/>
            <w:vAlign w:val="center"/>
          </w:tcPr>
          <w:p w:rsidR="00000000" w:rsidRDefault="00000000">
            <w:pPr>
              <w:spacing w:before="60" w:after="60"/>
              <w:jc w:val="center"/>
            </w:pPr>
            <w:r>
              <w:t>2002</w:t>
            </w:r>
          </w:p>
        </w:tc>
        <w:tc>
          <w:tcPr>
            <w:tcW w:w="1262" w:type="dxa"/>
            <w:vAlign w:val="center"/>
          </w:tcPr>
          <w:p w:rsidR="00000000" w:rsidRDefault="00000000">
            <w:pPr>
              <w:spacing w:before="60" w:after="60"/>
              <w:jc w:val="center"/>
            </w:pPr>
            <w:r>
              <w:t>2003</w:t>
            </w:r>
            <w:r>
              <w:rPr>
                <w:b/>
                <w:bCs/>
                <w:i/>
                <w:iCs/>
                <w:vertAlign w:val="superscript"/>
              </w:rPr>
              <w:t>p</w:t>
            </w:r>
          </w:p>
        </w:tc>
      </w:tr>
      <w:tr w:rsidR="00000000">
        <w:tblPrEx>
          <w:tblCellMar>
            <w:top w:w="0" w:type="dxa"/>
            <w:bottom w:w="0" w:type="dxa"/>
          </w:tblCellMar>
        </w:tblPrEx>
        <w:tc>
          <w:tcPr>
            <w:tcW w:w="3190" w:type="dxa"/>
            <w:tcBorders>
              <w:bottom w:val="nil"/>
            </w:tcBorders>
            <w:vAlign w:val="center"/>
          </w:tcPr>
          <w:p w:rsidR="00000000" w:rsidRDefault="00000000">
            <w:pPr>
              <w:spacing w:before="60" w:after="60"/>
              <w:rPr>
                <w:b/>
                <w:bCs/>
              </w:rPr>
            </w:pPr>
            <w:r>
              <w:rPr>
                <w:b/>
                <w:bCs/>
              </w:rPr>
              <w:t>TOTAL</w:t>
            </w:r>
          </w:p>
        </w:tc>
        <w:tc>
          <w:tcPr>
            <w:tcW w:w="1261" w:type="dxa"/>
            <w:vAlign w:val="center"/>
          </w:tcPr>
          <w:p w:rsidR="00000000" w:rsidRDefault="00000000">
            <w:pPr>
              <w:widowControl w:val="0"/>
              <w:autoSpaceDE w:val="0"/>
              <w:autoSpaceDN w:val="0"/>
              <w:adjustRightInd w:val="0"/>
              <w:spacing w:before="60" w:after="60"/>
              <w:ind w:left="214" w:right="-20"/>
              <w:jc w:val="right"/>
              <w:rPr>
                <w:b/>
              </w:rPr>
            </w:pPr>
            <w:r>
              <w:rPr>
                <w:b/>
                <w:bCs/>
              </w:rPr>
              <w:t>1 021,47</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rPr>
                <w:b/>
              </w:rPr>
            </w:pPr>
            <w:r>
              <w:rPr>
                <w:b/>
                <w:bCs/>
              </w:rPr>
              <w:t>1 052,56</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rPr>
                <w:b/>
              </w:rPr>
            </w:pPr>
            <w:r>
              <w:rPr>
                <w:b/>
                <w:bCs/>
              </w:rPr>
              <w:t>932,86</w:t>
            </w:r>
          </w:p>
        </w:tc>
        <w:tc>
          <w:tcPr>
            <w:tcW w:w="1261" w:type="dxa"/>
            <w:vAlign w:val="center"/>
          </w:tcPr>
          <w:p w:rsidR="00000000" w:rsidRDefault="00000000">
            <w:pPr>
              <w:widowControl w:val="0"/>
              <w:autoSpaceDE w:val="0"/>
              <w:autoSpaceDN w:val="0"/>
              <w:adjustRightInd w:val="0"/>
              <w:spacing w:before="60" w:after="60"/>
              <w:ind w:left="180" w:right="-20"/>
              <w:jc w:val="right"/>
              <w:rPr>
                <w:b/>
              </w:rPr>
            </w:pPr>
            <w:r>
              <w:rPr>
                <w:b/>
                <w:bCs/>
              </w:rPr>
              <w:t>1 091,50</w:t>
            </w:r>
          </w:p>
        </w:tc>
        <w:tc>
          <w:tcPr>
            <w:tcW w:w="1262" w:type="dxa"/>
            <w:vAlign w:val="center"/>
          </w:tcPr>
          <w:p w:rsidR="00000000" w:rsidRDefault="00000000">
            <w:pPr>
              <w:widowControl w:val="0"/>
              <w:autoSpaceDE w:val="0"/>
              <w:autoSpaceDN w:val="0"/>
              <w:adjustRightInd w:val="0"/>
              <w:spacing w:before="60" w:after="60"/>
              <w:ind w:left="360" w:right="-20"/>
              <w:jc w:val="right"/>
              <w:rPr>
                <w:b/>
              </w:rPr>
            </w:pPr>
            <w:r>
              <w:rPr>
                <w:b/>
                <w:bCs/>
              </w:rPr>
              <w:t>913,18</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Domestique</w:t>
            </w:r>
          </w:p>
        </w:tc>
        <w:tc>
          <w:tcPr>
            <w:tcW w:w="1261" w:type="dxa"/>
            <w:vAlign w:val="center"/>
          </w:tcPr>
          <w:p w:rsidR="00000000" w:rsidRDefault="00000000">
            <w:pPr>
              <w:widowControl w:val="0"/>
              <w:autoSpaceDE w:val="0"/>
              <w:autoSpaceDN w:val="0"/>
              <w:adjustRightInd w:val="0"/>
              <w:spacing w:before="60" w:after="60"/>
              <w:ind w:left="391" w:right="-20"/>
              <w:jc w:val="right"/>
            </w:pPr>
            <w:r>
              <w:t>533,65</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590,62</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594,05</w:t>
            </w:r>
          </w:p>
        </w:tc>
        <w:tc>
          <w:tcPr>
            <w:tcW w:w="1261" w:type="dxa"/>
            <w:vAlign w:val="center"/>
          </w:tcPr>
          <w:p w:rsidR="00000000" w:rsidRDefault="00000000">
            <w:pPr>
              <w:widowControl w:val="0"/>
              <w:autoSpaceDE w:val="0"/>
              <w:autoSpaceDN w:val="0"/>
              <w:adjustRightInd w:val="0"/>
              <w:spacing w:before="60" w:after="60"/>
              <w:ind w:left="359" w:right="-20"/>
              <w:jc w:val="right"/>
            </w:pPr>
            <w:r>
              <w:t>687,00</w:t>
            </w:r>
          </w:p>
        </w:tc>
        <w:tc>
          <w:tcPr>
            <w:tcW w:w="1262" w:type="dxa"/>
            <w:vAlign w:val="center"/>
          </w:tcPr>
          <w:p w:rsidR="00000000" w:rsidRDefault="00000000">
            <w:pPr>
              <w:widowControl w:val="0"/>
              <w:autoSpaceDE w:val="0"/>
              <w:autoSpaceDN w:val="0"/>
              <w:adjustRightInd w:val="0"/>
              <w:spacing w:before="60" w:after="60"/>
              <w:ind w:left="359" w:right="-20"/>
              <w:jc w:val="right"/>
            </w:pPr>
            <w:r>
              <w:t>445,43</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Étatique</w:t>
            </w:r>
          </w:p>
        </w:tc>
        <w:tc>
          <w:tcPr>
            <w:tcW w:w="1261" w:type="dxa"/>
            <w:vAlign w:val="center"/>
          </w:tcPr>
          <w:p w:rsidR="00000000" w:rsidRDefault="00000000">
            <w:pPr>
              <w:widowControl w:val="0"/>
              <w:autoSpaceDE w:val="0"/>
              <w:autoSpaceDN w:val="0"/>
              <w:adjustRightInd w:val="0"/>
              <w:spacing w:before="60" w:after="60"/>
              <w:ind w:left="212" w:right="-20"/>
              <w:jc w:val="right"/>
            </w:pPr>
            <w:r>
              <w:t>1 416,85</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1 512,84</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1 730,97</w:t>
            </w:r>
          </w:p>
        </w:tc>
        <w:tc>
          <w:tcPr>
            <w:tcW w:w="1261" w:type="dxa"/>
            <w:vAlign w:val="center"/>
          </w:tcPr>
          <w:p w:rsidR="00000000" w:rsidRDefault="00000000">
            <w:pPr>
              <w:widowControl w:val="0"/>
              <w:autoSpaceDE w:val="0"/>
              <w:autoSpaceDN w:val="0"/>
              <w:adjustRightInd w:val="0"/>
              <w:spacing w:before="60" w:after="60"/>
              <w:ind w:left="180" w:right="-20"/>
              <w:jc w:val="right"/>
            </w:pPr>
            <w:r>
              <w:t>1 759,31</w:t>
            </w:r>
          </w:p>
        </w:tc>
        <w:tc>
          <w:tcPr>
            <w:tcW w:w="1262" w:type="dxa"/>
            <w:vAlign w:val="center"/>
          </w:tcPr>
          <w:p w:rsidR="00000000" w:rsidRDefault="00000000">
            <w:pPr>
              <w:widowControl w:val="0"/>
              <w:autoSpaceDE w:val="0"/>
              <w:autoSpaceDN w:val="0"/>
              <w:adjustRightInd w:val="0"/>
              <w:spacing w:before="60" w:after="60"/>
              <w:ind w:left="180" w:right="-20"/>
              <w:jc w:val="right"/>
            </w:pPr>
            <w:r>
              <w:t>1 707,78</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Familial</w:t>
            </w:r>
          </w:p>
        </w:tc>
        <w:tc>
          <w:tcPr>
            <w:tcW w:w="1261" w:type="dxa"/>
            <w:vAlign w:val="center"/>
          </w:tcPr>
          <w:p w:rsidR="00000000" w:rsidRDefault="00000000">
            <w:pPr>
              <w:widowControl w:val="0"/>
              <w:autoSpaceDE w:val="0"/>
              <w:autoSpaceDN w:val="0"/>
              <w:adjustRightInd w:val="0"/>
              <w:spacing w:before="60" w:after="60"/>
              <w:ind w:left="391" w:right="-20"/>
              <w:jc w:val="right"/>
            </w:pPr>
            <w:r>
              <w:t>667,78</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624,13</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519,76</w:t>
            </w:r>
          </w:p>
        </w:tc>
        <w:tc>
          <w:tcPr>
            <w:tcW w:w="1261" w:type="dxa"/>
            <w:vAlign w:val="center"/>
          </w:tcPr>
          <w:p w:rsidR="00000000" w:rsidRDefault="00000000">
            <w:pPr>
              <w:widowControl w:val="0"/>
              <w:autoSpaceDE w:val="0"/>
              <w:autoSpaceDN w:val="0"/>
              <w:adjustRightInd w:val="0"/>
              <w:spacing w:before="60" w:after="60"/>
              <w:ind w:left="359" w:right="-20"/>
              <w:jc w:val="right"/>
            </w:pPr>
            <w:r>
              <w:t>700,46</w:t>
            </w:r>
          </w:p>
        </w:tc>
        <w:tc>
          <w:tcPr>
            <w:tcW w:w="1262" w:type="dxa"/>
            <w:vAlign w:val="center"/>
          </w:tcPr>
          <w:p w:rsidR="00000000" w:rsidRDefault="00000000">
            <w:pPr>
              <w:widowControl w:val="0"/>
              <w:autoSpaceDE w:val="0"/>
              <w:autoSpaceDN w:val="0"/>
              <w:adjustRightInd w:val="0"/>
              <w:spacing w:before="60" w:after="60"/>
              <w:ind w:left="360" w:right="-20"/>
              <w:jc w:val="right"/>
            </w:pPr>
            <w:r>
              <w:t>557,41</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Semi-entreprise</w:t>
            </w:r>
          </w:p>
        </w:tc>
        <w:tc>
          <w:tcPr>
            <w:tcW w:w="1261" w:type="dxa"/>
            <w:vAlign w:val="center"/>
          </w:tcPr>
          <w:p w:rsidR="00000000" w:rsidRDefault="00000000">
            <w:pPr>
              <w:widowControl w:val="0"/>
              <w:autoSpaceDE w:val="0"/>
              <w:autoSpaceDN w:val="0"/>
              <w:adjustRightInd w:val="0"/>
              <w:spacing w:before="60" w:after="60"/>
              <w:ind w:left="212" w:right="-20"/>
              <w:jc w:val="right"/>
            </w:pPr>
            <w:r>
              <w:t>1 006,05</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868,24</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863,08</w:t>
            </w:r>
          </w:p>
        </w:tc>
        <w:tc>
          <w:tcPr>
            <w:tcW w:w="1261" w:type="dxa"/>
            <w:vAlign w:val="center"/>
          </w:tcPr>
          <w:p w:rsidR="00000000" w:rsidRDefault="00000000">
            <w:pPr>
              <w:widowControl w:val="0"/>
              <w:autoSpaceDE w:val="0"/>
              <w:autoSpaceDN w:val="0"/>
              <w:adjustRightInd w:val="0"/>
              <w:spacing w:before="60" w:after="60"/>
              <w:ind w:left="360" w:right="-20"/>
              <w:jc w:val="right"/>
            </w:pPr>
            <w:r>
              <w:t>989,74</w:t>
            </w:r>
          </w:p>
        </w:tc>
        <w:tc>
          <w:tcPr>
            <w:tcW w:w="1262" w:type="dxa"/>
            <w:vAlign w:val="center"/>
          </w:tcPr>
          <w:p w:rsidR="00000000" w:rsidRDefault="00000000">
            <w:pPr>
              <w:widowControl w:val="0"/>
              <w:autoSpaceDE w:val="0"/>
              <w:autoSpaceDN w:val="0"/>
              <w:adjustRightInd w:val="0"/>
              <w:spacing w:before="60" w:after="60"/>
              <w:ind w:left="360" w:right="-20"/>
              <w:jc w:val="right"/>
            </w:pPr>
            <w:r>
              <w:t>848,06</w:t>
            </w:r>
          </w:p>
        </w:tc>
      </w:tr>
      <w:tr w:rsidR="00000000">
        <w:tblPrEx>
          <w:tblCellMar>
            <w:top w:w="0" w:type="dxa"/>
            <w:bottom w:w="0" w:type="dxa"/>
          </w:tblCellMar>
        </w:tblPrEx>
        <w:tc>
          <w:tcPr>
            <w:tcW w:w="3190" w:type="dxa"/>
            <w:tcBorders>
              <w:top w:val="nil"/>
              <w:bottom w:val="single" w:sz="4" w:space="0" w:color="auto"/>
            </w:tcBorders>
            <w:vAlign w:val="center"/>
          </w:tcPr>
          <w:p w:rsidR="00000000" w:rsidRDefault="00000000">
            <w:pPr>
              <w:spacing w:before="60" w:after="60"/>
              <w:ind w:left="284"/>
            </w:pPr>
            <w:r>
              <w:t>Entreprise</w:t>
            </w:r>
          </w:p>
        </w:tc>
        <w:tc>
          <w:tcPr>
            <w:tcW w:w="1261" w:type="dxa"/>
            <w:vAlign w:val="center"/>
          </w:tcPr>
          <w:p w:rsidR="00000000" w:rsidRDefault="00000000">
            <w:pPr>
              <w:widowControl w:val="0"/>
              <w:autoSpaceDE w:val="0"/>
              <w:autoSpaceDN w:val="0"/>
              <w:adjustRightInd w:val="0"/>
              <w:spacing w:before="60" w:after="60"/>
              <w:ind w:left="212" w:right="-20"/>
              <w:jc w:val="right"/>
            </w:pPr>
            <w:r>
              <w:t>1 644,18</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1 879,81</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1 522,49</w:t>
            </w:r>
          </w:p>
        </w:tc>
        <w:tc>
          <w:tcPr>
            <w:tcW w:w="1261" w:type="dxa"/>
            <w:vAlign w:val="center"/>
          </w:tcPr>
          <w:p w:rsidR="00000000" w:rsidRDefault="00000000">
            <w:pPr>
              <w:widowControl w:val="0"/>
              <w:autoSpaceDE w:val="0"/>
              <w:autoSpaceDN w:val="0"/>
              <w:adjustRightInd w:val="0"/>
              <w:spacing w:before="60" w:after="60"/>
              <w:ind w:left="180" w:right="-20"/>
              <w:jc w:val="right"/>
            </w:pPr>
            <w:r>
              <w:t>1 769,26</w:t>
            </w:r>
          </w:p>
        </w:tc>
        <w:tc>
          <w:tcPr>
            <w:tcW w:w="1262" w:type="dxa"/>
            <w:vAlign w:val="center"/>
          </w:tcPr>
          <w:p w:rsidR="00000000" w:rsidRDefault="00000000">
            <w:pPr>
              <w:widowControl w:val="0"/>
              <w:autoSpaceDE w:val="0"/>
              <w:autoSpaceDN w:val="0"/>
              <w:adjustRightInd w:val="0"/>
              <w:spacing w:before="60" w:after="60"/>
              <w:ind w:left="181" w:right="-20"/>
              <w:jc w:val="right"/>
            </w:pPr>
            <w:r>
              <w:t>1 523,11</w:t>
            </w:r>
          </w:p>
        </w:tc>
      </w:tr>
      <w:tr w:rsidR="00000000">
        <w:tblPrEx>
          <w:tblCellMar>
            <w:top w:w="0" w:type="dxa"/>
            <w:bottom w:w="0" w:type="dxa"/>
          </w:tblCellMar>
        </w:tblPrEx>
        <w:tc>
          <w:tcPr>
            <w:tcW w:w="3190" w:type="dxa"/>
            <w:tcBorders>
              <w:bottom w:val="nil"/>
            </w:tcBorders>
            <w:vAlign w:val="center"/>
          </w:tcPr>
          <w:p w:rsidR="00000000" w:rsidRDefault="00000000">
            <w:pPr>
              <w:spacing w:before="60" w:after="60"/>
              <w:rPr>
                <w:b/>
                <w:bCs/>
              </w:rPr>
            </w:pPr>
            <w:r>
              <w:rPr>
                <w:b/>
                <w:bCs/>
              </w:rPr>
              <w:t>HOMMES</w:t>
            </w:r>
          </w:p>
        </w:tc>
        <w:tc>
          <w:tcPr>
            <w:tcW w:w="1261" w:type="dxa"/>
            <w:vAlign w:val="center"/>
          </w:tcPr>
          <w:p w:rsidR="00000000" w:rsidRDefault="00000000">
            <w:pPr>
              <w:widowControl w:val="0"/>
              <w:autoSpaceDE w:val="0"/>
              <w:autoSpaceDN w:val="0"/>
              <w:adjustRightInd w:val="0"/>
              <w:spacing w:before="60" w:after="60"/>
              <w:ind w:left="213" w:right="-20"/>
              <w:jc w:val="right"/>
              <w:rPr>
                <w:b/>
              </w:rPr>
            </w:pPr>
            <w:r>
              <w:rPr>
                <w:b/>
                <w:bCs/>
              </w:rPr>
              <w:t>1 250,54</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rPr>
                <w:b/>
              </w:rPr>
            </w:pPr>
            <w:r>
              <w:rPr>
                <w:b/>
                <w:bCs/>
              </w:rPr>
              <w:t>1 277,41</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rPr>
                <w:b/>
              </w:rPr>
            </w:pPr>
            <w:r>
              <w:rPr>
                <w:b/>
                <w:bCs/>
              </w:rPr>
              <w:t>1 172,22</w:t>
            </w:r>
          </w:p>
        </w:tc>
        <w:tc>
          <w:tcPr>
            <w:tcW w:w="1261" w:type="dxa"/>
            <w:vAlign w:val="center"/>
          </w:tcPr>
          <w:p w:rsidR="00000000" w:rsidRDefault="00000000">
            <w:pPr>
              <w:widowControl w:val="0"/>
              <w:autoSpaceDE w:val="0"/>
              <w:autoSpaceDN w:val="0"/>
              <w:adjustRightInd w:val="0"/>
              <w:spacing w:before="60" w:after="60"/>
              <w:ind w:left="181" w:right="-20"/>
              <w:jc w:val="right"/>
              <w:rPr>
                <w:b/>
              </w:rPr>
            </w:pPr>
            <w:r>
              <w:rPr>
                <w:b/>
                <w:bCs/>
              </w:rPr>
              <w:t>1 351,44</w:t>
            </w:r>
          </w:p>
        </w:tc>
        <w:tc>
          <w:tcPr>
            <w:tcW w:w="1262" w:type="dxa"/>
            <w:vAlign w:val="center"/>
          </w:tcPr>
          <w:p w:rsidR="00000000" w:rsidRDefault="00000000">
            <w:pPr>
              <w:widowControl w:val="0"/>
              <w:autoSpaceDE w:val="0"/>
              <w:autoSpaceDN w:val="0"/>
              <w:adjustRightInd w:val="0"/>
              <w:spacing w:before="60" w:after="60"/>
              <w:ind w:left="181" w:right="-20"/>
              <w:jc w:val="right"/>
              <w:rPr>
                <w:b/>
              </w:rPr>
            </w:pPr>
            <w:r>
              <w:rPr>
                <w:b/>
                <w:bCs/>
              </w:rPr>
              <w:t>1 086,06</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Domestique</w:t>
            </w:r>
          </w:p>
        </w:tc>
        <w:tc>
          <w:tcPr>
            <w:tcW w:w="1261" w:type="dxa"/>
            <w:vAlign w:val="center"/>
          </w:tcPr>
          <w:p w:rsidR="00000000" w:rsidRDefault="00000000">
            <w:pPr>
              <w:widowControl w:val="0"/>
              <w:autoSpaceDE w:val="0"/>
              <w:autoSpaceDN w:val="0"/>
              <w:adjustRightInd w:val="0"/>
              <w:spacing w:before="60" w:after="60"/>
              <w:ind w:left="391" w:right="-20"/>
              <w:jc w:val="right"/>
            </w:pPr>
            <w:r>
              <w:t>608,41</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780,28</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708,33</w:t>
            </w:r>
          </w:p>
        </w:tc>
        <w:tc>
          <w:tcPr>
            <w:tcW w:w="1261" w:type="dxa"/>
            <w:vAlign w:val="center"/>
          </w:tcPr>
          <w:p w:rsidR="00000000" w:rsidRDefault="00000000">
            <w:pPr>
              <w:widowControl w:val="0"/>
              <w:autoSpaceDE w:val="0"/>
              <w:autoSpaceDN w:val="0"/>
              <w:adjustRightInd w:val="0"/>
              <w:spacing w:before="60" w:after="60"/>
              <w:ind w:left="359" w:right="-20"/>
              <w:jc w:val="right"/>
            </w:pPr>
            <w:r>
              <w:t>987,37</w:t>
            </w:r>
          </w:p>
        </w:tc>
        <w:tc>
          <w:tcPr>
            <w:tcW w:w="1262" w:type="dxa"/>
            <w:vAlign w:val="center"/>
          </w:tcPr>
          <w:p w:rsidR="00000000" w:rsidRDefault="00000000">
            <w:pPr>
              <w:widowControl w:val="0"/>
              <w:autoSpaceDE w:val="0"/>
              <w:autoSpaceDN w:val="0"/>
              <w:adjustRightInd w:val="0"/>
              <w:spacing w:before="60" w:after="60"/>
              <w:ind w:left="359" w:right="-20"/>
              <w:jc w:val="right"/>
            </w:pPr>
            <w:r>
              <w:t>534,01</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Étatique</w:t>
            </w:r>
          </w:p>
        </w:tc>
        <w:tc>
          <w:tcPr>
            <w:tcW w:w="1261" w:type="dxa"/>
            <w:vAlign w:val="center"/>
          </w:tcPr>
          <w:p w:rsidR="00000000" w:rsidRDefault="00000000">
            <w:pPr>
              <w:widowControl w:val="0"/>
              <w:autoSpaceDE w:val="0"/>
              <w:autoSpaceDN w:val="0"/>
              <w:adjustRightInd w:val="0"/>
              <w:spacing w:before="60" w:after="60"/>
              <w:ind w:left="212" w:right="-20"/>
              <w:jc w:val="right"/>
            </w:pPr>
            <w:r>
              <w:t>1 529,69</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1 648,44</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2 016,61</w:t>
            </w:r>
          </w:p>
        </w:tc>
        <w:tc>
          <w:tcPr>
            <w:tcW w:w="1261" w:type="dxa"/>
            <w:vAlign w:val="center"/>
          </w:tcPr>
          <w:p w:rsidR="00000000" w:rsidRDefault="00000000">
            <w:pPr>
              <w:widowControl w:val="0"/>
              <w:autoSpaceDE w:val="0"/>
              <w:autoSpaceDN w:val="0"/>
              <w:adjustRightInd w:val="0"/>
              <w:spacing w:before="60" w:after="60"/>
              <w:ind w:left="180" w:right="-20"/>
              <w:jc w:val="right"/>
            </w:pPr>
            <w:r>
              <w:t>2 003,47</w:t>
            </w:r>
          </w:p>
        </w:tc>
        <w:tc>
          <w:tcPr>
            <w:tcW w:w="1262" w:type="dxa"/>
            <w:vAlign w:val="center"/>
          </w:tcPr>
          <w:p w:rsidR="00000000" w:rsidRDefault="00000000">
            <w:pPr>
              <w:widowControl w:val="0"/>
              <w:autoSpaceDE w:val="0"/>
              <w:autoSpaceDN w:val="0"/>
              <w:adjustRightInd w:val="0"/>
              <w:spacing w:before="60" w:after="60"/>
              <w:ind w:left="180" w:right="-20"/>
              <w:jc w:val="right"/>
            </w:pPr>
            <w:r>
              <w:t>1 780,21</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Familial</w:t>
            </w:r>
          </w:p>
        </w:tc>
        <w:tc>
          <w:tcPr>
            <w:tcW w:w="1261" w:type="dxa"/>
            <w:vAlign w:val="center"/>
          </w:tcPr>
          <w:p w:rsidR="00000000" w:rsidRDefault="00000000">
            <w:pPr>
              <w:widowControl w:val="0"/>
              <w:autoSpaceDE w:val="0"/>
              <w:autoSpaceDN w:val="0"/>
              <w:adjustRightInd w:val="0"/>
              <w:spacing w:before="60" w:after="60"/>
              <w:ind w:left="391" w:right="-20"/>
              <w:jc w:val="right"/>
            </w:pPr>
            <w:r>
              <w:t>888,68</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771,25</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715,46</w:t>
            </w:r>
          </w:p>
        </w:tc>
        <w:tc>
          <w:tcPr>
            <w:tcW w:w="1261" w:type="dxa"/>
            <w:vAlign w:val="center"/>
          </w:tcPr>
          <w:p w:rsidR="00000000" w:rsidRDefault="00000000">
            <w:pPr>
              <w:widowControl w:val="0"/>
              <w:autoSpaceDE w:val="0"/>
              <w:autoSpaceDN w:val="0"/>
              <w:adjustRightInd w:val="0"/>
              <w:spacing w:before="60" w:after="60"/>
              <w:ind w:left="359" w:right="-20"/>
              <w:jc w:val="right"/>
            </w:pPr>
            <w:r>
              <w:t>923,87</w:t>
            </w:r>
          </w:p>
        </w:tc>
        <w:tc>
          <w:tcPr>
            <w:tcW w:w="1262" w:type="dxa"/>
            <w:vAlign w:val="center"/>
          </w:tcPr>
          <w:p w:rsidR="00000000" w:rsidRDefault="00000000">
            <w:pPr>
              <w:widowControl w:val="0"/>
              <w:autoSpaceDE w:val="0"/>
              <w:autoSpaceDN w:val="0"/>
              <w:adjustRightInd w:val="0"/>
              <w:spacing w:before="60" w:after="60"/>
              <w:ind w:left="360" w:right="-20"/>
              <w:jc w:val="right"/>
            </w:pPr>
            <w:r>
              <w:t>749,23</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Semi-entreprise</w:t>
            </w:r>
          </w:p>
        </w:tc>
        <w:tc>
          <w:tcPr>
            <w:tcW w:w="1261" w:type="dxa"/>
            <w:vAlign w:val="center"/>
          </w:tcPr>
          <w:p w:rsidR="00000000" w:rsidRDefault="00000000">
            <w:pPr>
              <w:widowControl w:val="0"/>
              <w:autoSpaceDE w:val="0"/>
              <w:autoSpaceDN w:val="0"/>
              <w:adjustRightInd w:val="0"/>
              <w:spacing w:before="60" w:after="60"/>
              <w:ind w:left="392" w:right="-20"/>
              <w:jc w:val="right"/>
            </w:pPr>
            <w:r>
              <w:t>997,99</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889,77</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904,28</w:t>
            </w:r>
          </w:p>
        </w:tc>
        <w:tc>
          <w:tcPr>
            <w:tcW w:w="1261" w:type="dxa"/>
            <w:vAlign w:val="center"/>
          </w:tcPr>
          <w:p w:rsidR="00000000" w:rsidRDefault="00000000">
            <w:pPr>
              <w:widowControl w:val="0"/>
              <w:autoSpaceDE w:val="0"/>
              <w:autoSpaceDN w:val="0"/>
              <w:adjustRightInd w:val="0"/>
              <w:spacing w:before="60" w:after="60"/>
              <w:ind w:left="180" w:right="-20"/>
              <w:jc w:val="right"/>
            </w:pPr>
            <w:r>
              <w:t>1 032,27</w:t>
            </w:r>
          </w:p>
        </w:tc>
        <w:tc>
          <w:tcPr>
            <w:tcW w:w="1262" w:type="dxa"/>
            <w:vAlign w:val="center"/>
          </w:tcPr>
          <w:p w:rsidR="00000000" w:rsidRDefault="00000000">
            <w:pPr>
              <w:widowControl w:val="0"/>
              <w:autoSpaceDE w:val="0"/>
              <w:autoSpaceDN w:val="0"/>
              <w:adjustRightInd w:val="0"/>
              <w:spacing w:before="60" w:after="60"/>
              <w:ind w:left="360" w:right="-20"/>
              <w:jc w:val="right"/>
            </w:pPr>
            <w:r>
              <w:t>899,57</w:t>
            </w:r>
          </w:p>
        </w:tc>
      </w:tr>
      <w:tr w:rsidR="00000000">
        <w:tblPrEx>
          <w:tblCellMar>
            <w:top w:w="0" w:type="dxa"/>
            <w:bottom w:w="0" w:type="dxa"/>
          </w:tblCellMar>
        </w:tblPrEx>
        <w:tc>
          <w:tcPr>
            <w:tcW w:w="3190" w:type="dxa"/>
            <w:tcBorders>
              <w:top w:val="nil"/>
              <w:bottom w:val="single" w:sz="4" w:space="0" w:color="auto"/>
            </w:tcBorders>
            <w:vAlign w:val="center"/>
          </w:tcPr>
          <w:p w:rsidR="00000000" w:rsidRDefault="00000000">
            <w:pPr>
              <w:spacing w:before="60" w:after="60"/>
              <w:ind w:left="284"/>
            </w:pPr>
            <w:r>
              <w:t>Entreprise</w:t>
            </w:r>
          </w:p>
        </w:tc>
        <w:tc>
          <w:tcPr>
            <w:tcW w:w="1261" w:type="dxa"/>
            <w:vAlign w:val="center"/>
          </w:tcPr>
          <w:p w:rsidR="00000000" w:rsidRDefault="00000000">
            <w:pPr>
              <w:widowControl w:val="0"/>
              <w:autoSpaceDE w:val="0"/>
              <w:autoSpaceDN w:val="0"/>
              <w:adjustRightInd w:val="0"/>
              <w:spacing w:before="60" w:after="60"/>
              <w:ind w:left="212" w:right="-20"/>
              <w:jc w:val="right"/>
            </w:pPr>
            <w:r>
              <w:t>1 765,12</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2 050,18</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1 594,43</w:t>
            </w:r>
          </w:p>
        </w:tc>
        <w:tc>
          <w:tcPr>
            <w:tcW w:w="1261" w:type="dxa"/>
            <w:vAlign w:val="center"/>
          </w:tcPr>
          <w:p w:rsidR="00000000" w:rsidRDefault="00000000">
            <w:pPr>
              <w:widowControl w:val="0"/>
              <w:autoSpaceDE w:val="0"/>
              <w:autoSpaceDN w:val="0"/>
              <w:adjustRightInd w:val="0"/>
              <w:spacing w:before="60" w:after="60"/>
              <w:ind w:left="180" w:right="-20"/>
              <w:jc w:val="right"/>
            </w:pPr>
            <w:r>
              <w:t>1 911,39</w:t>
            </w:r>
          </w:p>
        </w:tc>
        <w:tc>
          <w:tcPr>
            <w:tcW w:w="1262" w:type="dxa"/>
            <w:vAlign w:val="center"/>
          </w:tcPr>
          <w:p w:rsidR="00000000" w:rsidRDefault="00000000">
            <w:pPr>
              <w:widowControl w:val="0"/>
              <w:autoSpaceDE w:val="0"/>
              <w:autoSpaceDN w:val="0"/>
              <w:adjustRightInd w:val="0"/>
              <w:spacing w:before="60" w:after="60"/>
              <w:ind w:left="181" w:right="-20"/>
              <w:jc w:val="right"/>
            </w:pPr>
            <w:r>
              <w:t>1 450,40</w:t>
            </w:r>
          </w:p>
        </w:tc>
      </w:tr>
      <w:tr w:rsidR="00000000">
        <w:tblPrEx>
          <w:tblCellMar>
            <w:top w:w="0" w:type="dxa"/>
            <w:bottom w:w="0" w:type="dxa"/>
          </w:tblCellMar>
        </w:tblPrEx>
        <w:tc>
          <w:tcPr>
            <w:tcW w:w="3190" w:type="dxa"/>
            <w:tcBorders>
              <w:bottom w:val="nil"/>
            </w:tcBorders>
            <w:vAlign w:val="center"/>
          </w:tcPr>
          <w:p w:rsidR="00000000" w:rsidRDefault="00000000">
            <w:pPr>
              <w:spacing w:before="60" w:after="60"/>
              <w:rPr>
                <w:b/>
                <w:bCs/>
              </w:rPr>
            </w:pPr>
            <w:r>
              <w:rPr>
                <w:b/>
                <w:bCs/>
              </w:rPr>
              <w:t>FEMMES</w:t>
            </w:r>
          </w:p>
        </w:tc>
        <w:tc>
          <w:tcPr>
            <w:tcW w:w="1261" w:type="dxa"/>
            <w:vAlign w:val="center"/>
          </w:tcPr>
          <w:p w:rsidR="00000000" w:rsidRDefault="00000000">
            <w:pPr>
              <w:widowControl w:val="0"/>
              <w:autoSpaceDE w:val="0"/>
              <w:autoSpaceDN w:val="0"/>
              <w:adjustRightInd w:val="0"/>
              <w:spacing w:before="60" w:after="60"/>
              <w:ind w:left="392" w:right="-20"/>
              <w:jc w:val="right"/>
              <w:rPr>
                <w:b/>
              </w:rPr>
            </w:pPr>
            <w:r>
              <w:rPr>
                <w:b/>
                <w:bCs/>
              </w:rPr>
              <w:t>729,52</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rPr>
                <w:b/>
              </w:rPr>
            </w:pPr>
            <w:r>
              <w:rPr>
                <w:b/>
                <w:bCs/>
              </w:rPr>
              <w:t>768,26</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rPr>
                <w:b/>
              </w:rPr>
            </w:pPr>
            <w:r>
              <w:rPr>
                <w:b/>
                <w:bCs/>
              </w:rPr>
              <w:t>652,67</w:t>
            </w:r>
          </w:p>
        </w:tc>
        <w:tc>
          <w:tcPr>
            <w:tcW w:w="1261" w:type="dxa"/>
            <w:vAlign w:val="center"/>
          </w:tcPr>
          <w:p w:rsidR="00000000" w:rsidRDefault="00000000">
            <w:pPr>
              <w:widowControl w:val="0"/>
              <w:autoSpaceDE w:val="0"/>
              <w:autoSpaceDN w:val="0"/>
              <w:adjustRightInd w:val="0"/>
              <w:spacing w:before="60" w:after="60"/>
              <w:ind w:left="360" w:right="-20"/>
              <w:jc w:val="right"/>
              <w:rPr>
                <w:b/>
              </w:rPr>
            </w:pPr>
            <w:r>
              <w:rPr>
                <w:b/>
                <w:bCs/>
              </w:rPr>
              <w:t>773,00</w:t>
            </w:r>
          </w:p>
        </w:tc>
        <w:tc>
          <w:tcPr>
            <w:tcW w:w="1262" w:type="dxa"/>
            <w:vAlign w:val="center"/>
          </w:tcPr>
          <w:p w:rsidR="00000000" w:rsidRDefault="00000000">
            <w:pPr>
              <w:widowControl w:val="0"/>
              <w:autoSpaceDE w:val="0"/>
              <w:autoSpaceDN w:val="0"/>
              <w:adjustRightInd w:val="0"/>
              <w:spacing w:before="60" w:after="60"/>
              <w:ind w:left="360" w:right="-20"/>
              <w:jc w:val="right"/>
              <w:rPr>
                <w:b/>
              </w:rPr>
            </w:pPr>
            <w:r>
              <w:rPr>
                <w:b/>
                <w:bCs/>
              </w:rPr>
              <w:t>699,11</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Domestique</w:t>
            </w:r>
          </w:p>
        </w:tc>
        <w:tc>
          <w:tcPr>
            <w:tcW w:w="1261" w:type="dxa"/>
            <w:vAlign w:val="center"/>
          </w:tcPr>
          <w:p w:rsidR="00000000" w:rsidRDefault="00000000">
            <w:pPr>
              <w:widowControl w:val="0"/>
              <w:autoSpaceDE w:val="0"/>
              <w:autoSpaceDN w:val="0"/>
              <w:adjustRightInd w:val="0"/>
              <w:spacing w:before="60" w:after="60"/>
              <w:ind w:left="391" w:right="-20"/>
              <w:jc w:val="right"/>
            </w:pPr>
            <w:r>
              <w:t>529,69</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585,58</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589,28</w:t>
            </w:r>
          </w:p>
        </w:tc>
        <w:tc>
          <w:tcPr>
            <w:tcW w:w="1261" w:type="dxa"/>
            <w:vAlign w:val="center"/>
          </w:tcPr>
          <w:p w:rsidR="00000000" w:rsidRDefault="00000000">
            <w:pPr>
              <w:widowControl w:val="0"/>
              <w:autoSpaceDE w:val="0"/>
              <w:autoSpaceDN w:val="0"/>
              <w:adjustRightInd w:val="0"/>
              <w:spacing w:before="60" w:after="60"/>
              <w:ind w:left="359" w:right="-20"/>
              <w:jc w:val="right"/>
            </w:pPr>
            <w:r>
              <w:t>677,25</w:t>
            </w:r>
          </w:p>
        </w:tc>
        <w:tc>
          <w:tcPr>
            <w:tcW w:w="1262" w:type="dxa"/>
            <w:vAlign w:val="center"/>
          </w:tcPr>
          <w:p w:rsidR="00000000" w:rsidRDefault="00000000">
            <w:pPr>
              <w:widowControl w:val="0"/>
              <w:autoSpaceDE w:val="0"/>
              <w:autoSpaceDN w:val="0"/>
              <w:adjustRightInd w:val="0"/>
              <w:spacing w:before="60" w:after="60"/>
              <w:ind w:left="359" w:right="-20"/>
              <w:jc w:val="right"/>
            </w:pPr>
            <w:r>
              <w:t>442,72</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Étatique</w:t>
            </w:r>
          </w:p>
        </w:tc>
        <w:tc>
          <w:tcPr>
            <w:tcW w:w="1261" w:type="dxa"/>
            <w:vAlign w:val="center"/>
          </w:tcPr>
          <w:p w:rsidR="00000000" w:rsidRDefault="00000000">
            <w:pPr>
              <w:widowControl w:val="0"/>
              <w:autoSpaceDE w:val="0"/>
              <w:autoSpaceDN w:val="0"/>
              <w:adjustRightInd w:val="0"/>
              <w:spacing w:before="60" w:after="60"/>
              <w:ind w:left="212" w:right="-20"/>
              <w:jc w:val="right"/>
            </w:pPr>
            <w:r>
              <w:t>1 270,53</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1 321,49</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1 355,73</w:t>
            </w:r>
          </w:p>
        </w:tc>
        <w:tc>
          <w:tcPr>
            <w:tcW w:w="1261" w:type="dxa"/>
            <w:vAlign w:val="center"/>
          </w:tcPr>
          <w:p w:rsidR="00000000" w:rsidRDefault="00000000">
            <w:pPr>
              <w:widowControl w:val="0"/>
              <w:autoSpaceDE w:val="0"/>
              <w:autoSpaceDN w:val="0"/>
              <w:adjustRightInd w:val="0"/>
              <w:spacing w:before="60" w:after="60"/>
              <w:ind w:left="180" w:right="-20"/>
              <w:jc w:val="right"/>
            </w:pPr>
            <w:r>
              <w:t>1 478,58</w:t>
            </w:r>
          </w:p>
        </w:tc>
        <w:tc>
          <w:tcPr>
            <w:tcW w:w="1262" w:type="dxa"/>
            <w:vAlign w:val="center"/>
          </w:tcPr>
          <w:p w:rsidR="00000000" w:rsidRDefault="00000000">
            <w:pPr>
              <w:widowControl w:val="0"/>
              <w:autoSpaceDE w:val="0"/>
              <w:autoSpaceDN w:val="0"/>
              <w:adjustRightInd w:val="0"/>
              <w:spacing w:before="60" w:after="60"/>
              <w:ind w:left="180" w:right="-20"/>
              <w:jc w:val="right"/>
            </w:pPr>
            <w:r>
              <w:t>1 621,70</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Familial</w:t>
            </w:r>
          </w:p>
        </w:tc>
        <w:tc>
          <w:tcPr>
            <w:tcW w:w="1261" w:type="dxa"/>
            <w:vAlign w:val="center"/>
          </w:tcPr>
          <w:p w:rsidR="00000000" w:rsidRDefault="00000000">
            <w:pPr>
              <w:widowControl w:val="0"/>
              <w:autoSpaceDE w:val="0"/>
              <w:autoSpaceDN w:val="0"/>
              <w:adjustRightInd w:val="0"/>
              <w:spacing w:before="60" w:after="60"/>
              <w:ind w:left="391" w:right="-20"/>
              <w:jc w:val="right"/>
            </w:pPr>
            <w:r>
              <w:t>491,03</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492,44</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364,74</w:t>
            </w:r>
          </w:p>
        </w:tc>
        <w:tc>
          <w:tcPr>
            <w:tcW w:w="1261" w:type="dxa"/>
            <w:vAlign w:val="center"/>
          </w:tcPr>
          <w:p w:rsidR="00000000" w:rsidRDefault="00000000">
            <w:pPr>
              <w:widowControl w:val="0"/>
              <w:autoSpaceDE w:val="0"/>
              <w:autoSpaceDN w:val="0"/>
              <w:adjustRightInd w:val="0"/>
              <w:spacing w:before="60" w:after="60"/>
              <w:ind w:left="359" w:right="-20"/>
              <w:jc w:val="right"/>
            </w:pPr>
            <w:r>
              <w:t>521,98</w:t>
            </w:r>
          </w:p>
        </w:tc>
        <w:tc>
          <w:tcPr>
            <w:tcW w:w="1262" w:type="dxa"/>
            <w:vAlign w:val="center"/>
          </w:tcPr>
          <w:p w:rsidR="00000000" w:rsidRDefault="00000000">
            <w:pPr>
              <w:widowControl w:val="0"/>
              <w:autoSpaceDE w:val="0"/>
              <w:autoSpaceDN w:val="0"/>
              <w:adjustRightInd w:val="0"/>
              <w:spacing w:before="60" w:after="60"/>
              <w:ind w:left="360" w:right="-20"/>
              <w:jc w:val="right"/>
            </w:pPr>
            <w:r>
              <w:t>410,16</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Semi-entreprise</w:t>
            </w:r>
          </w:p>
        </w:tc>
        <w:tc>
          <w:tcPr>
            <w:tcW w:w="1261" w:type="dxa"/>
            <w:vAlign w:val="center"/>
          </w:tcPr>
          <w:p w:rsidR="00000000" w:rsidRDefault="00000000">
            <w:pPr>
              <w:widowControl w:val="0"/>
              <w:autoSpaceDE w:val="0"/>
              <w:autoSpaceDN w:val="0"/>
              <w:adjustRightInd w:val="0"/>
              <w:spacing w:before="60" w:after="60"/>
              <w:ind w:left="212" w:right="-20"/>
              <w:jc w:val="right"/>
            </w:pPr>
            <w:r>
              <w:t>1 027,88</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792,95</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758,82</w:t>
            </w:r>
          </w:p>
        </w:tc>
        <w:tc>
          <w:tcPr>
            <w:tcW w:w="1261" w:type="dxa"/>
            <w:vAlign w:val="center"/>
          </w:tcPr>
          <w:p w:rsidR="00000000" w:rsidRDefault="00000000">
            <w:pPr>
              <w:widowControl w:val="0"/>
              <w:autoSpaceDE w:val="0"/>
              <w:autoSpaceDN w:val="0"/>
              <w:adjustRightInd w:val="0"/>
              <w:spacing w:before="60" w:after="60"/>
              <w:ind w:left="360" w:right="-20"/>
              <w:jc w:val="right"/>
            </w:pPr>
            <w:r>
              <w:t>890,05</w:t>
            </w:r>
          </w:p>
        </w:tc>
        <w:tc>
          <w:tcPr>
            <w:tcW w:w="1262" w:type="dxa"/>
            <w:vAlign w:val="center"/>
          </w:tcPr>
          <w:p w:rsidR="00000000" w:rsidRDefault="00000000">
            <w:pPr>
              <w:widowControl w:val="0"/>
              <w:autoSpaceDE w:val="0"/>
              <w:autoSpaceDN w:val="0"/>
              <w:adjustRightInd w:val="0"/>
              <w:spacing w:before="60" w:after="60"/>
              <w:ind w:left="360" w:right="-20"/>
              <w:jc w:val="right"/>
            </w:pPr>
            <w:r>
              <w:t>687,91</w:t>
            </w:r>
          </w:p>
        </w:tc>
      </w:tr>
      <w:tr w:rsidR="00000000">
        <w:tblPrEx>
          <w:tblCellMar>
            <w:top w:w="0" w:type="dxa"/>
            <w:bottom w:w="0" w:type="dxa"/>
          </w:tblCellMar>
        </w:tblPrEx>
        <w:tc>
          <w:tcPr>
            <w:tcW w:w="3190" w:type="dxa"/>
            <w:tcBorders>
              <w:top w:val="nil"/>
            </w:tcBorders>
            <w:vAlign w:val="center"/>
          </w:tcPr>
          <w:p w:rsidR="00000000" w:rsidRDefault="00000000">
            <w:pPr>
              <w:spacing w:before="60" w:after="60"/>
              <w:ind w:left="284"/>
            </w:pPr>
            <w:r>
              <w:t>Entreprise</w:t>
            </w:r>
          </w:p>
        </w:tc>
        <w:tc>
          <w:tcPr>
            <w:tcW w:w="1261" w:type="dxa"/>
            <w:vAlign w:val="center"/>
          </w:tcPr>
          <w:p w:rsidR="00000000" w:rsidRDefault="00000000">
            <w:pPr>
              <w:widowControl w:val="0"/>
              <w:autoSpaceDE w:val="0"/>
              <w:autoSpaceDN w:val="0"/>
              <w:adjustRightInd w:val="0"/>
              <w:spacing w:before="60" w:after="60"/>
              <w:ind w:left="212" w:right="-20"/>
              <w:jc w:val="right"/>
            </w:pPr>
            <w:r>
              <w:t>1 282,85</w:t>
            </w:r>
          </w:p>
        </w:tc>
        <w:tc>
          <w:tcPr>
            <w:tcW w:w="1261" w:type="dxa"/>
            <w:vAlign w:val="center"/>
          </w:tcPr>
          <w:p w:rsidR="00000000" w:rsidRDefault="00000000">
            <w:pPr>
              <w:widowControl w:val="0"/>
              <w:tabs>
                <w:tab w:val="decimal" w:pos="692"/>
              </w:tabs>
              <w:autoSpaceDE w:val="0"/>
              <w:autoSpaceDN w:val="0"/>
              <w:adjustRightInd w:val="0"/>
              <w:spacing w:before="60" w:after="60"/>
              <w:ind w:left="-390" w:right="-20"/>
              <w:jc w:val="right"/>
            </w:pPr>
            <w:r>
              <w:t>1 486,57</w:t>
            </w:r>
          </w:p>
        </w:tc>
        <w:tc>
          <w:tcPr>
            <w:tcW w:w="1261" w:type="dxa"/>
            <w:vAlign w:val="center"/>
          </w:tcPr>
          <w:p w:rsidR="00000000" w:rsidRDefault="00000000">
            <w:pPr>
              <w:widowControl w:val="0"/>
              <w:tabs>
                <w:tab w:val="decimal" w:pos="744"/>
              </w:tabs>
              <w:autoSpaceDE w:val="0"/>
              <w:autoSpaceDN w:val="0"/>
              <w:adjustRightInd w:val="0"/>
              <w:spacing w:before="60" w:after="60"/>
              <w:ind w:left="197" w:right="-20"/>
              <w:jc w:val="right"/>
            </w:pPr>
            <w:r>
              <w:t>1 325,54</w:t>
            </w:r>
          </w:p>
        </w:tc>
        <w:tc>
          <w:tcPr>
            <w:tcW w:w="1261" w:type="dxa"/>
            <w:vAlign w:val="center"/>
          </w:tcPr>
          <w:p w:rsidR="00000000" w:rsidRDefault="00000000">
            <w:pPr>
              <w:widowControl w:val="0"/>
              <w:autoSpaceDE w:val="0"/>
              <w:autoSpaceDN w:val="0"/>
              <w:adjustRightInd w:val="0"/>
              <w:spacing w:before="60" w:after="60"/>
              <w:ind w:left="180" w:right="-20"/>
              <w:jc w:val="right"/>
            </w:pPr>
            <w:r>
              <w:t>1 313,78</w:t>
            </w:r>
          </w:p>
        </w:tc>
        <w:tc>
          <w:tcPr>
            <w:tcW w:w="1262" w:type="dxa"/>
            <w:vAlign w:val="center"/>
          </w:tcPr>
          <w:p w:rsidR="00000000" w:rsidRDefault="00000000">
            <w:pPr>
              <w:widowControl w:val="0"/>
              <w:autoSpaceDE w:val="0"/>
              <w:autoSpaceDN w:val="0"/>
              <w:adjustRightInd w:val="0"/>
              <w:spacing w:before="60" w:after="60"/>
              <w:ind w:left="181" w:right="-20"/>
              <w:jc w:val="right"/>
            </w:pPr>
            <w:r>
              <w:t>1 778,45</w:t>
            </w:r>
          </w:p>
        </w:tc>
      </w:tr>
    </w:tbl>
    <w:p w:rsidR="00000000" w:rsidRDefault="00000000">
      <w:pPr>
        <w:spacing w:before="180"/>
        <w:ind w:firstLine="567"/>
      </w:pPr>
      <w:r>
        <w:rPr>
          <w:i/>
          <w:iCs/>
        </w:rPr>
        <w:t>Source</w:t>
      </w:r>
      <w:r>
        <w:t>: Institut national de statistique.</w:t>
      </w:r>
    </w:p>
    <w:p w:rsidR="00000000" w:rsidRDefault="00000000">
      <w:pPr>
        <w:spacing w:before="180"/>
      </w:pPr>
      <w:r>
        <w:rPr>
          <w:b/>
          <w:bCs/>
          <w:i/>
          <w:iCs/>
          <w:vertAlign w:val="superscript"/>
        </w:rPr>
        <w:t>p</w:t>
      </w:r>
      <w:r>
        <w:t xml:space="preserve"> Chiffres provisoires.</w:t>
      </w:r>
    </w:p>
    <w:p w:rsidR="00000000" w:rsidRDefault="00000000">
      <w:pPr>
        <w:spacing w:after="180"/>
        <w:jc w:val="center"/>
        <w:rPr>
          <w:b/>
          <w:bCs/>
        </w:rPr>
      </w:pPr>
      <w:r>
        <w:br w:type="page"/>
      </w:r>
      <w:r>
        <w:rPr>
          <w:b/>
          <w:bCs/>
        </w:rPr>
        <w:t>Tableau 5.2</w:t>
      </w:r>
    </w:p>
    <w:p w:rsidR="00000000" w:rsidRDefault="00000000">
      <w:pPr>
        <w:spacing w:after="180"/>
        <w:jc w:val="center"/>
      </w:pPr>
      <w:r>
        <w:rPr>
          <w:b/>
          <w:bCs/>
        </w:rPr>
        <w:t>Bolivie − Zones rurales: Revenu mensuel moyen, dans l’activité principale,</w:t>
      </w:r>
      <w:r>
        <w:rPr>
          <w:b/>
          <w:bCs/>
        </w:rPr>
        <w:br/>
        <w:t>par année, sexe et secteur du marché du travail, 1999</w:t>
      </w:r>
      <w:r>
        <w:rPr>
          <w:b/>
          <w:bCs/>
        </w:rPr>
        <w:noBreakHyphen/>
        <w:t>2003</w:t>
      </w:r>
      <w:r>
        <w:rPr>
          <w:b/>
          <w:bCs/>
          <w:i/>
          <w:iCs/>
          <w:vertAlign w:val="superscript"/>
        </w:rPr>
        <w:t>p</w:t>
      </w:r>
      <w:r>
        <w:rPr>
          <w:b/>
          <w:bCs/>
        </w:rPr>
        <w:br/>
      </w:r>
      <w:r>
        <w:t>(</w:t>
      </w:r>
      <w:r>
        <w:rPr>
          <w:i/>
          <w:iCs/>
        </w:rPr>
        <w:t>En bolivianos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261"/>
        <w:gridCol w:w="1261"/>
        <w:gridCol w:w="1261"/>
        <w:gridCol w:w="1261"/>
        <w:gridCol w:w="1262"/>
      </w:tblGrid>
      <w:tr w:rsidR="00000000">
        <w:tblPrEx>
          <w:tblCellMar>
            <w:top w:w="0" w:type="dxa"/>
            <w:bottom w:w="0" w:type="dxa"/>
          </w:tblCellMar>
        </w:tblPrEx>
        <w:trPr>
          <w:tblHeader/>
        </w:trPr>
        <w:tc>
          <w:tcPr>
            <w:tcW w:w="3190" w:type="dxa"/>
            <w:tcBorders>
              <w:bottom w:val="single" w:sz="4" w:space="0" w:color="auto"/>
            </w:tcBorders>
            <w:vAlign w:val="center"/>
          </w:tcPr>
          <w:p w:rsidR="00000000" w:rsidRDefault="00000000">
            <w:pPr>
              <w:spacing w:before="60" w:after="60"/>
              <w:jc w:val="center"/>
            </w:pPr>
            <w:r>
              <w:t>Secteur du marché du travail</w:t>
            </w:r>
          </w:p>
        </w:tc>
        <w:tc>
          <w:tcPr>
            <w:tcW w:w="1261" w:type="dxa"/>
            <w:vAlign w:val="center"/>
          </w:tcPr>
          <w:p w:rsidR="00000000" w:rsidRDefault="00000000">
            <w:pPr>
              <w:spacing w:before="60" w:after="60"/>
              <w:jc w:val="center"/>
            </w:pPr>
            <w:r>
              <w:t>1999</w:t>
            </w:r>
          </w:p>
        </w:tc>
        <w:tc>
          <w:tcPr>
            <w:tcW w:w="1261" w:type="dxa"/>
            <w:vAlign w:val="center"/>
          </w:tcPr>
          <w:p w:rsidR="00000000" w:rsidRDefault="00000000">
            <w:pPr>
              <w:spacing w:before="60" w:after="60"/>
              <w:jc w:val="center"/>
            </w:pPr>
            <w:r>
              <w:t>2000</w:t>
            </w:r>
          </w:p>
        </w:tc>
        <w:tc>
          <w:tcPr>
            <w:tcW w:w="1261" w:type="dxa"/>
            <w:vAlign w:val="center"/>
          </w:tcPr>
          <w:p w:rsidR="00000000" w:rsidRDefault="00000000">
            <w:pPr>
              <w:spacing w:before="60" w:after="60"/>
              <w:jc w:val="center"/>
            </w:pPr>
            <w:r>
              <w:t>2001</w:t>
            </w:r>
          </w:p>
        </w:tc>
        <w:tc>
          <w:tcPr>
            <w:tcW w:w="1261" w:type="dxa"/>
            <w:vAlign w:val="center"/>
          </w:tcPr>
          <w:p w:rsidR="00000000" w:rsidRDefault="00000000">
            <w:pPr>
              <w:spacing w:before="60" w:after="60"/>
              <w:jc w:val="center"/>
            </w:pPr>
            <w:r>
              <w:t>2002</w:t>
            </w:r>
          </w:p>
        </w:tc>
        <w:tc>
          <w:tcPr>
            <w:tcW w:w="1262" w:type="dxa"/>
            <w:vAlign w:val="center"/>
          </w:tcPr>
          <w:p w:rsidR="00000000" w:rsidRDefault="00000000">
            <w:pPr>
              <w:spacing w:before="60" w:after="60"/>
              <w:jc w:val="center"/>
            </w:pPr>
            <w:r>
              <w:t>2003</w:t>
            </w:r>
            <w:r>
              <w:rPr>
                <w:b/>
                <w:bCs/>
                <w:i/>
                <w:iCs/>
                <w:vertAlign w:val="superscript"/>
              </w:rPr>
              <w:t>p</w:t>
            </w:r>
          </w:p>
        </w:tc>
      </w:tr>
      <w:tr w:rsidR="00000000">
        <w:tblPrEx>
          <w:tblCellMar>
            <w:top w:w="0" w:type="dxa"/>
            <w:bottom w:w="0" w:type="dxa"/>
          </w:tblCellMar>
        </w:tblPrEx>
        <w:tc>
          <w:tcPr>
            <w:tcW w:w="3190" w:type="dxa"/>
            <w:tcBorders>
              <w:bottom w:val="nil"/>
            </w:tcBorders>
            <w:vAlign w:val="center"/>
          </w:tcPr>
          <w:p w:rsidR="00000000" w:rsidRDefault="00000000">
            <w:pPr>
              <w:spacing w:before="60" w:after="60"/>
              <w:rPr>
                <w:b/>
                <w:bCs/>
              </w:rPr>
            </w:pPr>
            <w:r>
              <w:rPr>
                <w:b/>
                <w:bCs/>
              </w:rPr>
              <w:t>TOTAL</w:t>
            </w:r>
          </w:p>
        </w:tc>
        <w:tc>
          <w:tcPr>
            <w:tcW w:w="1261" w:type="dxa"/>
            <w:vAlign w:val="center"/>
          </w:tcPr>
          <w:p w:rsidR="00000000" w:rsidRDefault="00000000">
            <w:pPr>
              <w:widowControl w:val="0"/>
              <w:tabs>
                <w:tab w:val="decimal" w:pos="583"/>
              </w:tabs>
              <w:autoSpaceDE w:val="0"/>
              <w:autoSpaceDN w:val="0"/>
              <w:adjustRightInd w:val="0"/>
              <w:spacing w:before="60" w:after="60"/>
              <w:jc w:val="right"/>
              <w:rPr>
                <w:b/>
              </w:rPr>
            </w:pPr>
            <w:r>
              <w:rPr>
                <w:b/>
              </w:rPr>
              <w:t>198,06</w:t>
            </w:r>
          </w:p>
        </w:tc>
        <w:tc>
          <w:tcPr>
            <w:tcW w:w="1261" w:type="dxa"/>
            <w:vAlign w:val="center"/>
          </w:tcPr>
          <w:p w:rsidR="00000000" w:rsidRDefault="00000000">
            <w:pPr>
              <w:widowControl w:val="0"/>
              <w:tabs>
                <w:tab w:val="decimal" w:pos="610"/>
              </w:tabs>
              <w:autoSpaceDE w:val="0"/>
              <w:autoSpaceDN w:val="0"/>
              <w:adjustRightInd w:val="0"/>
              <w:spacing w:before="60" w:after="60"/>
              <w:jc w:val="right"/>
              <w:rPr>
                <w:b/>
              </w:rPr>
            </w:pPr>
            <w:r>
              <w:rPr>
                <w:b/>
              </w:rPr>
              <w:t>189,66</w:t>
            </w:r>
          </w:p>
        </w:tc>
        <w:tc>
          <w:tcPr>
            <w:tcW w:w="1261" w:type="dxa"/>
            <w:vAlign w:val="center"/>
          </w:tcPr>
          <w:p w:rsidR="00000000" w:rsidRDefault="00000000">
            <w:pPr>
              <w:widowControl w:val="0"/>
              <w:tabs>
                <w:tab w:val="decimal" w:pos="537"/>
              </w:tabs>
              <w:autoSpaceDE w:val="0"/>
              <w:autoSpaceDN w:val="0"/>
              <w:adjustRightInd w:val="0"/>
              <w:spacing w:before="60" w:after="60"/>
              <w:jc w:val="right"/>
              <w:rPr>
                <w:b/>
              </w:rPr>
            </w:pPr>
            <w:r>
              <w:rPr>
                <w:b/>
              </w:rPr>
              <w:t>193,28</w:t>
            </w:r>
          </w:p>
        </w:tc>
        <w:tc>
          <w:tcPr>
            <w:tcW w:w="1261" w:type="dxa"/>
            <w:vAlign w:val="center"/>
          </w:tcPr>
          <w:p w:rsidR="00000000" w:rsidRDefault="00000000">
            <w:pPr>
              <w:widowControl w:val="0"/>
              <w:tabs>
                <w:tab w:val="decimal" w:pos="606"/>
              </w:tabs>
              <w:autoSpaceDE w:val="0"/>
              <w:autoSpaceDN w:val="0"/>
              <w:adjustRightInd w:val="0"/>
              <w:spacing w:before="60" w:after="60"/>
              <w:jc w:val="right"/>
              <w:rPr>
                <w:b/>
              </w:rPr>
            </w:pPr>
            <w:r>
              <w:rPr>
                <w:b/>
              </w:rPr>
              <w:t>240,91</w:t>
            </w:r>
          </w:p>
        </w:tc>
        <w:tc>
          <w:tcPr>
            <w:tcW w:w="1262" w:type="dxa"/>
            <w:vAlign w:val="center"/>
          </w:tcPr>
          <w:p w:rsidR="00000000" w:rsidRDefault="00000000">
            <w:pPr>
              <w:widowControl w:val="0"/>
              <w:tabs>
                <w:tab w:val="decimal" w:pos="688"/>
              </w:tabs>
              <w:autoSpaceDE w:val="0"/>
              <w:autoSpaceDN w:val="0"/>
              <w:adjustRightInd w:val="0"/>
              <w:spacing w:before="60" w:after="60"/>
              <w:jc w:val="right"/>
              <w:rPr>
                <w:b/>
              </w:rPr>
            </w:pPr>
            <w:r>
              <w:rPr>
                <w:b/>
              </w:rPr>
              <w:t>269,88</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Domestique</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374,16</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568,05</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502,97</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356,29</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382,49</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Étatique</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882,81</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835,96</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941,63</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972,31</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1 086,91</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Familial</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129,65</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129,42</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115,26</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157,65</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159,67</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Semi-entreprise</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561,06</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603,44</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584,52</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634,01</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558,44</w:t>
            </w:r>
          </w:p>
        </w:tc>
      </w:tr>
      <w:tr w:rsidR="00000000">
        <w:tblPrEx>
          <w:tblCellMar>
            <w:top w:w="0" w:type="dxa"/>
            <w:bottom w:w="0" w:type="dxa"/>
          </w:tblCellMar>
        </w:tblPrEx>
        <w:tc>
          <w:tcPr>
            <w:tcW w:w="3190" w:type="dxa"/>
            <w:tcBorders>
              <w:top w:val="nil"/>
              <w:bottom w:val="single" w:sz="4" w:space="0" w:color="auto"/>
            </w:tcBorders>
            <w:vAlign w:val="center"/>
          </w:tcPr>
          <w:p w:rsidR="00000000" w:rsidRDefault="00000000">
            <w:pPr>
              <w:spacing w:before="60" w:after="60"/>
              <w:ind w:left="284"/>
            </w:pPr>
            <w:r>
              <w:t>Entreprise</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856,74</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872,30</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747,50</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750,30</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981,47</w:t>
            </w:r>
          </w:p>
        </w:tc>
      </w:tr>
      <w:tr w:rsidR="00000000">
        <w:tblPrEx>
          <w:tblCellMar>
            <w:top w:w="0" w:type="dxa"/>
            <w:bottom w:w="0" w:type="dxa"/>
          </w:tblCellMar>
        </w:tblPrEx>
        <w:tc>
          <w:tcPr>
            <w:tcW w:w="3190" w:type="dxa"/>
            <w:tcBorders>
              <w:bottom w:val="nil"/>
            </w:tcBorders>
            <w:vAlign w:val="center"/>
          </w:tcPr>
          <w:p w:rsidR="00000000" w:rsidRDefault="00000000">
            <w:pPr>
              <w:spacing w:before="60" w:after="60"/>
              <w:rPr>
                <w:b/>
                <w:bCs/>
              </w:rPr>
            </w:pPr>
            <w:r>
              <w:rPr>
                <w:b/>
                <w:bCs/>
              </w:rPr>
              <w:t>HOMMES</w:t>
            </w:r>
          </w:p>
        </w:tc>
        <w:tc>
          <w:tcPr>
            <w:tcW w:w="1261" w:type="dxa"/>
            <w:vAlign w:val="center"/>
          </w:tcPr>
          <w:p w:rsidR="00000000" w:rsidRDefault="00000000">
            <w:pPr>
              <w:widowControl w:val="0"/>
              <w:tabs>
                <w:tab w:val="decimal" w:pos="583"/>
              </w:tabs>
              <w:autoSpaceDE w:val="0"/>
              <w:autoSpaceDN w:val="0"/>
              <w:adjustRightInd w:val="0"/>
              <w:spacing w:before="60" w:after="60"/>
              <w:jc w:val="right"/>
              <w:rPr>
                <w:b/>
              </w:rPr>
            </w:pPr>
            <w:r>
              <w:rPr>
                <w:b/>
              </w:rPr>
              <w:t>271,59</w:t>
            </w:r>
          </w:p>
        </w:tc>
        <w:tc>
          <w:tcPr>
            <w:tcW w:w="1261" w:type="dxa"/>
            <w:vAlign w:val="center"/>
          </w:tcPr>
          <w:p w:rsidR="00000000" w:rsidRDefault="00000000">
            <w:pPr>
              <w:widowControl w:val="0"/>
              <w:tabs>
                <w:tab w:val="decimal" w:pos="610"/>
              </w:tabs>
              <w:autoSpaceDE w:val="0"/>
              <w:autoSpaceDN w:val="0"/>
              <w:adjustRightInd w:val="0"/>
              <w:spacing w:before="60" w:after="60"/>
              <w:jc w:val="right"/>
              <w:rPr>
                <w:b/>
              </w:rPr>
            </w:pPr>
            <w:r>
              <w:rPr>
                <w:b/>
              </w:rPr>
              <w:t>267,58</w:t>
            </w:r>
          </w:p>
        </w:tc>
        <w:tc>
          <w:tcPr>
            <w:tcW w:w="1261" w:type="dxa"/>
            <w:vAlign w:val="center"/>
          </w:tcPr>
          <w:p w:rsidR="00000000" w:rsidRDefault="00000000">
            <w:pPr>
              <w:widowControl w:val="0"/>
              <w:tabs>
                <w:tab w:val="decimal" w:pos="537"/>
              </w:tabs>
              <w:autoSpaceDE w:val="0"/>
              <w:autoSpaceDN w:val="0"/>
              <w:adjustRightInd w:val="0"/>
              <w:spacing w:before="60" w:after="60"/>
              <w:jc w:val="right"/>
              <w:rPr>
                <w:b/>
              </w:rPr>
            </w:pPr>
            <w:r>
              <w:rPr>
                <w:b/>
              </w:rPr>
              <w:t>272,45</w:t>
            </w:r>
          </w:p>
        </w:tc>
        <w:tc>
          <w:tcPr>
            <w:tcW w:w="1261" w:type="dxa"/>
            <w:vAlign w:val="center"/>
          </w:tcPr>
          <w:p w:rsidR="00000000" w:rsidRDefault="00000000">
            <w:pPr>
              <w:widowControl w:val="0"/>
              <w:tabs>
                <w:tab w:val="decimal" w:pos="606"/>
              </w:tabs>
              <w:autoSpaceDE w:val="0"/>
              <w:autoSpaceDN w:val="0"/>
              <w:adjustRightInd w:val="0"/>
              <w:spacing w:before="60" w:after="60"/>
              <w:jc w:val="right"/>
              <w:rPr>
                <w:b/>
              </w:rPr>
            </w:pPr>
            <w:r>
              <w:rPr>
                <w:b/>
              </w:rPr>
              <w:t>345,83</w:t>
            </w:r>
          </w:p>
        </w:tc>
        <w:tc>
          <w:tcPr>
            <w:tcW w:w="1262" w:type="dxa"/>
            <w:vAlign w:val="center"/>
          </w:tcPr>
          <w:p w:rsidR="00000000" w:rsidRDefault="00000000">
            <w:pPr>
              <w:widowControl w:val="0"/>
              <w:tabs>
                <w:tab w:val="decimal" w:pos="688"/>
              </w:tabs>
              <w:autoSpaceDE w:val="0"/>
              <w:autoSpaceDN w:val="0"/>
              <w:adjustRightInd w:val="0"/>
              <w:spacing w:before="60" w:after="60"/>
              <w:jc w:val="right"/>
              <w:rPr>
                <w:b/>
              </w:rPr>
            </w:pPr>
            <w:r>
              <w:rPr>
                <w:b/>
              </w:rPr>
              <w:t>394,02</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Domestique</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1 100,00</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1 142,48</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296,93</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257,84</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520,00</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Étatique</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870,82</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921,20</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988,66</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1 041,53</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1 215,49</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Familial</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175,09</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185,12</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170,18</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237,35</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241,06</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Semi-entreprise</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644,88</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677,95</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614,22</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693,58</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601,18</w:t>
            </w:r>
          </w:p>
        </w:tc>
      </w:tr>
      <w:tr w:rsidR="00000000">
        <w:tblPrEx>
          <w:tblCellMar>
            <w:top w:w="0" w:type="dxa"/>
            <w:bottom w:w="0" w:type="dxa"/>
          </w:tblCellMar>
        </w:tblPrEx>
        <w:tc>
          <w:tcPr>
            <w:tcW w:w="3190" w:type="dxa"/>
            <w:tcBorders>
              <w:top w:val="nil"/>
              <w:bottom w:val="single" w:sz="4" w:space="0" w:color="auto"/>
            </w:tcBorders>
            <w:vAlign w:val="center"/>
          </w:tcPr>
          <w:p w:rsidR="00000000" w:rsidRDefault="00000000">
            <w:pPr>
              <w:spacing w:before="60" w:after="60"/>
              <w:ind w:left="284"/>
            </w:pPr>
            <w:r>
              <w:t>Entreprise</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886,92</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917,33</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811,73</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802,59</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1 008,44</w:t>
            </w:r>
          </w:p>
        </w:tc>
      </w:tr>
      <w:tr w:rsidR="00000000">
        <w:tblPrEx>
          <w:tblCellMar>
            <w:top w:w="0" w:type="dxa"/>
            <w:bottom w:w="0" w:type="dxa"/>
          </w:tblCellMar>
        </w:tblPrEx>
        <w:tc>
          <w:tcPr>
            <w:tcW w:w="3190" w:type="dxa"/>
            <w:tcBorders>
              <w:bottom w:val="nil"/>
            </w:tcBorders>
            <w:vAlign w:val="center"/>
          </w:tcPr>
          <w:p w:rsidR="00000000" w:rsidRDefault="00000000">
            <w:pPr>
              <w:spacing w:before="60" w:after="60"/>
              <w:rPr>
                <w:b/>
                <w:bCs/>
              </w:rPr>
            </w:pPr>
            <w:r>
              <w:rPr>
                <w:b/>
                <w:bCs/>
              </w:rPr>
              <w:t>FEMMES</w:t>
            </w:r>
          </w:p>
        </w:tc>
        <w:tc>
          <w:tcPr>
            <w:tcW w:w="1261" w:type="dxa"/>
            <w:vAlign w:val="center"/>
          </w:tcPr>
          <w:p w:rsidR="00000000" w:rsidRDefault="00000000">
            <w:pPr>
              <w:widowControl w:val="0"/>
              <w:tabs>
                <w:tab w:val="decimal" w:pos="583"/>
              </w:tabs>
              <w:autoSpaceDE w:val="0"/>
              <w:autoSpaceDN w:val="0"/>
              <w:adjustRightInd w:val="0"/>
              <w:spacing w:before="60" w:after="60"/>
              <w:jc w:val="right"/>
              <w:rPr>
                <w:b/>
              </w:rPr>
            </w:pPr>
            <w:r>
              <w:rPr>
                <w:b/>
              </w:rPr>
              <w:t>112,80</w:t>
            </w:r>
          </w:p>
        </w:tc>
        <w:tc>
          <w:tcPr>
            <w:tcW w:w="1261" w:type="dxa"/>
            <w:vAlign w:val="center"/>
          </w:tcPr>
          <w:p w:rsidR="00000000" w:rsidRDefault="00000000">
            <w:pPr>
              <w:widowControl w:val="0"/>
              <w:tabs>
                <w:tab w:val="decimal" w:pos="610"/>
              </w:tabs>
              <w:autoSpaceDE w:val="0"/>
              <w:autoSpaceDN w:val="0"/>
              <w:adjustRightInd w:val="0"/>
              <w:spacing w:before="60" w:after="60"/>
              <w:jc w:val="right"/>
              <w:rPr>
                <w:b/>
              </w:rPr>
            </w:pPr>
            <w:r>
              <w:rPr>
                <w:b/>
              </w:rPr>
              <w:t>90,81</w:t>
            </w:r>
          </w:p>
        </w:tc>
        <w:tc>
          <w:tcPr>
            <w:tcW w:w="1261" w:type="dxa"/>
            <w:vAlign w:val="center"/>
          </w:tcPr>
          <w:p w:rsidR="00000000" w:rsidRDefault="00000000">
            <w:pPr>
              <w:widowControl w:val="0"/>
              <w:tabs>
                <w:tab w:val="decimal" w:pos="537"/>
              </w:tabs>
              <w:autoSpaceDE w:val="0"/>
              <w:autoSpaceDN w:val="0"/>
              <w:adjustRightInd w:val="0"/>
              <w:spacing w:before="60" w:after="60"/>
              <w:jc w:val="right"/>
              <w:rPr>
                <w:b/>
              </w:rPr>
            </w:pPr>
            <w:r>
              <w:rPr>
                <w:b/>
              </w:rPr>
              <w:t>93,02</w:t>
            </w:r>
          </w:p>
        </w:tc>
        <w:tc>
          <w:tcPr>
            <w:tcW w:w="1261" w:type="dxa"/>
            <w:vAlign w:val="center"/>
          </w:tcPr>
          <w:p w:rsidR="00000000" w:rsidRDefault="00000000">
            <w:pPr>
              <w:widowControl w:val="0"/>
              <w:tabs>
                <w:tab w:val="decimal" w:pos="606"/>
              </w:tabs>
              <w:autoSpaceDE w:val="0"/>
              <w:autoSpaceDN w:val="0"/>
              <w:adjustRightInd w:val="0"/>
              <w:spacing w:before="60" w:after="60"/>
              <w:jc w:val="right"/>
              <w:rPr>
                <w:b/>
              </w:rPr>
            </w:pPr>
            <w:r>
              <w:rPr>
                <w:b/>
              </w:rPr>
              <w:t>94,65</w:t>
            </w:r>
          </w:p>
        </w:tc>
        <w:tc>
          <w:tcPr>
            <w:tcW w:w="1262" w:type="dxa"/>
            <w:vAlign w:val="center"/>
          </w:tcPr>
          <w:p w:rsidR="00000000" w:rsidRDefault="00000000">
            <w:pPr>
              <w:widowControl w:val="0"/>
              <w:tabs>
                <w:tab w:val="decimal" w:pos="688"/>
              </w:tabs>
              <w:autoSpaceDE w:val="0"/>
              <w:autoSpaceDN w:val="0"/>
              <w:adjustRightInd w:val="0"/>
              <w:spacing w:before="60" w:after="60"/>
              <w:jc w:val="right"/>
              <w:rPr>
                <w:b/>
              </w:rPr>
            </w:pPr>
            <w:r>
              <w:rPr>
                <w:b/>
              </w:rPr>
              <w:t>112,61</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Domestique</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338,87</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513,53</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506,96</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364,05</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361,60</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Étatique</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898,53</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701,25</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869,25</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852,65</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809,01</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Familial</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82,19</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64,25</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53,23</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61,97</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76,14</w:t>
            </w:r>
          </w:p>
        </w:tc>
      </w:tr>
      <w:tr w:rsidR="00000000">
        <w:tblPrEx>
          <w:tblCellMar>
            <w:top w:w="0" w:type="dxa"/>
            <w:bottom w:w="0" w:type="dxa"/>
          </w:tblCellMar>
        </w:tblPrEx>
        <w:tc>
          <w:tcPr>
            <w:tcW w:w="3190" w:type="dxa"/>
            <w:tcBorders>
              <w:top w:val="nil"/>
              <w:bottom w:val="nil"/>
            </w:tcBorders>
            <w:vAlign w:val="center"/>
          </w:tcPr>
          <w:p w:rsidR="00000000" w:rsidRDefault="00000000">
            <w:pPr>
              <w:spacing w:before="60" w:after="60"/>
              <w:ind w:left="284"/>
            </w:pPr>
            <w:r>
              <w:t>Semi-entreprise</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299,01</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295,43</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440,21</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305,48</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314,19</w:t>
            </w:r>
          </w:p>
        </w:tc>
      </w:tr>
      <w:tr w:rsidR="00000000">
        <w:tblPrEx>
          <w:tblCellMar>
            <w:top w:w="0" w:type="dxa"/>
            <w:bottom w:w="0" w:type="dxa"/>
          </w:tblCellMar>
        </w:tblPrEx>
        <w:tc>
          <w:tcPr>
            <w:tcW w:w="3190" w:type="dxa"/>
            <w:tcBorders>
              <w:top w:val="nil"/>
            </w:tcBorders>
            <w:vAlign w:val="center"/>
          </w:tcPr>
          <w:p w:rsidR="00000000" w:rsidRDefault="00000000">
            <w:pPr>
              <w:spacing w:before="60" w:after="60"/>
              <w:ind w:left="284"/>
            </w:pPr>
            <w:r>
              <w:t>Entreprise</w:t>
            </w:r>
          </w:p>
        </w:tc>
        <w:tc>
          <w:tcPr>
            <w:tcW w:w="1261" w:type="dxa"/>
            <w:vAlign w:val="center"/>
          </w:tcPr>
          <w:p w:rsidR="00000000" w:rsidRDefault="00000000">
            <w:pPr>
              <w:widowControl w:val="0"/>
              <w:tabs>
                <w:tab w:val="decimal" w:pos="583"/>
              </w:tabs>
              <w:autoSpaceDE w:val="0"/>
              <w:autoSpaceDN w:val="0"/>
              <w:adjustRightInd w:val="0"/>
              <w:spacing w:before="60" w:after="60"/>
              <w:jc w:val="right"/>
            </w:pPr>
            <w:r>
              <w:t>570,34</w:t>
            </w:r>
          </w:p>
        </w:tc>
        <w:tc>
          <w:tcPr>
            <w:tcW w:w="1261" w:type="dxa"/>
            <w:vAlign w:val="center"/>
          </w:tcPr>
          <w:p w:rsidR="00000000" w:rsidRDefault="00000000">
            <w:pPr>
              <w:widowControl w:val="0"/>
              <w:tabs>
                <w:tab w:val="decimal" w:pos="610"/>
              </w:tabs>
              <w:autoSpaceDE w:val="0"/>
              <w:autoSpaceDN w:val="0"/>
              <w:adjustRightInd w:val="0"/>
              <w:spacing w:before="60" w:after="60"/>
              <w:jc w:val="right"/>
            </w:pPr>
            <w:r>
              <w:t>503,58</w:t>
            </w:r>
          </w:p>
        </w:tc>
        <w:tc>
          <w:tcPr>
            <w:tcW w:w="1261" w:type="dxa"/>
            <w:vAlign w:val="center"/>
          </w:tcPr>
          <w:p w:rsidR="00000000" w:rsidRDefault="00000000">
            <w:pPr>
              <w:widowControl w:val="0"/>
              <w:tabs>
                <w:tab w:val="decimal" w:pos="537"/>
              </w:tabs>
              <w:autoSpaceDE w:val="0"/>
              <w:autoSpaceDN w:val="0"/>
              <w:adjustRightInd w:val="0"/>
              <w:spacing w:before="60" w:after="60"/>
              <w:jc w:val="right"/>
            </w:pPr>
            <w:r>
              <w:t>461,60</w:t>
            </w:r>
          </w:p>
        </w:tc>
        <w:tc>
          <w:tcPr>
            <w:tcW w:w="1261" w:type="dxa"/>
            <w:vAlign w:val="center"/>
          </w:tcPr>
          <w:p w:rsidR="00000000" w:rsidRDefault="00000000">
            <w:pPr>
              <w:widowControl w:val="0"/>
              <w:tabs>
                <w:tab w:val="decimal" w:pos="606"/>
              </w:tabs>
              <w:autoSpaceDE w:val="0"/>
              <w:autoSpaceDN w:val="0"/>
              <w:adjustRightInd w:val="0"/>
              <w:spacing w:before="60" w:after="60"/>
              <w:jc w:val="right"/>
            </w:pPr>
            <w:r>
              <w:t>460,34</w:t>
            </w:r>
          </w:p>
        </w:tc>
        <w:tc>
          <w:tcPr>
            <w:tcW w:w="1262" w:type="dxa"/>
            <w:vAlign w:val="center"/>
          </w:tcPr>
          <w:p w:rsidR="00000000" w:rsidRDefault="00000000">
            <w:pPr>
              <w:widowControl w:val="0"/>
              <w:tabs>
                <w:tab w:val="decimal" w:pos="688"/>
              </w:tabs>
              <w:autoSpaceDE w:val="0"/>
              <w:autoSpaceDN w:val="0"/>
              <w:adjustRightInd w:val="0"/>
              <w:spacing w:before="60" w:after="60"/>
              <w:jc w:val="right"/>
            </w:pPr>
            <w:r>
              <w:t>771,60</w:t>
            </w:r>
          </w:p>
        </w:tc>
      </w:tr>
    </w:tbl>
    <w:p w:rsidR="00000000" w:rsidRDefault="00000000">
      <w:pPr>
        <w:spacing w:before="240"/>
        <w:ind w:firstLine="567"/>
      </w:pPr>
      <w:r>
        <w:rPr>
          <w:i/>
          <w:iCs/>
        </w:rPr>
        <w:t>Source</w:t>
      </w:r>
      <w:r>
        <w:t>: Institut national de statistique.</w:t>
      </w:r>
    </w:p>
    <w:p w:rsidR="00000000" w:rsidRDefault="00000000">
      <w:pPr>
        <w:spacing w:before="240"/>
      </w:pPr>
      <w:r>
        <w:rPr>
          <w:b/>
          <w:bCs/>
          <w:i/>
          <w:iCs/>
          <w:vertAlign w:val="superscript"/>
        </w:rPr>
        <w:t>p</w:t>
      </w:r>
      <w:r>
        <w:t xml:space="preserve"> Chiffres provisoires.</w:t>
      </w:r>
    </w:p>
    <w:p w:rsidR="00000000" w:rsidRDefault="00000000">
      <w:pPr>
        <w:spacing w:after="240"/>
        <w:ind w:left="567"/>
        <w:rPr>
          <w:b/>
          <w:bCs/>
        </w:rPr>
      </w:pPr>
      <w:r>
        <w:rPr>
          <w:b/>
          <w:bCs/>
        </w:rPr>
        <w:br w:type="page"/>
        <w:t>36.</w:t>
      </w:r>
      <w:r>
        <w:rPr>
          <w:b/>
          <w:bCs/>
        </w:rPr>
        <w:tab/>
        <w:t>Le Comité prie l’État partie de veiller à ce que le délai excessif prévu pour la négociation collective ne constitue pas un obstacle au droit de grève.</w:t>
      </w:r>
    </w:p>
    <w:p w:rsidR="00000000" w:rsidRDefault="00000000">
      <w:pPr>
        <w:keepNext/>
        <w:spacing w:after="240"/>
        <w:rPr>
          <w:b/>
          <w:bCs/>
        </w:rPr>
      </w:pPr>
      <w:r>
        <w:rPr>
          <w:b/>
          <w:bCs/>
        </w:rPr>
        <w:t>Droit qu’a toute personne de former avec d’autres des syndicats et de s’affilier au syndicat de son choix</w:t>
      </w:r>
    </w:p>
    <w:p w:rsidR="00000000" w:rsidRDefault="00000000">
      <w:pPr>
        <w:spacing w:after="240"/>
      </w:pPr>
      <w:r>
        <w:t>59.</w:t>
      </w:r>
      <w:r>
        <w:tab/>
        <w:t>Ce droit est reconnu dans la Constitution et régi par la loi générale sur le travail et son décret d’application.</w:t>
      </w:r>
    </w:p>
    <w:p w:rsidR="00000000" w:rsidRDefault="00000000">
      <w:pPr>
        <w:spacing w:after="240"/>
      </w:pPr>
      <w:r>
        <w:t>60.</w:t>
      </w:r>
      <w:r>
        <w:tab/>
        <w:t>Le Ministère du travail, qui a été restructuré l’an dernier, conserve la Direction générale des affaires syndicales, chargée de veiller au respect des normes mentionnées plus haut et de favoriser le développement et le renforcement des organisations syndicales en tant qu’instruments de représentation, de défense, d’éducation et de culture des travailleurs.</w:t>
      </w:r>
    </w:p>
    <w:p w:rsidR="00000000" w:rsidRDefault="00000000">
      <w:pPr>
        <w:keepNext/>
        <w:spacing w:after="240"/>
        <w:rPr>
          <w:b/>
          <w:bCs/>
        </w:rPr>
      </w:pPr>
      <w:r>
        <w:rPr>
          <w:b/>
          <w:bCs/>
        </w:rPr>
        <w:t>Droit qu’ont les syndicats de former des fédérations ou des confédérations nationales et droit qu’ont celles</w:t>
      </w:r>
      <w:r>
        <w:rPr>
          <w:b/>
          <w:bCs/>
        </w:rPr>
        <w:noBreakHyphen/>
        <w:t>ci de former des organisations syndicales internationales ou de s’y affilier − droit qu’ont les syndicats d’exercer librement leur activité sans limitations autres que celles qui sont prévues par la loi</w:t>
      </w:r>
    </w:p>
    <w:p w:rsidR="00000000" w:rsidRDefault="00000000">
      <w:pPr>
        <w:spacing w:after="240"/>
      </w:pPr>
      <w:r>
        <w:t>61.</w:t>
      </w:r>
      <w:r>
        <w:tab/>
        <w:t>L’article 102 de la loi générale sur le travail reconnaît implicitement le droit des syndicats de former des fédérations ou des confédérations lorsqu’il dispose que les relations entre les pouvoirs publics et les travailleurs passent par l’intermédiaire des fédérations syndicales départementales ou intégrées dans des confédérations nationales.</w:t>
      </w:r>
    </w:p>
    <w:p w:rsidR="00000000" w:rsidRDefault="00000000">
      <w:pPr>
        <w:spacing w:after="240"/>
      </w:pPr>
      <w:r>
        <w:t>62.</w:t>
      </w:r>
      <w:r>
        <w:tab/>
        <w:t>La législation nationale n’oppose aucun obstacle à la formation d’organisations de travailleurs, nationales ou internationales, du moment que l’objectif poursuivi est licite.</w:t>
      </w:r>
    </w:p>
    <w:p w:rsidR="00000000" w:rsidRDefault="00000000">
      <w:pPr>
        <w:spacing w:after="240"/>
      </w:pPr>
      <w:r>
        <w:t>63.</w:t>
      </w:r>
      <w:r>
        <w:tab/>
        <w:t>Les négociations politiques, politico</w:t>
      </w:r>
      <w:r>
        <w:noBreakHyphen/>
        <w:t>professionnelles, économiques, sociales et culturelles sont menées au niveau macroéconomique avec les plus hauts représentants des syndicats ou confédérations, qui font entendre la voix de la grande majorité des travailleurs.</w:t>
      </w:r>
    </w:p>
    <w:p w:rsidR="00000000" w:rsidRDefault="00000000">
      <w:pPr>
        <w:keepNext/>
        <w:spacing w:after="240"/>
        <w:rPr>
          <w:b/>
          <w:bCs/>
        </w:rPr>
      </w:pPr>
      <w:r>
        <w:rPr>
          <w:b/>
          <w:bCs/>
        </w:rPr>
        <w:t>Droit de grève, exercé conformément aux lois de chaque pays</w:t>
      </w:r>
    </w:p>
    <w:p w:rsidR="00000000" w:rsidRDefault="00000000">
      <w:pPr>
        <w:spacing w:after="240"/>
      </w:pPr>
      <w:r>
        <w:t>64.</w:t>
      </w:r>
      <w:r>
        <w:tab/>
        <w:t>Bien que ce droit soit reconnu dans la Constitution et régi par la loi générale sur le travail et son décret d’application, il convient de souligner qu’une faible proportion de grèves sont déclarées légales, principalement parce que la procédure exige que plusieurs critères soient remplis.</w:t>
      </w:r>
    </w:p>
    <w:p w:rsidR="00000000" w:rsidRDefault="00000000">
      <w:pPr>
        <w:keepNext/>
        <w:spacing w:after="240"/>
        <w:jc w:val="center"/>
        <w:rPr>
          <w:b/>
          <w:bCs/>
        </w:rPr>
      </w:pPr>
      <w:r>
        <w:rPr>
          <w:b/>
          <w:bCs/>
        </w:rPr>
        <w:br w:type="page"/>
        <w:t>Tableau 1</w:t>
      </w:r>
    </w:p>
    <w:p w:rsidR="00000000" w:rsidRDefault="00000000">
      <w:pPr>
        <w:keepNext/>
        <w:spacing w:after="240"/>
        <w:jc w:val="center"/>
        <w:rPr>
          <w:b/>
          <w:bCs/>
        </w:rPr>
      </w:pPr>
      <w:r>
        <w:rPr>
          <w:b/>
          <w:bCs/>
        </w:rPr>
        <w:t>Conflits gérés par la Direction générale du travail: grèves illégales</w:t>
      </w:r>
      <w:r>
        <w:rPr>
          <w:b/>
          <w:bCs/>
        </w:rPr>
        <w:br/>
        <w:t>et conciliations, par secteur, 2004</w:t>
      </w:r>
      <w:r>
        <w:rPr>
          <w:b/>
          <w:bCs/>
          <w:i/>
          <w:iCs/>
          <w:vertAlign w:val="superscript"/>
        </w:rPr>
        <w:t>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0"/>
        <w:gridCol w:w="2433"/>
        <w:gridCol w:w="2433"/>
      </w:tblGrid>
      <w:tr w:rsidR="00000000">
        <w:tblPrEx>
          <w:tblCellMar>
            <w:top w:w="0" w:type="dxa"/>
            <w:bottom w:w="0" w:type="dxa"/>
          </w:tblCellMar>
        </w:tblPrEx>
        <w:tc>
          <w:tcPr>
            <w:tcW w:w="4630" w:type="dxa"/>
          </w:tcPr>
          <w:p w:rsidR="00000000" w:rsidRDefault="00000000">
            <w:pPr>
              <w:keepNext/>
              <w:spacing w:before="60" w:after="60"/>
            </w:pPr>
          </w:p>
        </w:tc>
        <w:tc>
          <w:tcPr>
            <w:tcW w:w="2433" w:type="dxa"/>
          </w:tcPr>
          <w:p w:rsidR="00000000" w:rsidRDefault="00000000">
            <w:pPr>
              <w:keepNext/>
              <w:spacing w:before="60" w:after="60"/>
              <w:jc w:val="center"/>
            </w:pPr>
            <w:r>
              <w:t>Grèves illégales</w:t>
            </w:r>
          </w:p>
        </w:tc>
        <w:tc>
          <w:tcPr>
            <w:tcW w:w="2433" w:type="dxa"/>
          </w:tcPr>
          <w:p w:rsidR="00000000" w:rsidRDefault="00000000">
            <w:pPr>
              <w:keepNext/>
              <w:spacing w:before="60" w:after="60"/>
              <w:jc w:val="center"/>
            </w:pPr>
            <w:r>
              <w:t>Conciliations</w:t>
            </w:r>
          </w:p>
        </w:tc>
      </w:tr>
      <w:tr w:rsidR="00000000">
        <w:tblPrEx>
          <w:tblCellMar>
            <w:top w:w="0" w:type="dxa"/>
            <w:bottom w:w="0" w:type="dxa"/>
          </w:tblCellMar>
        </w:tblPrEx>
        <w:tc>
          <w:tcPr>
            <w:tcW w:w="4630" w:type="dxa"/>
            <w:vAlign w:val="bottom"/>
          </w:tcPr>
          <w:p w:rsidR="00000000" w:rsidRDefault="00000000">
            <w:pPr>
              <w:keepNext/>
              <w:spacing w:before="60" w:after="60"/>
            </w:pPr>
            <w:r>
              <w:t>Secteur de la santé</w:t>
            </w:r>
          </w:p>
        </w:tc>
        <w:tc>
          <w:tcPr>
            <w:tcW w:w="2433" w:type="dxa"/>
            <w:vAlign w:val="bottom"/>
          </w:tcPr>
          <w:p w:rsidR="00000000" w:rsidRDefault="00000000">
            <w:pPr>
              <w:widowControl w:val="0"/>
              <w:autoSpaceDE w:val="0"/>
              <w:autoSpaceDN w:val="0"/>
              <w:adjustRightInd w:val="0"/>
              <w:spacing w:before="60" w:after="60"/>
              <w:jc w:val="center"/>
            </w:pPr>
            <w:r>
              <w:t>6</w:t>
            </w:r>
          </w:p>
        </w:tc>
        <w:tc>
          <w:tcPr>
            <w:tcW w:w="2433" w:type="dxa"/>
            <w:vAlign w:val="bottom"/>
          </w:tcPr>
          <w:p w:rsidR="00000000" w:rsidRDefault="00000000">
            <w:pPr>
              <w:widowControl w:val="0"/>
              <w:autoSpaceDE w:val="0"/>
              <w:autoSpaceDN w:val="0"/>
              <w:adjustRightInd w:val="0"/>
              <w:spacing w:before="60" w:after="60"/>
              <w:ind w:left="922" w:right="906"/>
              <w:jc w:val="center"/>
            </w:pPr>
            <w:r>
              <w:t>7</w:t>
            </w:r>
          </w:p>
        </w:tc>
      </w:tr>
      <w:tr w:rsidR="00000000">
        <w:tblPrEx>
          <w:tblCellMar>
            <w:top w:w="0" w:type="dxa"/>
            <w:bottom w:w="0" w:type="dxa"/>
          </w:tblCellMar>
        </w:tblPrEx>
        <w:tc>
          <w:tcPr>
            <w:tcW w:w="4630" w:type="dxa"/>
            <w:vAlign w:val="bottom"/>
          </w:tcPr>
          <w:p w:rsidR="00000000" w:rsidRDefault="00000000">
            <w:pPr>
              <w:spacing w:before="60" w:after="60"/>
            </w:pPr>
            <w:r>
              <w:t>Secteur de l’éducation</w:t>
            </w:r>
          </w:p>
        </w:tc>
        <w:tc>
          <w:tcPr>
            <w:tcW w:w="2433" w:type="dxa"/>
            <w:vAlign w:val="bottom"/>
          </w:tcPr>
          <w:p w:rsidR="00000000" w:rsidRDefault="00000000">
            <w:pPr>
              <w:widowControl w:val="0"/>
              <w:autoSpaceDE w:val="0"/>
              <w:autoSpaceDN w:val="0"/>
              <w:adjustRightInd w:val="0"/>
              <w:spacing w:before="60" w:after="60"/>
              <w:jc w:val="center"/>
            </w:pPr>
            <w:r>
              <w:t>1</w:t>
            </w:r>
          </w:p>
        </w:tc>
        <w:tc>
          <w:tcPr>
            <w:tcW w:w="2433" w:type="dxa"/>
            <w:vAlign w:val="bottom"/>
          </w:tcPr>
          <w:p w:rsidR="00000000" w:rsidRDefault="00000000">
            <w:pPr>
              <w:widowControl w:val="0"/>
              <w:autoSpaceDE w:val="0"/>
              <w:autoSpaceDN w:val="0"/>
              <w:adjustRightInd w:val="0"/>
              <w:spacing w:before="60" w:after="60"/>
              <w:ind w:left="922" w:right="906"/>
              <w:jc w:val="center"/>
            </w:pPr>
            <w:r>
              <w:t>0</w:t>
            </w:r>
          </w:p>
        </w:tc>
      </w:tr>
      <w:tr w:rsidR="00000000">
        <w:tblPrEx>
          <w:tblCellMar>
            <w:top w:w="0" w:type="dxa"/>
            <w:bottom w:w="0" w:type="dxa"/>
          </w:tblCellMar>
        </w:tblPrEx>
        <w:tc>
          <w:tcPr>
            <w:tcW w:w="4630" w:type="dxa"/>
            <w:vAlign w:val="bottom"/>
          </w:tcPr>
          <w:p w:rsidR="00000000" w:rsidRDefault="00000000">
            <w:pPr>
              <w:spacing w:before="60" w:after="60"/>
            </w:pPr>
            <w:r>
              <w:t>Secteur pétrolier</w:t>
            </w:r>
          </w:p>
        </w:tc>
        <w:tc>
          <w:tcPr>
            <w:tcW w:w="2433" w:type="dxa"/>
            <w:vAlign w:val="bottom"/>
          </w:tcPr>
          <w:p w:rsidR="00000000" w:rsidRDefault="00000000">
            <w:pPr>
              <w:widowControl w:val="0"/>
              <w:autoSpaceDE w:val="0"/>
              <w:autoSpaceDN w:val="0"/>
              <w:adjustRightInd w:val="0"/>
              <w:spacing w:before="60" w:after="60"/>
              <w:jc w:val="center"/>
            </w:pPr>
            <w:r>
              <w:t>0</w:t>
            </w:r>
          </w:p>
        </w:tc>
        <w:tc>
          <w:tcPr>
            <w:tcW w:w="2433" w:type="dxa"/>
            <w:vAlign w:val="bottom"/>
          </w:tcPr>
          <w:p w:rsidR="00000000" w:rsidRDefault="00000000">
            <w:pPr>
              <w:widowControl w:val="0"/>
              <w:autoSpaceDE w:val="0"/>
              <w:autoSpaceDN w:val="0"/>
              <w:adjustRightInd w:val="0"/>
              <w:spacing w:before="60" w:after="60"/>
              <w:ind w:left="922" w:right="906"/>
              <w:jc w:val="center"/>
            </w:pPr>
            <w:r>
              <w:t>2</w:t>
            </w:r>
          </w:p>
        </w:tc>
      </w:tr>
      <w:tr w:rsidR="00000000">
        <w:tblPrEx>
          <w:tblCellMar>
            <w:top w:w="0" w:type="dxa"/>
            <w:bottom w:w="0" w:type="dxa"/>
          </w:tblCellMar>
        </w:tblPrEx>
        <w:tc>
          <w:tcPr>
            <w:tcW w:w="4630" w:type="dxa"/>
            <w:vAlign w:val="bottom"/>
          </w:tcPr>
          <w:p w:rsidR="00000000" w:rsidRDefault="00000000">
            <w:pPr>
              <w:spacing w:before="60" w:after="60"/>
            </w:pPr>
            <w:r>
              <w:t>Secteur Entel (entreprise nationale de télécommunications)</w:t>
            </w:r>
          </w:p>
        </w:tc>
        <w:tc>
          <w:tcPr>
            <w:tcW w:w="2433" w:type="dxa"/>
            <w:vAlign w:val="bottom"/>
          </w:tcPr>
          <w:p w:rsidR="00000000" w:rsidRDefault="00000000">
            <w:pPr>
              <w:widowControl w:val="0"/>
              <w:autoSpaceDE w:val="0"/>
              <w:autoSpaceDN w:val="0"/>
              <w:adjustRightInd w:val="0"/>
              <w:spacing w:before="60" w:after="60"/>
              <w:jc w:val="center"/>
            </w:pPr>
            <w:r>
              <w:t>0</w:t>
            </w:r>
          </w:p>
        </w:tc>
        <w:tc>
          <w:tcPr>
            <w:tcW w:w="2433" w:type="dxa"/>
            <w:vAlign w:val="bottom"/>
          </w:tcPr>
          <w:p w:rsidR="00000000" w:rsidRDefault="00000000">
            <w:pPr>
              <w:widowControl w:val="0"/>
              <w:autoSpaceDE w:val="0"/>
              <w:autoSpaceDN w:val="0"/>
              <w:adjustRightInd w:val="0"/>
              <w:spacing w:before="60" w:after="60"/>
              <w:ind w:left="922" w:right="906"/>
              <w:jc w:val="center"/>
            </w:pPr>
            <w:r>
              <w:t>6</w:t>
            </w:r>
          </w:p>
        </w:tc>
      </w:tr>
      <w:tr w:rsidR="00000000">
        <w:tblPrEx>
          <w:tblCellMar>
            <w:top w:w="0" w:type="dxa"/>
            <w:bottom w:w="0" w:type="dxa"/>
          </w:tblCellMar>
        </w:tblPrEx>
        <w:tc>
          <w:tcPr>
            <w:tcW w:w="4630" w:type="dxa"/>
            <w:vAlign w:val="bottom"/>
          </w:tcPr>
          <w:p w:rsidR="00000000" w:rsidRDefault="00000000">
            <w:pPr>
              <w:spacing w:before="60" w:after="60"/>
            </w:pPr>
            <w:r>
              <w:t>Sans emploi</w:t>
            </w:r>
          </w:p>
        </w:tc>
        <w:tc>
          <w:tcPr>
            <w:tcW w:w="2433" w:type="dxa"/>
            <w:vAlign w:val="bottom"/>
          </w:tcPr>
          <w:p w:rsidR="00000000" w:rsidRDefault="00000000">
            <w:pPr>
              <w:widowControl w:val="0"/>
              <w:autoSpaceDE w:val="0"/>
              <w:autoSpaceDN w:val="0"/>
              <w:adjustRightInd w:val="0"/>
              <w:spacing w:before="60" w:after="60"/>
              <w:jc w:val="center"/>
            </w:pPr>
            <w:r>
              <w:t>0</w:t>
            </w:r>
          </w:p>
        </w:tc>
        <w:tc>
          <w:tcPr>
            <w:tcW w:w="2433" w:type="dxa"/>
            <w:vAlign w:val="bottom"/>
          </w:tcPr>
          <w:p w:rsidR="00000000" w:rsidRDefault="00000000">
            <w:pPr>
              <w:widowControl w:val="0"/>
              <w:autoSpaceDE w:val="0"/>
              <w:autoSpaceDN w:val="0"/>
              <w:adjustRightInd w:val="0"/>
              <w:spacing w:before="60" w:after="60"/>
              <w:ind w:left="922" w:right="906"/>
              <w:jc w:val="center"/>
            </w:pPr>
            <w:r>
              <w:t>2</w:t>
            </w:r>
          </w:p>
        </w:tc>
      </w:tr>
      <w:tr w:rsidR="00000000">
        <w:tblPrEx>
          <w:tblCellMar>
            <w:top w:w="0" w:type="dxa"/>
            <w:bottom w:w="0" w:type="dxa"/>
          </w:tblCellMar>
        </w:tblPrEx>
        <w:tc>
          <w:tcPr>
            <w:tcW w:w="4630" w:type="dxa"/>
            <w:vAlign w:val="bottom"/>
          </w:tcPr>
          <w:p w:rsidR="00000000" w:rsidRDefault="00000000">
            <w:pPr>
              <w:spacing w:before="60" w:after="60"/>
            </w:pPr>
            <w:r>
              <w:t>Secteur manufacturier</w:t>
            </w:r>
          </w:p>
        </w:tc>
        <w:tc>
          <w:tcPr>
            <w:tcW w:w="2433" w:type="dxa"/>
            <w:vAlign w:val="bottom"/>
          </w:tcPr>
          <w:p w:rsidR="00000000" w:rsidRDefault="00000000">
            <w:pPr>
              <w:widowControl w:val="0"/>
              <w:autoSpaceDE w:val="0"/>
              <w:autoSpaceDN w:val="0"/>
              <w:adjustRightInd w:val="0"/>
              <w:spacing w:before="60" w:after="60"/>
              <w:jc w:val="center"/>
            </w:pPr>
            <w:r>
              <w:t>0</w:t>
            </w:r>
          </w:p>
        </w:tc>
        <w:tc>
          <w:tcPr>
            <w:tcW w:w="2433" w:type="dxa"/>
            <w:vAlign w:val="bottom"/>
          </w:tcPr>
          <w:p w:rsidR="00000000" w:rsidRDefault="00000000">
            <w:pPr>
              <w:widowControl w:val="0"/>
              <w:autoSpaceDE w:val="0"/>
              <w:autoSpaceDN w:val="0"/>
              <w:adjustRightInd w:val="0"/>
              <w:spacing w:before="60" w:after="60"/>
              <w:ind w:left="922" w:right="906"/>
              <w:jc w:val="center"/>
            </w:pPr>
            <w:r>
              <w:t>2</w:t>
            </w:r>
          </w:p>
        </w:tc>
      </w:tr>
      <w:tr w:rsidR="00000000">
        <w:tblPrEx>
          <w:tblCellMar>
            <w:top w:w="0" w:type="dxa"/>
            <w:bottom w:w="0" w:type="dxa"/>
          </w:tblCellMar>
        </w:tblPrEx>
        <w:tc>
          <w:tcPr>
            <w:tcW w:w="4630" w:type="dxa"/>
            <w:vAlign w:val="bottom"/>
          </w:tcPr>
          <w:p w:rsidR="00000000" w:rsidRDefault="00000000">
            <w:pPr>
              <w:spacing w:before="60" w:after="60"/>
            </w:pPr>
            <w:r>
              <w:t>Secteur minier</w:t>
            </w:r>
          </w:p>
        </w:tc>
        <w:tc>
          <w:tcPr>
            <w:tcW w:w="2433" w:type="dxa"/>
            <w:vAlign w:val="bottom"/>
          </w:tcPr>
          <w:p w:rsidR="00000000" w:rsidRDefault="00000000">
            <w:pPr>
              <w:widowControl w:val="0"/>
              <w:autoSpaceDE w:val="0"/>
              <w:autoSpaceDN w:val="0"/>
              <w:adjustRightInd w:val="0"/>
              <w:spacing w:before="60" w:after="60"/>
              <w:jc w:val="center"/>
            </w:pPr>
            <w:r>
              <w:t>0</w:t>
            </w:r>
          </w:p>
        </w:tc>
        <w:tc>
          <w:tcPr>
            <w:tcW w:w="2433" w:type="dxa"/>
            <w:vAlign w:val="bottom"/>
          </w:tcPr>
          <w:p w:rsidR="00000000" w:rsidRDefault="00000000">
            <w:pPr>
              <w:widowControl w:val="0"/>
              <w:autoSpaceDE w:val="0"/>
              <w:autoSpaceDN w:val="0"/>
              <w:adjustRightInd w:val="0"/>
              <w:spacing w:before="60" w:after="60"/>
              <w:ind w:left="922" w:right="906"/>
              <w:jc w:val="center"/>
            </w:pPr>
            <w:r>
              <w:t>1</w:t>
            </w:r>
          </w:p>
        </w:tc>
      </w:tr>
    </w:tbl>
    <w:p w:rsidR="00000000" w:rsidRDefault="00000000">
      <w:pPr>
        <w:spacing w:before="240" w:after="240"/>
        <w:ind w:firstLine="567"/>
      </w:pPr>
      <w:r>
        <w:rPr>
          <w:i/>
          <w:iCs/>
        </w:rPr>
        <w:t>Source</w:t>
      </w:r>
      <w:r>
        <w:t>: Direction générale du travail et de la sécurité industrielle.</w:t>
      </w:r>
    </w:p>
    <w:p w:rsidR="00000000" w:rsidRDefault="00000000">
      <w:pPr>
        <w:spacing w:after="360"/>
      </w:pPr>
      <w:r>
        <w:rPr>
          <w:b/>
          <w:bCs/>
          <w:i/>
          <w:iCs/>
          <w:vertAlign w:val="superscript"/>
        </w:rPr>
        <w:t>p</w:t>
      </w:r>
      <w:r>
        <w:t xml:space="preserve"> Chiffres provisoires.</w:t>
      </w:r>
    </w:p>
    <w:p w:rsidR="00000000" w:rsidRDefault="00000000">
      <w:pPr>
        <w:keepNext/>
        <w:spacing w:after="240"/>
        <w:rPr>
          <w:b/>
          <w:bCs/>
        </w:rPr>
      </w:pPr>
      <w:r>
        <w:rPr>
          <w:b/>
          <w:bCs/>
        </w:rPr>
        <w:t>Soumission de l’exercice de ces droits à des restrictions légales par les membres des forces armées, de la police ou de la fonction publique</w:t>
      </w:r>
    </w:p>
    <w:p w:rsidR="00000000" w:rsidRDefault="00000000">
      <w:pPr>
        <w:spacing w:after="240"/>
      </w:pPr>
      <w:r>
        <w:t>65.</w:t>
      </w:r>
      <w:r>
        <w:tab/>
        <w:t>En vertu de l’article premier de la loi générale sur le travail et de l’article premier de son décret d’application, sont exclus du champ d’application de la loi:</w:t>
      </w:r>
    </w:p>
    <w:p w:rsidR="00000000" w:rsidRDefault="00000000">
      <w:pPr>
        <w:numPr>
          <w:ilvl w:val="0"/>
          <w:numId w:val="112"/>
        </w:numPr>
        <w:spacing w:after="240"/>
      </w:pPr>
      <w:r>
        <w:t>Les fonctionnaires de l’administration publique (qui relèvent du statut de la fonction publique);</w:t>
      </w:r>
    </w:p>
    <w:p w:rsidR="00000000" w:rsidRDefault="00000000">
      <w:pPr>
        <w:numPr>
          <w:ilvl w:val="0"/>
          <w:numId w:val="112"/>
        </w:numPr>
        <w:spacing w:after="240"/>
      </w:pPr>
      <w:r>
        <w:t>Les membres des forces armées;</w:t>
      </w:r>
    </w:p>
    <w:p w:rsidR="00000000" w:rsidRDefault="00000000">
      <w:pPr>
        <w:numPr>
          <w:ilvl w:val="0"/>
          <w:numId w:val="112"/>
        </w:numPr>
        <w:spacing w:after="240"/>
      </w:pPr>
      <w:r>
        <w:t>Les membres de la police nationale (loi du 2 décembre 1947).</w:t>
      </w:r>
    </w:p>
    <w:p w:rsidR="00000000" w:rsidRDefault="00000000">
      <w:pPr>
        <w:spacing w:after="240"/>
      </w:pPr>
      <w:r>
        <w:t>66.</w:t>
      </w:r>
      <w:r>
        <w:tab/>
        <w:t>En vertu de l’article 104 de la loi générale sur le travail, des articles 120 et 148 de son décret d’application et des articles 7 à 9 du statut de la fonction publique approuvé en 1999, il est interdit aux fonctionnaires publics, quels que soient leur catégorie et leur statut, de former des syndicats.</w:t>
      </w:r>
    </w:p>
    <w:p w:rsidR="00000000" w:rsidRDefault="00000000">
      <w:pPr>
        <w:spacing w:after="240"/>
      </w:pPr>
      <w:r>
        <w:t>67.</w:t>
      </w:r>
      <w:r>
        <w:tab/>
        <w:t>À ce jour, l’État bolivien n’a pas encore rectifié la situation des catégories de travailleurs susmentionnées.</w:t>
      </w:r>
    </w:p>
    <w:p w:rsidR="00000000" w:rsidRDefault="00000000">
      <w:pPr>
        <w:keepLines/>
        <w:spacing w:after="240"/>
        <w:ind w:left="567"/>
        <w:rPr>
          <w:b/>
          <w:bCs/>
        </w:rPr>
      </w:pPr>
      <w:r>
        <w:rPr>
          <w:b/>
          <w:bCs/>
        </w:rPr>
        <w:t>37.</w:t>
      </w:r>
      <w:r>
        <w:rPr>
          <w:b/>
          <w:bCs/>
        </w:rPr>
        <w:tab/>
        <w:t>Le Comité invite instamment l’État partie à continuer de combattre la violence à l’encontre des femmes en lançant une campagne de lutte contre les pratiques et préjugés négatifs traditionnels et leurs effets et conséquences. À cet égard, il invite également l’État partie à allouer des ressources financières et humaines suffisantes à la mise en œuvre du plan national de prévention, de répression et d’élimination de la violence à l’encontre des femmes. Le Comité demande également à l’État partie de fournir des informations détaillées et des statistiques à jour sur le phénomène de la violence à l’encontre des femmes en Bolivie et sur les résultats des mesures prises en vue de s’attaquer à ce grave problème.</w:t>
      </w:r>
    </w:p>
    <w:p w:rsidR="00000000" w:rsidRDefault="00000000">
      <w:pPr>
        <w:spacing w:after="240"/>
      </w:pPr>
      <w:r>
        <w:t>68.</w:t>
      </w:r>
      <w:r>
        <w:tab/>
        <w:t xml:space="preserve">La loi </w:t>
      </w:r>
      <w:r>
        <w:rPr>
          <w:rFonts w:eastAsia="MS Mincho"/>
        </w:rPr>
        <w:t>n</w:t>
      </w:r>
      <w:r>
        <w:rPr>
          <w:rFonts w:eastAsia="MS Mincho"/>
          <w:vertAlign w:val="superscript"/>
        </w:rPr>
        <w:t>o</w:t>
      </w:r>
      <w:r>
        <w:t xml:space="preserve"> 1674 contre la violence familiale ou domestique protège l’intégrité physique, psychologique, morale et sexuelle de chaque membre de la cellule familiale.</w:t>
      </w:r>
    </w:p>
    <w:p w:rsidR="00000000" w:rsidRDefault="00000000">
      <w:pPr>
        <w:spacing w:after="240"/>
      </w:pPr>
      <w:r>
        <w:t>69.</w:t>
      </w:r>
      <w:r>
        <w:tab/>
        <w:t>Par l’intermédiaire de ses institutions spécialisées et en coordination avec les associations civiles et les institutions privées compétentes en la matière, l’État a entrepris d’élaborer une stratégie nationale de lutte contre la violence familiale visant à:</w:t>
      </w:r>
    </w:p>
    <w:p w:rsidR="00000000" w:rsidRDefault="00000000">
      <w:pPr>
        <w:spacing w:after="240"/>
        <w:ind w:firstLine="567"/>
      </w:pPr>
      <w:r>
        <w:t>a)</w:t>
      </w:r>
      <w:r>
        <w:tab/>
        <w:t>Encourager les enfants, les jeunes et les adultes des deux sexes, dans le cadre de l’enseignement et de l’apprentissage scolaires et extrascolaires, à adopter des attitudes et valeurs telles que le respect, la solidarité et l’estime de soi, en favorisant la jouissance et l’exercice des droits citoyens sans discrimination fondée sur le sexe, l’âge, la culture ou la religion;</w:t>
      </w:r>
    </w:p>
    <w:p w:rsidR="00000000" w:rsidRDefault="00000000">
      <w:pPr>
        <w:spacing w:after="240"/>
        <w:ind w:firstLine="567"/>
      </w:pPr>
      <w:r>
        <w:t>b)</w:t>
      </w:r>
      <w:r>
        <w:tab/>
        <w:t>Favoriser l’évolution des schémas socioculturels modelant le comportement des hommes et des femmes, notamment en concevant des programmes d’éducation formelle et non formelle adaptés à tous les stades d’apprentissage et visant à combattre les préjugés, les coutumes et tous les types de pratiques fondés sur la supposée infériorité ou supériorité d’un sexe ou de l’autre ou sur des rôles stéréotypés conférés à l’homme ou à la femme qui justifient ou exacerbent la violence;</w:t>
      </w:r>
    </w:p>
    <w:p w:rsidR="00000000" w:rsidRDefault="00000000">
      <w:pPr>
        <w:spacing w:after="240"/>
        <w:ind w:firstLine="567"/>
      </w:pPr>
      <w:r>
        <w:t>c)</w:t>
      </w:r>
      <w:r>
        <w:tab/>
        <w:t>Diffuser les droits de la femme et le principe de la protection de la femme dans la famille et de son accès à la santé, afin de prévenir toute discrimination ainsi que les actes de violence néfastes pour sa santé;</w:t>
      </w:r>
    </w:p>
    <w:p w:rsidR="00000000" w:rsidRDefault="00000000">
      <w:pPr>
        <w:spacing w:after="240"/>
        <w:ind w:firstLine="567"/>
      </w:pPr>
      <w:r>
        <w:t>d)</w:t>
      </w:r>
      <w:r>
        <w:tab/>
        <w:t>Sensibiliser les communautés, par des campagnes massives d’information, à propos de l’attention à apporter à une femme enceinte, afin d’éviter tout type de violence pouvant nuire à la mère ou à l’enfant;</w:t>
      </w:r>
    </w:p>
    <w:p w:rsidR="00000000" w:rsidRDefault="00000000">
      <w:pPr>
        <w:spacing w:after="240"/>
        <w:ind w:firstLine="567"/>
      </w:pPr>
      <w:r>
        <w:t>e)</w:t>
      </w:r>
      <w:r>
        <w:tab/>
        <w:t>Former le personnel des services de santé afin qu’il traite de manière appropriée les victimes de violence familiale et qu’il leur assure une prise en charge globale, en respectant leur intimité et leur vie privée et en évitant la répétition d’examens cliniques qui portent atteinte à leur intégrité psychologique;</w:t>
      </w:r>
    </w:p>
    <w:p w:rsidR="00000000" w:rsidRDefault="00000000">
      <w:pPr>
        <w:spacing w:after="240"/>
        <w:ind w:firstLine="567"/>
      </w:pPr>
      <w:r>
        <w:t>f)</w:t>
      </w:r>
      <w:r>
        <w:tab/>
        <w:t>Coordonner l’action des services de santé et des services juridiques afin d’assurer une prise en charge appropriée des victimes de violence familiale;</w:t>
      </w:r>
    </w:p>
    <w:p w:rsidR="00000000" w:rsidRDefault="00000000">
      <w:pPr>
        <w:spacing w:after="240"/>
        <w:ind w:firstLine="567"/>
      </w:pPr>
      <w:r>
        <w:t>g)</w:t>
      </w:r>
      <w:r>
        <w:tab/>
        <w:t>Former et sensibiliser le personnel de l’administration de la justice, les policiers et les autres fonctionnaires chargés de veiller à l’application de la (présente) loi aux mesures de prévention, de répression et d’éradication de la violence familiale;</w:t>
      </w:r>
    </w:p>
    <w:p w:rsidR="00000000" w:rsidRDefault="00000000">
      <w:pPr>
        <w:spacing w:after="240"/>
        <w:ind w:firstLine="567"/>
      </w:pPr>
      <w:r>
        <w:t>h)</w:t>
      </w:r>
      <w:r>
        <w:tab/>
        <w:t>Organiser des campagnes de sensibilisation à travers les moyens de communication collectifs, interactifs et de masse, en direction de la communauté dans son ensemble, afin de renforcer le rejet de la violence familiale;</w:t>
      </w:r>
    </w:p>
    <w:p w:rsidR="00000000" w:rsidRDefault="00000000">
      <w:pPr>
        <w:spacing w:after="240"/>
        <w:ind w:firstLine="567"/>
      </w:pPr>
      <w:r>
        <w:t>i)</w:t>
      </w:r>
      <w:r>
        <w:tab/>
        <w:t>Organiser des campagnes ciblées par région, par âge et par catégorie socioéconomique, à travers les moyens de communication traditionnels et alternatifs, afin de diffuser les droits des femmes et de convaincre les gens que la violence familiale est contraire aux droits de l’homme;</w:t>
      </w:r>
    </w:p>
    <w:p w:rsidR="00000000" w:rsidRDefault="00000000">
      <w:pPr>
        <w:spacing w:after="240"/>
        <w:ind w:firstLine="567"/>
      </w:pPr>
      <w:r>
        <w:t>j)</w:t>
      </w:r>
      <w:r>
        <w:tab/>
        <w:t>Faire en sorte que dans leur vocabulaire et leur discours, les moyens de communication de masse rejettent systématiquement la violence familiale et défendent le plein exercice des droits, dans des émissions spéciales, des entretiens et les bulletins d’information réguliers;</w:t>
      </w:r>
    </w:p>
    <w:p w:rsidR="00000000" w:rsidRDefault="00000000">
      <w:pPr>
        <w:spacing w:after="240"/>
        <w:ind w:firstLine="567"/>
      </w:pPr>
      <w:r>
        <w:t>k)</w:t>
      </w:r>
      <w:r>
        <w:tab/>
        <w:t xml:space="preserve">Diffuser la Convention des </w:t>
      </w:r>
      <w:r>
        <w:rPr>
          <w:rFonts w:eastAsia="MS Mincho"/>
        </w:rPr>
        <w:t>Nations Unies</w:t>
      </w:r>
      <w:r>
        <w:t xml:space="preserve"> sur l’élimination de toutes les formes de discrimination à l’égard des femmes et la Convention interaméricaine de l’Organisation des États américains pour la prévention, la sanction et l’élimination de la violence contre la femme;</w:t>
      </w:r>
    </w:p>
    <w:p w:rsidR="00000000" w:rsidRDefault="00000000">
      <w:pPr>
        <w:spacing w:after="240"/>
        <w:ind w:firstLine="567"/>
      </w:pPr>
      <w:r>
        <w:t>l)</w:t>
      </w:r>
      <w:r>
        <w:tab/>
        <w:t>Diffuser le texte de la (présente) loi auprès des publics spécialisés, des décideurs politiques, des dirigeants syndicaux, des militants et de ceux qui font l’opinion;</w:t>
      </w:r>
    </w:p>
    <w:p w:rsidR="00000000" w:rsidRDefault="00000000">
      <w:pPr>
        <w:spacing w:after="240"/>
        <w:ind w:firstLine="567"/>
      </w:pPr>
      <w:r>
        <w:t>m)</w:t>
      </w:r>
      <w:r>
        <w:tab/>
        <w:t>Promouvoir la recherche et l’étude des causes et conséquences de la violence familiale et adopter des mesures en vue de son éradication;</w:t>
      </w:r>
    </w:p>
    <w:p w:rsidR="00000000" w:rsidRDefault="00000000">
      <w:pPr>
        <w:spacing w:after="240"/>
        <w:ind w:firstLine="567"/>
      </w:pPr>
      <w:r>
        <w:t>n)</w:t>
      </w:r>
      <w:r>
        <w:tab/>
        <w:t>Détacher des patrouilles mobiles de contrôle de la police nationale dans les secteurs qui connaissent le plus grand nombre de cas de violence familiale;</w:t>
      </w:r>
    </w:p>
    <w:p w:rsidR="00000000" w:rsidRDefault="00000000">
      <w:pPr>
        <w:spacing w:after="240"/>
        <w:ind w:firstLine="567"/>
      </w:pPr>
      <w:r>
        <w:t>o)</w:t>
      </w:r>
      <w:r>
        <w:tab/>
        <w:t>Promouvoir l’établissement de foyers d’accueil provisoire pour les victimes de violence et la création d’institutions pour le traitement des agresseurs;</w:t>
      </w:r>
    </w:p>
    <w:p w:rsidR="00000000" w:rsidRDefault="00000000">
      <w:pPr>
        <w:spacing w:after="240"/>
        <w:ind w:firstLine="567"/>
      </w:pPr>
      <w:r>
        <w:t>p)</w:t>
      </w:r>
      <w:r>
        <w:tab/>
        <w:t>Promouvoir et appuyer la diffusion de la loi contre la violence familiale ou domestique par l’intermédiaire de l’éducation nationale;</w:t>
      </w:r>
    </w:p>
    <w:p w:rsidR="00000000" w:rsidRDefault="00000000">
      <w:pPr>
        <w:spacing w:after="240"/>
        <w:ind w:firstLine="567"/>
      </w:pPr>
      <w:r>
        <w:t>q)</w:t>
      </w:r>
      <w:r>
        <w:tab/>
        <w:t>Intégrer l’enseignement de la loi contre la violence familiale ou domestique dans les programmes de formation des instituts militaires et de l’Académie nationale de police;</w:t>
      </w:r>
    </w:p>
    <w:p w:rsidR="00000000" w:rsidRDefault="00000000">
      <w:pPr>
        <w:spacing w:after="240"/>
        <w:ind w:firstLine="567"/>
      </w:pPr>
      <w:r>
        <w:t>r)</w:t>
      </w:r>
      <w:r>
        <w:tab/>
        <w:t>Encourager la création de centres de consultation psychologique pour le diagnostic des cas de violence familiale et le traitement des victimes.</w:t>
      </w:r>
    </w:p>
    <w:p w:rsidR="00000000" w:rsidRDefault="00000000">
      <w:pPr>
        <w:keepNext/>
        <w:spacing w:after="240"/>
        <w:rPr>
          <w:b/>
          <w:bCs/>
        </w:rPr>
      </w:pPr>
      <w:r>
        <w:rPr>
          <w:b/>
          <w:bCs/>
        </w:rPr>
        <w:t>Droit égal qu’ont l’homme et la femme au bénéfice de tous les droits économiques, sociaux et culturels</w:t>
      </w:r>
    </w:p>
    <w:p w:rsidR="00000000" w:rsidRDefault="00000000">
      <w:pPr>
        <w:spacing w:after="240"/>
      </w:pPr>
      <w:r>
        <w:t>70.</w:t>
      </w:r>
      <w:r>
        <w:tab/>
        <w:t>La Constitution politique de l’État de Bolivie dispose que tout être humain a la personnalité et la capacité juridiques conformément à la loi et jouit des droits, libertés et garanties reconnus par la Constitution, sans distinction de sexe.</w:t>
      </w:r>
    </w:p>
    <w:p w:rsidR="00000000" w:rsidRDefault="00000000">
      <w:pPr>
        <w:keepNext/>
        <w:spacing w:after="240"/>
      </w:pPr>
      <w:r>
        <w:t>71.</w:t>
      </w:r>
      <w:r>
        <w:tab/>
        <w:t>La Constitution de la Bolivie dispose également que le mariage repose sur l’égalité des droits et des devoirs des époux.</w:t>
      </w:r>
    </w:p>
    <w:p w:rsidR="00000000" w:rsidRDefault="00000000">
      <w:pPr>
        <w:spacing w:after="240"/>
      </w:pPr>
      <w:r>
        <w:t>72.</w:t>
      </w:r>
      <w:r>
        <w:tab/>
        <w:t>Malgré ces dispositions constitutionnelles, la loi générale sur le travail, qui date du 21 décembre 1948, confère aux femmes le même statut que les mineurs, ce qui constitue un obstacle à l’égalité des chances.</w:t>
      </w:r>
    </w:p>
    <w:p w:rsidR="00000000" w:rsidRDefault="00000000">
      <w:pPr>
        <w:spacing w:after="240"/>
      </w:pPr>
      <w:r>
        <w:t>73.</w:t>
      </w:r>
      <w:r>
        <w:tab/>
        <w:t xml:space="preserve">Le décret suprême </w:t>
      </w:r>
      <w:r>
        <w:rPr>
          <w:rFonts w:eastAsia="MS Mincho"/>
        </w:rPr>
        <w:t>n</w:t>
      </w:r>
      <w:r>
        <w:rPr>
          <w:rFonts w:eastAsia="MS Mincho"/>
          <w:vertAlign w:val="superscript"/>
        </w:rPr>
        <w:t>o</w:t>
      </w:r>
      <w:r>
        <w:t xml:space="preserve"> 24864 du 10 octobre 1997 a pour objectif de garantir l’égalité des droits des hommes et des femmes dans les domaines politique, économique, social et culturel, ainsi que l’inclusion transversale des questions de genre dans les politiques publiques en vue de parvenir à une véritable équité. </w:t>
      </w:r>
    </w:p>
    <w:p w:rsidR="00000000" w:rsidRDefault="00000000">
      <w:pPr>
        <w:spacing w:after="240"/>
      </w:pPr>
      <w:r>
        <w:t>74.</w:t>
      </w:r>
      <w:r>
        <w:tab/>
        <w:t xml:space="preserve">Dans le même esprit, la loi </w:t>
      </w:r>
      <w:r>
        <w:rPr>
          <w:rFonts w:eastAsia="MS Mincho"/>
        </w:rPr>
        <w:t>n</w:t>
      </w:r>
      <w:r>
        <w:rPr>
          <w:rFonts w:eastAsia="MS Mincho"/>
          <w:vertAlign w:val="superscript"/>
        </w:rPr>
        <w:t>o</w:t>
      </w:r>
      <w:r>
        <w:t> 2446 relative à l’organisation du pouvoir exécutif, en date du 27 mars 2003, a établi le Vice</w:t>
      </w:r>
      <w:r>
        <w:noBreakHyphen/>
        <w:t>Ministère de la condition féminine, rattaché au Ministère du développement durable, chargé de concevoir des politiques d’égalité des sexes et mandaté pour:</w:t>
      </w:r>
    </w:p>
    <w:p w:rsidR="00000000" w:rsidRDefault="00000000">
      <w:pPr>
        <w:numPr>
          <w:ilvl w:val="0"/>
          <w:numId w:val="113"/>
        </w:numPr>
        <w:spacing w:after="240"/>
      </w:pPr>
      <w:r>
        <w:t>Élaborer des politiques, règlements et instructions en vue d’intégrer les questions de genre sur la base de l’équité et de l’égalité des chances;</w:t>
      </w:r>
    </w:p>
    <w:p w:rsidR="00000000" w:rsidRDefault="00000000">
      <w:pPr>
        <w:numPr>
          <w:ilvl w:val="0"/>
          <w:numId w:val="113"/>
        </w:numPr>
        <w:spacing w:after="240"/>
      </w:pPr>
      <w:r>
        <w:t>Élaborer des politiques, règlements et instructions en vue de renforcer les mécanismes de lutte contre la violence familiale, notamment ceux chargés de la prévention, du traitement, de la réadaptation, de la protection et de la répression;</w:t>
      </w:r>
    </w:p>
    <w:p w:rsidR="00000000" w:rsidRDefault="00000000">
      <w:pPr>
        <w:numPr>
          <w:ilvl w:val="0"/>
          <w:numId w:val="113"/>
        </w:numPr>
        <w:spacing w:after="240"/>
      </w:pPr>
      <w:r>
        <w:t>Coordonner son action avec celle du Service national d’administration du personnel afin de créer des possibilités d’inclure équitablement la femme dans la fonction publique;</w:t>
      </w:r>
    </w:p>
    <w:p w:rsidR="00000000" w:rsidRDefault="00000000">
      <w:pPr>
        <w:numPr>
          <w:ilvl w:val="0"/>
          <w:numId w:val="113"/>
        </w:numPr>
        <w:spacing w:after="240"/>
      </w:pPr>
      <w:r>
        <w:t>Renforcer les mécanismes de représentation des femmes et d’accès des femmes à la prise de décisions politiques:</w:t>
      </w:r>
    </w:p>
    <w:p w:rsidR="00000000" w:rsidRDefault="00000000">
      <w:pPr>
        <w:numPr>
          <w:ilvl w:val="0"/>
          <w:numId w:val="113"/>
        </w:numPr>
        <w:spacing w:after="240"/>
      </w:pPr>
      <w:r>
        <w:t>Veiller au respect de la législation nationale et des conventions internationales sur les questions d’équité entre les sexes.</w:t>
      </w:r>
    </w:p>
    <w:p w:rsidR="00000000" w:rsidRDefault="00000000">
      <w:pPr>
        <w:spacing w:after="240"/>
      </w:pPr>
      <w:r>
        <w:t>75.</w:t>
      </w:r>
      <w:r>
        <w:tab/>
        <w:t>La législation en vigueur, comme les politiques publiques, tendent à faire bénéficier les hommes comme les femmes des droits à l’éducation et à la santé. S’y ajoutent des mesures exclusivement en faveur des femmes, telles que l’assurance universelle materno</w:t>
      </w:r>
      <w:r>
        <w:noBreakHyphen/>
        <w:t xml:space="preserve">infantile (SUMI), qui sera expliquée en détail dans la partie du présent rapport consacrée au droit à la santé. </w:t>
      </w:r>
    </w:p>
    <w:p w:rsidR="00000000" w:rsidRDefault="00000000">
      <w:pPr>
        <w:spacing w:after="240"/>
        <w:ind w:left="567"/>
        <w:rPr>
          <w:b/>
          <w:bCs/>
        </w:rPr>
      </w:pPr>
      <w:r>
        <w:rPr>
          <w:b/>
          <w:bCs/>
        </w:rPr>
        <w:t>38.</w:t>
      </w:r>
      <w:r>
        <w:rPr>
          <w:b/>
          <w:bCs/>
        </w:rPr>
        <w:tab/>
        <w:t>Le Comité invite en outre instamment l’État partie à ratifier la Convention </w:t>
      </w:r>
      <w:r>
        <w:rPr>
          <w:rFonts w:eastAsia="MS Mincho"/>
          <w:b/>
          <w:bCs/>
        </w:rPr>
        <w:t>n</w:t>
      </w:r>
      <w:r>
        <w:rPr>
          <w:rFonts w:eastAsia="MS Mincho"/>
          <w:b/>
          <w:bCs/>
          <w:vertAlign w:val="superscript"/>
        </w:rPr>
        <w:t>o</w:t>
      </w:r>
      <w:r>
        <w:rPr>
          <w:b/>
          <w:bCs/>
        </w:rPr>
        <w:t xml:space="preserve"> 182 de l’OIT (sur les pires formes de travail des enfants) et à prendre des mesures efficaces en vue d’éradiquer le phénomène des </w:t>
      </w:r>
      <w:r>
        <w:rPr>
          <w:b/>
          <w:bCs/>
          <w:i/>
          <w:iCs/>
        </w:rPr>
        <w:t>criaditos</w:t>
      </w:r>
      <w:r>
        <w:rPr>
          <w:b/>
          <w:bCs/>
        </w:rPr>
        <w:t>.</w:t>
      </w:r>
    </w:p>
    <w:p w:rsidR="00000000" w:rsidRDefault="00000000">
      <w:pPr>
        <w:spacing w:after="240"/>
      </w:pPr>
      <w:r>
        <w:t>76.</w:t>
      </w:r>
      <w:r>
        <w:tab/>
        <w:t xml:space="preserve">La Convention </w:t>
      </w:r>
      <w:r>
        <w:rPr>
          <w:rFonts w:eastAsia="MS Mincho"/>
        </w:rPr>
        <w:t>n</w:t>
      </w:r>
      <w:r>
        <w:rPr>
          <w:rFonts w:eastAsia="MS Mincho"/>
          <w:vertAlign w:val="superscript"/>
        </w:rPr>
        <w:t>o</w:t>
      </w:r>
      <w:r>
        <w:t xml:space="preserve"> 182 de l’OIT a été ratifiée par la loi </w:t>
      </w:r>
      <w:r>
        <w:rPr>
          <w:rFonts w:eastAsia="MS Mincho"/>
        </w:rPr>
        <w:t>n</w:t>
      </w:r>
      <w:r>
        <w:rPr>
          <w:rFonts w:eastAsia="MS Mincho"/>
          <w:vertAlign w:val="superscript"/>
        </w:rPr>
        <w:t>o</w:t>
      </w:r>
      <w:r>
        <w:t> 2428 du 28 novembre 2002.</w:t>
      </w:r>
    </w:p>
    <w:p w:rsidR="00000000" w:rsidRDefault="00000000">
      <w:pPr>
        <w:keepLines/>
        <w:spacing w:after="240"/>
        <w:ind w:left="567"/>
        <w:rPr>
          <w:b/>
          <w:bCs/>
        </w:rPr>
      </w:pPr>
      <w:r>
        <w:rPr>
          <w:b/>
          <w:bCs/>
        </w:rPr>
        <w:t>39.</w:t>
      </w:r>
      <w:r>
        <w:rPr>
          <w:b/>
          <w:bCs/>
        </w:rPr>
        <w:tab/>
        <w:t>Le Comité recommande à la Bolivie de tenir compte explicitement du Pacte dans les politiques, programmes et projets découlant du document de stratégie pour la réduction de la pauvreté qui fait partie de l’Initiative améliorée en faveur des pays pauvres très endettés. Il renvoie à cet égard l’État partie à la Déclaration sur la pauvreté adoptée par le Comité le 4 mai 2001.</w:t>
      </w:r>
    </w:p>
    <w:p w:rsidR="00000000" w:rsidRDefault="00000000">
      <w:pPr>
        <w:keepNext/>
        <w:spacing w:after="240"/>
        <w:jc w:val="center"/>
        <w:rPr>
          <w:b/>
          <w:bCs/>
        </w:rPr>
      </w:pPr>
      <w:r>
        <w:rPr>
          <w:b/>
          <w:bCs/>
        </w:rPr>
        <w:t>A.  Droit à un niveau de vie suffisant</w:t>
      </w:r>
    </w:p>
    <w:p w:rsidR="00000000" w:rsidRDefault="00000000">
      <w:pPr>
        <w:keepNext/>
        <w:spacing w:after="240"/>
        <w:rPr>
          <w:b/>
          <w:bCs/>
        </w:rPr>
      </w:pPr>
      <w:r>
        <w:rPr>
          <w:b/>
          <w:bCs/>
        </w:rPr>
        <w:t>Éléments d’information</w:t>
      </w:r>
    </w:p>
    <w:p w:rsidR="00000000" w:rsidRDefault="00000000">
      <w:pPr>
        <w:spacing w:after="240"/>
      </w:pPr>
      <w:r>
        <w:t>77.</w:t>
      </w:r>
      <w:r>
        <w:tab/>
        <w:t>Selon les chiffres officiels du système d’information sur l’eau et l’assainissement (SIAS) les taux de couverture de la population pour l’approvisionnement en eau et l’assainissement au niveau national sont les suivants:</w:t>
      </w:r>
    </w:p>
    <w:p w:rsidR="00000000" w:rsidRDefault="00000000">
      <w:pPr>
        <w:spacing w:after="240"/>
        <w:ind w:left="567"/>
      </w:pPr>
      <w:r>
        <w:t>a)</w:t>
      </w:r>
      <w:r>
        <w:tab/>
        <w:t>Zones urbaines:</w:t>
      </w:r>
    </w:p>
    <w:p w:rsidR="00000000" w:rsidRDefault="00000000">
      <w:pPr>
        <w:numPr>
          <w:ilvl w:val="0"/>
          <w:numId w:val="87"/>
        </w:numPr>
      </w:pPr>
      <w:r>
        <w:t>Eau potable: 88,21 %</w:t>
      </w:r>
    </w:p>
    <w:p w:rsidR="00000000" w:rsidRDefault="00000000">
      <w:pPr>
        <w:numPr>
          <w:ilvl w:val="0"/>
          <w:numId w:val="87"/>
        </w:numPr>
        <w:spacing w:after="240"/>
      </w:pPr>
      <w:r>
        <w:t>Assainissement: 48 %</w:t>
      </w:r>
    </w:p>
    <w:p w:rsidR="00000000" w:rsidRDefault="00000000">
      <w:pPr>
        <w:spacing w:after="240"/>
        <w:ind w:left="567"/>
      </w:pPr>
      <w:r>
        <w:t>b)</w:t>
      </w:r>
      <w:r>
        <w:tab/>
        <w:t>Zones rurales:</w:t>
      </w:r>
    </w:p>
    <w:p w:rsidR="00000000" w:rsidRDefault="00000000">
      <w:pPr>
        <w:numPr>
          <w:ilvl w:val="0"/>
          <w:numId w:val="87"/>
        </w:numPr>
      </w:pPr>
      <w:r>
        <w:t>Eau potable: 46,38 %</w:t>
      </w:r>
    </w:p>
    <w:p w:rsidR="00000000" w:rsidRDefault="00000000">
      <w:pPr>
        <w:numPr>
          <w:ilvl w:val="0"/>
          <w:numId w:val="87"/>
        </w:numPr>
        <w:spacing w:after="240"/>
      </w:pPr>
      <w:r>
        <w:t>Assainissement: 31,71 %</w:t>
      </w:r>
    </w:p>
    <w:p w:rsidR="00000000" w:rsidRDefault="00000000">
      <w:pPr>
        <w:spacing w:after="240"/>
        <w:ind w:firstLine="567"/>
      </w:pPr>
      <w:r>
        <w:rPr>
          <w:i/>
          <w:iCs/>
        </w:rPr>
        <w:t>Source</w:t>
      </w:r>
      <w:r>
        <w:t>: Recensement sur la population et le logement de 2001.</w:t>
      </w:r>
    </w:p>
    <w:p w:rsidR="00000000" w:rsidRDefault="00000000">
      <w:pPr>
        <w:keepNext/>
        <w:spacing w:after="240"/>
        <w:rPr>
          <w:b/>
          <w:bCs/>
        </w:rPr>
      </w:pPr>
      <w:r>
        <w:rPr>
          <w:b/>
          <w:bCs/>
        </w:rPr>
        <w:t>Progrès accomplis</w:t>
      </w:r>
    </w:p>
    <w:p w:rsidR="00000000" w:rsidRDefault="00000000">
      <w:pPr>
        <w:spacing w:after="240"/>
      </w:pPr>
      <w:r>
        <w:t>78.</w:t>
      </w:r>
      <w:r>
        <w:tab/>
        <w:t xml:space="preserve">Faute de ressources, on ne dispose pas de données à jour et il est donc impossible d’exposer les progrès accomplis dans ce domaine. </w:t>
      </w:r>
    </w:p>
    <w:p w:rsidR="00000000" w:rsidRDefault="00000000">
      <w:pPr>
        <w:keepNext/>
        <w:spacing w:after="240"/>
        <w:jc w:val="center"/>
        <w:rPr>
          <w:b/>
          <w:bCs/>
        </w:rPr>
      </w:pPr>
      <w:r>
        <w:rPr>
          <w:b/>
          <w:bCs/>
        </w:rPr>
        <w:t>B.  Protection contre la faim</w:t>
      </w:r>
    </w:p>
    <w:p w:rsidR="00000000" w:rsidRDefault="00000000">
      <w:pPr>
        <w:keepNext/>
        <w:spacing w:after="240"/>
        <w:rPr>
          <w:b/>
          <w:bCs/>
        </w:rPr>
      </w:pPr>
      <w:r>
        <w:rPr>
          <w:b/>
          <w:bCs/>
        </w:rPr>
        <w:t>Éléments d’information</w:t>
      </w:r>
    </w:p>
    <w:p w:rsidR="00000000" w:rsidRDefault="00000000">
      <w:pPr>
        <w:spacing w:after="240"/>
      </w:pPr>
      <w:r>
        <w:t>79.</w:t>
      </w:r>
      <w:r>
        <w:tab/>
        <w:t xml:space="preserve">Le Programme national d’alimentation et de nutrition s’articule autour d’actions stratégiques s’inscrivant dans la politique nationale de santé. L’objectif est d’améliorer l’état nutritionnel de la population bolivienne, en particulier des groupes vulnérables comme les femmes enceintes, les accouchées et les enfants de moins de 5 ans. Il s’agit de promouvoir les aliments enrichis, le sel iodé et fluoré, la farine de blé enrichie en fer, vitamines B et acide folique, l’huile enrichie en vitamine A et les compléments alimentaires tels que vitamine A et sulfate ferreux dans le cadre du SUMI. L’allaitement maternel, associé à une alimentation complémentaire adaptée, est encouragé. S’y ajoute un travail de réglementation et de normalisation dans le cadre du Codex alimentaire qui s’est traduit par l’adoption d’un décret suprême relatif à l’enrichissement d’aliments et d’un décret suprême relatif au sel iodé et à la farine enrichie en fer, en vitamines B et en acide folique, ainsi que par l’élaboration d’un projet de loi de commercialisation de succédanés du lait maternel, actuellement devant le Parlement, et d’une série de règlements techniques. </w:t>
      </w:r>
    </w:p>
    <w:p w:rsidR="00000000" w:rsidRDefault="00000000">
      <w:pPr>
        <w:spacing w:after="240"/>
      </w:pPr>
      <w:r>
        <w:t>80.</w:t>
      </w:r>
      <w:r>
        <w:tab/>
        <w:t>Une série de normes relatives à la nutrition des femmes enceintes, des nourrissons et des enfants et à la supplémentation en vitamine A et en fer, entre autres, seront prochainement publiées.</w:t>
      </w:r>
    </w:p>
    <w:p w:rsidR="00000000" w:rsidRDefault="00000000">
      <w:pPr>
        <w:spacing w:after="240"/>
      </w:pPr>
      <w:r>
        <w:t>81.</w:t>
      </w:r>
      <w:r>
        <w:tab/>
        <w:t xml:space="preserve">Compte tenu de l’importance de l’information, de l’éducation et de la communication auprès des différents publics, les acteurs du programme d’alimentation et de nutrition ont mis au point, avec le soutien technique et financier de l’UNICEF, deux stratégies de communication et de marketing social, l’une axée sur le sel iodé et l’autre sur les compléments de vitamine A; une autre stratégie de communication axée sur les micronutriments, en particulier le fer et la vitamine A dans les aliments enrichis, est en cours d’élaboration. </w:t>
      </w:r>
    </w:p>
    <w:p w:rsidR="00000000" w:rsidRDefault="00000000">
      <w:pPr>
        <w:spacing w:after="240"/>
      </w:pPr>
      <w:r>
        <w:t>82.</w:t>
      </w:r>
      <w:r>
        <w:tab/>
        <w:t>Cela étant, le secteur de la santé ne pourra à lui seul améliorer l’état nutritionnel des enfants de moins de 5 ans et des femmes enceintes et cet objectif ne pourra être atteint que dans le cadre d’une action multisectorielle, en collaboration avec les autres ministères concernés, en particulier ceux de l’agriculture, de l’éducation, du développement économique et de la participation populaire, de l’assainissement et de la santé. Cette coordination est en cours.</w:t>
      </w:r>
    </w:p>
    <w:p w:rsidR="00000000" w:rsidRDefault="00000000">
      <w:pPr>
        <w:keepNext/>
        <w:spacing w:after="240"/>
        <w:rPr>
          <w:b/>
          <w:bCs/>
        </w:rPr>
      </w:pPr>
      <w:r>
        <w:rPr>
          <w:b/>
          <w:bCs/>
        </w:rPr>
        <w:t>Progrès accomplis</w:t>
      </w:r>
    </w:p>
    <w:p w:rsidR="00000000" w:rsidRDefault="00000000">
      <w:pPr>
        <w:spacing w:after="240"/>
      </w:pPr>
      <w:r>
        <w:t>83.</w:t>
      </w:r>
      <w:r>
        <w:tab/>
        <w:t>Une étude de la situation nationale en matière de sécurité alimentaire et de nutrition, sous l’angle du droit fondamental à une alimentation suffisante, a été réalisée en 2004</w:t>
      </w:r>
      <w:r>
        <w:noBreakHyphen/>
        <w:t xml:space="preserve">2005. </w:t>
      </w:r>
    </w:p>
    <w:p w:rsidR="00000000" w:rsidRDefault="00000000">
      <w:pPr>
        <w:spacing w:after="240"/>
      </w:pPr>
      <w:r>
        <w:t>84.</w:t>
      </w:r>
      <w:r>
        <w:tab/>
        <w:t xml:space="preserve">L’objectif de l’étude était d’analyser la manière dont les questions d’alimentation et de nutrition étaient intégrées aux plans de développement et de lutte contre la pauvreté afin de garantir la réalisation des objectifs du Millénaire pour le développement et la concrétisation progressive du droit à une alimentation adéquate en tant que droit de l’homme. </w:t>
      </w:r>
    </w:p>
    <w:p w:rsidR="00000000" w:rsidRDefault="00000000">
      <w:pPr>
        <w:spacing w:after="240"/>
      </w:pPr>
      <w:r>
        <w:t>85.</w:t>
      </w:r>
      <w:r>
        <w:tab/>
        <w:t>L’étude était principalement fondée sur des informations secondaires. Les programmes et projets ayant trait à l’alimentation, à la nutrition et à la sécurité alimentaire ont été analysés sur la base de renseignements communiqués par les 14 organismes qui ont répondu à l’invitation. Les travaux ont duré de septembre 2004 à février 2005. Des consultations avec des acteurs gouvernementaux et non gouvernementaux du secteur de l’alimentation et de la nutrition ainsi que deux ateliers consultatifs, en octobre 2004 et en février 2005, ont été organisés en vue de renforcer le dialogue entre les acteurs des différents secteurs.</w:t>
      </w:r>
    </w:p>
    <w:p w:rsidR="00000000" w:rsidRDefault="00000000">
      <w:pPr>
        <w:keepNext/>
        <w:spacing w:after="240"/>
        <w:rPr>
          <w:b/>
          <w:bCs/>
        </w:rPr>
      </w:pPr>
      <w:r>
        <w:rPr>
          <w:b/>
          <w:bCs/>
        </w:rPr>
        <w:t>Situation en matière de nutrition et de sécurité alimentaire en Bolivie</w:t>
      </w:r>
    </w:p>
    <w:p w:rsidR="00000000" w:rsidRDefault="00000000">
      <w:pPr>
        <w:spacing w:after="240"/>
      </w:pPr>
      <w:r>
        <w:t>86.</w:t>
      </w:r>
      <w:r>
        <w:tab/>
        <w:t>Les principaux problèmes de nutrition publique en Bolivie sont la dénutrition, les anémies nutritionnelles, la carence en vitamine A, les troubles dus au manque d’iode et les maladies chroniques telles que l’obésité, le diabète et l’hypertension artérielle. Parmi tous ces problèmes, la dénutrition représente l’effet, la conséquence ou la manifestation la plus importante en raison de ses fortes incidences sur les plans social et économique.</w:t>
      </w:r>
    </w:p>
    <w:p w:rsidR="00000000" w:rsidRDefault="00000000">
      <w:pPr>
        <w:spacing w:after="240"/>
      </w:pPr>
      <w:r>
        <w:t>87.</w:t>
      </w:r>
      <w:r>
        <w:tab/>
        <w:t>Au niveau national, en 2003, 26,5 % des enfants de moins de 5 ans présentaient un état de dénutrition chronique modéré ou grave, proportion similaire à celle constatée en 1998</w:t>
      </w:r>
      <w:r>
        <w:rPr>
          <w:rStyle w:val="FootnoteReference"/>
        </w:rPr>
        <w:footnoteReference w:id="7"/>
      </w:r>
      <w:r>
        <w:t>. Selon le Système national d’information sur la santé (SNIS), la proportion d’enfants de moins de 5 ans en état de dénutrition léger, modéré ou grave était de 29,44 % (moyenne annuelle) en 2003.</w:t>
      </w:r>
    </w:p>
    <w:p w:rsidR="00000000" w:rsidRDefault="00000000">
      <w:pPr>
        <w:spacing w:after="240"/>
      </w:pPr>
      <w:r>
        <w:t>88.</w:t>
      </w:r>
      <w:r>
        <w:tab/>
        <w:t>Sur les 314 municipalités que comptait le pays en 2003, 131 connaissaient des taux élevés de dénutrition globale légère, modérée ou grave, 156 des taux moyens et 24 seulement des taux bas.</w:t>
      </w:r>
    </w:p>
    <w:p w:rsidR="00000000" w:rsidRDefault="00000000">
      <w:pPr>
        <w:spacing w:after="240"/>
      </w:pPr>
      <w:r>
        <w:t>89.</w:t>
      </w:r>
      <w:r>
        <w:tab/>
        <w:t xml:space="preserve">Sur les 131 municipalités présentant des taux élevés de dénutrition globale, 105 (soit 80 %) ont un taux élevé ou très élevé de vulnérabilité face à l’insécurité alimentaire; elles sont principalement situées dans les départements de Cochabamba, Potosí, Chuquisaca et La Paz. </w:t>
      </w:r>
    </w:p>
    <w:p w:rsidR="00000000" w:rsidRDefault="00000000">
      <w:pPr>
        <w:spacing w:after="240"/>
      </w:pPr>
      <w:r>
        <w:t>90.</w:t>
      </w:r>
      <w:r>
        <w:tab/>
        <w:t xml:space="preserve">Sur l’ensemble des municipalités, 128 (41 %) ont un potentiel agricole très bas ou de faibles possibilités de développement d’activités agricoles et 94 (30 %) ont de très faibles possibilités. </w:t>
      </w:r>
    </w:p>
    <w:p w:rsidR="00000000" w:rsidRDefault="00000000">
      <w:pPr>
        <w:spacing w:after="240"/>
      </w:pPr>
      <w:r>
        <w:t>91.</w:t>
      </w:r>
      <w:r>
        <w:tab/>
        <w:t>Au cours des dix dernières années, la production agricole a augmenté de 15,4 % à un rythme annuel moyen de 1,6 %, inférieur au taux de croissance de la population de 2,74 % enregistré en 2001. Cet écart crée un risque d’instabilité sur le plan de la disponibilité d’aliments ou de l’approvisionnement interne.</w:t>
      </w:r>
    </w:p>
    <w:p w:rsidR="00000000" w:rsidRDefault="00000000">
      <w:pPr>
        <w:spacing w:after="240"/>
      </w:pPr>
      <w:r>
        <w:t>92.</w:t>
      </w:r>
      <w:r>
        <w:tab/>
        <w:t xml:space="preserve">Au cours des quarante dernières années, la disponibilité des aliments, calculée en calories et en protéines, a augmenté; la consommation apparente est cependant plus basse en Bolivie que dans les autres pays andins. Les changements survenus dans l’offre d’aliments et les styles de vie ont entraîné une modification des modes alimentaires. </w:t>
      </w:r>
    </w:p>
    <w:p w:rsidR="00000000" w:rsidRDefault="00000000">
      <w:pPr>
        <w:spacing w:after="240"/>
      </w:pPr>
      <w:r>
        <w:t>93.</w:t>
      </w:r>
      <w:r>
        <w:tab/>
        <w:t xml:space="preserve">Le taux de pauvreté extrême ou d’indigence tend à baisser depuis ces dernières années, mais entre les zones urbaines et les zones rurales, il va du simple à plus du double, ce qui atteste la grave situation d’insécurité alimentaire qui continue d’affecter plus de la moitié de la population rurale. </w:t>
      </w:r>
    </w:p>
    <w:p w:rsidR="00000000" w:rsidRDefault="00000000">
      <w:pPr>
        <w:spacing w:after="240"/>
        <w:rPr>
          <w:b/>
          <w:bCs/>
        </w:rPr>
      </w:pPr>
      <w:r>
        <w:rPr>
          <w:b/>
          <w:bCs/>
        </w:rPr>
        <w:t>Progrès</w:t>
      </w:r>
    </w:p>
    <w:p w:rsidR="00000000" w:rsidRDefault="00000000">
      <w:pPr>
        <w:spacing w:after="240"/>
        <w:ind w:left="567"/>
        <w:rPr>
          <w:b/>
          <w:bCs/>
        </w:rPr>
      </w:pPr>
      <w:r>
        <w:rPr>
          <w:b/>
          <w:bCs/>
        </w:rPr>
        <w:t>Plans et politiques nationaux de développement contenant des dispositions relatives à la sécurité alimentaire et nutritionnelle</w:t>
      </w:r>
    </w:p>
    <w:p w:rsidR="00000000" w:rsidRDefault="00000000">
      <w:pPr>
        <w:spacing w:after="240"/>
      </w:pPr>
      <w:r>
        <w:t>94.</w:t>
      </w:r>
      <w:r>
        <w:tab/>
        <w:t>Conformément au Plan général de développement économique et social, la mise en œuvre de programmes et projets concernant l’alimentation et la nutrition est de la responsabilité du Ministère de la santé et des sports, dont le Plan relatif à la santé englobe le Plan pour l’alimentation et la nutrition, et du Ministère de l’agriculture, qui élabore à l’heure actuelle une stratégie nationale de développement agricole et rural à caractère multisectoriel. Toute l’importance voulue n’a cependant pas été attachée à la problématique de la sécurité alimentaire et de la nutrition aussi bien dans le Plan général de développement économique et social que dans les différents secteurs.</w:t>
      </w:r>
    </w:p>
    <w:p w:rsidR="00000000" w:rsidRDefault="00000000">
      <w:pPr>
        <w:spacing w:after="240"/>
      </w:pPr>
      <w:r>
        <w:t>95.</w:t>
      </w:r>
      <w:r>
        <w:tab/>
        <w:t>Les efforts initiaux engagés en vue de mener des interventions intégrées et solidaires peuvent avoir des incidences sur la conception des plans et politiques en la matière.</w:t>
      </w:r>
    </w:p>
    <w:p w:rsidR="00000000" w:rsidRDefault="00000000">
      <w:pPr>
        <w:spacing w:after="240"/>
        <w:ind w:left="567"/>
        <w:rPr>
          <w:b/>
          <w:bCs/>
        </w:rPr>
      </w:pPr>
      <w:r>
        <w:rPr>
          <w:b/>
          <w:bCs/>
        </w:rPr>
        <w:t>Tendances en matière d’appui à la réalisation des objectifs du Millénaire</w:t>
      </w:r>
      <w:r>
        <w:rPr>
          <w:b/>
          <w:bCs/>
        </w:rPr>
        <w:br/>
        <w:t>pour le développement</w:t>
      </w:r>
      <w:r>
        <w:rPr>
          <w:rStyle w:val="FootnoteReference"/>
        </w:rPr>
        <w:footnoteReference w:id="8"/>
      </w:r>
    </w:p>
    <w:p w:rsidR="00000000" w:rsidRDefault="00000000">
      <w:pPr>
        <w:spacing w:after="240"/>
      </w:pPr>
      <w:r>
        <w:t>96.</w:t>
      </w:r>
      <w:r>
        <w:tab/>
        <w:t>Les progrès accomplis en Bolivie dans la réalisation des objectifs du Millénaire pour le développement donnent lieu à évaluation dans le cadre de la stratégie de réduction de la pauvreté. Le dernier rapport établi à ce titre</w:t>
      </w:r>
      <w:r>
        <w:rPr>
          <w:rStyle w:val="FootnoteReference"/>
        </w:rPr>
        <w:footnoteReference w:id="9"/>
      </w:r>
      <w:r>
        <w:t xml:space="preserve"> indique qu’il ne sera pas possible d’atteindre tous les objectifs et buts fixés d’ici à 2015, sans exclure toutefois la réalisation de certains buts en rapport avec le développement humain, en particulier la réduction des taux de mortalité infantile et maternelle et l’accroissement de la couverture éducative, ce qui contribuerait à réduire la prévalence de la sous-alimentation et de la dénutrition et à améliorer les conditions de vie des couches les plus pauvres de la population bolivienne.</w:t>
      </w:r>
    </w:p>
    <w:p w:rsidR="00000000" w:rsidRDefault="00000000">
      <w:pPr>
        <w:keepNext/>
        <w:spacing w:after="240"/>
        <w:ind w:left="567"/>
        <w:rPr>
          <w:b/>
          <w:bCs/>
        </w:rPr>
      </w:pPr>
      <w:r>
        <w:rPr>
          <w:b/>
          <w:bCs/>
        </w:rPr>
        <w:t>Tendances en matière de prise en considération du droit de l’homme à une nourriture suffisante dans le cadre de la sécurité alimentaire et nutritionnelle</w:t>
      </w:r>
    </w:p>
    <w:p w:rsidR="00000000" w:rsidRDefault="00000000">
      <w:pPr>
        <w:spacing w:after="240"/>
      </w:pPr>
      <w:r>
        <w:t>97.</w:t>
      </w:r>
      <w:r>
        <w:tab/>
        <w:t>L’analyse de la situation du pays, sous tous ses angles, montre que les programmes et projets formulés en faveur de la sécurité alimentaire et nutritionnelle ne réservent aucune place au droit de l’homme à une nourriture suffisante, alors que pareille démarche s’impose pour en promouvoir l’intégration progressive dans les stratégies et politiques sectorielles ainsi que dans une stratégie nationale fondée sur les principes des droits de l’homme, comme la responsabilité, la transparence, la participation de la population, la décentralisation, la capacité législative et l’indépendance de la magistrature.</w:t>
      </w:r>
    </w:p>
    <w:p w:rsidR="00000000" w:rsidRDefault="00000000">
      <w:pPr>
        <w:spacing w:after="240"/>
      </w:pPr>
      <w:r>
        <w:t>98.</w:t>
      </w:r>
      <w:r>
        <w:tab/>
        <w:t>Une loi-cadre s’impose en outre en tant que vecteur principal pour la mise en œuvre d’une stratégie de sécurité alimentaire et nutritionnelle axée sur le droit de l’homme à une nourriture suffisante et pour l’institution d’un système de suivi national et international qui permette d’évaluer les résultats au moyen de mécanismes efficaces de prise en charge accessibles aux victimes de violations du droit de l’homme à une nourriture suffisante.</w:t>
      </w:r>
    </w:p>
    <w:p w:rsidR="00000000" w:rsidRDefault="00000000">
      <w:pPr>
        <w:keepNext/>
        <w:spacing w:after="240"/>
        <w:rPr>
          <w:b/>
          <w:bCs/>
        </w:rPr>
      </w:pPr>
      <w:r>
        <w:rPr>
          <w:b/>
          <w:bCs/>
        </w:rPr>
        <w:t>Évaluation générale des programmes concernant l’alimentation et la nutrition</w:t>
      </w:r>
    </w:p>
    <w:p w:rsidR="00000000" w:rsidRDefault="00000000">
      <w:pPr>
        <w:keepNext/>
        <w:spacing w:after="240"/>
        <w:ind w:firstLine="567"/>
        <w:rPr>
          <w:b/>
          <w:bCs/>
          <w:i/>
          <w:iCs/>
        </w:rPr>
      </w:pPr>
      <w:r>
        <w:rPr>
          <w:b/>
          <w:bCs/>
          <w:i/>
          <w:iCs/>
        </w:rPr>
        <w:t>Disponibilité, affectation et efficacité de l’utilisation des ressources</w:t>
      </w:r>
    </w:p>
    <w:p w:rsidR="00000000" w:rsidRDefault="00000000">
      <w:pPr>
        <w:spacing w:after="240"/>
      </w:pPr>
      <w:r>
        <w:t>99.</w:t>
      </w:r>
      <w:r>
        <w:tab/>
        <w:t>Selon l’étude la plus proche de la réalité menée par la Banque mondiale</w:t>
      </w:r>
      <w:r>
        <w:rPr>
          <w:rStyle w:val="FootnoteReference"/>
        </w:rPr>
        <w:footnoteReference w:id="10"/>
      </w:r>
      <w:r>
        <w:t xml:space="preserve"> dans ce domaine, sur la période 1999-2000 quelque 1,15 milliard de dollars ont été affectés en Bolivie à des programmes concernant directement ou indirectement la nutrition. Sur ce total, seulement 9 % des dépenses du Gouvernement et 7 % des dépenses des organisations non gouvernementales (ONG) sont allés à des programmes «efficaces» de nutrition en faveur de groupes prioritaires.</w:t>
      </w:r>
    </w:p>
    <w:p w:rsidR="00000000" w:rsidRDefault="00000000">
      <w:pPr>
        <w:keepNext/>
        <w:spacing w:after="240"/>
        <w:rPr>
          <w:b/>
          <w:bCs/>
        </w:rPr>
      </w:pPr>
      <w:r>
        <w:rPr>
          <w:b/>
          <w:bCs/>
        </w:rPr>
        <w:t>Degré de coordination et chevauchement des efforts</w:t>
      </w:r>
    </w:p>
    <w:p w:rsidR="00000000" w:rsidRDefault="00000000">
      <w:pPr>
        <w:spacing w:after="240"/>
      </w:pPr>
      <w:r>
        <w:t>100.</w:t>
      </w:r>
      <w:r>
        <w:tab/>
        <w:t>Une autre étude de la Banque mondiale</w:t>
      </w:r>
      <w:r>
        <w:rPr>
          <w:rStyle w:val="FootnoteReference"/>
        </w:rPr>
        <w:footnoteReference w:id="11"/>
      </w:r>
      <w:r>
        <w:t xml:space="preserve"> met en évidence un défaut de perspective commune et de coordination des efforts en termes de structure institutionnelle et d’agencement interne des programmes et projets, ainsi que l’inadaptation des politiques − isolées et fragmentaires − aux causes et effets de la malnutrition, ces carences étant imputables à l’absence d’organisme chef de file doté d’une capacité de coordination et d’un pouvoir de décision, ainsi qu’à l’insuffisance du budget et à la trop faible priorité accordée aux problèmes liés à la sécurité alimentaire et nutritionnelle.</w:t>
      </w:r>
    </w:p>
    <w:p w:rsidR="00000000" w:rsidRDefault="00000000">
      <w:pPr>
        <w:spacing w:after="240"/>
      </w:pPr>
      <w:r>
        <w:t>101.</w:t>
      </w:r>
      <w:r>
        <w:tab/>
        <w:t>Des progrès ont été accomplis sur le plan de la mise en place d’une structure institutionnelle de coordination par l’État avec la création du Conseil national de l’alimentation et de la nutrition (CONAN), chargé d’articuler les efforts déployés par les entités gouvernementales et la société civile ainsi que dans le cadre de la coopération internationale, même si à ce jour ce mécanisme n’a encore été officialisé.</w:t>
      </w:r>
    </w:p>
    <w:p w:rsidR="00000000" w:rsidRDefault="00000000">
      <w:pPr>
        <w:keepNext/>
        <w:spacing w:after="240"/>
        <w:rPr>
          <w:b/>
          <w:bCs/>
        </w:rPr>
      </w:pPr>
      <w:r>
        <w:rPr>
          <w:b/>
          <w:bCs/>
        </w:rPr>
        <w:t>Forces et faiblesses des efforts en cours en faveur de la réalisation du droit de l’homme à une nourriture suffisante</w:t>
      </w:r>
    </w:p>
    <w:p w:rsidR="00000000" w:rsidRDefault="00000000">
      <w:pPr>
        <w:spacing w:after="240"/>
      </w:pPr>
      <w:r>
        <w:t>102.</w:t>
      </w:r>
      <w:r>
        <w:tab/>
        <w:t>En ce qui concerne les principales forces, il convient de souligner plus particulièrement l’existence sur le territoire national dans différents domaines d’un cadre institutionnel structurant allant du Défenseur du peuple à la société civile. Des textes normatifs tendent à promouvoir la prise en considération intégrale de ce droit par l’État et certains acteurs de la coopération internationale apparaissent soucieux de concourir à différents processus devant déboucher progressivement sur la réalisation intégrale du droit de l’homme à une nourriture suffisante. La population bolivienne dispose de mécanismes de pression sociale lui permettant d’imposer certains thèmes qui lui semblent nécessaires dans les débats publics, ce qui pourrait favoriser l’exercice du droit de l’homme à une nourriture suffisante.</w:t>
      </w:r>
    </w:p>
    <w:p w:rsidR="00000000" w:rsidRDefault="00000000">
      <w:pPr>
        <w:spacing w:after="240"/>
      </w:pPr>
      <w:r>
        <w:t>103.</w:t>
      </w:r>
      <w:r>
        <w:tab/>
        <w:t>Parmi les principales faiblesses figurent l’absence d’institution chef de file assurant la coordination d’actions multilatérales ainsi que l’insuffisance des ressources économiques dont dispose l’État pour soutenir la formulation et l’exécution de politiques en faveur de la sécurité alimentaire et nutritionnelle. La prise en considération du droit à une nourriture suffisante est de plus un processus en expansion et les textes normatifs ne l’ont pas encore intégrée.</w:t>
      </w:r>
    </w:p>
    <w:p w:rsidR="00000000" w:rsidRDefault="00000000">
      <w:pPr>
        <w:keepNext/>
        <w:spacing w:after="240"/>
        <w:rPr>
          <w:b/>
          <w:bCs/>
        </w:rPr>
      </w:pPr>
      <w:r>
        <w:rPr>
          <w:b/>
          <w:bCs/>
        </w:rPr>
        <w:t>Contribution des programmes concernant l’alimentation et la nutrition à la réalisation des objectifs du Millénaire pour le développement et du droit de l’homme à une nourriture suffisante</w:t>
      </w:r>
    </w:p>
    <w:p w:rsidR="00000000" w:rsidRDefault="00000000">
      <w:pPr>
        <w:spacing w:after="240"/>
      </w:pPr>
      <w:r>
        <w:t>104.</w:t>
      </w:r>
      <w:r>
        <w:tab/>
        <w:t>L’analyse de 14 programmes ou projets a fait apparaître qu’un large éventail d’actions sont menées en faveur de l’alimentation et de la nutrition en vue de réaliser intégralement les objectifs du Millénaire pour le développement. Ces actions, qui visent à faire reculer la faim, concourent directement à la réalisation des objectifs du Millénaire pour le développement car nombre d’entre elles concernent cinq ou six desdits objectifs − ce qui fait ressortir le rôle central de l’alimentation et de la nutrition.</w:t>
      </w:r>
    </w:p>
    <w:p w:rsidR="00000000" w:rsidRDefault="00000000">
      <w:pPr>
        <w:spacing w:after="240"/>
      </w:pPr>
      <w:r>
        <w:t>105.</w:t>
      </w:r>
      <w:r>
        <w:tab/>
        <w:t>Les programmes ou projets du Ministère de la santé et des ONG visent à remédier aux causes immédiates de la dénutrition. Le Ministère de l’agriculture, le Programme de soutien à la sécurité alimentaire et le réseau d’ONG Association d’institutions de promotion et d’éducation, qui intervient dans certaines actions publiques relatives à la sécurité alimentaire et nutritionnelle, s’attaquent aux causes élémentaires. Tous les programmes ou projets donnent lieu à des interventions visant à remédier aux causes profondes.</w:t>
      </w:r>
    </w:p>
    <w:p w:rsidR="00000000" w:rsidRDefault="00000000">
      <w:pPr>
        <w:spacing w:after="240"/>
      </w:pPr>
      <w:r>
        <w:t>106.</w:t>
      </w:r>
      <w:r>
        <w:tab/>
        <w:t>Sous l’angle des droits de l’homme, tous les programmes ou projets tendent à donner effet à l’obligation de faciliter la réalisation du droit de l’homme à une nourriture suffisante, ainsi, bien souvent, qu’à l’obligation de pourvoir et, plus rarement, à l’obligation de protéger le droit de l’homme à une nourriture suffisante.</w:t>
      </w:r>
    </w:p>
    <w:p w:rsidR="00000000" w:rsidRDefault="00000000">
      <w:pPr>
        <w:keepNext/>
        <w:spacing w:after="240"/>
        <w:rPr>
          <w:b/>
          <w:bCs/>
        </w:rPr>
      </w:pPr>
      <w:r>
        <w:rPr>
          <w:b/>
          <w:bCs/>
        </w:rPr>
        <w:t>Programme d’intervention en milieu scolaire 2005</w:t>
      </w:r>
    </w:p>
    <w:p w:rsidR="00000000" w:rsidRDefault="00000000">
      <w:pPr>
        <w:spacing w:after="240"/>
      </w:pPr>
      <w:r>
        <w:t>107.</w:t>
      </w:r>
      <w:r>
        <w:tab/>
        <w:t>Au cours de l’exercice 2005, le programme d’intervention en milieu scolaire du Ministère de la santé et des sports a donné lieu à diverses activités, malgré l’obstacle majeur que constitue le financement dudit programme dont les principaux objectifs et résultats initiaux sont les suivants:</w:t>
      </w:r>
    </w:p>
    <w:p w:rsidR="00000000" w:rsidRDefault="00000000">
      <w:pPr>
        <w:numPr>
          <w:ilvl w:val="0"/>
          <w:numId w:val="114"/>
        </w:numPr>
        <w:spacing w:after="240"/>
      </w:pPr>
      <w:r>
        <w:t>Réduire la prévalence de l’helminthiase chez les écoliers des districts de Camiri et Coroico. Un produit de déparasitage est disponible mais le projet n’a pu être exécuté faute de ressources financières;</w:t>
      </w:r>
    </w:p>
    <w:p w:rsidR="00000000" w:rsidRDefault="00000000">
      <w:pPr>
        <w:numPr>
          <w:ilvl w:val="0"/>
          <w:numId w:val="114"/>
        </w:numPr>
        <w:spacing w:after="240"/>
      </w:pPr>
      <w:r>
        <w:t>Élaborer un document récapitulant les recherches consacrées aux parasitoses en Bolivie. Résultat: l’information nécessaire pour identifier les zones à risques a été recueillie;</w:t>
      </w:r>
    </w:p>
    <w:p w:rsidR="00000000" w:rsidRDefault="00000000">
      <w:pPr>
        <w:numPr>
          <w:ilvl w:val="0"/>
          <w:numId w:val="114"/>
        </w:numPr>
        <w:spacing w:after="240"/>
      </w:pPr>
      <w:r>
        <w:t xml:space="preserve">Élaborer des contenus sur la santé intégrale de l’écolier. Résultat: action en cours de lancement, en coordination avec le Ministère de l’éducation; </w:t>
      </w:r>
    </w:p>
    <w:p w:rsidR="00000000" w:rsidRDefault="00000000">
      <w:pPr>
        <w:numPr>
          <w:ilvl w:val="0"/>
          <w:numId w:val="114"/>
        </w:numPr>
        <w:spacing w:after="240"/>
      </w:pPr>
      <w:r>
        <w:t>Concevoir un livret de santé scolaire. Résultat: on en est au stade de la finalisation de la conception et de la mise en place (il importe de signaler que 38 prestations de santé de base ont été étudiées);</w:t>
      </w:r>
    </w:p>
    <w:p w:rsidR="00000000" w:rsidRDefault="00000000">
      <w:pPr>
        <w:numPr>
          <w:ilvl w:val="0"/>
          <w:numId w:val="114"/>
        </w:numPr>
        <w:spacing w:after="240"/>
      </w:pPr>
      <w:r>
        <w:t>Participer aux tables rondes intersectorielles avec le Ministère de l’éducation. On s’emploie à ce titre à élaborer des normes et des règlements.</w:t>
      </w:r>
    </w:p>
    <w:p w:rsidR="00000000" w:rsidRDefault="00000000">
      <w:pPr>
        <w:keepNext/>
        <w:spacing w:after="240"/>
        <w:rPr>
          <w:b/>
          <w:bCs/>
        </w:rPr>
      </w:pPr>
      <w:r>
        <w:rPr>
          <w:b/>
          <w:bCs/>
        </w:rPr>
        <w:t>Programme de déjeuners scolaires</w:t>
      </w:r>
    </w:p>
    <w:p w:rsidR="00000000" w:rsidRDefault="00000000">
      <w:pPr>
        <w:spacing w:after="240"/>
      </w:pPr>
      <w:r>
        <w:t>108.</w:t>
      </w:r>
      <w:r>
        <w:tab/>
        <w:t>Selon le Vice</w:t>
      </w:r>
      <w:r>
        <w:noBreakHyphen/>
        <w:t>Ministère de la participation populaire (annexe I), le programme de déjeuners scolaires couvre 13 960 établissements d’enseignement − soit 44,08 % du total − dans 320 municipalités du pays.</w:t>
      </w:r>
    </w:p>
    <w:p w:rsidR="00000000" w:rsidRDefault="00000000">
      <w:pPr>
        <w:keepNext/>
        <w:spacing w:after="240"/>
        <w:jc w:val="center"/>
        <w:rPr>
          <w:b/>
          <w:bCs/>
        </w:rPr>
      </w:pPr>
      <w:r>
        <w:rPr>
          <w:b/>
          <w:bCs/>
        </w:rPr>
        <w:t>C.  Droit à la santé physique et mentale</w:t>
      </w:r>
    </w:p>
    <w:p w:rsidR="00000000" w:rsidRDefault="00000000">
      <w:pPr>
        <w:keepNext/>
        <w:spacing w:after="240"/>
        <w:rPr>
          <w:b/>
          <w:bCs/>
        </w:rPr>
      </w:pPr>
      <w:r>
        <w:rPr>
          <w:b/>
          <w:bCs/>
        </w:rPr>
        <w:t>Sports et activité physique</w:t>
      </w:r>
    </w:p>
    <w:p w:rsidR="00000000" w:rsidRDefault="00000000">
      <w:pPr>
        <w:spacing w:after="240"/>
      </w:pPr>
      <w:r>
        <w:t>109.</w:t>
      </w:r>
      <w:r>
        <w:tab/>
        <w:t>En vertu des dispositions juridiques en vigueur, le Vice</w:t>
      </w:r>
      <w:r>
        <w:noBreakHyphen/>
        <w:t xml:space="preserve">Ministère des sports est chargé de formuler des politiques publiques tendant à promouvoir la participation massive de la population bolivienne à des activités physiques et sportives propres à en renforcer le développement social et humain, en garantissant l’exercice du droit à de telles activités − ce qui permettra à moyen terme d’intégrer pleinement ce type d’activités dans la culture et la personnalité de la Bolivienne et du Bolivien et de favoriser ainsi l’émergence de générations saines, aptes, compétitives et productives ayant une haute estime de soi et fières de leur identité nationale. </w:t>
      </w:r>
    </w:p>
    <w:p w:rsidR="00000000" w:rsidRDefault="00000000">
      <w:pPr>
        <w:spacing w:after="240"/>
      </w:pPr>
      <w:r>
        <w:t>110.</w:t>
      </w:r>
      <w:r>
        <w:tab/>
        <w:t>La politique nationale des sports mise en œuvre pour parvenir à cette fin repose sur plusieurs piliers propres à garantir l’inclusion de tous les individus, à savoir: la généralisation de la pratique des activités physiques et sportives par le canal de leur développement à l’échelon de la municipalité et du programme «Muévete Bolivia» (Bouge Bolivie); la promotion du sport de compétition et le renforcement des institutions dans le domaine des sports et de l’activité physique en faisant appel aux secteurs public et privé, aux organismes gouvernementaux et non gouvernementaux et aux organismes nationaux et internationaux.</w:t>
      </w:r>
    </w:p>
    <w:p w:rsidR="00000000" w:rsidRDefault="00000000">
      <w:pPr>
        <w:spacing w:after="240"/>
      </w:pPr>
      <w:r>
        <w:t>111.</w:t>
      </w:r>
      <w:r>
        <w:tab/>
        <w:t>Le vide juridique en la matière a été comblé avec l’approbation le 7 juillet 2004 de la loi sur les sports, dont la promulgation a tardé pendant plus de vingt ans en raison de divers facteurs.</w:t>
      </w:r>
    </w:p>
    <w:p w:rsidR="00000000" w:rsidRDefault="00000000">
      <w:pPr>
        <w:spacing w:after="240"/>
      </w:pPr>
      <w:r>
        <w:t>112.</w:t>
      </w:r>
      <w:r>
        <w:tab/>
        <w:t>Normes et règlements élaborés:</w:t>
      </w:r>
    </w:p>
    <w:p w:rsidR="00000000" w:rsidRDefault="00000000">
      <w:pPr>
        <w:numPr>
          <w:ilvl w:val="0"/>
          <w:numId w:val="115"/>
        </w:numPr>
        <w:spacing w:after="240"/>
      </w:pPr>
      <w:r>
        <w:t xml:space="preserve">La loi générale sur les sports </w:t>
      </w:r>
      <w:r>
        <w:rPr>
          <w:rFonts w:eastAsia="MS Mincho"/>
        </w:rPr>
        <w:t>n</w:t>
      </w:r>
      <w:r>
        <w:rPr>
          <w:rFonts w:eastAsia="MS Mincho"/>
          <w:vertAlign w:val="superscript"/>
        </w:rPr>
        <w:t>o</w:t>
      </w:r>
      <w:r>
        <w:t xml:space="preserve"> 2770 et son décret-règlement d’application </w:t>
      </w:r>
      <w:r>
        <w:rPr>
          <w:rFonts w:eastAsia="MS Mincho"/>
        </w:rPr>
        <w:t>n</w:t>
      </w:r>
      <w:r>
        <w:rPr>
          <w:rFonts w:eastAsia="MS Mincho"/>
          <w:vertAlign w:val="superscript"/>
        </w:rPr>
        <w:t>o</w:t>
      </w:r>
      <w:r>
        <w:t> 27779, dont l’article premier dispose: «La présente loi a pour objet de régir la pratique des sports, d’en favoriser la généralisation, de donner une impulsion à l’éducation physique, de promouvoir la pratique extrascolaire des sports par les enfants et les jeunes de toutes les couches sociales partout dans le pays; de garantir le droit à une formation intégrale; de favoriser la pratique du sport de loisirs par la population bolivienne; de favoriser le développement du sport de compétition, grâce à la formation permanente de tous les acteurs concernés.»;</w:t>
      </w:r>
    </w:p>
    <w:p w:rsidR="00000000" w:rsidRDefault="00000000">
      <w:pPr>
        <w:numPr>
          <w:ilvl w:val="0"/>
          <w:numId w:val="115"/>
        </w:numPr>
        <w:spacing w:after="240"/>
      </w:pPr>
      <w:r>
        <w:t>Les normes élémentaires concernant la conception des projets d’infrastructure sportive, le Guide pour la supervision et le contrôle des ouvrages et le Guide pour le dimensionnement des aires consacrées aux activités sportives ont été élaborés et publiés. Ces documents ont été distribués aux 324 municipalités du pays ainsi qu’aux organisations du Système sportif national (2000</w:t>
      </w:r>
      <w:r>
        <w:noBreakHyphen/>
        <w:t>2004).</w:t>
      </w:r>
    </w:p>
    <w:p w:rsidR="00000000" w:rsidRDefault="00000000">
      <w:pPr>
        <w:keepNext/>
        <w:spacing w:after="240"/>
        <w:rPr>
          <w:b/>
          <w:bCs/>
        </w:rPr>
      </w:pPr>
      <w:r>
        <w:rPr>
          <w:b/>
          <w:bCs/>
        </w:rPr>
        <w:t>Progrès</w:t>
      </w:r>
    </w:p>
    <w:p w:rsidR="00000000" w:rsidRDefault="00000000">
      <w:pPr>
        <w:keepNext/>
        <w:spacing w:after="240"/>
        <w:ind w:firstLine="567"/>
        <w:rPr>
          <w:b/>
          <w:bCs/>
        </w:rPr>
      </w:pPr>
      <w:r>
        <w:rPr>
          <w:b/>
          <w:bCs/>
        </w:rPr>
        <w:t>Programme de formation</w:t>
      </w:r>
    </w:p>
    <w:p w:rsidR="00000000" w:rsidRDefault="00000000">
      <w:pPr>
        <w:spacing w:after="240"/>
      </w:pPr>
      <w:r>
        <w:t>113.</w:t>
      </w:r>
      <w:r>
        <w:tab/>
        <w:t>Ce programme vise à promouvoir le développement de la culture physique dans le pays en incitant la population à exercer son droit à la pratique d’activités physiques et sportives dans un souci de santé physique et mentale, ce qui exige de disposer de ressources humaines qualifiées pour diffuser, conscientiser, sensibiliser et éduquer. On a mis en place les activités ci-après de formation en direction des professeurs d’éducation physique, des entraîneurs, des moniteurs et des spécialistes de la motricité humaine:</w:t>
      </w:r>
    </w:p>
    <w:p w:rsidR="00000000" w:rsidRDefault="00000000">
      <w:pPr>
        <w:numPr>
          <w:ilvl w:val="0"/>
          <w:numId w:val="116"/>
        </w:numPr>
        <w:spacing w:after="240"/>
      </w:pPr>
      <w:r>
        <w:t>Tenue de 190 sessions de formation sur l’entraînement, les juges, l’arbitrage, la psychologie, la nutrition, etc., dans différentes disciplines sportives;</w:t>
      </w:r>
    </w:p>
    <w:p w:rsidR="00000000" w:rsidRDefault="00000000">
      <w:pPr>
        <w:numPr>
          <w:ilvl w:val="0"/>
          <w:numId w:val="116"/>
        </w:numPr>
        <w:spacing w:after="240"/>
      </w:pPr>
      <w:r>
        <w:t>Mise en place de deux filières de formation diplômant en «Sciences de la motricité humaine» dans le cadre d’une coordination entre le Vice-Ministère des sports et l’Université majeure de San Andrés; 300 personnes ont obtenu le certificat correspondant;</w:t>
      </w:r>
    </w:p>
    <w:p w:rsidR="00000000" w:rsidRDefault="00000000">
      <w:pPr>
        <w:numPr>
          <w:ilvl w:val="0"/>
          <w:numId w:val="116"/>
        </w:numPr>
        <w:spacing w:after="240"/>
      </w:pPr>
      <w:r>
        <w:t>Ouverture de la filière «Éducation physique» à l’Université adventiste de Bolivie (Cochabamba);</w:t>
      </w:r>
    </w:p>
    <w:p w:rsidR="00000000" w:rsidRDefault="00000000">
      <w:pPr>
        <w:numPr>
          <w:ilvl w:val="0"/>
          <w:numId w:val="116"/>
        </w:numPr>
        <w:spacing w:after="240"/>
      </w:pPr>
      <w:r>
        <w:t>Organisation de journées de l’éducation physique à l’intention des professeurs concernés. Quelque 1 500 professeurs de l’ensemble du pays y ont participé;</w:t>
      </w:r>
    </w:p>
    <w:p w:rsidR="00000000" w:rsidRDefault="00000000">
      <w:pPr>
        <w:numPr>
          <w:ilvl w:val="0"/>
          <w:numId w:val="116"/>
        </w:numPr>
        <w:spacing w:after="240"/>
      </w:pPr>
      <w:r>
        <w:t>Ouverture d’une filière «Licence d’éducation physique» à l’Université salésienne de Bolivie;</w:t>
      </w:r>
    </w:p>
    <w:p w:rsidR="00000000" w:rsidRDefault="00000000">
      <w:pPr>
        <w:numPr>
          <w:ilvl w:val="0"/>
          <w:numId w:val="116"/>
        </w:numPr>
        <w:spacing w:after="240"/>
      </w:pPr>
      <w:r>
        <w:t xml:space="preserve">Organisation de sept séminaires de formation à l’intention d’agents de promotion de l’activité physique pour la santé à </w:t>
      </w:r>
      <w:r>
        <w:rPr>
          <w:color w:val="000000"/>
        </w:rPr>
        <w:t>La Paz, Tarija, Sucre, Trinidad et Cochabamba.</w:t>
      </w:r>
      <w:r>
        <w:t xml:space="preserve"> Quelque 1 500 agents de promotion y ont participé.</w:t>
      </w:r>
    </w:p>
    <w:p w:rsidR="00000000" w:rsidRDefault="00000000">
      <w:pPr>
        <w:spacing w:after="240"/>
      </w:pPr>
      <w:r>
        <w:t>114.</w:t>
      </w:r>
      <w:r>
        <w:tab/>
        <w:t>Le programme «Pour ta santé, bouge Bolivie», qui regroupe différentes actions du Ministère de la santé et des sports, vise à donner des possibilités d’activité physique afin de remédier aux taux élevés de prévalence de certaines maladies non transmissibles imputables à un mode de vie sédentaire.</w:t>
      </w:r>
    </w:p>
    <w:p w:rsidR="00000000" w:rsidRDefault="00000000">
      <w:pPr>
        <w:spacing w:after="240"/>
      </w:pPr>
      <w:r>
        <w:t>115.</w:t>
      </w:r>
      <w:r>
        <w:tab/>
        <w:t>Ce programme tend à promouvoir l’activité physique en tant que composante de la santé et du bien</w:t>
      </w:r>
      <w:r>
        <w:noBreakHyphen/>
        <w:t>être de la population.</w:t>
      </w:r>
    </w:p>
    <w:p w:rsidR="00000000" w:rsidRDefault="00000000">
      <w:pPr>
        <w:spacing w:after="240"/>
      </w:pPr>
      <w:r>
        <w:t>116.</w:t>
      </w:r>
      <w:r>
        <w:tab/>
        <w:t xml:space="preserve">Afin de favoriser l’exécution du programme «Bouge Bolivie», on a mené différentes activités de sensibilisation auprès d’institutions publiques et privées, fait appel à la coopération </w:t>
      </w:r>
      <w:r>
        <w:rPr>
          <w:rFonts w:eastAsia="MS Mincho"/>
        </w:rPr>
        <w:t>international</w:t>
      </w:r>
      <w:r>
        <w:t>e et restructuré le Vice</w:t>
      </w:r>
      <w:r>
        <w:noBreakHyphen/>
        <w:t>Ministère des sports. Il convient en particulier de mentionner les actions ci-après:</w:t>
      </w:r>
    </w:p>
    <w:p w:rsidR="00000000" w:rsidRDefault="00000000">
      <w:pPr>
        <w:numPr>
          <w:ilvl w:val="0"/>
          <w:numId w:val="117"/>
        </w:numPr>
        <w:spacing w:after="240"/>
      </w:pPr>
      <w:r>
        <w:t>Coordination de la Journée du défi et participation à cette manifestation mondiale destinée à promouvoir l’activité physique qui se déroule chaque année le dernier mercredi de mai. La Bolivie la célèbre depuis 1998 et le nombre de municipalités participantes n’a cessé de croître au fil des ans. Cette journée a été lancée avec la participation du seul personnel du Vice</w:t>
      </w:r>
      <w:r>
        <w:noBreakHyphen/>
        <w:t>Ministère des sports dans le but de combattre l’inactivité physique, tandis que 98 municipalités du pays, pour un total de 1 450 000 participants, se sont associées à son édition la plus récente;</w:t>
      </w:r>
    </w:p>
    <w:p w:rsidR="00000000" w:rsidRDefault="00000000">
      <w:pPr>
        <w:numPr>
          <w:ilvl w:val="0"/>
          <w:numId w:val="117"/>
        </w:numPr>
        <w:spacing w:after="240"/>
      </w:pPr>
      <w:r>
        <w:t>Organisation de manifestations en faveur de l’activité physique lors de célébrations telles que la journée sans tabac, la journée de la personne âgée, la journée de la personne handicapée;</w:t>
      </w:r>
    </w:p>
    <w:p w:rsidR="00000000" w:rsidRDefault="00000000">
      <w:pPr>
        <w:numPr>
          <w:ilvl w:val="0"/>
          <w:numId w:val="117"/>
        </w:numPr>
        <w:spacing w:after="240"/>
      </w:pPr>
      <w:r>
        <w:t>Fourniture d’un appui à des organisations qui œuvrent en faveur de l’activité physique et sportive pour tous dans le cadre de manifestations comme des jeux olympiques spéciaux pour diabétiques, personnes âgées, personnes handicapées, etc.;</w:t>
      </w:r>
    </w:p>
    <w:p w:rsidR="00000000" w:rsidRDefault="00000000">
      <w:pPr>
        <w:numPr>
          <w:ilvl w:val="0"/>
          <w:numId w:val="117"/>
        </w:numPr>
        <w:spacing w:after="240"/>
      </w:pPr>
      <w:r>
        <w:t>Planification, dans le cadre de la participation de la Bolivie au Réseau d’activité physique des Amériques, d’activités à mener dans le pays. Le Réseau bénéficie du soutien de l’Organisation panaméricaine de la santé/OMS, de l’UNESCO, du Centre de lutte contre les maladies d’Atlanta (CDC) et de la Fédération internationale de médecine du sport.</w:t>
      </w:r>
    </w:p>
    <w:p w:rsidR="00000000" w:rsidRDefault="00000000">
      <w:pPr>
        <w:spacing w:after="240"/>
      </w:pPr>
      <w:r>
        <w:t>117.</w:t>
      </w:r>
      <w:r>
        <w:tab/>
        <w:t>Le programme de généralisation de l’activité physique et sportive, qui a pour objet de promouvoir une activité physique régulière et de soutenir la formation intégrale depuis l’enfance, a donné lieu à la mise en œuvre des actions suivantes:</w:t>
      </w:r>
    </w:p>
    <w:p w:rsidR="00000000" w:rsidRDefault="00000000">
      <w:pPr>
        <w:numPr>
          <w:ilvl w:val="0"/>
          <w:numId w:val="118"/>
        </w:numPr>
        <w:spacing w:after="240"/>
      </w:pPr>
      <w:r>
        <w:t>Mise en place de 50 écoles d’initiation sportive dans des municipalités de taille moyenne du pays. Le Vice</w:t>
      </w:r>
      <w:r>
        <w:noBreakHyphen/>
        <w:t>Ministère des sports a assuré la dotation en matériel sportif de ces établissements et la formation des enseignants retenus (2000);</w:t>
      </w:r>
    </w:p>
    <w:p w:rsidR="00000000" w:rsidRDefault="00000000">
      <w:pPr>
        <w:numPr>
          <w:ilvl w:val="0"/>
          <w:numId w:val="118"/>
        </w:numPr>
        <w:spacing w:after="240"/>
      </w:pPr>
      <w:r>
        <w:t>Organisation de 250 écoles sportives d’été au niveau national, en coordination avec le Ministère de l’éducation, et recrutement à ce titre de 450 professeurs d’éducation physique. Le Vice</w:t>
      </w:r>
      <w:r>
        <w:noBreakHyphen/>
        <w:t>Ministère des sports a fourni un lot de matériel de sport à chaque professeur. Ces écoles ont accueilli 35 000 enfants économiquement faibles (2002);</w:t>
      </w:r>
    </w:p>
    <w:p w:rsidR="00000000" w:rsidRDefault="00000000">
      <w:pPr>
        <w:numPr>
          <w:ilvl w:val="0"/>
          <w:numId w:val="118"/>
        </w:numPr>
        <w:spacing w:after="240"/>
      </w:pPr>
      <w:r>
        <w:t>Mise en place de 300 écoles ouvertes − analogues aux précédentes − qui ont accueilli 70 000 enfants et jeunes de l’ensemble du pays sous la supervision de 550 professeurs d’éducation physique recrutés à cet effet, en tirant parti de l’infrastructure existante dans les établissements d’enseignement de chaque municipalité bénéficiaire (2003);</w:t>
      </w:r>
    </w:p>
    <w:p w:rsidR="00000000" w:rsidRDefault="00000000">
      <w:pPr>
        <w:numPr>
          <w:ilvl w:val="0"/>
          <w:numId w:val="118"/>
        </w:numPr>
        <w:spacing w:after="240"/>
      </w:pPr>
      <w:r>
        <w:t>Organisation annuelle des Jeux nationaux interscolaires à l’intention des enfants des différentes municipalités du pays; ils donnent lieu à une série de compétitions interclasses puis interétablissements scolaires et intermunicipalités qui débouchent sur une finale nationale. Quelque 80 000 enfants boliviens des deux sexes y participent;</w:t>
      </w:r>
    </w:p>
    <w:p w:rsidR="00000000" w:rsidRDefault="00000000">
      <w:pPr>
        <w:numPr>
          <w:ilvl w:val="0"/>
          <w:numId w:val="118"/>
        </w:numPr>
        <w:spacing w:after="240"/>
      </w:pPr>
      <w:r>
        <w:t>Apport d’un soutien à des activités annuelles de formation sportive organisées par quelque 25 fédérations sportives pour les catégories benjamins et cadets;</w:t>
      </w:r>
    </w:p>
    <w:p w:rsidR="00000000" w:rsidRDefault="00000000">
      <w:pPr>
        <w:numPr>
          <w:ilvl w:val="0"/>
          <w:numId w:val="118"/>
        </w:numPr>
        <w:spacing w:after="240"/>
      </w:pPr>
      <w:r>
        <w:t>Accueil en 2004 à Sucre des dixièmes Jeux scolaires sud-américains, qui ont rassemblé 600 sportifs venus de six pays de la région.</w:t>
      </w:r>
    </w:p>
    <w:p w:rsidR="00000000" w:rsidRDefault="00000000">
      <w:pPr>
        <w:spacing w:after="240"/>
      </w:pPr>
      <w:r>
        <w:t>118.</w:t>
      </w:r>
      <w:r>
        <w:tab/>
        <w:t>Le Programme relatif au renforcement des institutions sportives et à la promotion du développement du sport de compétition a donné les résultats suivants:</w:t>
      </w:r>
    </w:p>
    <w:p w:rsidR="00000000" w:rsidRDefault="00000000">
      <w:pPr>
        <w:numPr>
          <w:ilvl w:val="0"/>
          <w:numId w:val="119"/>
        </w:numPr>
        <w:spacing w:after="240"/>
      </w:pPr>
      <w:r>
        <w:t>Apport d’un soutien économique, technique et logistique à 35 fédérations sportives nationales en vue de l’organisation de leurs compétitions, d’activités de formation et de l’organisation de manifestations internationales, entre autres;</w:t>
      </w:r>
    </w:p>
    <w:p w:rsidR="00000000" w:rsidRDefault="00000000">
      <w:pPr>
        <w:numPr>
          <w:ilvl w:val="0"/>
          <w:numId w:val="119"/>
        </w:numPr>
        <w:spacing w:after="240"/>
      </w:pPr>
      <w:r>
        <w:t>Apport d’un soutien économique aux sportifs de haut niveau et aux talents sportifs;</w:t>
      </w:r>
    </w:p>
    <w:p w:rsidR="00000000" w:rsidRDefault="00000000">
      <w:pPr>
        <w:numPr>
          <w:ilvl w:val="0"/>
          <w:numId w:val="119"/>
        </w:numPr>
        <w:spacing w:after="240"/>
      </w:pPr>
      <w:r>
        <w:t>Tenue des quatrièmes Jeux sportifs nationaux (2000);</w:t>
      </w:r>
    </w:p>
    <w:p w:rsidR="00000000" w:rsidRDefault="00000000">
      <w:pPr>
        <w:numPr>
          <w:ilvl w:val="0"/>
          <w:numId w:val="119"/>
        </w:numPr>
        <w:spacing w:after="240"/>
      </w:pPr>
      <w:r>
        <w:t>Participation à des manifestations sportives relevant du cycle olympique − Jeux bolivariens, Jeux de l’Organisation sportive sud-américaine, Jeux panaméricains − et aux Jeux olympiques;</w:t>
      </w:r>
    </w:p>
    <w:p w:rsidR="00000000" w:rsidRDefault="00000000">
      <w:pPr>
        <w:numPr>
          <w:ilvl w:val="0"/>
          <w:numId w:val="119"/>
        </w:numPr>
        <w:spacing w:after="240"/>
      </w:pPr>
      <w:r>
        <w:t>Recrutement d’entraîneurs internationaux pour les disciplines sportives prioritaires au niveau national (dans le cadre d’un accord avec la République de Cuba);</w:t>
      </w:r>
    </w:p>
    <w:p w:rsidR="00000000" w:rsidRDefault="00000000">
      <w:pPr>
        <w:numPr>
          <w:ilvl w:val="0"/>
          <w:numId w:val="119"/>
        </w:numPr>
        <w:spacing w:after="240"/>
      </w:pPr>
      <w:r>
        <w:t>Envoi de 72 étudiants boursiers à Cuba pour y suivre une formation débouchant sur une licence d’éducation physique et sportive.</w:t>
      </w:r>
    </w:p>
    <w:p w:rsidR="00000000" w:rsidRDefault="00000000">
      <w:pPr>
        <w:keepNext/>
        <w:spacing w:after="240"/>
        <w:rPr>
          <w:b/>
          <w:bCs/>
        </w:rPr>
      </w:pPr>
      <w:r>
        <w:rPr>
          <w:b/>
          <w:bCs/>
        </w:rPr>
        <w:t>Santé mentale</w:t>
      </w:r>
    </w:p>
    <w:p w:rsidR="00000000" w:rsidRDefault="00000000">
      <w:pPr>
        <w:keepNext/>
        <w:spacing w:after="240"/>
        <w:ind w:firstLine="567"/>
        <w:rPr>
          <w:b/>
          <w:bCs/>
        </w:rPr>
      </w:pPr>
      <w:r>
        <w:rPr>
          <w:b/>
          <w:bCs/>
        </w:rPr>
        <w:t>Historique</w:t>
      </w:r>
    </w:p>
    <w:p w:rsidR="00000000" w:rsidRDefault="00000000">
      <w:pPr>
        <w:spacing w:after="240"/>
      </w:pPr>
      <w:r>
        <w:t>119.</w:t>
      </w:r>
      <w:r>
        <w:tab/>
        <w:t>L’État bolivien a commencé à mettre en œuvre dans les années 70 des politiques relatives à la santé mentale qui ont donné lieu à des activités de prévention primaire et secondaire ainsi qu’à des campagnes en faveur d’habitudes et de styles de vie sains; elles se sont poursuivies sous la tutelle du Ministère de la santé jusqu’en 1992, année où ont été instituées en parallèle des structures spécialisées dans la lutte contre l’abus de drogues (CONAPRE), relevant du Ministère des relations extérieures; cette même année ce domaine de compétence a été transféré au Ministère de la santé, qui a institué un programme pour la santé mentale.</w:t>
      </w:r>
    </w:p>
    <w:p w:rsidR="00000000" w:rsidRDefault="00000000">
      <w:pPr>
        <w:spacing w:after="240"/>
      </w:pPr>
      <w:r>
        <w:t>120.</w:t>
      </w:r>
      <w:r>
        <w:tab/>
        <w:t>La Stratégie bolivienne de lutte contre le trafic illicite de drogues (2004-2008), adoptée en 2003, compte cinq volets:</w:t>
      </w:r>
      <w:r>
        <w:rPr>
          <w:color w:val="000000"/>
        </w:rPr>
        <w:t xml:space="preserve"> éradication;</w:t>
      </w:r>
      <w:r>
        <w:t xml:space="preserve"> interdiction; développement </w:t>
      </w:r>
      <w:r>
        <w:rPr>
          <w:bCs/>
          <w:color w:val="000000"/>
        </w:rPr>
        <w:t>a</w:t>
      </w:r>
      <w:r>
        <w:t>lternatif;</w:t>
      </w:r>
      <w:r>
        <w:rPr>
          <w:b/>
          <w:bCs/>
          <w:color w:val="000000"/>
        </w:rPr>
        <w:t xml:space="preserve"> </w:t>
      </w:r>
      <w:r>
        <w:rPr>
          <w:bCs/>
          <w:color w:val="000000"/>
        </w:rPr>
        <w:t>p</w:t>
      </w:r>
      <w:r>
        <w:t xml:space="preserve">révention; réadaptation/réinsertion </w:t>
      </w:r>
      <w:r>
        <w:rPr>
          <w:bCs/>
          <w:color w:val="000000"/>
        </w:rPr>
        <w:t>s</w:t>
      </w:r>
      <w:r>
        <w:t>ociales et communication sociale. Toute la problématique de la lutte contre la drogue s’inscrit ainsi dans un cadre intersectoriel prenant en considération la dimension interculturelle.</w:t>
      </w:r>
    </w:p>
    <w:p w:rsidR="00000000" w:rsidRDefault="00000000">
      <w:pPr>
        <w:keepNext/>
        <w:spacing w:after="240"/>
        <w:ind w:left="567"/>
        <w:rPr>
          <w:b/>
          <w:bCs/>
        </w:rPr>
      </w:pPr>
      <w:r>
        <w:rPr>
          <w:b/>
          <w:bCs/>
        </w:rPr>
        <w:t>Progrès</w:t>
      </w:r>
    </w:p>
    <w:p w:rsidR="00000000" w:rsidRDefault="00000000">
      <w:pPr>
        <w:spacing w:after="240"/>
      </w:pPr>
      <w:r>
        <w:t>121.</w:t>
      </w:r>
      <w:r>
        <w:tab/>
        <w:t>On a élaboré des guides pour la réadaptation et la réinsertion sociales des toxicomanes devant servir de support à l’action nationale des centres spécialisés de traitement et réadaptation.</w:t>
      </w:r>
    </w:p>
    <w:p w:rsidR="00000000" w:rsidRDefault="00000000">
      <w:pPr>
        <w:spacing w:after="240"/>
      </w:pPr>
      <w:r>
        <w:t>122.</w:t>
      </w:r>
      <w:r>
        <w:tab/>
        <w:t>Des normes minimales concernant la prise en charge et le traitement des alcooliques et des toxicomanes aux fins de réadaptation ont aussi été adoptées, de même que des normes minimales d’agrément qui ont permis d’harmoniser les critères minima de fonctionnement des centres de traitement et de réadaptation sociale.</w:t>
      </w:r>
    </w:p>
    <w:p w:rsidR="00000000" w:rsidRDefault="00000000">
      <w:pPr>
        <w:spacing w:after="240"/>
      </w:pPr>
      <w:r>
        <w:t>123.</w:t>
      </w:r>
      <w:r>
        <w:tab/>
        <w:t xml:space="preserve">De l’exercice 2001 à l’exercice 2003, on a de plus publié des documents d’information sur la prévention de l’abus de drogues licites et illicites et sur la promotion d’un mode de vie sain. Ils visaient à diffuser des connaissances et des messages positifs propres à favoriser la diminution de la demande de drogues dans les groupes de population à risque élevé − le groupe cible principal étant les enfants et adolescents et le groupe secondaire les parents, les enseignants et la population en général. </w:t>
      </w:r>
    </w:p>
    <w:p w:rsidR="00000000" w:rsidRDefault="00000000">
      <w:pPr>
        <w:keepNext/>
        <w:spacing w:after="240"/>
        <w:jc w:val="center"/>
        <w:rPr>
          <w:b/>
          <w:bCs/>
        </w:rPr>
      </w:pPr>
      <w:r>
        <w:rPr>
          <w:b/>
          <w:bCs/>
        </w:rPr>
        <w:t>D.  Amélioration sous tous leurs aspects de l’hygiène du travail et du milieu</w:t>
      </w:r>
    </w:p>
    <w:p w:rsidR="00000000" w:rsidRDefault="00000000">
      <w:pPr>
        <w:spacing w:after="240"/>
      </w:pPr>
      <w:r>
        <w:t>124.</w:t>
      </w:r>
      <w:r>
        <w:tab/>
        <w:t xml:space="preserve">L’arrêté ministériel </w:t>
      </w:r>
      <w:r>
        <w:rPr>
          <w:rFonts w:eastAsia="MS Mincho"/>
        </w:rPr>
        <w:t>n</w:t>
      </w:r>
      <w:r>
        <w:rPr>
          <w:rFonts w:eastAsia="MS Mincho"/>
          <w:vertAlign w:val="superscript"/>
        </w:rPr>
        <w:t>o</w:t>
      </w:r>
      <w:r>
        <w:t xml:space="preserve"> 348/04 du Ministère du travail en date du 14 juillet 2004 (annexe 14) prévoit la délivrance à l’échelon national d’un livret à toutes les catégories de professionnels œuvrant dans le domaine de la sécurité industrielle.</w:t>
      </w:r>
    </w:p>
    <w:p w:rsidR="00000000" w:rsidRDefault="00000000">
      <w:pPr>
        <w:spacing w:after="240"/>
      </w:pPr>
      <w:r>
        <w:t>125.</w:t>
      </w:r>
      <w:r>
        <w:tab/>
        <w:t>On a de plus rendu obligatoire la présentation d’un plan d’hygiène, de sécurité industrielle et de santé du travail au Ministère du travail aux fins d’approbation du dossier environnemental par le Ministre du développement durable. Cette innovation a permis de faire passer le nombre de plans de ce type présentés de 8 à 200 entre 2002 et 2005.</w:t>
      </w:r>
    </w:p>
    <w:p w:rsidR="00000000" w:rsidRDefault="00000000">
      <w:pPr>
        <w:spacing w:after="240"/>
      </w:pPr>
      <w:r>
        <w:t>126.</w:t>
      </w:r>
      <w:r>
        <w:tab/>
        <w:t>L’État bolivien a mené les actions suivantes dans le domaine de la santé:</w:t>
      </w:r>
    </w:p>
    <w:p w:rsidR="00000000" w:rsidRDefault="00000000">
      <w:pPr>
        <w:keepNext/>
        <w:spacing w:after="240"/>
        <w:ind w:left="567"/>
        <w:rPr>
          <w:b/>
          <w:bCs/>
        </w:rPr>
      </w:pPr>
      <w:r>
        <w:rPr>
          <w:b/>
          <w:bCs/>
        </w:rPr>
        <w:t>Historique</w:t>
      </w:r>
    </w:p>
    <w:p w:rsidR="00000000" w:rsidRDefault="00000000">
      <w:pPr>
        <w:spacing w:after="240"/>
        <w:ind w:left="567" w:firstLine="567"/>
      </w:pPr>
      <w:r>
        <w:t>Le paragraphe 1 de l’article 158 de la Constitution bolivienne reconnaît l’obligation pour l’État de défendre le capital humain en protégeant la santé de la population.</w:t>
      </w:r>
    </w:p>
    <w:p w:rsidR="00000000" w:rsidRDefault="00000000">
      <w:pPr>
        <w:spacing w:after="240"/>
        <w:ind w:left="567" w:firstLine="567"/>
      </w:pPr>
      <w:r>
        <w:t xml:space="preserve">L’article 20 du chapitre V du décret-loi </w:t>
      </w:r>
      <w:r>
        <w:rPr>
          <w:rFonts w:eastAsia="MS Mincho"/>
        </w:rPr>
        <w:t>n</w:t>
      </w:r>
      <w:r>
        <w:rPr>
          <w:rFonts w:eastAsia="MS Mincho"/>
          <w:vertAlign w:val="superscript"/>
        </w:rPr>
        <w:t>o</w:t>
      </w:r>
      <w:r>
        <w:rPr>
          <w:rFonts w:eastAsia="MS Mincho"/>
        </w:rPr>
        <w:t xml:space="preserve"> </w:t>
      </w:r>
      <w:r>
        <w:t>16998 charge l’Institut national de la santé du travail (INSO) de proposer des normes techniques dans ce domaine en coordination avec les organismes connexes, et c’est dans l’exercice de cette responsabilité qu’ont été élaborés les normes et règlements suivants:</w:t>
      </w:r>
    </w:p>
    <w:p w:rsidR="00000000" w:rsidRDefault="00000000">
      <w:pPr>
        <w:numPr>
          <w:ilvl w:val="0"/>
          <w:numId w:val="120"/>
        </w:numPr>
        <w:spacing w:after="240"/>
      </w:pPr>
      <w:r>
        <w:t>Sécurité et hygiène du travail, Norme bolivienne concernant les symboles, couleurs et signaux de sécurité NB 55001;</w:t>
      </w:r>
    </w:p>
    <w:p w:rsidR="00000000" w:rsidRDefault="00000000">
      <w:pPr>
        <w:numPr>
          <w:ilvl w:val="0"/>
          <w:numId w:val="120"/>
        </w:numPr>
        <w:spacing w:after="240"/>
      </w:pPr>
      <w:r>
        <w:t>Norme bolivienne concernant la sécurité dans l’industrie de la construction NB 513001 et NB 513002;</w:t>
      </w:r>
    </w:p>
    <w:p w:rsidR="00000000" w:rsidRDefault="00000000">
      <w:pPr>
        <w:numPr>
          <w:ilvl w:val="0"/>
          <w:numId w:val="120"/>
        </w:numPr>
        <w:spacing w:after="240"/>
      </w:pPr>
      <w:r>
        <w:t>Norme bolivienne concernant l’émission de gaz par des sources mobiles;</w:t>
      </w:r>
    </w:p>
    <w:p w:rsidR="00000000" w:rsidRDefault="00000000">
      <w:pPr>
        <w:numPr>
          <w:ilvl w:val="0"/>
          <w:numId w:val="120"/>
        </w:numPr>
        <w:spacing w:after="240"/>
      </w:pPr>
      <w:r>
        <w:t>Norme bolivienne concernant la pollution sonore de l’environnement.</w:t>
      </w:r>
    </w:p>
    <w:p w:rsidR="00000000" w:rsidRDefault="00000000">
      <w:pPr>
        <w:spacing w:after="240"/>
        <w:ind w:left="567" w:firstLine="567"/>
      </w:pPr>
      <w:r>
        <w:t xml:space="preserve">Toutes les normes susmentionnées ont été élaborées dans le cadre de la loi sur l’hygiène, la sécurité et le bien-être et de la loi </w:t>
      </w:r>
      <w:r>
        <w:rPr>
          <w:rFonts w:eastAsia="MS Mincho"/>
        </w:rPr>
        <w:t>n</w:t>
      </w:r>
      <w:r>
        <w:rPr>
          <w:rFonts w:eastAsia="MS Mincho"/>
          <w:vertAlign w:val="superscript"/>
        </w:rPr>
        <w:t>o</w:t>
      </w:r>
      <w:r>
        <w:t xml:space="preserve"> 1333 de la Bolivie sur l’environnement.</w:t>
      </w:r>
    </w:p>
    <w:p w:rsidR="00000000" w:rsidRDefault="00000000">
      <w:pPr>
        <w:spacing w:after="240"/>
      </w:pPr>
      <w:r>
        <w:t>127.</w:t>
      </w:r>
      <w:r>
        <w:tab/>
        <w:t>Il convient aussi de mentionner le règlement relatif à la gestion des déchets solides provenant des établissements de santé et la Norme bolivienne concernant les déchets solides provenant des établissements de santé.</w:t>
      </w:r>
    </w:p>
    <w:p w:rsidR="00000000" w:rsidRDefault="00000000">
      <w:pPr>
        <w:keepNext/>
        <w:spacing w:after="240"/>
        <w:ind w:left="567"/>
        <w:rPr>
          <w:b/>
          <w:bCs/>
        </w:rPr>
      </w:pPr>
      <w:r>
        <w:rPr>
          <w:b/>
          <w:bCs/>
        </w:rPr>
        <w:t>Progrès</w:t>
      </w:r>
    </w:p>
    <w:p w:rsidR="00000000" w:rsidRDefault="00000000">
      <w:pPr>
        <w:keepNext/>
        <w:spacing w:after="240"/>
        <w:ind w:left="1134"/>
        <w:rPr>
          <w:b/>
          <w:bCs/>
          <w:u w:val="single"/>
        </w:rPr>
      </w:pPr>
      <w:r>
        <w:rPr>
          <w:b/>
          <w:bCs/>
        </w:rPr>
        <w:t>Programmes</w:t>
      </w:r>
    </w:p>
    <w:p w:rsidR="00000000" w:rsidRDefault="00000000">
      <w:pPr>
        <w:numPr>
          <w:ilvl w:val="0"/>
          <w:numId w:val="121"/>
        </w:numPr>
        <w:spacing w:after="240"/>
      </w:pPr>
      <w:r>
        <w:t>Évaluation des risques physiques (pollution sonore industrielle, éclairage, stress thermique) dans diverses branches de l’industrie bolivienne (textile, mines, minoterie, usines, métallurgie, etc.);</w:t>
      </w:r>
    </w:p>
    <w:p w:rsidR="00000000" w:rsidRDefault="00000000">
      <w:pPr>
        <w:numPr>
          <w:ilvl w:val="0"/>
          <w:numId w:val="121"/>
        </w:numPr>
        <w:spacing w:after="240"/>
      </w:pPr>
      <w:r>
        <w:t>Évaluation de la pollution sonore de l’environnement imputable à l’industrie;</w:t>
      </w:r>
    </w:p>
    <w:p w:rsidR="00000000" w:rsidRDefault="00000000">
      <w:pPr>
        <w:numPr>
          <w:ilvl w:val="0"/>
          <w:numId w:val="121"/>
        </w:numPr>
        <w:spacing w:after="240"/>
      </w:pPr>
      <w:r>
        <w:t>Inspections de contrôle de la sécurité industrielle dans les différentes branches de l’industrie bolivienne;</w:t>
      </w:r>
    </w:p>
    <w:p w:rsidR="00000000" w:rsidRDefault="00000000">
      <w:pPr>
        <w:numPr>
          <w:ilvl w:val="0"/>
          <w:numId w:val="121"/>
        </w:numPr>
        <w:spacing w:after="240"/>
      </w:pPr>
      <w:r>
        <w:t>Évaluation de la pollution sonore de l’environnement imputable à des sources fixes dans les lieux publics et privés, discothèques, salons de karaoké, salles de réception, etc.;</w:t>
      </w:r>
    </w:p>
    <w:p w:rsidR="00000000" w:rsidRDefault="00000000">
      <w:pPr>
        <w:numPr>
          <w:ilvl w:val="0"/>
          <w:numId w:val="121"/>
        </w:numPr>
        <w:spacing w:after="240"/>
      </w:pPr>
      <w:r>
        <w:t>Programme de formation sur la sécurité et l’hygiène industrielles à l’intention des travailleurs, des cadres moyens et des dirigeants d’entreprise.</w:t>
      </w:r>
    </w:p>
    <w:p w:rsidR="00000000" w:rsidRDefault="00000000">
      <w:pPr>
        <w:keepNext/>
        <w:spacing w:after="240"/>
        <w:ind w:left="1134"/>
      </w:pPr>
      <w:r>
        <w:rPr>
          <w:b/>
          <w:bCs/>
        </w:rPr>
        <w:t>Accords</w:t>
      </w:r>
    </w:p>
    <w:p w:rsidR="00000000" w:rsidRDefault="00000000">
      <w:pPr>
        <w:numPr>
          <w:ilvl w:val="0"/>
          <w:numId w:val="122"/>
        </w:numPr>
        <w:spacing w:after="240"/>
      </w:pPr>
      <w:r>
        <w:t>Accord avec la faculté de médecine (département carrière infirmière) de l’Université majeure de San Andrés sur la formation à l’hygiène et à la sécurité industrielle à l’intention des étudiants de troisième année;</w:t>
      </w:r>
    </w:p>
    <w:p w:rsidR="00000000" w:rsidRDefault="00000000">
      <w:pPr>
        <w:numPr>
          <w:ilvl w:val="0"/>
          <w:numId w:val="122"/>
        </w:numPr>
        <w:spacing w:after="240"/>
      </w:pPr>
      <w:r>
        <w:t>Accord avec la faculté de médecine (département carrière infirmière) de l’Université catholique sur la formation à l’hygiène et à la sécurité industrielle à l’intention des étudiants de troisième année.</w:t>
      </w:r>
    </w:p>
    <w:p w:rsidR="00000000" w:rsidRDefault="00000000">
      <w:pPr>
        <w:spacing w:after="240"/>
        <w:jc w:val="center"/>
        <w:rPr>
          <w:b/>
          <w:bCs/>
        </w:rPr>
      </w:pPr>
      <w:r>
        <w:rPr>
          <w:b/>
          <w:bCs/>
        </w:rPr>
        <w:t xml:space="preserve">E.  Prévention et traitement des maladies épidémiques, endémiques, </w:t>
      </w:r>
      <w:r>
        <w:rPr>
          <w:b/>
          <w:bCs/>
        </w:rPr>
        <w:br/>
        <w:t>professionnelles et autres, et lutte contre ces maladies</w:t>
      </w:r>
    </w:p>
    <w:p w:rsidR="00000000" w:rsidRDefault="00000000">
      <w:pPr>
        <w:spacing w:after="240"/>
        <w:rPr>
          <w:b/>
          <w:bCs/>
        </w:rPr>
      </w:pPr>
      <w:r>
        <w:rPr>
          <w:b/>
          <w:bCs/>
        </w:rPr>
        <w:t>Paludisme</w:t>
      </w:r>
    </w:p>
    <w:p w:rsidR="00000000" w:rsidRDefault="00000000">
      <w:pPr>
        <w:spacing w:after="240"/>
        <w:ind w:left="567"/>
        <w:rPr>
          <w:b/>
          <w:bCs/>
        </w:rPr>
      </w:pPr>
      <w:r>
        <w:rPr>
          <w:b/>
          <w:bCs/>
        </w:rPr>
        <w:t>Historique</w:t>
      </w:r>
    </w:p>
    <w:p w:rsidR="00000000" w:rsidRDefault="00000000">
      <w:pPr>
        <w:spacing w:after="240"/>
        <w:ind w:left="567"/>
        <w:rPr>
          <w:b/>
          <w:i/>
          <w:iCs/>
        </w:rPr>
      </w:pPr>
      <w:r>
        <w:rPr>
          <w:b/>
          <w:i/>
          <w:iCs/>
        </w:rPr>
        <w:t>Aperçu des problèmes liés au paludisme en Bolivie</w:t>
      </w:r>
    </w:p>
    <w:p w:rsidR="00000000" w:rsidRDefault="00000000">
      <w:pPr>
        <w:spacing w:after="240"/>
      </w:pPr>
      <w:r>
        <w:t>128.</w:t>
      </w:r>
      <w:r>
        <w:tab/>
        <w:t>L’analyse des contraintes et problèmes auxquels a été confronté le Programme national de surveillance et de lutte contre le paludisme sur la période 1998</w:t>
      </w:r>
      <w:r>
        <w:noBreakHyphen/>
        <w:t>2004 a permis de dégager les principales réussites enregistrées et les principaux défis à relever dans ce cadre pour faire face au paludisme. Cette analyse a montré que les domaines d’intervention ci-après du Programme appelaient un élargissement et un approfondissement: surveillance épidémiologique et systèmes d’information, gestion et administration du Programme, action de sensibilisation et de prévention contre le paludisme, surveillance entomologique et lutte contre les vecteurs.</w:t>
      </w:r>
    </w:p>
    <w:p w:rsidR="00000000" w:rsidRDefault="00000000">
      <w:pPr>
        <w:spacing w:after="240"/>
      </w:pPr>
      <w:r>
        <w:t>129.</w:t>
      </w:r>
      <w:r>
        <w:tab/>
        <w:t>Le Programme national de surveillance et de lutte contre le paludisme appuie la mise en œuvre des politiques nationales prioritaires en rapport avec la santé: universalisation de la couverture par les assurances et extension de la protection sociale de la santé en tant que priorité générale; action prioritaire en faveur de la santé maternelle et infantile; lutte contre les maladies endémiques et les maladies transmises par des vecteurs; participation de la société à la prise des décisions et aux actions concernant la santé individuelle et collective.</w:t>
      </w:r>
    </w:p>
    <w:p w:rsidR="00000000" w:rsidRDefault="00000000">
      <w:pPr>
        <w:spacing w:after="240"/>
      </w:pPr>
      <w:r>
        <w:t>130.</w:t>
      </w:r>
      <w:r>
        <w:tab/>
        <w:t>Les objectifs suivants ont été fixés en vue d’amplifier la lutte contre cette maladie: renforcement de la surveillance épidémiologique et des systèmes d’information sanitaires; amélioration de la gestion et de l’administration des activités de prévention et de lutte menées par le canal du Programme; amélioration de la promotion de la santé et de la prévention; renforcement des capacités de diagnostic et de traitement à l’échelon local par les services généraux de santé et la communauté; renforcement de la surveillance environnementale, entomologique et vectorielle intégrée contre le paludisme; développement des processus de surveillance, de suivi et d’évaluation des activités de prévention et de lutte contre le paludisme.</w:t>
      </w:r>
    </w:p>
    <w:p w:rsidR="00000000" w:rsidRDefault="00000000">
      <w:pPr>
        <w:spacing w:after="240"/>
      </w:pPr>
      <w:r>
        <w:t>131.</w:t>
      </w:r>
      <w:r>
        <w:tab/>
        <w:t>Le Programme constitue en outre un instrument de coordination pour la coopération technique et financière internationale ainsi qu’un modèle d’intervention du Ministère de la santé et des sports destiné à faire face aux besoins et priorités en matière de santé; il convient d’insister sur le fort degré de participation interinstitutionnelle enregistré durant le processus d’analyse et d’examen du Programme entreprise et action communes des instances techniques nationales, internationales et publiques face au problème du paludisme.</w:t>
      </w:r>
    </w:p>
    <w:p w:rsidR="00000000" w:rsidRDefault="00000000">
      <w:pPr>
        <w:keepNext/>
        <w:spacing w:after="240"/>
        <w:ind w:left="567"/>
        <w:rPr>
          <w:b/>
          <w:i/>
          <w:iCs/>
        </w:rPr>
      </w:pPr>
      <w:r>
        <w:rPr>
          <w:b/>
          <w:i/>
          <w:iCs/>
        </w:rPr>
        <w:t>Promotion de la santé et prévention du paludisme</w:t>
      </w:r>
    </w:p>
    <w:p w:rsidR="00000000" w:rsidRDefault="00000000">
      <w:pPr>
        <w:spacing w:after="240"/>
      </w:pPr>
      <w:r>
        <w:t>132.</w:t>
      </w:r>
      <w:r>
        <w:tab/>
        <w:t>La composante promotion de la santé et prévention du paludisme, qui assure la durabilité de la lutte à moyen et à long terme, repose sur des actions d’information, d’éducation et de communication menées dans le cadre de campagnes de sensibilisation, de vulgarisation et de formation destinées à faire connaître les moyens d’autoprotection et à améliorer les comportements individuels et collectifs afin de prévenir les risques d’impaludation. On s’attache en outre: à promouvoir l’usage de matériaux traités (vêtements, moustiquaires) et de répulsifs pour empêcher la transmission; à organiser et déployer des agents communautaires bénévoles en vue de la localisation, du diagnostic et du traitement; à promouvoir les moyens de prévention et l’amélioration physique du milieu à l’intérieur du domicile et à la périphérie pour réduire la transmission. Le manuel sur la prévention du paludisme en cours de développement porte sur les points suivants: promotion de l’utilisation de matériaux imprégnés d’insecticide dans les localités de la zone où le paludisme est endémique et fourniture de tels matériaux; évaluation des conditions d’assainissement du milieu, aménagement de ce milieu et amélioration du logement en vue de modifier définitivement les conditions d’hygiène du milieu et de vie dans le sens d’une lutte permanente contre la transmission de la maladie.</w:t>
      </w:r>
    </w:p>
    <w:p w:rsidR="00000000" w:rsidRDefault="00000000">
      <w:pPr>
        <w:spacing w:after="240"/>
      </w:pPr>
      <w:r>
        <w:t>133.</w:t>
      </w:r>
      <w:r>
        <w:tab/>
        <w:t>Les réussites enregistrées au titre de cette composante sont imputables: à l’organisation d’un réseau d’agents bénévoles et de chefs autochtones chargés de signaler les cas suspects aux fins de traitement et de suivi; à la diffusion d’informations sur la prévention et la lutte contre le paludisme; à la production de matériels éducatifs à l’intention des services de la santé et de la population (manuels sur le paludisme à l’intention des dirigeants et des agents bénévoles, manuels de formation à l’usage des agents de vulgarisation communautaire).</w:t>
      </w:r>
    </w:p>
    <w:p w:rsidR="00000000" w:rsidRDefault="00000000">
      <w:pPr>
        <w:spacing w:after="240"/>
      </w:pPr>
      <w:r>
        <w:t>134.</w:t>
      </w:r>
      <w:r>
        <w:tab/>
        <w:t>Les défis à relever concernent: l’affinement et l’intégration des stratégies d’information, d’éducation et de formation aux fins de la promotion et de la prévention auprès de la population en général et aux fins de la formation du personnel des institutions dans ce domaine; la consolidation et l’expansion du réseau d’agents bénévoles, l’accroissement de leurs effectifs, la surveillance et l’évaluation de leurs activités; la validation et l’évaluation de la méthode des moustiquaires imprégnées en tant que stratégie viable de la lutte contre le paludisme dans les zones endémiques; la mise en œuvre d’actions tendant à assainir l’environnement et le logement dans les zones réfractaires aux mesures classiques de lutte contre les vecteurs de transmission.</w:t>
      </w:r>
    </w:p>
    <w:p w:rsidR="00000000" w:rsidRDefault="00000000">
      <w:pPr>
        <w:spacing w:after="240"/>
      </w:pPr>
      <w:r>
        <w:t>135.</w:t>
      </w:r>
      <w:r>
        <w:tab/>
        <w:t>Les documents d’éducation, d’information et de formation sont entrés en vigueur dès leur diffusion à l’échelon national.</w:t>
      </w:r>
    </w:p>
    <w:p w:rsidR="00000000" w:rsidRDefault="00000000">
      <w:pPr>
        <w:keepNext/>
        <w:spacing w:after="240"/>
        <w:ind w:left="567"/>
        <w:rPr>
          <w:b/>
          <w:bCs/>
          <w:i/>
          <w:iCs/>
        </w:rPr>
      </w:pPr>
      <w:r>
        <w:rPr>
          <w:b/>
          <w:bCs/>
          <w:i/>
          <w:iCs/>
        </w:rPr>
        <w:t>Finalité</w:t>
      </w:r>
    </w:p>
    <w:p w:rsidR="00000000" w:rsidRDefault="00000000">
      <w:pPr>
        <w:spacing w:after="240"/>
      </w:pPr>
      <w:r>
        <w:t>136.</w:t>
      </w:r>
      <w:r>
        <w:tab/>
        <w:t>La lutte contre le paludisme vise à en réduire l’incidence et la prévalence en vue de les ramener en dessous de 5 cas pour 1 000 habitants exposés et à contribuer ainsi au développement socioéconomique du pays.</w:t>
      </w:r>
    </w:p>
    <w:p w:rsidR="00000000" w:rsidRDefault="00000000">
      <w:pPr>
        <w:spacing w:after="240"/>
      </w:pPr>
      <w:r>
        <w:t>137.</w:t>
      </w:r>
      <w:r>
        <w:tab/>
        <w:t>Il s’agit également de favoriser la diminution de la morbidité et de la mortalité imputables au paludisme et de contribuer ainsi à améliorer la qualité de vie de la population bolivienne.</w:t>
      </w:r>
    </w:p>
    <w:p w:rsidR="00000000" w:rsidRDefault="00000000">
      <w:pPr>
        <w:spacing w:after="240"/>
      </w:pPr>
      <w:r>
        <w:t>138.</w:t>
      </w:r>
      <w:r>
        <w:tab/>
        <w:t>Enfin, il s’agit d’accroître la capacité de surveillance et de lutte contre le paludisme dans les sept antennes implantées dans la zone où le paludisme est endémique afin d’assurer le suivi et l’évaluation du degré de réalisation des objectifs et buts en la matière, et d’améliorer ainsi la gestion et l’administration des composantes du Programme national de surveillance et de lutte contre le paludisme aux différents échelons d’exécution dans les services de santé.</w:t>
      </w:r>
    </w:p>
    <w:p w:rsidR="00000000" w:rsidRDefault="00000000">
      <w:pPr>
        <w:keepNext/>
        <w:spacing w:after="240"/>
        <w:ind w:firstLine="567"/>
        <w:rPr>
          <w:b/>
          <w:bCs/>
        </w:rPr>
      </w:pPr>
      <w:r>
        <w:rPr>
          <w:b/>
          <w:bCs/>
        </w:rPr>
        <w:t>Progrès</w:t>
      </w:r>
    </w:p>
    <w:p w:rsidR="00000000" w:rsidRDefault="00000000">
      <w:pPr>
        <w:spacing w:after="240"/>
      </w:pPr>
      <w:r>
        <w:t>139.</w:t>
      </w:r>
      <w:r>
        <w:tab/>
        <w:t>Le rapport sur les progrès épidémiologiques dans la lutte contre le paludisme sur la période 1998-2004 en Bolivie expose les actions du Département (vu son volume il est joint en annexe).</w:t>
      </w:r>
    </w:p>
    <w:p w:rsidR="00000000" w:rsidRDefault="00000000">
      <w:pPr>
        <w:spacing w:after="240"/>
      </w:pPr>
      <w:r>
        <w:t>140.</w:t>
      </w:r>
      <w:r>
        <w:tab/>
        <w:t>Le Ministère de la santé et des sports a élaboré les matériels de sensibilisation suivants:</w:t>
      </w:r>
    </w:p>
    <w:p w:rsidR="00000000" w:rsidRDefault="00000000">
      <w:pPr>
        <w:spacing w:after="240"/>
        <w:ind w:left="567"/>
      </w:pPr>
      <w:r>
        <w:t>Manuel de prévention contre le paludisme;</w:t>
      </w:r>
    </w:p>
    <w:p w:rsidR="00000000" w:rsidRDefault="00000000">
      <w:pPr>
        <w:spacing w:after="240"/>
        <w:ind w:left="567"/>
      </w:pPr>
      <w:r>
        <w:t>Manuel pratique sur les normes de traitement du paludisme;</w:t>
      </w:r>
    </w:p>
    <w:p w:rsidR="00000000" w:rsidRDefault="00000000">
      <w:pPr>
        <w:spacing w:after="240"/>
        <w:ind w:left="567"/>
      </w:pPr>
      <w:r>
        <w:t>Manuel sur le diagnostic microscopique du paludisme;</w:t>
      </w:r>
    </w:p>
    <w:p w:rsidR="00000000" w:rsidRDefault="00000000">
      <w:pPr>
        <w:spacing w:after="240"/>
        <w:ind w:left="567"/>
      </w:pPr>
      <w:r>
        <w:t>Manuel sur le paludisme à l’intention des chefs et des agents de santé bénévoles;</w:t>
      </w:r>
    </w:p>
    <w:p w:rsidR="00000000" w:rsidRDefault="00000000">
      <w:pPr>
        <w:spacing w:after="240"/>
        <w:ind w:left="567"/>
      </w:pPr>
      <w:r>
        <w:t>Manuel de formation à l’usage de l’agent de vulgarisation bénévole;</w:t>
      </w:r>
    </w:p>
    <w:p w:rsidR="00000000" w:rsidRDefault="00000000">
      <w:pPr>
        <w:spacing w:after="240"/>
        <w:ind w:left="567"/>
      </w:pPr>
      <w:r>
        <w:t>Instructions sur le traitement des personnes impaludées;</w:t>
      </w:r>
    </w:p>
    <w:p w:rsidR="00000000" w:rsidRDefault="00000000">
      <w:pPr>
        <w:spacing w:after="240"/>
        <w:ind w:left="567"/>
      </w:pPr>
      <w:r>
        <w:t>Matériel d’information.</w:t>
      </w:r>
    </w:p>
    <w:p w:rsidR="00000000" w:rsidRDefault="00000000">
      <w:pPr>
        <w:keepNext/>
        <w:spacing w:after="240"/>
        <w:rPr>
          <w:b/>
          <w:bCs/>
        </w:rPr>
      </w:pPr>
      <w:r>
        <w:rPr>
          <w:b/>
          <w:bCs/>
        </w:rPr>
        <w:t>Maladie de Chagas</w:t>
      </w:r>
    </w:p>
    <w:p w:rsidR="00000000" w:rsidRDefault="00000000">
      <w:pPr>
        <w:keepNext/>
        <w:spacing w:after="240"/>
        <w:ind w:left="567"/>
        <w:rPr>
          <w:b/>
          <w:bCs/>
        </w:rPr>
      </w:pPr>
      <w:r>
        <w:rPr>
          <w:b/>
          <w:bCs/>
        </w:rPr>
        <w:t>Historique</w:t>
      </w:r>
    </w:p>
    <w:p w:rsidR="00000000" w:rsidRDefault="00000000">
      <w:pPr>
        <w:spacing w:after="240"/>
      </w:pPr>
      <w:r>
        <w:t>141.</w:t>
      </w:r>
      <w:r>
        <w:tab/>
        <w:t>La maladie de Chagas constitue le problème de santé le plus urgent et le plus important du cône sud de l’Amérique, autant par son ampleur que par son incidence, et la lutte qu’elle suscite fait l’objet d’une action prioritaire dans les différents pays.</w:t>
      </w:r>
    </w:p>
    <w:p w:rsidR="00000000" w:rsidRDefault="00000000">
      <w:pPr>
        <w:spacing w:after="240"/>
      </w:pPr>
      <w:r>
        <w:t>142.</w:t>
      </w:r>
      <w:r>
        <w:tab/>
        <w:t xml:space="preserve">Vu ce qui précède, les Ministres de la santé de l’Argentine, de la Bolivie, du Brésil, du Chili, du Paraguay et de l’Uruguay, réunis à Brasilia en juillet 1991, se sont engagés à prendre les mesures nécessaires pour éliminer le </w:t>
      </w:r>
      <w:r>
        <w:rPr>
          <w:i/>
          <w:iCs/>
        </w:rPr>
        <w:t xml:space="preserve">Triatoma infestans </w:t>
      </w:r>
      <w:r>
        <w:t>et lutter contre la transmission de la maladie de Chagas par transfusion sanguine. À cette fin, a été créée une commission intergouvernementale chargée de promouvoir un programme et plan d’action sous</w:t>
      </w:r>
      <w:r>
        <w:noBreakHyphen/>
        <w:t xml:space="preserve">régional, son secrétariat étant assuré par l’Organisation panaméricaine de la santé. </w:t>
      </w:r>
    </w:p>
    <w:p w:rsidR="00000000" w:rsidRDefault="00000000">
      <w:pPr>
        <w:spacing w:after="240"/>
      </w:pPr>
      <w:r>
        <w:t>143.</w:t>
      </w:r>
      <w:r>
        <w:tab/>
        <w:t xml:space="preserve">Depuis lors, la Commission intergouvernementale a demandé aux pays membres des rapports périodiques sur l’action de prévention et de lutte; elle a organisé 14 réunions techniques qui se sont tenues à tour de rôle dans les divers pays (Buenos Aires, août 1992; Bolivie, mars 2005). </w:t>
      </w:r>
    </w:p>
    <w:p w:rsidR="00000000" w:rsidRDefault="00000000">
      <w:pPr>
        <w:spacing w:after="240"/>
      </w:pPr>
      <w:r>
        <w:t>144.</w:t>
      </w:r>
      <w:r>
        <w:tab/>
        <w:t>À la suite des conditions créées par l’Initiative INCOSUR/Chagas (1991) et grâce à la masse de connaissances accumulée dans le pays, l’année 1998 a été un jalon pour la Bolivie: on a en effet décidé de mettre en œuvre, dans l’éventail des stratégies fondamentales de la politique de la santé, le «bouclier épidémiologique». Cette stratégie vise entre autres choses à s’attaquer de front aux maladies à forte prévalence et, en priorité, à la maladie de Chagas; cette action bénéficie d’un gros crédit de la Banque interaméricaine de développement (BID).</w:t>
      </w:r>
    </w:p>
    <w:p w:rsidR="00000000" w:rsidRDefault="00000000">
      <w:pPr>
        <w:spacing w:after="240"/>
      </w:pPr>
      <w:r>
        <w:t>145.</w:t>
      </w:r>
      <w:r>
        <w:tab/>
        <w:t>Au cours de l’année 1999 ont été posées les bases de la lutte contre la propagation et la contamination des habitations par le vecteur. Dans les années suivantes (2000 et 2004), avec le crédit de la BID, la couverture de la zone endémique a été étendue progressivement; on a réalisé dans une partie de la zone les deux cycles de traitement chimique des habitations et intensifié les évaluations entomologiques après pulvérisation d’insecticide. Au cours de l’année 2003 on a procédé au traitement méthodique complet des habitations de toute la zone, qui a été la plus vaste opération antivectorielle menée dans le pays, avec dépistage systématique du vecteur et pulvérisation d’insecticide dans quelque 670 000 habitations. Cette campagne, principalement pour l’évaluation entomologique, s’est poursuivie en priorité dans l’année 2004.</w:t>
      </w:r>
    </w:p>
    <w:p w:rsidR="00000000" w:rsidRDefault="00000000">
      <w:pPr>
        <w:spacing w:after="240"/>
      </w:pPr>
      <w:r>
        <w:t>146.</w:t>
      </w:r>
      <w:r>
        <w:tab/>
        <w:t xml:space="preserve">Pour l’année 2005, on a élaboré pour l’étape de consolidation une proposition méthodologique, fondée sur les résultats atteints dans la lutte. </w:t>
      </w:r>
    </w:p>
    <w:p w:rsidR="00000000" w:rsidRDefault="00000000">
      <w:pPr>
        <w:spacing w:after="240"/>
      </w:pPr>
      <w:r>
        <w:t>147.</w:t>
      </w:r>
      <w:r>
        <w:tab/>
        <w:t xml:space="preserve">Des activités dans les domaines de l’information, de l’éducation et de la communication se sont déroulées parallèlement à l’action antivectorielle. Au début de l’année 2000 on a mené une action d’interventions rapides destinée à mettre en place le programme; par la suite, et à partir d’un diagnostic de base, a été élaborée la stratégie décennale. </w:t>
      </w:r>
    </w:p>
    <w:p w:rsidR="00000000" w:rsidRDefault="00000000">
      <w:pPr>
        <w:spacing w:after="240"/>
      </w:pPr>
      <w:r>
        <w:t>148.</w:t>
      </w:r>
      <w:r>
        <w:tab/>
        <w:t xml:space="preserve">En ce qui concerne le diagnostic et le traitement des enfants de moins de 5 ans, on a enregistré un certain retard dans la mise en route des activités, si l’on considère le temps qui s’est écoulé depuis la mise en œuvre du projet; ce retard s’explique par le fait qu’il ne vaut la peine de traiter la population que dans les zones où la transmission vectorielle a cessé ou qui ne présentent qu’un risque de réinfection minime. </w:t>
      </w:r>
    </w:p>
    <w:p w:rsidR="00000000" w:rsidRDefault="00000000">
      <w:pPr>
        <w:keepNext/>
        <w:spacing w:after="240"/>
        <w:ind w:left="567"/>
        <w:rPr>
          <w:b/>
          <w:bCs/>
        </w:rPr>
      </w:pPr>
      <w:r>
        <w:rPr>
          <w:b/>
          <w:bCs/>
        </w:rPr>
        <w:t>Réalisations</w:t>
      </w:r>
    </w:p>
    <w:p w:rsidR="00000000" w:rsidRDefault="00000000">
      <w:pPr>
        <w:keepNext/>
        <w:spacing w:after="240"/>
        <w:ind w:left="567"/>
        <w:rPr>
          <w:b/>
          <w:bCs/>
          <w:i/>
          <w:iCs/>
        </w:rPr>
      </w:pPr>
      <w:r>
        <w:rPr>
          <w:b/>
          <w:bCs/>
          <w:i/>
          <w:iCs/>
        </w:rPr>
        <w:t xml:space="preserve">Résultats obtenus dans la lutte antivectorielle </w:t>
      </w:r>
    </w:p>
    <w:p w:rsidR="00000000" w:rsidRDefault="00000000">
      <w:pPr>
        <w:spacing w:after="240"/>
      </w:pPr>
      <w:r>
        <w:t>149.</w:t>
      </w:r>
      <w:r>
        <w:tab/>
        <w:t>On a procédé à une actualisation de l’information entomologique relative à l’infestation, par département et par commune, information qui permet d’orienter les activités de lutte antivectorielle (graphique n</w:t>
      </w:r>
      <w:r>
        <w:rPr>
          <w:vertAlign w:val="superscript"/>
        </w:rPr>
        <w:t>o</w:t>
      </w:r>
      <w:r>
        <w:t xml:space="preserve"> 1).</w:t>
      </w:r>
    </w:p>
    <w:p w:rsidR="00000000" w:rsidRDefault="00000000">
      <w:pPr>
        <w:keepLines/>
        <w:spacing w:after="240"/>
      </w:pPr>
      <w:r>
        <w:t>150.</w:t>
      </w:r>
      <w:r>
        <w:tab/>
        <w:t xml:space="preserve">La lutte antivectorielle en Bolivie se caractérise par une régression sensible du </w:t>
      </w:r>
      <w:r>
        <w:rPr>
          <w:i/>
          <w:iCs/>
        </w:rPr>
        <w:t xml:space="preserve">Triatoma infestans </w:t>
      </w:r>
      <w:r>
        <w:t>dans les régions traitées. On a obtenu le niveau d’infestation lorsqu’on a mis en œuvre l’action de base, commencée en 1999 et conclue en 2003 (75 %), par comparaison avec la situation observée de l’infestation résiduelle, mesurée par les évaluations entomologiques postérieures aux pulvérisations de 2003 (4,1 %) et de 2004 (2,8 %) (graphique n</w:t>
      </w:r>
      <w:r>
        <w:rPr>
          <w:vertAlign w:val="superscript"/>
        </w:rPr>
        <w:t>o</w:t>
      </w:r>
      <w:r>
        <w:t xml:space="preserve"> 2).</w:t>
      </w:r>
    </w:p>
    <w:p w:rsidR="00000000" w:rsidRDefault="00000000">
      <w:pPr>
        <w:keepNext/>
        <w:spacing w:after="240"/>
        <w:ind w:left="567"/>
        <w:rPr>
          <w:b/>
          <w:bCs/>
          <w:i/>
          <w:iCs/>
        </w:rPr>
      </w:pPr>
      <w:r>
        <w:rPr>
          <w:b/>
          <w:bCs/>
          <w:i/>
          <w:iCs/>
        </w:rPr>
        <w:t>Résultats obtenus dans le diagnostic et le traitement</w:t>
      </w:r>
    </w:p>
    <w:p w:rsidR="00000000" w:rsidRDefault="00000000">
      <w:pPr>
        <w:spacing w:after="240"/>
      </w:pPr>
      <w:r>
        <w:t>151.</w:t>
      </w:r>
      <w:r>
        <w:tab/>
        <w:t xml:space="preserve">Les équipes régionales, à l’exception de celles de Tarija et de Potosí, ont été constituées et l’on a élaboré les manuels de diagnostic et de traitement clinique, validés par des experts internationaux accrédités par l’OPS/OMS du Brésil et de l’Argentine et par l’OPS/OMS de la Bolivie et la Société bolivienne de pédiatrie. La stratégie d’intervention visant à diagnostiquer environ 330 000 enfants de moins de 5 ans et à traiter 124 120 enfants ayant contracté la maladie de Chagas a été élaborée. </w:t>
      </w:r>
    </w:p>
    <w:p w:rsidR="00000000" w:rsidRDefault="00000000">
      <w:pPr>
        <w:spacing w:after="240"/>
      </w:pPr>
      <w:r>
        <w:t>152.</w:t>
      </w:r>
      <w:r>
        <w:tab/>
        <w:t>Un projet pilote de diagnostic et de traitement est en cours dans la commune de Mairana (Santa Cruz); selon les estimations, les travaux devraient se conclure d’ici à juillet 2005.</w:t>
      </w:r>
    </w:p>
    <w:p w:rsidR="00000000" w:rsidRDefault="00000000">
      <w:pPr>
        <w:spacing w:after="240"/>
      </w:pPr>
      <w:r>
        <w:t>153.</w:t>
      </w:r>
      <w:r>
        <w:tab/>
        <w:t>Le projet de lutte contre la maladie de Chagas congénitale, qui bénéficie de la coopération belge, fait partie intégrante de l’action menée. Il est envisagé de contribuer à la lutte par le diagnostic et le traitement des nouveau</w:t>
      </w:r>
      <w:r>
        <w:noBreakHyphen/>
        <w:t>nés dans les hôpitaux de deuxième et troisième niveaux dans les départements où la maladie est endémique.</w:t>
      </w:r>
    </w:p>
    <w:p w:rsidR="00000000" w:rsidRDefault="00000000">
      <w:pPr>
        <w:spacing w:after="240"/>
      </w:pPr>
      <w:r>
        <w:t>154.</w:t>
      </w:r>
      <w:r>
        <w:tab/>
        <w:t>La documentation suivante a été élaborée par le Ministère de la santé et des sports pour faire connaître la maladie:</w:t>
      </w:r>
    </w:p>
    <w:p w:rsidR="00000000" w:rsidRDefault="00000000">
      <w:pPr>
        <w:spacing w:after="240"/>
        <w:ind w:left="567"/>
      </w:pPr>
      <w:r>
        <w:t>Centre d’information sur les vecteurs, PIV</w:t>
      </w:r>
    </w:p>
    <w:p w:rsidR="00000000" w:rsidRDefault="00000000">
      <w:pPr>
        <w:spacing w:after="240"/>
        <w:ind w:left="567"/>
      </w:pPr>
      <w:r>
        <w:t xml:space="preserve">Maladie de Chagas congénitale, stratégies de diagnostic et de lutte </w:t>
      </w:r>
    </w:p>
    <w:p w:rsidR="00000000" w:rsidRDefault="00000000">
      <w:pPr>
        <w:spacing w:after="240"/>
        <w:ind w:left="567"/>
      </w:pPr>
      <w:r>
        <w:t>Manuel d’opérations sur le terrain</w:t>
      </w:r>
    </w:p>
    <w:p w:rsidR="00000000" w:rsidRDefault="00000000">
      <w:pPr>
        <w:spacing w:after="240"/>
        <w:ind w:left="567"/>
      </w:pPr>
      <w:r>
        <w:t>CD, Programme national maladie de Chagas: IEC et formation</w:t>
      </w:r>
    </w:p>
    <w:p w:rsidR="00000000" w:rsidRDefault="00000000">
      <w:pPr>
        <w:spacing w:after="240"/>
        <w:ind w:left="567"/>
      </w:pPr>
      <w:r>
        <w:t>Résumé «stratégie d’information, d’éducation et de communication du Programme national relatif à la maladie de Chagas»</w:t>
      </w:r>
    </w:p>
    <w:p w:rsidR="00000000" w:rsidRDefault="00000000">
      <w:pPr>
        <w:spacing w:after="240"/>
        <w:ind w:left="567"/>
      </w:pPr>
      <w:r>
        <w:t>Stratégie d’information, d’éducation et de communication du Programme national relatif à la maladie de Chagas</w:t>
      </w:r>
    </w:p>
    <w:p w:rsidR="00000000" w:rsidRDefault="00000000">
      <w:pPr>
        <w:spacing w:after="240"/>
        <w:ind w:left="567"/>
      </w:pPr>
      <w:r>
        <w:t>Maladie de Chagas: études des connaissances, des comportements et des pratiques</w:t>
      </w:r>
    </w:p>
    <w:p w:rsidR="00000000" w:rsidRDefault="00000000">
      <w:pPr>
        <w:spacing w:after="240"/>
        <w:ind w:left="567"/>
      </w:pPr>
      <w:r>
        <w:t xml:space="preserve">Plan national relatif à la maladie de Chagas </w:t>
      </w:r>
    </w:p>
    <w:p w:rsidR="00000000" w:rsidRDefault="00000000">
      <w:pPr>
        <w:spacing w:after="240"/>
        <w:ind w:left="567"/>
      </w:pPr>
      <w:r>
        <w:t>Programme national relatif à la maladie de Chagas: fonctions et processus technico</w:t>
      </w:r>
      <w:r>
        <w:noBreakHyphen/>
        <w:t>administratifs.</w:t>
      </w:r>
    </w:p>
    <w:p w:rsidR="00000000" w:rsidRDefault="00000000">
      <w:pPr>
        <w:keepNext/>
        <w:spacing w:before="240" w:after="240"/>
        <w:ind w:left="567"/>
        <w:rPr>
          <w:i/>
          <w:iCs/>
        </w:rPr>
      </w:pPr>
      <w:r>
        <w:rPr>
          <w:b/>
          <w:bCs/>
          <w:i/>
          <w:iCs/>
        </w:rPr>
        <w:t>Résultats obtenus en matière d’IEC et de formation professionnelle</w:t>
      </w:r>
    </w:p>
    <w:p w:rsidR="00000000" w:rsidRDefault="00000000">
      <w:pPr>
        <w:spacing w:after="240"/>
      </w:pPr>
      <w:r>
        <w:t>155.</w:t>
      </w:r>
      <w:r>
        <w:tab/>
        <w:t>Cette composante apparaît dans tout le processus du programme puisque des mesures seront prises avant, pendant et après le crédit de la BID. On peut citer comme résultats tangibles:</w:t>
      </w:r>
    </w:p>
    <w:p w:rsidR="00000000" w:rsidRDefault="00000000">
      <w:pPr>
        <w:numPr>
          <w:ilvl w:val="0"/>
          <w:numId w:val="103"/>
        </w:numPr>
        <w:spacing w:after="240"/>
      </w:pPr>
      <w:r>
        <w:t>La conception d’une politique qui reconnaît que la communication joue un rôle très important dans le développement et les progrès d’une société, grâce à la démocratisation de l’information, et dans l’accès à la connaissance des questions liées à la santé;</w:t>
      </w:r>
    </w:p>
    <w:p w:rsidR="00000000" w:rsidRDefault="00000000">
      <w:pPr>
        <w:numPr>
          <w:ilvl w:val="0"/>
          <w:numId w:val="103"/>
        </w:numPr>
        <w:spacing w:after="240"/>
      </w:pPr>
      <w:r>
        <w:t>Les résultats de l’étude des connaissances, des comportements, des pratiques, des perceptions et des représentations des habitants de la zone endémique en ce qui concerne les principaux thèmes liés à la propagation de la maladie de Chagas et à la maladie elle-même;</w:t>
      </w:r>
    </w:p>
    <w:p w:rsidR="00000000" w:rsidRDefault="00000000">
      <w:pPr>
        <w:numPr>
          <w:ilvl w:val="0"/>
          <w:numId w:val="103"/>
        </w:numPr>
        <w:spacing w:after="240"/>
      </w:pPr>
      <w:r>
        <w:t>La conception d’une stratégie à court terme, à moyen terme et à long terme, prévoyant des mesures visant à modifier les comportements et les pratiques par le renforcement des capacités locales, la promotion de la participation, l’ouverture d’espaces de dialogue, la démocratie et le pluralisme dans un contexte national.</w:t>
      </w:r>
    </w:p>
    <w:p w:rsidR="00000000" w:rsidRDefault="00000000">
      <w:pPr>
        <w:keepNext/>
        <w:spacing w:after="240"/>
        <w:jc w:val="center"/>
        <w:rPr>
          <w:b/>
          <w:bCs/>
        </w:rPr>
      </w:pPr>
      <w:r>
        <w:rPr>
          <w:b/>
          <w:bCs/>
        </w:rPr>
        <w:t>Graphique 1</w:t>
      </w:r>
    </w:p>
    <w:p w:rsidR="00000000" w:rsidRDefault="00000000">
      <w:pPr>
        <w:keepNext/>
        <w:spacing w:after="240"/>
        <w:jc w:val="center"/>
        <w:rPr>
          <w:b/>
          <w:bCs/>
        </w:rPr>
      </w:pPr>
      <w:r>
        <w:rPr>
          <w:b/>
          <w:bCs/>
        </w:rPr>
        <w:t>Infestation initiale, 1999-2003</w:t>
      </w:r>
    </w:p>
    <w:p w:rsidR="00000000" w:rsidRDefault="00000000">
      <w:pPr>
        <w:keepNext/>
        <w:spacing w:after="240"/>
        <w:jc w:val="center"/>
        <w:rPr>
          <w:b/>
          <w:bCs/>
        </w:rPr>
      </w:pPr>
      <w:r>
        <w:rPr>
          <w:b/>
          <w:bCs/>
        </w:rPr>
        <w:t>Infestation après pulvérisation d’insecticide</w:t>
      </w:r>
    </w:p>
    <w:bookmarkStart w:id="0" w:name="_MON_1251539100"/>
    <w:bookmarkStart w:id="1" w:name="_MON_1251540740"/>
    <w:bookmarkStart w:id="2" w:name="_MON_1251542609"/>
    <w:bookmarkStart w:id="3" w:name="_MON_1251542669"/>
    <w:bookmarkStart w:id="4" w:name="_MON_1251543091"/>
    <w:bookmarkStart w:id="5" w:name="_MON_1251875787"/>
    <w:bookmarkStart w:id="6" w:name="_MON_1251875815"/>
    <w:bookmarkStart w:id="7" w:name="_MON_1251879099"/>
    <w:bookmarkStart w:id="8" w:name="_MON_1251879361"/>
    <w:bookmarkStart w:id="9" w:name="_MON_1251879852"/>
    <w:bookmarkStart w:id="10" w:name="_MON_1251879895"/>
    <w:bookmarkStart w:id="11" w:name="_MON_1251879933"/>
    <w:bookmarkStart w:id="12" w:name="_MON_1251880104"/>
    <w:bookmarkStart w:id="13" w:name="_MON_1251880124"/>
    <w:bookmarkStart w:id="14" w:name="_MON_1251880200"/>
    <w:bookmarkStart w:id="15" w:name="_MON_1251880481"/>
    <w:bookmarkStart w:id="16" w:name="_MON_1251880670"/>
    <w:bookmarkStart w:id="17" w:name="_MON_1251880721"/>
    <w:bookmarkStart w:id="18" w:name="_MON_1251880770"/>
    <w:bookmarkStart w:id="19" w:name="_MON_1251880792"/>
    <w:bookmarkStart w:id="20" w:name="_MON_1251880798"/>
    <w:bookmarkStart w:id="21" w:name="_MON_1251880816"/>
    <w:bookmarkStart w:id="22" w:name="_MON_1251880877"/>
    <w:bookmarkStart w:id="23" w:name="_MON_1251880906"/>
    <w:bookmarkStart w:id="24" w:name="_MON_1251881036"/>
    <w:bookmarkStart w:id="25" w:name="_MON_1251881066"/>
    <w:bookmarkStart w:id="26" w:name="_MON_1251881071"/>
    <w:bookmarkStart w:id="27" w:name="_MON_1251881147"/>
    <w:bookmarkStart w:id="28" w:name="_MON_1251881188"/>
    <w:bookmarkStart w:id="29" w:name="_MON_1256974372"/>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rsidR="00000000" w:rsidRDefault="00000000">
      <w:pPr>
        <w:spacing w:after="240"/>
        <w:jc w:val="center"/>
        <w:rPr>
          <w:b/>
          <w:bCs/>
        </w:rPr>
      </w:pPr>
      <w:r>
        <w:rPr>
          <w:b/>
          <w:bCs/>
        </w:rPr>
        <w:object w:dxaOrig="8440" w:dyaOrig="4488">
          <v:shape id="_x0000_i1026" type="#_x0000_t75" style="width:443.25pt;height:226.5pt" o:ole="">
            <v:imagedata r:id="rId9" o:title="" croptop="9220f" cropbottom="10019f" cropleft="2987f" cropright="2806f"/>
          </v:shape>
          <o:OLEObject Type="Embed" ProgID="Word.Picture.8" ShapeID="_x0000_i1026" DrawAspect="Content" ObjectID="_1394898067" r:id="rId10"/>
        </w:object>
      </w:r>
    </w:p>
    <w:p w:rsidR="00000000" w:rsidRDefault="00000000">
      <w:pPr>
        <w:spacing w:after="240"/>
        <w:ind w:left="567"/>
      </w:pPr>
      <w:r>
        <w:rPr>
          <w:i/>
          <w:iCs/>
        </w:rPr>
        <w:t>Source</w:t>
      </w:r>
      <w:r>
        <w:t>: Programme national de lutte contre la maladie de Chagas.</w:t>
      </w:r>
    </w:p>
    <w:p w:rsidR="00000000" w:rsidRDefault="00000000">
      <w:pPr>
        <w:keepNext/>
        <w:spacing w:after="240"/>
        <w:jc w:val="center"/>
        <w:rPr>
          <w:b/>
          <w:bCs/>
        </w:rPr>
      </w:pPr>
      <w:r>
        <w:rPr>
          <w:b/>
          <w:bCs/>
        </w:rPr>
        <w:br w:type="page"/>
        <w:t>Graphique 2</w:t>
      </w:r>
    </w:p>
    <w:p w:rsidR="00000000" w:rsidRDefault="00000000">
      <w:pPr>
        <w:keepNext/>
        <w:spacing w:after="240"/>
        <w:jc w:val="center"/>
        <w:rPr>
          <w:b/>
          <w:bCs/>
        </w:rPr>
      </w:pPr>
      <w:r>
        <w:rPr>
          <w:b/>
          <w:bCs/>
        </w:rPr>
        <w:t>Programme national de lutte contre la maladie de Chagas</w:t>
      </w:r>
    </w:p>
    <w:p w:rsidR="00000000" w:rsidRDefault="00000000">
      <w:pPr>
        <w:keepNext/>
        <w:spacing w:after="240"/>
        <w:jc w:val="center"/>
        <w:rPr>
          <w:b/>
          <w:bCs/>
        </w:rPr>
      </w:pPr>
      <w:r>
        <w:rPr>
          <w:b/>
          <w:bCs/>
        </w:rPr>
        <w:t>Campagnes de pulvérisation − Infestation après pulvérisation, 1999</w:t>
      </w:r>
      <w:r>
        <w:rPr>
          <w:b/>
          <w:bCs/>
        </w:rPr>
        <w:noBreakHyphen/>
        <w:t>2004</w:t>
      </w:r>
    </w:p>
    <w:bookmarkStart w:id="30" w:name="_MON_1257074198"/>
    <w:bookmarkStart w:id="31" w:name="_MON_1257074224"/>
    <w:bookmarkEnd w:id="30"/>
    <w:bookmarkEnd w:id="31"/>
    <w:p w:rsidR="00000000" w:rsidRDefault="00000000">
      <w:pPr>
        <w:spacing w:after="240"/>
        <w:jc w:val="center"/>
      </w:pPr>
      <w:r>
        <w:object w:dxaOrig="8625" w:dyaOrig="5415">
          <v:shape id="_x0000_i1027" type="#_x0000_t75" style="width:431.25pt;height:245.25pt" o:ole="">
            <v:imagedata r:id="rId11" o:title="" cropbottom="6023f"/>
          </v:shape>
          <o:OLEObject Type="Embed" ProgID="Word.Picture.8" ShapeID="_x0000_i1027" DrawAspect="Content" ObjectID="_1394898068" r:id="rId12"/>
        </w:object>
      </w:r>
    </w:p>
    <w:p w:rsidR="00000000" w:rsidRDefault="00000000">
      <w:pPr>
        <w:spacing w:before="240" w:after="360"/>
        <w:ind w:firstLine="567"/>
      </w:pPr>
      <w:r>
        <w:rPr>
          <w:i/>
          <w:iCs/>
        </w:rPr>
        <w:t>Source</w:t>
      </w:r>
      <w:r>
        <w:t>: Programme national de lutte contre la maladie de Chagas.</w:t>
      </w:r>
    </w:p>
    <w:p w:rsidR="00000000" w:rsidRDefault="00000000">
      <w:pPr>
        <w:keepNext/>
        <w:spacing w:after="240"/>
        <w:rPr>
          <w:b/>
          <w:bCs/>
        </w:rPr>
      </w:pPr>
      <w:r>
        <w:rPr>
          <w:b/>
          <w:bCs/>
        </w:rPr>
        <w:t>Programme de lutte contre les maladies émergentes ou réémergentes</w:t>
      </w:r>
    </w:p>
    <w:p w:rsidR="00000000" w:rsidRDefault="00000000">
      <w:pPr>
        <w:keepNext/>
        <w:spacing w:after="240"/>
        <w:ind w:left="1134" w:hanging="567"/>
        <w:rPr>
          <w:b/>
          <w:bCs/>
        </w:rPr>
      </w:pPr>
      <w:r>
        <w:rPr>
          <w:b/>
          <w:bCs/>
        </w:rPr>
        <w:t>Historique</w:t>
      </w:r>
    </w:p>
    <w:p w:rsidR="00000000" w:rsidRDefault="00000000">
      <w:pPr>
        <w:spacing w:after="240"/>
      </w:pPr>
      <w:r>
        <w:t>156.</w:t>
      </w:r>
      <w:r>
        <w:tab/>
        <w:t xml:space="preserve">Le Programme de lutte contre les maladies émergentes ou réémergentes a pour objet de renforcer les politiques, stratégies et règles concernant les maladies suivantes: </w:t>
      </w:r>
      <w:r>
        <w:rPr>
          <w:i/>
          <w:iCs/>
        </w:rPr>
        <w:t>rabia canina</w:t>
      </w:r>
      <w:r>
        <w:t>, leishmaniose, dengue, lèpre, choléra, fièvre hémorragique. Il s’agit de mener une action de prévention, mais aussi d’information et d’éducation concernant la santé et le bien</w:t>
      </w:r>
      <w:r>
        <w:noBreakHyphen/>
        <w:t xml:space="preserve">être de la population en général, et de garantir des conditions adéquates de sécurité et de prévention des risques. </w:t>
      </w:r>
    </w:p>
    <w:p w:rsidR="00000000" w:rsidRDefault="00000000">
      <w:pPr>
        <w:keepNext/>
        <w:spacing w:after="240"/>
        <w:ind w:left="567"/>
        <w:rPr>
          <w:b/>
          <w:bCs/>
        </w:rPr>
      </w:pPr>
      <w:r>
        <w:rPr>
          <w:b/>
          <w:bCs/>
        </w:rPr>
        <w:t>Réalisations</w:t>
      </w:r>
    </w:p>
    <w:p w:rsidR="00000000" w:rsidRDefault="00000000">
      <w:pPr>
        <w:spacing w:after="240"/>
      </w:pPr>
      <w:r>
        <w:t>157.</w:t>
      </w:r>
      <w:r>
        <w:tab/>
        <w:t>Un plan quinquennal 2003</w:t>
      </w:r>
      <w:r>
        <w:noBreakHyphen/>
        <w:t>2007 a été élaboré en vue de prévenir et de juguler la morbidité liée à ces maladies sur le territoire national.</w:t>
      </w:r>
    </w:p>
    <w:p w:rsidR="00000000" w:rsidRDefault="00000000">
      <w:pPr>
        <w:keepNext/>
        <w:spacing w:after="240"/>
        <w:ind w:left="567"/>
        <w:rPr>
          <w:b/>
          <w:bCs/>
        </w:rPr>
      </w:pPr>
      <w:r>
        <w:rPr>
          <w:b/>
          <w:bCs/>
        </w:rPr>
        <w:t>Résultats</w:t>
      </w:r>
    </w:p>
    <w:p w:rsidR="00000000" w:rsidRDefault="00000000">
      <w:pPr>
        <w:spacing w:after="240"/>
        <w:ind w:left="1134" w:hanging="567"/>
      </w:pPr>
      <w:r>
        <w:t>−</w:t>
      </w:r>
      <w:r>
        <w:tab/>
        <w:t>Élaboration, révision et approbation par le Vice</w:t>
      </w:r>
      <w:r>
        <w:noBreakHyphen/>
        <w:t>Ministère de l’investissement public du Plan national de prévention et de lutte concernant la dengue et la dengue hémorragique. Le plan est en cours d’exécution;</w:t>
      </w:r>
    </w:p>
    <w:p w:rsidR="00000000" w:rsidRDefault="00000000">
      <w:pPr>
        <w:spacing w:after="240"/>
        <w:ind w:left="1134" w:hanging="567"/>
      </w:pPr>
      <w:r>
        <w:t>−</w:t>
      </w:r>
      <w:r>
        <w:tab/>
        <w:t>Élaboration et révision du Plan national de surveillance épidémiologique et de dépistage du choléra. Le plan est en cours d’exécution;</w:t>
      </w:r>
    </w:p>
    <w:p w:rsidR="00000000" w:rsidRDefault="00000000">
      <w:pPr>
        <w:spacing w:after="240"/>
        <w:ind w:left="567"/>
      </w:pPr>
      <w:r>
        <w:t>−</w:t>
      </w:r>
      <w:r>
        <w:tab/>
        <w:t>Plan national de prévention de la lèpre: approuvé;</w:t>
      </w:r>
    </w:p>
    <w:p w:rsidR="00000000" w:rsidRDefault="00000000">
      <w:pPr>
        <w:spacing w:after="240"/>
        <w:ind w:left="567"/>
      </w:pPr>
      <w:r>
        <w:t>−</w:t>
      </w:r>
      <w:r>
        <w:tab/>
        <w:t>Plan national concernant la fièvre hémorragique en révision;</w:t>
      </w:r>
    </w:p>
    <w:p w:rsidR="00000000" w:rsidRDefault="00000000">
      <w:pPr>
        <w:spacing w:after="240"/>
        <w:ind w:left="1134" w:hanging="567"/>
      </w:pPr>
      <w:r>
        <w:t>−</w:t>
      </w:r>
      <w:r>
        <w:tab/>
      </w:r>
      <w:r>
        <w:rPr>
          <w:i/>
          <w:iCs/>
        </w:rPr>
        <w:t>Rabia canina</w:t>
      </w:r>
      <w:r>
        <w:t>: élaboration, publication et diffusion du Manuel concernant la surveillance épidémiologique et le Programme national de lutte contre la rage destiné aux communes urbaines.</w:t>
      </w:r>
    </w:p>
    <w:p w:rsidR="00000000" w:rsidRDefault="00000000">
      <w:pPr>
        <w:spacing w:after="240"/>
      </w:pPr>
      <w:r>
        <w:t>158.</w:t>
      </w:r>
      <w:r>
        <w:tab/>
        <w:t>L’approbation du programme par le Vice</w:t>
      </w:r>
      <w:r>
        <w:noBreakHyphen/>
        <w:t>Ministère de l’investissement public a permis de le doter à partir de 2005 d’un budget destiné à la mise en œuvre du plan.</w:t>
      </w:r>
    </w:p>
    <w:p w:rsidR="00000000" w:rsidRDefault="00000000">
      <w:pPr>
        <w:spacing w:after="240"/>
      </w:pPr>
      <w:r>
        <w:t>159.</w:t>
      </w:r>
      <w:r>
        <w:tab/>
        <w:t xml:space="preserve">Il est prévu pour 2006 une première phase d’évaluation qui permettra de constater les résultats qualitatifs et quantitatifs du programme. </w:t>
      </w:r>
    </w:p>
    <w:p w:rsidR="00000000" w:rsidRDefault="00000000">
      <w:pPr>
        <w:spacing w:after="240"/>
      </w:pPr>
      <w:r>
        <w:t>160.</w:t>
      </w:r>
      <w:r>
        <w:tab/>
        <w:t>Le Ministère de la santé et des sports a élaboré la documentation suivante destinée à la diffusion:</w:t>
      </w:r>
    </w:p>
    <w:p w:rsidR="00000000" w:rsidRDefault="00000000">
      <w:pPr>
        <w:spacing w:after="240"/>
        <w:ind w:left="567"/>
      </w:pPr>
      <w:r>
        <w:t>−</w:t>
      </w:r>
      <w:r>
        <w:tab/>
        <w:t>Manuel de prévention, de surveillance et de lutte concernant la téniase/cysticercose;</w:t>
      </w:r>
    </w:p>
    <w:p w:rsidR="00000000" w:rsidRDefault="00000000">
      <w:pPr>
        <w:spacing w:after="240"/>
        <w:ind w:left="1134" w:hanging="567"/>
      </w:pPr>
      <w:r>
        <w:t>−</w:t>
      </w:r>
      <w:r>
        <w:tab/>
        <w:t>Programme national de lutte contre les maladies émergentes ou réémergentes (plan quinquennal 2003</w:t>
      </w:r>
      <w:r>
        <w:noBreakHyphen/>
        <w:t>2007);</w:t>
      </w:r>
    </w:p>
    <w:p w:rsidR="00000000" w:rsidRDefault="00000000">
      <w:pPr>
        <w:spacing w:after="240"/>
        <w:ind w:left="1134" w:hanging="567"/>
      </w:pPr>
      <w:r>
        <w:t>−</w:t>
      </w:r>
      <w:r>
        <w:tab/>
        <w:t>Programme national de lutte contre les maladies émergentes ou réémergentes</w:t>
      </w:r>
      <w:r>
        <w:br/>
        <w:t>− plan annuel 2004;</w:t>
      </w:r>
    </w:p>
    <w:p w:rsidR="00000000" w:rsidRDefault="00000000">
      <w:pPr>
        <w:spacing w:after="240"/>
        <w:ind w:left="567"/>
      </w:pPr>
      <w:r>
        <w:t>−</w:t>
      </w:r>
      <w:r>
        <w:tab/>
        <w:t>Plan quinquennal de lutte contre la leishmaniose 2006</w:t>
      </w:r>
      <w:r>
        <w:noBreakHyphen/>
        <w:t>2010;</w:t>
      </w:r>
    </w:p>
    <w:p w:rsidR="00000000" w:rsidRDefault="00000000">
      <w:pPr>
        <w:spacing w:after="240"/>
        <w:ind w:left="1134" w:hanging="567"/>
      </w:pPr>
      <w:r>
        <w:t>−</w:t>
      </w:r>
      <w:r>
        <w:tab/>
        <w:t>Plan stratégique visant à réduire l’incidence et la prévalence de la lèpre en Bolivie, 2006;</w:t>
      </w:r>
    </w:p>
    <w:p w:rsidR="00000000" w:rsidRDefault="00000000">
      <w:pPr>
        <w:spacing w:after="240"/>
        <w:ind w:left="567"/>
      </w:pPr>
      <w:r>
        <w:t>−</w:t>
      </w:r>
      <w:r>
        <w:tab/>
        <w:t>Annuaire des règles et procédures de lutte contre la lèpre, 2005;</w:t>
      </w:r>
    </w:p>
    <w:p w:rsidR="00000000" w:rsidRDefault="00000000">
      <w:pPr>
        <w:spacing w:after="240"/>
        <w:ind w:left="1134" w:hanging="567"/>
      </w:pPr>
      <w:r>
        <w:t>−</w:t>
      </w:r>
      <w:r>
        <w:tab/>
        <w:t>Plan d’urgence de prévention et de lutte contre la dengue dans les communes prioritaires, 2005;</w:t>
      </w:r>
    </w:p>
    <w:p w:rsidR="00000000" w:rsidRDefault="00000000">
      <w:pPr>
        <w:spacing w:after="240"/>
        <w:ind w:left="567"/>
      </w:pPr>
      <w:r>
        <w:t>−</w:t>
      </w:r>
      <w:r>
        <w:tab/>
        <w:t>Plan de surveillance et de lutte contre la dengue, 2005;</w:t>
      </w:r>
    </w:p>
    <w:p w:rsidR="00000000" w:rsidRDefault="00000000">
      <w:pPr>
        <w:spacing w:after="240"/>
        <w:ind w:left="567"/>
      </w:pPr>
      <w:r>
        <w:t>−</w:t>
      </w:r>
      <w:r>
        <w:tab/>
        <w:t>Manuel de règles pour la prévention, la surveillance et l’éradication de la rage, 2001;</w:t>
      </w:r>
    </w:p>
    <w:p w:rsidR="00000000" w:rsidRDefault="00000000">
      <w:pPr>
        <w:spacing w:after="240"/>
        <w:ind w:left="1134" w:hanging="567"/>
      </w:pPr>
      <w:r>
        <w:t>−</w:t>
      </w:r>
      <w:r>
        <w:tab/>
        <w:t>Plan quinquennal 2004</w:t>
      </w:r>
      <w:r>
        <w:noBreakHyphen/>
        <w:t>2008 − Programme national de lutte contre la rage intitulé «Communes exemptes de rage».</w:t>
      </w:r>
    </w:p>
    <w:p w:rsidR="00000000" w:rsidRDefault="00000000">
      <w:pPr>
        <w:keepNext/>
        <w:spacing w:after="240"/>
        <w:rPr>
          <w:b/>
          <w:bCs/>
        </w:rPr>
      </w:pPr>
      <w:r>
        <w:rPr>
          <w:b/>
          <w:bCs/>
        </w:rPr>
        <w:t>Programme IST/VIH/sida</w:t>
      </w:r>
    </w:p>
    <w:p w:rsidR="00000000" w:rsidRDefault="00000000">
      <w:pPr>
        <w:keepNext/>
        <w:spacing w:after="240"/>
        <w:ind w:left="567"/>
        <w:rPr>
          <w:b/>
          <w:bCs/>
        </w:rPr>
      </w:pPr>
      <w:r>
        <w:rPr>
          <w:b/>
          <w:bCs/>
        </w:rPr>
        <w:t>Historique</w:t>
      </w:r>
    </w:p>
    <w:p w:rsidR="00000000" w:rsidRDefault="00000000">
      <w:pPr>
        <w:spacing w:after="240"/>
      </w:pPr>
      <w:r>
        <w:t>161.</w:t>
      </w:r>
      <w:r>
        <w:tab/>
        <w:t xml:space="preserve">Le programme national IST/VIH/sida vise la prévention, la lutte et la surveillance épidémiologique auprès des groupes de population ayant des comportements à risque. Ces groupes comprennent les personnes qui se livrent à une activité sexuelle commerciale, comme les prostituées, et les homosexuels. Le programme prévoit aussi des mesures destinées à l’ensemble de la population, par exemple des consultations, des examens de laboratoire et des services consultatifs qui sont dispensés et pratiqués dans les centres de santé de premier et deuxième niveaux, activité qui est considérée comme une stratégie d’extension de la couverture. </w:t>
      </w:r>
    </w:p>
    <w:p w:rsidR="00000000" w:rsidRDefault="00000000">
      <w:pPr>
        <w:keepNext/>
        <w:spacing w:after="240"/>
        <w:ind w:left="567"/>
        <w:rPr>
          <w:b/>
          <w:bCs/>
        </w:rPr>
      </w:pPr>
      <w:r>
        <w:rPr>
          <w:b/>
          <w:bCs/>
        </w:rPr>
        <w:t>Réalisations</w:t>
      </w:r>
    </w:p>
    <w:p w:rsidR="00000000" w:rsidRDefault="00000000">
      <w:pPr>
        <w:spacing w:after="240"/>
      </w:pPr>
      <w:r>
        <w:t>162.</w:t>
      </w:r>
      <w:r>
        <w:tab/>
        <w:t>Cette action bénéficie d’un programme stratégique 2004</w:t>
      </w:r>
      <w:r>
        <w:noBreakHyphen/>
        <w:t>2008 qui est financé avec des ressources du Fonds mondial et exécuté par d’autres institutions de coopération extérieure.</w:t>
      </w:r>
    </w:p>
    <w:p w:rsidR="00000000" w:rsidRDefault="00000000">
      <w:pPr>
        <w:keepNext/>
        <w:spacing w:after="240"/>
        <w:ind w:left="567"/>
        <w:rPr>
          <w:b/>
          <w:bCs/>
        </w:rPr>
      </w:pPr>
      <w:r>
        <w:rPr>
          <w:b/>
          <w:bCs/>
        </w:rPr>
        <w:t>Résultats</w:t>
      </w:r>
    </w:p>
    <w:p w:rsidR="00000000" w:rsidRDefault="00000000">
      <w:pPr>
        <w:spacing w:after="240"/>
        <w:ind w:left="1134" w:hanging="567"/>
      </w:pPr>
      <w:r>
        <w:t>−</w:t>
      </w:r>
      <w:r>
        <w:tab/>
        <w:t>Des instruments et des normes ont été élaborés concernant les soins dans les centres de santé, en vue de former le personnel de la santé;</w:t>
      </w:r>
    </w:p>
    <w:p w:rsidR="00000000" w:rsidRDefault="00000000">
      <w:pPr>
        <w:spacing w:after="240"/>
        <w:ind w:left="567"/>
      </w:pPr>
      <w:r>
        <w:t>−</w:t>
      </w:r>
      <w:r>
        <w:tab/>
        <w:t>Guides de soins à l’intention des patients, à des fins éducatives;</w:t>
      </w:r>
    </w:p>
    <w:p w:rsidR="00000000" w:rsidRDefault="00000000">
      <w:pPr>
        <w:spacing w:after="240"/>
        <w:ind w:left="567"/>
      </w:pPr>
      <w:r>
        <w:t>−</w:t>
      </w:r>
      <w:r>
        <w:tab/>
        <w:t>Guides à l’intention de l’ensemble de la population, à des fins d’information;</w:t>
      </w:r>
    </w:p>
    <w:p w:rsidR="00000000" w:rsidRDefault="00000000">
      <w:pPr>
        <w:spacing w:after="240"/>
        <w:ind w:left="567"/>
      </w:pPr>
      <w:r>
        <w:t>−</w:t>
      </w:r>
      <w:r>
        <w:tab/>
        <w:t>Réalisation d’enquêtes concernant la connaissance du VIH/sida;</w:t>
      </w:r>
    </w:p>
    <w:p w:rsidR="00000000" w:rsidRDefault="00000000">
      <w:pPr>
        <w:spacing w:after="240"/>
        <w:ind w:left="1134" w:hanging="567"/>
      </w:pPr>
      <w:r>
        <w:t>−</w:t>
      </w:r>
      <w:r>
        <w:tab/>
        <w:t>Études sur les connaissances, les comportements et les perceptions concernant les adolescents et les jeunes.</w:t>
      </w:r>
    </w:p>
    <w:p w:rsidR="00000000" w:rsidRDefault="00000000">
      <w:pPr>
        <w:keepNext/>
        <w:spacing w:after="240"/>
        <w:ind w:left="567"/>
        <w:rPr>
          <w:b/>
          <w:bCs/>
        </w:rPr>
      </w:pPr>
      <w:r>
        <w:rPr>
          <w:b/>
          <w:bCs/>
        </w:rPr>
        <w:t>Principales réalisations</w:t>
      </w:r>
    </w:p>
    <w:p w:rsidR="00000000" w:rsidRDefault="00000000">
      <w:pPr>
        <w:spacing w:after="240"/>
        <w:ind w:left="1134" w:hanging="567"/>
      </w:pPr>
      <w:r>
        <w:t>−</w:t>
      </w:r>
      <w:r>
        <w:tab/>
        <w:t>On compte 400 traitements de trithérapie antirétrovirale destinés aux personnes atteintes du VIH/sida, les médicaments ayant été donnés par la République du Brésil à partir de 2003;</w:t>
      </w:r>
    </w:p>
    <w:p w:rsidR="00000000" w:rsidRDefault="00000000">
      <w:pPr>
        <w:spacing w:after="240"/>
        <w:ind w:left="1134" w:hanging="567"/>
      </w:pPr>
      <w:r>
        <w:t>−</w:t>
      </w:r>
      <w:r>
        <w:tab/>
        <w:t>Approbation de la proposition concernant le VIH/sida par le Fonds mondial, pour un montant de 16 millions de dollars pour cinq ans;</w:t>
      </w:r>
    </w:p>
    <w:p w:rsidR="00000000" w:rsidRDefault="00000000">
      <w:pPr>
        <w:spacing w:after="240"/>
        <w:ind w:left="1134" w:hanging="567"/>
      </w:pPr>
      <w:r>
        <w:t>−</w:t>
      </w:r>
      <w:r>
        <w:tab/>
        <w:t>Mise en place de sept centres sentinelles dans différents groupes de la population, afin de connaître l’évolution du VIH/sida en Bolivie.</w:t>
      </w:r>
    </w:p>
    <w:p w:rsidR="00000000" w:rsidRDefault="00000000">
      <w:pPr>
        <w:spacing w:after="240"/>
      </w:pPr>
      <w:r>
        <w:t>163.</w:t>
      </w:r>
      <w:r>
        <w:tab/>
        <w:t>Il importe de souligner que le Ministère de la santé et des sports a élaboré la documentation suivante:</w:t>
      </w:r>
    </w:p>
    <w:p w:rsidR="00000000" w:rsidRDefault="00000000">
      <w:pPr>
        <w:numPr>
          <w:ilvl w:val="0"/>
          <w:numId w:val="94"/>
        </w:numPr>
        <w:spacing w:after="240"/>
      </w:pPr>
      <w:r>
        <w:t>Guide de traitement du syndrome de l’infection sexuellement transmissible, 2001;</w:t>
      </w:r>
    </w:p>
    <w:p w:rsidR="00000000" w:rsidRDefault="00000000">
      <w:pPr>
        <w:numPr>
          <w:ilvl w:val="0"/>
          <w:numId w:val="94"/>
        </w:numPr>
        <w:spacing w:after="240"/>
      </w:pPr>
      <w:r>
        <w:t>Règles de sécurité biologique pour le personnel de la santé, 2002;</w:t>
      </w:r>
    </w:p>
    <w:p w:rsidR="00000000" w:rsidRDefault="00000000">
      <w:pPr>
        <w:spacing w:after="240"/>
        <w:ind w:left="1134" w:hanging="567"/>
      </w:pPr>
      <w:r>
        <w:t>−</w:t>
      </w:r>
      <w:r>
        <w:tab/>
        <w:t xml:space="preserve">Résolution ministérielle </w:t>
      </w:r>
      <w:r>
        <w:rPr>
          <w:rFonts w:eastAsia="MS Mincho"/>
        </w:rPr>
        <w:t>n</w:t>
      </w:r>
      <w:r>
        <w:rPr>
          <w:rFonts w:eastAsia="MS Mincho"/>
          <w:vertAlign w:val="superscript"/>
        </w:rPr>
        <w:t>o</w:t>
      </w:r>
      <w:r>
        <w:t> 0711 relative à la prévention et à la surveillance du VIH/sida en Bolivie, 2002;</w:t>
      </w:r>
    </w:p>
    <w:p w:rsidR="00000000" w:rsidRDefault="00000000">
      <w:pPr>
        <w:spacing w:after="240"/>
        <w:ind w:left="1134" w:hanging="567"/>
      </w:pPr>
      <w:r>
        <w:t>−</w:t>
      </w:r>
      <w:r>
        <w:tab/>
        <w:t>Manuel d’orientation pour le dépistage volontaire du VIH;</w:t>
      </w:r>
    </w:p>
    <w:p w:rsidR="00000000" w:rsidRDefault="00000000">
      <w:pPr>
        <w:spacing w:after="240"/>
        <w:ind w:left="1134" w:hanging="567"/>
      </w:pPr>
      <w:r>
        <w:t>−</w:t>
      </w:r>
      <w:r>
        <w:tab/>
        <w:t>Connaissance de la sexualité des hommes et des femmes dans les associations de jeunes d’El Alto, niveau d’information et comportements à l’égard des IST, du VIH et du sida;</w:t>
      </w:r>
    </w:p>
    <w:p w:rsidR="00000000" w:rsidRDefault="00000000">
      <w:pPr>
        <w:spacing w:after="240"/>
        <w:ind w:left="1134" w:hanging="567"/>
      </w:pPr>
      <w:r>
        <w:t>−</w:t>
      </w:r>
      <w:r>
        <w:tab/>
        <w:t>Bulletin semestriel sida, 5 juillet 2004;</w:t>
      </w:r>
    </w:p>
    <w:p w:rsidR="00000000" w:rsidRDefault="00000000">
      <w:pPr>
        <w:spacing w:after="240"/>
        <w:ind w:left="1134" w:hanging="567"/>
      </w:pPr>
      <w:r>
        <w:t>−</w:t>
      </w:r>
      <w:r>
        <w:tab/>
        <w:t>Bibliographie relative au VIH/sida en Bolivie, 1985</w:t>
      </w:r>
      <w:r>
        <w:noBreakHyphen/>
        <w:t>2000;</w:t>
      </w:r>
    </w:p>
    <w:p w:rsidR="00000000" w:rsidRDefault="00000000">
      <w:pPr>
        <w:spacing w:after="240"/>
        <w:ind w:left="1134" w:hanging="567"/>
      </w:pPr>
      <w:r>
        <w:t>−</w:t>
      </w:r>
      <w:r>
        <w:tab/>
        <w:t>Guide de gestion des projets, 2003;</w:t>
      </w:r>
    </w:p>
    <w:p w:rsidR="00000000" w:rsidRDefault="00000000">
      <w:pPr>
        <w:spacing w:after="240"/>
        <w:ind w:left="1134" w:hanging="567"/>
      </w:pPr>
      <w:r>
        <w:t>−</w:t>
      </w:r>
      <w:r>
        <w:tab/>
        <w:t>Guide pour l’élaboration de protocoles destinés à la surveillance sentinelle du VIH, 2003;</w:t>
      </w:r>
    </w:p>
    <w:p w:rsidR="00000000" w:rsidRDefault="00000000">
      <w:pPr>
        <w:spacing w:after="240"/>
        <w:ind w:left="1134" w:hanging="567"/>
      </w:pPr>
      <w:r>
        <w:t>−</w:t>
      </w:r>
      <w:r>
        <w:tab/>
        <w:t>Guide pour l’élaboration de protocoles de surveillance des comportements à l’égard du VIH/sida et des IST, 2003;</w:t>
      </w:r>
    </w:p>
    <w:p w:rsidR="00000000" w:rsidRDefault="00000000">
      <w:pPr>
        <w:spacing w:after="240"/>
        <w:ind w:left="1134" w:hanging="567"/>
      </w:pPr>
      <w:r>
        <w:t>−</w:t>
      </w:r>
      <w:r>
        <w:tab/>
        <w:t>Guide de surveillance de deuxième génération du VIH/sida et des IST, 2003;</w:t>
      </w:r>
    </w:p>
    <w:p w:rsidR="00000000" w:rsidRDefault="00000000">
      <w:pPr>
        <w:spacing w:after="240"/>
        <w:ind w:left="1134" w:hanging="567"/>
      </w:pPr>
      <w:r>
        <w:t>−</w:t>
      </w:r>
      <w:r>
        <w:tab/>
        <w:t>Atelier de formation à la surveillance sentinelle du VIH, 2003;</w:t>
      </w:r>
    </w:p>
    <w:p w:rsidR="00000000" w:rsidRDefault="00000000">
      <w:pPr>
        <w:spacing w:after="240"/>
        <w:ind w:left="1134" w:hanging="567"/>
      </w:pPr>
      <w:r>
        <w:t>−</w:t>
      </w:r>
      <w:r>
        <w:tab/>
        <w:t>Formulaires (31) pour le traitement du VIH/sida;</w:t>
      </w:r>
    </w:p>
    <w:p w:rsidR="00000000" w:rsidRDefault="00000000">
      <w:pPr>
        <w:spacing w:after="240"/>
        <w:ind w:left="1134" w:hanging="567"/>
      </w:pPr>
      <w:r>
        <w:t>−</w:t>
      </w:r>
      <w:r>
        <w:tab/>
        <w:t>Guide de traitement clinique de l’infection par le VIH chez l’enfant, 2005;</w:t>
      </w:r>
    </w:p>
    <w:p w:rsidR="00000000" w:rsidRDefault="00000000">
      <w:pPr>
        <w:spacing w:after="240"/>
        <w:ind w:left="1134" w:hanging="567"/>
      </w:pPr>
      <w:r>
        <w:t>−</w:t>
      </w:r>
      <w:r>
        <w:tab/>
        <w:t>Plan stratégique de prévention et de lutte concernant les IST et le VIH/sida, 2004</w:t>
      </w:r>
      <w:r>
        <w:noBreakHyphen/>
        <w:t>2008;</w:t>
      </w:r>
    </w:p>
    <w:p w:rsidR="00000000" w:rsidRDefault="00000000">
      <w:pPr>
        <w:spacing w:after="240"/>
        <w:ind w:left="1134" w:hanging="567"/>
      </w:pPr>
      <w:r>
        <w:t>−</w:t>
      </w:r>
      <w:r>
        <w:tab/>
        <w:t>Recommandations pour la prophylaxie de la transmission verticale du VIH et la thérapie antirétrovirale chez la femme enceinte, 2005.</w:t>
      </w:r>
    </w:p>
    <w:p w:rsidR="00000000" w:rsidRDefault="00000000">
      <w:pPr>
        <w:keepNext/>
        <w:spacing w:after="240"/>
        <w:rPr>
          <w:b/>
          <w:bCs/>
        </w:rPr>
      </w:pPr>
      <w:r>
        <w:rPr>
          <w:b/>
          <w:bCs/>
        </w:rPr>
        <w:t>Programme élargi de vaccination (PEV) (annexe 2)</w:t>
      </w:r>
    </w:p>
    <w:p w:rsidR="00000000" w:rsidRDefault="00000000">
      <w:pPr>
        <w:spacing w:after="240"/>
      </w:pPr>
      <w:r>
        <w:t>164.</w:t>
      </w:r>
      <w:r>
        <w:tab/>
        <w:t>Le PEV en Bolivie a été organisé en octobre 1979 et l’on a élaboré diverses stratégies pour parvenir à la vaccination universelle de la population enfantine.</w:t>
      </w:r>
    </w:p>
    <w:p w:rsidR="00000000" w:rsidRDefault="00000000">
      <w:pPr>
        <w:spacing w:after="240"/>
      </w:pPr>
      <w:r>
        <w:t>165.</w:t>
      </w:r>
      <w:r>
        <w:tab/>
        <w:t>Jusqu’en 1999, le protocole national comprenait quatre vaccinations destinées à prévenir six maladies chez l’enfant et une vaccination pour les femmes en âge de procréer. À partir de juillet 2000, le nombre de vaccinations a été maintenu mais on a porté à 12 le nombre de maladies à prévenir, et l’on a ajouté le vaccin contre la fièvre jaune pour l’ensemble de la population.</w:t>
      </w:r>
    </w:p>
    <w:p w:rsidR="00000000" w:rsidRDefault="00000000">
      <w:pPr>
        <w:spacing w:after="240"/>
      </w:pPr>
      <w:r>
        <w:t>166.</w:t>
      </w:r>
      <w:r>
        <w:tab/>
        <w:t>La Bolivie a promis dans diverses instances internationales de participer à l’éradication de la rougeole, à l’action permanente d’éradication de la transmission endémique de la poliomyélite, à l’élimination virtuelle du tétanos du nouveau</w:t>
      </w:r>
      <w:r>
        <w:noBreakHyphen/>
        <w:t>né et à la lutte contre les autres maladies à prévention vaccinale.</w:t>
      </w:r>
    </w:p>
    <w:p w:rsidR="00000000" w:rsidRDefault="00000000">
      <w:pPr>
        <w:keepNext/>
        <w:spacing w:after="240"/>
        <w:ind w:left="567"/>
        <w:rPr>
          <w:b/>
          <w:bCs/>
        </w:rPr>
      </w:pPr>
      <w:r>
        <w:rPr>
          <w:b/>
          <w:bCs/>
        </w:rPr>
        <w:t>Historique</w:t>
      </w:r>
    </w:p>
    <w:p w:rsidR="00000000" w:rsidRDefault="00000000">
      <w:pPr>
        <w:spacing w:after="240"/>
      </w:pPr>
      <w:r>
        <w:t>167.</w:t>
      </w:r>
      <w:r>
        <w:tab/>
        <w:t>L’analyse de la situation du programme élargi de vaccination permet de constater des succès très importants: absence de cas de rougeole depuis octobre 2000, aucun cas de poliomyélite depuis dix</w:t>
      </w:r>
      <w:r>
        <w:noBreakHyphen/>
        <w:t>neuf ans, diminution de l’incidence de la fièvre jaune, de la diphtérie et du tétanos du nouveau</w:t>
      </w:r>
      <w:r>
        <w:noBreakHyphen/>
        <w:t>né; ces résultats ont été vérifiés par des contrôles rapides de la couverture vaccinale réalisés sur le plan local et par le dépistage actif des cas suspects.</w:t>
      </w:r>
    </w:p>
    <w:p w:rsidR="00000000" w:rsidRDefault="00000000">
      <w:pPr>
        <w:spacing w:after="240"/>
      </w:pPr>
      <w:r>
        <w:t>168.</w:t>
      </w:r>
      <w:r>
        <w:tab/>
        <w:t xml:space="preserve">La couverture réalisée dans l’administration des différentes vaccinations du programme depuis cinq ans donne des résultats croissants et positifs; le pays a fait aussi un grand progrès dans la surveillance épidémiologique des différentes maladies à prévention vaccinale. </w:t>
      </w:r>
    </w:p>
    <w:p w:rsidR="00000000" w:rsidRDefault="00000000">
      <w:pPr>
        <w:spacing w:after="240"/>
      </w:pPr>
      <w:r>
        <w:t>169.</w:t>
      </w:r>
      <w:r>
        <w:tab/>
        <w:t>Par ailleurs, l’élaboration et la mise en œuvre de différents instruments techniques de surveillance et d’évaluation, outre qu’ils ont renforcé la capacité technique du personnel des services de santé, ont entraîné une amélioration progressive de la qualité des différentes mesures inscrites au programme.</w:t>
      </w:r>
    </w:p>
    <w:p w:rsidR="00000000" w:rsidRDefault="00000000">
      <w:pPr>
        <w:spacing w:after="240"/>
      </w:pPr>
      <w:r>
        <w:t>170.</w:t>
      </w:r>
      <w:r>
        <w:tab/>
        <w:t xml:space="preserve">Néanmoins, conscient de certaines carences qui ont été décelées, telles que l’absence de garantie de disposer de ressources pour l’acquisition de vaccins et de seringues, les problèmes de qualité de l’information sur les doses administrées et d’autres problèmes liés à l’équité de la couverture vaccinale, le PEV s’est fixé pour le prochain quinquennat de nouveaux défis qui seront abordés dans ses différentes étapes. Le présent rapport résume certaines interventions considérées comme stratégiques et qui figurent dans le plan annuel d’exécution du programme de l’exercice 2005, ainsi que le budget approuvé, avec ses différentes sources de financement et les résultats escomptés. </w:t>
      </w:r>
    </w:p>
    <w:p w:rsidR="00000000" w:rsidRDefault="00000000">
      <w:pPr>
        <w:keepNext/>
        <w:spacing w:after="240"/>
        <w:ind w:left="567"/>
        <w:rPr>
          <w:b/>
          <w:bCs/>
        </w:rPr>
      </w:pPr>
      <w:r>
        <w:rPr>
          <w:b/>
          <w:bCs/>
        </w:rPr>
        <w:t>Objectif</w:t>
      </w:r>
    </w:p>
    <w:p w:rsidR="00000000" w:rsidRDefault="00000000">
      <w:pPr>
        <w:keepNext/>
        <w:spacing w:after="240"/>
      </w:pPr>
      <w:r>
        <w:t>171.</w:t>
      </w:r>
      <w:r>
        <w:tab/>
        <w:t>Abaisser le risque de tomber malade et de mourir à la suite de maladies à prévention vaccinale, grâce à la vaccination universelle et à la surveillance épidémiologique.</w:t>
      </w:r>
    </w:p>
    <w:p w:rsidR="00000000" w:rsidRDefault="00000000">
      <w:pPr>
        <w:keepNext/>
        <w:pageBreakBefore/>
        <w:spacing w:after="240"/>
        <w:ind w:left="567"/>
        <w:rPr>
          <w:b/>
          <w:bCs/>
        </w:rPr>
      </w:pPr>
      <w:r>
        <w:rPr>
          <w:b/>
          <w:bCs/>
        </w:rPr>
        <w:t>Processus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30"/>
        <w:gridCol w:w="4267"/>
      </w:tblGrid>
      <w:tr w:rsidR="00000000">
        <w:tblPrEx>
          <w:tblCellMar>
            <w:top w:w="0" w:type="dxa"/>
            <w:bottom w:w="0" w:type="dxa"/>
          </w:tblCellMar>
        </w:tblPrEx>
        <w:tc>
          <w:tcPr>
            <w:tcW w:w="5230" w:type="dxa"/>
          </w:tcPr>
          <w:p w:rsidR="00000000" w:rsidRDefault="00000000">
            <w:pPr>
              <w:spacing w:before="120" w:after="120"/>
              <w:jc w:val="center"/>
              <w:rPr>
                <w:sz w:val="22"/>
              </w:rPr>
            </w:pPr>
            <w:r>
              <w:rPr>
                <w:sz w:val="22"/>
              </w:rPr>
              <w:t>Réalisations</w:t>
            </w:r>
          </w:p>
        </w:tc>
        <w:tc>
          <w:tcPr>
            <w:tcW w:w="4267" w:type="dxa"/>
          </w:tcPr>
          <w:p w:rsidR="00000000" w:rsidRDefault="00000000">
            <w:pPr>
              <w:spacing w:before="120" w:after="120"/>
              <w:jc w:val="center"/>
              <w:rPr>
                <w:sz w:val="22"/>
              </w:rPr>
            </w:pPr>
            <w:r>
              <w:rPr>
                <w:sz w:val="22"/>
              </w:rPr>
              <w:t>Résultats escomptés</w:t>
            </w:r>
          </w:p>
        </w:tc>
      </w:tr>
      <w:tr w:rsidR="00000000">
        <w:tblPrEx>
          <w:tblCellMar>
            <w:top w:w="0" w:type="dxa"/>
            <w:bottom w:w="0" w:type="dxa"/>
          </w:tblCellMar>
        </w:tblPrEx>
        <w:tc>
          <w:tcPr>
            <w:tcW w:w="5230" w:type="dxa"/>
          </w:tcPr>
          <w:p w:rsidR="00000000" w:rsidRDefault="00000000">
            <w:pPr>
              <w:spacing w:before="120" w:after="120"/>
              <w:ind w:left="567" w:hanging="567"/>
              <w:rPr>
                <w:b/>
                <w:bCs/>
                <w:sz w:val="22"/>
              </w:rPr>
            </w:pPr>
            <w:r>
              <w:rPr>
                <w:b/>
                <w:bCs/>
                <w:sz w:val="22"/>
              </w:rPr>
              <w:t>1.</w:t>
            </w:r>
            <w:r>
              <w:rPr>
                <w:b/>
                <w:bCs/>
                <w:sz w:val="22"/>
              </w:rPr>
              <w:tab/>
              <w:t>Mise en place du système de logistique du PEV dans six départements</w:t>
            </w:r>
          </w:p>
          <w:p w:rsidR="00000000" w:rsidRDefault="00000000">
            <w:pPr>
              <w:spacing w:before="120" w:after="120"/>
              <w:ind w:firstLine="567"/>
              <w:rPr>
                <w:sz w:val="22"/>
              </w:rPr>
            </w:pPr>
            <w:r>
              <w:rPr>
                <w:sz w:val="22"/>
              </w:rPr>
              <w:t>La mise en place de ce système à l’échelle nationale permettra de recueillir l’information nécessaire et périodiquement mise à jour sur le mouvement logistique des agents biologiques et des fournitures, ainsi que sur la situation réelle de la chaîne du froid.</w:t>
            </w:r>
          </w:p>
        </w:tc>
        <w:tc>
          <w:tcPr>
            <w:tcW w:w="4267" w:type="dxa"/>
          </w:tcPr>
          <w:p w:rsidR="00000000" w:rsidRDefault="00000000">
            <w:pPr>
              <w:spacing w:before="120" w:after="120"/>
              <w:ind w:firstLine="567"/>
              <w:rPr>
                <w:sz w:val="22"/>
              </w:rPr>
            </w:pPr>
            <w:r>
              <w:rPr>
                <w:sz w:val="22"/>
              </w:rPr>
              <w:t>On est parvenu à renforcer la capacité logistique de stockage, de distribution, de suivi et de contrôle des différents agents biologiques et des fournitures du programme ainsi que des différents éléments actifs de la chaîne du froid, à l’échelle nationale et locale.</w:t>
            </w:r>
          </w:p>
        </w:tc>
      </w:tr>
      <w:tr w:rsidR="00000000">
        <w:tblPrEx>
          <w:tblCellMar>
            <w:top w:w="0" w:type="dxa"/>
            <w:bottom w:w="0" w:type="dxa"/>
          </w:tblCellMar>
        </w:tblPrEx>
        <w:tc>
          <w:tcPr>
            <w:tcW w:w="5230" w:type="dxa"/>
          </w:tcPr>
          <w:p w:rsidR="00000000" w:rsidRDefault="00000000">
            <w:pPr>
              <w:spacing w:before="120" w:after="120"/>
              <w:ind w:left="567" w:hanging="567"/>
              <w:rPr>
                <w:b/>
                <w:bCs/>
                <w:sz w:val="22"/>
              </w:rPr>
            </w:pPr>
            <w:r>
              <w:rPr>
                <w:b/>
                <w:bCs/>
                <w:sz w:val="22"/>
              </w:rPr>
              <w:t>2.</w:t>
            </w:r>
            <w:r>
              <w:rPr>
                <w:b/>
                <w:bCs/>
                <w:sz w:val="22"/>
              </w:rPr>
              <w:tab/>
              <w:t>Renforcement de la chaîne du froid par la construction d’entrepôts à l’échelle nationale et départementale</w:t>
            </w:r>
          </w:p>
          <w:p w:rsidR="00000000" w:rsidRDefault="00000000">
            <w:pPr>
              <w:spacing w:before="120" w:after="120"/>
              <w:ind w:firstLine="567"/>
              <w:rPr>
                <w:sz w:val="22"/>
              </w:rPr>
            </w:pPr>
            <w:r>
              <w:rPr>
                <w:sz w:val="22"/>
              </w:rPr>
              <w:t>En vue de renforcer le système de stockage de la chaîne du froid et de garantir la bonne conservation des agents biologiques du programme, des travaux de construction sont prévus pour la chaîne du froid à l’échelle nationale et les sept entrepôts départementaux (LP, Cbba, SCZ, Chuq, Or, Tarija; l’entrepôt de Beni est déjà en construction).</w:t>
            </w:r>
          </w:p>
        </w:tc>
        <w:tc>
          <w:tcPr>
            <w:tcW w:w="4267" w:type="dxa"/>
          </w:tcPr>
          <w:p w:rsidR="00000000" w:rsidRDefault="00000000">
            <w:pPr>
              <w:spacing w:before="120" w:after="120"/>
              <w:ind w:firstLine="567"/>
              <w:rPr>
                <w:sz w:val="22"/>
              </w:rPr>
            </w:pPr>
            <w:r>
              <w:rPr>
                <w:sz w:val="22"/>
              </w:rPr>
              <w:t>La capacité installée de la chaîne du froid a été améliorée à l’échelle nationale et départementale. Elle garantit le pouvoir immunologique des vaccins grâce à une conservation adéquate.</w:t>
            </w:r>
          </w:p>
        </w:tc>
      </w:tr>
      <w:tr w:rsidR="00000000">
        <w:tblPrEx>
          <w:tblCellMar>
            <w:top w:w="0" w:type="dxa"/>
            <w:bottom w:w="0" w:type="dxa"/>
          </w:tblCellMar>
        </w:tblPrEx>
        <w:tc>
          <w:tcPr>
            <w:tcW w:w="5230" w:type="dxa"/>
          </w:tcPr>
          <w:p w:rsidR="00000000" w:rsidRDefault="00000000">
            <w:pPr>
              <w:spacing w:before="120" w:after="120"/>
              <w:ind w:left="567" w:hanging="567"/>
              <w:rPr>
                <w:b/>
                <w:bCs/>
                <w:sz w:val="22"/>
              </w:rPr>
            </w:pPr>
            <w:r>
              <w:rPr>
                <w:b/>
                <w:bCs/>
                <w:sz w:val="22"/>
              </w:rPr>
              <w:t>3.</w:t>
            </w:r>
            <w:r>
              <w:rPr>
                <w:b/>
                <w:bCs/>
                <w:sz w:val="22"/>
              </w:rPr>
              <w:tab/>
              <w:t>Approbation de la loi sur la vaccination</w:t>
            </w:r>
          </w:p>
          <w:p w:rsidR="00000000" w:rsidRDefault="00000000">
            <w:pPr>
              <w:spacing w:before="120" w:after="120"/>
              <w:ind w:firstLine="567"/>
              <w:rPr>
                <w:sz w:val="22"/>
              </w:rPr>
            </w:pPr>
            <w:r>
              <w:rPr>
                <w:sz w:val="22"/>
              </w:rPr>
              <w:t>Cette loi permettra de renforcer les mécanismes étatiques de financement des agents biologiques du programme afin d’assurer la viabilité de celui</w:t>
            </w:r>
            <w:r>
              <w:rPr>
                <w:sz w:val="22"/>
              </w:rPr>
              <w:noBreakHyphen/>
              <w:t>ci. La loi est actuellement à l’examen au Congrès national.</w:t>
            </w:r>
          </w:p>
        </w:tc>
        <w:tc>
          <w:tcPr>
            <w:tcW w:w="4267" w:type="dxa"/>
          </w:tcPr>
          <w:p w:rsidR="00000000" w:rsidRDefault="00000000">
            <w:pPr>
              <w:spacing w:before="120" w:after="120"/>
              <w:ind w:firstLine="567"/>
              <w:rPr>
                <w:sz w:val="22"/>
              </w:rPr>
            </w:pPr>
            <w:r>
              <w:rPr>
                <w:sz w:val="22"/>
              </w:rPr>
              <w:t>Le paiement de la totalité des vaccins et des seringues destinés à la population visée par le programme est garanti.</w:t>
            </w:r>
          </w:p>
        </w:tc>
      </w:tr>
      <w:tr w:rsidR="00000000">
        <w:tblPrEx>
          <w:tblCellMar>
            <w:top w:w="0" w:type="dxa"/>
            <w:bottom w:w="0" w:type="dxa"/>
          </w:tblCellMar>
        </w:tblPrEx>
        <w:tc>
          <w:tcPr>
            <w:tcW w:w="5230" w:type="dxa"/>
          </w:tcPr>
          <w:p w:rsidR="00000000" w:rsidRDefault="00000000">
            <w:pPr>
              <w:spacing w:before="120" w:after="120"/>
              <w:ind w:left="567" w:hanging="567"/>
              <w:rPr>
                <w:b/>
                <w:bCs/>
                <w:sz w:val="22"/>
              </w:rPr>
            </w:pPr>
            <w:r>
              <w:rPr>
                <w:b/>
                <w:bCs/>
                <w:sz w:val="22"/>
              </w:rPr>
              <w:t>4.</w:t>
            </w:r>
            <w:r>
              <w:rPr>
                <w:b/>
                <w:bCs/>
                <w:sz w:val="22"/>
              </w:rPr>
              <w:tab/>
              <w:t>Reclassification des communes à risque chronique</w:t>
            </w:r>
          </w:p>
          <w:p w:rsidR="00000000" w:rsidRDefault="00000000">
            <w:pPr>
              <w:spacing w:before="120" w:after="120"/>
              <w:ind w:firstLine="567"/>
              <w:rPr>
                <w:sz w:val="22"/>
              </w:rPr>
            </w:pPr>
            <w:r>
              <w:rPr>
                <w:sz w:val="22"/>
              </w:rPr>
              <w:t>Étant donné que l’indicateur des «communes à risque» permet de mesurer l’équité, la justice sociale, l’homogénéité des couvertures vaccinales, il importe de surveiller comme indicateur les communes qui sont en situation de risque depuis plus de cinq ans.</w:t>
            </w:r>
          </w:p>
        </w:tc>
        <w:tc>
          <w:tcPr>
            <w:tcW w:w="4267" w:type="dxa"/>
          </w:tcPr>
          <w:p w:rsidR="00000000" w:rsidRDefault="00000000">
            <w:pPr>
              <w:spacing w:before="120" w:after="120"/>
              <w:ind w:firstLine="567"/>
              <w:rPr>
                <w:sz w:val="22"/>
              </w:rPr>
            </w:pPr>
            <w:r>
              <w:rPr>
                <w:sz w:val="22"/>
              </w:rPr>
              <w:t>On a identifié les communes à risque chronique, afin d’établir un ordre de priorité des interventions à l’échelon local.</w:t>
            </w:r>
          </w:p>
        </w:tc>
      </w:tr>
      <w:tr w:rsidR="00000000">
        <w:tblPrEx>
          <w:tblCellMar>
            <w:top w:w="0" w:type="dxa"/>
            <w:bottom w:w="0" w:type="dxa"/>
          </w:tblCellMar>
        </w:tblPrEx>
        <w:tc>
          <w:tcPr>
            <w:tcW w:w="5230" w:type="dxa"/>
          </w:tcPr>
          <w:p w:rsidR="00000000" w:rsidRDefault="00000000">
            <w:pPr>
              <w:spacing w:before="120" w:after="120"/>
              <w:ind w:left="567" w:hanging="567"/>
              <w:rPr>
                <w:b/>
                <w:bCs/>
                <w:sz w:val="22"/>
              </w:rPr>
            </w:pPr>
            <w:r>
              <w:rPr>
                <w:b/>
                <w:bCs/>
                <w:sz w:val="22"/>
              </w:rPr>
              <w:t>5.</w:t>
            </w:r>
            <w:r>
              <w:rPr>
                <w:b/>
                <w:bCs/>
                <w:sz w:val="22"/>
              </w:rPr>
              <w:tab/>
              <w:t>Formation aux systèmes de gestion de qualité ISO 9000: 2000 pour l’accréditation des centres de vaccination</w:t>
            </w:r>
          </w:p>
          <w:p w:rsidR="00000000" w:rsidRDefault="00000000">
            <w:pPr>
              <w:spacing w:before="120" w:after="120"/>
              <w:ind w:firstLine="567"/>
              <w:rPr>
                <w:b/>
                <w:bCs/>
                <w:sz w:val="22"/>
              </w:rPr>
            </w:pPr>
            <w:r>
              <w:rPr>
                <w:sz w:val="22"/>
              </w:rPr>
              <w:t>Dans le cadre de l’amélioration permanente de la qualité des services de vaccination et conformément à l’identification des besoins de la population et afin de satisfaire ces besoins, une formation est donnée à 38 personnes (épidémiologistes et responsables régionaux du PEV).</w:t>
            </w:r>
          </w:p>
        </w:tc>
        <w:tc>
          <w:tcPr>
            <w:tcW w:w="4267" w:type="dxa"/>
          </w:tcPr>
          <w:p w:rsidR="00000000" w:rsidRDefault="00000000">
            <w:pPr>
              <w:spacing w:before="120" w:after="120"/>
              <w:ind w:firstLine="567"/>
              <w:rPr>
                <w:sz w:val="22"/>
              </w:rPr>
            </w:pPr>
            <w:r>
              <w:rPr>
                <w:sz w:val="22"/>
              </w:rPr>
              <w:t>Renforcement de la qualité des services de vaccination et reconnaissance de cette qualité.</w:t>
            </w:r>
          </w:p>
        </w:tc>
      </w:tr>
    </w:tbl>
    <w:p w:rsidR="00000000" w:rsidRDefault="00000000">
      <w:pPr>
        <w:keepNext/>
        <w:spacing w:after="240"/>
        <w:jc w:val="center"/>
        <w:rPr>
          <w:b/>
          <w:bCs/>
        </w:rPr>
      </w:pPr>
      <w:r>
        <w:rPr>
          <w:b/>
          <w:bCs/>
        </w:rPr>
        <w:t>F.  Création de conditions propres à assurer à tous des soins</w:t>
      </w:r>
      <w:r>
        <w:rPr>
          <w:b/>
          <w:bCs/>
        </w:rPr>
        <w:br/>
        <w:t>et des services médicaux en cas de maladie</w:t>
      </w:r>
    </w:p>
    <w:p w:rsidR="00000000" w:rsidRDefault="00000000">
      <w:pPr>
        <w:keepNext/>
        <w:spacing w:after="240"/>
        <w:rPr>
          <w:b/>
          <w:bCs/>
        </w:rPr>
      </w:pPr>
      <w:r>
        <w:rPr>
          <w:b/>
          <w:bCs/>
        </w:rPr>
        <w:t>Historique</w:t>
      </w:r>
    </w:p>
    <w:p w:rsidR="00000000" w:rsidRDefault="00000000">
      <w:pPr>
        <w:keepNext/>
        <w:spacing w:after="240"/>
        <w:ind w:left="567"/>
        <w:rPr>
          <w:b/>
          <w:bCs/>
        </w:rPr>
      </w:pPr>
      <w:r>
        <w:rPr>
          <w:b/>
          <w:bCs/>
        </w:rPr>
        <w:t>Politique nationale de la santé, 2004</w:t>
      </w:r>
    </w:p>
    <w:p w:rsidR="00000000" w:rsidRDefault="00000000">
      <w:pPr>
        <w:spacing w:after="240"/>
      </w:pPr>
      <w:r>
        <w:t>172.</w:t>
      </w:r>
      <w:r>
        <w:tab/>
        <w:t>Cette action vise en priorité le couple mère</w:t>
      </w:r>
      <w:r>
        <w:noBreakHyphen/>
        <w:t>enfant, encore que l’objectif stratégique soit l’ensemble de la population et la totalité du cycle de vie de l’individu.</w:t>
      </w:r>
    </w:p>
    <w:p w:rsidR="00000000" w:rsidRDefault="00000000">
      <w:pPr>
        <w:spacing w:after="240"/>
      </w:pPr>
      <w:r>
        <w:t>173.</w:t>
      </w:r>
      <w:r>
        <w:tab/>
      </w:r>
      <w:r>
        <w:rPr>
          <w:b/>
          <w:bCs/>
        </w:rPr>
        <w:t>Objectif général:</w:t>
      </w:r>
      <w:r>
        <w:t xml:space="preserve"> «Assurer l’accès équitable, effectif et universel au Système unique national de santé, sans exclusion».</w:t>
      </w:r>
    </w:p>
    <w:p w:rsidR="00000000" w:rsidRDefault="00000000">
      <w:pPr>
        <w:spacing w:after="240"/>
        <w:rPr>
          <w:b/>
          <w:bCs/>
        </w:rPr>
      </w:pPr>
      <w:r>
        <w:t>174.</w:t>
      </w:r>
      <w:r>
        <w:tab/>
      </w:r>
      <w:r>
        <w:rPr>
          <w:b/>
          <w:bCs/>
        </w:rPr>
        <w:t>Principes de la politique de santé en Bolivie</w:t>
      </w:r>
    </w:p>
    <w:p w:rsidR="00000000" w:rsidRDefault="00000000">
      <w:pPr>
        <w:numPr>
          <w:ilvl w:val="0"/>
          <w:numId w:val="123"/>
        </w:numPr>
        <w:spacing w:after="240"/>
      </w:pPr>
      <w:r>
        <w:t>Universalité, pour protéger l’ensemble de la population, sans discrimination d’aucune sorte.</w:t>
      </w:r>
    </w:p>
    <w:p w:rsidR="00000000" w:rsidRDefault="00000000">
      <w:pPr>
        <w:numPr>
          <w:ilvl w:val="0"/>
          <w:numId w:val="123"/>
        </w:numPr>
        <w:spacing w:after="240"/>
      </w:pPr>
      <w:r>
        <w:t>Égalité de traitement entre les sexes et les générations, parce que les hommes et les femmes de tous âges ont droit à des soins de qualité.</w:t>
      </w:r>
    </w:p>
    <w:p w:rsidR="00000000" w:rsidRDefault="00000000">
      <w:pPr>
        <w:numPr>
          <w:ilvl w:val="0"/>
          <w:numId w:val="123"/>
        </w:numPr>
        <w:spacing w:after="240"/>
      </w:pPr>
      <w:r>
        <w:t>Humanisme, afin que dans tous les centres de santé les soins dispensés soient respectueux des us et coutumes inoffensifs de la population bolivienne.</w:t>
      </w:r>
    </w:p>
    <w:p w:rsidR="00000000" w:rsidRDefault="00000000">
      <w:pPr>
        <w:numPr>
          <w:ilvl w:val="0"/>
          <w:numId w:val="123"/>
        </w:numPr>
        <w:spacing w:after="240"/>
      </w:pPr>
      <w:r>
        <w:t>Solidarité, afin que ceux qui disposent de ressources supérieures contribuent à ce que les couches de population moins favorisées aient un meilleur accès aux services de santé.</w:t>
      </w:r>
    </w:p>
    <w:p w:rsidR="00000000" w:rsidRDefault="00000000">
      <w:pPr>
        <w:numPr>
          <w:ilvl w:val="0"/>
          <w:numId w:val="123"/>
        </w:numPr>
        <w:spacing w:after="240"/>
      </w:pPr>
      <w:r>
        <w:t>Transparence, afin que tous puissent accéder à une information technique et administrative pertinente, exacte et fiable sur les problèmes de santé et sur la manière dont les autorités s’attaquent au problème.</w:t>
      </w:r>
    </w:p>
    <w:p w:rsidR="00000000" w:rsidRDefault="00000000">
      <w:pPr>
        <w:spacing w:after="240"/>
      </w:pPr>
      <w:r>
        <w:t>175.</w:t>
      </w:r>
      <w:r>
        <w:tab/>
        <w:t>La politique de la santé en Bolivie reconnaît les attributions du Système unique national de santé, à savoir:</w:t>
      </w:r>
    </w:p>
    <w:p w:rsidR="00000000" w:rsidRDefault="00000000">
      <w:pPr>
        <w:spacing w:after="240"/>
        <w:ind w:left="1134" w:hanging="567"/>
      </w:pPr>
      <w:r>
        <w:t>1.</w:t>
      </w:r>
      <w:r>
        <w:tab/>
        <w:t>Promotion de la santé, par la participation communautaire et la mobilisation sociale, l’information, l’éducation et la réorientation des services de santé, afin de promouvoir des pratiques salutaires et de prévenir les maladies non transmissibles;</w:t>
      </w:r>
    </w:p>
    <w:p w:rsidR="00000000" w:rsidRDefault="00000000">
      <w:pPr>
        <w:spacing w:after="240"/>
        <w:ind w:left="1134" w:hanging="567"/>
      </w:pPr>
      <w:r>
        <w:t>2.</w:t>
      </w:r>
      <w:r>
        <w:tab/>
        <w:t>Prévention des risques, essentiellement dans les domaines de la santé environnementale et du programme élargi de vaccination;</w:t>
      </w:r>
    </w:p>
    <w:p w:rsidR="00000000" w:rsidRDefault="00000000">
      <w:pPr>
        <w:spacing w:after="240"/>
        <w:ind w:left="1134" w:hanging="567"/>
      </w:pPr>
      <w:r>
        <w:t>3.</w:t>
      </w:r>
      <w:r>
        <w:tab/>
        <w:t>Lutte contre les maladies regroupées sous le bouclier épidémiologique (paludisme, dengue, leishmaniose, rage, maladie de Chagas, tuberculose, sida) et celles qui compromettent la santé sexuelle et reproductive, la santé maternelle et infantile, car ce sont ces dernières qui montrent le degré de progrès ou de retard de la situation dans le pays et parce qu’elles sont clairement définies parmi les objectifs du Millénaire à atteindre;</w:t>
      </w:r>
    </w:p>
    <w:p w:rsidR="00000000" w:rsidRDefault="00000000">
      <w:pPr>
        <w:spacing w:after="240"/>
        <w:ind w:left="1134" w:hanging="567"/>
      </w:pPr>
      <w:r>
        <w:t>4.</w:t>
      </w:r>
      <w:r>
        <w:tab/>
        <w:t>Rééducation des personnes handicapées;</w:t>
      </w:r>
    </w:p>
    <w:p w:rsidR="00000000" w:rsidRDefault="00000000">
      <w:pPr>
        <w:spacing w:after="240"/>
        <w:ind w:left="1134" w:hanging="567"/>
      </w:pPr>
      <w:r>
        <w:t>5.</w:t>
      </w:r>
      <w:r>
        <w:tab/>
        <w:t>Renforcement de la tutelle de l’État:</w:t>
      </w:r>
    </w:p>
    <w:p w:rsidR="00000000" w:rsidRDefault="00000000">
      <w:pPr>
        <w:spacing w:after="240"/>
        <w:ind w:left="1701" w:hanging="567"/>
      </w:pPr>
      <w:r>
        <w:t>a)</w:t>
      </w:r>
      <w:r>
        <w:tab/>
        <w:t>Dans la gestion du Système unique national de santé, en vue de l’assurance universelle, de la séparation des fonctions dans la décentralisation et pour garantir que le système soit viable, effectif et efficace;</w:t>
      </w:r>
    </w:p>
    <w:p w:rsidR="00000000" w:rsidRDefault="00000000">
      <w:pPr>
        <w:spacing w:after="240"/>
        <w:ind w:left="1701" w:hanging="567"/>
      </w:pPr>
      <w:r>
        <w:t>b)</w:t>
      </w:r>
      <w:r>
        <w:tab/>
        <w:t>Dans la gestion intersectorielle, parce qu’il est indispensable d’unir les efforts pour atteindre les objectifs du Millénaire, auxquels s’est engagé tout l’État bolivien et pas uniquement le secteur de la santé, et aussi parce qu’il existe des expériences de travail intersectoriel réussies qui doivent être approfondies;</w:t>
      </w:r>
    </w:p>
    <w:p w:rsidR="00000000" w:rsidRDefault="00000000">
      <w:pPr>
        <w:spacing w:after="240"/>
        <w:ind w:left="1701" w:hanging="567"/>
      </w:pPr>
      <w:r>
        <w:t>c)</w:t>
      </w:r>
      <w:r>
        <w:tab/>
        <w:t>Dans la gestion internationale, parce que la Bolivie est partie à la mondialisation et aux processus d’intégration américains et qu’elle a besoin de normes qui réglementent les aspects sanitaires dans les traités commerciaux et les traités d’intégration régionale.</w:t>
      </w:r>
    </w:p>
    <w:p w:rsidR="00000000" w:rsidRDefault="00000000">
      <w:pPr>
        <w:keepNext/>
        <w:spacing w:after="240"/>
        <w:rPr>
          <w:b/>
          <w:bCs/>
        </w:rPr>
      </w:pPr>
      <w:r>
        <w:rPr>
          <w:b/>
          <w:bCs/>
        </w:rPr>
        <w:t>Réalisations</w:t>
      </w:r>
    </w:p>
    <w:p w:rsidR="00000000" w:rsidRDefault="00000000">
      <w:pPr>
        <w:spacing w:after="240"/>
      </w:pPr>
      <w:r>
        <w:t>176.</w:t>
      </w:r>
      <w:r>
        <w:tab/>
        <w:t>Politique nationale de santé, fondée sur le principe que la santé est un droit mais que c’est aussi la responsabilité de tous.</w:t>
      </w:r>
    </w:p>
    <w:p w:rsidR="00000000" w:rsidRDefault="00000000">
      <w:pPr>
        <w:keepNext/>
        <w:spacing w:after="240"/>
        <w:ind w:left="567"/>
        <w:rPr>
          <w:b/>
          <w:bCs/>
        </w:rPr>
      </w:pPr>
      <w:r>
        <w:rPr>
          <w:b/>
          <w:bCs/>
        </w:rPr>
        <w:t>Dialogue national sur la santé</w:t>
      </w:r>
    </w:p>
    <w:p w:rsidR="00000000" w:rsidRDefault="00000000">
      <w:pPr>
        <w:spacing w:after="240"/>
      </w:pPr>
      <w:r>
        <w:t>177.</w:t>
      </w:r>
      <w:r>
        <w:tab/>
        <w:t>Avec la participation des acteurs institutionnels des secteurs public et privé et de la société civile a été instauré le Dialogue national sur la santé, condition fondamentale pour promouvoir de nouvelles orientations et la redéfinition des pratiques sanitaires et pour élaborer un nouveau modèle de santé qui réponde aux besoins de la population bolivienne.</w:t>
      </w:r>
    </w:p>
    <w:p w:rsidR="00000000" w:rsidRDefault="00000000">
      <w:pPr>
        <w:spacing w:after="240"/>
      </w:pPr>
      <w:r>
        <w:t>178.</w:t>
      </w:r>
      <w:r>
        <w:tab/>
        <w:t>Le Dialogue avait pour but: 1) de réaffirmer l’orientation des objectifs stratégiques du Système national de santé vers la satisfaction de l’usager et la réalisation des objectifs du Millénaire; 2) de consolider un espace permanent de communication et de participation de la société civile à l’élaboration des politiques de santé; 3) de reconnaître la tutelle nécessaire de l’État pour garantir un Système national de santé de qualité, satisfaisant pour l’ensemble de la population et pour l’État bolivien, dans le contexte national et international; 4) de faire en sorte que les soins de santé primaires constituent l’axe du modèle national; 5) d’avancer en direction de la protection sociale en matière de santé et de l’universalisation; 6) d’arrêter d’un commun accord les grandes lignes d’une politique intégrale des ressources humaines; 7) de concevoir les grandes lignes d’une réforme de la sécurité à court terme; 8) de promouvoir la participation de la société civile à la gestion du système de santé.</w:t>
      </w:r>
    </w:p>
    <w:p w:rsidR="00000000" w:rsidRDefault="00000000">
      <w:pPr>
        <w:keepNext/>
        <w:spacing w:after="240"/>
        <w:ind w:left="567"/>
        <w:rPr>
          <w:b/>
          <w:bCs/>
        </w:rPr>
      </w:pPr>
      <w:r>
        <w:rPr>
          <w:b/>
          <w:bCs/>
        </w:rPr>
        <w:t>Bolivie et productivité</w:t>
      </w:r>
    </w:p>
    <w:p w:rsidR="00000000" w:rsidRDefault="00000000">
      <w:pPr>
        <w:spacing w:after="240"/>
      </w:pPr>
      <w:r>
        <w:t>179.</w:t>
      </w:r>
      <w:r>
        <w:tab/>
        <w:t>Le troisième Dialogue s’est ouvert en septembre 2003, à la suite de la constitution d’un directoire national réunissant les organisations de la société civile et le pouvoir exécutif, en vue d’en faire un processus participatif et sans exclusion.</w:t>
      </w:r>
    </w:p>
    <w:p w:rsidR="00000000" w:rsidRDefault="00000000">
      <w:pPr>
        <w:spacing w:after="240"/>
      </w:pPr>
      <w:r>
        <w:t>180.</w:t>
      </w:r>
      <w:r>
        <w:tab/>
        <w:t>Le dialogue a abouti à un consensus appelé Dialogue national sur la productivité en Bolivie. Ce dialogue a pour but de: «Concevoir et promouvoir une institutionnalisation productive, économique et sociale à caractère intégral qui oriente la politique de réduction de la pauvreté sur les plans municipal, départemental et national dans un esprit d’échange entre les cultures, d’équité et d’intégration sociale».</w:t>
      </w:r>
    </w:p>
    <w:p w:rsidR="00000000" w:rsidRDefault="00000000">
      <w:pPr>
        <w:spacing w:after="240"/>
      </w:pPr>
      <w:r>
        <w:t>181.</w:t>
      </w:r>
      <w:r>
        <w:tab/>
        <w:t>Le Dialogue s’est déroulé en quatre phases:</w:t>
      </w:r>
    </w:p>
    <w:p w:rsidR="00000000" w:rsidRDefault="00000000">
      <w:pPr>
        <w:spacing w:after="240"/>
        <w:ind w:firstLine="567"/>
      </w:pPr>
      <w:r>
        <w:t>a)</w:t>
      </w:r>
      <w:r>
        <w:tab/>
        <w:t>Phase préliminaire, première phase du Dialogue national, au cours de laquelle les organisations convoquent leur base pour construire leur stratégie de productivité intégrale à caractère autonome en fonction de leurs us et coutumes;</w:t>
      </w:r>
    </w:p>
    <w:p w:rsidR="00000000" w:rsidRDefault="00000000">
      <w:pPr>
        <w:spacing w:after="240"/>
        <w:ind w:firstLine="567"/>
      </w:pPr>
      <w:r>
        <w:t>b)</w:t>
      </w:r>
      <w:r>
        <w:tab/>
        <w:t>Dialogue municipal, deuxième phase du Dialogue national, qui s’est déroulé dans les 314 communes du pays et où ont été élaborées les stratégies de productivité intégrales municipales;</w:t>
      </w:r>
    </w:p>
    <w:p w:rsidR="00000000" w:rsidRDefault="00000000">
      <w:pPr>
        <w:spacing w:after="240"/>
        <w:ind w:firstLine="567"/>
      </w:pPr>
      <w:r>
        <w:t>c)</w:t>
      </w:r>
      <w:r>
        <w:tab/>
        <w:t>Dialogue départemental, troisième phase, menée dans les neuf départements; le Dialogue a débouché sur l’élaboration des stratégies de productivité intégrales départementales;</w:t>
      </w:r>
    </w:p>
    <w:p w:rsidR="00000000" w:rsidRDefault="00000000">
      <w:pPr>
        <w:spacing w:after="240"/>
        <w:ind w:firstLine="567"/>
      </w:pPr>
      <w:r>
        <w:t>d)</w:t>
      </w:r>
      <w:r>
        <w:tab/>
        <w:t>Dialogue national, phase finale à laquelle ont participé des représentants des départements et au cours de laquelle a été élaborée la Stratégie nationale.</w:t>
      </w:r>
    </w:p>
    <w:p w:rsidR="00000000" w:rsidRDefault="00000000">
      <w:pPr>
        <w:spacing w:after="240"/>
      </w:pPr>
      <w:r>
        <w:t>182.</w:t>
      </w:r>
      <w:r>
        <w:tab/>
        <w:t>La Stratégie de productivité intégrale (EPI) est un ensemble de mesures et de décisions à caractère participatif visant à renforcer les processus de production et à obtenir des résultats concrets</w:t>
      </w:r>
      <w:r>
        <w:rPr>
          <w:rStyle w:val="FootnoteReference"/>
        </w:rPr>
        <w:footnoteReference w:id="12"/>
      </w:r>
      <w:r>
        <w:t>.</w:t>
      </w:r>
    </w:p>
    <w:p w:rsidR="00000000" w:rsidRDefault="00000000">
      <w:pPr>
        <w:spacing w:after="240"/>
      </w:pPr>
      <w:r>
        <w:t>183.</w:t>
      </w:r>
      <w:r>
        <w:tab/>
        <w:t>Glossaire des termes de la santé.</w:t>
      </w:r>
    </w:p>
    <w:tbl>
      <w:tblPr>
        <w:tblW w:w="0" w:type="auto"/>
        <w:tblInd w:w="567" w:type="dxa"/>
        <w:tblCellMar>
          <w:left w:w="70" w:type="dxa"/>
          <w:right w:w="70" w:type="dxa"/>
        </w:tblCellMar>
        <w:tblLook w:val="0000" w:firstRow="0" w:lastRow="0" w:firstColumn="0" w:lastColumn="0" w:noHBand="0" w:noVBand="0"/>
      </w:tblPr>
      <w:tblGrid>
        <w:gridCol w:w="1789"/>
        <w:gridCol w:w="7140"/>
      </w:tblGrid>
      <w:tr w:rsidR="00000000">
        <w:tblPrEx>
          <w:tblCellMar>
            <w:top w:w="0" w:type="dxa"/>
            <w:bottom w:w="0" w:type="dxa"/>
          </w:tblCellMar>
        </w:tblPrEx>
        <w:tc>
          <w:tcPr>
            <w:tcW w:w="1789" w:type="dxa"/>
          </w:tcPr>
          <w:p w:rsidR="00000000" w:rsidRDefault="00000000">
            <w:pPr>
              <w:tabs>
                <w:tab w:val="left" w:pos="2040"/>
              </w:tabs>
              <w:rPr>
                <w:b/>
                <w:bCs/>
              </w:rPr>
            </w:pPr>
            <w:r>
              <w:rPr>
                <w:b/>
                <w:bCs/>
              </w:rPr>
              <w:t>INASES</w:t>
            </w:r>
          </w:p>
        </w:tc>
        <w:tc>
          <w:tcPr>
            <w:tcW w:w="7140" w:type="dxa"/>
          </w:tcPr>
          <w:p w:rsidR="00000000" w:rsidRDefault="00000000">
            <w:pPr>
              <w:tabs>
                <w:tab w:val="left" w:pos="2040"/>
              </w:tabs>
            </w:pPr>
            <w:r>
              <w:t>Institut national d’assurance maladie</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OIT</w:t>
            </w:r>
          </w:p>
        </w:tc>
        <w:tc>
          <w:tcPr>
            <w:tcW w:w="7140" w:type="dxa"/>
          </w:tcPr>
          <w:p w:rsidR="00000000" w:rsidRDefault="00000000">
            <w:pPr>
              <w:tabs>
                <w:tab w:val="left" w:pos="2040"/>
              </w:tabs>
            </w:pPr>
            <w:r>
              <w:t>Organisation internationale du Travail</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SUMI</w:t>
            </w:r>
          </w:p>
        </w:tc>
        <w:tc>
          <w:tcPr>
            <w:tcW w:w="7140" w:type="dxa"/>
          </w:tcPr>
          <w:p w:rsidR="00000000" w:rsidRDefault="00000000">
            <w:pPr>
              <w:tabs>
                <w:tab w:val="left" w:pos="2040"/>
              </w:tabs>
            </w:pPr>
            <w:r>
              <w:t>Assurance universelle maternelle et infantile</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SIAS</w:t>
            </w:r>
          </w:p>
        </w:tc>
        <w:tc>
          <w:tcPr>
            <w:tcW w:w="7140" w:type="dxa"/>
          </w:tcPr>
          <w:p w:rsidR="00000000" w:rsidRDefault="00000000">
            <w:pPr>
              <w:tabs>
                <w:tab w:val="left" w:pos="2040"/>
              </w:tabs>
            </w:pPr>
            <w:r>
              <w:t>Système d’information eau et assainissement</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SNIS</w:t>
            </w:r>
          </w:p>
        </w:tc>
        <w:tc>
          <w:tcPr>
            <w:tcW w:w="7140" w:type="dxa"/>
          </w:tcPr>
          <w:p w:rsidR="00000000" w:rsidRDefault="00000000">
            <w:pPr>
              <w:tabs>
                <w:tab w:val="left" w:pos="2040"/>
              </w:tabs>
            </w:pPr>
            <w:r>
              <w:t>Système national d’information sur la santé</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ENDSA</w:t>
            </w:r>
          </w:p>
        </w:tc>
        <w:tc>
          <w:tcPr>
            <w:tcW w:w="7140" w:type="dxa"/>
          </w:tcPr>
          <w:p w:rsidR="00000000" w:rsidRDefault="00000000">
            <w:pPr>
              <w:tabs>
                <w:tab w:val="left" w:pos="2040"/>
              </w:tabs>
            </w:pPr>
            <w:r>
              <w:t>Enquête nationale sur la démographie et la santé</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PGDES</w:t>
            </w:r>
          </w:p>
        </w:tc>
        <w:tc>
          <w:tcPr>
            <w:tcW w:w="7140" w:type="dxa"/>
          </w:tcPr>
          <w:p w:rsidR="00000000" w:rsidRDefault="00000000">
            <w:pPr>
              <w:tabs>
                <w:tab w:val="left" w:pos="2040"/>
              </w:tabs>
            </w:pPr>
            <w:r>
              <w:t>Plan général de développement économique et social</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ENDAR</w:t>
            </w:r>
          </w:p>
        </w:tc>
        <w:tc>
          <w:tcPr>
            <w:tcW w:w="7140" w:type="dxa"/>
          </w:tcPr>
          <w:p w:rsidR="00000000" w:rsidRDefault="00000000">
            <w:pPr>
              <w:tabs>
                <w:tab w:val="left" w:pos="2040"/>
              </w:tabs>
            </w:pPr>
            <w:r>
              <w:t>Stratégie nationale de développement agricole et rural</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AIPE</w:t>
            </w:r>
          </w:p>
        </w:tc>
        <w:tc>
          <w:tcPr>
            <w:tcW w:w="7140" w:type="dxa"/>
          </w:tcPr>
          <w:p w:rsidR="00000000" w:rsidRDefault="00000000">
            <w:pPr>
              <w:tabs>
                <w:tab w:val="left" w:pos="2040"/>
              </w:tabs>
            </w:pPr>
            <w:r>
              <w:t>Association des institutions de promotion et d’éducation</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MACA</w:t>
            </w:r>
          </w:p>
        </w:tc>
        <w:tc>
          <w:tcPr>
            <w:tcW w:w="7140" w:type="dxa"/>
          </w:tcPr>
          <w:p w:rsidR="00000000" w:rsidRDefault="00000000">
            <w:pPr>
              <w:tabs>
                <w:tab w:val="left" w:pos="2040"/>
              </w:tabs>
            </w:pPr>
            <w:r>
              <w:t>Ministère des affaires rurales et de l’agriculture</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PASA</w:t>
            </w:r>
          </w:p>
        </w:tc>
        <w:tc>
          <w:tcPr>
            <w:tcW w:w="7140" w:type="dxa"/>
          </w:tcPr>
          <w:p w:rsidR="00000000" w:rsidRDefault="00000000">
            <w:pPr>
              <w:tabs>
                <w:tab w:val="left" w:pos="2040"/>
              </w:tabs>
            </w:pPr>
            <w:r>
              <w:t>Programme d’appui à la sécurité alimentaire</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AIEPI</w:t>
            </w:r>
          </w:p>
        </w:tc>
        <w:tc>
          <w:tcPr>
            <w:tcW w:w="7140" w:type="dxa"/>
          </w:tcPr>
          <w:p w:rsidR="00000000" w:rsidRDefault="00000000">
            <w:pPr>
              <w:tabs>
                <w:tab w:val="left" w:pos="2040"/>
              </w:tabs>
            </w:pPr>
            <w:r>
              <w:t>Protection intégrale dans les maladies de la petite enfance</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UMSA</w:t>
            </w:r>
          </w:p>
        </w:tc>
        <w:tc>
          <w:tcPr>
            <w:tcW w:w="7140" w:type="dxa"/>
          </w:tcPr>
          <w:p w:rsidR="00000000" w:rsidRDefault="00000000">
            <w:pPr>
              <w:tabs>
                <w:tab w:val="left" w:pos="2040"/>
              </w:tabs>
            </w:pPr>
            <w:r>
              <w:t>Université de San Andrés</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RAFA</w:t>
            </w:r>
          </w:p>
        </w:tc>
        <w:tc>
          <w:tcPr>
            <w:tcW w:w="7140" w:type="dxa"/>
          </w:tcPr>
          <w:p w:rsidR="00000000" w:rsidRDefault="00000000">
            <w:pPr>
              <w:tabs>
                <w:tab w:val="left" w:pos="2040"/>
              </w:tabs>
            </w:pPr>
            <w:r>
              <w:t>Réseau d’activité physique des Amériques</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OPS</w:t>
            </w:r>
          </w:p>
        </w:tc>
        <w:tc>
          <w:tcPr>
            <w:tcW w:w="7140" w:type="dxa"/>
          </w:tcPr>
          <w:p w:rsidR="00000000" w:rsidRDefault="00000000">
            <w:pPr>
              <w:tabs>
                <w:tab w:val="left" w:pos="2040"/>
              </w:tabs>
            </w:pPr>
            <w:r>
              <w:t>Organisation panaméricaine de la santé</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OMS</w:t>
            </w:r>
          </w:p>
        </w:tc>
        <w:tc>
          <w:tcPr>
            <w:tcW w:w="7140" w:type="dxa"/>
          </w:tcPr>
          <w:p w:rsidR="00000000" w:rsidRDefault="00000000">
            <w:pPr>
              <w:tabs>
                <w:tab w:val="left" w:pos="2040"/>
              </w:tabs>
            </w:pPr>
            <w:r>
              <w:t>Organisation mondiale de la santé</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ODESUR</w:t>
            </w:r>
          </w:p>
        </w:tc>
        <w:tc>
          <w:tcPr>
            <w:tcW w:w="7140" w:type="dxa"/>
          </w:tcPr>
          <w:p w:rsidR="00000000" w:rsidRDefault="00000000">
            <w:pPr>
              <w:tabs>
                <w:tab w:val="left" w:pos="2040"/>
              </w:tabs>
            </w:pPr>
            <w:r>
              <w:t>Organisation sportive du Sud</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CONAPE</w:t>
            </w:r>
          </w:p>
        </w:tc>
        <w:tc>
          <w:tcPr>
            <w:tcW w:w="7140" w:type="dxa"/>
          </w:tcPr>
          <w:p w:rsidR="00000000" w:rsidRDefault="00000000">
            <w:pPr>
              <w:tabs>
                <w:tab w:val="left" w:pos="2040"/>
              </w:tabs>
            </w:pPr>
            <w:r>
              <w:t>Conseil national de la politique économique</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SNMN</w:t>
            </w:r>
          </w:p>
        </w:tc>
        <w:tc>
          <w:tcPr>
            <w:tcW w:w="7140" w:type="dxa"/>
          </w:tcPr>
          <w:p w:rsidR="00000000" w:rsidRDefault="00000000">
            <w:pPr>
              <w:tabs>
                <w:tab w:val="left" w:pos="2040"/>
              </w:tabs>
            </w:pPr>
            <w:r>
              <w:t>Assurance nationale de la maternité et de l’enfance</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SBS</w:t>
            </w:r>
          </w:p>
        </w:tc>
        <w:tc>
          <w:tcPr>
            <w:tcW w:w="7140" w:type="dxa"/>
          </w:tcPr>
          <w:p w:rsidR="00000000" w:rsidRDefault="00000000">
            <w:pPr>
              <w:tabs>
                <w:tab w:val="left" w:pos="2040"/>
              </w:tabs>
            </w:pPr>
            <w:r>
              <w:t>Assurance maladie de base</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DILOS</w:t>
            </w:r>
          </w:p>
        </w:tc>
        <w:tc>
          <w:tcPr>
            <w:tcW w:w="7140" w:type="dxa"/>
          </w:tcPr>
          <w:p w:rsidR="00000000" w:rsidRDefault="00000000">
            <w:pPr>
              <w:tabs>
                <w:tab w:val="left" w:pos="2040"/>
              </w:tabs>
            </w:pPr>
            <w:r>
              <w:t>Direction locale de la santé</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SEDES</w:t>
            </w:r>
          </w:p>
        </w:tc>
        <w:tc>
          <w:tcPr>
            <w:tcW w:w="7140" w:type="dxa"/>
          </w:tcPr>
          <w:p w:rsidR="00000000" w:rsidRDefault="00000000">
            <w:pPr>
              <w:tabs>
                <w:tab w:val="left" w:pos="2040"/>
              </w:tabs>
            </w:pPr>
            <w:r>
              <w:t>Service départemental de la santé</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SNUS</w:t>
            </w:r>
          </w:p>
        </w:tc>
        <w:tc>
          <w:tcPr>
            <w:tcW w:w="7140" w:type="dxa"/>
          </w:tcPr>
          <w:p w:rsidR="00000000" w:rsidRDefault="00000000">
            <w:pPr>
              <w:tabs>
                <w:tab w:val="left" w:pos="2040"/>
              </w:tabs>
            </w:pPr>
            <w:r>
              <w:t>Système national unique de santé</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PNVCM</w:t>
            </w:r>
          </w:p>
        </w:tc>
        <w:tc>
          <w:tcPr>
            <w:tcW w:w="7140" w:type="dxa"/>
          </w:tcPr>
          <w:p w:rsidR="00000000" w:rsidRDefault="00000000">
            <w:pPr>
              <w:tabs>
                <w:tab w:val="left" w:pos="2040"/>
              </w:tabs>
            </w:pPr>
            <w:r>
              <w:t>Programme national de surveillance du paludisme et de lutte</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BID</w:t>
            </w:r>
          </w:p>
        </w:tc>
        <w:tc>
          <w:tcPr>
            <w:tcW w:w="7140" w:type="dxa"/>
          </w:tcPr>
          <w:p w:rsidR="00000000" w:rsidRDefault="00000000">
            <w:pPr>
              <w:tabs>
                <w:tab w:val="left" w:pos="2040"/>
              </w:tabs>
            </w:pPr>
            <w:r>
              <w:t>Banque interaméricaine de développement</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DNBP</w:t>
            </w:r>
          </w:p>
        </w:tc>
        <w:tc>
          <w:tcPr>
            <w:tcW w:w="7140" w:type="dxa"/>
          </w:tcPr>
          <w:p w:rsidR="00000000" w:rsidRDefault="00000000">
            <w:pPr>
              <w:tabs>
                <w:tab w:val="left" w:pos="2040"/>
              </w:tabs>
            </w:pPr>
            <w:r>
              <w:t>Dialogue national sur la productivité en Bolivie</w:t>
            </w:r>
          </w:p>
        </w:tc>
      </w:tr>
      <w:tr w:rsidR="00000000">
        <w:tblPrEx>
          <w:tblCellMar>
            <w:top w:w="0" w:type="dxa"/>
            <w:bottom w:w="0" w:type="dxa"/>
          </w:tblCellMar>
        </w:tblPrEx>
        <w:tc>
          <w:tcPr>
            <w:tcW w:w="1789" w:type="dxa"/>
          </w:tcPr>
          <w:p w:rsidR="00000000" w:rsidRDefault="00000000">
            <w:pPr>
              <w:tabs>
                <w:tab w:val="left" w:pos="2040"/>
              </w:tabs>
              <w:rPr>
                <w:b/>
                <w:bCs/>
              </w:rPr>
            </w:pPr>
            <w:r>
              <w:rPr>
                <w:b/>
                <w:bCs/>
              </w:rPr>
              <w:t>EPI</w:t>
            </w:r>
          </w:p>
        </w:tc>
        <w:tc>
          <w:tcPr>
            <w:tcW w:w="7140" w:type="dxa"/>
          </w:tcPr>
          <w:p w:rsidR="00000000" w:rsidRDefault="00000000">
            <w:pPr>
              <w:tabs>
                <w:tab w:val="left" w:pos="2040"/>
              </w:tabs>
            </w:pPr>
            <w:r>
              <w:t>Stratégie de productivité intégrale</w:t>
            </w:r>
          </w:p>
        </w:tc>
      </w:tr>
    </w:tbl>
    <w:p w:rsidR="00000000" w:rsidRDefault="00000000">
      <w:pPr>
        <w:keepNext/>
        <w:tabs>
          <w:tab w:val="left" w:pos="567"/>
          <w:tab w:val="left" w:pos="1134"/>
        </w:tabs>
        <w:spacing w:before="240" w:after="240"/>
        <w:jc w:val="center"/>
        <w:rPr>
          <w:b/>
          <w:bCs/>
        </w:rPr>
      </w:pPr>
      <w:r>
        <w:rPr>
          <w:b/>
          <w:bCs/>
        </w:rPr>
        <w:t>G.  Droit à l’éducation et droits culturels</w:t>
      </w:r>
    </w:p>
    <w:p w:rsidR="00000000" w:rsidRDefault="00000000">
      <w:pPr>
        <w:spacing w:after="240"/>
      </w:pPr>
      <w:r>
        <w:t>184.</w:t>
      </w:r>
      <w:r>
        <w:tab/>
        <w:t xml:space="preserve">La loi </w:t>
      </w:r>
      <w:r>
        <w:rPr>
          <w:rFonts w:eastAsia="MS Mincho"/>
        </w:rPr>
        <w:t>n</w:t>
      </w:r>
      <w:r>
        <w:rPr>
          <w:rFonts w:eastAsia="MS Mincho"/>
          <w:vertAlign w:val="superscript"/>
        </w:rPr>
        <w:t>o</w:t>
      </w:r>
      <w:r>
        <w:t> 1565 portant réforme de l’enseignement, appliquée depuis 1994, dispose entre autres choses que l’éducation doit répondre aux besoins sociaux, être universelle, gratuite, démocratique, participative, interculturelle et bilingue, afin de promouvoir les valeurs démocratiques et l’unité nationale. Ses objectifs visent la formation complète de l’individu, la promotion des valeurs humaines et des normes éthiques acceptées sur le plan universel, compte tenu des pratiques de chaque culture, du renforcement de l’identité nationale, de la valorisation du travail en tant que facteur de formation et d’épanouissement personnel, de l’égalité entre les sexes et de la formation du principe de souveraineté politique et économique.</w:t>
      </w:r>
    </w:p>
    <w:p w:rsidR="00000000" w:rsidRDefault="00000000">
      <w:pPr>
        <w:tabs>
          <w:tab w:val="left" w:pos="567"/>
          <w:tab w:val="left" w:pos="1134"/>
        </w:tabs>
        <w:spacing w:after="240"/>
      </w:pPr>
      <w:r>
        <w:t>185.</w:t>
      </w:r>
      <w:r>
        <w:tab/>
        <w:t>L’information statistique employée dans le présent rapport comprend des données et des comparaisons fondées sur les recensements effectués en Bolivie ces dernières années (1992 et 2001), et sur le Système d’information relative à l’enseignement (SIE). En conséquence, l’information officielle émanant du Ministère de l’éducation ne s’étend que jusqu’à l’année 2002.</w:t>
      </w:r>
    </w:p>
    <w:p w:rsidR="00000000" w:rsidRDefault="00000000">
      <w:pPr>
        <w:keepNext/>
        <w:tabs>
          <w:tab w:val="left" w:pos="567"/>
          <w:tab w:val="left" w:pos="1134"/>
        </w:tabs>
        <w:spacing w:after="240"/>
        <w:jc w:val="center"/>
        <w:rPr>
          <w:b/>
          <w:bCs/>
        </w:rPr>
      </w:pPr>
      <w:r>
        <w:rPr>
          <w:b/>
          <w:bCs/>
        </w:rPr>
        <w:t>H.  Droit à l’éducation primaire, secondaire et supérieure</w:t>
      </w:r>
    </w:p>
    <w:p w:rsidR="00000000" w:rsidRDefault="00000000">
      <w:pPr>
        <w:tabs>
          <w:tab w:val="left" w:pos="567"/>
          <w:tab w:val="left" w:pos="1134"/>
        </w:tabs>
        <w:spacing w:after="240"/>
      </w:pPr>
      <w:r>
        <w:t>186.</w:t>
      </w:r>
      <w:r>
        <w:tab/>
        <w:t>À propos du droit à l’éducation, aussi bien primaire que secondaire et supérieure, l’État bolivien communique l’information suivante.</w:t>
      </w:r>
    </w:p>
    <w:p w:rsidR="00000000" w:rsidRDefault="00000000">
      <w:pPr>
        <w:tabs>
          <w:tab w:val="left" w:pos="567"/>
          <w:tab w:val="left" w:pos="1134"/>
        </w:tabs>
        <w:spacing w:after="240"/>
      </w:pPr>
      <w:r>
        <w:t>187.</w:t>
      </w:r>
      <w:r>
        <w:tab/>
        <w:t>Dans le cadre de la réforme de l’éducation, du matériel pédagogique a été produit, notamment les programmes d’enseignement pour les différents niveaux de l’instruction publique:</w:t>
      </w:r>
    </w:p>
    <w:p w:rsidR="00000000" w:rsidRDefault="00000000">
      <w:pPr>
        <w:spacing w:after="240"/>
        <w:ind w:left="1134" w:hanging="567"/>
        <w:rPr>
          <w:lang w:val="fr-CA"/>
        </w:rPr>
      </w:pPr>
      <w:r>
        <w:t>−</w:t>
      </w:r>
      <w:r>
        <w:tab/>
      </w:r>
      <w:r>
        <w:rPr>
          <w:lang w:val="fr-CA"/>
        </w:rPr>
        <w:t>L’on dispose du document relatif à la conception des programmes d’enseignement pour les niveaux préscolaire et primaire, qui se développe sous forme d’arborescence de thèmes transversaux, d’outils conceptuels, d’intentions éducatives et de problématiques déterminées concernant l’éducation axée sur la démocratie;</w:t>
      </w:r>
    </w:p>
    <w:p w:rsidR="00000000" w:rsidRDefault="00000000">
      <w:pPr>
        <w:spacing w:after="240"/>
        <w:ind w:left="1134" w:hanging="567"/>
        <w:rPr>
          <w:lang w:val="fr-CA"/>
        </w:rPr>
      </w:pPr>
      <w:r>
        <w:rPr>
          <w:lang w:val="fr-CA"/>
        </w:rPr>
        <w:t>−</w:t>
      </w:r>
      <w:r>
        <w:rPr>
          <w:lang w:val="fr-CA"/>
        </w:rPr>
        <w:tab/>
        <w:t>L’on a terminé l’élaboration des programmes du premier et du deuxième cycles du niveau primaire qui détermine des compétences, des indicateurs et des contextes de pertinence sociale du thème transversal de l’éducation axée sur la démocratie;</w:t>
      </w:r>
    </w:p>
    <w:p w:rsidR="00000000" w:rsidRDefault="00000000">
      <w:pPr>
        <w:spacing w:after="240"/>
        <w:ind w:firstLine="567"/>
        <w:rPr>
          <w:lang w:val="fr-CA"/>
        </w:rPr>
      </w:pPr>
      <w:r>
        <w:rPr>
          <w:lang w:val="fr-CA"/>
        </w:rPr>
        <w:t>−</w:t>
      </w:r>
      <w:r>
        <w:rPr>
          <w:lang w:val="fr-CA"/>
        </w:rPr>
        <w:tab/>
        <w:t>L’on dispose du document de travail relatif au troisième cycle du niveau primaire;</w:t>
      </w:r>
    </w:p>
    <w:p w:rsidR="00000000" w:rsidRDefault="00000000">
      <w:pPr>
        <w:spacing w:after="240"/>
        <w:ind w:left="1134" w:hanging="567"/>
        <w:rPr>
          <w:lang w:val="fr-CA"/>
        </w:rPr>
      </w:pPr>
      <w:r>
        <w:rPr>
          <w:lang w:val="fr-CA"/>
        </w:rPr>
        <w:t>−</w:t>
      </w:r>
      <w:r>
        <w:rPr>
          <w:lang w:val="fr-CA"/>
        </w:rPr>
        <w:tab/>
        <w:t>L’on a produit du matériel pédagogique, notamment des guides didactiques destinés aux enseignants, qui sont inspirés par le souci de la démocratie, dans des matières inscrites au programme d’enseignement comme les mathématiques, le langage, les sciences naturelles et la technologie, l’expression orale et la créativité, etc.;</w:t>
      </w:r>
    </w:p>
    <w:p w:rsidR="00000000" w:rsidRDefault="00000000">
      <w:pPr>
        <w:spacing w:after="240"/>
        <w:ind w:left="1134" w:hanging="567"/>
        <w:rPr>
          <w:lang w:val="fr-CA"/>
        </w:rPr>
      </w:pPr>
      <w:r>
        <w:rPr>
          <w:lang w:val="fr-CA"/>
        </w:rPr>
        <w:t>−</w:t>
      </w:r>
      <w:r>
        <w:rPr>
          <w:lang w:val="fr-CA"/>
        </w:rPr>
        <w:tab/>
        <w:t>L’on dispose de modules d’apprentissage destinés aux garçons et aux filles, en quatre langues: l’aymara, le quechua, le guaraní et l’espagnol, valables pour le premier et le deuxième cycles du niveau primaire;</w:t>
      </w:r>
    </w:p>
    <w:p w:rsidR="00000000" w:rsidRDefault="00000000">
      <w:pPr>
        <w:spacing w:after="240"/>
        <w:ind w:left="1134" w:hanging="567"/>
        <w:rPr>
          <w:lang w:val="fr-CA"/>
        </w:rPr>
      </w:pPr>
      <w:r>
        <w:rPr>
          <w:lang w:val="fr-CA"/>
        </w:rPr>
        <w:t>−</w:t>
      </w:r>
      <w:r>
        <w:rPr>
          <w:lang w:val="fr-CA"/>
        </w:rPr>
        <w:tab/>
        <w:t>Dans les bibliothèques des classes se trouve du matériel axé sur les sujets transversaux, spécialement sur les valeurs que constituent la vie en commun et le respect de la diversité.</w:t>
      </w:r>
    </w:p>
    <w:p w:rsidR="00000000" w:rsidRDefault="00000000">
      <w:pPr>
        <w:spacing w:after="240"/>
        <w:rPr>
          <w:b/>
          <w:bCs/>
          <w:lang w:val="fr-CA"/>
        </w:rPr>
      </w:pPr>
      <w:r>
        <w:rPr>
          <w:b/>
          <w:bCs/>
          <w:lang w:val="fr-CA"/>
        </w:rPr>
        <w:t>Formation des enseignants et des maîtres</w:t>
      </w:r>
    </w:p>
    <w:p w:rsidR="00000000" w:rsidRDefault="00000000">
      <w:pPr>
        <w:spacing w:after="240"/>
        <w:rPr>
          <w:lang w:val="fr-CA"/>
        </w:rPr>
      </w:pPr>
      <w:r>
        <w:rPr>
          <w:lang w:val="fr-CA"/>
        </w:rPr>
        <w:t>188.</w:t>
      </w:r>
      <w:r>
        <w:rPr>
          <w:lang w:val="fr-CA"/>
        </w:rPr>
        <w:tab/>
        <w:t>L’on a amélioré le travail qui se fait dans les écoles normales supérieures (INS) en appliquant la nouvelle conception du programme d’enseignement qui est la base de la formation des maîtres du niveau primaire (1999). Il importe de le signaler puisque cela permettra à notre pays d’avoir de nouveaux maîtres dont la formation sera entièrement distincte de la précédente. Cette formation sera non seulement de niveau universitaire et conforme au nouveau programme d’enseignement, mais elle comprendra de plus l’étude des sujets transversaux tels que la démocratie.</w:t>
      </w:r>
    </w:p>
    <w:p w:rsidR="00000000" w:rsidRDefault="00000000">
      <w:pPr>
        <w:spacing w:after="240"/>
      </w:pPr>
      <w:r>
        <w:rPr>
          <w:b/>
          <w:bCs/>
        </w:rPr>
        <w:t>Enquêtes</w:t>
      </w:r>
    </w:p>
    <w:p w:rsidR="00000000" w:rsidRDefault="00000000">
      <w:pPr>
        <w:tabs>
          <w:tab w:val="left" w:pos="567"/>
          <w:tab w:val="left" w:pos="1134"/>
        </w:tabs>
        <w:spacing w:after="240"/>
      </w:pPr>
      <w:r>
        <w:t>189.</w:t>
      </w:r>
      <w:r>
        <w:tab/>
        <w:t>Jusqu’à présent des recherches ont été menées sur les visions culturelles et la démocratie dans les cultures quechua, aymara, movima, tsimnán, moxeña, guaraní, ayorea et chiquitana.</w:t>
      </w:r>
    </w:p>
    <w:p w:rsidR="00000000" w:rsidRDefault="00000000">
      <w:pPr>
        <w:spacing w:after="240"/>
      </w:pPr>
      <w:r>
        <w:t>190.</w:t>
      </w:r>
      <w:r>
        <w:tab/>
        <w:t>Afin de renforcer l’intégration de la démocratie dans l’optique de la diversité culturelle, l’on a fait des recherches dans les régions de l’Oriente, du Chaco, des Andes et de l’Amazone, dont les résultats aideront à réaliser du matériel pédagogique et de nouveaux documents destinés aux enseignants.</w:t>
      </w:r>
    </w:p>
    <w:p w:rsidR="00000000" w:rsidRDefault="00000000">
      <w:pPr>
        <w:spacing w:after="240"/>
      </w:pPr>
      <w:r>
        <w:t>191.</w:t>
      </w:r>
      <w:r>
        <w:tab/>
        <w:t>Compte tenu des règles en vigueur et pour faire en sorte que l’enseignement primaire, qui aujourd’hui est obligatoire et gratuit, soit plus abordable et, en même temps, pour améliorer les conditions de l’enseignement secondaire, la politique de l’éducation a permis d’augmenter la couverture, l’accessibilité et la fréquentation scolaire; malgré la persistance de quelques problèmes, on a enregistré de grands progrès qui ont pu être évalués grâce aux indicateurs permettant de comparer les données de 1992 avec celles de 2001.</w:t>
      </w:r>
    </w:p>
    <w:p w:rsidR="00000000" w:rsidRDefault="00000000">
      <w:pPr>
        <w:spacing w:after="240"/>
      </w:pPr>
      <w:r>
        <w:t>192.</w:t>
      </w:r>
      <w:r>
        <w:tab/>
        <w:t>Actuellement, le Plan d’opérations pluriannuelles 2004</w:t>
      </w:r>
      <w:r>
        <w:noBreakHyphen/>
        <w:t>2008 du Ministère de l’éducation a établi l’amélioration de la qualité, de l’accès et de la fréquentation scolaire dans le système éducatif national pour la population qui souffre d’un niveau élevé d’exclusion.</w:t>
      </w:r>
    </w:p>
    <w:p w:rsidR="00000000" w:rsidRDefault="00000000">
      <w:pPr>
        <w:tabs>
          <w:tab w:val="left" w:pos="567"/>
          <w:tab w:val="left" w:pos="1134"/>
        </w:tabs>
        <w:spacing w:after="240"/>
        <w:rPr>
          <w:b/>
          <w:bCs/>
        </w:rPr>
      </w:pPr>
      <w:r>
        <w:rPr>
          <w:b/>
          <w:bCs/>
        </w:rPr>
        <w:t>Population d’âge scolaire et effectifs scolaires</w:t>
      </w:r>
    </w:p>
    <w:p w:rsidR="00000000" w:rsidRDefault="00000000">
      <w:pPr>
        <w:spacing w:after="240"/>
      </w:pPr>
      <w:r>
        <w:t>193.</w:t>
      </w:r>
      <w:r>
        <w:tab/>
        <w:t>Le tableau 1 permet d’examiner la population d’âge scolaire en 1992 et en 2001, selon le sexe et la zone géographique. Les groupes d’âge montrent la population qui devrait figurer dans chacun des degrés de l’enseignement. Ainsi, la population de 4 à 5 ans devrait figurer dans l’enseignement préscolaire, celle de 6 à 13 ans dans l’enseignement primaire et celle de 14 à 17 ans dans l’enseignement secondaire. On a tenu compte aussi des enfants de 0 à 3 ans puisqu’ils constituent les futurs demandeurs d’éducation.</w:t>
      </w:r>
    </w:p>
    <w:p w:rsidR="00000000" w:rsidRDefault="00000000">
      <w:pPr>
        <w:keepNext/>
        <w:tabs>
          <w:tab w:val="left" w:pos="567"/>
          <w:tab w:val="left" w:pos="1134"/>
        </w:tabs>
        <w:spacing w:after="200"/>
        <w:jc w:val="center"/>
        <w:rPr>
          <w:b/>
          <w:bCs/>
        </w:rPr>
      </w:pPr>
      <w:r>
        <w:rPr>
          <w:b/>
          <w:bCs/>
        </w:rPr>
        <w:t>Tableau 1</w:t>
      </w:r>
    </w:p>
    <w:p w:rsidR="00000000" w:rsidRDefault="00000000">
      <w:pPr>
        <w:keepNext/>
        <w:tabs>
          <w:tab w:val="left" w:pos="567"/>
          <w:tab w:val="left" w:pos="1134"/>
        </w:tabs>
        <w:spacing w:after="200"/>
        <w:jc w:val="center"/>
        <w:rPr>
          <w:b/>
          <w:bCs/>
        </w:rPr>
      </w:pPr>
      <w:r>
        <w:rPr>
          <w:b/>
          <w:bCs/>
        </w:rPr>
        <w:t>Bolivie: Évolution de la population par groupe d’âge et zone géographique,</w:t>
      </w:r>
      <w:r>
        <w:rPr>
          <w:b/>
          <w:bCs/>
        </w:rPr>
        <w:br/>
        <w:t>selon le sexe (1992 et 2001)</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0"/>
        <w:gridCol w:w="1231"/>
        <w:gridCol w:w="1231"/>
        <w:gridCol w:w="1231"/>
        <w:gridCol w:w="1231"/>
        <w:gridCol w:w="1231"/>
        <w:gridCol w:w="1232"/>
      </w:tblGrid>
      <w:tr w:rsidR="00000000">
        <w:tblPrEx>
          <w:tblCellMar>
            <w:top w:w="0" w:type="dxa"/>
            <w:bottom w:w="0" w:type="dxa"/>
          </w:tblCellMar>
        </w:tblPrEx>
        <w:trPr>
          <w:cantSplit/>
          <w:tblHeader/>
        </w:trPr>
        <w:tc>
          <w:tcPr>
            <w:tcW w:w="2110" w:type="dxa"/>
            <w:vMerge w:val="restart"/>
            <w:vAlign w:val="center"/>
          </w:tcPr>
          <w:p w:rsidR="00000000" w:rsidRDefault="00000000">
            <w:pPr>
              <w:spacing w:before="60" w:after="60"/>
              <w:ind w:right="57"/>
              <w:jc w:val="center"/>
            </w:pPr>
            <w:r>
              <w:t>Groupe d’âge</w:t>
            </w:r>
          </w:p>
        </w:tc>
        <w:tc>
          <w:tcPr>
            <w:tcW w:w="3693" w:type="dxa"/>
            <w:gridSpan w:val="3"/>
          </w:tcPr>
          <w:p w:rsidR="00000000" w:rsidRDefault="00000000">
            <w:pPr>
              <w:tabs>
                <w:tab w:val="left" w:pos="567"/>
                <w:tab w:val="left" w:pos="1134"/>
              </w:tabs>
              <w:spacing w:before="60" w:after="60"/>
              <w:ind w:right="57"/>
              <w:jc w:val="center"/>
            </w:pPr>
            <w:r>
              <w:t>1992</w:t>
            </w:r>
          </w:p>
        </w:tc>
        <w:tc>
          <w:tcPr>
            <w:tcW w:w="3694" w:type="dxa"/>
            <w:gridSpan w:val="3"/>
          </w:tcPr>
          <w:p w:rsidR="00000000" w:rsidRDefault="00000000">
            <w:pPr>
              <w:tabs>
                <w:tab w:val="left" w:pos="567"/>
                <w:tab w:val="left" w:pos="1134"/>
              </w:tabs>
              <w:spacing w:before="60" w:after="60"/>
              <w:ind w:right="57"/>
              <w:jc w:val="center"/>
            </w:pPr>
            <w:r>
              <w:t>2001</w:t>
            </w:r>
          </w:p>
        </w:tc>
      </w:tr>
      <w:tr w:rsidR="00000000">
        <w:tblPrEx>
          <w:tblCellMar>
            <w:top w:w="0" w:type="dxa"/>
            <w:bottom w:w="0" w:type="dxa"/>
          </w:tblCellMar>
        </w:tblPrEx>
        <w:trPr>
          <w:cantSplit/>
          <w:tblHeader/>
        </w:trPr>
        <w:tc>
          <w:tcPr>
            <w:tcW w:w="2110" w:type="dxa"/>
            <w:vMerge/>
          </w:tcPr>
          <w:p w:rsidR="00000000" w:rsidRDefault="00000000">
            <w:pPr>
              <w:spacing w:before="60" w:after="60"/>
              <w:ind w:right="57"/>
              <w:rPr>
                <w:b/>
                <w:bCs/>
              </w:rPr>
            </w:pPr>
          </w:p>
        </w:tc>
        <w:tc>
          <w:tcPr>
            <w:tcW w:w="1231" w:type="dxa"/>
          </w:tcPr>
          <w:p w:rsidR="00000000" w:rsidRDefault="00000000">
            <w:pPr>
              <w:tabs>
                <w:tab w:val="left" w:pos="567"/>
                <w:tab w:val="left" w:pos="1134"/>
              </w:tabs>
              <w:spacing w:before="60" w:after="60"/>
              <w:ind w:right="57"/>
              <w:jc w:val="center"/>
            </w:pPr>
            <w:r>
              <w:t>Total</w:t>
            </w:r>
          </w:p>
        </w:tc>
        <w:tc>
          <w:tcPr>
            <w:tcW w:w="1231" w:type="dxa"/>
          </w:tcPr>
          <w:p w:rsidR="00000000" w:rsidRDefault="00000000">
            <w:pPr>
              <w:tabs>
                <w:tab w:val="left" w:pos="567"/>
                <w:tab w:val="left" w:pos="1134"/>
              </w:tabs>
              <w:spacing w:before="60" w:after="60"/>
              <w:ind w:right="57"/>
              <w:jc w:val="center"/>
            </w:pPr>
            <w:r>
              <w:t>Garçons</w:t>
            </w:r>
          </w:p>
        </w:tc>
        <w:tc>
          <w:tcPr>
            <w:tcW w:w="1231" w:type="dxa"/>
          </w:tcPr>
          <w:p w:rsidR="00000000" w:rsidRDefault="00000000">
            <w:pPr>
              <w:tabs>
                <w:tab w:val="left" w:pos="567"/>
                <w:tab w:val="left" w:pos="1134"/>
              </w:tabs>
              <w:spacing w:before="60" w:after="60"/>
              <w:ind w:right="57"/>
              <w:jc w:val="center"/>
            </w:pPr>
            <w:r>
              <w:t>Filles</w:t>
            </w:r>
          </w:p>
        </w:tc>
        <w:tc>
          <w:tcPr>
            <w:tcW w:w="1231" w:type="dxa"/>
          </w:tcPr>
          <w:p w:rsidR="00000000" w:rsidRDefault="00000000">
            <w:pPr>
              <w:tabs>
                <w:tab w:val="left" w:pos="567"/>
                <w:tab w:val="left" w:pos="1134"/>
              </w:tabs>
              <w:spacing w:before="60" w:after="60"/>
              <w:ind w:right="57"/>
              <w:jc w:val="center"/>
            </w:pPr>
            <w:r>
              <w:t>Total</w:t>
            </w:r>
          </w:p>
        </w:tc>
        <w:tc>
          <w:tcPr>
            <w:tcW w:w="1231" w:type="dxa"/>
          </w:tcPr>
          <w:p w:rsidR="00000000" w:rsidRDefault="00000000">
            <w:pPr>
              <w:tabs>
                <w:tab w:val="left" w:pos="567"/>
                <w:tab w:val="left" w:pos="1134"/>
              </w:tabs>
              <w:spacing w:before="60" w:after="60"/>
              <w:ind w:right="57"/>
              <w:jc w:val="center"/>
            </w:pPr>
            <w:r>
              <w:t>Garçons</w:t>
            </w:r>
          </w:p>
        </w:tc>
        <w:tc>
          <w:tcPr>
            <w:tcW w:w="1232" w:type="dxa"/>
          </w:tcPr>
          <w:p w:rsidR="00000000" w:rsidRDefault="00000000">
            <w:pPr>
              <w:tabs>
                <w:tab w:val="left" w:pos="567"/>
                <w:tab w:val="left" w:pos="1134"/>
              </w:tabs>
              <w:spacing w:before="60" w:after="60"/>
              <w:ind w:right="57"/>
              <w:jc w:val="center"/>
            </w:pPr>
            <w:r>
              <w:t>Filles</w:t>
            </w:r>
          </w:p>
        </w:tc>
      </w:tr>
      <w:tr w:rsidR="00000000">
        <w:tblPrEx>
          <w:tblCellMar>
            <w:top w:w="0" w:type="dxa"/>
            <w:bottom w:w="0" w:type="dxa"/>
          </w:tblCellMar>
        </w:tblPrEx>
        <w:tc>
          <w:tcPr>
            <w:tcW w:w="2110" w:type="dxa"/>
            <w:tcBorders>
              <w:bottom w:val="nil"/>
            </w:tcBorders>
          </w:tcPr>
          <w:p w:rsidR="00000000" w:rsidRDefault="00000000">
            <w:pPr>
              <w:spacing w:before="60" w:after="60"/>
              <w:ind w:right="57"/>
              <w:rPr>
                <w:b/>
                <w:bCs/>
              </w:rPr>
            </w:pPr>
            <w:r>
              <w:rPr>
                <w:b/>
                <w:bCs/>
              </w:rPr>
              <w:t>0 à 3 ans</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747 736</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378 385</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369 351</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864 333</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447 348</w:t>
            </w:r>
          </w:p>
        </w:tc>
        <w:tc>
          <w:tcPr>
            <w:tcW w:w="1232" w:type="dxa"/>
            <w:tcBorders>
              <w:bottom w:val="nil"/>
            </w:tcBorders>
          </w:tcPr>
          <w:p w:rsidR="00000000" w:rsidRDefault="00000000">
            <w:pPr>
              <w:tabs>
                <w:tab w:val="left" w:pos="567"/>
                <w:tab w:val="left" w:pos="1134"/>
              </w:tabs>
              <w:spacing w:before="60" w:after="60"/>
              <w:ind w:right="57"/>
              <w:jc w:val="right"/>
              <w:rPr>
                <w:b/>
                <w:bCs/>
              </w:rPr>
            </w:pPr>
            <w:r>
              <w:rPr>
                <w:b/>
                <w:bCs/>
              </w:rPr>
              <w:t>416 985</w:t>
            </w:r>
          </w:p>
        </w:tc>
      </w:tr>
      <w:tr w:rsidR="00000000">
        <w:tblPrEx>
          <w:tblCellMar>
            <w:top w:w="0" w:type="dxa"/>
            <w:bottom w:w="0" w:type="dxa"/>
          </w:tblCellMar>
        </w:tblPrEx>
        <w:tc>
          <w:tcPr>
            <w:tcW w:w="2110" w:type="dxa"/>
            <w:tcBorders>
              <w:top w:val="nil"/>
              <w:bottom w:val="nil"/>
            </w:tcBorders>
          </w:tcPr>
          <w:p w:rsidR="00000000" w:rsidRDefault="00000000">
            <w:pPr>
              <w:spacing w:before="60" w:after="60"/>
              <w:ind w:left="284"/>
            </w:pPr>
            <w:r>
              <w:t>Zones rurales</w:t>
            </w:r>
          </w:p>
        </w:tc>
        <w:tc>
          <w:tcPr>
            <w:tcW w:w="1231" w:type="dxa"/>
            <w:tcBorders>
              <w:top w:val="nil"/>
              <w:bottom w:val="nil"/>
            </w:tcBorders>
          </w:tcPr>
          <w:p w:rsidR="00000000" w:rsidRDefault="00000000">
            <w:pPr>
              <w:tabs>
                <w:tab w:val="left" w:pos="567"/>
                <w:tab w:val="left" w:pos="1134"/>
              </w:tabs>
              <w:spacing w:before="60" w:after="60"/>
              <w:ind w:right="57"/>
              <w:jc w:val="right"/>
            </w:pPr>
            <w:r>
              <w:t>347 436</w:t>
            </w:r>
          </w:p>
        </w:tc>
        <w:tc>
          <w:tcPr>
            <w:tcW w:w="1231" w:type="dxa"/>
            <w:tcBorders>
              <w:top w:val="nil"/>
              <w:bottom w:val="nil"/>
            </w:tcBorders>
          </w:tcPr>
          <w:p w:rsidR="00000000" w:rsidRDefault="00000000">
            <w:pPr>
              <w:tabs>
                <w:tab w:val="left" w:pos="567"/>
                <w:tab w:val="left" w:pos="1134"/>
              </w:tabs>
              <w:spacing w:before="60" w:after="60"/>
              <w:ind w:right="57"/>
              <w:jc w:val="right"/>
            </w:pPr>
            <w:r>
              <w:t>175 485</w:t>
            </w:r>
          </w:p>
        </w:tc>
        <w:tc>
          <w:tcPr>
            <w:tcW w:w="1231" w:type="dxa"/>
            <w:tcBorders>
              <w:top w:val="nil"/>
              <w:bottom w:val="nil"/>
            </w:tcBorders>
          </w:tcPr>
          <w:p w:rsidR="00000000" w:rsidRDefault="00000000">
            <w:pPr>
              <w:tabs>
                <w:tab w:val="left" w:pos="567"/>
                <w:tab w:val="left" w:pos="1134"/>
              </w:tabs>
              <w:spacing w:before="60" w:after="60"/>
              <w:ind w:right="57"/>
              <w:jc w:val="right"/>
            </w:pPr>
            <w:r>
              <w:t>171 951</w:t>
            </w:r>
          </w:p>
        </w:tc>
        <w:tc>
          <w:tcPr>
            <w:tcW w:w="1231" w:type="dxa"/>
            <w:tcBorders>
              <w:top w:val="nil"/>
              <w:bottom w:val="nil"/>
            </w:tcBorders>
          </w:tcPr>
          <w:p w:rsidR="00000000" w:rsidRDefault="00000000">
            <w:pPr>
              <w:tabs>
                <w:tab w:val="left" w:pos="567"/>
                <w:tab w:val="left" w:pos="1134"/>
              </w:tabs>
              <w:spacing w:before="60" w:after="60"/>
              <w:ind w:right="57"/>
              <w:jc w:val="right"/>
            </w:pPr>
            <w:r>
              <w:t>364 963</w:t>
            </w:r>
          </w:p>
        </w:tc>
        <w:tc>
          <w:tcPr>
            <w:tcW w:w="1231" w:type="dxa"/>
            <w:tcBorders>
              <w:top w:val="nil"/>
              <w:bottom w:val="nil"/>
            </w:tcBorders>
          </w:tcPr>
          <w:p w:rsidR="00000000" w:rsidRDefault="00000000">
            <w:pPr>
              <w:tabs>
                <w:tab w:val="left" w:pos="567"/>
                <w:tab w:val="left" w:pos="1134"/>
              </w:tabs>
              <w:spacing w:before="60" w:after="60"/>
              <w:ind w:right="57"/>
              <w:jc w:val="right"/>
            </w:pPr>
            <w:r>
              <w:t>187 843</w:t>
            </w:r>
          </w:p>
        </w:tc>
        <w:tc>
          <w:tcPr>
            <w:tcW w:w="1232" w:type="dxa"/>
            <w:tcBorders>
              <w:top w:val="nil"/>
              <w:bottom w:val="nil"/>
            </w:tcBorders>
          </w:tcPr>
          <w:p w:rsidR="00000000" w:rsidRDefault="00000000">
            <w:pPr>
              <w:tabs>
                <w:tab w:val="left" w:pos="567"/>
                <w:tab w:val="left" w:pos="1134"/>
              </w:tabs>
              <w:spacing w:before="60" w:after="60"/>
              <w:ind w:right="57"/>
              <w:jc w:val="right"/>
            </w:pPr>
            <w:r>
              <w:t>177 120</w:t>
            </w:r>
          </w:p>
        </w:tc>
      </w:tr>
      <w:tr w:rsidR="00000000">
        <w:tblPrEx>
          <w:tblCellMar>
            <w:top w:w="0" w:type="dxa"/>
            <w:bottom w:w="0" w:type="dxa"/>
          </w:tblCellMar>
        </w:tblPrEx>
        <w:tc>
          <w:tcPr>
            <w:tcW w:w="2110" w:type="dxa"/>
            <w:tcBorders>
              <w:top w:val="nil"/>
            </w:tcBorders>
          </w:tcPr>
          <w:p w:rsidR="00000000" w:rsidRDefault="00000000">
            <w:pPr>
              <w:spacing w:before="60" w:after="60"/>
              <w:ind w:left="284"/>
            </w:pPr>
            <w:r>
              <w:t>Zones urbaines</w:t>
            </w:r>
          </w:p>
        </w:tc>
        <w:tc>
          <w:tcPr>
            <w:tcW w:w="1231" w:type="dxa"/>
            <w:tcBorders>
              <w:top w:val="nil"/>
            </w:tcBorders>
          </w:tcPr>
          <w:p w:rsidR="00000000" w:rsidRDefault="00000000">
            <w:pPr>
              <w:tabs>
                <w:tab w:val="left" w:pos="567"/>
                <w:tab w:val="left" w:pos="1134"/>
              </w:tabs>
              <w:spacing w:before="60" w:after="60"/>
              <w:ind w:right="57"/>
              <w:jc w:val="right"/>
            </w:pPr>
            <w:r>
              <w:t>400 300</w:t>
            </w:r>
          </w:p>
        </w:tc>
        <w:tc>
          <w:tcPr>
            <w:tcW w:w="1231" w:type="dxa"/>
            <w:tcBorders>
              <w:top w:val="nil"/>
            </w:tcBorders>
          </w:tcPr>
          <w:p w:rsidR="00000000" w:rsidRDefault="00000000">
            <w:pPr>
              <w:tabs>
                <w:tab w:val="left" w:pos="567"/>
                <w:tab w:val="left" w:pos="1134"/>
              </w:tabs>
              <w:spacing w:before="60" w:after="60"/>
              <w:ind w:right="57"/>
              <w:jc w:val="right"/>
            </w:pPr>
            <w:r>
              <w:t>202 900</w:t>
            </w:r>
          </w:p>
        </w:tc>
        <w:tc>
          <w:tcPr>
            <w:tcW w:w="1231" w:type="dxa"/>
            <w:tcBorders>
              <w:top w:val="nil"/>
            </w:tcBorders>
          </w:tcPr>
          <w:p w:rsidR="00000000" w:rsidRDefault="00000000">
            <w:pPr>
              <w:tabs>
                <w:tab w:val="left" w:pos="567"/>
                <w:tab w:val="left" w:pos="1134"/>
              </w:tabs>
              <w:spacing w:before="60" w:after="60"/>
              <w:ind w:right="57"/>
              <w:jc w:val="right"/>
            </w:pPr>
            <w:r>
              <w:t>197 400</w:t>
            </w:r>
          </w:p>
        </w:tc>
        <w:tc>
          <w:tcPr>
            <w:tcW w:w="1231" w:type="dxa"/>
            <w:tcBorders>
              <w:top w:val="nil"/>
            </w:tcBorders>
          </w:tcPr>
          <w:p w:rsidR="00000000" w:rsidRDefault="00000000">
            <w:pPr>
              <w:tabs>
                <w:tab w:val="left" w:pos="567"/>
                <w:tab w:val="left" w:pos="1134"/>
              </w:tabs>
              <w:spacing w:before="60" w:after="60"/>
              <w:ind w:right="57"/>
              <w:jc w:val="right"/>
            </w:pPr>
            <w:r>
              <w:t>499 370</w:t>
            </w:r>
          </w:p>
        </w:tc>
        <w:tc>
          <w:tcPr>
            <w:tcW w:w="1231" w:type="dxa"/>
            <w:tcBorders>
              <w:top w:val="nil"/>
            </w:tcBorders>
          </w:tcPr>
          <w:p w:rsidR="00000000" w:rsidRDefault="00000000">
            <w:pPr>
              <w:tabs>
                <w:tab w:val="left" w:pos="567"/>
                <w:tab w:val="left" w:pos="1134"/>
              </w:tabs>
              <w:spacing w:before="60" w:after="60"/>
              <w:ind w:right="57"/>
              <w:jc w:val="right"/>
            </w:pPr>
            <w:r>
              <w:t>259 505</w:t>
            </w:r>
          </w:p>
        </w:tc>
        <w:tc>
          <w:tcPr>
            <w:tcW w:w="1232" w:type="dxa"/>
            <w:tcBorders>
              <w:top w:val="nil"/>
            </w:tcBorders>
          </w:tcPr>
          <w:p w:rsidR="00000000" w:rsidRDefault="00000000">
            <w:pPr>
              <w:tabs>
                <w:tab w:val="left" w:pos="567"/>
                <w:tab w:val="left" w:pos="1134"/>
              </w:tabs>
              <w:spacing w:before="60" w:after="60"/>
              <w:ind w:right="57"/>
              <w:jc w:val="right"/>
            </w:pPr>
            <w:r>
              <w:t>239 865</w:t>
            </w:r>
          </w:p>
        </w:tc>
      </w:tr>
      <w:tr w:rsidR="00000000">
        <w:tblPrEx>
          <w:tblCellMar>
            <w:top w:w="0" w:type="dxa"/>
            <w:bottom w:w="0" w:type="dxa"/>
          </w:tblCellMar>
        </w:tblPrEx>
        <w:tc>
          <w:tcPr>
            <w:tcW w:w="2110" w:type="dxa"/>
            <w:tcBorders>
              <w:bottom w:val="nil"/>
            </w:tcBorders>
          </w:tcPr>
          <w:p w:rsidR="00000000" w:rsidRDefault="00000000">
            <w:pPr>
              <w:spacing w:before="60" w:after="60"/>
              <w:ind w:right="57"/>
              <w:rPr>
                <w:b/>
                <w:bCs/>
              </w:rPr>
            </w:pPr>
            <w:r>
              <w:rPr>
                <w:b/>
                <w:bCs/>
              </w:rPr>
              <w:t>4 à 5 ans</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387 264</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196 431</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190 833</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449 466</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233 069</w:t>
            </w:r>
          </w:p>
        </w:tc>
        <w:tc>
          <w:tcPr>
            <w:tcW w:w="1232" w:type="dxa"/>
            <w:tcBorders>
              <w:bottom w:val="nil"/>
            </w:tcBorders>
          </w:tcPr>
          <w:p w:rsidR="00000000" w:rsidRDefault="00000000">
            <w:pPr>
              <w:tabs>
                <w:tab w:val="left" w:pos="567"/>
                <w:tab w:val="left" w:pos="1134"/>
              </w:tabs>
              <w:spacing w:before="60" w:after="60"/>
              <w:ind w:right="57"/>
              <w:jc w:val="right"/>
              <w:rPr>
                <w:b/>
                <w:bCs/>
              </w:rPr>
            </w:pPr>
            <w:r>
              <w:rPr>
                <w:b/>
                <w:bCs/>
              </w:rPr>
              <w:t>216 397</w:t>
            </w:r>
          </w:p>
        </w:tc>
      </w:tr>
      <w:tr w:rsidR="00000000">
        <w:tblPrEx>
          <w:tblCellMar>
            <w:top w:w="0" w:type="dxa"/>
            <w:bottom w:w="0" w:type="dxa"/>
          </w:tblCellMar>
        </w:tblPrEx>
        <w:tc>
          <w:tcPr>
            <w:tcW w:w="2110" w:type="dxa"/>
            <w:tcBorders>
              <w:top w:val="nil"/>
              <w:bottom w:val="nil"/>
            </w:tcBorders>
          </w:tcPr>
          <w:p w:rsidR="00000000" w:rsidRDefault="00000000">
            <w:pPr>
              <w:spacing w:before="60" w:after="60"/>
              <w:ind w:left="284"/>
            </w:pPr>
            <w:r>
              <w:t>Zones rurales</w:t>
            </w:r>
          </w:p>
        </w:tc>
        <w:tc>
          <w:tcPr>
            <w:tcW w:w="1231" w:type="dxa"/>
            <w:tcBorders>
              <w:top w:val="nil"/>
              <w:bottom w:val="nil"/>
            </w:tcBorders>
          </w:tcPr>
          <w:p w:rsidR="00000000" w:rsidRDefault="00000000">
            <w:pPr>
              <w:tabs>
                <w:tab w:val="left" w:pos="567"/>
                <w:tab w:val="left" w:pos="1134"/>
              </w:tabs>
              <w:spacing w:before="60" w:after="60"/>
              <w:ind w:right="57"/>
              <w:jc w:val="right"/>
            </w:pPr>
            <w:r>
              <w:t>181 859</w:t>
            </w:r>
          </w:p>
        </w:tc>
        <w:tc>
          <w:tcPr>
            <w:tcW w:w="1231" w:type="dxa"/>
            <w:tcBorders>
              <w:top w:val="nil"/>
              <w:bottom w:val="nil"/>
            </w:tcBorders>
          </w:tcPr>
          <w:p w:rsidR="00000000" w:rsidRDefault="00000000">
            <w:pPr>
              <w:tabs>
                <w:tab w:val="left" w:pos="567"/>
                <w:tab w:val="left" w:pos="1134"/>
              </w:tabs>
              <w:spacing w:before="60" w:after="60"/>
              <w:ind w:right="57"/>
              <w:jc w:val="right"/>
            </w:pPr>
            <w:r>
              <w:t>92 097</w:t>
            </w:r>
          </w:p>
        </w:tc>
        <w:tc>
          <w:tcPr>
            <w:tcW w:w="1231" w:type="dxa"/>
            <w:tcBorders>
              <w:top w:val="nil"/>
              <w:bottom w:val="nil"/>
            </w:tcBorders>
          </w:tcPr>
          <w:p w:rsidR="00000000" w:rsidRDefault="00000000">
            <w:pPr>
              <w:tabs>
                <w:tab w:val="left" w:pos="567"/>
                <w:tab w:val="left" w:pos="1134"/>
              </w:tabs>
              <w:spacing w:before="60" w:after="60"/>
              <w:ind w:right="57"/>
              <w:jc w:val="right"/>
            </w:pPr>
            <w:r>
              <w:t>89 762</w:t>
            </w:r>
          </w:p>
        </w:tc>
        <w:tc>
          <w:tcPr>
            <w:tcW w:w="1231" w:type="dxa"/>
            <w:tcBorders>
              <w:top w:val="nil"/>
              <w:bottom w:val="nil"/>
            </w:tcBorders>
          </w:tcPr>
          <w:p w:rsidR="00000000" w:rsidRDefault="00000000">
            <w:pPr>
              <w:tabs>
                <w:tab w:val="left" w:pos="567"/>
                <w:tab w:val="left" w:pos="1134"/>
              </w:tabs>
              <w:spacing w:before="60" w:after="60"/>
              <w:ind w:right="57"/>
              <w:jc w:val="right"/>
            </w:pPr>
            <w:r>
              <w:t>191 353</w:t>
            </w:r>
          </w:p>
        </w:tc>
        <w:tc>
          <w:tcPr>
            <w:tcW w:w="1231" w:type="dxa"/>
            <w:tcBorders>
              <w:top w:val="nil"/>
              <w:bottom w:val="nil"/>
            </w:tcBorders>
          </w:tcPr>
          <w:p w:rsidR="00000000" w:rsidRDefault="00000000">
            <w:pPr>
              <w:tabs>
                <w:tab w:val="left" w:pos="567"/>
                <w:tab w:val="left" w:pos="1134"/>
              </w:tabs>
              <w:spacing w:before="60" w:after="60"/>
              <w:ind w:right="57"/>
              <w:jc w:val="right"/>
            </w:pPr>
            <w:r>
              <w:t>99 042</w:t>
            </w:r>
          </w:p>
        </w:tc>
        <w:tc>
          <w:tcPr>
            <w:tcW w:w="1232" w:type="dxa"/>
            <w:tcBorders>
              <w:top w:val="nil"/>
              <w:bottom w:val="nil"/>
            </w:tcBorders>
          </w:tcPr>
          <w:p w:rsidR="00000000" w:rsidRDefault="00000000">
            <w:pPr>
              <w:tabs>
                <w:tab w:val="left" w:pos="567"/>
                <w:tab w:val="left" w:pos="1134"/>
              </w:tabs>
              <w:spacing w:before="60" w:after="60"/>
              <w:ind w:right="57"/>
              <w:jc w:val="right"/>
            </w:pPr>
            <w:r>
              <w:t>92 311</w:t>
            </w:r>
          </w:p>
        </w:tc>
      </w:tr>
      <w:tr w:rsidR="00000000">
        <w:tblPrEx>
          <w:tblCellMar>
            <w:top w:w="0" w:type="dxa"/>
            <w:bottom w:w="0" w:type="dxa"/>
          </w:tblCellMar>
        </w:tblPrEx>
        <w:tc>
          <w:tcPr>
            <w:tcW w:w="2110" w:type="dxa"/>
            <w:tcBorders>
              <w:top w:val="nil"/>
            </w:tcBorders>
          </w:tcPr>
          <w:p w:rsidR="00000000" w:rsidRDefault="00000000">
            <w:pPr>
              <w:spacing w:before="60" w:after="60"/>
              <w:ind w:left="284"/>
            </w:pPr>
            <w:r>
              <w:t>Zones urbaines</w:t>
            </w:r>
          </w:p>
        </w:tc>
        <w:tc>
          <w:tcPr>
            <w:tcW w:w="1231" w:type="dxa"/>
            <w:tcBorders>
              <w:top w:val="nil"/>
            </w:tcBorders>
          </w:tcPr>
          <w:p w:rsidR="00000000" w:rsidRDefault="00000000">
            <w:pPr>
              <w:tabs>
                <w:tab w:val="left" w:pos="567"/>
                <w:tab w:val="left" w:pos="1134"/>
              </w:tabs>
              <w:spacing w:before="60" w:after="60"/>
              <w:ind w:right="57"/>
              <w:jc w:val="right"/>
            </w:pPr>
            <w:r>
              <w:t>205 405</w:t>
            </w:r>
          </w:p>
        </w:tc>
        <w:tc>
          <w:tcPr>
            <w:tcW w:w="1231" w:type="dxa"/>
            <w:tcBorders>
              <w:top w:val="nil"/>
            </w:tcBorders>
          </w:tcPr>
          <w:p w:rsidR="00000000" w:rsidRDefault="00000000">
            <w:pPr>
              <w:tabs>
                <w:tab w:val="left" w:pos="567"/>
                <w:tab w:val="left" w:pos="1134"/>
              </w:tabs>
              <w:spacing w:before="60" w:after="60"/>
              <w:ind w:right="57"/>
              <w:jc w:val="right"/>
            </w:pPr>
            <w:r>
              <w:t>104 334</w:t>
            </w:r>
          </w:p>
        </w:tc>
        <w:tc>
          <w:tcPr>
            <w:tcW w:w="1231" w:type="dxa"/>
            <w:tcBorders>
              <w:top w:val="nil"/>
            </w:tcBorders>
          </w:tcPr>
          <w:p w:rsidR="00000000" w:rsidRDefault="00000000">
            <w:pPr>
              <w:tabs>
                <w:tab w:val="left" w:pos="567"/>
                <w:tab w:val="left" w:pos="1134"/>
              </w:tabs>
              <w:spacing w:before="60" w:after="60"/>
              <w:ind w:right="57"/>
              <w:jc w:val="right"/>
            </w:pPr>
            <w:r>
              <w:t>101 071</w:t>
            </w:r>
          </w:p>
        </w:tc>
        <w:tc>
          <w:tcPr>
            <w:tcW w:w="1231" w:type="dxa"/>
            <w:tcBorders>
              <w:top w:val="nil"/>
            </w:tcBorders>
          </w:tcPr>
          <w:p w:rsidR="00000000" w:rsidRDefault="00000000">
            <w:pPr>
              <w:tabs>
                <w:tab w:val="left" w:pos="567"/>
                <w:tab w:val="left" w:pos="1134"/>
              </w:tabs>
              <w:spacing w:before="60" w:after="60"/>
              <w:ind w:right="57"/>
              <w:jc w:val="right"/>
            </w:pPr>
            <w:r>
              <w:t>258 113</w:t>
            </w:r>
          </w:p>
        </w:tc>
        <w:tc>
          <w:tcPr>
            <w:tcW w:w="1231" w:type="dxa"/>
            <w:tcBorders>
              <w:top w:val="nil"/>
            </w:tcBorders>
          </w:tcPr>
          <w:p w:rsidR="00000000" w:rsidRDefault="00000000">
            <w:pPr>
              <w:tabs>
                <w:tab w:val="left" w:pos="567"/>
                <w:tab w:val="left" w:pos="1134"/>
              </w:tabs>
              <w:spacing w:before="60" w:after="60"/>
              <w:ind w:right="57"/>
              <w:jc w:val="right"/>
            </w:pPr>
            <w:r>
              <w:t>134 027</w:t>
            </w:r>
          </w:p>
        </w:tc>
        <w:tc>
          <w:tcPr>
            <w:tcW w:w="1232" w:type="dxa"/>
            <w:tcBorders>
              <w:top w:val="nil"/>
            </w:tcBorders>
          </w:tcPr>
          <w:p w:rsidR="00000000" w:rsidRDefault="00000000">
            <w:pPr>
              <w:tabs>
                <w:tab w:val="left" w:pos="567"/>
                <w:tab w:val="left" w:pos="1134"/>
              </w:tabs>
              <w:spacing w:before="60" w:after="60"/>
              <w:ind w:right="57"/>
              <w:jc w:val="right"/>
            </w:pPr>
            <w:r>
              <w:t>124 086</w:t>
            </w:r>
          </w:p>
        </w:tc>
      </w:tr>
      <w:tr w:rsidR="00000000">
        <w:tblPrEx>
          <w:tblCellMar>
            <w:top w:w="0" w:type="dxa"/>
            <w:bottom w:w="0" w:type="dxa"/>
          </w:tblCellMar>
        </w:tblPrEx>
        <w:tc>
          <w:tcPr>
            <w:tcW w:w="2110" w:type="dxa"/>
            <w:tcBorders>
              <w:bottom w:val="nil"/>
            </w:tcBorders>
          </w:tcPr>
          <w:p w:rsidR="00000000" w:rsidRDefault="00000000">
            <w:pPr>
              <w:spacing w:before="60" w:after="60"/>
              <w:ind w:right="57"/>
              <w:rPr>
                <w:b/>
                <w:bCs/>
              </w:rPr>
            </w:pPr>
            <w:r>
              <w:rPr>
                <w:b/>
                <w:bCs/>
              </w:rPr>
              <w:t>6 à 13 ans</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1 362 179</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692 745</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669 434</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1 687 123</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861 136</w:t>
            </w:r>
          </w:p>
        </w:tc>
        <w:tc>
          <w:tcPr>
            <w:tcW w:w="1232" w:type="dxa"/>
            <w:tcBorders>
              <w:bottom w:val="nil"/>
            </w:tcBorders>
          </w:tcPr>
          <w:p w:rsidR="00000000" w:rsidRDefault="00000000">
            <w:pPr>
              <w:tabs>
                <w:tab w:val="left" w:pos="567"/>
                <w:tab w:val="left" w:pos="1134"/>
              </w:tabs>
              <w:spacing w:before="60" w:after="60"/>
              <w:ind w:right="57"/>
              <w:jc w:val="right"/>
              <w:rPr>
                <w:b/>
                <w:bCs/>
              </w:rPr>
            </w:pPr>
            <w:r>
              <w:rPr>
                <w:b/>
                <w:bCs/>
              </w:rPr>
              <w:t>825 987</w:t>
            </w:r>
          </w:p>
        </w:tc>
      </w:tr>
      <w:tr w:rsidR="00000000">
        <w:tblPrEx>
          <w:tblCellMar>
            <w:top w:w="0" w:type="dxa"/>
            <w:bottom w:w="0" w:type="dxa"/>
          </w:tblCellMar>
        </w:tblPrEx>
        <w:tc>
          <w:tcPr>
            <w:tcW w:w="2110" w:type="dxa"/>
            <w:tcBorders>
              <w:top w:val="nil"/>
              <w:bottom w:val="nil"/>
            </w:tcBorders>
          </w:tcPr>
          <w:p w:rsidR="00000000" w:rsidRDefault="00000000">
            <w:pPr>
              <w:spacing w:before="60" w:after="60"/>
              <w:ind w:left="284"/>
            </w:pPr>
            <w:r>
              <w:t>Zones rurales</w:t>
            </w:r>
          </w:p>
        </w:tc>
        <w:tc>
          <w:tcPr>
            <w:tcW w:w="1231" w:type="dxa"/>
            <w:tcBorders>
              <w:top w:val="nil"/>
              <w:bottom w:val="nil"/>
            </w:tcBorders>
          </w:tcPr>
          <w:p w:rsidR="00000000" w:rsidRDefault="00000000">
            <w:pPr>
              <w:tabs>
                <w:tab w:val="left" w:pos="567"/>
                <w:tab w:val="left" w:pos="1134"/>
              </w:tabs>
              <w:spacing w:before="60" w:after="60"/>
              <w:ind w:right="57"/>
              <w:jc w:val="right"/>
            </w:pPr>
            <w:r>
              <w:t>608 500</w:t>
            </w:r>
          </w:p>
        </w:tc>
        <w:tc>
          <w:tcPr>
            <w:tcW w:w="1231" w:type="dxa"/>
            <w:tcBorders>
              <w:top w:val="nil"/>
              <w:bottom w:val="nil"/>
            </w:tcBorders>
          </w:tcPr>
          <w:p w:rsidR="00000000" w:rsidRDefault="00000000">
            <w:pPr>
              <w:tabs>
                <w:tab w:val="left" w:pos="567"/>
                <w:tab w:val="left" w:pos="1134"/>
              </w:tabs>
              <w:spacing w:before="60" w:after="60"/>
              <w:ind w:right="57"/>
              <w:jc w:val="right"/>
            </w:pPr>
            <w:r>
              <w:t>312 443</w:t>
            </w:r>
          </w:p>
        </w:tc>
        <w:tc>
          <w:tcPr>
            <w:tcW w:w="1231" w:type="dxa"/>
            <w:tcBorders>
              <w:top w:val="nil"/>
              <w:bottom w:val="nil"/>
            </w:tcBorders>
          </w:tcPr>
          <w:p w:rsidR="00000000" w:rsidRDefault="00000000">
            <w:pPr>
              <w:tabs>
                <w:tab w:val="left" w:pos="567"/>
                <w:tab w:val="left" w:pos="1134"/>
              </w:tabs>
              <w:spacing w:before="60" w:after="60"/>
              <w:ind w:right="57"/>
              <w:jc w:val="right"/>
            </w:pPr>
            <w:r>
              <w:t>296 057</w:t>
            </w:r>
          </w:p>
        </w:tc>
        <w:tc>
          <w:tcPr>
            <w:tcW w:w="1231" w:type="dxa"/>
            <w:tcBorders>
              <w:top w:val="nil"/>
              <w:bottom w:val="nil"/>
            </w:tcBorders>
          </w:tcPr>
          <w:p w:rsidR="00000000" w:rsidRDefault="00000000">
            <w:pPr>
              <w:tabs>
                <w:tab w:val="left" w:pos="567"/>
                <w:tab w:val="left" w:pos="1134"/>
              </w:tabs>
              <w:spacing w:before="60" w:after="60"/>
              <w:ind w:right="57"/>
              <w:jc w:val="right"/>
            </w:pPr>
            <w:r>
              <w:t>682 743</w:t>
            </w:r>
          </w:p>
        </w:tc>
        <w:tc>
          <w:tcPr>
            <w:tcW w:w="1231" w:type="dxa"/>
            <w:tcBorders>
              <w:top w:val="nil"/>
              <w:bottom w:val="nil"/>
            </w:tcBorders>
          </w:tcPr>
          <w:p w:rsidR="00000000" w:rsidRDefault="00000000">
            <w:pPr>
              <w:tabs>
                <w:tab w:val="left" w:pos="567"/>
                <w:tab w:val="left" w:pos="1134"/>
              </w:tabs>
              <w:spacing w:before="60" w:after="60"/>
              <w:ind w:right="57"/>
              <w:jc w:val="right"/>
            </w:pPr>
            <w:r>
              <w:t>353 842</w:t>
            </w:r>
          </w:p>
        </w:tc>
        <w:tc>
          <w:tcPr>
            <w:tcW w:w="1232" w:type="dxa"/>
            <w:tcBorders>
              <w:top w:val="nil"/>
              <w:bottom w:val="nil"/>
            </w:tcBorders>
          </w:tcPr>
          <w:p w:rsidR="00000000" w:rsidRDefault="00000000">
            <w:pPr>
              <w:tabs>
                <w:tab w:val="left" w:pos="567"/>
                <w:tab w:val="left" w:pos="1134"/>
              </w:tabs>
              <w:spacing w:before="60" w:after="60"/>
              <w:ind w:right="57"/>
              <w:jc w:val="right"/>
            </w:pPr>
            <w:r>
              <w:t>328 901</w:t>
            </w:r>
          </w:p>
        </w:tc>
      </w:tr>
      <w:tr w:rsidR="00000000">
        <w:tblPrEx>
          <w:tblCellMar>
            <w:top w:w="0" w:type="dxa"/>
            <w:bottom w:w="0" w:type="dxa"/>
          </w:tblCellMar>
        </w:tblPrEx>
        <w:tc>
          <w:tcPr>
            <w:tcW w:w="2110" w:type="dxa"/>
            <w:tcBorders>
              <w:top w:val="nil"/>
            </w:tcBorders>
          </w:tcPr>
          <w:p w:rsidR="00000000" w:rsidRDefault="00000000">
            <w:pPr>
              <w:spacing w:before="60" w:after="60"/>
              <w:ind w:left="284"/>
            </w:pPr>
            <w:r>
              <w:t>Zones urbaines</w:t>
            </w:r>
          </w:p>
        </w:tc>
        <w:tc>
          <w:tcPr>
            <w:tcW w:w="1231" w:type="dxa"/>
            <w:tcBorders>
              <w:top w:val="nil"/>
            </w:tcBorders>
          </w:tcPr>
          <w:p w:rsidR="00000000" w:rsidRDefault="00000000">
            <w:pPr>
              <w:tabs>
                <w:tab w:val="left" w:pos="567"/>
                <w:tab w:val="left" w:pos="1134"/>
              </w:tabs>
              <w:spacing w:before="60" w:after="60"/>
              <w:ind w:right="57"/>
              <w:jc w:val="right"/>
            </w:pPr>
            <w:r>
              <w:t>753 679</w:t>
            </w:r>
          </w:p>
        </w:tc>
        <w:tc>
          <w:tcPr>
            <w:tcW w:w="1231" w:type="dxa"/>
            <w:tcBorders>
              <w:top w:val="nil"/>
            </w:tcBorders>
          </w:tcPr>
          <w:p w:rsidR="00000000" w:rsidRDefault="00000000">
            <w:pPr>
              <w:tabs>
                <w:tab w:val="left" w:pos="567"/>
                <w:tab w:val="left" w:pos="1134"/>
              </w:tabs>
              <w:spacing w:before="60" w:after="60"/>
              <w:ind w:right="57"/>
              <w:jc w:val="right"/>
            </w:pPr>
            <w:r>
              <w:t>380 302</w:t>
            </w:r>
          </w:p>
        </w:tc>
        <w:tc>
          <w:tcPr>
            <w:tcW w:w="1231" w:type="dxa"/>
            <w:tcBorders>
              <w:top w:val="nil"/>
            </w:tcBorders>
          </w:tcPr>
          <w:p w:rsidR="00000000" w:rsidRDefault="00000000">
            <w:pPr>
              <w:tabs>
                <w:tab w:val="left" w:pos="567"/>
                <w:tab w:val="left" w:pos="1134"/>
              </w:tabs>
              <w:spacing w:before="60" w:after="60"/>
              <w:ind w:right="57"/>
              <w:jc w:val="right"/>
            </w:pPr>
            <w:r>
              <w:t>373 377</w:t>
            </w:r>
          </w:p>
        </w:tc>
        <w:tc>
          <w:tcPr>
            <w:tcW w:w="1231" w:type="dxa"/>
            <w:tcBorders>
              <w:top w:val="nil"/>
            </w:tcBorders>
          </w:tcPr>
          <w:p w:rsidR="00000000" w:rsidRDefault="00000000">
            <w:pPr>
              <w:tabs>
                <w:tab w:val="left" w:pos="567"/>
                <w:tab w:val="left" w:pos="1134"/>
              </w:tabs>
              <w:spacing w:before="60" w:after="60"/>
              <w:ind w:right="57"/>
              <w:jc w:val="right"/>
            </w:pPr>
            <w:r>
              <w:t>1 004 380</w:t>
            </w:r>
          </w:p>
        </w:tc>
        <w:tc>
          <w:tcPr>
            <w:tcW w:w="1231" w:type="dxa"/>
            <w:tcBorders>
              <w:top w:val="nil"/>
            </w:tcBorders>
          </w:tcPr>
          <w:p w:rsidR="00000000" w:rsidRDefault="00000000">
            <w:pPr>
              <w:tabs>
                <w:tab w:val="left" w:pos="567"/>
                <w:tab w:val="left" w:pos="1134"/>
              </w:tabs>
              <w:spacing w:before="60" w:after="60"/>
              <w:ind w:right="57"/>
              <w:jc w:val="right"/>
            </w:pPr>
            <w:r>
              <w:t>507 294</w:t>
            </w:r>
          </w:p>
        </w:tc>
        <w:tc>
          <w:tcPr>
            <w:tcW w:w="1232" w:type="dxa"/>
            <w:tcBorders>
              <w:top w:val="nil"/>
            </w:tcBorders>
          </w:tcPr>
          <w:p w:rsidR="00000000" w:rsidRDefault="00000000">
            <w:pPr>
              <w:tabs>
                <w:tab w:val="left" w:pos="567"/>
                <w:tab w:val="left" w:pos="1134"/>
              </w:tabs>
              <w:spacing w:before="60" w:after="60"/>
              <w:ind w:right="57"/>
              <w:jc w:val="right"/>
            </w:pPr>
            <w:r>
              <w:t>497 086</w:t>
            </w:r>
          </w:p>
        </w:tc>
      </w:tr>
      <w:tr w:rsidR="00000000">
        <w:tblPrEx>
          <w:tblCellMar>
            <w:top w:w="0" w:type="dxa"/>
            <w:bottom w:w="0" w:type="dxa"/>
          </w:tblCellMar>
        </w:tblPrEx>
        <w:tc>
          <w:tcPr>
            <w:tcW w:w="2110" w:type="dxa"/>
            <w:tcBorders>
              <w:bottom w:val="nil"/>
            </w:tcBorders>
          </w:tcPr>
          <w:p w:rsidR="00000000" w:rsidRDefault="00000000">
            <w:pPr>
              <w:spacing w:before="60" w:after="60"/>
              <w:ind w:right="57"/>
              <w:rPr>
                <w:b/>
                <w:bCs/>
              </w:rPr>
            </w:pPr>
            <w:r>
              <w:rPr>
                <w:b/>
                <w:bCs/>
              </w:rPr>
              <w:t xml:space="preserve">14 à 17 ans </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562 876</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279 723</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283 153</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729 350</w:t>
            </w:r>
          </w:p>
        </w:tc>
        <w:tc>
          <w:tcPr>
            <w:tcW w:w="1231" w:type="dxa"/>
            <w:tcBorders>
              <w:bottom w:val="nil"/>
            </w:tcBorders>
          </w:tcPr>
          <w:p w:rsidR="00000000" w:rsidRDefault="00000000">
            <w:pPr>
              <w:tabs>
                <w:tab w:val="left" w:pos="567"/>
                <w:tab w:val="left" w:pos="1134"/>
              </w:tabs>
              <w:spacing w:before="60" w:after="60"/>
              <w:ind w:right="57"/>
              <w:jc w:val="right"/>
              <w:rPr>
                <w:b/>
                <w:bCs/>
              </w:rPr>
            </w:pPr>
            <w:r>
              <w:rPr>
                <w:b/>
                <w:bCs/>
              </w:rPr>
              <w:t>366 847</w:t>
            </w:r>
          </w:p>
        </w:tc>
        <w:tc>
          <w:tcPr>
            <w:tcW w:w="1232" w:type="dxa"/>
            <w:tcBorders>
              <w:bottom w:val="nil"/>
            </w:tcBorders>
          </w:tcPr>
          <w:p w:rsidR="00000000" w:rsidRDefault="00000000">
            <w:pPr>
              <w:tabs>
                <w:tab w:val="left" w:pos="567"/>
                <w:tab w:val="left" w:pos="1134"/>
              </w:tabs>
              <w:spacing w:before="60" w:after="60"/>
              <w:ind w:right="57"/>
              <w:jc w:val="right"/>
              <w:rPr>
                <w:b/>
                <w:bCs/>
              </w:rPr>
            </w:pPr>
            <w:r>
              <w:rPr>
                <w:b/>
                <w:bCs/>
              </w:rPr>
              <w:t>362 503</w:t>
            </w:r>
          </w:p>
        </w:tc>
      </w:tr>
      <w:tr w:rsidR="00000000">
        <w:tblPrEx>
          <w:tblCellMar>
            <w:top w:w="0" w:type="dxa"/>
            <w:bottom w:w="0" w:type="dxa"/>
          </w:tblCellMar>
        </w:tblPrEx>
        <w:tc>
          <w:tcPr>
            <w:tcW w:w="2110" w:type="dxa"/>
            <w:tcBorders>
              <w:top w:val="nil"/>
              <w:bottom w:val="nil"/>
            </w:tcBorders>
          </w:tcPr>
          <w:p w:rsidR="00000000" w:rsidRDefault="00000000">
            <w:pPr>
              <w:spacing w:before="60" w:after="60"/>
              <w:ind w:left="284"/>
            </w:pPr>
            <w:r>
              <w:t>Zones rurales</w:t>
            </w:r>
          </w:p>
        </w:tc>
        <w:tc>
          <w:tcPr>
            <w:tcW w:w="1231" w:type="dxa"/>
            <w:tcBorders>
              <w:top w:val="nil"/>
              <w:bottom w:val="nil"/>
            </w:tcBorders>
          </w:tcPr>
          <w:p w:rsidR="00000000" w:rsidRDefault="00000000">
            <w:pPr>
              <w:tabs>
                <w:tab w:val="left" w:pos="567"/>
                <w:tab w:val="left" w:pos="1134"/>
              </w:tabs>
              <w:spacing w:before="60" w:after="60"/>
              <w:ind w:right="57"/>
              <w:jc w:val="right"/>
            </w:pPr>
            <w:r>
              <w:t>211 542</w:t>
            </w:r>
          </w:p>
        </w:tc>
        <w:tc>
          <w:tcPr>
            <w:tcW w:w="1231" w:type="dxa"/>
            <w:tcBorders>
              <w:top w:val="nil"/>
              <w:bottom w:val="nil"/>
            </w:tcBorders>
          </w:tcPr>
          <w:p w:rsidR="00000000" w:rsidRDefault="00000000">
            <w:pPr>
              <w:tabs>
                <w:tab w:val="left" w:pos="567"/>
                <w:tab w:val="left" w:pos="1134"/>
              </w:tabs>
              <w:spacing w:before="60" w:after="60"/>
              <w:ind w:right="57"/>
              <w:jc w:val="right"/>
            </w:pPr>
            <w:r>
              <w:t>110 518</w:t>
            </w:r>
          </w:p>
        </w:tc>
        <w:tc>
          <w:tcPr>
            <w:tcW w:w="1231" w:type="dxa"/>
            <w:tcBorders>
              <w:top w:val="nil"/>
              <w:bottom w:val="nil"/>
            </w:tcBorders>
          </w:tcPr>
          <w:p w:rsidR="00000000" w:rsidRDefault="00000000">
            <w:pPr>
              <w:tabs>
                <w:tab w:val="left" w:pos="567"/>
                <w:tab w:val="left" w:pos="1134"/>
              </w:tabs>
              <w:spacing w:before="60" w:after="60"/>
              <w:ind w:right="57"/>
              <w:jc w:val="right"/>
            </w:pPr>
            <w:r>
              <w:t>101 024</w:t>
            </w:r>
          </w:p>
        </w:tc>
        <w:tc>
          <w:tcPr>
            <w:tcW w:w="1231" w:type="dxa"/>
            <w:tcBorders>
              <w:top w:val="nil"/>
              <w:bottom w:val="nil"/>
            </w:tcBorders>
          </w:tcPr>
          <w:p w:rsidR="00000000" w:rsidRDefault="00000000">
            <w:pPr>
              <w:tabs>
                <w:tab w:val="left" w:pos="567"/>
                <w:tab w:val="left" w:pos="1134"/>
              </w:tabs>
              <w:spacing w:before="60" w:after="60"/>
              <w:ind w:right="57"/>
              <w:jc w:val="right"/>
            </w:pPr>
            <w:r>
              <w:t>249 745</w:t>
            </w:r>
          </w:p>
        </w:tc>
        <w:tc>
          <w:tcPr>
            <w:tcW w:w="1231" w:type="dxa"/>
            <w:tcBorders>
              <w:top w:val="nil"/>
              <w:bottom w:val="nil"/>
            </w:tcBorders>
          </w:tcPr>
          <w:p w:rsidR="00000000" w:rsidRDefault="00000000">
            <w:pPr>
              <w:tabs>
                <w:tab w:val="left" w:pos="567"/>
                <w:tab w:val="left" w:pos="1134"/>
              </w:tabs>
              <w:spacing w:before="60" w:after="60"/>
              <w:ind w:right="57"/>
              <w:jc w:val="right"/>
            </w:pPr>
            <w:r>
              <w:t>133 374</w:t>
            </w:r>
          </w:p>
        </w:tc>
        <w:tc>
          <w:tcPr>
            <w:tcW w:w="1232" w:type="dxa"/>
            <w:tcBorders>
              <w:top w:val="nil"/>
              <w:bottom w:val="nil"/>
            </w:tcBorders>
          </w:tcPr>
          <w:p w:rsidR="00000000" w:rsidRDefault="00000000">
            <w:pPr>
              <w:tabs>
                <w:tab w:val="left" w:pos="567"/>
                <w:tab w:val="left" w:pos="1134"/>
              </w:tabs>
              <w:spacing w:before="60" w:after="60"/>
              <w:ind w:right="57"/>
              <w:jc w:val="right"/>
            </w:pPr>
            <w:r>
              <w:t>116 371</w:t>
            </w:r>
          </w:p>
        </w:tc>
      </w:tr>
      <w:tr w:rsidR="00000000">
        <w:tblPrEx>
          <w:tblCellMar>
            <w:top w:w="0" w:type="dxa"/>
            <w:bottom w:w="0" w:type="dxa"/>
          </w:tblCellMar>
        </w:tblPrEx>
        <w:tc>
          <w:tcPr>
            <w:tcW w:w="2110" w:type="dxa"/>
            <w:tcBorders>
              <w:top w:val="nil"/>
            </w:tcBorders>
          </w:tcPr>
          <w:p w:rsidR="00000000" w:rsidRDefault="00000000">
            <w:pPr>
              <w:spacing w:before="60" w:after="60"/>
              <w:ind w:left="284"/>
            </w:pPr>
            <w:r>
              <w:t>Zones urbaines</w:t>
            </w:r>
          </w:p>
        </w:tc>
        <w:tc>
          <w:tcPr>
            <w:tcW w:w="1231" w:type="dxa"/>
            <w:tcBorders>
              <w:top w:val="nil"/>
            </w:tcBorders>
          </w:tcPr>
          <w:p w:rsidR="00000000" w:rsidRDefault="00000000">
            <w:pPr>
              <w:tabs>
                <w:tab w:val="left" w:pos="567"/>
                <w:tab w:val="left" w:pos="1134"/>
              </w:tabs>
              <w:spacing w:before="60" w:after="60"/>
              <w:ind w:right="57"/>
              <w:jc w:val="right"/>
            </w:pPr>
            <w:r>
              <w:t>351 334</w:t>
            </w:r>
          </w:p>
        </w:tc>
        <w:tc>
          <w:tcPr>
            <w:tcW w:w="1231" w:type="dxa"/>
            <w:tcBorders>
              <w:top w:val="nil"/>
            </w:tcBorders>
          </w:tcPr>
          <w:p w:rsidR="00000000" w:rsidRDefault="00000000">
            <w:pPr>
              <w:tabs>
                <w:tab w:val="left" w:pos="567"/>
                <w:tab w:val="left" w:pos="1134"/>
              </w:tabs>
              <w:spacing w:before="60" w:after="60"/>
              <w:ind w:right="57"/>
              <w:jc w:val="right"/>
            </w:pPr>
            <w:r>
              <w:t>169 205</w:t>
            </w:r>
          </w:p>
        </w:tc>
        <w:tc>
          <w:tcPr>
            <w:tcW w:w="1231" w:type="dxa"/>
            <w:tcBorders>
              <w:top w:val="nil"/>
            </w:tcBorders>
          </w:tcPr>
          <w:p w:rsidR="00000000" w:rsidRDefault="00000000">
            <w:pPr>
              <w:tabs>
                <w:tab w:val="left" w:pos="567"/>
                <w:tab w:val="left" w:pos="1134"/>
              </w:tabs>
              <w:spacing w:before="60" w:after="60"/>
              <w:ind w:right="57"/>
              <w:jc w:val="right"/>
            </w:pPr>
            <w:r>
              <w:t>182 129</w:t>
            </w:r>
          </w:p>
        </w:tc>
        <w:tc>
          <w:tcPr>
            <w:tcW w:w="1231" w:type="dxa"/>
            <w:tcBorders>
              <w:top w:val="nil"/>
            </w:tcBorders>
          </w:tcPr>
          <w:p w:rsidR="00000000" w:rsidRDefault="00000000">
            <w:pPr>
              <w:tabs>
                <w:tab w:val="left" w:pos="567"/>
                <w:tab w:val="left" w:pos="1134"/>
              </w:tabs>
              <w:spacing w:before="60" w:after="60"/>
              <w:ind w:right="57"/>
              <w:jc w:val="right"/>
            </w:pPr>
            <w:r>
              <w:t>479 605</w:t>
            </w:r>
          </w:p>
        </w:tc>
        <w:tc>
          <w:tcPr>
            <w:tcW w:w="1231" w:type="dxa"/>
            <w:tcBorders>
              <w:top w:val="nil"/>
            </w:tcBorders>
          </w:tcPr>
          <w:p w:rsidR="00000000" w:rsidRDefault="00000000">
            <w:pPr>
              <w:tabs>
                <w:tab w:val="left" w:pos="567"/>
                <w:tab w:val="left" w:pos="1134"/>
              </w:tabs>
              <w:spacing w:before="60" w:after="60"/>
              <w:ind w:right="57"/>
              <w:jc w:val="right"/>
            </w:pPr>
            <w:r>
              <w:t>233 473</w:t>
            </w:r>
          </w:p>
        </w:tc>
        <w:tc>
          <w:tcPr>
            <w:tcW w:w="1232" w:type="dxa"/>
            <w:tcBorders>
              <w:top w:val="nil"/>
            </w:tcBorders>
          </w:tcPr>
          <w:p w:rsidR="00000000" w:rsidRDefault="00000000">
            <w:pPr>
              <w:tabs>
                <w:tab w:val="left" w:pos="567"/>
                <w:tab w:val="left" w:pos="1134"/>
              </w:tabs>
              <w:spacing w:before="60" w:after="60"/>
              <w:ind w:right="57"/>
              <w:jc w:val="right"/>
            </w:pPr>
            <w:r>
              <w:t>246 132</w:t>
            </w:r>
          </w:p>
        </w:tc>
      </w:tr>
    </w:tbl>
    <w:p w:rsidR="00000000" w:rsidRDefault="00000000">
      <w:pPr>
        <w:spacing w:before="240" w:after="360"/>
        <w:ind w:firstLine="567"/>
        <w:rPr>
          <w:i/>
          <w:iCs/>
        </w:rPr>
      </w:pPr>
      <w:r>
        <w:rPr>
          <w:i/>
          <w:iCs/>
        </w:rPr>
        <w:t>Source</w:t>
      </w:r>
      <w:r>
        <w:t xml:space="preserve">: </w:t>
      </w:r>
      <w:r>
        <w:rPr>
          <w:i/>
          <w:iCs/>
        </w:rPr>
        <w:t>INE (2002d)</w:t>
      </w:r>
      <w:r>
        <w:t>.</w:t>
      </w:r>
    </w:p>
    <w:p w:rsidR="00000000" w:rsidRDefault="00000000">
      <w:pPr>
        <w:keepLines/>
        <w:spacing w:after="240"/>
      </w:pPr>
      <w:r>
        <w:t>194.</w:t>
      </w:r>
      <w:r>
        <w:tab/>
        <w:t>La croissance a été plus grande dans le groupe des 14 à 17 ans (29,6 %), qui est la population cible de l’enseignement secondaire, et la croissance la plus faible correspond à la population de 4 à 5 ans (15,6 %) destinée à l’enseignement préscolaire. L’accroissement de la population qui devrait suivre l’enseignement primaire est de 23,9 %. Ce comportement de la population d’âge scolaire fait apparaître, d’une manière générale, la nécessité d’augmenter l’offre éducative pour satisfaire une demande croissante. La population de 0 à 3 ans a augmenté de 15,6 %, ce qui veut dire que par rapport à 1992 il existe une plus grande demande potentielle d’éducation en 2001, cette demande étant appelée à se concrétiser dans les prochaines années.</w:t>
      </w:r>
    </w:p>
    <w:p w:rsidR="00000000" w:rsidRDefault="00000000">
      <w:pPr>
        <w:spacing w:after="240"/>
      </w:pPr>
      <w:r>
        <w:t>195.</w:t>
      </w:r>
      <w:r>
        <w:tab/>
        <w:t>L’accroissement des effectifs scolaires dans la période 1992</w:t>
      </w:r>
      <w:r>
        <w:noBreakHyphen/>
        <w:t>2001 a été de 59,9 % au niveau préscolaire, de 34,5 % dans l’enseignement primaire et de 94,8 % dans l’enseignement secondaire (tableau 2). Ces taux de croissance sont très supérieurs aux taux de croissance démographique des différents groupes d’âge, ce qui tendrait à montrer que de plus en plus d’enfants fréquentent l’école, grâce à l’action du système d’enseignement et à d’autres facteurs comme les migrations et les décisions des familles, entre autres choses.</w:t>
      </w:r>
    </w:p>
    <w:p w:rsidR="00000000" w:rsidRDefault="00000000">
      <w:pPr>
        <w:keepNext/>
        <w:keepLines/>
        <w:spacing w:after="240"/>
        <w:jc w:val="center"/>
        <w:rPr>
          <w:b/>
          <w:bCs/>
        </w:rPr>
      </w:pPr>
      <w:r>
        <w:rPr>
          <w:b/>
          <w:bCs/>
        </w:rPr>
        <w:t>Tableau 2</w:t>
      </w:r>
    </w:p>
    <w:p w:rsidR="00000000" w:rsidRDefault="00000000">
      <w:pPr>
        <w:keepNext/>
        <w:keepLines/>
        <w:spacing w:after="240"/>
        <w:jc w:val="center"/>
        <w:rPr>
          <w:b/>
          <w:bCs/>
        </w:rPr>
      </w:pPr>
      <w:r>
        <w:rPr>
          <w:b/>
          <w:bCs/>
        </w:rPr>
        <w:t xml:space="preserve">Bolivie − Établissements d’enseignement publics et privés: Évolution des effectifs </w:t>
      </w:r>
      <w:r>
        <w:rPr>
          <w:b/>
          <w:bCs/>
        </w:rPr>
        <w:br/>
        <w:t>par niveau de l’enseignement et par sexe (1992, 1995, 2000, 2001, 2002)</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1"/>
        <w:gridCol w:w="1477"/>
        <w:gridCol w:w="1477"/>
        <w:gridCol w:w="1477"/>
        <w:gridCol w:w="1477"/>
        <w:gridCol w:w="1478"/>
      </w:tblGrid>
      <w:tr w:rsidR="00000000">
        <w:tblPrEx>
          <w:tblCellMar>
            <w:top w:w="0" w:type="dxa"/>
            <w:bottom w:w="0" w:type="dxa"/>
          </w:tblCellMar>
        </w:tblPrEx>
        <w:trPr>
          <w:tblHeader/>
          <w:jc w:val="center"/>
        </w:trPr>
        <w:tc>
          <w:tcPr>
            <w:tcW w:w="2111" w:type="dxa"/>
          </w:tcPr>
          <w:p w:rsidR="00000000" w:rsidRDefault="00000000">
            <w:pPr>
              <w:keepNext/>
              <w:keepLines/>
              <w:spacing w:before="50" w:after="50"/>
              <w:jc w:val="center"/>
            </w:pPr>
            <w:r>
              <w:t xml:space="preserve">Niveau </w:t>
            </w:r>
          </w:p>
        </w:tc>
        <w:tc>
          <w:tcPr>
            <w:tcW w:w="1477" w:type="dxa"/>
            <w:vAlign w:val="center"/>
          </w:tcPr>
          <w:p w:rsidR="00000000" w:rsidRDefault="00000000">
            <w:pPr>
              <w:keepNext/>
              <w:keepLines/>
              <w:spacing w:before="50" w:after="50"/>
              <w:jc w:val="center"/>
            </w:pPr>
            <w:r>
              <w:t>1992</w:t>
            </w:r>
          </w:p>
        </w:tc>
        <w:tc>
          <w:tcPr>
            <w:tcW w:w="1477" w:type="dxa"/>
            <w:vAlign w:val="center"/>
          </w:tcPr>
          <w:p w:rsidR="00000000" w:rsidRDefault="00000000">
            <w:pPr>
              <w:keepNext/>
              <w:keepLines/>
              <w:spacing w:before="50" w:after="50"/>
              <w:jc w:val="center"/>
            </w:pPr>
            <w:r>
              <w:t>1995</w:t>
            </w:r>
          </w:p>
        </w:tc>
        <w:tc>
          <w:tcPr>
            <w:tcW w:w="1477" w:type="dxa"/>
            <w:vAlign w:val="center"/>
          </w:tcPr>
          <w:p w:rsidR="00000000" w:rsidRDefault="00000000">
            <w:pPr>
              <w:keepNext/>
              <w:keepLines/>
              <w:spacing w:before="50" w:after="50"/>
              <w:jc w:val="center"/>
            </w:pPr>
            <w:r>
              <w:t>2000</w:t>
            </w:r>
          </w:p>
        </w:tc>
        <w:tc>
          <w:tcPr>
            <w:tcW w:w="1477" w:type="dxa"/>
            <w:vAlign w:val="center"/>
          </w:tcPr>
          <w:p w:rsidR="00000000" w:rsidRDefault="00000000">
            <w:pPr>
              <w:keepNext/>
              <w:keepLines/>
              <w:spacing w:before="50" w:after="50"/>
              <w:jc w:val="center"/>
            </w:pPr>
            <w:r>
              <w:t>2001</w:t>
            </w:r>
          </w:p>
        </w:tc>
        <w:tc>
          <w:tcPr>
            <w:tcW w:w="1478" w:type="dxa"/>
            <w:vAlign w:val="center"/>
          </w:tcPr>
          <w:p w:rsidR="00000000" w:rsidRDefault="00000000">
            <w:pPr>
              <w:keepNext/>
              <w:keepLines/>
              <w:spacing w:before="50" w:after="50"/>
              <w:jc w:val="center"/>
            </w:pPr>
            <w:r>
              <w:t>2002</w:t>
            </w:r>
          </w:p>
        </w:tc>
      </w:tr>
      <w:tr w:rsidR="00000000">
        <w:tblPrEx>
          <w:tblCellMar>
            <w:top w:w="0" w:type="dxa"/>
            <w:bottom w:w="0" w:type="dxa"/>
          </w:tblCellMar>
        </w:tblPrEx>
        <w:trPr>
          <w:jc w:val="center"/>
        </w:trPr>
        <w:tc>
          <w:tcPr>
            <w:tcW w:w="2111" w:type="dxa"/>
            <w:tcBorders>
              <w:bottom w:val="nil"/>
            </w:tcBorders>
          </w:tcPr>
          <w:p w:rsidR="00000000" w:rsidRDefault="00000000">
            <w:pPr>
              <w:spacing w:before="50" w:after="50"/>
              <w:rPr>
                <w:b/>
                <w:bCs/>
              </w:rPr>
            </w:pPr>
            <w:r>
              <w:rPr>
                <w:b/>
                <w:bCs/>
              </w:rPr>
              <w:t>Préscolaire</w:t>
            </w:r>
          </w:p>
        </w:tc>
        <w:tc>
          <w:tcPr>
            <w:tcW w:w="1477"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136 520</w:t>
            </w:r>
          </w:p>
        </w:tc>
        <w:tc>
          <w:tcPr>
            <w:tcW w:w="1477"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156 912</w:t>
            </w:r>
          </w:p>
        </w:tc>
        <w:tc>
          <w:tcPr>
            <w:tcW w:w="1477"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215 602</w:t>
            </w:r>
          </w:p>
        </w:tc>
        <w:tc>
          <w:tcPr>
            <w:tcW w:w="1477"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218 237</w:t>
            </w:r>
          </w:p>
        </w:tc>
        <w:tc>
          <w:tcPr>
            <w:tcW w:w="1478"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222 313</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before="50" w:after="50"/>
              <w:ind w:left="284"/>
            </w:pPr>
            <w:r>
              <w:t>Filles</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66 922</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77 416</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106 348</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107 576</w:t>
            </w:r>
          </w:p>
        </w:tc>
        <w:tc>
          <w:tcPr>
            <w:tcW w:w="1478" w:type="dxa"/>
            <w:tcBorders>
              <w:top w:val="nil"/>
              <w:bottom w:val="nil"/>
            </w:tcBorders>
          </w:tcPr>
          <w:p w:rsidR="00000000" w:rsidRDefault="00000000">
            <w:pPr>
              <w:widowControl w:val="0"/>
              <w:autoSpaceDE w:val="0"/>
              <w:autoSpaceDN w:val="0"/>
              <w:adjustRightInd w:val="0"/>
              <w:spacing w:before="50" w:after="50"/>
              <w:ind w:right="113"/>
              <w:jc w:val="right"/>
            </w:pPr>
            <w:r>
              <w:t>109 981</w:t>
            </w:r>
          </w:p>
        </w:tc>
      </w:tr>
      <w:tr w:rsidR="00000000">
        <w:tblPrEx>
          <w:tblCellMar>
            <w:top w:w="0" w:type="dxa"/>
            <w:bottom w:w="0" w:type="dxa"/>
          </w:tblCellMar>
        </w:tblPrEx>
        <w:trPr>
          <w:jc w:val="center"/>
        </w:trPr>
        <w:tc>
          <w:tcPr>
            <w:tcW w:w="2111" w:type="dxa"/>
            <w:tcBorders>
              <w:top w:val="nil"/>
            </w:tcBorders>
          </w:tcPr>
          <w:p w:rsidR="00000000" w:rsidRDefault="00000000">
            <w:pPr>
              <w:spacing w:before="50" w:after="50"/>
              <w:ind w:left="284"/>
            </w:pPr>
            <w:r>
              <w:t>Garçons</w:t>
            </w:r>
          </w:p>
        </w:tc>
        <w:tc>
          <w:tcPr>
            <w:tcW w:w="1477" w:type="dxa"/>
            <w:tcBorders>
              <w:top w:val="nil"/>
            </w:tcBorders>
          </w:tcPr>
          <w:p w:rsidR="00000000" w:rsidRDefault="00000000">
            <w:pPr>
              <w:widowControl w:val="0"/>
              <w:autoSpaceDE w:val="0"/>
              <w:autoSpaceDN w:val="0"/>
              <w:adjustRightInd w:val="0"/>
              <w:spacing w:before="50" w:after="50"/>
              <w:ind w:right="113"/>
              <w:jc w:val="right"/>
            </w:pPr>
            <w:r>
              <w:t>69 598</w:t>
            </w:r>
          </w:p>
        </w:tc>
        <w:tc>
          <w:tcPr>
            <w:tcW w:w="1477" w:type="dxa"/>
            <w:tcBorders>
              <w:top w:val="nil"/>
            </w:tcBorders>
          </w:tcPr>
          <w:p w:rsidR="00000000" w:rsidRDefault="00000000">
            <w:pPr>
              <w:widowControl w:val="0"/>
              <w:autoSpaceDE w:val="0"/>
              <w:autoSpaceDN w:val="0"/>
              <w:adjustRightInd w:val="0"/>
              <w:spacing w:before="50" w:after="50"/>
              <w:ind w:right="113"/>
              <w:jc w:val="right"/>
            </w:pPr>
            <w:r>
              <w:t>79 495</w:t>
            </w:r>
          </w:p>
        </w:tc>
        <w:tc>
          <w:tcPr>
            <w:tcW w:w="1477" w:type="dxa"/>
            <w:tcBorders>
              <w:top w:val="nil"/>
            </w:tcBorders>
          </w:tcPr>
          <w:p w:rsidR="00000000" w:rsidRDefault="00000000">
            <w:pPr>
              <w:widowControl w:val="0"/>
              <w:autoSpaceDE w:val="0"/>
              <w:autoSpaceDN w:val="0"/>
              <w:adjustRightInd w:val="0"/>
              <w:spacing w:before="50" w:after="50"/>
              <w:ind w:right="113"/>
              <w:jc w:val="right"/>
            </w:pPr>
            <w:r>
              <w:t>109 254</w:t>
            </w:r>
          </w:p>
        </w:tc>
        <w:tc>
          <w:tcPr>
            <w:tcW w:w="1477" w:type="dxa"/>
            <w:tcBorders>
              <w:top w:val="nil"/>
            </w:tcBorders>
          </w:tcPr>
          <w:p w:rsidR="00000000" w:rsidRDefault="00000000">
            <w:pPr>
              <w:widowControl w:val="0"/>
              <w:autoSpaceDE w:val="0"/>
              <w:autoSpaceDN w:val="0"/>
              <w:adjustRightInd w:val="0"/>
              <w:spacing w:before="50" w:after="50"/>
              <w:ind w:right="113"/>
              <w:jc w:val="right"/>
            </w:pPr>
            <w:r>
              <w:t>110 661</w:t>
            </w:r>
          </w:p>
        </w:tc>
        <w:tc>
          <w:tcPr>
            <w:tcW w:w="1478" w:type="dxa"/>
            <w:tcBorders>
              <w:top w:val="nil"/>
            </w:tcBorders>
          </w:tcPr>
          <w:p w:rsidR="00000000" w:rsidRDefault="00000000">
            <w:pPr>
              <w:widowControl w:val="0"/>
              <w:autoSpaceDE w:val="0"/>
              <w:autoSpaceDN w:val="0"/>
              <w:adjustRightInd w:val="0"/>
              <w:spacing w:before="50" w:after="50"/>
              <w:ind w:right="113"/>
              <w:jc w:val="right"/>
            </w:pPr>
            <w:r>
              <w:t>112 332</w:t>
            </w:r>
          </w:p>
        </w:tc>
      </w:tr>
      <w:tr w:rsidR="00000000">
        <w:tblPrEx>
          <w:tblCellMar>
            <w:top w:w="0" w:type="dxa"/>
            <w:bottom w:w="0" w:type="dxa"/>
          </w:tblCellMar>
        </w:tblPrEx>
        <w:trPr>
          <w:jc w:val="center"/>
        </w:trPr>
        <w:tc>
          <w:tcPr>
            <w:tcW w:w="2111" w:type="dxa"/>
            <w:tcBorders>
              <w:bottom w:val="nil"/>
            </w:tcBorders>
          </w:tcPr>
          <w:p w:rsidR="00000000" w:rsidRDefault="00000000">
            <w:pPr>
              <w:spacing w:before="50" w:after="50"/>
              <w:rPr>
                <w:b/>
                <w:bCs/>
              </w:rPr>
            </w:pPr>
            <w:r>
              <w:rPr>
                <w:b/>
                <w:bCs/>
              </w:rPr>
              <w:t>Primaire</w:t>
            </w:r>
          </w:p>
        </w:tc>
        <w:tc>
          <w:tcPr>
            <w:tcW w:w="1477"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1 359 891</w:t>
            </w:r>
          </w:p>
        </w:tc>
        <w:tc>
          <w:tcPr>
            <w:tcW w:w="1477"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1 538 454</w:t>
            </w:r>
          </w:p>
        </w:tc>
        <w:tc>
          <w:tcPr>
            <w:tcW w:w="1477"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1 800 738</w:t>
            </w:r>
          </w:p>
        </w:tc>
        <w:tc>
          <w:tcPr>
            <w:tcW w:w="1477"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1 829 018</w:t>
            </w:r>
          </w:p>
        </w:tc>
        <w:tc>
          <w:tcPr>
            <w:tcW w:w="1478"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1 877 536</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before="50" w:after="50"/>
              <w:ind w:left="284"/>
            </w:pPr>
            <w:r>
              <w:t>Filles</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646 542</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740 510</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871 885</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886 665</w:t>
            </w:r>
          </w:p>
        </w:tc>
        <w:tc>
          <w:tcPr>
            <w:tcW w:w="1478" w:type="dxa"/>
            <w:tcBorders>
              <w:top w:val="nil"/>
              <w:bottom w:val="nil"/>
            </w:tcBorders>
          </w:tcPr>
          <w:p w:rsidR="00000000" w:rsidRDefault="00000000">
            <w:pPr>
              <w:widowControl w:val="0"/>
              <w:autoSpaceDE w:val="0"/>
              <w:autoSpaceDN w:val="0"/>
              <w:adjustRightInd w:val="0"/>
              <w:spacing w:before="50" w:after="50"/>
              <w:ind w:right="113"/>
              <w:jc w:val="right"/>
            </w:pPr>
            <w:r>
              <w:t>910 924</w:t>
            </w:r>
          </w:p>
        </w:tc>
      </w:tr>
      <w:tr w:rsidR="00000000">
        <w:tblPrEx>
          <w:tblCellMar>
            <w:top w:w="0" w:type="dxa"/>
            <w:bottom w:w="0" w:type="dxa"/>
          </w:tblCellMar>
        </w:tblPrEx>
        <w:trPr>
          <w:jc w:val="center"/>
        </w:trPr>
        <w:tc>
          <w:tcPr>
            <w:tcW w:w="2111" w:type="dxa"/>
            <w:tcBorders>
              <w:top w:val="nil"/>
            </w:tcBorders>
          </w:tcPr>
          <w:p w:rsidR="00000000" w:rsidRDefault="00000000">
            <w:pPr>
              <w:spacing w:before="50" w:after="50"/>
              <w:ind w:left="284"/>
            </w:pPr>
            <w:r>
              <w:t>Garçons</w:t>
            </w:r>
          </w:p>
        </w:tc>
        <w:tc>
          <w:tcPr>
            <w:tcW w:w="1477" w:type="dxa"/>
            <w:tcBorders>
              <w:top w:val="nil"/>
            </w:tcBorders>
          </w:tcPr>
          <w:p w:rsidR="00000000" w:rsidRDefault="00000000">
            <w:pPr>
              <w:widowControl w:val="0"/>
              <w:autoSpaceDE w:val="0"/>
              <w:autoSpaceDN w:val="0"/>
              <w:adjustRightInd w:val="0"/>
              <w:spacing w:before="50" w:after="50"/>
              <w:ind w:right="113"/>
              <w:jc w:val="right"/>
            </w:pPr>
            <w:r>
              <w:t>713 350</w:t>
            </w:r>
          </w:p>
        </w:tc>
        <w:tc>
          <w:tcPr>
            <w:tcW w:w="1477" w:type="dxa"/>
            <w:tcBorders>
              <w:top w:val="nil"/>
            </w:tcBorders>
          </w:tcPr>
          <w:p w:rsidR="00000000" w:rsidRDefault="00000000">
            <w:pPr>
              <w:widowControl w:val="0"/>
              <w:autoSpaceDE w:val="0"/>
              <w:autoSpaceDN w:val="0"/>
              <w:adjustRightInd w:val="0"/>
              <w:spacing w:before="50" w:after="50"/>
              <w:ind w:right="113"/>
              <w:jc w:val="right"/>
            </w:pPr>
            <w:r>
              <w:t>797 944</w:t>
            </w:r>
          </w:p>
        </w:tc>
        <w:tc>
          <w:tcPr>
            <w:tcW w:w="1477" w:type="dxa"/>
            <w:tcBorders>
              <w:top w:val="nil"/>
            </w:tcBorders>
          </w:tcPr>
          <w:p w:rsidR="00000000" w:rsidRDefault="00000000">
            <w:pPr>
              <w:widowControl w:val="0"/>
              <w:autoSpaceDE w:val="0"/>
              <w:autoSpaceDN w:val="0"/>
              <w:adjustRightInd w:val="0"/>
              <w:spacing w:before="50" w:after="50"/>
              <w:ind w:right="113"/>
              <w:jc w:val="right"/>
            </w:pPr>
            <w:r>
              <w:t>928 853</w:t>
            </w:r>
          </w:p>
        </w:tc>
        <w:tc>
          <w:tcPr>
            <w:tcW w:w="1477" w:type="dxa"/>
            <w:tcBorders>
              <w:top w:val="nil"/>
            </w:tcBorders>
          </w:tcPr>
          <w:p w:rsidR="00000000" w:rsidRDefault="00000000">
            <w:pPr>
              <w:widowControl w:val="0"/>
              <w:autoSpaceDE w:val="0"/>
              <w:autoSpaceDN w:val="0"/>
              <w:adjustRightInd w:val="0"/>
              <w:spacing w:before="50" w:after="50"/>
              <w:ind w:right="113"/>
              <w:jc w:val="right"/>
            </w:pPr>
            <w:r>
              <w:t>942 353</w:t>
            </w:r>
          </w:p>
        </w:tc>
        <w:tc>
          <w:tcPr>
            <w:tcW w:w="1478" w:type="dxa"/>
            <w:tcBorders>
              <w:top w:val="nil"/>
            </w:tcBorders>
          </w:tcPr>
          <w:p w:rsidR="00000000" w:rsidRDefault="00000000">
            <w:pPr>
              <w:widowControl w:val="0"/>
              <w:autoSpaceDE w:val="0"/>
              <w:autoSpaceDN w:val="0"/>
              <w:adjustRightInd w:val="0"/>
              <w:spacing w:before="50" w:after="50"/>
              <w:ind w:right="113"/>
              <w:jc w:val="right"/>
            </w:pPr>
            <w:r>
              <w:t>966 612</w:t>
            </w:r>
          </w:p>
        </w:tc>
      </w:tr>
      <w:tr w:rsidR="00000000">
        <w:tblPrEx>
          <w:tblCellMar>
            <w:top w:w="0" w:type="dxa"/>
            <w:bottom w:w="0" w:type="dxa"/>
          </w:tblCellMar>
        </w:tblPrEx>
        <w:trPr>
          <w:jc w:val="center"/>
        </w:trPr>
        <w:tc>
          <w:tcPr>
            <w:tcW w:w="2111" w:type="dxa"/>
            <w:tcBorders>
              <w:bottom w:val="nil"/>
            </w:tcBorders>
          </w:tcPr>
          <w:p w:rsidR="00000000" w:rsidRDefault="00000000">
            <w:pPr>
              <w:spacing w:before="50" w:after="50"/>
              <w:rPr>
                <w:b/>
                <w:bCs/>
              </w:rPr>
            </w:pPr>
            <w:r>
              <w:rPr>
                <w:b/>
                <w:bCs/>
              </w:rPr>
              <w:t>Secondaire</w:t>
            </w:r>
          </w:p>
        </w:tc>
        <w:tc>
          <w:tcPr>
            <w:tcW w:w="1477"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250 170</w:t>
            </w:r>
          </w:p>
        </w:tc>
        <w:tc>
          <w:tcPr>
            <w:tcW w:w="1477"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293 157</w:t>
            </w:r>
          </w:p>
        </w:tc>
        <w:tc>
          <w:tcPr>
            <w:tcW w:w="1477"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461 185</w:t>
            </w:r>
          </w:p>
        </w:tc>
        <w:tc>
          <w:tcPr>
            <w:tcW w:w="1477"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487 344</w:t>
            </w:r>
          </w:p>
        </w:tc>
        <w:tc>
          <w:tcPr>
            <w:tcW w:w="1478"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534 587</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before="50" w:after="50"/>
              <w:ind w:left="284"/>
            </w:pPr>
            <w:r>
              <w:t>Filles</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116 808</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139 620</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218 569</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231 024</w:t>
            </w:r>
          </w:p>
        </w:tc>
        <w:tc>
          <w:tcPr>
            <w:tcW w:w="1478" w:type="dxa"/>
            <w:tcBorders>
              <w:top w:val="nil"/>
              <w:bottom w:val="nil"/>
            </w:tcBorders>
          </w:tcPr>
          <w:p w:rsidR="00000000" w:rsidRDefault="00000000">
            <w:pPr>
              <w:widowControl w:val="0"/>
              <w:autoSpaceDE w:val="0"/>
              <w:autoSpaceDN w:val="0"/>
              <w:adjustRightInd w:val="0"/>
              <w:spacing w:before="50" w:after="50"/>
              <w:ind w:right="113"/>
              <w:jc w:val="right"/>
            </w:pPr>
            <w:r>
              <w:t>253 857</w:t>
            </w:r>
          </w:p>
        </w:tc>
      </w:tr>
      <w:tr w:rsidR="00000000">
        <w:tblPrEx>
          <w:tblCellMar>
            <w:top w:w="0" w:type="dxa"/>
            <w:bottom w:w="0" w:type="dxa"/>
          </w:tblCellMar>
        </w:tblPrEx>
        <w:trPr>
          <w:jc w:val="center"/>
        </w:trPr>
        <w:tc>
          <w:tcPr>
            <w:tcW w:w="2111" w:type="dxa"/>
            <w:tcBorders>
              <w:top w:val="nil"/>
            </w:tcBorders>
          </w:tcPr>
          <w:p w:rsidR="00000000" w:rsidRDefault="00000000">
            <w:pPr>
              <w:spacing w:before="50" w:after="50"/>
              <w:ind w:left="284"/>
            </w:pPr>
            <w:r>
              <w:t>Garçons</w:t>
            </w:r>
          </w:p>
        </w:tc>
        <w:tc>
          <w:tcPr>
            <w:tcW w:w="1477" w:type="dxa"/>
            <w:tcBorders>
              <w:top w:val="nil"/>
            </w:tcBorders>
          </w:tcPr>
          <w:p w:rsidR="00000000" w:rsidRDefault="00000000">
            <w:pPr>
              <w:widowControl w:val="0"/>
              <w:autoSpaceDE w:val="0"/>
              <w:autoSpaceDN w:val="0"/>
              <w:adjustRightInd w:val="0"/>
              <w:spacing w:before="50" w:after="50"/>
              <w:ind w:right="113"/>
              <w:jc w:val="right"/>
            </w:pPr>
            <w:r>
              <w:t>133 363</w:t>
            </w:r>
          </w:p>
        </w:tc>
        <w:tc>
          <w:tcPr>
            <w:tcW w:w="1477" w:type="dxa"/>
            <w:tcBorders>
              <w:top w:val="nil"/>
            </w:tcBorders>
          </w:tcPr>
          <w:p w:rsidR="00000000" w:rsidRDefault="00000000">
            <w:pPr>
              <w:widowControl w:val="0"/>
              <w:autoSpaceDE w:val="0"/>
              <w:autoSpaceDN w:val="0"/>
              <w:adjustRightInd w:val="0"/>
              <w:spacing w:before="50" w:after="50"/>
              <w:ind w:right="113"/>
              <w:jc w:val="right"/>
            </w:pPr>
            <w:r>
              <w:t>153 536</w:t>
            </w:r>
          </w:p>
        </w:tc>
        <w:tc>
          <w:tcPr>
            <w:tcW w:w="1477" w:type="dxa"/>
            <w:tcBorders>
              <w:top w:val="nil"/>
            </w:tcBorders>
          </w:tcPr>
          <w:p w:rsidR="00000000" w:rsidRDefault="00000000">
            <w:pPr>
              <w:widowControl w:val="0"/>
              <w:autoSpaceDE w:val="0"/>
              <w:autoSpaceDN w:val="0"/>
              <w:adjustRightInd w:val="0"/>
              <w:spacing w:before="50" w:after="50"/>
              <w:ind w:right="113"/>
              <w:jc w:val="right"/>
            </w:pPr>
            <w:r>
              <w:t>242 616</w:t>
            </w:r>
          </w:p>
        </w:tc>
        <w:tc>
          <w:tcPr>
            <w:tcW w:w="1477" w:type="dxa"/>
            <w:tcBorders>
              <w:top w:val="nil"/>
            </w:tcBorders>
          </w:tcPr>
          <w:p w:rsidR="00000000" w:rsidRDefault="00000000">
            <w:pPr>
              <w:widowControl w:val="0"/>
              <w:autoSpaceDE w:val="0"/>
              <w:autoSpaceDN w:val="0"/>
              <w:adjustRightInd w:val="0"/>
              <w:spacing w:before="50" w:after="50"/>
              <w:ind w:right="113"/>
              <w:jc w:val="right"/>
            </w:pPr>
            <w:r>
              <w:t>256 320</w:t>
            </w:r>
          </w:p>
        </w:tc>
        <w:tc>
          <w:tcPr>
            <w:tcW w:w="1478" w:type="dxa"/>
            <w:tcBorders>
              <w:top w:val="nil"/>
            </w:tcBorders>
          </w:tcPr>
          <w:p w:rsidR="00000000" w:rsidRDefault="00000000">
            <w:pPr>
              <w:widowControl w:val="0"/>
              <w:autoSpaceDE w:val="0"/>
              <w:autoSpaceDN w:val="0"/>
              <w:adjustRightInd w:val="0"/>
              <w:spacing w:before="50" w:after="50"/>
              <w:ind w:right="113"/>
              <w:jc w:val="right"/>
            </w:pPr>
            <w:r>
              <w:t>280 730</w:t>
            </w:r>
          </w:p>
        </w:tc>
      </w:tr>
      <w:tr w:rsidR="00000000">
        <w:tblPrEx>
          <w:tblCellMar>
            <w:top w:w="0" w:type="dxa"/>
            <w:bottom w:w="0" w:type="dxa"/>
          </w:tblCellMar>
        </w:tblPrEx>
        <w:trPr>
          <w:jc w:val="center"/>
        </w:trPr>
        <w:tc>
          <w:tcPr>
            <w:tcW w:w="2111" w:type="dxa"/>
            <w:tcBorders>
              <w:bottom w:val="nil"/>
            </w:tcBorders>
          </w:tcPr>
          <w:p w:rsidR="00000000" w:rsidRDefault="00000000">
            <w:pPr>
              <w:spacing w:before="50" w:after="50"/>
              <w:rPr>
                <w:b/>
                <w:bCs/>
              </w:rPr>
            </w:pPr>
            <w:r>
              <w:rPr>
                <w:b/>
                <w:bCs/>
              </w:rPr>
              <w:t xml:space="preserve">Préscolaire, primaire </w:t>
            </w:r>
            <w:r>
              <w:rPr>
                <w:b/>
                <w:bCs/>
              </w:rPr>
              <w:br/>
              <w:t>et secondaire</w:t>
            </w:r>
          </w:p>
        </w:tc>
        <w:tc>
          <w:tcPr>
            <w:tcW w:w="1477" w:type="dxa"/>
            <w:tcBorders>
              <w:bottom w:val="nil"/>
            </w:tcBorders>
            <w:vAlign w:val="bottom"/>
          </w:tcPr>
          <w:p w:rsidR="00000000" w:rsidRDefault="00000000">
            <w:pPr>
              <w:widowControl w:val="0"/>
              <w:autoSpaceDE w:val="0"/>
              <w:autoSpaceDN w:val="0"/>
              <w:adjustRightInd w:val="0"/>
              <w:spacing w:before="50" w:after="50"/>
              <w:ind w:right="113"/>
              <w:jc w:val="right"/>
              <w:rPr>
                <w:b/>
                <w:bCs/>
              </w:rPr>
            </w:pPr>
            <w:r>
              <w:rPr>
                <w:b/>
                <w:bCs/>
              </w:rPr>
              <w:t>1 746 582</w:t>
            </w:r>
          </w:p>
        </w:tc>
        <w:tc>
          <w:tcPr>
            <w:tcW w:w="1477" w:type="dxa"/>
            <w:tcBorders>
              <w:bottom w:val="nil"/>
            </w:tcBorders>
            <w:vAlign w:val="bottom"/>
          </w:tcPr>
          <w:p w:rsidR="00000000" w:rsidRDefault="00000000">
            <w:pPr>
              <w:widowControl w:val="0"/>
              <w:autoSpaceDE w:val="0"/>
              <w:autoSpaceDN w:val="0"/>
              <w:adjustRightInd w:val="0"/>
              <w:spacing w:before="50" w:after="50"/>
              <w:ind w:right="113"/>
              <w:jc w:val="right"/>
              <w:rPr>
                <w:b/>
                <w:bCs/>
              </w:rPr>
            </w:pPr>
            <w:r>
              <w:rPr>
                <w:b/>
                <w:bCs/>
              </w:rPr>
              <w:t>1 988 522</w:t>
            </w:r>
          </w:p>
        </w:tc>
        <w:tc>
          <w:tcPr>
            <w:tcW w:w="1477" w:type="dxa"/>
            <w:tcBorders>
              <w:bottom w:val="nil"/>
            </w:tcBorders>
            <w:vAlign w:val="bottom"/>
          </w:tcPr>
          <w:p w:rsidR="00000000" w:rsidRDefault="00000000">
            <w:pPr>
              <w:widowControl w:val="0"/>
              <w:autoSpaceDE w:val="0"/>
              <w:autoSpaceDN w:val="0"/>
              <w:adjustRightInd w:val="0"/>
              <w:spacing w:before="50" w:after="50"/>
              <w:ind w:right="113"/>
              <w:jc w:val="right"/>
              <w:rPr>
                <w:b/>
                <w:bCs/>
              </w:rPr>
            </w:pPr>
            <w:r>
              <w:rPr>
                <w:b/>
                <w:bCs/>
              </w:rPr>
              <w:t>2 477 525</w:t>
            </w:r>
          </w:p>
        </w:tc>
        <w:tc>
          <w:tcPr>
            <w:tcW w:w="1477" w:type="dxa"/>
            <w:tcBorders>
              <w:bottom w:val="nil"/>
            </w:tcBorders>
            <w:vAlign w:val="bottom"/>
          </w:tcPr>
          <w:p w:rsidR="00000000" w:rsidRDefault="00000000">
            <w:pPr>
              <w:widowControl w:val="0"/>
              <w:autoSpaceDE w:val="0"/>
              <w:autoSpaceDN w:val="0"/>
              <w:adjustRightInd w:val="0"/>
              <w:spacing w:before="50" w:after="50"/>
              <w:ind w:right="113"/>
              <w:jc w:val="right"/>
              <w:rPr>
                <w:b/>
                <w:bCs/>
              </w:rPr>
            </w:pPr>
            <w:r>
              <w:rPr>
                <w:b/>
                <w:bCs/>
              </w:rPr>
              <w:t>2 534 599</w:t>
            </w:r>
          </w:p>
        </w:tc>
        <w:tc>
          <w:tcPr>
            <w:tcW w:w="1478" w:type="dxa"/>
            <w:tcBorders>
              <w:bottom w:val="nil"/>
            </w:tcBorders>
            <w:vAlign w:val="bottom"/>
          </w:tcPr>
          <w:p w:rsidR="00000000" w:rsidRDefault="00000000">
            <w:pPr>
              <w:widowControl w:val="0"/>
              <w:autoSpaceDE w:val="0"/>
              <w:autoSpaceDN w:val="0"/>
              <w:adjustRightInd w:val="0"/>
              <w:spacing w:before="50" w:after="50"/>
              <w:ind w:right="113"/>
              <w:jc w:val="right"/>
              <w:rPr>
                <w:b/>
                <w:bCs/>
              </w:rPr>
            </w:pPr>
            <w:r>
              <w:rPr>
                <w:b/>
                <w:bCs/>
              </w:rPr>
              <w:t>2 634 436</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before="50" w:after="50"/>
              <w:ind w:left="284"/>
            </w:pPr>
            <w:r>
              <w:t>Filles</w:t>
            </w:r>
          </w:p>
        </w:tc>
        <w:tc>
          <w:tcPr>
            <w:tcW w:w="1477" w:type="dxa"/>
            <w:tcBorders>
              <w:top w:val="nil"/>
              <w:bottom w:val="nil"/>
            </w:tcBorders>
          </w:tcPr>
          <w:p w:rsidR="00000000" w:rsidRDefault="00000000">
            <w:pPr>
              <w:widowControl w:val="0"/>
              <w:tabs>
                <w:tab w:val="decimal" w:pos="935"/>
              </w:tabs>
              <w:autoSpaceDE w:val="0"/>
              <w:autoSpaceDN w:val="0"/>
              <w:adjustRightInd w:val="0"/>
              <w:spacing w:before="50" w:after="50"/>
              <w:ind w:right="113"/>
              <w:jc w:val="right"/>
            </w:pPr>
            <w:r>
              <w:t>830 271</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957 547</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1 196 802</w:t>
            </w:r>
          </w:p>
        </w:tc>
        <w:tc>
          <w:tcPr>
            <w:tcW w:w="1477" w:type="dxa"/>
            <w:tcBorders>
              <w:top w:val="nil"/>
              <w:bottom w:val="nil"/>
            </w:tcBorders>
          </w:tcPr>
          <w:p w:rsidR="00000000" w:rsidRDefault="00000000">
            <w:pPr>
              <w:widowControl w:val="0"/>
              <w:autoSpaceDE w:val="0"/>
              <w:autoSpaceDN w:val="0"/>
              <w:adjustRightInd w:val="0"/>
              <w:spacing w:before="50" w:after="50"/>
              <w:ind w:right="113"/>
              <w:jc w:val="right"/>
            </w:pPr>
            <w:r>
              <w:t>1 225 265</w:t>
            </w:r>
          </w:p>
        </w:tc>
        <w:tc>
          <w:tcPr>
            <w:tcW w:w="1478" w:type="dxa"/>
            <w:tcBorders>
              <w:top w:val="nil"/>
              <w:bottom w:val="nil"/>
            </w:tcBorders>
          </w:tcPr>
          <w:p w:rsidR="00000000" w:rsidRDefault="00000000">
            <w:pPr>
              <w:widowControl w:val="0"/>
              <w:autoSpaceDE w:val="0"/>
              <w:autoSpaceDN w:val="0"/>
              <w:adjustRightInd w:val="0"/>
              <w:spacing w:before="50" w:after="50"/>
              <w:ind w:right="113"/>
              <w:jc w:val="right"/>
            </w:pPr>
            <w:r>
              <w:t>1 274 762</w:t>
            </w:r>
          </w:p>
        </w:tc>
      </w:tr>
      <w:tr w:rsidR="00000000">
        <w:tblPrEx>
          <w:tblCellMar>
            <w:top w:w="0" w:type="dxa"/>
            <w:bottom w:w="0" w:type="dxa"/>
          </w:tblCellMar>
        </w:tblPrEx>
        <w:trPr>
          <w:jc w:val="center"/>
        </w:trPr>
        <w:tc>
          <w:tcPr>
            <w:tcW w:w="2111" w:type="dxa"/>
            <w:tcBorders>
              <w:top w:val="nil"/>
            </w:tcBorders>
          </w:tcPr>
          <w:p w:rsidR="00000000" w:rsidRDefault="00000000">
            <w:pPr>
              <w:spacing w:before="50" w:after="50"/>
              <w:ind w:left="284"/>
            </w:pPr>
            <w:r>
              <w:t>Garçons</w:t>
            </w:r>
          </w:p>
        </w:tc>
        <w:tc>
          <w:tcPr>
            <w:tcW w:w="1477" w:type="dxa"/>
            <w:tcBorders>
              <w:top w:val="nil"/>
            </w:tcBorders>
          </w:tcPr>
          <w:p w:rsidR="00000000" w:rsidRDefault="00000000">
            <w:pPr>
              <w:widowControl w:val="0"/>
              <w:tabs>
                <w:tab w:val="decimal" w:pos="935"/>
              </w:tabs>
              <w:autoSpaceDE w:val="0"/>
              <w:autoSpaceDN w:val="0"/>
              <w:adjustRightInd w:val="0"/>
              <w:spacing w:before="50" w:after="50"/>
              <w:ind w:right="113"/>
              <w:jc w:val="right"/>
            </w:pPr>
            <w:r>
              <w:t>916 311</w:t>
            </w:r>
          </w:p>
        </w:tc>
        <w:tc>
          <w:tcPr>
            <w:tcW w:w="1477" w:type="dxa"/>
            <w:tcBorders>
              <w:top w:val="nil"/>
            </w:tcBorders>
          </w:tcPr>
          <w:p w:rsidR="00000000" w:rsidRDefault="00000000">
            <w:pPr>
              <w:widowControl w:val="0"/>
              <w:autoSpaceDE w:val="0"/>
              <w:autoSpaceDN w:val="0"/>
              <w:adjustRightInd w:val="0"/>
              <w:spacing w:before="50" w:after="50"/>
              <w:ind w:right="113"/>
              <w:jc w:val="right"/>
            </w:pPr>
            <w:r>
              <w:t>1 030 976</w:t>
            </w:r>
          </w:p>
        </w:tc>
        <w:tc>
          <w:tcPr>
            <w:tcW w:w="1477" w:type="dxa"/>
            <w:tcBorders>
              <w:top w:val="nil"/>
            </w:tcBorders>
          </w:tcPr>
          <w:p w:rsidR="00000000" w:rsidRDefault="00000000">
            <w:pPr>
              <w:widowControl w:val="0"/>
              <w:autoSpaceDE w:val="0"/>
              <w:autoSpaceDN w:val="0"/>
              <w:adjustRightInd w:val="0"/>
              <w:spacing w:before="50" w:after="50"/>
              <w:ind w:right="113"/>
              <w:jc w:val="right"/>
            </w:pPr>
            <w:r>
              <w:t>1 280 723</w:t>
            </w:r>
          </w:p>
        </w:tc>
        <w:tc>
          <w:tcPr>
            <w:tcW w:w="1477" w:type="dxa"/>
            <w:tcBorders>
              <w:top w:val="nil"/>
            </w:tcBorders>
          </w:tcPr>
          <w:p w:rsidR="00000000" w:rsidRDefault="00000000">
            <w:pPr>
              <w:widowControl w:val="0"/>
              <w:autoSpaceDE w:val="0"/>
              <w:autoSpaceDN w:val="0"/>
              <w:adjustRightInd w:val="0"/>
              <w:spacing w:before="50" w:after="50"/>
              <w:ind w:right="113"/>
              <w:jc w:val="right"/>
            </w:pPr>
            <w:r>
              <w:t>1 309 334</w:t>
            </w:r>
          </w:p>
        </w:tc>
        <w:tc>
          <w:tcPr>
            <w:tcW w:w="1478" w:type="dxa"/>
            <w:tcBorders>
              <w:top w:val="nil"/>
            </w:tcBorders>
          </w:tcPr>
          <w:p w:rsidR="00000000" w:rsidRDefault="00000000">
            <w:pPr>
              <w:widowControl w:val="0"/>
              <w:autoSpaceDE w:val="0"/>
              <w:autoSpaceDN w:val="0"/>
              <w:adjustRightInd w:val="0"/>
              <w:spacing w:before="50" w:after="50"/>
              <w:ind w:right="113"/>
              <w:jc w:val="right"/>
            </w:pPr>
            <w:r>
              <w:t>1 359 674</w:t>
            </w:r>
          </w:p>
        </w:tc>
      </w:tr>
    </w:tbl>
    <w:p w:rsidR="00000000" w:rsidRDefault="00000000">
      <w:pPr>
        <w:spacing w:before="240" w:after="240"/>
        <w:ind w:firstLine="567"/>
      </w:pPr>
      <w:r>
        <w:rPr>
          <w:i/>
          <w:iCs/>
        </w:rPr>
        <w:t>Source</w:t>
      </w:r>
      <w:r>
        <w:t>: 1992-1995: Secrétariat national à l’éducation (1997), 2000-2002: SIE.</w:t>
      </w:r>
    </w:p>
    <w:p w:rsidR="00000000" w:rsidRDefault="00000000">
      <w:pPr>
        <w:spacing w:after="240"/>
        <w:ind w:firstLine="567"/>
      </w:pPr>
      <w:r>
        <w:rPr>
          <w:i/>
          <w:iCs/>
        </w:rPr>
        <w:t>Établi par</w:t>
      </w:r>
      <w:r>
        <w:t>: Direction de l’analyse (Ministère de l’éducation).</w:t>
      </w:r>
    </w:p>
    <w:p w:rsidR="00000000" w:rsidRDefault="00000000">
      <w:pPr>
        <w:keepLines/>
        <w:spacing w:before="120" w:after="240"/>
      </w:pPr>
      <w:r>
        <w:t>196.</w:t>
      </w:r>
      <w:r>
        <w:tab/>
        <w:t>Dans la période 1992</w:t>
      </w:r>
      <w:r>
        <w:noBreakHyphen/>
        <w:t>2001, l’effectif des filles inscrites à l’école a augmenté de 24,7 % par rapport à la population féminine d’âge scolaire (de 4 à 17 ans), tandis que pour les garçons la progression n’était que de 17,9 %, ce qui dénote une diminution de la disparité entre les sexes dans l’accès à l’école.</w:t>
      </w:r>
    </w:p>
    <w:p w:rsidR="00000000" w:rsidRDefault="00000000">
      <w:pPr>
        <w:spacing w:before="120" w:after="240"/>
      </w:pPr>
      <w:r>
        <w:t>197.</w:t>
      </w:r>
      <w:r>
        <w:tab/>
        <w:t>Par zone géographique, dans l’enseignement préscolaire et primaire, l’effectif d’élèves inscrits à l’école publique ne marque pas de grande différence (tableau 3), alors que dans l’enseignement secondaire on relève une forte disparité au détriment des zones rurales.</w:t>
      </w:r>
    </w:p>
    <w:p w:rsidR="00000000" w:rsidRDefault="00000000">
      <w:pPr>
        <w:keepNext/>
        <w:keepLines/>
        <w:spacing w:before="120" w:after="240"/>
        <w:jc w:val="center"/>
        <w:rPr>
          <w:b/>
          <w:bCs/>
        </w:rPr>
      </w:pPr>
      <w:r>
        <w:rPr>
          <w:b/>
          <w:bCs/>
        </w:rPr>
        <w:t>Tableau 3</w:t>
      </w:r>
    </w:p>
    <w:p w:rsidR="00000000" w:rsidRDefault="00000000">
      <w:pPr>
        <w:keepNext/>
        <w:keepLines/>
        <w:spacing w:before="120" w:after="240"/>
        <w:jc w:val="center"/>
        <w:rPr>
          <w:b/>
          <w:bCs/>
        </w:rPr>
      </w:pPr>
      <w:r>
        <w:rPr>
          <w:b/>
          <w:bCs/>
        </w:rPr>
        <w:t xml:space="preserve">Bolivie − Établissements d’enseignement du secteur public: Évolution des effectifs </w:t>
      </w:r>
      <w:r>
        <w:rPr>
          <w:b/>
          <w:bCs/>
        </w:rPr>
        <w:br/>
        <w:t xml:space="preserve">par niveau de l’enseignement et par zone géographique </w:t>
      </w:r>
      <w:r>
        <w:rPr>
          <w:b/>
          <w:bCs/>
        </w:rPr>
        <w:br/>
        <w:t>(1997-2002)</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0"/>
        <w:gridCol w:w="1231"/>
        <w:gridCol w:w="1231"/>
        <w:gridCol w:w="1231"/>
        <w:gridCol w:w="1231"/>
        <w:gridCol w:w="1231"/>
        <w:gridCol w:w="1232"/>
      </w:tblGrid>
      <w:tr w:rsidR="00000000">
        <w:tblPrEx>
          <w:tblCellMar>
            <w:top w:w="0" w:type="dxa"/>
            <w:bottom w:w="0" w:type="dxa"/>
          </w:tblCellMar>
        </w:tblPrEx>
        <w:tc>
          <w:tcPr>
            <w:tcW w:w="2110" w:type="dxa"/>
          </w:tcPr>
          <w:p w:rsidR="00000000" w:rsidRDefault="00000000">
            <w:pPr>
              <w:spacing w:before="50" w:after="50"/>
              <w:jc w:val="center"/>
            </w:pPr>
            <w:r>
              <w:t xml:space="preserve">Niveau </w:t>
            </w:r>
          </w:p>
        </w:tc>
        <w:tc>
          <w:tcPr>
            <w:tcW w:w="1231" w:type="dxa"/>
            <w:vAlign w:val="center"/>
          </w:tcPr>
          <w:p w:rsidR="00000000" w:rsidRDefault="00000000">
            <w:pPr>
              <w:spacing w:before="50" w:after="50"/>
              <w:jc w:val="center"/>
            </w:pPr>
            <w:r>
              <w:t>1997</w:t>
            </w:r>
          </w:p>
        </w:tc>
        <w:tc>
          <w:tcPr>
            <w:tcW w:w="1231" w:type="dxa"/>
            <w:vAlign w:val="center"/>
          </w:tcPr>
          <w:p w:rsidR="00000000" w:rsidRDefault="00000000">
            <w:pPr>
              <w:spacing w:before="50" w:after="50"/>
              <w:jc w:val="center"/>
            </w:pPr>
            <w:r>
              <w:t>1998</w:t>
            </w:r>
          </w:p>
        </w:tc>
        <w:tc>
          <w:tcPr>
            <w:tcW w:w="1231" w:type="dxa"/>
            <w:vAlign w:val="center"/>
          </w:tcPr>
          <w:p w:rsidR="00000000" w:rsidRDefault="00000000">
            <w:pPr>
              <w:spacing w:before="50" w:after="50"/>
              <w:jc w:val="center"/>
            </w:pPr>
            <w:r>
              <w:t>1999</w:t>
            </w:r>
          </w:p>
        </w:tc>
        <w:tc>
          <w:tcPr>
            <w:tcW w:w="1231" w:type="dxa"/>
            <w:vAlign w:val="center"/>
          </w:tcPr>
          <w:p w:rsidR="00000000" w:rsidRDefault="00000000">
            <w:pPr>
              <w:spacing w:before="50" w:after="50"/>
              <w:jc w:val="center"/>
            </w:pPr>
            <w:r>
              <w:t>2000</w:t>
            </w:r>
          </w:p>
        </w:tc>
        <w:tc>
          <w:tcPr>
            <w:tcW w:w="1231" w:type="dxa"/>
            <w:vAlign w:val="center"/>
          </w:tcPr>
          <w:p w:rsidR="00000000" w:rsidRDefault="00000000">
            <w:pPr>
              <w:spacing w:before="50" w:after="50"/>
              <w:jc w:val="center"/>
            </w:pPr>
            <w:r>
              <w:t>2001</w:t>
            </w:r>
          </w:p>
        </w:tc>
        <w:tc>
          <w:tcPr>
            <w:tcW w:w="1232" w:type="dxa"/>
            <w:vAlign w:val="center"/>
          </w:tcPr>
          <w:p w:rsidR="00000000" w:rsidRDefault="00000000">
            <w:pPr>
              <w:spacing w:before="50" w:after="50"/>
              <w:jc w:val="center"/>
            </w:pPr>
            <w:r>
              <w:t>2002</w:t>
            </w:r>
          </w:p>
        </w:tc>
      </w:tr>
      <w:tr w:rsidR="00000000">
        <w:tblPrEx>
          <w:tblCellMar>
            <w:top w:w="0" w:type="dxa"/>
            <w:bottom w:w="0" w:type="dxa"/>
          </w:tblCellMar>
        </w:tblPrEx>
        <w:tc>
          <w:tcPr>
            <w:tcW w:w="2110" w:type="dxa"/>
            <w:tcBorders>
              <w:bottom w:val="nil"/>
            </w:tcBorders>
          </w:tcPr>
          <w:p w:rsidR="00000000" w:rsidRDefault="00000000">
            <w:pPr>
              <w:spacing w:before="50" w:after="50"/>
              <w:rPr>
                <w:b/>
                <w:bCs/>
              </w:rPr>
            </w:pPr>
            <w:r>
              <w:rPr>
                <w:b/>
                <w:bCs/>
              </w:rPr>
              <w:t>Préscolaire</w:t>
            </w:r>
          </w:p>
        </w:tc>
        <w:tc>
          <w:tcPr>
            <w:tcW w:w="1231"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182 302</w:t>
            </w:r>
          </w:p>
        </w:tc>
        <w:tc>
          <w:tcPr>
            <w:tcW w:w="1231"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188 495</w:t>
            </w:r>
          </w:p>
        </w:tc>
        <w:tc>
          <w:tcPr>
            <w:tcW w:w="1231"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187 759</w:t>
            </w:r>
          </w:p>
        </w:tc>
        <w:tc>
          <w:tcPr>
            <w:tcW w:w="1231"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196 052</w:t>
            </w:r>
          </w:p>
        </w:tc>
        <w:tc>
          <w:tcPr>
            <w:tcW w:w="1231" w:type="dxa"/>
            <w:tcBorders>
              <w:bottom w:val="nil"/>
            </w:tcBorders>
          </w:tcPr>
          <w:p w:rsidR="00000000" w:rsidRDefault="00000000">
            <w:pPr>
              <w:widowControl w:val="0"/>
              <w:tabs>
                <w:tab w:val="decimal" w:pos="838"/>
              </w:tabs>
              <w:autoSpaceDE w:val="0"/>
              <w:autoSpaceDN w:val="0"/>
              <w:adjustRightInd w:val="0"/>
              <w:spacing w:before="50" w:after="50"/>
              <w:ind w:right="113"/>
              <w:jc w:val="right"/>
              <w:rPr>
                <w:b/>
                <w:bCs/>
              </w:rPr>
            </w:pPr>
            <w:r>
              <w:rPr>
                <w:b/>
                <w:bCs/>
              </w:rPr>
              <w:t>198 641</w:t>
            </w:r>
          </w:p>
        </w:tc>
        <w:tc>
          <w:tcPr>
            <w:tcW w:w="1232" w:type="dxa"/>
            <w:tcBorders>
              <w:bottom w:val="nil"/>
            </w:tcBorders>
          </w:tcPr>
          <w:p w:rsidR="00000000" w:rsidRDefault="00000000">
            <w:pPr>
              <w:widowControl w:val="0"/>
              <w:tabs>
                <w:tab w:val="decimal" w:pos="895"/>
              </w:tabs>
              <w:autoSpaceDE w:val="0"/>
              <w:autoSpaceDN w:val="0"/>
              <w:adjustRightInd w:val="0"/>
              <w:spacing w:before="50" w:after="50"/>
              <w:ind w:right="113"/>
              <w:jc w:val="right"/>
              <w:rPr>
                <w:b/>
                <w:bCs/>
              </w:rPr>
            </w:pPr>
            <w:r>
              <w:rPr>
                <w:b/>
                <w:bCs/>
              </w:rPr>
              <w:t>201 696</w:t>
            </w:r>
          </w:p>
        </w:tc>
      </w:tr>
      <w:tr w:rsidR="00000000">
        <w:tblPrEx>
          <w:tblCellMar>
            <w:top w:w="0" w:type="dxa"/>
            <w:bottom w:w="0" w:type="dxa"/>
          </w:tblCellMar>
        </w:tblPrEx>
        <w:tc>
          <w:tcPr>
            <w:tcW w:w="2110" w:type="dxa"/>
            <w:tcBorders>
              <w:top w:val="nil"/>
              <w:bottom w:val="nil"/>
            </w:tcBorders>
          </w:tcPr>
          <w:p w:rsidR="00000000" w:rsidRDefault="00000000">
            <w:pPr>
              <w:spacing w:before="50" w:after="50"/>
              <w:ind w:left="170"/>
            </w:pPr>
            <w:r>
              <w:t>Zones rurales</w:t>
            </w:r>
          </w:p>
        </w:tc>
        <w:tc>
          <w:tcPr>
            <w:tcW w:w="1231" w:type="dxa"/>
            <w:tcBorders>
              <w:top w:val="nil"/>
              <w:bottom w:val="nil"/>
            </w:tcBorders>
          </w:tcPr>
          <w:p w:rsidR="00000000" w:rsidRDefault="00000000">
            <w:pPr>
              <w:widowControl w:val="0"/>
              <w:autoSpaceDE w:val="0"/>
              <w:autoSpaceDN w:val="0"/>
              <w:adjustRightInd w:val="0"/>
              <w:spacing w:before="50" w:after="50"/>
              <w:ind w:right="113"/>
              <w:jc w:val="right"/>
            </w:pPr>
            <w:r>
              <w:t>73 941</w:t>
            </w:r>
          </w:p>
        </w:tc>
        <w:tc>
          <w:tcPr>
            <w:tcW w:w="1231" w:type="dxa"/>
            <w:tcBorders>
              <w:top w:val="nil"/>
              <w:bottom w:val="nil"/>
            </w:tcBorders>
          </w:tcPr>
          <w:p w:rsidR="00000000" w:rsidRDefault="00000000">
            <w:pPr>
              <w:widowControl w:val="0"/>
              <w:autoSpaceDE w:val="0"/>
              <w:autoSpaceDN w:val="0"/>
              <w:adjustRightInd w:val="0"/>
              <w:spacing w:before="50" w:after="50"/>
              <w:ind w:right="113"/>
              <w:jc w:val="right"/>
            </w:pPr>
            <w:r>
              <w:t>73 443</w:t>
            </w:r>
          </w:p>
        </w:tc>
        <w:tc>
          <w:tcPr>
            <w:tcW w:w="1231" w:type="dxa"/>
            <w:tcBorders>
              <w:top w:val="nil"/>
              <w:bottom w:val="nil"/>
            </w:tcBorders>
          </w:tcPr>
          <w:p w:rsidR="00000000" w:rsidRDefault="00000000">
            <w:pPr>
              <w:widowControl w:val="0"/>
              <w:autoSpaceDE w:val="0"/>
              <w:autoSpaceDN w:val="0"/>
              <w:adjustRightInd w:val="0"/>
              <w:spacing w:before="50" w:after="50"/>
              <w:ind w:right="113"/>
              <w:jc w:val="right"/>
            </w:pPr>
            <w:r>
              <w:t>73 426</w:t>
            </w:r>
          </w:p>
        </w:tc>
        <w:tc>
          <w:tcPr>
            <w:tcW w:w="1231" w:type="dxa"/>
            <w:tcBorders>
              <w:top w:val="nil"/>
              <w:bottom w:val="nil"/>
            </w:tcBorders>
          </w:tcPr>
          <w:p w:rsidR="00000000" w:rsidRDefault="00000000">
            <w:pPr>
              <w:widowControl w:val="0"/>
              <w:autoSpaceDE w:val="0"/>
              <w:autoSpaceDN w:val="0"/>
              <w:adjustRightInd w:val="0"/>
              <w:spacing w:before="50" w:after="50"/>
              <w:ind w:right="113"/>
              <w:jc w:val="right"/>
            </w:pPr>
            <w:r>
              <w:t>76 669</w:t>
            </w:r>
          </w:p>
        </w:tc>
        <w:tc>
          <w:tcPr>
            <w:tcW w:w="1231" w:type="dxa"/>
            <w:tcBorders>
              <w:top w:val="nil"/>
              <w:bottom w:val="nil"/>
            </w:tcBorders>
          </w:tcPr>
          <w:p w:rsidR="00000000" w:rsidRDefault="00000000">
            <w:pPr>
              <w:widowControl w:val="0"/>
              <w:tabs>
                <w:tab w:val="decimal" w:pos="838"/>
              </w:tabs>
              <w:autoSpaceDE w:val="0"/>
              <w:autoSpaceDN w:val="0"/>
              <w:adjustRightInd w:val="0"/>
              <w:spacing w:before="50" w:after="50"/>
              <w:ind w:right="113"/>
              <w:jc w:val="right"/>
            </w:pPr>
            <w:r>
              <w:t>77 170</w:t>
            </w:r>
          </w:p>
        </w:tc>
        <w:tc>
          <w:tcPr>
            <w:tcW w:w="1232" w:type="dxa"/>
            <w:tcBorders>
              <w:top w:val="nil"/>
              <w:bottom w:val="nil"/>
            </w:tcBorders>
          </w:tcPr>
          <w:p w:rsidR="00000000" w:rsidRDefault="00000000">
            <w:pPr>
              <w:widowControl w:val="0"/>
              <w:tabs>
                <w:tab w:val="decimal" w:pos="895"/>
              </w:tabs>
              <w:autoSpaceDE w:val="0"/>
              <w:autoSpaceDN w:val="0"/>
              <w:adjustRightInd w:val="0"/>
              <w:spacing w:before="50" w:after="50"/>
              <w:ind w:right="113"/>
              <w:jc w:val="right"/>
            </w:pPr>
            <w:r>
              <w:t>77 070</w:t>
            </w:r>
          </w:p>
        </w:tc>
      </w:tr>
      <w:tr w:rsidR="00000000">
        <w:tblPrEx>
          <w:tblCellMar>
            <w:top w:w="0" w:type="dxa"/>
            <w:bottom w:w="0" w:type="dxa"/>
          </w:tblCellMar>
        </w:tblPrEx>
        <w:tc>
          <w:tcPr>
            <w:tcW w:w="2110" w:type="dxa"/>
            <w:tcBorders>
              <w:top w:val="nil"/>
            </w:tcBorders>
          </w:tcPr>
          <w:p w:rsidR="00000000" w:rsidRDefault="00000000">
            <w:pPr>
              <w:spacing w:before="50" w:after="50"/>
              <w:ind w:left="170"/>
            </w:pPr>
            <w:r>
              <w:t>Zones urbaines</w:t>
            </w:r>
          </w:p>
        </w:tc>
        <w:tc>
          <w:tcPr>
            <w:tcW w:w="1231" w:type="dxa"/>
            <w:tcBorders>
              <w:top w:val="nil"/>
            </w:tcBorders>
          </w:tcPr>
          <w:p w:rsidR="00000000" w:rsidRDefault="00000000">
            <w:pPr>
              <w:widowControl w:val="0"/>
              <w:autoSpaceDE w:val="0"/>
              <w:autoSpaceDN w:val="0"/>
              <w:adjustRightInd w:val="0"/>
              <w:spacing w:before="50" w:after="50"/>
              <w:ind w:right="113"/>
              <w:jc w:val="right"/>
            </w:pPr>
            <w:r>
              <w:t>108 361</w:t>
            </w:r>
          </w:p>
        </w:tc>
        <w:tc>
          <w:tcPr>
            <w:tcW w:w="1231" w:type="dxa"/>
            <w:tcBorders>
              <w:top w:val="nil"/>
            </w:tcBorders>
          </w:tcPr>
          <w:p w:rsidR="00000000" w:rsidRDefault="00000000">
            <w:pPr>
              <w:widowControl w:val="0"/>
              <w:autoSpaceDE w:val="0"/>
              <w:autoSpaceDN w:val="0"/>
              <w:adjustRightInd w:val="0"/>
              <w:spacing w:before="50" w:after="50"/>
              <w:ind w:right="113"/>
              <w:jc w:val="right"/>
            </w:pPr>
            <w:r>
              <w:t>115 052</w:t>
            </w:r>
          </w:p>
        </w:tc>
        <w:tc>
          <w:tcPr>
            <w:tcW w:w="1231" w:type="dxa"/>
            <w:tcBorders>
              <w:top w:val="nil"/>
            </w:tcBorders>
          </w:tcPr>
          <w:p w:rsidR="00000000" w:rsidRDefault="00000000">
            <w:pPr>
              <w:widowControl w:val="0"/>
              <w:autoSpaceDE w:val="0"/>
              <w:autoSpaceDN w:val="0"/>
              <w:adjustRightInd w:val="0"/>
              <w:spacing w:before="50" w:after="50"/>
              <w:ind w:right="113"/>
              <w:jc w:val="right"/>
            </w:pPr>
            <w:r>
              <w:t>114 333</w:t>
            </w:r>
          </w:p>
        </w:tc>
        <w:tc>
          <w:tcPr>
            <w:tcW w:w="1231" w:type="dxa"/>
            <w:tcBorders>
              <w:top w:val="nil"/>
            </w:tcBorders>
          </w:tcPr>
          <w:p w:rsidR="00000000" w:rsidRDefault="00000000">
            <w:pPr>
              <w:widowControl w:val="0"/>
              <w:autoSpaceDE w:val="0"/>
              <w:autoSpaceDN w:val="0"/>
              <w:adjustRightInd w:val="0"/>
              <w:spacing w:before="50" w:after="50"/>
              <w:ind w:right="113"/>
              <w:jc w:val="right"/>
            </w:pPr>
            <w:r>
              <w:t>119 383</w:t>
            </w:r>
          </w:p>
        </w:tc>
        <w:tc>
          <w:tcPr>
            <w:tcW w:w="1231" w:type="dxa"/>
            <w:tcBorders>
              <w:top w:val="nil"/>
            </w:tcBorders>
          </w:tcPr>
          <w:p w:rsidR="00000000" w:rsidRDefault="00000000">
            <w:pPr>
              <w:widowControl w:val="0"/>
              <w:tabs>
                <w:tab w:val="decimal" w:pos="838"/>
              </w:tabs>
              <w:autoSpaceDE w:val="0"/>
              <w:autoSpaceDN w:val="0"/>
              <w:adjustRightInd w:val="0"/>
              <w:spacing w:before="50" w:after="50"/>
              <w:ind w:right="113"/>
              <w:jc w:val="right"/>
            </w:pPr>
            <w:r>
              <w:t>121 471</w:t>
            </w:r>
          </w:p>
        </w:tc>
        <w:tc>
          <w:tcPr>
            <w:tcW w:w="1232" w:type="dxa"/>
            <w:tcBorders>
              <w:top w:val="nil"/>
            </w:tcBorders>
          </w:tcPr>
          <w:p w:rsidR="00000000" w:rsidRDefault="00000000">
            <w:pPr>
              <w:widowControl w:val="0"/>
              <w:tabs>
                <w:tab w:val="decimal" w:pos="895"/>
              </w:tabs>
              <w:autoSpaceDE w:val="0"/>
              <w:autoSpaceDN w:val="0"/>
              <w:adjustRightInd w:val="0"/>
              <w:spacing w:before="50" w:after="50"/>
              <w:ind w:right="113"/>
              <w:jc w:val="right"/>
            </w:pPr>
            <w:r>
              <w:t>124 626</w:t>
            </w:r>
          </w:p>
        </w:tc>
      </w:tr>
      <w:tr w:rsidR="00000000">
        <w:tblPrEx>
          <w:tblCellMar>
            <w:top w:w="0" w:type="dxa"/>
            <w:bottom w:w="0" w:type="dxa"/>
          </w:tblCellMar>
        </w:tblPrEx>
        <w:tc>
          <w:tcPr>
            <w:tcW w:w="2110" w:type="dxa"/>
            <w:tcBorders>
              <w:bottom w:val="nil"/>
            </w:tcBorders>
          </w:tcPr>
          <w:p w:rsidR="00000000" w:rsidRDefault="00000000">
            <w:pPr>
              <w:keepLines/>
              <w:spacing w:before="50" w:after="50"/>
              <w:rPr>
                <w:b/>
                <w:bCs/>
              </w:rPr>
            </w:pPr>
            <w:r>
              <w:rPr>
                <w:b/>
                <w:bCs/>
              </w:rPr>
              <w:t>Primaire</w:t>
            </w:r>
          </w:p>
        </w:tc>
        <w:tc>
          <w:tcPr>
            <w:tcW w:w="1231" w:type="dxa"/>
            <w:tcBorders>
              <w:bottom w:val="nil"/>
            </w:tcBorders>
          </w:tcPr>
          <w:p w:rsidR="00000000" w:rsidRDefault="00000000">
            <w:pPr>
              <w:keepLines/>
              <w:widowControl w:val="0"/>
              <w:autoSpaceDE w:val="0"/>
              <w:autoSpaceDN w:val="0"/>
              <w:adjustRightInd w:val="0"/>
              <w:spacing w:before="50" w:after="50"/>
              <w:ind w:right="113"/>
              <w:jc w:val="right"/>
              <w:rPr>
                <w:b/>
                <w:bCs/>
              </w:rPr>
            </w:pPr>
            <w:r>
              <w:rPr>
                <w:b/>
                <w:bCs/>
              </w:rPr>
              <w:t>1 578 195</w:t>
            </w:r>
          </w:p>
        </w:tc>
        <w:tc>
          <w:tcPr>
            <w:tcW w:w="1231" w:type="dxa"/>
            <w:tcBorders>
              <w:bottom w:val="nil"/>
            </w:tcBorders>
          </w:tcPr>
          <w:p w:rsidR="00000000" w:rsidRDefault="00000000">
            <w:pPr>
              <w:keepLines/>
              <w:widowControl w:val="0"/>
              <w:autoSpaceDE w:val="0"/>
              <w:autoSpaceDN w:val="0"/>
              <w:adjustRightInd w:val="0"/>
              <w:spacing w:before="50" w:after="50"/>
              <w:ind w:right="113"/>
              <w:jc w:val="right"/>
              <w:rPr>
                <w:b/>
                <w:bCs/>
              </w:rPr>
            </w:pPr>
            <w:r>
              <w:rPr>
                <w:b/>
                <w:bCs/>
              </w:rPr>
              <w:t>1 549 337</w:t>
            </w:r>
          </w:p>
        </w:tc>
        <w:tc>
          <w:tcPr>
            <w:tcW w:w="1231" w:type="dxa"/>
            <w:tcBorders>
              <w:bottom w:val="nil"/>
            </w:tcBorders>
          </w:tcPr>
          <w:p w:rsidR="00000000" w:rsidRDefault="00000000">
            <w:pPr>
              <w:keepLines/>
              <w:widowControl w:val="0"/>
              <w:autoSpaceDE w:val="0"/>
              <w:autoSpaceDN w:val="0"/>
              <w:adjustRightInd w:val="0"/>
              <w:spacing w:before="50" w:after="50"/>
              <w:ind w:right="113"/>
              <w:jc w:val="right"/>
              <w:rPr>
                <w:b/>
                <w:bCs/>
              </w:rPr>
            </w:pPr>
            <w:r>
              <w:rPr>
                <w:b/>
                <w:bCs/>
              </w:rPr>
              <w:t>1 578 086</w:t>
            </w:r>
          </w:p>
        </w:tc>
        <w:tc>
          <w:tcPr>
            <w:tcW w:w="1231" w:type="dxa"/>
            <w:tcBorders>
              <w:bottom w:val="nil"/>
            </w:tcBorders>
          </w:tcPr>
          <w:p w:rsidR="00000000" w:rsidRDefault="00000000">
            <w:pPr>
              <w:keepLines/>
              <w:widowControl w:val="0"/>
              <w:autoSpaceDE w:val="0"/>
              <w:autoSpaceDN w:val="0"/>
              <w:adjustRightInd w:val="0"/>
              <w:spacing w:before="50" w:after="50"/>
              <w:ind w:right="113"/>
              <w:jc w:val="right"/>
              <w:rPr>
                <w:b/>
                <w:bCs/>
              </w:rPr>
            </w:pPr>
            <w:r>
              <w:rPr>
                <w:b/>
                <w:bCs/>
              </w:rPr>
              <w:t>1 631 308</w:t>
            </w:r>
          </w:p>
        </w:tc>
        <w:tc>
          <w:tcPr>
            <w:tcW w:w="1231" w:type="dxa"/>
            <w:tcBorders>
              <w:bottom w:val="nil"/>
            </w:tcBorders>
          </w:tcPr>
          <w:p w:rsidR="00000000" w:rsidRDefault="00000000">
            <w:pPr>
              <w:keepLines/>
              <w:widowControl w:val="0"/>
              <w:tabs>
                <w:tab w:val="decimal" w:pos="838"/>
              </w:tabs>
              <w:autoSpaceDE w:val="0"/>
              <w:autoSpaceDN w:val="0"/>
              <w:adjustRightInd w:val="0"/>
              <w:spacing w:before="50" w:after="50"/>
              <w:ind w:right="113"/>
              <w:jc w:val="right"/>
              <w:rPr>
                <w:b/>
                <w:bCs/>
              </w:rPr>
            </w:pPr>
            <w:r>
              <w:rPr>
                <w:b/>
                <w:bCs/>
              </w:rPr>
              <w:t>1 666 153</w:t>
            </w:r>
          </w:p>
        </w:tc>
        <w:tc>
          <w:tcPr>
            <w:tcW w:w="1232" w:type="dxa"/>
            <w:tcBorders>
              <w:bottom w:val="nil"/>
            </w:tcBorders>
          </w:tcPr>
          <w:p w:rsidR="00000000" w:rsidRDefault="00000000">
            <w:pPr>
              <w:keepLines/>
              <w:widowControl w:val="0"/>
              <w:tabs>
                <w:tab w:val="decimal" w:pos="895"/>
              </w:tabs>
              <w:autoSpaceDE w:val="0"/>
              <w:autoSpaceDN w:val="0"/>
              <w:adjustRightInd w:val="0"/>
              <w:spacing w:before="50" w:after="50"/>
              <w:ind w:right="113"/>
              <w:jc w:val="right"/>
              <w:rPr>
                <w:b/>
                <w:bCs/>
              </w:rPr>
            </w:pPr>
            <w:r>
              <w:rPr>
                <w:b/>
                <w:bCs/>
              </w:rPr>
              <w:t>1 717 997</w:t>
            </w:r>
          </w:p>
        </w:tc>
      </w:tr>
      <w:tr w:rsidR="00000000">
        <w:tblPrEx>
          <w:tblCellMar>
            <w:top w:w="0" w:type="dxa"/>
            <w:bottom w:w="0" w:type="dxa"/>
          </w:tblCellMar>
        </w:tblPrEx>
        <w:tc>
          <w:tcPr>
            <w:tcW w:w="2110" w:type="dxa"/>
            <w:tcBorders>
              <w:top w:val="nil"/>
              <w:bottom w:val="nil"/>
            </w:tcBorders>
          </w:tcPr>
          <w:p w:rsidR="00000000" w:rsidRDefault="00000000">
            <w:pPr>
              <w:keepLines/>
              <w:spacing w:before="50" w:after="50"/>
              <w:ind w:left="170"/>
            </w:pPr>
            <w:r>
              <w:t>Zones rurales</w:t>
            </w:r>
          </w:p>
        </w:tc>
        <w:tc>
          <w:tcPr>
            <w:tcW w:w="1231" w:type="dxa"/>
            <w:tcBorders>
              <w:top w:val="nil"/>
              <w:bottom w:val="nil"/>
            </w:tcBorders>
          </w:tcPr>
          <w:p w:rsidR="00000000" w:rsidRDefault="00000000">
            <w:pPr>
              <w:keepLines/>
              <w:widowControl w:val="0"/>
              <w:autoSpaceDE w:val="0"/>
              <w:autoSpaceDN w:val="0"/>
              <w:adjustRightInd w:val="0"/>
              <w:spacing w:before="50" w:after="50"/>
              <w:ind w:right="113"/>
              <w:jc w:val="right"/>
            </w:pPr>
            <w:r>
              <w:t>694 768</w:t>
            </w:r>
          </w:p>
        </w:tc>
        <w:tc>
          <w:tcPr>
            <w:tcW w:w="1231" w:type="dxa"/>
            <w:tcBorders>
              <w:top w:val="nil"/>
              <w:bottom w:val="nil"/>
            </w:tcBorders>
          </w:tcPr>
          <w:p w:rsidR="00000000" w:rsidRDefault="00000000">
            <w:pPr>
              <w:keepLines/>
              <w:widowControl w:val="0"/>
              <w:autoSpaceDE w:val="0"/>
              <w:autoSpaceDN w:val="0"/>
              <w:adjustRightInd w:val="0"/>
              <w:spacing w:before="50" w:after="50"/>
              <w:ind w:right="113"/>
              <w:jc w:val="right"/>
            </w:pPr>
            <w:r>
              <w:t>673 361</w:t>
            </w:r>
          </w:p>
        </w:tc>
        <w:tc>
          <w:tcPr>
            <w:tcW w:w="1231" w:type="dxa"/>
            <w:tcBorders>
              <w:top w:val="nil"/>
              <w:bottom w:val="nil"/>
            </w:tcBorders>
          </w:tcPr>
          <w:p w:rsidR="00000000" w:rsidRDefault="00000000">
            <w:pPr>
              <w:keepLines/>
              <w:widowControl w:val="0"/>
              <w:autoSpaceDE w:val="0"/>
              <w:autoSpaceDN w:val="0"/>
              <w:adjustRightInd w:val="0"/>
              <w:spacing w:before="50" w:after="50"/>
              <w:ind w:right="113"/>
              <w:jc w:val="right"/>
            </w:pPr>
            <w:r>
              <w:t>676 744</w:t>
            </w:r>
          </w:p>
        </w:tc>
        <w:tc>
          <w:tcPr>
            <w:tcW w:w="1231" w:type="dxa"/>
            <w:tcBorders>
              <w:top w:val="nil"/>
              <w:bottom w:val="nil"/>
            </w:tcBorders>
          </w:tcPr>
          <w:p w:rsidR="00000000" w:rsidRDefault="00000000">
            <w:pPr>
              <w:keepLines/>
              <w:widowControl w:val="0"/>
              <w:autoSpaceDE w:val="0"/>
              <w:autoSpaceDN w:val="0"/>
              <w:adjustRightInd w:val="0"/>
              <w:spacing w:before="50" w:after="50"/>
              <w:ind w:right="113"/>
              <w:jc w:val="right"/>
            </w:pPr>
            <w:r>
              <w:t>697 026</w:t>
            </w:r>
          </w:p>
        </w:tc>
        <w:tc>
          <w:tcPr>
            <w:tcW w:w="1231" w:type="dxa"/>
            <w:tcBorders>
              <w:top w:val="nil"/>
              <w:bottom w:val="nil"/>
            </w:tcBorders>
          </w:tcPr>
          <w:p w:rsidR="00000000" w:rsidRDefault="00000000">
            <w:pPr>
              <w:keepLines/>
              <w:widowControl w:val="0"/>
              <w:tabs>
                <w:tab w:val="decimal" w:pos="838"/>
              </w:tabs>
              <w:autoSpaceDE w:val="0"/>
              <w:autoSpaceDN w:val="0"/>
              <w:adjustRightInd w:val="0"/>
              <w:spacing w:before="50" w:after="50"/>
              <w:ind w:right="113"/>
              <w:jc w:val="right"/>
            </w:pPr>
            <w:r>
              <w:t>705 633</w:t>
            </w:r>
          </w:p>
        </w:tc>
        <w:tc>
          <w:tcPr>
            <w:tcW w:w="1232" w:type="dxa"/>
            <w:tcBorders>
              <w:top w:val="nil"/>
              <w:bottom w:val="nil"/>
            </w:tcBorders>
          </w:tcPr>
          <w:p w:rsidR="00000000" w:rsidRDefault="00000000">
            <w:pPr>
              <w:keepLines/>
              <w:widowControl w:val="0"/>
              <w:tabs>
                <w:tab w:val="decimal" w:pos="895"/>
              </w:tabs>
              <w:autoSpaceDE w:val="0"/>
              <w:autoSpaceDN w:val="0"/>
              <w:adjustRightInd w:val="0"/>
              <w:spacing w:before="50" w:after="50"/>
              <w:ind w:right="113"/>
              <w:jc w:val="right"/>
            </w:pPr>
            <w:r>
              <w:t>731 787</w:t>
            </w:r>
          </w:p>
        </w:tc>
      </w:tr>
      <w:tr w:rsidR="00000000">
        <w:tblPrEx>
          <w:tblCellMar>
            <w:top w:w="0" w:type="dxa"/>
            <w:bottom w:w="0" w:type="dxa"/>
          </w:tblCellMar>
        </w:tblPrEx>
        <w:tc>
          <w:tcPr>
            <w:tcW w:w="2110" w:type="dxa"/>
            <w:tcBorders>
              <w:top w:val="nil"/>
            </w:tcBorders>
          </w:tcPr>
          <w:p w:rsidR="00000000" w:rsidRDefault="00000000">
            <w:pPr>
              <w:keepLines/>
              <w:spacing w:before="50" w:after="50"/>
              <w:ind w:left="170"/>
            </w:pPr>
            <w:r>
              <w:t>Zones urbaines</w:t>
            </w:r>
          </w:p>
        </w:tc>
        <w:tc>
          <w:tcPr>
            <w:tcW w:w="1231" w:type="dxa"/>
            <w:tcBorders>
              <w:top w:val="nil"/>
            </w:tcBorders>
          </w:tcPr>
          <w:p w:rsidR="00000000" w:rsidRDefault="00000000">
            <w:pPr>
              <w:keepLines/>
              <w:widowControl w:val="0"/>
              <w:autoSpaceDE w:val="0"/>
              <w:autoSpaceDN w:val="0"/>
              <w:adjustRightInd w:val="0"/>
              <w:spacing w:before="50" w:after="50"/>
              <w:ind w:right="113"/>
              <w:jc w:val="right"/>
            </w:pPr>
            <w:r>
              <w:t>883 427</w:t>
            </w:r>
          </w:p>
        </w:tc>
        <w:tc>
          <w:tcPr>
            <w:tcW w:w="1231" w:type="dxa"/>
            <w:tcBorders>
              <w:top w:val="nil"/>
            </w:tcBorders>
          </w:tcPr>
          <w:p w:rsidR="00000000" w:rsidRDefault="00000000">
            <w:pPr>
              <w:keepLines/>
              <w:widowControl w:val="0"/>
              <w:autoSpaceDE w:val="0"/>
              <w:autoSpaceDN w:val="0"/>
              <w:adjustRightInd w:val="0"/>
              <w:spacing w:before="50" w:after="50"/>
              <w:ind w:right="113"/>
              <w:jc w:val="right"/>
            </w:pPr>
            <w:r>
              <w:t>875 976</w:t>
            </w:r>
          </w:p>
        </w:tc>
        <w:tc>
          <w:tcPr>
            <w:tcW w:w="1231" w:type="dxa"/>
            <w:tcBorders>
              <w:top w:val="nil"/>
            </w:tcBorders>
          </w:tcPr>
          <w:p w:rsidR="00000000" w:rsidRDefault="00000000">
            <w:pPr>
              <w:keepLines/>
              <w:widowControl w:val="0"/>
              <w:autoSpaceDE w:val="0"/>
              <w:autoSpaceDN w:val="0"/>
              <w:adjustRightInd w:val="0"/>
              <w:spacing w:before="50" w:after="50"/>
              <w:ind w:right="113"/>
              <w:jc w:val="right"/>
            </w:pPr>
            <w:r>
              <w:t>901 342</w:t>
            </w:r>
          </w:p>
        </w:tc>
        <w:tc>
          <w:tcPr>
            <w:tcW w:w="1231" w:type="dxa"/>
            <w:tcBorders>
              <w:top w:val="nil"/>
            </w:tcBorders>
          </w:tcPr>
          <w:p w:rsidR="00000000" w:rsidRDefault="00000000">
            <w:pPr>
              <w:keepLines/>
              <w:widowControl w:val="0"/>
              <w:autoSpaceDE w:val="0"/>
              <w:autoSpaceDN w:val="0"/>
              <w:adjustRightInd w:val="0"/>
              <w:spacing w:before="50" w:after="50"/>
              <w:ind w:right="113"/>
              <w:jc w:val="right"/>
            </w:pPr>
            <w:r>
              <w:t>934 282</w:t>
            </w:r>
          </w:p>
        </w:tc>
        <w:tc>
          <w:tcPr>
            <w:tcW w:w="1231" w:type="dxa"/>
            <w:tcBorders>
              <w:top w:val="nil"/>
            </w:tcBorders>
          </w:tcPr>
          <w:p w:rsidR="00000000" w:rsidRDefault="00000000">
            <w:pPr>
              <w:keepLines/>
              <w:widowControl w:val="0"/>
              <w:tabs>
                <w:tab w:val="decimal" w:pos="838"/>
              </w:tabs>
              <w:autoSpaceDE w:val="0"/>
              <w:autoSpaceDN w:val="0"/>
              <w:adjustRightInd w:val="0"/>
              <w:spacing w:before="50" w:after="50"/>
              <w:ind w:right="113"/>
              <w:jc w:val="right"/>
            </w:pPr>
            <w:r>
              <w:t>960 520</w:t>
            </w:r>
          </w:p>
        </w:tc>
        <w:tc>
          <w:tcPr>
            <w:tcW w:w="1232" w:type="dxa"/>
            <w:tcBorders>
              <w:top w:val="nil"/>
            </w:tcBorders>
          </w:tcPr>
          <w:p w:rsidR="00000000" w:rsidRDefault="00000000">
            <w:pPr>
              <w:keepLines/>
              <w:widowControl w:val="0"/>
              <w:tabs>
                <w:tab w:val="decimal" w:pos="895"/>
              </w:tabs>
              <w:autoSpaceDE w:val="0"/>
              <w:autoSpaceDN w:val="0"/>
              <w:adjustRightInd w:val="0"/>
              <w:spacing w:before="50" w:after="50"/>
              <w:ind w:right="113"/>
              <w:jc w:val="right"/>
            </w:pPr>
            <w:r>
              <w:t>986 210</w:t>
            </w:r>
          </w:p>
        </w:tc>
      </w:tr>
      <w:tr w:rsidR="00000000">
        <w:tblPrEx>
          <w:tblCellMar>
            <w:top w:w="0" w:type="dxa"/>
            <w:bottom w:w="0" w:type="dxa"/>
          </w:tblCellMar>
        </w:tblPrEx>
        <w:tc>
          <w:tcPr>
            <w:tcW w:w="2110" w:type="dxa"/>
            <w:tcBorders>
              <w:bottom w:val="nil"/>
            </w:tcBorders>
          </w:tcPr>
          <w:p w:rsidR="00000000" w:rsidRDefault="00000000">
            <w:pPr>
              <w:spacing w:before="50" w:after="50"/>
              <w:rPr>
                <w:b/>
                <w:bCs/>
              </w:rPr>
            </w:pPr>
            <w:r>
              <w:rPr>
                <w:b/>
                <w:bCs/>
              </w:rPr>
              <w:t>Secondaire</w:t>
            </w:r>
          </w:p>
        </w:tc>
        <w:tc>
          <w:tcPr>
            <w:tcW w:w="1231"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315 436</w:t>
            </w:r>
          </w:p>
        </w:tc>
        <w:tc>
          <w:tcPr>
            <w:tcW w:w="1231"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321 381</w:t>
            </w:r>
          </w:p>
        </w:tc>
        <w:tc>
          <w:tcPr>
            <w:tcW w:w="1231"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341 235</w:t>
            </w:r>
          </w:p>
        </w:tc>
        <w:tc>
          <w:tcPr>
            <w:tcW w:w="1231" w:type="dxa"/>
            <w:tcBorders>
              <w:bottom w:val="nil"/>
            </w:tcBorders>
          </w:tcPr>
          <w:p w:rsidR="00000000" w:rsidRDefault="00000000">
            <w:pPr>
              <w:widowControl w:val="0"/>
              <w:autoSpaceDE w:val="0"/>
              <w:autoSpaceDN w:val="0"/>
              <w:adjustRightInd w:val="0"/>
              <w:spacing w:before="50" w:after="50"/>
              <w:ind w:right="113"/>
              <w:jc w:val="right"/>
              <w:rPr>
                <w:b/>
                <w:bCs/>
              </w:rPr>
            </w:pPr>
            <w:r>
              <w:rPr>
                <w:b/>
                <w:bCs/>
              </w:rPr>
              <w:t>369 729</w:t>
            </w:r>
          </w:p>
        </w:tc>
        <w:tc>
          <w:tcPr>
            <w:tcW w:w="1231" w:type="dxa"/>
            <w:tcBorders>
              <w:bottom w:val="nil"/>
            </w:tcBorders>
          </w:tcPr>
          <w:p w:rsidR="00000000" w:rsidRDefault="00000000">
            <w:pPr>
              <w:widowControl w:val="0"/>
              <w:tabs>
                <w:tab w:val="decimal" w:pos="838"/>
              </w:tabs>
              <w:autoSpaceDE w:val="0"/>
              <w:autoSpaceDN w:val="0"/>
              <w:adjustRightInd w:val="0"/>
              <w:spacing w:before="50" w:after="50"/>
              <w:ind w:right="113"/>
              <w:jc w:val="right"/>
              <w:rPr>
                <w:b/>
                <w:bCs/>
              </w:rPr>
            </w:pPr>
            <w:r>
              <w:rPr>
                <w:b/>
                <w:bCs/>
              </w:rPr>
              <w:t>398 364</w:t>
            </w:r>
          </w:p>
        </w:tc>
        <w:tc>
          <w:tcPr>
            <w:tcW w:w="1232" w:type="dxa"/>
            <w:tcBorders>
              <w:bottom w:val="nil"/>
            </w:tcBorders>
          </w:tcPr>
          <w:p w:rsidR="00000000" w:rsidRDefault="00000000">
            <w:pPr>
              <w:widowControl w:val="0"/>
              <w:tabs>
                <w:tab w:val="decimal" w:pos="895"/>
              </w:tabs>
              <w:autoSpaceDE w:val="0"/>
              <w:autoSpaceDN w:val="0"/>
              <w:adjustRightInd w:val="0"/>
              <w:spacing w:before="50" w:after="50"/>
              <w:ind w:right="113"/>
              <w:jc w:val="right"/>
              <w:rPr>
                <w:b/>
                <w:bCs/>
              </w:rPr>
            </w:pPr>
            <w:r>
              <w:rPr>
                <w:b/>
                <w:bCs/>
              </w:rPr>
              <w:t>443 469</w:t>
            </w:r>
          </w:p>
        </w:tc>
      </w:tr>
      <w:tr w:rsidR="00000000">
        <w:tblPrEx>
          <w:tblCellMar>
            <w:top w:w="0" w:type="dxa"/>
            <w:bottom w:w="0" w:type="dxa"/>
          </w:tblCellMar>
        </w:tblPrEx>
        <w:tc>
          <w:tcPr>
            <w:tcW w:w="2110" w:type="dxa"/>
            <w:tcBorders>
              <w:top w:val="nil"/>
              <w:bottom w:val="nil"/>
            </w:tcBorders>
          </w:tcPr>
          <w:p w:rsidR="00000000" w:rsidRDefault="00000000">
            <w:pPr>
              <w:spacing w:before="50" w:after="50"/>
              <w:ind w:left="170"/>
            </w:pPr>
            <w:r>
              <w:t>Zones rurales</w:t>
            </w:r>
          </w:p>
        </w:tc>
        <w:tc>
          <w:tcPr>
            <w:tcW w:w="1231" w:type="dxa"/>
            <w:tcBorders>
              <w:top w:val="nil"/>
              <w:bottom w:val="nil"/>
            </w:tcBorders>
          </w:tcPr>
          <w:p w:rsidR="00000000" w:rsidRDefault="00000000">
            <w:pPr>
              <w:widowControl w:val="0"/>
              <w:autoSpaceDE w:val="0"/>
              <w:autoSpaceDN w:val="0"/>
              <w:adjustRightInd w:val="0"/>
              <w:spacing w:before="50" w:after="50"/>
              <w:ind w:right="113"/>
              <w:jc w:val="right"/>
            </w:pPr>
            <w:r>
              <w:t>61 457</w:t>
            </w:r>
          </w:p>
        </w:tc>
        <w:tc>
          <w:tcPr>
            <w:tcW w:w="1231" w:type="dxa"/>
            <w:tcBorders>
              <w:top w:val="nil"/>
              <w:bottom w:val="nil"/>
            </w:tcBorders>
          </w:tcPr>
          <w:p w:rsidR="00000000" w:rsidRDefault="00000000">
            <w:pPr>
              <w:widowControl w:val="0"/>
              <w:autoSpaceDE w:val="0"/>
              <w:autoSpaceDN w:val="0"/>
              <w:adjustRightInd w:val="0"/>
              <w:spacing w:before="50" w:after="50"/>
              <w:ind w:right="113"/>
              <w:jc w:val="right"/>
            </w:pPr>
            <w:r>
              <w:t>65 788</w:t>
            </w:r>
          </w:p>
        </w:tc>
        <w:tc>
          <w:tcPr>
            <w:tcW w:w="1231" w:type="dxa"/>
            <w:tcBorders>
              <w:top w:val="nil"/>
              <w:bottom w:val="nil"/>
            </w:tcBorders>
          </w:tcPr>
          <w:p w:rsidR="00000000" w:rsidRDefault="00000000">
            <w:pPr>
              <w:widowControl w:val="0"/>
              <w:autoSpaceDE w:val="0"/>
              <w:autoSpaceDN w:val="0"/>
              <w:adjustRightInd w:val="0"/>
              <w:spacing w:before="50" w:after="50"/>
              <w:ind w:right="113"/>
              <w:jc w:val="right"/>
            </w:pPr>
            <w:r>
              <w:t>68 892</w:t>
            </w:r>
          </w:p>
        </w:tc>
        <w:tc>
          <w:tcPr>
            <w:tcW w:w="1231" w:type="dxa"/>
            <w:tcBorders>
              <w:top w:val="nil"/>
              <w:bottom w:val="nil"/>
            </w:tcBorders>
          </w:tcPr>
          <w:p w:rsidR="00000000" w:rsidRDefault="00000000">
            <w:pPr>
              <w:widowControl w:val="0"/>
              <w:autoSpaceDE w:val="0"/>
              <w:autoSpaceDN w:val="0"/>
              <w:adjustRightInd w:val="0"/>
              <w:spacing w:before="50" w:after="50"/>
              <w:ind w:right="113"/>
              <w:jc w:val="right"/>
            </w:pPr>
            <w:r>
              <w:t>76 893</w:t>
            </w:r>
          </w:p>
        </w:tc>
        <w:tc>
          <w:tcPr>
            <w:tcW w:w="1231" w:type="dxa"/>
            <w:tcBorders>
              <w:top w:val="nil"/>
              <w:bottom w:val="nil"/>
            </w:tcBorders>
          </w:tcPr>
          <w:p w:rsidR="00000000" w:rsidRDefault="00000000">
            <w:pPr>
              <w:widowControl w:val="0"/>
              <w:tabs>
                <w:tab w:val="decimal" w:pos="838"/>
              </w:tabs>
              <w:autoSpaceDE w:val="0"/>
              <w:autoSpaceDN w:val="0"/>
              <w:adjustRightInd w:val="0"/>
              <w:spacing w:before="50" w:after="50"/>
              <w:ind w:right="113"/>
              <w:jc w:val="right"/>
            </w:pPr>
            <w:r>
              <w:t>85 969</w:t>
            </w:r>
          </w:p>
        </w:tc>
        <w:tc>
          <w:tcPr>
            <w:tcW w:w="1232" w:type="dxa"/>
            <w:tcBorders>
              <w:top w:val="nil"/>
              <w:bottom w:val="nil"/>
            </w:tcBorders>
          </w:tcPr>
          <w:p w:rsidR="00000000" w:rsidRDefault="00000000">
            <w:pPr>
              <w:widowControl w:val="0"/>
              <w:tabs>
                <w:tab w:val="decimal" w:pos="895"/>
              </w:tabs>
              <w:autoSpaceDE w:val="0"/>
              <w:autoSpaceDN w:val="0"/>
              <w:adjustRightInd w:val="0"/>
              <w:spacing w:before="50" w:after="50"/>
              <w:ind w:right="113"/>
              <w:jc w:val="right"/>
            </w:pPr>
            <w:r>
              <w:t>99 919</w:t>
            </w:r>
          </w:p>
        </w:tc>
      </w:tr>
      <w:tr w:rsidR="00000000">
        <w:tblPrEx>
          <w:tblCellMar>
            <w:top w:w="0" w:type="dxa"/>
            <w:bottom w:w="0" w:type="dxa"/>
          </w:tblCellMar>
        </w:tblPrEx>
        <w:tc>
          <w:tcPr>
            <w:tcW w:w="2110" w:type="dxa"/>
            <w:tcBorders>
              <w:top w:val="nil"/>
            </w:tcBorders>
          </w:tcPr>
          <w:p w:rsidR="00000000" w:rsidRDefault="00000000">
            <w:pPr>
              <w:spacing w:before="50" w:after="50"/>
              <w:ind w:left="170"/>
            </w:pPr>
            <w:r>
              <w:t>Zones urbaines</w:t>
            </w:r>
          </w:p>
        </w:tc>
        <w:tc>
          <w:tcPr>
            <w:tcW w:w="1231" w:type="dxa"/>
            <w:tcBorders>
              <w:top w:val="nil"/>
            </w:tcBorders>
          </w:tcPr>
          <w:p w:rsidR="00000000" w:rsidRDefault="00000000">
            <w:pPr>
              <w:widowControl w:val="0"/>
              <w:autoSpaceDE w:val="0"/>
              <w:autoSpaceDN w:val="0"/>
              <w:adjustRightInd w:val="0"/>
              <w:spacing w:before="50" w:after="50"/>
              <w:ind w:right="113"/>
              <w:jc w:val="right"/>
            </w:pPr>
            <w:r>
              <w:t>253 979</w:t>
            </w:r>
          </w:p>
        </w:tc>
        <w:tc>
          <w:tcPr>
            <w:tcW w:w="1231" w:type="dxa"/>
            <w:tcBorders>
              <w:top w:val="nil"/>
            </w:tcBorders>
          </w:tcPr>
          <w:p w:rsidR="00000000" w:rsidRDefault="00000000">
            <w:pPr>
              <w:widowControl w:val="0"/>
              <w:autoSpaceDE w:val="0"/>
              <w:autoSpaceDN w:val="0"/>
              <w:adjustRightInd w:val="0"/>
              <w:spacing w:before="50" w:after="50"/>
              <w:ind w:right="113"/>
              <w:jc w:val="right"/>
            </w:pPr>
            <w:r>
              <w:t>255 593</w:t>
            </w:r>
          </w:p>
        </w:tc>
        <w:tc>
          <w:tcPr>
            <w:tcW w:w="1231" w:type="dxa"/>
            <w:tcBorders>
              <w:top w:val="nil"/>
            </w:tcBorders>
          </w:tcPr>
          <w:p w:rsidR="00000000" w:rsidRDefault="00000000">
            <w:pPr>
              <w:widowControl w:val="0"/>
              <w:autoSpaceDE w:val="0"/>
              <w:autoSpaceDN w:val="0"/>
              <w:adjustRightInd w:val="0"/>
              <w:spacing w:before="50" w:after="50"/>
              <w:ind w:right="113"/>
              <w:jc w:val="right"/>
            </w:pPr>
            <w:r>
              <w:t>272 343</w:t>
            </w:r>
          </w:p>
        </w:tc>
        <w:tc>
          <w:tcPr>
            <w:tcW w:w="1231" w:type="dxa"/>
            <w:tcBorders>
              <w:top w:val="nil"/>
            </w:tcBorders>
          </w:tcPr>
          <w:p w:rsidR="00000000" w:rsidRDefault="00000000">
            <w:pPr>
              <w:widowControl w:val="0"/>
              <w:autoSpaceDE w:val="0"/>
              <w:autoSpaceDN w:val="0"/>
              <w:adjustRightInd w:val="0"/>
              <w:spacing w:before="50" w:after="50"/>
              <w:ind w:right="113"/>
              <w:jc w:val="right"/>
            </w:pPr>
            <w:r>
              <w:t>292 836</w:t>
            </w:r>
          </w:p>
        </w:tc>
        <w:tc>
          <w:tcPr>
            <w:tcW w:w="1231" w:type="dxa"/>
            <w:tcBorders>
              <w:top w:val="nil"/>
            </w:tcBorders>
          </w:tcPr>
          <w:p w:rsidR="00000000" w:rsidRDefault="00000000">
            <w:pPr>
              <w:widowControl w:val="0"/>
              <w:tabs>
                <w:tab w:val="decimal" w:pos="838"/>
              </w:tabs>
              <w:autoSpaceDE w:val="0"/>
              <w:autoSpaceDN w:val="0"/>
              <w:adjustRightInd w:val="0"/>
              <w:spacing w:before="50" w:after="50"/>
              <w:ind w:right="113"/>
              <w:jc w:val="right"/>
            </w:pPr>
            <w:r>
              <w:t>312 395</w:t>
            </w:r>
          </w:p>
        </w:tc>
        <w:tc>
          <w:tcPr>
            <w:tcW w:w="1232" w:type="dxa"/>
            <w:tcBorders>
              <w:top w:val="nil"/>
            </w:tcBorders>
          </w:tcPr>
          <w:p w:rsidR="00000000" w:rsidRDefault="00000000">
            <w:pPr>
              <w:widowControl w:val="0"/>
              <w:tabs>
                <w:tab w:val="decimal" w:pos="895"/>
              </w:tabs>
              <w:autoSpaceDE w:val="0"/>
              <w:autoSpaceDN w:val="0"/>
              <w:adjustRightInd w:val="0"/>
              <w:spacing w:before="50" w:after="50"/>
              <w:ind w:right="113"/>
              <w:jc w:val="right"/>
            </w:pPr>
            <w:r>
              <w:t>343 550</w:t>
            </w:r>
          </w:p>
        </w:tc>
      </w:tr>
      <w:tr w:rsidR="00000000">
        <w:tblPrEx>
          <w:tblCellMar>
            <w:top w:w="0" w:type="dxa"/>
            <w:bottom w:w="0" w:type="dxa"/>
          </w:tblCellMar>
        </w:tblPrEx>
        <w:tc>
          <w:tcPr>
            <w:tcW w:w="2110" w:type="dxa"/>
            <w:tcBorders>
              <w:bottom w:val="nil"/>
            </w:tcBorders>
          </w:tcPr>
          <w:p w:rsidR="00000000" w:rsidRDefault="00000000">
            <w:pPr>
              <w:spacing w:before="50" w:after="50"/>
              <w:rPr>
                <w:b/>
                <w:bCs/>
              </w:rPr>
            </w:pPr>
            <w:r>
              <w:rPr>
                <w:b/>
                <w:bCs/>
              </w:rPr>
              <w:t>Préscolaire, primaire et secondaire</w:t>
            </w:r>
          </w:p>
        </w:tc>
        <w:tc>
          <w:tcPr>
            <w:tcW w:w="1231" w:type="dxa"/>
            <w:tcBorders>
              <w:bottom w:val="nil"/>
            </w:tcBorders>
            <w:vAlign w:val="bottom"/>
          </w:tcPr>
          <w:p w:rsidR="00000000" w:rsidRDefault="00000000">
            <w:pPr>
              <w:widowControl w:val="0"/>
              <w:autoSpaceDE w:val="0"/>
              <w:autoSpaceDN w:val="0"/>
              <w:adjustRightInd w:val="0"/>
              <w:spacing w:before="50" w:after="50"/>
              <w:ind w:right="113"/>
              <w:jc w:val="right"/>
              <w:rPr>
                <w:b/>
                <w:bCs/>
              </w:rPr>
            </w:pPr>
            <w:r>
              <w:rPr>
                <w:b/>
                <w:bCs/>
              </w:rPr>
              <w:t>2 075 933</w:t>
            </w:r>
          </w:p>
        </w:tc>
        <w:tc>
          <w:tcPr>
            <w:tcW w:w="1231" w:type="dxa"/>
            <w:tcBorders>
              <w:bottom w:val="nil"/>
            </w:tcBorders>
            <w:vAlign w:val="bottom"/>
          </w:tcPr>
          <w:p w:rsidR="00000000" w:rsidRDefault="00000000">
            <w:pPr>
              <w:widowControl w:val="0"/>
              <w:autoSpaceDE w:val="0"/>
              <w:autoSpaceDN w:val="0"/>
              <w:adjustRightInd w:val="0"/>
              <w:spacing w:before="50" w:after="50"/>
              <w:ind w:right="113"/>
              <w:jc w:val="right"/>
              <w:rPr>
                <w:b/>
                <w:bCs/>
              </w:rPr>
            </w:pPr>
            <w:r>
              <w:rPr>
                <w:b/>
                <w:bCs/>
              </w:rPr>
              <w:t>2 059 213</w:t>
            </w:r>
          </w:p>
        </w:tc>
        <w:tc>
          <w:tcPr>
            <w:tcW w:w="1231" w:type="dxa"/>
            <w:tcBorders>
              <w:bottom w:val="nil"/>
            </w:tcBorders>
            <w:vAlign w:val="bottom"/>
          </w:tcPr>
          <w:p w:rsidR="00000000" w:rsidRDefault="00000000">
            <w:pPr>
              <w:widowControl w:val="0"/>
              <w:autoSpaceDE w:val="0"/>
              <w:autoSpaceDN w:val="0"/>
              <w:adjustRightInd w:val="0"/>
              <w:spacing w:before="50" w:after="50"/>
              <w:ind w:right="113"/>
              <w:jc w:val="right"/>
              <w:rPr>
                <w:b/>
                <w:bCs/>
              </w:rPr>
            </w:pPr>
            <w:r>
              <w:rPr>
                <w:b/>
                <w:bCs/>
              </w:rPr>
              <w:t>2 107 080</w:t>
            </w:r>
          </w:p>
        </w:tc>
        <w:tc>
          <w:tcPr>
            <w:tcW w:w="1231" w:type="dxa"/>
            <w:tcBorders>
              <w:bottom w:val="nil"/>
            </w:tcBorders>
            <w:vAlign w:val="bottom"/>
          </w:tcPr>
          <w:p w:rsidR="00000000" w:rsidRDefault="00000000">
            <w:pPr>
              <w:widowControl w:val="0"/>
              <w:autoSpaceDE w:val="0"/>
              <w:autoSpaceDN w:val="0"/>
              <w:adjustRightInd w:val="0"/>
              <w:spacing w:before="50" w:after="50"/>
              <w:ind w:right="113"/>
              <w:jc w:val="right"/>
              <w:rPr>
                <w:b/>
                <w:bCs/>
              </w:rPr>
            </w:pPr>
            <w:r>
              <w:rPr>
                <w:b/>
                <w:bCs/>
              </w:rPr>
              <w:t>2 197 089</w:t>
            </w:r>
          </w:p>
        </w:tc>
        <w:tc>
          <w:tcPr>
            <w:tcW w:w="1231" w:type="dxa"/>
            <w:tcBorders>
              <w:bottom w:val="nil"/>
            </w:tcBorders>
            <w:vAlign w:val="bottom"/>
          </w:tcPr>
          <w:p w:rsidR="00000000" w:rsidRDefault="00000000">
            <w:pPr>
              <w:widowControl w:val="0"/>
              <w:tabs>
                <w:tab w:val="decimal" w:pos="838"/>
              </w:tabs>
              <w:autoSpaceDE w:val="0"/>
              <w:autoSpaceDN w:val="0"/>
              <w:adjustRightInd w:val="0"/>
              <w:spacing w:before="50" w:after="50"/>
              <w:ind w:right="113"/>
              <w:jc w:val="right"/>
              <w:rPr>
                <w:b/>
                <w:bCs/>
              </w:rPr>
            </w:pPr>
            <w:r>
              <w:rPr>
                <w:b/>
                <w:bCs/>
              </w:rPr>
              <w:t>2 263 158</w:t>
            </w:r>
          </w:p>
        </w:tc>
        <w:tc>
          <w:tcPr>
            <w:tcW w:w="1232" w:type="dxa"/>
            <w:tcBorders>
              <w:bottom w:val="nil"/>
            </w:tcBorders>
            <w:vAlign w:val="bottom"/>
          </w:tcPr>
          <w:p w:rsidR="00000000" w:rsidRDefault="00000000">
            <w:pPr>
              <w:widowControl w:val="0"/>
              <w:tabs>
                <w:tab w:val="decimal" w:pos="895"/>
              </w:tabs>
              <w:autoSpaceDE w:val="0"/>
              <w:autoSpaceDN w:val="0"/>
              <w:adjustRightInd w:val="0"/>
              <w:spacing w:before="50" w:after="50"/>
              <w:ind w:right="113"/>
              <w:jc w:val="right"/>
              <w:rPr>
                <w:b/>
                <w:bCs/>
              </w:rPr>
            </w:pPr>
            <w:r>
              <w:rPr>
                <w:b/>
                <w:bCs/>
              </w:rPr>
              <w:t>2 363 162</w:t>
            </w:r>
          </w:p>
        </w:tc>
      </w:tr>
      <w:tr w:rsidR="00000000">
        <w:tblPrEx>
          <w:tblCellMar>
            <w:top w:w="0" w:type="dxa"/>
            <w:bottom w:w="0" w:type="dxa"/>
          </w:tblCellMar>
        </w:tblPrEx>
        <w:tc>
          <w:tcPr>
            <w:tcW w:w="2110" w:type="dxa"/>
            <w:tcBorders>
              <w:top w:val="nil"/>
              <w:bottom w:val="nil"/>
            </w:tcBorders>
          </w:tcPr>
          <w:p w:rsidR="00000000" w:rsidRDefault="00000000">
            <w:pPr>
              <w:spacing w:before="50" w:after="50"/>
              <w:ind w:left="170"/>
            </w:pPr>
            <w:r>
              <w:t>Zones rurales</w:t>
            </w:r>
          </w:p>
        </w:tc>
        <w:tc>
          <w:tcPr>
            <w:tcW w:w="1231" w:type="dxa"/>
            <w:tcBorders>
              <w:top w:val="nil"/>
              <w:bottom w:val="nil"/>
            </w:tcBorders>
          </w:tcPr>
          <w:p w:rsidR="00000000" w:rsidRDefault="00000000">
            <w:pPr>
              <w:widowControl w:val="0"/>
              <w:autoSpaceDE w:val="0"/>
              <w:autoSpaceDN w:val="0"/>
              <w:adjustRightInd w:val="0"/>
              <w:spacing w:before="50" w:after="50"/>
              <w:ind w:right="113"/>
              <w:jc w:val="right"/>
            </w:pPr>
            <w:r>
              <w:t>830 166</w:t>
            </w:r>
          </w:p>
        </w:tc>
        <w:tc>
          <w:tcPr>
            <w:tcW w:w="1231" w:type="dxa"/>
            <w:tcBorders>
              <w:top w:val="nil"/>
              <w:bottom w:val="nil"/>
            </w:tcBorders>
          </w:tcPr>
          <w:p w:rsidR="00000000" w:rsidRDefault="00000000">
            <w:pPr>
              <w:widowControl w:val="0"/>
              <w:autoSpaceDE w:val="0"/>
              <w:autoSpaceDN w:val="0"/>
              <w:adjustRightInd w:val="0"/>
              <w:spacing w:before="50" w:after="50"/>
              <w:ind w:right="113"/>
              <w:jc w:val="right"/>
            </w:pPr>
            <w:r>
              <w:t>812 592</w:t>
            </w:r>
          </w:p>
        </w:tc>
        <w:tc>
          <w:tcPr>
            <w:tcW w:w="1231" w:type="dxa"/>
            <w:tcBorders>
              <w:top w:val="nil"/>
              <w:bottom w:val="nil"/>
            </w:tcBorders>
          </w:tcPr>
          <w:p w:rsidR="00000000" w:rsidRDefault="00000000">
            <w:pPr>
              <w:widowControl w:val="0"/>
              <w:autoSpaceDE w:val="0"/>
              <w:autoSpaceDN w:val="0"/>
              <w:adjustRightInd w:val="0"/>
              <w:spacing w:before="50" w:after="50"/>
              <w:ind w:right="113"/>
              <w:jc w:val="right"/>
            </w:pPr>
            <w:r>
              <w:t>819 062</w:t>
            </w:r>
          </w:p>
        </w:tc>
        <w:tc>
          <w:tcPr>
            <w:tcW w:w="1231" w:type="dxa"/>
            <w:tcBorders>
              <w:top w:val="nil"/>
              <w:bottom w:val="nil"/>
            </w:tcBorders>
          </w:tcPr>
          <w:p w:rsidR="00000000" w:rsidRDefault="00000000">
            <w:pPr>
              <w:widowControl w:val="0"/>
              <w:autoSpaceDE w:val="0"/>
              <w:autoSpaceDN w:val="0"/>
              <w:adjustRightInd w:val="0"/>
              <w:spacing w:before="50" w:after="50"/>
              <w:ind w:right="113"/>
              <w:jc w:val="right"/>
            </w:pPr>
            <w:r>
              <w:t>850 588</w:t>
            </w:r>
          </w:p>
        </w:tc>
        <w:tc>
          <w:tcPr>
            <w:tcW w:w="1231" w:type="dxa"/>
            <w:tcBorders>
              <w:top w:val="nil"/>
              <w:bottom w:val="nil"/>
            </w:tcBorders>
          </w:tcPr>
          <w:p w:rsidR="00000000" w:rsidRDefault="00000000">
            <w:pPr>
              <w:widowControl w:val="0"/>
              <w:tabs>
                <w:tab w:val="decimal" w:pos="838"/>
              </w:tabs>
              <w:autoSpaceDE w:val="0"/>
              <w:autoSpaceDN w:val="0"/>
              <w:adjustRightInd w:val="0"/>
              <w:spacing w:before="50" w:after="50"/>
              <w:ind w:right="113"/>
              <w:jc w:val="right"/>
            </w:pPr>
            <w:r>
              <w:t>868 772</w:t>
            </w:r>
          </w:p>
        </w:tc>
        <w:tc>
          <w:tcPr>
            <w:tcW w:w="1232" w:type="dxa"/>
            <w:tcBorders>
              <w:top w:val="nil"/>
              <w:bottom w:val="nil"/>
            </w:tcBorders>
          </w:tcPr>
          <w:p w:rsidR="00000000" w:rsidRDefault="00000000">
            <w:pPr>
              <w:widowControl w:val="0"/>
              <w:tabs>
                <w:tab w:val="decimal" w:pos="895"/>
              </w:tabs>
              <w:autoSpaceDE w:val="0"/>
              <w:autoSpaceDN w:val="0"/>
              <w:adjustRightInd w:val="0"/>
              <w:spacing w:before="50" w:after="50"/>
              <w:ind w:right="113"/>
              <w:jc w:val="right"/>
            </w:pPr>
            <w:r>
              <w:t>908 776</w:t>
            </w:r>
          </w:p>
        </w:tc>
      </w:tr>
      <w:tr w:rsidR="00000000">
        <w:tblPrEx>
          <w:tblCellMar>
            <w:top w:w="0" w:type="dxa"/>
            <w:bottom w:w="0" w:type="dxa"/>
          </w:tblCellMar>
        </w:tblPrEx>
        <w:tc>
          <w:tcPr>
            <w:tcW w:w="2110" w:type="dxa"/>
            <w:tcBorders>
              <w:top w:val="nil"/>
            </w:tcBorders>
          </w:tcPr>
          <w:p w:rsidR="00000000" w:rsidRDefault="00000000">
            <w:pPr>
              <w:spacing w:before="50" w:after="50"/>
              <w:ind w:left="170"/>
            </w:pPr>
            <w:r>
              <w:t>Zones urbaines</w:t>
            </w:r>
          </w:p>
        </w:tc>
        <w:tc>
          <w:tcPr>
            <w:tcW w:w="1231" w:type="dxa"/>
            <w:tcBorders>
              <w:top w:val="nil"/>
            </w:tcBorders>
          </w:tcPr>
          <w:p w:rsidR="00000000" w:rsidRDefault="00000000">
            <w:pPr>
              <w:widowControl w:val="0"/>
              <w:autoSpaceDE w:val="0"/>
              <w:autoSpaceDN w:val="0"/>
              <w:adjustRightInd w:val="0"/>
              <w:spacing w:before="50" w:after="50"/>
              <w:ind w:right="113"/>
              <w:jc w:val="right"/>
            </w:pPr>
            <w:r>
              <w:t>1 245 767</w:t>
            </w:r>
          </w:p>
        </w:tc>
        <w:tc>
          <w:tcPr>
            <w:tcW w:w="1231" w:type="dxa"/>
            <w:tcBorders>
              <w:top w:val="nil"/>
            </w:tcBorders>
          </w:tcPr>
          <w:p w:rsidR="00000000" w:rsidRDefault="00000000">
            <w:pPr>
              <w:widowControl w:val="0"/>
              <w:autoSpaceDE w:val="0"/>
              <w:autoSpaceDN w:val="0"/>
              <w:adjustRightInd w:val="0"/>
              <w:spacing w:before="50" w:after="50"/>
              <w:ind w:right="113"/>
              <w:jc w:val="right"/>
            </w:pPr>
            <w:r>
              <w:t>1 246 621</w:t>
            </w:r>
          </w:p>
        </w:tc>
        <w:tc>
          <w:tcPr>
            <w:tcW w:w="1231" w:type="dxa"/>
            <w:tcBorders>
              <w:top w:val="nil"/>
            </w:tcBorders>
          </w:tcPr>
          <w:p w:rsidR="00000000" w:rsidRDefault="00000000">
            <w:pPr>
              <w:widowControl w:val="0"/>
              <w:autoSpaceDE w:val="0"/>
              <w:autoSpaceDN w:val="0"/>
              <w:adjustRightInd w:val="0"/>
              <w:spacing w:before="50" w:after="50"/>
              <w:ind w:right="113"/>
              <w:jc w:val="right"/>
            </w:pPr>
            <w:r>
              <w:t>1 288 018</w:t>
            </w:r>
          </w:p>
        </w:tc>
        <w:tc>
          <w:tcPr>
            <w:tcW w:w="1231" w:type="dxa"/>
            <w:tcBorders>
              <w:top w:val="nil"/>
            </w:tcBorders>
          </w:tcPr>
          <w:p w:rsidR="00000000" w:rsidRDefault="00000000">
            <w:pPr>
              <w:widowControl w:val="0"/>
              <w:autoSpaceDE w:val="0"/>
              <w:autoSpaceDN w:val="0"/>
              <w:adjustRightInd w:val="0"/>
              <w:spacing w:before="50" w:after="50"/>
              <w:ind w:right="113"/>
              <w:jc w:val="right"/>
            </w:pPr>
            <w:r>
              <w:t>1 346 501</w:t>
            </w:r>
          </w:p>
        </w:tc>
        <w:tc>
          <w:tcPr>
            <w:tcW w:w="1231" w:type="dxa"/>
            <w:tcBorders>
              <w:top w:val="nil"/>
            </w:tcBorders>
          </w:tcPr>
          <w:p w:rsidR="00000000" w:rsidRDefault="00000000">
            <w:pPr>
              <w:widowControl w:val="0"/>
              <w:tabs>
                <w:tab w:val="decimal" w:pos="838"/>
              </w:tabs>
              <w:autoSpaceDE w:val="0"/>
              <w:autoSpaceDN w:val="0"/>
              <w:adjustRightInd w:val="0"/>
              <w:spacing w:before="50" w:after="50"/>
              <w:ind w:right="113"/>
              <w:jc w:val="right"/>
            </w:pPr>
            <w:r>
              <w:t>1 394 386</w:t>
            </w:r>
          </w:p>
        </w:tc>
        <w:tc>
          <w:tcPr>
            <w:tcW w:w="1232" w:type="dxa"/>
            <w:tcBorders>
              <w:top w:val="nil"/>
            </w:tcBorders>
          </w:tcPr>
          <w:p w:rsidR="00000000" w:rsidRDefault="00000000">
            <w:pPr>
              <w:widowControl w:val="0"/>
              <w:tabs>
                <w:tab w:val="decimal" w:pos="895"/>
              </w:tabs>
              <w:autoSpaceDE w:val="0"/>
              <w:autoSpaceDN w:val="0"/>
              <w:adjustRightInd w:val="0"/>
              <w:spacing w:before="50" w:after="50"/>
              <w:ind w:right="113"/>
              <w:jc w:val="right"/>
            </w:pPr>
            <w:r>
              <w:t>1 454 386</w:t>
            </w:r>
          </w:p>
        </w:tc>
      </w:tr>
    </w:tbl>
    <w:p w:rsidR="00000000" w:rsidRDefault="00000000">
      <w:pPr>
        <w:spacing w:before="240" w:after="240"/>
        <w:ind w:firstLine="567"/>
      </w:pPr>
      <w:r>
        <w:rPr>
          <w:i/>
          <w:iCs/>
        </w:rPr>
        <w:t>Source</w:t>
      </w:r>
      <w:r>
        <w:t>: SIE.</w:t>
      </w:r>
    </w:p>
    <w:p w:rsidR="00000000" w:rsidRDefault="00000000">
      <w:pPr>
        <w:spacing w:after="360"/>
        <w:ind w:firstLine="567"/>
      </w:pPr>
      <w:r>
        <w:rPr>
          <w:i/>
          <w:iCs/>
        </w:rPr>
        <w:t>Établi par</w:t>
      </w:r>
      <w:r>
        <w:t>: Direction de l’analyse (Ministère de l’éducation).</w:t>
      </w:r>
    </w:p>
    <w:p w:rsidR="00000000" w:rsidRDefault="00000000">
      <w:pPr>
        <w:keepNext/>
        <w:spacing w:after="240"/>
        <w:rPr>
          <w:b/>
          <w:bCs/>
        </w:rPr>
      </w:pPr>
      <w:r>
        <w:rPr>
          <w:b/>
          <w:bCs/>
        </w:rPr>
        <w:t>Durée de la scolarité</w:t>
      </w:r>
    </w:p>
    <w:p w:rsidR="00000000" w:rsidRDefault="00000000">
      <w:pPr>
        <w:spacing w:after="180"/>
        <w:rPr>
          <w:lang w:val="fr-CA"/>
        </w:rPr>
      </w:pPr>
      <w:r>
        <w:t>198.</w:t>
      </w:r>
      <w:r>
        <w:tab/>
      </w:r>
      <w:r>
        <w:rPr>
          <w:lang w:val="fr-CA"/>
        </w:rPr>
        <w:t>Si l’on analyse les années de scolarité accomplies, il s’avère que c’est la population féminine, surtout celle des zones rurales, qui connaît le plus de difficultés. En effet, dans ces zones, la moyenne des années de scolarité accomplies par les femmes est de trois ans, ce qui équivaut, dans le meilleur des cas, à la troisième du primaire, alors que les hommes de ces mêmes zones ont en moyenne cinq ans de scolarité. Par contre, dans les zones urbaines, la moyenne des années de scolarité accomplies est d’environ huit ans pour les femmes et dix ans pour les hommes.</w:t>
      </w:r>
    </w:p>
    <w:p w:rsidR="00000000" w:rsidRDefault="00000000">
      <w:pPr>
        <w:keepNext/>
        <w:spacing w:after="180"/>
        <w:jc w:val="center"/>
        <w:rPr>
          <w:b/>
          <w:bCs/>
          <w:lang w:val="fr-CA"/>
        </w:rPr>
      </w:pPr>
      <w:r>
        <w:rPr>
          <w:b/>
          <w:bCs/>
          <w:lang w:val="fr-CA"/>
        </w:rPr>
        <w:br w:type="page"/>
        <w:t>Tableau 4</w:t>
      </w:r>
    </w:p>
    <w:p w:rsidR="00000000" w:rsidRDefault="00000000">
      <w:pPr>
        <w:spacing w:after="180"/>
        <w:jc w:val="center"/>
        <w:rPr>
          <w:b/>
          <w:bCs/>
          <w:lang w:val="fr-CA"/>
        </w:rPr>
      </w:pPr>
      <w:r>
        <w:rPr>
          <w:b/>
          <w:bCs/>
          <w:lang w:val="fr-CA"/>
        </w:rPr>
        <w:t>Années de scolarité accomplies en moyenne par la population en général</w:t>
      </w:r>
      <w:r>
        <w:rPr>
          <w:b/>
          <w:bCs/>
          <w:lang w:val="fr-CA"/>
        </w:rPr>
        <w:br/>
        <w:t>(1992</w:t>
      </w:r>
      <w:r>
        <w:rPr>
          <w:b/>
          <w:bCs/>
          <w:lang w:val="fr-CA"/>
        </w:rPr>
        <w:noBreakHyphen/>
        <w:t>2001)</w:t>
      </w:r>
    </w:p>
    <w:tbl>
      <w:tblPr>
        <w:tblW w:w="9497" w:type="dxa"/>
        <w:tblBorders>
          <w:top w:val="single" w:sz="4" w:space="0" w:color="auto"/>
          <w:left w:val="single" w:sz="2" w:space="0" w:color="auto"/>
          <w:bottom w:val="single" w:sz="2" w:space="0" w:color="auto"/>
          <w:right w:val="single" w:sz="2"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155"/>
        <w:gridCol w:w="910"/>
        <w:gridCol w:w="963"/>
        <w:gridCol w:w="909"/>
        <w:gridCol w:w="909"/>
        <w:gridCol w:w="962"/>
        <w:gridCol w:w="909"/>
        <w:gridCol w:w="909"/>
        <w:gridCol w:w="962"/>
        <w:gridCol w:w="909"/>
      </w:tblGrid>
      <w:tr w:rsidR="00000000">
        <w:tblPrEx>
          <w:tblCellMar>
            <w:top w:w="0" w:type="dxa"/>
            <w:bottom w:w="0" w:type="dxa"/>
          </w:tblCellMar>
        </w:tblPrEx>
        <w:trPr>
          <w:cantSplit/>
        </w:trPr>
        <w:tc>
          <w:tcPr>
            <w:tcW w:w="1226" w:type="dxa"/>
            <w:vMerge w:val="restart"/>
            <w:vAlign w:val="center"/>
          </w:tcPr>
          <w:p w:rsidR="00000000" w:rsidRDefault="00000000">
            <w:pPr>
              <w:spacing w:before="60" w:after="60"/>
              <w:jc w:val="center"/>
              <w:rPr>
                <w:sz w:val="22"/>
                <w:lang w:val="fr-CA"/>
              </w:rPr>
            </w:pPr>
            <w:r>
              <w:rPr>
                <w:sz w:val="22"/>
                <w:lang w:val="fr-CA"/>
              </w:rPr>
              <w:t>Zone</w:t>
            </w:r>
          </w:p>
        </w:tc>
        <w:tc>
          <w:tcPr>
            <w:tcW w:w="2757" w:type="dxa"/>
            <w:gridSpan w:val="3"/>
          </w:tcPr>
          <w:p w:rsidR="00000000" w:rsidRDefault="00000000">
            <w:pPr>
              <w:spacing w:before="60" w:after="60"/>
              <w:jc w:val="center"/>
              <w:rPr>
                <w:sz w:val="22"/>
                <w:lang w:val="fr-CA"/>
              </w:rPr>
            </w:pPr>
            <w:r>
              <w:rPr>
                <w:sz w:val="22"/>
                <w:lang w:val="fr-CA"/>
              </w:rPr>
              <w:t>Recensement de 1992</w:t>
            </w:r>
          </w:p>
        </w:tc>
        <w:tc>
          <w:tcPr>
            <w:tcW w:w="2757" w:type="dxa"/>
            <w:gridSpan w:val="3"/>
          </w:tcPr>
          <w:p w:rsidR="00000000" w:rsidRDefault="00000000">
            <w:pPr>
              <w:spacing w:before="60" w:after="60"/>
              <w:jc w:val="center"/>
              <w:rPr>
                <w:sz w:val="22"/>
                <w:lang w:val="fr-CA"/>
              </w:rPr>
            </w:pPr>
            <w:r>
              <w:rPr>
                <w:sz w:val="22"/>
                <w:lang w:val="fr-CA"/>
              </w:rPr>
              <w:t>Recensement de 2001</w:t>
            </w:r>
          </w:p>
        </w:tc>
        <w:tc>
          <w:tcPr>
            <w:tcW w:w="2757" w:type="dxa"/>
            <w:gridSpan w:val="3"/>
          </w:tcPr>
          <w:p w:rsidR="00000000" w:rsidRDefault="00000000">
            <w:pPr>
              <w:spacing w:before="60" w:after="60"/>
              <w:jc w:val="center"/>
              <w:rPr>
                <w:sz w:val="22"/>
                <w:lang w:val="fr-CA"/>
              </w:rPr>
            </w:pPr>
            <w:r>
              <w:rPr>
                <w:sz w:val="22"/>
                <w:lang w:val="fr-CA"/>
              </w:rPr>
              <w:t>Variation annuelle, en %</w:t>
            </w:r>
          </w:p>
        </w:tc>
      </w:tr>
      <w:tr w:rsidR="00000000">
        <w:tblPrEx>
          <w:tblCellMar>
            <w:top w:w="0" w:type="dxa"/>
            <w:bottom w:w="0" w:type="dxa"/>
          </w:tblCellMar>
        </w:tblPrEx>
        <w:trPr>
          <w:cantSplit/>
        </w:trPr>
        <w:tc>
          <w:tcPr>
            <w:tcW w:w="1226" w:type="dxa"/>
            <w:vMerge/>
          </w:tcPr>
          <w:p w:rsidR="00000000" w:rsidRDefault="00000000">
            <w:pPr>
              <w:spacing w:before="60" w:after="60"/>
              <w:rPr>
                <w:sz w:val="22"/>
                <w:lang w:val="fr-CA"/>
              </w:rPr>
            </w:pPr>
          </w:p>
        </w:tc>
        <w:tc>
          <w:tcPr>
            <w:tcW w:w="964" w:type="dxa"/>
          </w:tcPr>
          <w:p w:rsidR="00000000" w:rsidRDefault="00000000">
            <w:pPr>
              <w:spacing w:before="60" w:after="60"/>
              <w:jc w:val="center"/>
              <w:rPr>
                <w:sz w:val="22"/>
                <w:lang w:val="fr-CA"/>
              </w:rPr>
            </w:pPr>
            <w:r>
              <w:rPr>
                <w:sz w:val="22"/>
                <w:lang w:val="fr-CA"/>
              </w:rPr>
              <w:t>Total</w:t>
            </w:r>
          </w:p>
        </w:tc>
        <w:tc>
          <w:tcPr>
            <w:tcW w:w="1021" w:type="dxa"/>
          </w:tcPr>
          <w:p w:rsidR="00000000" w:rsidRDefault="00000000">
            <w:pPr>
              <w:spacing w:before="60" w:after="60"/>
              <w:rPr>
                <w:sz w:val="22"/>
                <w:lang w:val="fr-CA"/>
              </w:rPr>
            </w:pPr>
            <w:r>
              <w:rPr>
                <w:sz w:val="22"/>
                <w:lang w:val="fr-CA"/>
              </w:rPr>
              <w:t>Hommes</w:t>
            </w:r>
          </w:p>
        </w:tc>
        <w:tc>
          <w:tcPr>
            <w:tcW w:w="964" w:type="dxa"/>
          </w:tcPr>
          <w:p w:rsidR="00000000" w:rsidRDefault="00000000">
            <w:pPr>
              <w:spacing w:before="60" w:after="60"/>
              <w:jc w:val="center"/>
              <w:rPr>
                <w:sz w:val="22"/>
                <w:lang w:val="fr-CA"/>
              </w:rPr>
            </w:pPr>
            <w:r>
              <w:rPr>
                <w:sz w:val="22"/>
                <w:lang w:val="fr-CA"/>
              </w:rPr>
              <w:t>Femmes</w:t>
            </w:r>
          </w:p>
        </w:tc>
        <w:tc>
          <w:tcPr>
            <w:tcW w:w="964" w:type="dxa"/>
          </w:tcPr>
          <w:p w:rsidR="00000000" w:rsidRDefault="00000000">
            <w:pPr>
              <w:spacing w:before="60" w:after="60"/>
              <w:jc w:val="center"/>
              <w:rPr>
                <w:sz w:val="22"/>
                <w:lang w:val="fr-CA"/>
              </w:rPr>
            </w:pPr>
            <w:r>
              <w:rPr>
                <w:sz w:val="22"/>
                <w:lang w:val="fr-CA"/>
              </w:rPr>
              <w:t>Total</w:t>
            </w:r>
          </w:p>
        </w:tc>
        <w:tc>
          <w:tcPr>
            <w:tcW w:w="1021" w:type="dxa"/>
          </w:tcPr>
          <w:p w:rsidR="00000000" w:rsidRDefault="00000000">
            <w:pPr>
              <w:spacing w:before="60" w:after="60"/>
              <w:rPr>
                <w:sz w:val="22"/>
                <w:lang w:val="fr-CA"/>
              </w:rPr>
            </w:pPr>
            <w:r>
              <w:rPr>
                <w:sz w:val="22"/>
                <w:lang w:val="fr-CA"/>
              </w:rPr>
              <w:t>Hommes</w:t>
            </w:r>
          </w:p>
        </w:tc>
        <w:tc>
          <w:tcPr>
            <w:tcW w:w="964" w:type="dxa"/>
          </w:tcPr>
          <w:p w:rsidR="00000000" w:rsidRDefault="00000000">
            <w:pPr>
              <w:spacing w:before="60" w:after="60"/>
              <w:jc w:val="center"/>
              <w:rPr>
                <w:sz w:val="22"/>
                <w:lang w:val="fr-CA"/>
              </w:rPr>
            </w:pPr>
            <w:r>
              <w:rPr>
                <w:sz w:val="22"/>
                <w:lang w:val="fr-CA"/>
              </w:rPr>
              <w:t>Femmes</w:t>
            </w:r>
          </w:p>
        </w:tc>
        <w:tc>
          <w:tcPr>
            <w:tcW w:w="964" w:type="dxa"/>
          </w:tcPr>
          <w:p w:rsidR="00000000" w:rsidRDefault="00000000">
            <w:pPr>
              <w:spacing w:before="60" w:after="60"/>
              <w:jc w:val="center"/>
              <w:rPr>
                <w:sz w:val="22"/>
                <w:lang w:val="fr-CA"/>
              </w:rPr>
            </w:pPr>
            <w:r>
              <w:rPr>
                <w:sz w:val="22"/>
                <w:lang w:val="fr-CA"/>
              </w:rPr>
              <w:t>Total</w:t>
            </w:r>
          </w:p>
        </w:tc>
        <w:tc>
          <w:tcPr>
            <w:tcW w:w="1021" w:type="dxa"/>
          </w:tcPr>
          <w:p w:rsidR="00000000" w:rsidRDefault="00000000">
            <w:pPr>
              <w:spacing w:before="60" w:after="60"/>
              <w:rPr>
                <w:sz w:val="22"/>
                <w:lang w:val="fr-CA"/>
              </w:rPr>
            </w:pPr>
            <w:r>
              <w:rPr>
                <w:sz w:val="22"/>
                <w:lang w:val="fr-CA"/>
              </w:rPr>
              <w:t>Hommes</w:t>
            </w:r>
          </w:p>
        </w:tc>
        <w:tc>
          <w:tcPr>
            <w:tcW w:w="964" w:type="dxa"/>
          </w:tcPr>
          <w:p w:rsidR="00000000" w:rsidRDefault="00000000">
            <w:pPr>
              <w:spacing w:before="60" w:after="60"/>
              <w:jc w:val="center"/>
              <w:rPr>
                <w:sz w:val="22"/>
                <w:lang w:val="fr-CA"/>
              </w:rPr>
            </w:pPr>
            <w:r>
              <w:rPr>
                <w:sz w:val="22"/>
                <w:lang w:val="fr-CA"/>
              </w:rPr>
              <w:t>Femmes</w:t>
            </w:r>
          </w:p>
        </w:tc>
      </w:tr>
      <w:tr w:rsidR="00000000">
        <w:tblPrEx>
          <w:tblCellMar>
            <w:top w:w="0" w:type="dxa"/>
            <w:bottom w:w="0" w:type="dxa"/>
          </w:tblCellMar>
        </w:tblPrEx>
        <w:tc>
          <w:tcPr>
            <w:tcW w:w="1226" w:type="dxa"/>
            <w:tcBorders>
              <w:bottom w:val="nil"/>
            </w:tcBorders>
          </w:tcPr>
          <w:p w:rsidR="00000000" w:rsidRDefault="00000000">
            <w:pPr>
              <w:spacing w:before="60" w:after="60"/>
              <w:rPr>
                <w:sz w:val="22"/>
                <w:lang w:val="fr-CA"/>
              </w:rPr>
            </w:pPr>
            <w:r>
              <w:rPr>
                <w:sz w:val="22"/>
                <w:lang w:val="fr-CA"/>
              </w:rPr>
              <w:t>Rurales</w:t>
            </w:r>
          </w:p>
        </w:tc>
        <w:tc>
          <w:tcPr>
            <w:tcW w:w="964" w:type="dxa"/>
            <w:tcBorders>
              <w:bottom w:val="nil"/>
            </w:tcBorders>
          </w:tcPr>
          <w:p w:rsidR="00000000" w:rsidRDefault="00000000">
            <w:pPr>
              <w:spacing w:before="60" w:after="60"/>
              <w:ind w:right="113"/>
              <w:jc w:val="right"/>
              <w:rPr>
                <w:sz w:val="22"/>
                <w:lang w:val="fr-CA"/>
              </w:rPr>
            </w:pPr>
            <w:r>
              <w:rPr>
                <w:sz w:val="22"/>
                <w:lang w:val="fr-CA"/>
              </w:rPr>
              <w:t>3,4</w:t>
            </w:r>
          </w:p>
        </w:tc>
        <w:tc>
          <w:tcPr>
            <w:tcW w:w="964" w:type="dxa"/>
            <w:tcBorders>
              <w:bottom w:val="nil"/>
            </w:tcBorders>
          </w:tcPr>
          <w:p w:rsidR="00000000" w:rsidRDefault="00000000">
            <w:pPr>
              <w:spacing w:before="60" w:after="60"/>
              <w:ind w:right="113"/>
              <w:jc w:val="right"/>
              <w:rPr>
                <w:sz w:val="22"/>
                <w:lang w:val="fr-CA"/>
              </w:rPr>
            </w:pPr>
            <w:r>
              <w:rPr>
                <w:sz w:val="22"/>
                <w:lang w:val="fr-CA"/>
              </w:rPr>
              <w:t>4,3</w:t>
            </w:r>
          </w:p>
        </w:tc>
        <w:tc>
          <w:tcPr>
            <w:tcW w:w="964" w:type="dxa"/>
            <w:tcBorders>
              <w:bottom w:val="nil"/>
            </w:tcBorders>
          </w:tcPr>
          <w:p w:rsidR="00000000" w:rsidRDefault="00000000">
            <w:pPr>
              <w:spacing w:before="60" w:after="60"/>
              <w:ind w:right="113"/>
              <w:jc w:val="right"/>
              <w:rPr>
                <w:sz w:val="22"/>
                <w:lang w:val="fr-CA"/>
              </w:rPr>
            </w:pPr>
            <w:r>
              <w:rPr>
                <w:sz w:val="22"/>
                <w:lang w:val="fr-CA"/>
              </w:rPr>
              <w:t>2,4</w:t>
            </w:r>
          </w:p>
        </w:tc>
        <w:tc>
          <w:tcPr>
            <w:tcW w:w="964" w:type="dxa"/>
            <w:tcBorders>
              <w:bottom w:val="nil"/>
            </w:tcBorders>
          </w:tcPr>
          <w:p w:rsidR="00000000" w:rsidRDefault="00000000">
            <w:pPr>
              <w:spacing w:before="60" w:after="60"/>
              <w:ind w:right="113"/>
              <w:jc w:val="right"/>
              <w:rPr>
                <w:sz w:val="22"/>
                <w:lang w:val="fr-CA"/>
              </w:rPr>
            </w:pPr>
            <w:r>
              <w:rPr>
                <w:sz w:val="22"/>
                <w:lang w:val="fr-CA"/>
              </w:rPr>
              <w:t>4,2</w:t>
            </w:r>
          </w:p>
        </w:tc>
        <w:tc>
          <w:tcPr>
            <w:tcW w:w="964" w:type="dxa"/>
            <w:tcBorders>
              <w:bottom w:val="nil"/>
            </w:tcBorders>
          </w:tcPr>
          <w:p w:rsidR="00000000" w:rsidRDefault="00000000">
            <w:pPr>
              <w:spacing w:before="60" w:after="60"/>
              <w:ind w:right="113"/>
              <w:jc w:val="right"/>
              <w:rPr>
                <w:sz w:val="22"/>
                <w:lang w:val="fr-CA"/>
              </w:rPr>
            </w:pPr>
            <w:r>
              <w:rPr>
                <w:sz w:val="22"/>
                <w:lang w:val="fr-CA"/>
              </w:rPr>
              <w:t>5,2</w:t>
            </w:r>
          </w:p>
        </w:tc>
        <w:tc>
          <w:tcPr>
            <w:tcW w:w="964" w:type="dxa"/>
            <w:tcBorders>
              <w:bottom w:val="nil"/>
            </w:tcBorders>
          </w:tcPr>
          <w:p w:rsidR="00000000" w:rsidRDefault="00000000">
            <w:pPr>
              <w:spacing w:before="60" w:after="60"/>
              <w:ind w:right="113"/>
              <w:jc w:val="right"/>
              <w:rPr>
                <w:sz w:val="22"/>
                <w:lang w:val="fr-CA"/>
              </w:rPr>
            </w:pPr>
            <w:r>
              <w:rPr>
                <w:sz w:val="22"/>
                <w:lang w:val="fr-CA"/>
              </w:rPr>
              <w:t>3,1</w:t>
            </w:r>
          </w:p>
        </w:tc>
        <w:tc>
          <w:tcPr>
            <w:tcW w:w="964" w:type="dxa"/>
            <w:tcBorders>
              <w:bottom w:val="nil"/>
            </w:tcBorders>
          </w:tcPr>
          <w:p w:rsidR="00000000" w:rsidRDefault="00000000">
            <w:pPr>
              <w:spacing w:before="60" w:after="60"/>
              <w:ind w:right="113"/>
              <w:jc w:val="right"/>
              <w:rPr>
                <w:sz w:val="22"/>
                <w:lang w:val="fr-CA"/>
              </w:rPr>
            </w:pPr>
            <w:r>
              <w:rPr>
                <w:sz w:val="22"/>
                <w:lang w:val="fr-CA"/>
              </w:rPr>
              <w:t>2,4</w:t>
            </w:r>
          </w:p>
        </w:tc>
        <w:tc>
          <w:tcPr>
            <w:tcW w:w="964" w:type="dxa"/>
            <w:tcBorders>
              <w:bottom w:val="nil"/>
            </w:tcBorders>
          </w:tcPr>
          <w:p w:rsidR="00000000" w:rsidRDefault="00000000">
            <w:pPr>
              <w:spacing w:before="60" w:after="60"/>
              <w:ind w:right="113"/>
              <w:jc w:val="right"/>
              <w:rPr>
                <w:sz w:val="22"/>
                <w:lang w:val="fr-CA"/>
              </w:rPr>
            </w:pPr>
            <w:r>
              <w:rPr>
                <w:sz w:val="22"/>
                <w:lang w:val="fr-CA"/>
              </w:rPr>
              <w:t>2,1</w:t>
            </w:r>
          </w:p>
        </w:tc>
        <w:tc>
          <w:tcPr>
            <w:tcW w:w="964" w:type="dxa"/>
            <w:tcBorders>
              <w:bottom w:val="nil"/>
            </w:tcBorders>
          </w:tcPr>
          <w:p w:rsidR="00000000" w:rsidRDefault="00000000">
            <w:pPr>
              <w:spacing w:before="60" w:after="60"/>
              <w:ind w:right="113"/>
              <w:jc w:val="right"/>
              <w:rPr>
                <w:sz w:val="22"/>
                <w:lang w:val="fr-CA"/>
              </w:rPr>
            </w:pPr>
            <w:r>
              <w:rPr>
                <w:sz w:val="22"/>
                <w:lang w:val="fr-CA"/>
              </w:rPr>
              <w:t>2,9</w:t>
            </w:r>
          </w:p>
        </w:tc>
      </w:tr>
      <w:tr w:rsidR="00000000">
        <w:tblPrEx>
          <w:tblCellMar>
            <w:top w:w="0" w:type="dxa"/>
            <w:bottom w:w="0" w:type="dxa"/>
          </w:tblCellMar>
        </w:tblPrEx>
        <w:tc>
          <w:tcPr>
            <w:tcW w:w="1226" w:type="dxa"/>
            <w:tcBorders>
              <w:top w:val="nil"/>
              <w:bottom w:val="nil"/>
            </w:tcBorders>
          </w:tcPr>
          <w:p w:rsidR="00000000" w:rsidRDefault="00000000">
            <w:pPr>
              <w:spacing w:before="60" w:after="60"/>
              <w:rPr>
                <w:sz w:val="22"/>
                <w:lang w:val="fr-CA"/>
              </w:rPr>
            </w:pPr>
            <w:r>
              <w:rPr>
                <w:sz w:val="22"/>
                <w:lang w:val="fr-CA"/>
              </w:rPr>
              <w:t>Urbaines</w:t>
            </w:r>
          </w:p>
        </w:tc>
        <w:tc>
          <w:tcPr>
            <w:tcW w:w="964" w:type="dxa"/>
            <w:tcBorders>
              <w:top w:val="nil"/>
              <w:bottom w:val="nil"/>
            </w:tcBorders>
          </w:tcPr>
          <w:p w:rsidR="00000000" w:rsidRDefault="00000000">
            <w:pPr>
              <w:spacing w:before="60" w:after="60"/>
              <w:ind w:right="113"/>
              <w:jc w:val="right"/>
              <w:rPr>
                <w:sz w:val="22"/>
                <w:lang w:val="fr-CA"/>
              </w:rPr>
            </w:pPr>
            <w:r>
              <w:rPr>
                <w:sz w:val="22"/>
                <w:lang w:val="fr-CA"/>
              </w:rPr>
              <w:t>7,9</w:t>
            </w:r>
          </w:p>
        </w:tc>
        <w:tc>
          <w:tcPr>
            <w:tcW w:w="964" w:type="dxa"/>
            <w:tcBorders>
              <w:top w:val="nil"/>
              <w:bottom w:val="nil"/>
            </w:tcBorders>
          </w:tcPr>
          <w:p w:rsidR="00000000" w:rsidRDefault="00000000">
            <w:pPr>
              <w:spacing w:before="60" w:after="60"/>
              <w:ind w:right="113"/>
              <w:jc w:val="right"/>
              <w:rPr>
                <w:sz w:val="22"/>
                <w:lang w:val="fr-CA"/>
              </w:rPr>
            </w:pPr>
            <w:r>
              <w:rPr>
                <w:sz w:val="22"/>
                <w:lang w:val="fr-CA"/>
              </w:rPr>
              <w:t>8,9</w:t>
            </w:r>
          </w:p>
        </w:tc>
        <w:tc>
          <w:tcPr>
            <w:tcW w:w="964" w:type="dxa"/>
            <w:tcBorders>
              <w:top w:val="nil"/>
              <w:bottom w:val="nil"/>
            </w:tcBorders>
          </w:tcPr>
          <w:p w:rsidR="00000000" w:rsidRDefault="00000000">
            <w:pPr>
              <w:spacing w:before="60" w:after="60"/>
              <w:ind w:right="113"/>
              <w:jc w:val="right"/>
              <w:rPr>
                <w:sz w:val="22"/>
                <w:lang w:val="fr-CA"/>
              </w:rPr>
            </w:pPr>
            <w:r>
              <w:rPr>
                <w:sz w:val="22"/>
                <w:lang w:val="fr-CA"/>
              </w:rPr>
              <w:t>7,1</w:t>
            </w:r>
          </w:p>
        </w:tc>
        <w:tc>
          <w:tcPr>
            <w:tcW w:w="964" w:type="dxa"/>
            <w:tcBorders>
              <w:top w:val="nil"/>
              <w:bottom w:val="nil"/>
            </w:tcBorders>
          </w:tcPr>
          <w:p w:rsidR="00000000" w:rsidRDefault="00000000">
            <w:pPr>
              <w:spacing w:before="60" w:after="60"/>
              <w:ind w:right="113"/>
              <w:jc w:val="right"/>
              <w:rPr>
                <w:sz w:val="22"/>
                <w:lang w:val="fr-CA"/>
              </w:rPr>
            </w:pPr>
            <w:r>
              <w:rPr>
                <w:sz w:val="22"/>
                <w:lang w:val="fr-CA"/>
              </w:rPr>
              <w:t>9,2</w:t>
            </w:r>
          </w:p>
        </w:tc>
        <w:tc>
          <w:tcPr>
            <w:tcW w:w="964" w:type="dxa"/>
            <w:tcBorders>
              <w:top w:val="nil"/>
              <w:bottom w:val="nil"/>
            </w:tcBorders>
          </w:tcPr>
          <w:p w:rsidR="00000000" w:rsidRDefault="00000000">
            <w:pPr>
              <w:spacing w:before="60" w:after="60"/>
              <w:ind w:right="113"/>
              <w:jc w:val="right"/>
              <w:rPr>
                <w:sz w:val="22"/>
                <w:lang w:val="fr-CA"/>
              </w:rPr>
            </w:pPr>
            <w:r>
              <w:rPr>
                <w:sz w:val="22"/>
                <w:lang w:val="fr-CA"/>
              </w:rPr>
              <w:t>10,1</w:t>
            </w:r>
          </w:p>
        </w:tc>
        <w:tc>
          <w:tcPr>
            <w:tcW w:w="964" w:type="dxa"/>
            <w:tcBorders>
              <w:top w:val="nil"/>
              <w:bottom w:val="nil"/>
            </w:tcBorders>
          </w:tcPr>
          <w:p w:rsidR="00000000" w:rsidRDefault="00000000">
            <w:pPr>
              <w:spacing w:before="60" w:after="60"/>
              <w:ind w:right="113"/>
              <w:jc w:val="right"/>
              <w:rPr>
                <w:sz w:val="22"/>
                <w:lang w:val="fr-CA"/>
              </w:rPr>
            </w:pPr>
            <w:r>
              <w:rPr>
                <w:sz w:val="22"/>
                <w:lang w:val="fr-CA"/>
              </w:rPr>
              <w:t>8,5</w:t>
            </w:r>
          </w:p>
        </w:tc>
        <w:tc>
          <w:tcPr>
            <w:tcW w:w="964" w:type="dxa"/>
            <w:tcBorders>
              <w:top w:val="nil"/>
              <w:bottom w:val="nil"/>
            </w:tcBorders>
          </w:tcPr>
          <w:p w:rsidR="00000000" w:rsidRDefault="00000000">
            <w:pPr>
              <w:spacing w:before="60" w:after="60"/>
              <w:ind w:right="113"/>
              <w:jc w:val="right"/>
              <w:rPr>
                <w:sz w:val="22"/>
                <w:lang w:val="fr-CA"/>
              </w:rPr>
            </w:pPr>
            <w:r>
              <w:rPr>
                <w:sz w:val="22"/>
                <w:lang w:val="fr-CA"/>
              </w:rPr>
              <w:t>1,7</w:t>
            </w:r>
          </w:p>
        </w:tc>
        <w:tc>
          <w:tcPr>
            <w:tcW w:w="964" w:type="dxa"/>
            <w:tcBorders>
              <w:top w:val="nil"/>
              <w:bottom w:val="nil"/>
            </w:tcBorders>
          </w:tcPr>
          <w:p w:rsidR="00000000" w:rsidRDefault="00000000">
            <w:pPr>
              <w:spacing w:before="60" w:after="60"/>
              <w:ind w:right="113"/>
              <w:jc w:val="right"/>
              <w:rPr>
                <w:sz w:val="22"/>
                <w:lang w:val="fr-CA"/>
              </w:rPr>
            </w:pPr>
            <w:r>
              <w:rPr>
                <w:sz w:val="22"/>
                <w:lang w:val="fr-CA"/>
              </w:rPr>
              <w:t>1,4</w:t>
            </w:r>
          </w:p>
        </w:tc>
        <w:tc>
          <w:tcPr>
            <w:tcW w:w="964" w:type="dxa"/>
            <w:tcBorders>
              <w:top w:val="nil"/>
              <w:bottom w:val="nil"/>
            </w:tcBorders>
          </w:tcPr>
          <w:p w:rsidR="00000000" w:rsidRDefault="00000000">
            <w:pPr>
              <w:spacing w:before="60" w:after="60"/>
              <w:ind w:right="113"/>
              <w:jc w:val="right"/>
              <w:rPr>
                <w:sz w:val="22"/>
                <w:lang w:val="fr-CA"/>
              </w:rPr>
            </w:pPr>
            <w:r>
              <w:rPr>
                <w:sz w:val="22"/>
                <w:lang w:val="fr-CA"/>
              </w:rPr>
              <w:t>2,0</w:t>
            </w:r>
          </w:p>
        </w:tc>
      </w:tr>
      <w:tr w:rsidR="00000000">
        <w:tblPrEx>
          <w:tblCellMar>
            <w:top w:w="0" w:type="dxa"/>
            <w:bottom w:w="0" w:type="dxa"/>
          </w:tblCellMar>
        </w:tblPrEx>
        <w:tc>
          <w:tcPr>
            <w:tcW w:w="1226" w:type="dxa"/>
            <w:tcBorders>
              <w:top w:val="nil"/>
              <w:bottom w:val="single" w:sz="2" w:space="0" w:color="auto"/>
            </w:tcBorders>
          </w:tcPr>
          <w:p w:rsidR="00000000" w:rsidRDefault="00000000">
            <w:pPr>
              <w:spacing w:before="60" w:after="60"/>
              <w:rPr>
                <w:b/>
                <w:bCs/>
                <w:sz w:val="22"/>
                <w:lang w:val="fr-CA"/>
              </w:rPr>
            </w:pPr>
            <w:r>
              <w:rPr>
                <w:b/>
                <w:bCs/>
                <w:sz w:val="22"/>
                <w:lang w:val="fr-CA"/>
              </w:rPr>
              <w:t>Total</w:t>
            </w:r>
          </w:p>
        </w:tc>
        <w:tc>
          <w:tcPr>
            <w:tcW w:w="964" w:type="dxa"/>
            <w:tcBorders>
              <w:top w:val="nil"/>
              <w:bottom w:val="single" w:sz="2" w:space="0" w:color="auto"/>
            </w:tcBorders>
          </w:tcPr>
          <w:p w:rsidR="00000000" w:rsidRDefault="00000000">
            <w:pPr>
              <w:spacing w:before="60" w:after="60"/>
              <w:ind w:right="113"/>
              <w:jc w:val="right"/>
              <w:rPr>
                <w:b/>
                <w:bCs/>
                <w:sz w:val="22"/>
                <w:lang w:val="fr-CA"/>
              </w:rPr>
            </w:pPr>
            <w:r>
              <w:rPr>
                <w:b/>
                <w:bCs/>
                <w:sz w:val="22"/>
                <w:lang w:val="fr-CA"/>
              </w:rPr>
              <w:t>6,1</w:t>
            </w:r>
          </w:p>
        </w:tc>
        <w:tc>
          <w:tcPr>
            <w:tcW w:w="964" w:type="dxa"/>
            <w:tcBorders>
              <w:top w:val="nil"/>
              <w:bottom w:val="single" w:sz="2" w:space="0" w:color="auto"/>
            </w:tcBorders>
          </w:tcPr>
          <w:p w:rsidR="00000000" w:rsidRDefault="00000000">
            <w:pPr>
              <w:spacing w:before="60" w:after="60"/>
              <w:ind w:right="113"/>
              <w:jc w:val="right"/>
              <w:rPr>
                <w:b/>
                <w:bCs/>
                <w:sz w:val="22"/>
                <w:lang w:val="fr-CA"/>
              </w:rPr>
            </w:pPr>
            <w:r>
              <w:rPr>
                <w:b/>
                <w:bCs/>
                <w:sz w:val="22"/>
                <w:lang w:val="fr-CA"/>
              </w:rPr>
              <w:t>7,0</w:t>
            </w:r>
          </w:p>
        </w:tc>
        <w:tc>
          <w:tcPr>
            <w:tcW w:w="964" w:type="dxa"/>
            <w:tcBorders>
              <w:top w:val="nil"/>
              <w:bottom w:val="single" w:sz="2" w:space="0" w:color="auto"/>
            </w:tcBorders>
          </w:tcPr>
          <w:p w:rsidR="00000000" w:rsidRDefault="00000000">
            <w:pPr>
              <w:spacing w:before="60" w:after="60"/>
              <w:ind w:right="113"/>
              <w:jc w:val="right"/>
              <w:rPr>
                <w:b/>
                <w:bCs/>
                <w:sz w:val="22"/>
                <w:lang w:val="fr-CA"/>
              </w:rPr>
            </w:pPr>
            <w:r>
              <w:rPr>
                <w:b/>
                <w:bCs/>
                <w:sz w:val="22"/>
                <w:lang w:val="fr-CA"/>
              </w:rPr>
              <w:t>5,2</w:t>
            </w:r>
          </w:p>
        </w:tc>
        <w:tc>
          <w:tcPr>
            <w:tcW w:w="964" w:type="dxa"/>
            <w:tcBorders>
              <w:top w:val="nil"/>
              <w:bottom w:val="single" w:sz="2" w:space="0" w:color="auto"/>
            </w:tcBorders>
          </w:tcPr>
          <w:p w:rsidR="00000000" w:rsidRDefault="00000000">
            <w:pPr>
              <w:spacing w:before="60" w:after="60"/>
              <w:ind w:right="113"/>
              <w:jc w:val="right"/>
              <w:rPr>
                <w:b/>
                <w:bCs/>
                <w:sz w:val="22"/>
                <w:lang w:val="fr-CA"/>
              </w:rPr>
            </w:pPr>
            <w:r>
              <w:rPr>
                <w:b/>
                <w:bCs/>
                <w:sz w:val="22"/>
                <w:lang w:val="fr-CA"/>
              </w:rPr>
              <w:t>7,4</w:t>
            </w:r>
          </w:p>
        </w:tc>
        <w:tc>
          <w:tcPr>
            <w:tcW w:w="964" w:type="dxa"/>
            <w:tcBorders>
              <w:top w:val="nil"/>
              <w:bottom w:val="single" w:sz="2" w:space="0" w:color="auto"/>
            </w:tcBorders>
          </w:tcPr>
          <w:p w:rsidR="00000000" w:rsidRDefault="00000000">
            <w:pPr>
              <w:spacing w:before="60" w:after="60"/>
              <w:ind w:right="113"/>
              <w:jc w:val="right"/>
              <w:rPr>
                <w:b/>
                <w:bCs/>
                <w:sz w:val="22"/>
                <w:lang w:val="fr-CA"/>
              </w:rPr>
            </w:pPr>
            <w:r>
              <w:rPr>
                <w:b/>
                <w:bCs/>
                <w:sz w:val="22"/>
                <w:lang w:val="fr-CA"/>
              </w:rPr>
              <w:t>8,2</w:t>
            </w:r>
          </w:p>
        </w:tc>
        <w:tc>
          <w:tcPr>
            <w:tcW w:w="964" w:type="dxa"/>
            <w:tcBorders>
              <w:top w:val="nil"/>
              <w:bottom w:val="single" w:sz="2" w:space="0" w:color="auto"/>
            </w:tcBorders>
          </w:tcPr>
          <w:p w:rsidR="00000000" w:rsidRDefault="00000000">
            <w:pPr>
              <w:spacing w:before="60" w:after="60"/>
              <w:ind w:right="113"/>
              <w:jc w:val="right"/>
              <w:rPr>
                <w:b/>
                <w:bCs/>
                <w:sz w:val="22"/>
                <w:lang w:val="fr-CA"/>
              </w:rPr>
            </w:pPr>
            <w:r>
              <w:rPr>
                <w:b/>
                <w:bCs/>
                <w:sz w:val="22"/>
                <w:lang w:val="fr-CA"/>
              </w:rPr>
              <w:t>6,7</w:t>
            </w:r>
          </w:p>
        </w:tc>
        <w:tc>
          <w:tcPr>
            <w:tcW w:w="964" w:type="dxa"/>
            <w:tcBorders>
              <w:top w:val="nil"/>
              <w:bottom w:val="single" w:sz="2" w:space="0" w:color="auto"/>
            </w:tcBorders>
          </w:tcPr>
          <w:p w:rsidR="00000000" w:rsidRDefault="00000000">
            <w:pPr>
              <w:spacing w:before="60" w:after="60"/>
              <w:ind w:right="113"/>
              <w:jc w:val="right"/>
              <w:rPr>
                <w:b/>
                <w:bCs/>
                <w:sz w:val="22"/>
                <w:lang w:val="fr-CA"/>
              </w:rPr>
            </w:pPr>
            <w:r>
              <w:rPr>
                <w:b/>
                <w:bCs/>
                <w:sz w:val="22"/>
                <w:lang w:val="fr-CA"/>
              </w:rPr>
              <w:t>2,2</w:t>
            </w:r>
          </w:p>
        </w:tc>
        <w:tc>
          <w:tcPr>
            <w:tcW w:w="964" w:type="dxa"/>
            <w:tcBorders>
              <w:top w:val="nil"/>
              <w:bottom w:val="single" w:sz="2" w:space="0" w:color="auto"/>
            </w:tcBorders>
          </w:tcPr>
          <w:p w:rsidR="00000000" w:rsidRDefault="00000000">
            <w:pPr>
              <w:spacing w:before="60" w:after="60"/>
              <w:ind w:right="113"/>
              <w:jc w:val="right"/>
              <w:rPr>
                <w:b/>
                <w:bCs/>
                <w:sz w:val="22"/>
                <w:lang w:val="fr-CA"/>
              </w:rPr>
            </w:pPr>
            <w:r>
              <w:rPr>
                <w:b/>
                <w:bCs/>
                <w:sz w:val="22"/>
                <w:lang w:val="fr-CA"/>
              </w:rPr>
              <w:t>1,8</w:t>
            </w:r>
          </w:p>
        </w:tc>
        <w:tc>
          <w:tcPr>
            <w:tcW w:w="964" w:type="dxa"/>
            <w:tcBorders>
              <w:top w:val="nil"/>
              <w:bottom w:val="single" w:sz="2" w:space="0" w:color="auto"/>
            </w:tcBorders>
          </w:tcPr>
          <w:p w:rsidR="00000000" w:rsidRDefault="00000000">
            <w:pPr>
              <w:spacing w:before="60" w:after="60"/>
              <w:ind w:right="113"/>
              <w:jc w:val="right"/>
              <w:rPr>
                <w:b/>
                <w:bCs/>
                <w:sz w:val="22"/>
                <w:lang w:val="fr-CA"/>
              </w:rPr>
            </w:pPr>
            <w:r>
              <w:rPr>
                <w:b/>
                <w:bCs/>
                <w:sz w:val="22"/>
                <w:lang w:val="fr-CA"/>
              </w:rPr>
              <w:t>2,9</w:t>
            </w:r>
          </w:p>
        </w:tc>
      </w:tr>
    </w:tbl>
    <w:p w:rsidR="00000000" w:rsidRDefault="00000000">
      <w:pPr>
        <w:spacing w:before="240" w:after="360"/>
        <w:ind w:firstLine="567"/>
        <w:rPr>
          <w:lang w:val="fr-CA"/>
        </w:rPr>
      </w:pPr>
      <w:r>
        <w:rPr>
          <w:i/>
          <w:iCs/>
          <w:lang w:val="fr-CA"/>
        </w:rPr>
        <w:t>Source</w:t>
      </w:r>
      <w:r>
        <w:rPr>
          <w:lang w:val="fr-CA"/>
        </w:rPr>
        <w:t>: INE.</w:t>
      </w:r>
    </w:p>
    <w:p w:rsidR="00000000" w:rsidRDefault="00000000">
      <w:pPr>
        <w:spacing w:after="180"/>
        <w:rPr>
          <w:lang w:val="fr-CA"/>
        </w:rPr>
      </w:pPr>
      <w:r>
        <w:rPr>
          <w:lang w:val="fr-CA"/>
        </w:rPr>
        <w:t>199.</w:t>
      </w:r>
      <w:r>
        <w:rPr>
          <w:lang w:val="fr-CA"/>
        </w:rPr>
        <w:tab/>
        <w:t>Parmi la population adulte des zones rurales, 39,3 % des femmes n’ont aucune instruction, contre 15,7 % des hommes. Dans les zones urbaines, 10,5 % des femmes et 3,2 % des hommes n’ont aucune instruction.</w:t>
      </w:r>
    </w:p>
    <w:p w:rsidR="00000000" w:rsidRDefault="00000000">
      <w:pPr>
        <w:keepNext/>
        <w:spacing w:after="180"/>
        <w:jc w:val="center"/>
        <w:rPr>
          <w:b/>
          <w:bCs/>
        </w:rPr>
      </w:pPr>
      <w:r>
        <w:rPr>
          <w:b/>
          <w:bCs/>
        </w:rPr>
        <w:t>Graphique 3</w:t>
      </w:r>
    </w:p>
    <w:p w:rsidR="00000000" w:rsidRDefault="00000000">
      <w:pPr>
        <w:spacing w:after="180"/>
        <w:jc w:val="center"/>
        <w:rPr>
          <w:b/>
          <w:bCs/>
        </w:rPr>
      </w:pPr>
      <w:r>
        <w:rPr>
          <w:b/>
          <w:bCs/>
        </w:rPr>
        <w:t>Longueur de la scolarité</w:t>
      </w:r>
    </w:p>
    <w:p w:rsidR="00000000" w:rsidRDefault="00000000">
      <w:pPr>
        <w:widowControl w:val="0"/>
        <w:autoSpaceDE w:val="0"/>
        <w:autoSpaceDN w:val="0"/>
        <w:adjustRightInd w:val="0"/>
        <w:spacing w:after="120"/>
        <w:ind w:right="-23"/>
        <w:jc w:val="center"/>
      </w:pPr>
      <w:r>
        <w:object w:dxaOrig="7155" w:dyaOrig="4140">
          <v:shape id="_x0000_i1028" type="#_x0000_t75" style="width:357.75pt;height:207pt" o:ole="" o:allowoverlap="f">
            <v:imagedata r:id="rId13" o:title=""/>
          </v:shape>
          <o:OLEObject Type="Embed" ProgID="Word.Picture.8" ShapeID="_x0000_i1028" DrawAspect="Content" ObjectID="_1394898069" r:id="rId14"/>
        </w:object>
      </w:r>
    </w:p>
    <w:p w:rsidR="00000000" w:rsidRDefault="00000000">
      <w:pPr>
        <w:widowControl w:val="0"/>
        <w:autoSpaceDE w:val="0"/>
        <w:autoSpaceDN w:val="0"/>
        <w:adjustRightInd w:val="0"/>
        <w:spacing w:after="360"/>
        <w:ind w:firstLine="567"/>
      </w:pPr>
      <w:r>
        <w:rPr>
          <w:i/>
          <w:iCs/>
        </w:rPr>
        <w:t>Source</w:t>
      </w:r>
      <w:r>
        <w:t>: SIE.</w:t>
      </w:r>
    </w:p>
    <w:p w:rsidR="00000000" w:rsidRDefault="00000000">
      <w:pPr>
        <w:keepNext/>
        <w:widowControl w:val="0"/>
        <w:autoSpaceDE w:val="0"/>
        <w:autoSpaceDN w:val="0"/>
        <w:adjustRightInd w:val="0"/>
        <w:spacing w:after="180"/>
        <w:rPr>
          <w:b/>
          <w:bCs/>
        </w:rPr>
      </w:pPr>
      <w:r>
        <w:rPr>
          <w:b/>
          <w:bCs/>
        </w:rPr>
        <w:t>Accès à l’école</w:t>
      </w:r>
    </w:p>
    <w:p w:rsidR="00000000" w:rsidRDefault="00000000">
      <w:pPr>
        <w:widowControl w:val="0"/>
        <w:autoSpaceDE w:val="0"/>
        <w:autoSpaceDN w:val="0"/>
        <w:adjustRightInd w:val="0"/>
        <w:spacing w:after="180"/>
      </w:pPr>
      <w:r>
        <w:t>200.</w:t>
      </w:r>
      <w:r>
        <w:tab/>
        <w:t>En raison des actions menées dans le secteur de l’éducation et du développement économique du pays, l’accès à l’école a augmenté entre 1992 et 2001. Malgré cela, le nombre d’élèves qui accèdent au niveau secondaire reste bas puisqu’il représente la moitié seulement de la population des 14 à 17 ans. Cette situation s’explique du fait des problèmes qui demeurent au niveau primaire et de l’insuffisance des possibilités offertes par les écoles au niveau secondaire. Le nombre d’enfants qui accèdent au niveau préscolaire est encore plus bas, puisqu’un quart seulement des enfants âgés de 4 et 5 ans bénéficient de l’enseignement donné à ce niveau. Cela semble imputable au fait qu’il n’y a pas assez d’écoles et d’enseignants et que peu de membres de la société comprennent l’influence bénéfique du niveau préscolaire sur les résultats des élèves aux niveaux suivants de leurs études. Dans l’enseignement primaire, l’accès est élevé par rapport aux autres niveaux, puisque 86,5 % de la population des 6 à 13 ans parvient à ce niveau. Il reste toutefois des problèmes à résoudre, comme ceux des abandons en cours d’études.</w:t>
      </w:r>
    </w:p>
    <w:p w:rsidR="00000000" w:rsidRDefault="00000000">
      <w:pPr>
        <w:widowControl w:val="0"/>
        <w:autoSpaceDE w:val="0"/>
        <w:autoSpaceDN w:val="0"/>
        <w:adjustRightInd w:val="0"/>
        <w:spacing w:after="180"/>
      </w:pPr>
      <w:r>
        <w:t>201.</w:t>
      </w:r>
      <w:r>
        <w:tab/>
        <w:t>Le pourcentage d’accès à l’école dans les zones rurales est le plus bas à tous les niveaux d’instruction, surtout au niveau secondaire auquel seuls 30,9 % des jeunes de 14 à 17 ans accèdent, alors que dans les zones urbaines la proportion est de 61,6 %.</w:t>
      </w:r>
    </w:p>
    <w:p w:rsidR="00000000" w:rsidRDefault="00000000">
      <w:pPr>
        <w:keepNext/>
        <w:keepLines/>
        <w:spacing w:after="180"/>
        <w:jc w:val="center"/>
        <w:rPr>
          <w:b/>
          <w:bCs/>
        </w:rPr>
      </w:pPr>
      <w:r>
        <w:rPr>
          <w:b/>
          <w:bCs/>
        </w:rPr>
        <w:t>Graphique 4</w:t>
      </w:r>
    </w:p>
    <w:p w:rsidR="00000000" w:rsidRDefault="00000000">
      <w:pPr>
        <w:keepNext/>
        <w:keepLines/>
        <w:spacing w:after="120"/>
        <w:jc w:val="center"/>
        <w:rPr>
          <w:b/>
          <w:bCs/>
        </w:rPr>
      </w:pPr>
      <w:r>
        <w:rPr>
          <w:b/>
          <w:bCs/>
        </w:rPr>
        <w:t>Bolivie − Établissements d’enseignement publics et privés</w:t>
      </w:r>
    </w:p>
    <w:p w:rsidR="00000000" w:rsidRDefault="00000000">
      <w:pPr>
        <w:keepNext/>
        <w:keepLines/>
        <w:spacing w:after="180"/>
        <w:jc w:val="center"/>
        <w:rPr>
          <w:sz w:val="22"/>
          <w:szCs w:val="22"/>
        </w:rPr>
      </w:pPr>
      <w:r>
        <w:rPr>
          <w:b/>
          <w:bCs/>
        </w:rPr>
        <w:t>Accès à l’école avant et après la réforme de l’enseignement</w:t>
      </w:r>
    </w:p>
    <w:bookmarkStart w:id="32" w:name="_MON_1251543496"/>
    <w:bookmarkStart w:id="33" w:name="_MON_1251550642"/>
    <w:bookmarkStart w:id="34" w:name="_MON_1251804425"/>
    <w:bookmarkStart w:id="35" w:name="_MON_1256469288"/>
    <w:bookmarkStart w:id="36" w:name="_MON_1256470940"/>
    <w:bookmarkStart w:id="37" w:name="_MON_1256471297"/>
    <w:bookmarkStart w:id="38" w:name="_MON_1256471421"/>
    <w:bookmarkStart w:id="39" w:name="_MON_1256471445"/>
    <w:bookmarkStart w:id="40" w:name="_MON_1256471543"/>
    <w:bookmarkStart w:id="41" w:name="_MON_1256471589"/>
    <w:bookmarkStart w:id="42" w:name="_MON_1256991309"/>
    <w:bookmarkStart w:id="43" w:name="_MON_1256991458"/>
    <w:bookmarkStart w:id="44" w:name="_MON_1256991612"/>
    <w:bookmarkStart w:id="45" w:name="_MON_1256991665"/>
    <w:bookmarkStart w:id="46" w:name="_MON_1256992945"/>
    <w:bookmarkStart w:id="47" w:name="_MON_1256992982"/>
    <w:bookmarkStart w:id="48" w:name="_MON_1256993051"/>
    <w:bookmarkStart w:id="49" w:name="_MON_1256993073"/>
    <w:bookmarkStart w:id="50" w:name="_MON_1256993144"/>
    <w:bookmarkStart w:id="51" w:name="_MON_1256993174"/>
    <w:bookmarkStart w:id="52" w:name="_MON_1256993202"/>
    <w:bookmarkStart w:id="53" w:name="_MON_1256993257"/>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rsidR="00000000" w:rsidRDefault="00000000">
      <w:pPr>
        <w:widowControl w:val="0"/>
        <w:autoSpaceDE w:val="0"/>
        <w:autoSpaceDN w:val="0"/>
        <w:adjustRightInd w:val="0"/>
        <w:spacing w:after="360"/>
        <w:ind w:right="96"/>
        <w:jc w:val="center"/>
      </w:pPr>
      <w:r>
        <w:object w:dxaOrig="8217" w:dyaOrig="4372">
          <v:shape id="_x0000_i1029" type="#_x0000_t75" style="width:414pt;height:218.25pt" o:ole="" o:borderbottomcolor="black" o:borderrightcolor="black">
            <v:imagedata r:id="rId15" o:title=""/>
            <w10:borderbottom type="single" width="4"/>
            <w10:borderright type="single" width="4"/>
          </v:shape>
          <o:OLEObject Type="Embed" ProgID="Word.Picture.8" ShapeID="_x0000_i1029" DrawAspect="Content" ObjectID="_1394898070" r:id="rId16"/>
        </w:object>
      </w:r>
    </w:p>
    <w:p w:rsidR="00000000" w:rsidRDefault="00000000">
      <w:pPr>
        <w:spacing w:before="240" w:after="240"/>
      </w:pPr>
      <w:r>
        <w:t>202.</w:t>
      </w:r>
      <w:r>
        <w:tab/>
        <w:t>En première année du secondaire, le taux de passage à la classe supérieure est à son niveau le plus bas pour les 12 classes de l’enseignement primaire et secondaire. Le fait que le taux de passage des filles soit supérieur à celui des garçons constitue un aspect intéressant de la situation. Cela ne signifie pas forcément que les premières obtiennent de meilleurs résultats, car cela peut signifier que les filles les moins favorisées abandonnent l’école avant les garçons et que l’indicateur reflète la promotion des élèves favorisées qui poursuivent leurs études. Par ailleurs, dans le cas des élèves masculins, les moins favorisés restent à l’école et font baisser la moyenne du passage à la classe supérieure chez les garçons.</w:t>
      </w:r>
    </w:p>
    <w:p w:rsidR="00000000" w:rsidRDefault="00000000">
      <w:pPr>
        <w:spacing w:after="240"/>
        <w:jc w:val="center"/>
        <w:rPr>
          <w:b/>
          <w:bCs/>
        </w:rPr>
      </w:pPr>
      <w:r>
        <w:rPr>
          <w:b/>
          <w:bCs/>
        </w:rPr>
        <w:br w:type="page"/>
        <w:t>Tableau 5</w:t>
      </w:r>
    </w:p>
    <w:p w:rsidR="00000000" w:rsidRDefault="00000000">
      <w:pPr>
        <w:spacing w:after="240"/>
        <w:jc w:val="center"/>
        <w:rPr>
          <w:b/>
          <w:bCs/>
        </w:rPr>
      </w:pPr>
      <w:r>
        <w:rPr>
          <w:b/>
          <w:bCs/>
        </w:rPr>
        <w:t>Rapport entre les pourcentages brut et net d’élèves de sexe masculin et de sexe féminin dans les écoles primaires publiques (1998</w:t>
      </w:r>
      <w:r>
        <w:rPr>
          <w:b/>
          <w:bCs/>
        </w:rPr>
        <w:noBreakHyphen/>
        <w:t>2002)</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0"/>
        <w:gridCol w:w="1231"/>
        <w:gridCol w:w="1231"/>
        <w:gridCol w:w="1231"/>
        <w:gridCol w:w="1231"/>
        <w:gridCol w:w="1231"/>
        <w:gridCol w:w="1232"/>
      </w:tblGrid>
      <w:tr w:rsidR="00000000">
        <w:tblPrEx>
          <w:tblCellMar>
            <w:top w:w="0" w:type="dxa"/>
            <w:bottom w:w="0" w:type="dxa"/>
          </w:tblCellMar>
        </w:tblPrEx>
        <w:trPr>
          <w:cantSplit/>
        </w:trPr>
        <w:tc>
          <w:tcPr>
            <w:tcW w:w="2110" w:type="dxa"/>
            <w:vMerge w:val="restart"/>
          </w:tcPr>
          <w:p w:rsidR="00000000" w:rsidRDefault="00000000">
            <w:pPr>
              <w:spacing w:before="60" w:after="60"/>
            </w:pPr>
          </w:p>
        </w:tc>
        <w:tc>
          <w:tcPr>
            <w:tcW w:w="3693" w:type="dxa"/>
            <w:gridSpan w:val="3"/>
          </w:tcPr>
          <w:p w:rsidR="00000000" w:rsidRDefault="00000000">
            <w:pPr>
              <w:spacing w:before="60" w:after="60"/>
              <w:jc w:val="center"/>
            </w:pPr>
            <w:r>
              <w:t>Pourcentage brut</w:t>
            </w:r>
          </w:p>
        </w:tc>
        <w:tc>
          <w:tcPr>
            <w:tcW w:w="3694" w:type="dxa"/>
            <w:gridSpan w:val="3"/>
          </w:tcPr>
          <w:p w:rsidR="00000000" w:rsidRDefault="00000000">
            <w:pPr>
              <w:spacing w:before="60" w:after="60"/>
              <w:jc w:val="center"/>
            </w:pPr>
            <w:r>
              <w:t>Pourcentage net</w:t>
            </w:r>
          </w:p>
        </w:tc>
      </w:tr>
      <w:tr w:rsidR="00000000">
        <w:tblPrEx>
          <w:tblCellMar>
            <w:top w:w="0" w:type="dxa"/>
            <w:bottom w:w="0" w:type="dxa"/>
          </w:tblCellMar>
        </w:tblPrEx>
        <w:trPr>
          <w:cantSplit/>
        </w:trPr>
        <w:tc>
          <w:tcPr>
            <w:tcW w:w="2110" w:type="dxa"/>
            <w:vMerge/>
          </w:tcPr>
          <w:p w:rsidR="00000000" w:rsidRDefault="00000000">
            <w:pPr>
              <w:spacing w:before="60" w:after="60"/>
            </w:pPr>
          </w:p>
        </w:tc>
        <w:tc>
          <w:tcPr>
            <w:tcW w:w="1231" w:type="dxa"/>
          </w:tcPr>
          <w:p w:rsidR="00000000" w:rsidRDefault="00000000">
            <w:pPr>
              <w:spacing w:before="60" w:after="60"/>
              <w:jc w:val="center"/>
            </w:pPr>
            <w:r>
              <w:t>Hommes</w:t>
            </w:r>
          </w:p>
        </w:tc>
        <w:tc>
          <w:tcPr>
            <w:tcW w:w="1231" w:type="dxa"/>
          </w:tcPr>
          <w:p w:rsidR="00000000" w:rsidRDefault="00000000">
            <w:pPr>
              <w:spacing w:before="60" w:after="60"/>
              <w:jc w:val="center"/>
            </w:pPr>
            <w:r>
              <w:t>Femmes</w:t>
            </w:r>
          </w:p>
        </w:tc>
        <w:tc>
          <w:tcPr>
            <w:tcW w:w="1231" w:type="dxa"/>
          </w:tcPr>
          <w:p w:rsidR="00000000" w:rsidRDefault="00000000">
            <w:pPr>
              <w:spacing w:before="60" w:after="60"/>
              <w:jc w:val="center"/>
            </w:pPr>
            <w:r>
              <w:t>Total</w:t>
            </w:r>
          </w:p>
        </w:tc>
        <w:tc>
          <w:tcPr>
            <w:tcW w:w="1231" w:type="dxa"/>
          </w:tcPr>
          <w:p w:rsidR="00000000" w:rsidRDefault="00000000">
            <w:pPr>
              <w:spacing w:before="60" w:after="60"/>
              <w:jc w:val="center"/>
            </w:pPr>
            <w:r>
              <w:t>Hommes</w:t>
            </w:r>
          </w:p>
        </w:tc>
        <w:tc>
          <w:tcPr>
            <w:tcW w:w="1231" w:type="dxa"/>
          </w:tcPr>
          <w:p w:rsidR="00000000" w:rsidRDefault="00000000">
            <w:pPr>
              <w:spacing w:before="60" w:after="60"/>
              <w:jc w:val="center"/>
            </w:pPr>
            <w:r>
              <w:t>Femmes</w:t>
            </w:r>
          </w:p>
        </w:tc>
        <w:tc>
          <w:tcPr>
            <w:tcW w:w="1232" w:type="dxa"/>
          </w:tcPr>
          <w:p w:rsidR="00000000" w:rsidRDefault="00000000">
            <w:pPr>
              <w:spacing w:before="60" w:after="60"/>
              <w:jc w:val="center"/>
            </w:pPr>
            <w:r>
              <w:t>Total</w:t>
            </w:r>
          </w:p>
        </w:tc>
      </w:tr>
      <w:tr w:rsidR="00000000">
        <w:tblPrEx>
          <w:tblCellMar>
            <w:top w:w="0" w:type="dxa"/>
            <w:bottom w:w="0" w:type="dxa"/>
          </w:tblCellMar>
        </w:tblPrEx>
        <w:trPr>
          <w:cantSplit/>
        </w:trPr>
        <w:tc>
          <w:tcPr>
            <w:tcW w:w="2110" w:type="dxa"/>
          </w:tcPr>
          <w:p w:rsidR="00000000" w:rsidRDefault="00000000">
            <w:pPr>
              <w:spacing w:before="60" w:after="60"/>
            </w:pPr>
            <w:r>
              <w:t>1998</w:t>
            </w:r>
          </w:p>
        </w:tc>
        <w:tc>
          <w:tcPr>
            <w:tcW w:w="1231" w:type="dxa"/>
          </w:tcPr>
          <w:p w:rsidR="00000000" w:rsidRDefault="00000000">
            <w:pPr>
              <w:spacing w:before="60" w:after="60"/>
              <w:ind w:right="113"/>
              <w:jc w:val="right"/>
            </w:pPr>
            <w:r>
              <w:t>95,1</w:t>
            </w:r>
          </w:p>
        </w:tc>
        <w:tc>
          <w:tcPr>
            <w:tcW w:w="1231" w:type="dxa"/>
          </w:tcPr>
          <w:p w:rsidR="00000000" w:rsidRDefault="00000000">
            <w:pPr>
              <w:spacing w:before="60" w:after="60"/>
              <w:ind w:right="113"/>
              <w:jc w:val="right"/>
            </w:pPr>
            <w:r>
              <w:t>99,0</w:t>
            </w:r>
          </w:p>
        </w:tc>
        <w:tc>
          <w:tcPr>
            <w:tcW w:w="1231" w:type="dxa"/>
          </w:tcPr>
          <w:p w:rsidR="00000000" w:rsidRDefault="00000000">
            <w:pPr>
              <w:spacing w:before="60" w:after="60"/>
              <w:ind w:right="113"/>
              <w:jc w:val="right"/>
            </w:pPr>
            <w:r>
              <w:t>97,0</w:t>
            </w:r>
          </w:p>
        </w:tc>
        <w:tc>
          <w:tcPr>
            <w:tcW w:w="1231" w:type="dxa"/>
          </w:tcPr>
          <w:p w:rsidR="00000000" w:rsidRDefault="00000000">
            <w:pPr>
              <w:spacing w:before="60" w:after="60"/>
              <w:ind w:right="113"/>
              <w:jc w:val="right"/>
            </w:pPr>
            <w:r>
              <w:t>85,6</w:t>
            </w:r>
          </w:p>
        </w:tc>
        <w:tc>
          <w:tcPr>
            <w:tcW w:w="1231" w:type="dxa"/>
          </w:tcPr>
          <w:p w:rsidR="00000000" w:rsidRDefault="00000000">
            <w:pPr>
              <w:spacing w:before="60" w:after="60"/>
              <w:ind w:right="113"/>
              <w:jc w:val="right"/>
            </w:pPr>
            <w:r>
              <w:t>87,7</w:t>
            </w:r>
          </w:p>
        </w:tc>
        <w:tc>
          <w:tcPr>
            <w:tcW w:w="1232" w:type="dxa"/>
          </w:tcPr>
          <w:p w:rsidR="00000000" w:rsidRDefault="00000000">
            <w:pPr>
              <w:spacing w:before="60" w:after="60"/>
              <w:ind w:right="113"/>
              <w:jc w:val="right"/>
            </w:pPr>
            <w:r>
              <w:t>86,7</w:t>
            </w:r>
          </w:p>
        </w:tc>
      </w:tr>
      <w:tr w:rsidR="00000000">
        <w:tblPrEx>
          <w:tblCellMar>
            <w:top w:w="0" w:type="dxa"/>
            <w:bottom w:w="0" w:type="dxa"/>
          </w:tblCellMar>
        </w:tblPrEx>
        <w:trPr>
          <w:cantSplit/>
        </w:trPr>
        <w:tc>
          <w:tcPr>
            <w:tcW w:w="2110" w:type="dxa"/>
          </w:tcPr>
          <w:p w:rsidR="00000000" w:rsidRDefault="00000000">
            <w:pPr>
              <w:spacing w:before="60" w:after="60"/>
            </w:pPr>
            <w:r>
              <w:t>1999</w:t>
            </w:r>
          </w:p>
        </w:tc>
        <w:tc>
          <w:tcPr>
            <w:tcW w:w="1231" w:type="dxa"/>
          </w:tcPr>
          <w:p w:rsidR="00000000" w:rsidRDefault="00000000">
            <w:pPr>
              <w:spacing w:before="60" w:after="60"/>
              <w:ind w:right="113"/>
              <w:jc w:val="right"/>
            </w:pPr>
            <w:r>
              <w:t>95,0</w:t>
            </w:r>
          </w:p>
        </w:tc>
        <w:tc>
          <w:tcPr>
            <w:tcW w:w="1231" w:type="dxa"/>
          </w:tcPr>
          <w:p w:rsidR="00000000" w:rsidRDefault="00000000">
            <w:pPr>
              <w:spacing w:before="60" w:after="60"/>
              <w:ind w:right="113"/>
              <w:jc w:val="right"/>
            </w:pPr>
            <w:r>
              <w:t>98,2</w:t>
            </w:r>
          </w:p>
        </w:tc>
        <w:tc>
          <w:tcPr>
            <w:tcW w:w="1231" w:type="dxa"/>
          </w:tcPr>
          <w:p w:rsidR="00000000" w:rsidRDefault="00000000">
            <w:pPr>
              <w:spacing w:before="60" w:after="60"/>
              <w:ind w:right="113"/>
              <w:jc w:val="right"/>
            </w:pPr>
            <w:r>
              <w:t>96,6</w:t>
            </w:r>
          </w:p>
        </w:tc>
        <w:tc>
          <w:tcPr>
            <w:tcW w:w="1231" w:type="dxa"/>
          </w:tcPr>
          <w:p w:rsidR="00000000" w:rsidRDefault="00000000">
            <w:pPr>
              <w:spacing w:before="60" w:after="60"/>
              <w:ind w:right="113"/>
              <w:jc w:val="right"/>
            </w:pPr>
            <w:r>
              <w:t>86,1</w:t>
            </w:r>
          </w:p>
        </w:tc>
        <w:tc>
          <w:tcPr>
            <w:tcW w:w="1231" w:type="dxa"/>
          </w:tcPr>
          <w:p w:rsidR="00000000" w:rsidRDefault="00000000">
            <w:pPr>
              <w:spacing w:before="60" w:after="60"/>
              <w:ind w:right="113"/>
              <w:jc w:val="right"/>
            </w:pPr>
            <w:r>
              <w:t>87,9</w:t>
            </w:r>
          </w:p>
        </w:tc>
        <w:tc>
          <w:tcPr>
            <w:tcW w:w="1232" w:type="dxa"/>
          </w:tcPr>
          <w:p w:rsidR="00000000" w:rsidRDefault="00000000">
            <w:pPr>
              <w:spacing w:before="60" w:after="60"/>
              <w:ind w:right="113"/>
              <w:jc w:val="right"/>
            </w:pPr>
            <w:r>
              <w:t>87,0</w:t>
            </w:r>
          </w:p>
        </w:tc>
      </w:tr>
      <w:tr w:rsidR="00000000">
        <w:tblPrEx>
          <w:tblCellMar>
            <w:top w:w="0" w:type="dxa"/>
            <w:bottom w:w="0" w:type="dxa"/>
          </w:tblCellMar>
        </w:tblPrEx>
        <w:trPr>
          <w:cantSplit/>
        </w:trPr>
        <w:tc>
          <w:tcPr>
            <w:tcW w:w="2110" w:type="dxa"/>
          </w:tcPr>
          <w:p w:rsidR="00000000" w:rsidRDefault="00000000">
            <w:pPr>
              <w:spacing w:before="60" w:after="60"/>
            </w:pPr>
            <w:r>
              <w:t>2000</w:t>
            </w:r>
          </w:p>
        </w:tc>
        <w:tc>
          <w:tcPr>
            <w:tcW w:w="1231" w:type="dxa"/>
          </w:tcPr>
          <w:p w:rsidR="00000000" w:rsidRDefault="00000000">
            <w:pPr>
              <w:spacing w:before="60" w:after="60"/>
              <w:ind w:right="113"/>
              <w:jc w:val="right"/>
            </w:pPr>
            <w:r>
              <w:t>96,1</w:t>
            </w:r>
          </w:p>
        </w:tc>
        <w:tc>
          <w:tcPr>
            <w:tcW w:w="1231" w:type="dxa"/>
          </w:tcPr>
          <w:p w:rsidR="00000000" w:rsidRDefault="00000000">
            <w:pPr>
              <w:spacing w:before="60" w:after="60"/>
              <w:ind w:right="113"/>
              <w:jc w:val="right"/>
            </w:pPr>
            <w:r>
              <w:t>99,0</w:t>
            </w:r>
          </w:p>
        </w:tc>
        <w:tc>
          <w:tcPr>
            <w:tcW w:w="1231" w:type="dxa"/>
          </w:tcPr>
          <w:p w:rsidR="00000000" w:rsidRDefault="00000000">
            <w:pPr>
              <w:spacing w:before="60" w:after="60"/>
              <w:ind w:right="113"/>
              <w:jc w:val="right"/>
            </w:pPr>
            <w:r>
              <w:t>97,6</w:t>
            </w:r>
          </w:p>
        </w:tc>
        <w:tc>
          <w:tcPr>
            <w:tcW w:w="1231" w:type="dxa"/>
          </w:tcPr>
          <w:p w:rsidR="00000000" w:rsidRDefault="00000000">
            <w:pPr>
              <w:spacing w:before="60" w:after="60"/>
              <w:ind w:right="113"/>
              <w:jc w:val="right"/>
            </w:pPr>
            <w:r>
              <w:t>86,3</w:t>
            </w:r>
          </w:p>
        </w:tc>
        <w:tc>
          <w:tcPr>
            <w:tcW w:w="1231" w:type="dxa"/>
          </w:tcPr>
          <w:p w:rsidR="00000000" w:rsidRDefault="00000000">
            <w:pPr>
              <w:spacing w:before="60" w:after="60"/>
              <w:ind w:right="113"/>
              <w:jc w:val="right"/>
            </w:pPr>
            <w:r>
              <w:t>87,6</w:t>
            </w:r>
          </w:p>
        </w:tc>
        <w:tc>
          <w:tcPr>
            <w:tcW w:w="1232" w:type="dxa"/>
          </w:tcPr>
          <w:p w:rsidR="00000000" w:rsidRDefault="00000000">
            <w:pPr>
              <w:spacing w:before="60" w:after="60"/>
              <w:ind w:right="113"/>
              <w:jc w:val="right"/>
            </w:pPr>
            <w:r>
              <w:t>87,0</w:t>
            </w:r>
          </w:p>
        </w:tc>
      </w:tr>
      <w:tr w:rsidR="00000000">
        <w:tblPrEx>
          <w:tblCellMar>
            <w:top w:w="0" w:type="dxa"/>
            <w:bottom w:w="0" w:type="dxa"/>
          </w:tblCellMar>
        </w:tblPrEx>
        <w:trPr>
          <w:cantSplit/>
        </w:trPr>
        <w:tc>
          <w:tcPr>
            <w:tcW w:w="2110" w:type="dxa"/>
          </w:tcPr>
          <w:p w:rsidR="00000000" w:rsidRDefault="00000000">
            <w:pPr>
              <w:spacing w:before="60" w:after="60"/>
            </w:pPr>
            <w:r>
              <w:t>2001</w:t>
            </w:r>
          </w:p>
        </w:tc>
        <w:tc>
          <w:tcPr>
            <w:tcW w:w="1231" w:type="dxa"/>
          </w:tcPr>
          <w:p w:rsidR="00000000" w:rsidRDefault="00000000">
            <w:pPr>
              <w:spacing w:before="60" w:after="60"/>
              <w:ind w:right="113"/>
              <w:jc w:val="right"/>
            </w:pPr>
            <w:r>
              <w:t>97,7</w:t>
            </w:r>
          </w:p>
        </w:tc>
        <w:tc>
          <w:tcPr>
            <w:tcW w:w="1231" w:type="dxa"/>
          </w:tcPr>
          <w:p w:rsidR="00000000" w:rsidRDefault="00000000">
            <w:pPr>
              <w:spacing w:before="60" w:after="60"/>
              <w:ind w:right="113"/>
              <w:jc w:val="right"/>
            </w:pPr>
            <w:r>
              <w:t>99,8</w:t>
            </w:r>
          </w:p>
        </w:tc>
        <w:tc>
          <w:tcPr>
            <w:tcW w:w="1231" w:type="dxa"/>
          </w:tcPr>
          <w:p w:rsidR="00000000" w:rsidRDefault="00000000">
            <w:pPr>
              <w:spacing w:before="60" w:after="60"/>
              <w:ind w:right="113"/>
              <w:jc w:val="right"/>
            </w:pPr>
            <w:r>
              <w:t>98,7</w:t>
            </w:r>
          </w:p>
        </w:tc>
        <w:tc>
          <w:tcPr>
            <w:tcW w:w="1231" w:type="dxa"/>
          </w:tcPr>
          <w:p w:rsidR="00000000" w:rsidRDefault="00000000">
            <w:pPr>
              <w:spacing w:before="60" w:after="60"/>
              <w:ind w:right="113"/>
              <w:jc w:val="right"/>
            </w:pPr>
            <w:r>
              <w:t>87,7</w:t>
            </w:r>
          </w:p>
        </w:tc>
        <w:tc>
          <w:tcPr>
            <w:tcW w:w="1231" w:type="dxa"/>
          </w:tcPr>
          <w:p w:rsidR="00000000" w:rsidRDefault="00000000">
            <w:pPr>
              <w:spacing w:before="60" w:after="60"/>
              <w:ind w:right="113"/>
              <w:jc w:val="right"/>
            </w:pPr>
            <w:r>
              <w:t>88,1</w:t>
            </w:r>
          </w:p>
        </w:tc>
        <w:tc>
          <w:tcPr>
            <w:tcW w:w="1232" w:type="dxa"/>
          </w:tcPr>
          <w:p w:rsidR="00000000" w:rsidRDefault="00000000">
            <w:pPr>
              <w:spacing w:before="60" w:after="60"/>
              <w:ind w:right="113"/>
              <w:jc w:val="right"/>
            </w:pPr>
            <w:r>
              <w:t>87,9</w:t>
            </w:r>
          </w:p>
        </w:tc>
      </w:tr>
      <w:tr w:rsidR="00000000">
        <w:tblPrEx>
          <w:tblCellMar>
            <w:top w:w="0" w:type="dxa"/>
            <w:bottom w:w="0" w:type="dxa"/>
          </w:tblCellMar>
        </w:tblPrEx>
        <w:trPr>
          <w:cantSplit/>
        </w:trPr>
        <w:tc>
          <w:tcPr>
            <w:tcW w:w="2110" w:type="dxa"/>
          </w:tcPr>
          <w:p w:rsidR="00000000" w:rsidRDefault="00000000">
            <w:pPr>
              <w:spacing w:before="60" w:after="60"/>
            </w:pPr>
            <w:r>
              <w:t>2002</w:t>
            </w:r>
          </w:p>
        </w:tc>
        <w:tc>
          <w:tcPr>
            <w:tcW w:w="1231" w:type="dxa"/>
          </w:tcPr>
          <w:p w:rsidR="00000000" w:rsidRDefault="00000000">
            <w:pPr>
              <w:spacing w:before="60" w:after="60"/>
              <w:ind w:right="113"/>
              <w:jc w:val="right"/>
            </w:pPr>
            <w:r>
              <w:t>98,0</w:t>
            </w:r>
          </w:p>
        </w:tc>
        <w:tc>
          <w:tcPr>
            <w:tcW w:w="1231" w:type="dxa"/>
          </w:tcPr>
          <w:p w:rsidR="00000000" w:rsidRDefault="00000000">
            <w:pPr>
              <w:spacing w:before="60" w:after="60"/>
              <w:ind w:right="113"/>
              <w:jc w:val="right"/>
            </w:pPr>
            <w:r>
              <w:t>99,8</w:t>
            </w:r>
          </w:p>
        </w:tc>
        <w:tc>
          <w:tcPr>
            <w:tcW w:w="1231" w:type="dxa"/>
          </w:tcPr>
          <w:p w:rsidR="00000000" w:rsidRDefault="00000000">
            <w:pPr>
              <w:spacing w:before="60" w:after="60"/>
              <w:ind w:right="113"/>
              <w:jc w:val="right"/>
            </w:pPr>
            <w:r>
              <w:t>98,9</w:t>
            </w:r>
          </w:p>
        </w:tc>
        <w:tc>
          <w:tcPr>
            <w:tcW w:w="1231" w:type="dxa"/>
          </w:tcPr>
          <w:p w:rsidR="00000000" w:rsidRDefault="00000000">
            <w:pPr>
              <w:spacing w:before="60" w:after="60"/>
              <w:ind w:right="113"/>
              <w:jc w:val="right"/>
            </w:pPr>
            <w:r>
              <w:t>88,0</w:t>
            </w:r>
          </w:p>
        </w:tc>
        <w:tc>
          <w:tcPr>
            <w:tcW w:w="1231" w:type="dxa"/>
          </w:tcPr>
          <w:p w:rsidR="00000000" w:rsidRDefault="00000000">
            <w:pPr>
              <w:spacing w:before="60" w:after="60"/>
              <w:ind w:right="113"/>
              <w:jc w:val="right"/>
            </w:pPr>
            <w:r>
              <w:t>88,1</w:t>
            </w:r>
          </w:p>
        </w:tc>
        <w:tc>
          <w:tcPr>
            <w:tcW w:w="1232" w:type="dxa"/>
          </w:tcPr>
          <w:p w:rsidR="00000000" w:rsidRDefault="00000000">
            <w:pPr>
              <w:spacing w:before="60" w:after="60"/>
              <w:ind w:right="113"/>
              <w:jc w:val="right"/>
            </w:pPr>
            <w:r>
              <w:t>88,0</w:t>
            </w:r>
          </w:p>
        </w:tc>
      </w:tr>
      <w:tr w:rsidR="00000000">
        <w:tblPrEx>
          <w:tblCellMar>
            <w:top w:w="0" w:type="dxa"/>
            <w:bottom w:w="0" w:type="dxa"/>
          </w:tblCellMar>
        </w:tblPrEx>
        <w:trPr>
          <w:cantSplit/>
        </w:trPr>
        <w:tc>
          <w:tcPr>
            <w:tcW w:w="2110" w:type="dxa"/>
          </w:tcPr>
          <w:p w:rsidR="00000000" w:rsidRDefault="00000000">
            <w:pPr>
              <w:spacing w:before="60" w:after="60"/>
            </w:pPr>
            <w:r>
              <w:t>Variation annuelle</w:t>
            </w:r>
          </w:p>
        </w:tc>
        <w:tc>
          <w:tcPr>
            <w:tcW w:w="1231" w:type="dxa"/>
          </w:tcPr>
          <w:p w:rsidR="00000000" w:rsidRDefault="00000000">
            <w:pPr>
              <w:spacing w:before="60" w:after="60"/>
              <w:ind w:right="113"/>
              <w:jc w:val="right"/>
            </w:pPr>
            <w:r>
              <w:t>0,8</w:t>
            </w:r>
          </w:p>
        </w:tc>
        <w:tc>
          <w:tcPr>
            <w:tcW w:w="1231" w:type="dxa"/>
          </w:tcPr>
          <w:p w:rsidR="00000000" w:rsidRDefault="00000000">
            <w:pPr>
              <w:spacing w:before="60" w:after="60"/>
              <w:ind w:right="113"/>
              <w:jc w:val="right"/>
            </w:pPr>
            <w:r>
              <w:t>0,2</w:t>
            </w:r>
          </w:p>
        </w:tc>
        <w:tc>
          <w:tcPr>
            <w:tcW w:w="1231" w:type="dxa"/>
          </w:tcPr>
          <w:p w:rsidR="00000000" w:rsidRDefault="00000000">
            <w:pPr>
              <w:spacing w:before="60" w:after="60"/>
              <w:ind w:right="113"/>
              <w:jc w:val="right"/>
            </w:pPr>
            <w:r>
              <w:t>0,5</w:t>
            </w:r>
          </w:p>
        </w:tc>
        <w:tc>
          <w:tcPr>
            <w:tcW w:w="1231" w:type="dxa"/>
          </w:tcPr>
          <w:p w:rsidR="00000000" w:rsidRDefault="00000000">
            <w:pPr>
              <w:spacing w:before="60" w:after="60"/>
              <w:ind w:right="113"/>
              <w:jc w:val="right"/>
            </w:pPr>
            <w:r>
              <w:t>0,7</w:t>
            </w:r>
          </w:p>
        </w:tc>
        <w:tc>
          <w:tcPr>
            <w:tcW w:w="1231" w:type="dxa"/>
          </w:tcPr>
          <w:p w:rsidR="00000000" w:rsidRDefault="00000000">
            <w:pPr>
              <w:spacing w:before="60" w:after="60"/>
              <w:ind w:right="113"/>
              <w:jc w:val="right"/>
            </w:pPr>
            <w:r>
              <w:t>0,1</w:t>
            </w:r>
          </w:p>
        </w:tc>
        <w:tc>
          <w:tcPr>
            <w:tcW w:w="1232" w:type="dxa"/>
          </w:tcPr>
          <w:p w:rsidR="00000000" w:rsidRDefault="00000000">
            <w:pPr>
              <w:spacing w:before="60" w:after="60"/>
              <w:ind w:right="113"/>
              <w:jc w:val="right"/>
            </w:pPr>
            <w:r>
              <w:t>0,4</w:t>
            </w:r>
          </w:p>
        </w:tc>
      </w:tr>
    </w:tbl>
    <w:p w:rsidR="00000000" w:rsidRDefault="00000000">
      <w:pPr>
        <w:spacing w:before="240" w:after="360"/>
        <w:ind w:firstLine="567"/>
      </w:pPr>
      <w:r>
        <w:rPr>
          <w:i/>
          <w:iCs/>
        </w:rPr>
        <w:t>Source</w:t>
      </w:r>
      <w:r>
        <w:t>: SIE</w:t>
      </w:r>
    </w:p>
    <w:p w:rsidR="00000000" w:rsidRDefault="00000000">
      <w:pPr>
        <w:spacing w:after="240"/>
      </w:pPr>
      <w:r>
        <w:t>203.</w:t>
      </w:r>
      <w:r>
        <w:tab/>
        <w:t>Les élèves commencent à abandonner l’école à partir de 10 ou 11 ans, phénomène qui se manifeste surtout en zone rurale. Les filles abandonnent plus vite que les garçons à partir de 13 ou de 14 ans. À 17 ans, 43 % seulement des jeunes qui vivent en zone rurale et 67 % de ceux qui habitent en zone urbaine fréquentent l’école.</w:t>
      </w:r>
    </w:p>
    <w:p w:rsidR="00000000" w:rsidRDefault="00000000">
      <w:pPr>
        <w:spacing w:after="240"/>
      </w:pPr>
      <w:r>
        <w:t>204.</w:t>
      </w:r>
      <w:r>
        <w:tab/>
        <w:t>Des problèmes se posent en outre du fait que certains abandonnent leurs études en cours d’année, ont un retard scolaire et, lors du passage nécessaire d’une année à l’autre, pour que les élèves continuent à progresser dans leur scolarité. Ainsi, malgré la diminution qui s’est produite de 1997 à 1999, le taux d’abandon en cours d’année a été relativement constant jusqu’en 2002.</w:t>
      </w:r>
    </w:p>
    <w:p w:rsidR="00000000" w:rsidRDefault="00000000">
      <w:pPr>
        <w:spacing w:after="240"/>
        <w:rPr>
          <w:b/>
          <w:bCs/>
        </w:rPr>
      </w:pPr>
      <w:r>
        <w:rPr>
          <w:b/>
          <w:bCs/>
        </w:rPr>
        <w:t>Abandon des études</w:t>
      </w:r>
    </w:p>
    <w:p w:rsidR="00000000" w:rsidRDefault="00000000">
      <w:pPr>
        <w:spacing w:after="240"/>
      </w:pPr>
      <w:r>
        <w:t>205.</w:t>
      </w:r>
      <w:r>
        <w:tab/>
        <w:t>Quand on se penche sur l’abandon des études par année scolaire, on constate nettement que les taux d’abandon sont élevés en septième année du primaire et en première année du secondaire. Toutefois, le fait que les abandons soient fréquents en première année du primaire ainsi qu’au cours de la dernière des cinq années du primaire ne manque pas d’attirer l’attention.</w:t>
      </w:r>
    </w:p>
    <w:p w:rsidR="00000000" w:rsidRDefault="00000000">
      <w:pPr>
        <w:spacing w:after="240"/>
      </w:pPr>
      <w:r>
        <w:t>206.</w:t>
      </w:r>
      <w:r>
        <w:tab/>
        <w:t>Jusqu’à la cinquième année du primaire, il n’y a pas de grandes différences entre les taux d’abandon scolaire des garçons et ceux des filles, encore qu’à partir de la sixième le phénomène touche davantage les garçons, phénomène qui est encore plus marqué pendant tout le niveau secondaire. Quant aux zones géographiques, on remarque que le taux d’abandon est le plus élevé dans les zones rurales pour toutes les années scolaires.</w:t>
      </w:r>
    </w:p>
    <w:p w:rsidR="00000000" w:rsidRDefault="00000000">
      <w:pPr>
        <w:spacing w:after="240"/>
      </w:pPr>
      <w:r>
        <w:t>207.</w:t>
      </w:r>
      <w:r>
        <w:tab/>
        <w:t>Le taux élevé de retard scolaire se manifeste en première année du primaire par suite de l’entrée tardive à l’école de certains, sans qu’il y ait de différence entre les élèves de sexe masculin et de sexe féminin. À partir du troisième niveau du primaire cependant, ce retard commence à être plus important chez les garçons, situation qui se maintient jusqu’à la fin du secondaire. On ne peut toutefois dire que ce problème ne se manifeste guère chez les personnes de sexe féminin, puisqu’il existe aussi parmi elles mais en une moindre proportion (33 % parmi les élèves de sexe masculin et 25,9 % parmi celles de sexe féminin, en quatrième année du secondaire). En général, le retard affecte surtout les zones rurales, aussi bien à l’école primaire qu’à l’école secondaire.</w:t>
      </w:r>
    </w:p>
    <w:p w:rsidR="00000000" w:rsidRDefault="00000000">
      <w:pPr>
        <w:keepNext/>
        <w:spacing w:after="240"/>
        <w:jc w:val="center"/>
        <w:rPr>
          <w:b/>
          <w:bCs/>
        </w:rPr>
      </w:pPr>
      <w:r>
        <w:rPr>
          <w:b/>
          <w:bCs/>
        </w:rPr>
        <w:t>Graphique 5</w:t>
      </w:r>
    </w:p>
    <w:p w:rsidR="00000000" w:rsidRDefault="00000000">
      <w:pPr>
        <w:keepNext/>
        <w:spacing w:after="240"/>
        <w:jc w:val="center"/>
        <w:rPr>
          <w:b/>
          <w:bCs/>
        </w:rPr>
      </w:pPr>
      <w:r>
        <w:rPr>
          <w:b/>
          <w:bCs/>
        </w:rPr>
        <w:t>Taux d’abandon scolaire selon les zones</w:t>
      </w:r>
    </w:p>
    <w:bookmarkStart w:id="54" w:name="_MON_1251283987"/>
    <w:bookmarkStart w:id="55" w:name="_MON_1251544323"/>
    <w:bookmarkStart w:id="56" w:name="_MON_1251544377"/>
    <w:bookmarkStart w:id="57" w:name="_MON_1251544379"/>
    <w:bookmarkStart w:id="58" w:name="_MON_1251544497"/>
    <w:bookmarkStart w:id="59" w:name="_MON_1251544499"/>
    <w:bookmarkStart w:id="60" w:name="_MON_1251544514"/>
    <w:bookmarkStart w:id="61" w:name="_MON_1251544739"/>
    <w:bookmarkStart w:id="62" w:name="_MON_1251544744"/>
    <w:bookmarkStart w:id="63" w:name="_MON_1251544787"/>
    <w:bookmarkStart w:id="64" w:name="_MON_1251544791"/>
    <w:bookmarkStart w:id="65" w:name="_MON_1251544839"/>
    <w:bookmarkStart w:id="66" w:name="_MON_1251547150"/>
    <w:bookmarkStart w:id="67" w:name="_MON_1251547256"/>
    <w:bookmarkStart w:id="68" w:name="_MON_1251547261"/>
    <w:bookmarkStart w:id="69" w:name="_MON_1251547305"/>
    <w:bookmarkStart w:id="70" w:name="_MON_1251547333"/>
    <w:bookmarkStart w:id="71" w:name="_MON_1251547342"/>
    <w:bookmarkStart w:id="72" w:name="_MON_1251549998"/>
    <w:bookmarkStart w:id="73" w:name="_MON_1251878708"/>
    <w:bookmarkStart w:id="74" w:name="_MON_1252139025"/>
    <w:bookmarkStart w:id="75" w:name="_MON_1256471851"/>
    <w:bookmarkStart w:id="76" w:name="_MON_1256970275"/>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rsidR="00000000" w:rsidRDefault="00000000">
      <w:pPr>
        <w:keepNext/>
        <w:spacing w:after="240"/>
        <w:jc w:val="center"/>
      </w:pPr>
      <w:r>
        <w:object w:dxaOrig="8725" w:dyaOrig="5343">
          <v:shape id="_x0000_i1030" type="#_x0000_t75" style="width:442.5pt;height:187.5pt" o:ole="">
            <v:imagedata r:id="rId17" o:title="" croptop="6799f" cropbottom="5730f"/>
            <w10:bordertop type="single" width="4"/>
            <w10:borderleft type="single" width="4"/>
            <w10:borderbottom type="single" width="4"/>
            <w10:borderright type="single" width="4"/>
          </v:shape>
          <o:OLEObject Type="Embed" ProgID="Word.Picture.8" ShapeID="_x0000_i1030" DrawAspect="Content" ObjectID="_1394898071" r:id="rId18"/>
        </w:object>
      </w:r>
    </w:p>
    <w:p w:rsidR="00000000" w:rsidRDefault="00000000">
      <w:pPr>
        <w:widowControl w:val="0"/>
        <w:autoSpaceDE w:val="0"/>
        <w:autoSpaceDN w:val="0"/>
        <w:adjustRightInd w:val="0"/>
        <w:spacing w:before="240" w:after="360"/>
        <w:ind w:firstLine="567"/>
        <w:rPr>
          <w:b/>
        </w:rPr>
      </w:pPr>
      <w:r>
        <w:rPr>
          <w:i/>
          <w:iCs/>
        </w:rPr>
        <w:t>Source</w:t>
      </w:r>
      <w:r>
        <w:t>: SIE.</w:t>
      </w:r>
    </w:p>
    <w:p w:rsidR="00000000" w:rsidRDefault="00000000">
      <w:pPr>
        <w:spacing w:after="240"/>
      </w:pPr>
      <w:r>
        <w:rPr>
          <w:b/>
          <w:bCs/>
        </w:rPr>
        <w:t>Motifs de non</w:t>
      </w:r>
      <w:r>
        <w:rPr>
          <w:b/>
          <w:bCs/>
        </w:rPr>
        <w:noBreakHyphen/>
        <w:t>scolarisation</w:t>
      </w:r>
    </w:p>
    <w:p w:rsidR="00000000" w:rsidRDefault="00000000">
      <w:pPr>
        <w:spacing w:after="240"/>
      </w:pPr>
      <w:r>
        <w:t>208.</w:t>
      </w:r>
      <w:r>
        <w:tab/>
        <w:t>Les enquêtes effectuées par l’INE dans les ménages ont permis de déceler plusieurs causes de non</w:t>
      </w:r>
      <w:r>
        <w:noBreakHyphen/>
        <w:t>scolarisation. Selon les chiffres provisoires de l’enquête menée en 2002, plus de 500 000 enfants et adolescents de 5 à 19 ans ne fréquentent pas l’école. Comme on le voit au tableau 6, les raisons invoquées le plus souvent sont d’ordre économique</w:t>
      </w:r>
      <w:r>
        <w:rPr>
          <w:rStyle w:val="FootnoteReference"/>
        </w:rPr>
        <w:footnoteReference w:id="13"/>
      </w:r>
      <w:r>
        <w:t xml:space="preserve"> (45,9 %), ou sont liées à des problèmes personnels ou familiaux</w:t>
      </w:r>
      <w:r>
        <w:rPr>
          <w:rStyle w:val="FootnoteReference"/>
        </w:rPr>
        <w:footnoteReference w:id="14"/>
      </w:r>
      <w:r>
        <w:t xml:space="preserve"> (41,7 %), à l’offre d’enseignement</w:t>
      </w:r>
      <w:r>
        <w:rPr>
          <w:rStyle w:val="FootnoteReference"/>
        </w:rPr>
        <w:footnoteReference w:id="15"/>
      </w:r>
      <w:r>
        <w:t xml:space="preserve"> (5 %), à des problèmes divers (4,2 %) et à la maladie ou l’incapacité (3,1 %).</w:t>
      </w:r>
    </w:p>
    <w:p w:rsidR="00000000" w:rsidRDefault="00000000">
      <w:pPr>
        <w:keepNext/>
        <w:spacing w:after="240"/>
        <w:jc w:val="center"/>
        <w:rPr>
          <w:b/>
          <w:bCs/>
        </w:rPr>
      </w:pPr>
      <w:r>
        <w:rPr>
          <w:b/>
          <w:bCs/>
        </w:rPr>
        <w:t>Tableau 6</w:t>
      </w:r>
    </w:p>
    <w:p w:rsidR="00000000" w:rsidRDefault="00000000">
      <w:pPr>
        <w:keepNext/>
        <w:spacing w:after="240"/>
        <w:jc w:val="center"/>
        <w:rPr>
          <w:b/>
          <w:bCs/>
        </w:rPr>
      </w:pPr>
      <w:r>
        <w:rPr>
          <w:b/>
          <w:bCs/>
        </w:rPr>
        <w:t>Bolivie: Pourcentage de jeunes de 5 à 19 ans qui ne fréquentent pas l’école</w:t>
      </w:r>
      <w:r>
        <w:rPr>
          <w:b/>
          <w:bCs/>
        </w:rPr>
        <w:br/>
        <w:t>pour des motifs divers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12"/>
        <w:gridCol w:w="2984"/>
      </w:tblGrid>
      <w:tr w:rsidR="00000000">
        <w:tblPrEx>
          <w:tblCellMar>
            <w:top w:w="0" w:type="dxa"/>
            <w:bottom w:w="0" w:type="dxa"/>
          </w:tblCellMar>
        </w:tblPrEx>
        <w:tc>
          <w:tcPr>
            <w:tcW w:w="5760" w:type="dxa"/>
          </w:tcPr>
          <w:p w:rsidR="00000000" w:rsidRDefault="00000000">
            <w:pPr>
              <w:spacing w:before="60" w:after="60"/>
              <w:jc w:val="center"/>
            </w:pPr>
            <w:r>
              <w:t>Motif de non</w:t>
            </w:r>
            <w:r>
              <w:noBreakHyphen/>
              <w:t>scolarisation</w:t>
            </w:r>
          </w:p>
        </w:tc>
        <w:tc>
          <w:tcPr>
            <w:tcW w:w="2640" w:type="dxa"/>
          </w:tcPr>
          <w:p w:rsidR="00000000" w:rsidRDefault="00000000">
            <w:pPr>
              <w:spacing w:before="60" w:after="60"/>
              <w:jc w:val="center"/>
            </w:pPr>
            <w:r>
              <w:t>Pourcentage</w:t>
            </w:r>
          </w:p>
        </w:tc>
      </w:tr>
      <w:tr w:rsidR="00000000">
        <w:tblPrEx>
          <w:tblCellMar>
            <w:top w:w="0" w:type="dxa"/>
            <w:bottom w:w="0" w:type="dxa"/>
          </w:tblCellMar>
        </w:tblPrEx>
        <w:tc>
          <w:tcPr>
            <w:tcW w:w="5760" w:type="dxa"/>
          </w:tcPr>
          <w:p w:rsidR="00000000" w:rsidRDefault="00000000">
            <w:pPr>
              <w:spacing w:before="60" w:after="60"/>
            </w:pPr>
            <w:r>
              <w:t>Problèmes économiques</w:t>
            </w:r>
          </w:p>
        </w:tc>
        <w:tc>
          <w:tcPr>
            <w:tcW w:w="2640" w:type="dxa"/>
            <w:vAlign w:val="bottom"/>
          </w:tcPr>
          <w:p w:rsidR="00000000" w:rsidRDefault="00000000">
            <w:pPr>
              <w:spacing w:before="60" w:after="60"/>
              <w:ind w:right="770"/>
              <w:jc w:val="right"/>
            </w:pPr>
            <w:r>
              <w:t>45,9 %</w:t>
            </w:r>
          </w:p>
        </w:tc>
      </w:tr>
      <w:tr w:rsidR="00000000">
        <w:tblPrEx>
          <w:tblCellMar>
            <w:top w:w="0" w:type="dxa"/>
            <w:bottom w:w="0" w:type="dxa"/>
          </w:tblCellMar>
        </w:tblPrEx>
        <w:tc>
          <w:tcPr>
            <w:tcW w:w="5760" w:type="dxa"/>
          </w:tcPr>
          <w:p w:rsidR="00000000" w:rsidRDefault="00000000">
            <w:pPr>
              <w:spacing w:before="60" w:after="60"/>
            </w:pPr>
            <w:r>
              <w:t>Raisons personnelles et familiales</w:t>
            </w:r>
          </w:p>
        </w:tc>
        <w:tc>
          <w:tcPr>
            <w:tcW w:w="2640" w:type="dxa"/>
            <w:vAlign w:val="bottom"/>
          </w:tcPr>
          <w:p w:rsidR="00000000" w:rsidRDefault="00000000">
            <w:pPr>
              <w:spacing w:before="60" w:after="60"/>
              <w:ind w:right="770"/>
              <w:jc w:val="right"/>
            </w:pPr>
            <w:r>
              <w:t>41,7 %</w:t>
            </w:r>
          </w:p>
        </w:tc>
      </w:tr>
      <w:tr w:rsidR="00000000">
        <w:tblPrEx>
          <w:tblCellMar>
            <w:top w:w="0" w:type="dxa"/>
            <w:bottom w:w="0" w:type="dxa"/>
          </w:tblCellMar>
        </w:tblPrEx>
        <w:tc>
          <w:tcPr>
            <w:tcW w:w="5760" w:type="dxa"/>
          </w:tcPr>
          <w:p w:rsidR="00000000" w:rsidRDefault="00000000">
            <w:pPr>
              <w:spacing w:before="60" w:after="60"/>
            </w:pPr>
            <w:r>
              <w:t>Problèmes liés à l’enseignement</w:t>
            </w:r>
          </w:p>
        </w:tc>
        <w:tc>
          <w:tcPr>
            <w:tcW w:w="2640" w:type="dxa"/>
            <w:vAlign w:val="bottom"/>
          </w:tcPr>
          <w:p w:rsidR="00000000" w:rsidRDefault="00000000">
            <w:pPr>
              <w:spacing w:before="60" w:after="60"/>
              <w:ind w:right="770"/>
              <w:jc w:val="right"/>
            </w:pPr>
            <w:r>
              <w:t>5,0 %</w:t>
            </w:r>
          </w:p>
        </w:tc>
      </w:tr>
      <w:tr w:rsidR="00000000">
        <w:tblPrEx>
          <w:tblCellMar>
            <w:top w:w="0" w:type="dxa"/>
            <w:bottom w:w="0" w:type="dxa"/>
          </w:tblCellMar>
        </w:tblPrEx>
        <w:tc>
          <w:tcPr>
            <w:tcW w:w="5760" w:type="dxa"/>
          </w:tcPr>
          <w:p w:rsidR="00000000" w:rsidRDefault="00000000">
            <w:pPr>
              <w:spacing w:before="60" w:after="60"/>
            </w:pPr>
            <w:r>
              <w:t>Divers</w:t>
            </w:r>
          </w:p>
        </w:tc>
        <w:tc>
          <w:tcPr>
            <w:tcW w:w="2640" w:type="dxa"/>
            <w:vAlign w:val="bottom"/>
          </w:tcPr>
          <w:p w:rsidR="00000000" w:rsidRDefault="00000000">
            <w:pPr>
              <w:spacing w:before="60" w:after="60"/>
              <w:ind w:right="770"/>
              <w:jc w:val="right"/>
            </w:pPr>
            <w:r>
              <w:t>4,2 %</w:t>
            </w:r>
          </w:p>
        </w:tc>
      </w:tr>
      <w:tr w:rsidR="00000000">
        <w:tblPrEx>
          <w:tblCellMar>
            <w:top w:w="0" w:type="dxa"/>
            <w:bottom w:w="0" w:type="dxa"/>
          </w:tblCellMar>
        </w:tblPrEx>
        <w:tc>
          <w:tcPr>
            <w:tcW w:w="5760" w:type="dxa"/>
          </w:tcPr>
          <w:p w:rsidR="00000000" w:rsidRDefault="00000000">
            <w:pPr>
              <w:spacing w:before="60" w:after="60"/>
            </w:pPr>
            <w:r>
              <w:t>Maladie ou incapacité</w:t>
            </w:r>
          </w:p>
        </w:tc>
        <w:tc>
          <w:tcPr>
            <w:tcW w:w="2640" w:type="dxa"/>
            <w:vAlign w:val="bottom"/>
          </w:tcPr>
          <w:p w:rsidR="00000000" w:rsidRDefault="00000000">
            <w:pPr>
              <w:spacing w:before="60" w:after="60"/>
              <w:ind w:right="770"/>
              <w:jc w:val="right"/>
            </w:pPr>
            <w:r>
              <w:t>3,1 %</w:t>
            </w:r>
          </w:p>
        </w:tc>
      </w:tr>
      <w:tr w:rsidR="00000000">
        <w:tblPrEx>
          <w:tblCellMar>
            <w:top w:w="0" w:type="dxa"/>
            <w:bottom w:w="0" w:type="dxa"/>
          </w:tblCellMar>
        </w:tblPrEx>
        <w:tc>
          <w:tcPr>
            <w:tcW w:w="5760" w:type="dxa"/>
          </w:tcPr>
          <w:p w:rsidR="00000000" w:rsidRDefault="00000000">
            <w:pPr>
              <w:spacing w:before="60" w:after="60"/>
              <w:rPr>
                <w:b/>
                <w:bCs/>
              </w:rPr>
            </w:pPr>
            <w:r>
              <w:rPr>
                <w:b/>
                <w:bCs/>
              </w:rPr>
              <w:t>Total</w:t>
            </w:r>
          </w:p>
        </w:tc>
        <w:tc>
          <w:tcPr>
            <w:tcW w:w="2640" w:type="dxa"/>
            <w:vAlign w:val="bottom"/>
          </w:tcPr>
          <w:p w:rsidR="00000000" w:rsidRDefault="00000000">
            <w:pPr>
              <w:spacing w:before="60" w:after="60"/>
              <w:ind w:right="770"/>
              <w:jc w:val="right"/>
              <w:rPr>
                <w:b/>
                <w:bCs/>
              </w:rPr>
            </w:pPr>
            <w:r>
              <w:rPr>
                <w:b/>
                <w:bCs/>
              </w:rPr>
              <w:t>100,0 %</w:t>
            </w:r>
          </w:p>
        </w:tc>
      </w:tr>
    </w:tbl>
    <w:p w:rsidR="00000000" w:rsidRDefault="00000000">
      <w:pPr>
        <w:spacing w:before="240" w:after="240"/>
        <w:ind w:firstLine="567"/>
      </w:pPr>
      <w:r>
        <w:rPr>
          <w:i/>
          <w:iCs/>
        </w:rPr>
        <w:t>Source</w:t>
      </w:r>
      <w:r>
        <w:t>: INE (2003). Chiffres provisoires.</w:t>
      </w:r>
    </w:p>
    <w:p w:rsidR="00000000" w:rsidRDefault="00000000">
      <w:pPr>
        <w:spacing w:after="360"/>
        <w:ind w:left="567"/>
      </w:pPr>
      <w:r>
        <w:rPr>
          <w:i/>
          <w:iCs/>
        </w:rPr>
        <w:t>Établi par</w:t>
      </w:r>
      <w:r>
        <w:t>: Direction de l’analyse (Ministère de l’éducation).</w:t>
      </w:r>
    </w:p>
    <w:p w:rsidR="00000000" w:rsidRDefault="00000000">
      <w:pPr>
        <w:spacing w:after="240"/>
      </w:pPr>
      <w:r>
        <w:t>209.</w:t>
      </w:r>
      <w:r>
        <w:tab/>
        <w:t>Il est à noter que la plupart des jeunes interrogés ont déclaré ne pas fréquenter l’école pour des raisons économiques ou pour des raisons liées à l’entourage ou au milieu familial. On peut en déduire que les interventions visant à améliorer l’offre d’enseignement ne changeraient rien à la non</w:t>
      </w:r>
      <w:r>
        <w:noBreakHyphen/>
        <w:t>scolarisation. Néanmoins, certaines causes, incorporées dans la catégorie des problèmes économiques ou des motifs d’ordre personnel ou familial, pourraient résulter du fait que l’offre d’enseignement ne répond pas bien aux besoins de la population. C’est le cas de ceux qui ont invoqué leur âge avancé ou leur grossesse, ce qui pourrait dénoter une carence de l’école à l’égard de cette population.</w:t>
      </w:r>
    </w:p>
    <w:p w:rsidR="00000000" w:rsidRDefault="00000000">
      <w:pPr>
        <w:spacing w:after="240"/>
      </w:pPr>
      <w:r>
        <w:t>210.</w:t>
      </w:r>
      <w:r>
        <w:tab/>
        <w:t>De même, l’argument de la nécessité de travailler ou du manque d’intérêt pourrait indiquer que l’école ne répond pas aux attentes des élèves et de leur famille.</w:t>
      </w:r>
    </w:p>
    <w:p w:rsidR="00000000" w:rsidRDefault="00000000">
      <w:pPr>
        <w:spacing w:after="240"/>
      </w:pPr>
      <w:r>
        <w:t>211.</w:t>
      </w:r>
      <w:r>
        <w:tab/>
        <w:t>Quoi qu’il en soit, pour atténuer la non</w:t>
      </w:r>
      <w:r>
        <w:noBreakHyphen/>
        <w:t>scolarisation, il convient d’envisager une action qui consiste à la fois à résoudre le problème de l’offre, en quantité et en qualité, et à stimuler la demande.</w:t>
      </w:r>
    </w:p>
    <w:p w:rsidR="00000000" w:rsidRDefault="00000000">
      <w:pPr>
        <w:spacing w:after="240"/>
      </w:pPr>
      <w:r>
        <w:t>212.</w:t>
      </w:r>
      <w:r>
        <w:tab/>
        <w:t>Compte tenu du fait que l’enseignement supérieur doit être également accessible à tous, selon les capacités de chacun, par tous les moyens appropriés, et en particulier par l’introduction progressive de la gratuité, il convient de mentionner qu’actuellement le système universitaire comprend des universités d’État qui dispensent une formation professionnelle gratuitement.</w:t>
      </w:r>
    </w:p>
    <w:p w:rsidR="00000000" w:rsidRDefault="00000000">
      <w:pPr>
        <w:spacing w:after="240"/>
      </w:pPr>
      <w:r>
        <w:t>213.</w:t>
      </w:r>
      <w:r>
        <w:tab/>
        <w:t xml:space="preserve">Conformément au Pacte international relatif aux droits économiques, sociaux et culturels, l’engagement a été pris de dispenser une éducation de base aux personnes qui n’auraient pas fait d’études primaires complètes. À ce sujet, l’État bolivien a créé l’enseignement alternatif. </w:t>
      </w:r>
    </w:p>
    <w:p w:rsidR="00000000" w:rsidRDefault="00000000">
      <w:pPr>
        <w:spacing w:after="240"/>
      </w:pPr>
      <w:r>
        <w:t>214.</w:t>
      </w:r>
      <w:r>
        <w:tab/>
        <w:t>L’enseignement alternatif vise à compléter la formation et à permettre l’accès à l’éducation des personnes qui, en raison de leur âge ou de leur état physique ou mental, n’ont pas commencé ou achevé une scolarité normale</w:t>
      </w:r>
      <w:r>
        <w:rPr>
          <w:rStyle w:val="FootnoteReference"/>
        </w:rPr>
        <w:footnoteReference w:id="16"/>
      </w:r>
      <w:r>
        <w:t xml:space="preserve">. L’enseignement alternatif se divise en trois grandes catégories: éducation des adultes, éducation spéciale et éducation permanente. </w:t>
      </w:r>
    </w:p>
    <w:p w:rsidR="00000000" w:rsidRDefault="00000000">
      <w:pPr>
        <w:spacing w:after="240"/>
      </w:pPr>
      <w:r>
        <w:t>215.</w:t>
      </w:r>
      <w:r>
        <w:tab/>
        <w:t>L’éducation des adultes est destinée aux personnes qui n’ont pas pu commencer ou achever des études normales à l’école primaire et à l’école secondaire ou dans aucune des deux. Elle comprend l’enseignement primaire pour adultes (EPA), l’enseignement secondaire pour adultes (ESA), l’enseignement technique pour adultes (ETA), ainsi que l’éducation alternative pour les jeunes (EJA). L’éducation des adultes comprend aussi des programmes et projets d’alphabétisation et de postalphabétisation organisés pour initier les personnes illettrées de plus de 15 ans à la lecture et à l’écriture dans leur langue maternelle</w:t>
      </w:r>
      <w:r>
        <w:rPr>
          <w:rStyle w:val="FootnoteReference"/>
        </w:rPr>
        <w:footnoteReference w:id="17"/>
      </w:r>
      <w:r>
        <w:t>.</w:t>
      </w:r>
    </w:p>
    <w:p w:rsidR="00000000" w:rsidRDefault="00000000">
      <w:pPr>
        <w:spacing w:after="240"/>
      </w:pPr>
      <w:r>
        <w:t>216.</w:t>
      </w:r>
      <w:r>
        <w:tab/>
        <w:t>L’éducation spéciale s’adresse aux enfants, aux adolescents ou aux adultes qui ont besoin d’un enseignement spécial, qui est dispensé par des enseignants spécialisés</w:t>
      </w:r>
      <w:r>
        <w:rPr>
          <w:rStyle w:val="FootnoteReference"/>
        </w:rPr>
        <w:footnoteReference w:id="18"/>
      </w:r>
      <w:r>
        <w:t>.</w:t>
      </w:r>
    </w:p>
    <w:p w:rsidR="00000000" w:rsidRDefault="00000000">
      <w:pPr>
        <w:spacing w:after="240"/>
      </w:pPr>
      <w:r>
        <w:t>217.</w:t>
      </w:r>
      <w:r>
        <w:tab/>
        <w:t>L’éducation permanente dure toute la vie, rassemble toutes les connaissances et toutes les expériences acquises et développées au jour le jour à l’échelon individuel et collectif. Dans cette forme d’éducation, les moyens de communication de masse (presse écrite, radiodiffusion et télévision) sont des agents pédagogiques dans la mesure où ils remplissent une fonction sociale d’information et d’éducation et ils appuient les campagnes de vulgarisation et de promotion d’actions communautaires ayant un lien avec le bien</w:t>
      </w:r>
      <w:r>
        <w:noBreakHyphen/>
        <w:t>être et la stabilité sociale</w:t>
      </w:r>
      <w:r>
        <w:rPr>
          <w:rStyle w:val="FootnoteReference"/>
        </w:rPr>
        <w:footnoteReference w:id="19"/>
      </w:r>
      <w:r>
        <w:t>. Étant donné les caractéristiques de cette forme d’éducation, il est difficile de disposer d’une information statistique.</w:t>
      </w:r>
    </w:p>
    <w:p w:rsidR="00000000" w:rsidRDefault="00000000">
      <w:pPr>
        <w:spacing w:after="240"/>
        <w:ind w:left="567"/>
        <w:rPr>
          <w:b/>
          <w:bCs/>
        </w:rPr>
      </w:pPr>
      <w:r>
        <w:rPr>
          <w:b/>
          <w:bCs/>
        </w:rPr>
        <w:t>a)</w:t>
      </w:r>
      <w:r>
        <w:rPr>
          <w:b/>
          <w:bCs/>
        </w:rPr>
        <w:tab/>
        <w:t>Éducation des adultes</w:t>
      </w:r>
    </w:p>
    <w:p w:rsidR="00000000" w:rsidRDefault="00000000">
      <w:pPr>
        <w:spacing w:after="240"/>
      </w:pPr>
      <w:r>
        <w:t>218.</w:t>
      </w:r>
      <w:r>
        <w:tab/>
        <w:t xml:space="preserve">L’offre d’éducation des adultes, destinée aux personnes qui n’ont pas pu terminer leurs études dans le système scolaire normal, a atteint en 2002 le nombre de 403 centres d’enseignement répartis dans tout le pays: 106 à Santa Cruz, 95 à La Paz, 64 à Cochabamba, 29 à Oruro, 29 à Chuquisaca, 27 à Tarija, 27 à Potosí, 21 à Beni et 5 à Pando. </w:t>
      </w:r>
    </w:p>
    <w:p w:rsidR="00000000" w:rsidRDefault="00000000">
      <w:pPr>
        <w:spacing w:after="240"/>
      </w:pPr>
      <w:r>
        <w:t>219.</w:t>
      </w:r>
      <w:r>
        <w:tab/>
        <w:t>Le tableau 7 donne la répartition des centres selon la nature de l’enseignement. On observera qu’environ 80 % du total sont des CI, des CEMA, des IBA et des EBA, qui concentrent leur action dans les zones urbaines, et que les 20 % restants sont des CETHA et des CEDICOR, destinés aux zones rurales et créés pour répondre aux besoins de formation professionnelle dans le domaine des techniques agricoles.</w:t>
      </w:r>
    </w:p>
    <w:p w:rsidR="00000000" w:rsidRDefault="00000000">
      <w:pPr>
        <w:keepNext/>
        <w:spacing w:after="240"/>
        <w:jc w:val="center"/>
        <w:rPr>
          <w:b/>
          <w:bCs/>
        </w:rPr>
      </w:pPr>
      <w:r>
        <w:rPr>
          <w:b/>
          <w:bCs/>
        </w:rPr>
        <w:t>Tableau 7</w:t>
      </w:r>
    </w:p>
    <w:p w:rsidR="00000000" w:rsidRDefault="00000000">
      <w:pPr>
        <w:keepNext/>
        <w:spacing w:after="240"/>
        <w:jc w:val="center"/>
        <w:rPr>
          <w:b/>
          <w:bCs/>
        </w:rPr>
      </w:pPr>
      <w:r>
        <w:rPr>
          <w:b/>
          <w:bCs/>
        </w:rPr>
        <w:t>Bolivie: Répartition des centres d’éducation des adultes, par catégorie (1999 et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90"/>
        <w:gridCol w:w="1920"/>
        <w:gridCol w:w="1320"/>
        <w:gridCol w:w="1266"/>
      </w:tblGrid>
      <w:tr w:rsidR="00000000">
        <w:tblPrEx>
          <w:tblCellMar>
            <w:top w:w="0" w:type="dxa"/>
            <w:bottom w:w="0" w:type="dxa"/>
          </w:tblCellMar>
        </w:tblPrEx>
        <w:trPr>
          <w:cantSplit/>
        </w:trPr>
        <w:tc>
          <w:tcPr>
            <w:tcW w:w="6910" w:type="dxa"/>
            <w:gridSpan w:val="2"/>
            <w:vAlign w:val="center"/>
          </w:tcPr>
          <w:p w:rsidR="00000000" w:rsidRDefault="00000000">
            <w:pPr>
              <w:spacing w:before="40" w:after="40"/>
              <w:jc w:val="center"/>
            </w:pPr>
            <w:r>
              <w:t>Désignation</w:t>
            </w:r>
          </w:p>
        </w:tc>
        <w:tc>
          <w:tcPr>
            <w:tcW w:w="1320" w:type="dxa"/>
            <w:vAlign w:val="center"/>
          </w:tcPr>
          <w:p w:rsidR="00000000" w:rsidRDefault="00000000">
            <w:pPr>
              <w:spacing w:before="40" w:after="40"/>
              <w:jc w:val="center"/>
            </w:pPr>
            <w:r>
              <w:t>1999</w:t>
            </w:r>
          </w:p>
        </w:tc>
        <w:tc>
          <w:tcPr>
            <w:tcW w:w="1266" w:type="dxa"/>
            <w:vAlign w:val="center"/>
          </w:tcPr>
          <w:p w:rsidR="00000000" w:rsidRDefault="00000000">
            <w:pPr>
              <w:spacing w:before="40" w:after="40"/>
              <w:jc w:val="center"/>
            </w:pPr>
            <w:r>
              <w:t>2002</w:t>
            </w:r>
          </w:p>
        </w:tc>
      </w:tr>
      <w:tr w:rsidR="00000000">
        <w:tblPrEx>
          <w:tblCellMar>
            <w:top w:w="0" w:type="dxa"/>
            <w:bottom w:w="0" w:type="dxa"/>
          </w:tblCellMar>
        </w:tblPrEx>
        <w:tc>
          <w:tcPr>
            <w:tcW w:w="4990" w:type="dxa"/>
            <w:vAlign w:val="bottom"/>
          </w:tcPr>
          <w:p w:rsidR="00000000" w:rsidRDefault="00000000">
            <w:pPr>
              <w:spacing w:before="40" w:after="40"/>
            </w:pPr>
            <w:r>
              <w:t>Institut bolivien d’apprentissage</w:t>
            </w:r>
          </w:p>
        </w:tc>
        <w:tc>
          <w:tcPr>
            <w:tcW w:w="1920" w:type="dxa"/>
            <w:vAlign w:val="bottom"/>
          </w:tcPr>
          <w:p w:rsidR="00000000" w:rsidRDefault="00000000">
            <w:pPr>
              <w:spacing w:before="40" w:after="40"/>
              <w:jc w:val="center"/>
            </w:pPr>
            <w:r>
              <w:t>IBA</w:t>
            </w:r>
          </w:p>
        </w:tc>
        <w:tc>
          <w:tcPr>
            <w:tcW w:w="1320" w:type="dxa"/>
            <w:vAlign w:val="bottom"/>
          </w:tcPr>
          <w:p w:rsidR="00000000" w:rsidRDefault="00000000">
            <w:pPr>
              <w:spacing w:before="40" w:after="40"/>
              <w:ind w:right="360"/>
              <w:jc w:val="right"/>
            </w:pPr>
            <w:r>
              <w:t>76</w:t>
            </w:r>
          </w:p>
        </w:tc>
        <w:tc>
          <w:tcPr>
            <w:tcW w:w="1266" w:type="dxa"/>
            <w:vAlign w:val="bottom"/>
          </w:tcPr>
          <w:p w:rsidR="00000000" w:rsidRDefault="00000000">
            <w:pPr>
              <w:spacing w:before="40" w:after="40"/>
              <w:ind w:right="360"/>
              <w:jc w:val="right"/>
            </w:pPr>
            <w:r>
              <w:t>84</w:t>
            </w:r>
          </w:p>
        </w:tc>
      </w:tr>
      <w:tr w:rsidR="00000000">
        <w:tblPrEx>
          <w:tblCellMar>
            <w:top w:w="0" w:type="dxa"/>
            <w:bottom w:w="0" w:type="dxa"/>
          </w:tblCellMar>
        </w:tblPrEx>
        <w:tc>
          <w:tcPr>
            <w:tcW w:w="4990" w:type="dxa"/>
            <w:vAlign w:val="bottom"/>
          </w:tcPr>
          <w:p w:rsidR="00000000" w:rsidRDefault="00000000">
            <w:pPr>
              <w:spacing w:before="40" w:after="40"/>
            </w:pPr>
            <w:r>
              <w:t>Éducation de base accélérée</w:t>
            </w:r>
          </w:p>
        </w:tc>
        <w:tc>
          <w:tcPr>
            <w:tcW w:w="1920" w:type="dxa"/>
            <w:vAlign w:val="bottom"/>
          </w:tcPr>
          <w:p w:rsidR="00000000" w:rsidRDefault="00000000">
            <w:pPr>
              <w:spacing w:before="40" w:after="40"/>
              <w:jc w:val="center"/>
            </w:pPr>
            <w:r>
              <w:t>EBA</w:t>
            </w:r>
          </w:p>
        </w:tc>
        <w:tc>
          <w:tcPr>
            <w:tcW w:w="1320" w:type="dxa"/>
            <w:vAlign w:val="bottom"/>
          </w:tcPr>
          <w:p w:rsidR="00000000" w:rsidRDefault="00000000">
            <w:pPr>
              <w:spacing w:before="40" w:after="40"/>
              <w:ind w:right="360"/>
              <w:jc w:val="right"/>
            </w:pPr>
            <w:r>
              <w:t>19</w:t>
            </w:r>
          </w:p>
        </w:tc>
        <w:tc>
          <w:tcPr>
            <w:tcW w:w="1266" w:type="dxa"/>
            <w:vAlign w:val="bottom"/>
          </w:tcPr>
          <w:p w:rsidR="00000000" w:rsidRDefault="00000000">
            <w:pPr>
              <w:spacing w:before="40" w:after="40"/>
              <w:ind w:right="360"/>
              <w:jc w:val="right"/>
            </w:pPr>
            <w:r>
              <w:t>21</w:t>
            </w:r>
          </w:p>
        </w:tc>
      </w:tr>
      <w:tr w:rsidR="00000000">
        <w:tblPrEx>
          <w:tblCellMar>
            <w:top w:w="0" w:type="dxa"/>
            <w:bottom w:w="0" w:type="dxa"/>
          </w:tblCellMar>
        </w:tblPrEx>
        <w:tc>
          <w:tcPr>
            <w:tcW w:w="4990" w:type="dxa"/>
            <w:vAlign w:val="bottom"/>
          </w:tcPr>
          <w:p w:rsidR="00000000" w:rsidRDefault="00000000">
            <w:pPr>
              <w:spacing w:before="40" w:after="40"/>
            </w:pPr>
            <w:r>
              <w:t>Centre d’enseignement secondaire pour adultes</w:t>
            </w:r>
          </w:p>
        </w:tc>
        <w:tc>
          <w:tcPr>
            <w:tcW w:w="1920" w:type="dxa"/>
            <w:vAlign w:val="bottom"/>
          </w:tcPr>
          <w:p w:rsidR="00000000" w:rsidRDefault="00000000">
            <w:pPr>
              <w:spacing w:before="40" w:after="40"/>
              <w:jc w:val="center"/>
            </w:pPr>
            <w:r>
              <w:t>CEMA</w:t>
            </w:r>
          </w:p>
        </w:tc>
        <w:tc>
          <w:tcPr>
            <w:tcW w:w="1320" w:type="dxa"/>
            <w:vAlign w:val="bottom"/>
          </w:tcPr>
          <w:p w:rsidR="00000000" w:rsidRDefault="00000000">
            <w:pPr>
              <w:spacing w:before="40" w:after="40"/>
              <w:ind w:right="360"/>
              <w:jc w:val="right"/>
            </w:pPr>
            <w:r>
              <w:t>87</w:t>
            </w:r>
          </w:p>
        </w:tc>
        <w:tc>
          <w:tcPr>
            <w:tcW w:w="1266" w:type="dxa"/>
            <w:vAlign w:val="bottom"/>
          </w:tcPr>
          <w:p w:rsidR="00000000" w:rsidRDefault="00000000">
            <w:pPr>
              <w:spacing w:before="40" w:after="40"/>
              <w:ind w:right="360"/>
              <w:jc w:val="right"/>
            </w:pPr>
            <w:r>
              <w:t>105</w:t>
            </w:r>
          </w:p>
        </w:tc>
      </w:tr>
      <w:tr w:rsidR="00000000">
        <w:tblPrEx>
          <w:tblCellMar>
            <w:top w:w="0" w:type="dxa"/>
            <w:bottom w:w="0" w:type="dxa"/>
          </w:tblCellMar>
        </w:tblPrEx>
        <w:tc>
          <w:tcPr>
            <w:tcW w:w="4990" w:type="dxa"/>
            <w:vAlign w:val="bottom"/>
          </w:tcPr>
          <w:p w:rsidR="00000000" w:rsidRDefault="00000000">
            <w:pPr>
              <w:spacing w:before="40" w:after="40"/>
            </w:pPr>
            <w:r>
              <w:t>Centre intégré</w:t>
            </w:r>
          </w:p>
        </w:tc>
        <w:tc>
          <w:tcPr>
            <w:tcW w:w="1920" w:type="dxa"/>
            <w:vAlign w:val="bottom"/>
          </w:tcPr>
          <w:p w:rsidR="00000000" w:rsidRDefault="00000000">
            <w:pPr>
              <w:spacing w:before="40" w:after="40"/>
              <w:jc w:val="center"/>
            </w:pPr>
            <w:r>
              <w:t>CI</w:t>
            </w:r>
          </w:p>
        </w:tc>
        <w:tc>
          <w:tcPr>
            <w:tcW w:w="1320" w:type="dxa"/>
            <w:vAlign w:val="bottom"/>
          </w:tcPr>
          <w:p w:rsidR="00000000" w:rsidRDefault="00000000">
            <w:pPr>
              <w:spacing w:before="40" w:after="40"/>
              <w:ind w:right="360"/>
              <w:jc w:val="right"/>
            </w:pPr>
            <w:r>
              <w:t>96</w:t>
            </w:r>
          </w:p>
        </w:tc>
        <w:tc>
          <w:tcPr>
            <w:tcW w:w="1266" w:type="dxa"/>
            <w:vAlign w:val="bottom"/>
          </w:tcPr>
          <w:p w:rsidR="00000000" w:rsidRDefault="00000000">
            <w:pPr>
              <w:spacing w:before="40" w:after="40"/>
              <w:ind w:right="360"/>
              <w:jc w:val="right"/>
            </w:pPr>
            <w:r>
              <w:t>111</w:t>
            </w:r>
          </w:p>
        </w:tc>
      </w:tr>
      <w:tr w:rsidR="00000000">
        <w:tblPrEx>
          <w:tblCellMar>
            <w:top w:w="0" w:type="dxa"/>
            <w:bottom w:w="0" w:type="dxa"/>
          </w:tblCellMar>
        </w:tblPrEx>
        <w:tc>
          <w:tcPr>
            <w:tcW w:w="4990" w:type="dxa"/>
            <w:vAlign w:val="bottom"/>
          </w:tcPr>
          <w:p w:rsidR="00000000" w:rsidRDefault="00000000">
            <w:pPr>
              <w:spacing w:before="40" w:after="40"/>
            </w:pPr>
            <w:r>
              <w:t>Centre d’enseignement technique, de sciences humaines et d’enseignement agricole</w:t>
            </w:r>
          </w:p>
        </w:tc>
        <w:tc>
          <w:tcPr>
            <w:tcW w:w="1920" w:type="dxa"/>
            <w:vAlign w:val="bottom"/>
          </w:tcPr>
          <w:p w:rsidR="00000000" w:rsidRDefault="00000000">
            <w:pPr>
              <w:spacing w:before="40" w:after="40"/>
              <w:jc w:val="center"/>
            </w:pPr>
            <w:r>
              <w:t>CETHA</w:t>
            </w:r>
          </w:p>
        </w:tc>
        <w:tc>
          <w:tcPr>
            <w:tcW w:w="1320" w:type="dxa"/>
            <w:vAlign w:val="bottom"/>
          </w:tcPr>
          <w:p w:rsidR="00000000" w:rsidRDefault="00000000">
            <w:pPr>
              <w:spacing w:before="40" w:after="40"/>
              <w:ind w:right="360"/>
              <w:jc w:val="right"/>
            </w:pPr>
            <w:r>
              <w:t>30</w:t>
            </w:r>
          </w:p>
        </w:tc>
        <w:tc>
          <w:tcPr>
            <w:tcW w:w="1266" w:type="dxa"/>
            <w:vAlign w:val="bottom"/>
          </w:tcPr>
          <w:p w:rsidR="00000000" w:rsidRDefault="00000000">
            <w:pPr>
              <w:spacing w:before="40" w:after="40"/>
              <w:ind w:right="360"/>
              <w:jc w:val="right"/>
            </w:pPr>
            <w:r>
              <w:t>42</w:t>
            </w:r>
          </w:p>
        </w:tc>
      </w:tr>
      <w:tr w:rsidR="00000000">
        <w:tblPrEx>
          <w:tblCellMar>
            <w:top w:w="0" w:type="dxa"/>
            <w:bottom w:w="0" w:type="dxa"/>
          </w:tblCellMar>
        </w:tblPrEx>
        <w:tc>
          <w:tcPr>
            <w:tcW w:w="4990" w:type="dxa"/>
            <w:vAlign w:val="bottom"/>
          </w:tcPr>
          <w:p w:rsidR="00000000" w:rsidRDefault="00000000">
            <w:pPr>
              <w:spacing w:before="40" w:after="40"/>
            </w:pPr>
            <w:r>
              <w:t>Centre de développement rural intégré</w:t>
            </w:r>
          </w:p>
        </w:tc>
        <w:tc>
          <w:tcPr>
            <w:tcW w:w="1920" w:type="dxa"/>
            <w:vAlign w:val="bottom"/>
          </w:tcPr>
          <w:p w:rsidR="00000000" w:rsidRDefault="00000000">
            <w:pPr>
              <w:spacing w:before="40" w:after="40"/>
              <w:jc w:val="center"/>
              <w:rPr>
                <w:lang w:val="en-GB"/>
              </w:rPr>
            </w:pPr>
            <w:r>
              <w:rPr>
                <w:lang w:val="en-GB"/>
              </w:rPr>
              <w:t>CEDICOR</w:t>
            </w:r>
          </w:p>
        </w:tc>
        <w:tc>
          <w:tcPr>
            <w:tcW w:w="1320" w:type="dxa"/>
            <w:vAlign w:val="bottom"/>
          </w:tcPr>
          <w:p w:rsidR="00000000" w:rsidRDefault="00000000">
            <w:pPr>
              <w:spacing w:before="40" w:after="40"/>
              <w:ind w:right="360"/>
              <w:jc w:val="right"/>
              <w:rPr>
                <w:lang w:val="en-GB"/>
              </w:rPr>
            </w:pPr>
            <w:r>
              <w:rPr>
                <w:lang w:val="en-GB"/>
              </w:rPr>
              <w:t>10</w:t>
            </w:r>
          </w:p>
        </w:tc>
        <w:tc>
          <w:tcPr>
            <w:tcW w:w="1266" w:type="dxa"/>
            <w:vAlign w:val="bottom"/>
          </w:tcPr>
          <w:p w:rsidR="00000000" w:rsidRDefault="00000000">
            <w:pPr>
              <w:spacing w:before="40" w:after="40"/>
              <w:ind w:right="360"/>
              <w:jc w:val="right"/>
              <w:rPr>
                <w:lang w:val="en-GB"/>
              </w:rPr>
            </w:pPr>
            <w:r>
              <w:rPr>
                <w:lang w:val="en-GB"/>
              </w:rPr>
              <w:t>13</w:t>
            </w:r>
          </w:p>
        </w:tc>
      </w:tr>
      <w:tr w:rsidR="00000000">
        <w:tblPrEx>
          <w:tblCellMar>
            <w:top w:w="0" w:type="dxa"/>
            <w:bottom w:w="0" w:type="dxa"/>
          </w:tblCellMar>
        </w:tblPrEx>
        <w:tc>
          <w:tcPr>
            <w:tcW w:w="4990" w:type="dxa"/>
            <w:vAlign w:val="bottom"/>
          </w:tcPr>
          <w:p w:rsidR="00000000" w:rsidRDefault="00000000">
            <w:pPr>
              <w:spacing w:before="40" w:after="40"/>
              <w:rPr>
                <w:b/>
                <w:bCs/>
                <w:i/>
                <w:iCs/>
                <w:vertAlign w:val="superscript"/>
                <w:lang w:val="en-GB"/>
              </w:rPr>
            </w:pPr>
            <w:r>
              <w:rPr>
                <w:lang w:val="en-GB"/>
              </w:rPr>
              <w:t>Divers</w:t>
            </w:r>
            <w:r>
              <w:rPr>
                <w:b/>
                <w:bCs/>
                <w:i/>
                <w:iCs/>
                <w:vertAlign w:val="superscript"/>
                <w:lang w:val="en-GB"/>
              </w:rPr>
              <w:t>*</w:t>
            </w:r>
          </w:p>
        </w:tc>
        <w:tc>
          <w:tcPr>
            <w:tcW w:w="1920" w:type="dxa"/>
            <w:vAlign w:val="bottom"/>
          </w:tcPr>
          <w:p w:rsidR="00000000" w:rsidRDefault="00000000">
            <w:pPr>
              <w:spacing w:before="40" w:after="40"/>
              <w:jc w:val="center"/>
              <w:rPr>
                <w:lang w:val="en-GB"/>
              </w:rPr>
            </w:pPr>
          </w:p>
        </w:tc>
        <w:tc>
          <w:tcPr>
            <w:tcW w:w="1320" w:type="dxa"/>
            <w:vAlign w:val="bottom"/>
          </w:tcPr>
          <w:p w:rsidR="00000000" w:rsidRDefault="00000000">
            <w:pPr>
              <w:spacing w:before="40" w:after="40"/>
              <w:ind w:right="360"/>
              <w:jc w:val="right"/>
              <w:rPr>
                <w:lang w:val="en-GB"/>
              </w:rPr>
            </w:pPr>
            <w:r>
              <w:rPr>
                <w:lang w:val="en-GB"/>
              </w:rPr>
              <w:t>22</w:t>
            </w:r>
          </w:p>
        </w:tc>
        <w:tc>
          <w:tcPr>
            <w:tcW w:w="1266" w:type="dxa"/>
            <w:vAlign w:val="bottom"/>
          </w:tcPr>
          <w:p w:rsidR="00000000" w:rsidRDefault="00000000">
            <w:pPr>
              <w:spacing w:before="40" w:after="40"/>
              <w:ind w:right="360"/>
              <w:jc w:val="right"/>
              <w:rPr>
                <w:lang w:val="en-GB"/>
              </w:rPr>
            </w:pPr>
            <w:r>
              <w:rPr>
                <w:lang w:val="en-GB"/>
              </w:rPr>
              <w:t>27</w:t>
            </w:r>
          </w:p>
        </w:tc>
      </w:tr>
      <w:tr w:rsidR="00000000">
        <w:tblPrEx>
          <w:tblCellMar>
            <w:top w:w="0" w:type="dxa"/>
            <w:bottom w:w="0" w:type="dxa"/>
          </w:tblCellMar>
        </w:tblPrEx>
        <w:tc>
          <w:tcPr>
            <w:tcW w:w="4990" w:type="dxa"/>
            <w:vAlign w:val="bottom"/>
          </w:tcPr>
          <w:p w:rsidR="00000000" w:rsidRDefault="00000000">
            <w:pPr>
              <w:spacing w:before="40" w:after="40"/>
              <w:rPr>
                <w:b/>
                <w:bCs/>
                <w:lang w:val="en-GB"/>
              </w:rPr>
            </w:pPr>
            <w:r>
              <w:rPr>
                <w:b/>
                <w:bCs/>
                <w:lang w:val="en-GB"/>
              </w:rPr>
              <w:t>Total</w:t>
            </w:r>
          </w:p>
        </w:tc>
        <w:tc>
          <w:tcPr>
            <w:tcW w:w="1920" w:type="dxa"/>
            <w:vAlign w:val="bottom"/>
          </w:tcPr>
          <w:p w:rsidR="00000000" w:rsidRDefault="00000000">
            <w:pPr>
              <w:spacing w:before="40" w:after="40"/>
              <w:jc w:val="center"/>
              <w:rPr>
                <w:b/>
                <w:bCs/>
                <w:lang w:val="en-GB"/>
              </w:rPr>
            </w:pPr>
          </w:p>
        </w:tc>
        <w:tc>
          <w:tcPr>
            <w:tcW w:w="1320" w:type="dxa"/>
            <w:vAlign w:val="bottom"/>
          </w:tcPr>
          <w:p w:rsidR="00000000" w:rsidRDefault="00000000">
            <w:pPr>
              <w:spacing w:before="40" w:after="40"/>
              <w:ind w:right="360"/>
              <w:jc w:val="right"/>
              <w:rPr>
                <w:b/>
                <w:bCs/>
                <w:lang w:val="fr-FR"/>
              </w:rPr>
            </w:pPr>
            <w:r>
              <w:rPr>
                <w:b/>
                <w:bCs/>
                <w:lang w:val="fr-FR"/>
              </w:rPr>
              <w:t>340</w:t>
            </w:r>
          </w:p>
        </w:tc>
        <w:tc>
          <w:tcPr>
            <w:tcW w:w="1266" w:type="dxa"/>
            <w:vAlign w:val="bottom"/>
          </w:tcPr>
          <w:p w:rsidR="00000000" w:rsidRDefault="00000000">
            <w:pPr>
              <w:spacing w:before="40" w:after="40"/>
              <w:ind w:right="360"/>
              <w:jc w:val="right"/>
              <w:rPr>
                <w:b/>
                <w:bCs/>
                <w:lang w:val="fr-FR"/>
              </w:rPr>
            </w:pPr>
            <w:r>
              <w:rPr>
                <w:b/>
                <w:bCs/>
                <w:lang w:val="fr-FR"/>
              </w:rPr>
              <w:t>403</w:t>
            </w:r>
          </w:p>
        </w:tc>
      </w:tr>
    </w:tbl>
    <w:p w:rsidR="00000000" w:rsidRDefault="00000000">
      <w:pPr>
        <w:spacing w:before="240" w:after="240"/>
        <w:ind w:firstLine="567"/>
      </w:pPr>
      <w:r>
        <w:rPr>
          <w:i/>
          <w:iCs/>
        </w:rPr>
        <w:t>Source</w:t>
      </w:r>
      <w:r>
        <w:t>: Direction de l’alphabétisation et de l’éducation des jeunes et des adultes (Vice</w:t>
      </w:r>
      <w:r>
        <w:noBreakHyphen/>
        <w:t>Ministère de l’éducation scolaire et alternative).</w:t>
      </w:r>
    </w:p>
    <w:p w:rsidR="00000000" w:rsidRDefault="00000000">
      <w:pPr>
        <w:spacing w:after="240"/>
        <w:ind w:left="567"/>
      </w:pPr>
      <w:r>
        <w:rPr>
          <w:i/>
          <w:iCs/>
        </w:rPr>
        <w:t>Établi par</w:t>
      </w:r>
      <w:r>
        <w:t>: Direction de l’analyse (Ministère de l’éducation).</w:t>
      </w:r>
    </w:p>
    <w:p w:rsidR="00000000" w:rsidRDefault="00000000">
      <w:pPr>
        <w:spacing w:after="360"/>
      </w:pPr>
      <w:r>
        <w:rPr>
          <w:b/>
          <w:bCs/>
          <w:i/>
          <w:iCs/>
          <w:vertAlign w:val="superscript"/>
        </w:rPr>
        <w:t>*</w:t>
      </w:r>
      <w:r>
        <w:t xml:space="preserve"> Cette catégorie comprend les équipes mobiles qui dispensent un enseignement primaire et technique.</w:t>
      </w:r>
    </w:p>
    <w:p w:rsidR="00000000" w:rsidRDefault="00000000">
      <w:pPr>
        <w:keepLines/>
        <w:spacing w:after="240"/>
      </w:pPr>
      <w:r>
        <w:t>220.</w:t>
      </w:r>
      <w:r>
        <w:tab/>
        <w:t xml:space="preserve">À partir de la promulgation de la loi </w:t>
      </w:r>
      <w:r>
        <w:rPr>
          <w:rFonts w:eastAsia="MS Mincho"/>
        </w:rPr>
        <w:t>n</w:t>
      </w:r>
      <w:r>
        <w:rPr>
          <w:rFonts w:eastAsia="MS Mincho"/>
          <w:vertAlign w:val="superscript"/>
        </w:rPr>
        <w:t>o</w:t>
      </w:r>
      <w:r>
        <w:t> 1565, ces centres sont organisés selon les modalités EPA, ESA et ETA. En ce qui concerne les effectifs, on constate une croissance accélérée dans les périodes 1999</w:t>
      </w:r>
      <w:r>
        <w:noBreakHyphen/>
        <w:t>2000 (21,6 %) et 2001</w:t>
      </w:r>
      <w:r>
        <w:noBreakHyphen/>
        <w:t>2002 (18,5 %); en 2000</w:t>
      </w:r>
      <w:r>
        <w:noBreakHyphen/>
        <w:t>2001, en revanche, elle a été modeste (2,8 %). L’effectif correspondant à l’enseignement primaire (EPA) est celui qui présente la plus forte croissance entre 1999 et 2002 (220,7 %).</w:t>
      </w:r>
    </w:p>
    <w:p w:rsidR="00000000" w:rsidRDefault="00000000">
      <w:pPr>
        <w:keepNext/>
        <w:spacing w:after="240"/>
        <w:jc w:val="center"/>
        <w:rPr>
          <w:b/>
          <w:bCs/>
        </w:rPr>
      </w:pPr>
      <w:r>
        <w:rPr>
          <w:b/>
          <w:bCs/>
        </w:rPr>
        <w:t>Tableau 8</w:t>
      </w:r>
    </w:p>
    <w:p w:rsidR="00000000" w:rsidRDefault="00000000">
      <w:pPr>
        <w:keepNext/>
        <w:spacing w:after="240"/>
        <w:jc w:val="center"/>
        <w:rPr>
          <w:b/>
          <w:bCs/>
        </w:rPr>
      </w:pPr>
      <w:r>
        <w:rPr>
          <w:b/>
          <w:bCs/>
        </w:rPr>
        <w:t>Bolivie: Effectifs de l’éducation des adultes, par catégorie d’établissement (1999</w:t>
      </w:r>
      <w:r>
        <w:rPr>
          <w:b/>
          <w:bCs/>
        </w:rPr>
        <w:noBreakHyphen/>
        <w:t>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c>
          <w:tcPr>
            <w:tcW w:w="1899" w:type="dxa"/>
            <w:vAlign w:val="center"/>
          </w:tcPr>
          <w:p w:rsidR="00000000" w:rsidRDefault="00000000">
            <w:pPr>
              <w:spacing w:before="40" w:after="40"/>
              <w:jc w:val="center"/>
            </w:pPr>
            <w:r>
              <w:t>Catégorie</w:t>
            </w:r>
          </w:p>
        </w:tc>
        <w:tc>
          <w:tcPr>
            <w:tcW w:w="1899" w:type="dxa"/>
            <w:vAlign w:val="center"/>
          </w:tcPr>
          <w:p w:rsidR="00000000" w:rsidRDefault="00000000">
            <w:pPr>
              <w:spacing w:before="40" w:after="40"/>
              <w:jc w:val="center"/>
            </w:pPr>
            <w:r>
              <w:t>1999</w:t>
            </w:r>
          </w:p>
        </w:tc>
        <w:tc>
          <w:tcPr>
            <w:tcW w:w="1899" w:type="dxa"/>
            <w:vAlign w:val="center"/>
          </w:tcPr>
          <w:p w:rsidR="00000000" w:rsidRDefault="00000000">
            <w:pPr>
              <w:spacing w:before="40" w:after="40"/>
              <w:jc w:val="center"/>
            </w:pPr>
            <w:r>
              <w:t>2000</w:t>
            </w:r>
          </w:p>
        </w:tc>
        <w:tc>
          <w:tcPr>
            <w:tcW w:w="1899" w:type="dxa"/>
            <w:vAlign w:val="center"/>
          </w:tcPr>
          <w:p w:rsidR="00000000" w:rsidRDefault="00000000">
            <w:pPr>
              <w:spacing w:before="40" w:after="40"/>
              <w:jc w:val="center"/>
            </w:pPr>
            <w:r>
              <w:t>2001</w:t>
            </w:r>
          </w:p>
        </w:tc>
        <w:tc>
          <w:tcPr>
            <w:tcW w:w="1900" w:type="dxa"/>
            <w:vAlign w:val="center"/>
          </w:tcPr>
          <w:p w:rsidR="00000000" w:rsidRDefault="00000000">
            <w:pPr>
              <w:spacing w:before="40" w:after="40"/>
              <w:jc w:val="center"/>
            </w:pPr>
            <w:r>
              <w:t>2002</w:t>
            </w:r>
          </w:p>
        </w:tc>
      </w:tr>
      <w:tr w:rsidR="00000000">
        <w:tblPrEx>
          <w:tblCellMar>
            <w:top w:w="0" w:type="dxa"/>
            <w:bottom w:w="0" w:type="dxa"/>
          </w:tblCellMar>
        </w:tblPrEx>
        <w:tc>
          <w:tcPr>
            <w:tcW w:w="1899" w:type="dxa"/>
          </w:tcPr>
          <w:p w:rsidR="00000000" w:rsidRDefault="00000000">
            <w:pPr>
              <w:spacing w:before="40" w:after="40"/>
            </w:pPr>
            <w:r>
              <w:t>EPA</w:t>
            </w:r>
          </w:p>
        </w:tc>
        <w:tc>
          <w:tcPr>
            <w:tcW w:w="1899" w:type="dxa"/>
            <w:vAlign w:val="bottom"/>
          </w:tcPr>
          <w:p w:rsidR="00000000" w:rsidRDefault="00000000">
            <w:pPr>
              <w:spacing w:before="40" w:after="40"/>
              <w:jc w:val="right"/>
            </w:pPr>
            <w:r>
              <w:t>13 546</w:t>
            </w:r>
          </w:p>
        </w:tc>
        <w:tc>
          <w:tcPr>
            <w:tcW w:w="1899" w:type="dxa"/>
            <w:vAlign w:val="bottom"/>
          </w:tcPr>
          <w:p w:rsidR="00000000" w:rsidRDefault="00000000">
            <w:pPr>
              <w:spacing w:before="40" w:after="40"/>
              <w:jc w:val="right"/>
            </w:pPr>
            <w:r>
              <w:t>25 797</w:t>
            </w:r>
          </w:p>
        </w:tc>
        <w:tc>
          <w:tcPr>
            <w:tcW w:w="1899" w:type="dxa"/>
            <w:vAlign w:val="bottom"/>
          </w:tcPr>
          <w:p w:rsidR="00000000" w:rsidRDefault="00000000">
            <w:pPr>
              <w:spacing w:before="40" w:after="40"/>
              <w:jc w:val="right"/>
            </w:pPr>
            <w:r>
              <w:t>27 913</w:t>
            </w:r>
          </w:p>
        </w:tc>
        <w:tc>
          <w:tcPr>
            <w:tcW w:w="1900" w:type="dxa"/>
            <w:vAlign w:val="bottom"/>
          </w:tcPr>
          <w:p w:rsidR="00000000" w:rsidRDefault="00000000">
            <w:pPr>
              <w:spacing w:before="40" w:after="40"/>
              <w:jc w:val="right"/>
            </w:pPr>
            <w:r>
              <w:t>43 441</w:t>
            </w:r>
          </w:p>
        </w:tc>
      </w:tr>
      <w:tr w:rsidR="00000000">
        <w:tblPrEx>
          <w:tblCellMar>
            <w:top w:w="0" w:type="dxa"/>
            <w:bottom w:w="0" w:type="dxa"/>
          </w:tblCellMar>
        </w:tblPrEx>
        <w:tc>
          <w:tcPr>
            <w:tcW w:w="1899" w:type="dxa"/>
          </w:tcPr>
          <w:p w:rsidR="00000000" w:rsidRDefault="00000000">
            <w:pPr>
              <w:spacing w:before="40" w:after="40"/>
            </w:pPr>
            <w:r>
              <w:t>ESA</w:t>
            </w:r>
          </w:p>
        </w:tc>
        <w:tc>
          <w:tcPr>
            <w:tcW w:w="1899" w:type="dxa"/>
            <w:vAlign w:val="bottom"/>
          </w:tcPr>
          <w:p w:rsidR="00000000" w:rsidRDefault="00000000">
            <w:pPr>
              <w:spacing w:before="40" w:after="40"/>
              <w:jc w:val="right"/>
            </w:pPr>
            <w:r>
              <w:t>37 863</w:t>
            </w:r>
          </w:p>
        </w:tc>
        <w:tc>
          <w:tcPr>
            <w:tcW w:w="1899" w:type="dxa"/>
            <w:vAlign w:val="bottom"/>
          </w:tcPr>
          <w:p w:rsidR="00000000" w:rsidRDefault="00000000">
            <w:pPr>
              <w:spacing w:before="40" w:after="40"/>
              <w:jc w:val="right"/>
            </w:pPr>
            <w:r>
              <w:t>36 650</w:t>
            </w:r>
          </w:p>
        </w:tc>
        <w:tc>
          <w:tcPr>
            <w:tcW w:w="1899" w:type="dxa"/>
            <w:vAlign w:val="bottom"/>
          </w:tcPr>
          <w:p w:rsidR="00000000" w:rsidRDefault="00000000">
            <w:pPr>
              <w:spacing w:before="40" w:after="40"/>
              <w:jc w:val="right"/>
            </w:pPr>
            <w:r>
              <w:t>35 852</w:t>
            </w:r>
          </w:p>
        </w:tc>
        <w:tc>
          <w:tcPr>
            <w:tcW w:w="1900" w:type="dxa"/>
            <w:vAlign w:val="bottom"/>
          </w:tcPr>
          <w:p w:rsidR="00000000" w:rsidRDefault="00000000">
            <w:pPr>
              <w:spacing w:before="40" w:after="40"/>
              <w:jc w:val="right"/>
            </w:pPr>
            <w:r>
              <w:t>40 938</w:t>
            </w:r>
          </w:p>
        </w:tc>
      </w:tr>
      <w:tr w:rsidR="00000000">
        <w:tblPrEx>
          <w:tblCellMar>
            <w:top w:w="0" w:type="dxa"/>
            <w:bottom w:w="0" w:type="dxa"/>
          </w:tblCellMar>
        </w:tblPrEx>
        <w:tc>
          <w:tcPr>
            <w:tcW w:w="1899" w:type="dxa"/>
          </w:tcPr>
          <w:p w:rsidR="00000000" w:rsidRDefault="00000000">
            <w:pPr>
              <w:spacing w:before="40" w:after="40"/>
            </w:pPr>
            <w:r>
              <w:t>ETA</w:t>
            </w:r>
          </w:p>
        </w:tc>
        <w:tc>
          <w:tcPr>
            <w:tcW w:w="1899" w:type="dxa"/>
            <w:vAlign w:val="bottom"/>
          </w:tcPr>
          <w:p w:rsidR="00000000" w:rsidRDefault="00000000">
            <w:pPr>
              <w:spacing w:before="40" w:after="40"/>
              <w:jc w:val="right"/>
            </w:pPr>
            <w:r>
              <w:t>30 071</w:t>
            </w:r>
          </w:p>
        </w:tc>
        <w:tc>
          <w:tcPr>
            <w:tcW w:w="1899" w:type="dxa"/>
            <w:vAlign w:val="bottom"/>
          </w:tcPr>
          <w:p w:rsidR="00000000" w:rsidRDefault="00000000">
            <w:pPr>
              <w:spacing w:before="40" w:after="40"/>
              <w:jc w:val="right"/>
            </w:pPr>
            <w:r>
              <w:t>36 652</w:t>
            </w:r>
          </w:p>
        </w:tc>
        <w:tc>
          <w:tcPr>
            <w:tcW w:w="1899" w:type="dxa"/>
            <w:vAlign w:val="bottom"/>
          </w:tcPr>
          <w:p w:rsidR="00000000" w:rsidRDefault="00000000">
            <w:pPr>
              <w:spacing w:before="40" w:after="40"/>
              <w:jc w:val="right"/>
            </w:pPr>
            <w:r>
              <w:t>38 147</w:t>
            </w:r>
          </w:p>
        </w:tc>
        <w:tc>
          <w:tcPr>
            <w:tcW w:w="1900" w:type="dxa"/>
            <w:vAlign w:val="bottom"/>
          </w:tcPr>
          <w:p w:rsidR="00000000" w:rsidRDefault="00000000">
            <w:pPr>
              <w:spacing w:before="40" w:after="40"/>
              <w:jc w:val="right"/>
            </w:pPr>
            <w:r>
              <w:t>36 401</w:t>
            </w:r>
          </w:p>
        </w:tc>
      </w:tr>
      <w:tr w:rsidR="00000000">
        <w:tblPrEx>
          <w:tblCellMar>
            <w:top w:w="0" w:type="dxa"/>
            <w:bottom w:w="0" w:type="dxa"/>
          </w:tblCellMar>
        </w:tblPrEx>
        <w:tc>
          <w:tcPr>
            <w:tcW w:w="1899" w:type="dxa"/>
          </w:tcPr>
          <w:p w:rsidR="00000000" w:rsidRDefault="00000000">
            <w:pPr>
              <w:spacing w:before="40" w:after="40"/>
              <w:rPr>
                <w:b/>
                <w:bCs/>
              </w:rPr>
            </w:pPr>
            <w:r>
              <w:rPr>
                <w:b/>
                <w:bCs/>
              </w:rPr>
              <w:t>Total</w:t>
            </w:r>
          </w:p>
        </w:tc>
        <w:tc>
          <w:tcPr>
            <w:tcW w:w="1899" w:type="dxa"/>
            <w:vAlign w:val="bottom"/>
          </w:tcPr>
          <w:p w:rsidR="00000000" w:rsidRDefault="00000000">
            <w:pPr>
              <w:spacing w:before="40" w:after="40"/>
              <w:jc w:val="right"/>
              <w:rPr>
                <w:b/>
                <w:bCs/>
              </w:rPr>
            </w:pPr>
            <w:r>
              <w:rPr>
                <w:b/>
                <w:bCs/>
              </w:rPr>
              <w:t>81 480</w:t>
            </w:r>
          </w:p>
        </w:tc>
        <w:tc>
          <w:tcPr>
            <w:tcW w:w="1899" w:type="dxa"/>
            <w:vAlign w:val="bottom"/>
          </w:tcPr>
          <w:p w:rsidR="00000000" w:rsidRDefault="00000000">
            <w:pPr>
              <w:spacing w:before="40" w:after="40"/>
              <w:jc w:val="right"/>
              <w:rPr>
                <w:b/>
                <w:bCs/>
              </w:rPr>
            </w:pPr>
            <w:r>
              <w:rPr>
                <w:b/>
                <w:bCs/>
              </w:rPr>
              <w:t>99 099</w:t>
            </w:r>
          </w:p>
        </w:tc>
        <w:tc>
          <w:tcPr>
            <w:tcW w:w="1899" w:type="dxa"/>
            <w:vAlign w:val="bottom"/>
          </w:tcPr>
          <w:p w:rsidR="00000000" w:rsidRDefault="00000000">
            <w:pPr>
              <w:spacing w:before="40" w:after="40"/>
              <w:jc w:val="right"/>
              <w:rPr>
                <w:b/>
                <w:bCs/>
              </w:rPr>
            </w:pPr>
            <w:r>
              <w:rPr>
                <w:b/>
                <w:bCs/>
              </w:rPr>
              <w:t>101 912</w:t>
            </w:r>
          </w:p>
        </w:tc>
        <w:tc>
          <w:tcPr>
            <w:tcW w:w="1900" w:type="dxa"/>
            <w:vAlign w:val="bottom"/>
          </w:tcPr>
          <w:p w:rsidR="00000000" w:rsidRDefault="00000000">
            <w:pPr>
              <w:spacing w:before="40" w:after="40"/>
              <w:jc w:val="right"/>
              <w:rPr>
                <w:b/>
                <w:bCs/>
              </w:rPr>
            </w:pPr>
            <w:r>
              <w:rPr>
                <w:b/>
                <w:bCs/>
              </w:rPr>
              <w:t>120 780</w:t>
            </w:r>
          </w:p>
        </w:tc>
      </w:tr>
    </w:tbl>
    <w:p w:rsidR="00000000" w:rsidRDefault="00000000">
      <w:pPr>
        <w:spacing w:before="240" w:after="240"/>
        <w:ind w:firstLine="567"/>
      </w:pPr>
      <w:r>
        <w:rPr>
          <w:i/>
          <w:iCs/>
        </w:rPr>
        <w:t>Source</w:t>
      </w:r>
      <w:r>
        <w:t>: Direction de l’alphabétisation et de l’éducation des jeunes et des adultes (Vice</w:t>
      </w:r>
      <w:r>
        <w:noBreakHyphen/>
        <w:t>Ministère de l’éducation scolaire et alternative).</w:t>
      </w:r>
    </w:p>
    <w:p w:rsidR="00000000" w:rsidRDefault="00000000">
      <w:pPr>
        <w:spacing w:after="360"/>
        <w:ind w:left="567"/>
      </w:pPr>
      <w:r>
        <w:rPr>
          <w:i/>
          <w:iCs/>
        </w:rPr>
        <w:t>Établi par</w:t>
      </w:r>
      <w:r>
        <w:t>: Direction de l’analyse (Ministère de l’éducation).</w:t>
      </w:r>
    </w:p>
    <w:p w:rsidR="00000000" w:rsidRDefault="00000000">
      <w:pPr>
        <w:spacing w:after="180"/>
      </w:pPr>
      <w:r>
        <w:t>221.</w:t>
      </w:r>
      <w:r>
        <w:tab/>
        <w:t>En 2002, on comptait 2 929 animateurs dans tout le pays (tableau 9), dont 67,6 % pour l’axe principal (La Paz, Cochabamba et Santa Cruz). Comme on peut le voir, le nombre des animateurs a augmenté de 7,6 % entre 2000 et 2002, malgré un léger fléchissement en 2001. Le nombre d’agents administratifs était de 908 personnes en 2002, soit 23,6 % de l’ensemble du personnel.</w:t>
      </w:r>
    </w:p>
    <w:p w:rsidR="00000000" w:rsidRDefault="00000000">
      <w:pPr>
        <w:keepNext/>
        <w:spacing w:after="180"/>
        <w:jc w:val="center"/>
        <w:rPr>
          <w:b/>
          <w:bCs/>
        </w:rPr>
      </w:pPr>
      <w:r>
        <w:rPr>
          <w:b/>
          <w:bCs/>
        </w:rPr>
        <w:t>Tableau 9</w:t>
      </w:r>
    </w:p>
    <w:p w:rsidR="00000000" w:rsidRDefault="00000000">
      <w:pPr>
        <w:keepNext/>
        <w:spacing w:after="180"/>
        <w:jc w:val="center"/>
        <w:rPr>
          <w:b/>
          <w:bCs/>
        </w:rPr>
      </w:pPr>
      <w:r>
        <w:rPr>
          <w:b/>
          <w:bCs/>
        </w:rPr>
        <w:t>Bolivie: Nombre d’animateurs et d’agents administratifs</w:t>
      </w:r>
      <w:r>
        <w:rPr>
          <w:b/>
          <w:bCs/>
        </w:rPr>
        <w:br/>
        <w:t>dans l’éducation des adultes (2000-2002)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5"/>
        <w:gridCol w:w="1985"/>
        <w:gridCol w:w="1985"/>
        <w:gridCol w:w="1985"/>
      </w:tblGrid>
      <w:tr w:rsidR="00000000">
        <w:tblPrEx>
          <w:tblCellMar>
            <w:top w:w="0" w:type="dxa"/>
            <w:bottom w:w="0" w:type="dxa"/>
          </w:tblCellMar>
        </w:tblPrEx>
        <w:tc>
          <w:tcPr>
            <w:tcW w:w="3515" w:type="dxa"/>
            <w:vAlign w:val="center"/>
          </w:tcPr>
          <w:p w:rsidR="00000000" w:rsidRDefault="00000000">
            <w:pPr>
              <w:spacing w:before="40" w:after="40"/>
              <w:jc w:val="center"/>
            </w:pPr>
            <w:r>
              <w:t>Désignation</w:t>
            </w:r>
          </w:p>
        </w:tc>
        <w:tc>
          <w:tcPr>
            <w:tcW w:w="1985" w:type="dxa"/>
            <w:vAlign w:val="center"/>
          </w:tcPr>
          <w:p w:rsidR="00000000" w:rsidRDefault="00000000">
            <w:pPr>
              <w:spacing w:before="40" w:after="40"/>
              <w:jc w:val="center"/>
            </w:pPr>
            <w:r>
              <w:t>2000</w:t>
            </w:r>
          </w:p>
        </w:tc>
        <w:tc>
          <w:tcPr>
            <w:tcW w:w="1985" w:type="dxa"/>
            <w:vAlign w:val="center"/>
          </w:tcPr>
          <w:p w:rsidR="00000000" w:rsidRDefault="00000000">
            <w:pPr>
              <w:spacing w:before="40" w:after="40"/>
              <w:jc w:val="center"/>
            </w:pPr>
            <w:r>
              <w:t>2001</w:t>
            </w:r>
          </w:p>
        </w:tc>
        <w:tc>
          <w:tcPr>
            <w:tcW w:w="1985" w:type="dxa"/>
            <w:vAlign w:val="center"/>
          </w:tcPr>
          <w:p w:rsidR="00000000" w:rsidRDefault="00000000">
            <w:pPr>
              <w:spacing w:before="40" w:after="40"/>
              <w:jc w:val="center"/>
            </w:pPr>
            <w:r>
              <w:t>2002</w:t>
            </w:r>
          </w:p>
        </w:tc>
      </w:tr>
      <w:tr w:rsidR="00000000">
        <w:tblPrEx>
          <w:tblCellMar>
            <w:top w:w="0" w:type="dxa"/>
            <w:bottom w:w="0" w:type="dxa"/>
          </w:tblCellMar>
        </w:tblPrEx>
        <w:tc>
          <w:tcPr>
            <w:tcW w:w="3515" w:type="dxa"/>
          </w:tcPr>
          <w:p w:rsidR="00000000" w:rsidRDefault="00000000">
            <w:pPr>
              <w:spacing w:before="40" w:after="40"/>
            </w:pPr>
            <w:r>
              <w:t>Animateurs</w:t>
            </w:r>
          </w:p>
        </w:tc>
        <w:tc>
          <w:tcPr>
            <w:tcW w:w="1985" w:type="dxa"/>
            <w:vAlign w:val="bottom"/>
          </w:tcPr>
          <w:p w:rsidR="00000000" w:rsidRDefault="00000000">
            <w:pPr>
              <w:spacing w:before="40" w:after="40"/>
              <w:jc w:val="right"/>
            </w:pPr>
            <w:r>
              <w:t>2 722</w:t>
            </w:r>
          </w:p>
        </w:tc>
        <w:tc>
          <w:tcPr>
            <w:tcW w:w="1985" w:type="dxa"/>
            <w:vAlign w:val="bottom"/>
          </w:tcPr>
          <w:p w:rsidR="00000000" w:rsidRDefault="00000000">
            <w:pPr>
              <w:spacing w:before="40" w:after="40"/>
              <w:jc w:val="right"/>
            </w:pPr>
            <w:r>
              <w:t>2 671</w:t>
            </w:r>
          </w:p>
        </w:tc>
        <w:tc>
          <w:tcPr>
            <w:tcW w:w="1985" w:type="dxa"/>
            <w:vAlign w:val="bottom"/>
          </w:tcPr>
          <w:p w:rsidR="00000000" w:rsidRDefault="00000000">
            <w:pPr>
              <w:spacing w:before="40" w:after="40"/>
              <w:jc w:val="right"/>
            </w:pPr>
            <w:r>
              <w:t>2 929</w:t>
            </w:r>
          </w:p>
        </w:tc>
      </w:tr>
      <w:tr w:rsidR="00000000">
        <w:tblPrEx>
          <w:tblCellMar>
            <w:top w:w="0" w:type="dxa"/>
            <w:bottom w:w="0" w:type="dxa"/>
          </w:tblCellMar>
        </w:tblPrEx>
        <w:tc>
          <w:tcPr>
            <w:tcW w:w="3515" w:type="dxa"/>
          </w:tcPr>
          <w:p w:rsidR="00000000" w:rsidRDefault="00000000">
            <w:pPr>
              <w:spacing w:before="40" w:after="40"/>
            </w:pPr>
            <w:r>
              <w:t>Agents administratifs</w:t>
            </w:r>
          </w:p>
        </w:tc>
        <w:tc>
          <w:tcPr>
            <w:tcW w:w="1985" w:type="dxa"/>
            <w:vAlign w:val="bottom"/>
          </w:tcPr>
          <w:p w:rsidR="00000000" w:rsidRDefault="00000000">
            <w:pPr>
              <w:spacing w:before="40" w:after="40"/>
              <w:jc w:val="right"/>
            </w:pPr>
            <w:r>
              <w:t>n/d</w:t>
            </w:r>
          </w:p>
        </w:tc>
        <w:tc>
          <w:tcPr>
            <w:tcW w:w="1985" w:type="dxa"/>
            <w:vAlign w:val="bottom"/>
          </w:tcPr>
          <w:p w:rsidR="00000000" w:rsidRDefault="00000000">
            <w:pPr>
              <w:spacing w:before="40" w:after="40"/>
              <w:jc w:val="right"/>
            </w:pPr>
            <w:r>
              <w:t>n/d</w:t>
            </w:r>
          </w:p>
        </w:tc>
        <w:tc>
          <w:tcPr>
            <w:tcW w:w="1985" w:type="dxa"/>
            <w:vAlign w:val="bottom"/>
          </w:tcPr>
          <w:p w:rsidR="00000000" w:rsidRDefault="00000000">
            <w:pPr>
              <w:spacing w:before="40" w:after="40"/>
              <w:jc w:val="right"/>
            </w:pPr>
            <w:r>
              <w:t>908</w:t>
            </w:r>
          </w:p>
        </w:tc>
      </w:tr>
    </w:tbl>
    <w:p w:rsidR="00000000" w:rsidRDefault="00000000">
      <w:pPr>
        <w:spacing w:before="180" w:after="180"/>
        <w:ind w:firstLine="567"/>
      </w:pPr>
      <w:r>
        <w:rPr>
          <w:i/>
          <w:iCs/>
        </w:rPr>
        <w:t>Source</w:t>
      </w:r>
      <w:r>
        <w:t>: Direction de l’alphabétisation et de l’éducation des jeunes et des adultes (Vice</w:t>
      </w:r>
      <w:r>
        <w:noBreakHyphen/>
        <w:t>Ministère de l’éducation scolaire et alternative).</w:t>
      </w:r>
    </w:p>
    <w:p w:rsidR="00000000" w:rsidRDefault="00000000">
      <w:pPr>
        <w:spacing w:after="180"/>
        <w:ind w:firstLine="567"/>
      </w:pPr>
      <w:r>
        <w:rPr>
          <w:i/>
          <w:iCs/>
        </w:rPr>
        <w:t>Établi par</w:t>
      </w:r>
      <w:r>
        <w:t>: Direction de l’analyse (Ministère de l’éducation).</w:t>
      </w:r>
    </w:p>
    <w:p w:rsidR="00000000" w:rsidRDefault="00000000">
      <w:pPr>
        <w:spacing w:after="320"/>
      </w:pPr>
      <w:r>
        <w:t>n/d: Non disponible.</w:t>
      </w:r>
    </w:p>
    <w:p w:rsidR="00000000" w:rsidRDefault="00000000">
      <w:pPr>
        <w:spacing w:after="240"/>
      </w:pPr>
      <w:r>
        <w:t>222.</w:t>
      </w:r>
      <w:r>
        <w:tab/>
        <w:t>Des tableaux on peut déduire un rapport approximatif de 41 élèves pour un animateur. Ce rapport est plus élevé que celui qui est recommandé sur le plan pédagogique, y compris pour l’enseignement normal, ce qui sous-entend la nécessité d’augmenter le nombre des enseignants dans l’éducation des adultes.</w:t>
      </w:r>
    </w:p>
    <w:p w:rsidR="00000000" w:rsidRDefault="00000000">
      <w:pPr>
        <w:spacing w:after="240"/>
      </w:pPr>
      <w:r>
        <w:t>223.</w:t>
      </w:r>
      <w:r>
        <w:tab/>
        <w:t>Des progrès ont été faits, mais il subsiste des difficultés qui tiennent à la formation des animateurs affectés à l’éducation des adultes, aux lacunes des programmes d’études, aux crédits budgétaires, à l’absence d’écoles normales qui forment les animateurs, à l’insuffisance de personnel enseignant, etc.</w:t>
      </w:r>
    </w:p>
    <w:p w:rsidR="00000000" w:rsidRDefault="00000000">
      <w:pPr>
        <w:spacing w:after="240"/>
      </w:pPr>
      <w:r>
        <w:t>224.</w:t>
      </w:r>
      <w:r>
        <w:tab/>
        <w:t>En ce qui concerne l’alphabétisation, le taux d’analphabétisme a régressé entre 1992 et 2001, ainsi qu’il ressort du tableau 10.</w:t>
      </w:r>
    </w:p>
    <w:p w:rsidR="00000000" w:rsidRDefault="00000000">
      <w:pPr>
        <w:keepNext/>
        <w:spacing w:after="180"/>
        <w:jc w:val="center"/>
        <w:rPr>
          <w:b/>
          <w:bCs/>
        </w:rPr>
      </w:pPr>
      <w:r>
        <w:rPr>
          <w:b/>
          <w:bCs/>
        </w:rPr>
        <w:t>Tableau 10</w:t>
      </w:r>
    </w:p>
    <w:p w:rsidR="00000000" w:rsidRDefault="00000000">
      <w:pPr>
        <w:keepNext/>
        <w:spacing w:after="180"/>
        <w:jc w:val="center"/>
        <w:rPr>
          <w:b/>
          <w:bCs/>
        </w:rPr>
      </w:pPr>
      <w:r>
        <w:rPr>
          <w:b/>
          <w:bCs/>
        </w:rPr>
        <w:t>Bolivie: Taux d’analphabétisme de la population de 15 ans</w:t>
      </w:r>
      <w:r>
        <w:rPr>
          <w:b/>
          <w:bCs/>
        </w:rPr>
        <w:br/>
        <w:t>ou plus, par groupe d’âge (1992 et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84"/>
        <w:gridCol w:w="1560"/>
        <w:gridCol w:w="1482"/>
        <w:gridCol w:w="1469"/>
      </w:tblGrid>
      <w:tr w:rsidR="00000000">
        <w:tblPrEx>
          <w:tblCellMar>
            <w:top w:w="0" w:type="dxa"/>
            <w:bottom w:w="0" w:type="dxa"/>
          </w:tblCellMar>
        </w:tblPrEx>
        <w:trPr>
          <w:tblHeader/>
        </w:trPr>
        <w:tc>
          <w:tcPr>
            <w:tcW w:w="4984" w:type="dxa"/>
            <w:tcBorders>
              <w:bottom w:val="single" w:sz="4" w:space="0" w:color="auto"/>
            </w:tcBorders>
            <w:vAlign w:val="center"/>
          </w:tcPr>
          <w:p w:rsidR="00000000" w:rsidRDefault="00000000">
            <w:pPr>
              <w:spacing w:before="40" w:after="40"/>
              <w:jc w:val="center"/>
            </w:pPr>
            <w:r>
              <w:t>Population</w:t>
            </w:r>
          </w:p>
        </w:tc>
        <w:tc>
          <w:tcPr>
            <w:tcW w:w="1560" w:type="dxa"/>
            <w:vAlign w:val="center"/>
          </w:tcPr>
          <w:p w:rsidR="00000000" w:rsidRDefault="00000000">
            <w:pPr>
              <w:spacing w:before="40" w:after="40"/>
              <w:jc w:val="center"/>
            </w:pPr>
            <w:r>
              <w:t>Total</w:t>
            </w:r>
          </w:p>
        </w:tc>
        <w:tc>
          <w:tcPr>
            <w:tcW w:w="1482" w:type="dxa"/>
            <w:vAlign w:val="center"/>
          </w:tcPr>
          <w:p w:rsidR="00000000" w:rsidRDefault="00000000">
            <w:pPr>
              <w:spacing w:before="40" w:after="40"/>
              <w:jc w:val="center"/>
            </w:pPr>
            <w:r>
              <w:t>Hommes</w:t>
            </w:r>
          </w:p>
        </w:tc>
        <w:tc>
          <w:tcPr>
            <w:tcW w:w="1469" w:type="dxa"/>
            <w:vAlign w:val="center"/>
          </w:tcPr>
          <w:p w:rsidR="00000000" w:rsidRDefault="00000000">
            <w:pPr>
              <w:spacing w:before="40" w:after="40"/>
              <w:jc w:val="center"/>
            </w:pPr>
            <w:r>
              <w:t>Femmes</w:t>
            </w:r>
          </w:p>
        </w:tc>
      </w:tr>
      <w:tr w:rsidR="00000000">
        <w:tblPrEx>
          <w:tblCellMar>
            <w:top w:w="0" w:type="dxa"/>
            <w:bottom w:w="0" w:type="dxa"/>
          </w:tblCellMar>
        </w:tblPrEx>
        <w:tc>
          <w:tcPr>
            <w:tcW w:w="4984" w:type="dxa"/>
            <w:tcBorders>
              <w:bottom w:val="nil"/>
            </w:tcBorders>
          </w:tcPr>
          <w:p w:rsidR="00000000" w:rsidRDefault="00000000">
            <w:pPr>
              <w:spacing w:before="40" w:after="40"/>
              <w:rPr>
                <w:b/>
                <w:bCs/>
              </w:rPr>
            </w:pPr>
            <w:r>
              <w:rPr>
                <w:b/>
                <w:bCs/>
              </w:rPr>
              <w:t>Recensement de 1992</w:t>
            </w:r>
          </w:p>
        </w:tc>
        <w:tc>
          <w:tcPr>
            <w:tcW w:w="1560" w:type="dxa"/>
            <w:vAlign w:val="bottom"/>
          </w:tcPr>
          <w:p w:rsidR="00000000" w:rsidRDefault="00000000">
            <w:pPr>
              <w:spacing w:before="40" w:after="40"/>
              <w:jc w:val="right"/>
              <w:rPr>
                <w:b/>
                <w:bCs/>
              </w:rPr>
            </w:pPr>
            <w:r>
              <w:rPr>
                <w:b/>
                <w:bCs/>
              </w:rPr>
              <w:t>20,1 %</w:t>
            </w:r>
          </w:p>
        </w:tc>
        <w:tc>
          <w:tcPr>
            <w:tcW w:w="1482" w:type="dxa"/>
            <w:vAlign w:val="bottom"/>
          </w:tcPr>
          <w:p w:rsidR="00000000" w:rsidRDefault="00000000">
            <w:pPr>
              <w:spacing w:before="40" w:after="40"/>
              <w:jc w:val="right"/>
              <w:rPr>
                <w:b/>
                <w:bCs/>
              </w:rPr>
            </w:pPr>
            <w:r>
              <w:rPr>
                <w:b/>
                <w:bCs/>
              </w:rPr>
              <w:t>11,84 %</w:t>
            </w:r>
          </w:p>
        </w:tc>
        <w:tc>
          <w:tcPr>
            <w:tcW w:w="1469" w:type="dxa"/>
            <w:vAlign w:val="bottom"/>
          </w:tcPr>
          <w:p w:rsidR="00000000" w:rsidRDefault="00000000">
            <w:pPr>
              <w:spacing w:before="40" w:after="40"/>
              <w:jc w:val="right"/>
              <w:rPr>
                <w:b/>
                <w:bCs/>
              </w:rPr>
            </w:pPr>
            <w:r>
              <w:rPr>
                <w:b/>
                <w:bCs/>
              </w:rPr>
              <w:t>27,87 %</w:t>
            </w:r>
          </w:p>
        </w:tc>
      </w:tr>
      <w:tr w:rsidR="00000000">
        <w:tblPrEx>
          <w:tblCellMar>
            <w:top w:w="0" w:type="dxa"/>
            <w:bottom w:w="0" w:type="dxa"/>
          </w:tblCellMar>
        </w:tblPrEx>
        <w:tc>
          <w:tcPr>
            <w:tcW w:w="4984" w:type="dxa"/>
            <w:tcBorders>
              <w:top w:val="nil"/>
              <w:bottom w:val="nil"/>
            </w:tcBorders>
          </w:tcPr>
          <w:p w:rsidR="00000000" w:rsidRDefault="00000000">
            <w:pPr>
              <w:spacing w:before="40" w:after="40"/>
              <w:ind w:left="284"/>
            </w:pPr>
            <w:r>
              <w:t>Adolescents (15-18)</w:t>
            </w:r>
          </w:p>
        </w:tc>
        <w:tc>
          <w:tcPr>
            <w:tcW w:w="1560" w:type="dxa"/>
            <w:vAlign w:val="bottom"/>
          </w:tcPr>
          <w:p w:rsidR="00000000" w:rsidRDefault="00000000">
            <w:pPr>
              <w:spacing w:before="40" w:after="40"/>
              <w:jc w:val="right"/>
            </w:pPr>
            <w:r>
              <w:t>5,39 %</w:t>
            </w:r>
          </w:p>
        </w:tc>
        <w:tc>
          <w:tcPr>
            <w:tcW w:w="1482" w:type="dxa"/>
            <w:vAlign w:val="bottom"/>
          </w:tcPr>
          <w:p w:rsidR="00000000" w:rsidRDefault="00000000">
            <w:pPr>
              <w:spacing w:before="40" w:after="40"/>
              <w:jc w:val="right"/>
            </w:pPr>
            <w:r>
              <w:t>3,46 %</w:t>
            </w:r>
          </w:p>
        </w:tc>
        <w:tc>
          <w:tcPr>
            <w:tcW w:w="1469" w:type="dxa"/>
            <w:vAlign w:val="bottom"/>
          </w:tcPr>
          <w:p w:rsidR="00000000" w:rsidRDefault="00000000">
            <w:pPr>
              <w:spacing w:before="40" w:after="40"/>
              <w:jc w:val="right"/>
            </w:pPr>
            <w:r>
              <w:t>7,30 %</w:t>
            </w:r>
          </w:p>
        </w:tc>
      </w:tr>
      <w:tr w:rsidR="00000000">
        <w:tblPrEx>
          <w:tblCellMar>
            <w:top w:w="0" w:type="dxa"/>
            <w:bottom w:w="0" w:type="dxa"/>
          </w:tblCellMar>
        </w:tblPrEx>
        <w:tc>
          <w:tcPr>
            <w:tcW w:w="4984" w:type="dxa"/>
            <w:tcBorders>
              <w:top w:val="nil"/>
              <w:bottom w:val="nil"/>
            </w:tcBorders>
          </w:tcPr>
          <w:p w:rsidR="00000000" w:rsidRDefault="00000000">
            <w:pPr>
              <w:spacing w:before="40" w:after="40"/>
              <w:ind w:left="284"/>
            </w:pPr>
            <w:r>
              <w:t>Jeunes (19-25)</w:t>
            </w:r>
          </w:p>
        </w:tc>
        <w:tc>
          <w:tcPr>
            <w:tcW w:w="1560" w:type="dxa"/>
            <w:vAlign w:val="bottom"/>
          </w:tcPr>
          <w:p w:rsidR="00000000" w:rsidRDefault="00000000">
            <w:pPr>
              <w:spacing w:before="40" w:after="40"/>
              <w:jc w:val="right"/>
            </w:pPr>
            <w:r>
              <w:t>7,20 %</w:t>
            </w:r>
          </w:p>
        </w:tc>
        <w:tc>
          <w:tcPr>
            <w:tcW w:w="1482" w:type="dxa"/>
            <w:vAlign w:val="bottom"/>
          </w:tcPr>
          <w:p w:rsidR="00000000" w:rsidRDefault="00000000">
            <w:pPr>
              <w:spacing w:before="40" w:after="40"/>
              <w:jc w:val="right"/>
            </w:pPr>
            <w:r>
              <w:t>4,12 %</w:t>
            </w:r>
          </w:p>
        </w:tc>
        <w:tc>
          <w:tcPr>
            <w:tcW w:w="1469" w:type="dxa"/>
            <w:vAlign w:val="bottom"/>
          </w:tcPr>
          <w:p w:rsidR="00000000" w:rsidRDefault="00000000">
            <w:pPr>
              <w:spacing w:before="40" w:after="40"/>
              <w:jc w:val="right"/>
            </w:pPr>
            <w:r>
              <w:t>10,09 %</w:t>
            </w:r>
          </w:p>
        </w:tc>
      </w:tr>
      <w:tr w:rsidR="00000000">
        <w:tblPrEx>
          <w:tblCellMar>
            <w:top w:w="0" w:type="dxa"/>
            <w:bottom w:w="0" w:type="dxa"/>
          </w:tblCellMar>
        </w:tblPrEx>
        <w:tc>
          <w:tcPr>
            <w:tcW w:w="4984" w:type="dxa"/>
            <w:tcBorders>
              <w:top w:val="nil"/>
              <w:bottom w:val="nil"/>
            </w:tcBorders>
          </w:tcPr>
          <w:p w:rsidR="00000000" w:rsidRDefault="00000000">
            <w:pPr>
              <w:spacing w:before="40" w:after="40"/>
              <w:ind w:left="284"/>
            </w:pPr>
            <w:r>
              <w:t>Adultes (26-44)</w:t>
            </w:r>
          </w:p>
        </w:tc>
        <w:tc>
          <w:tcPr>
            <w:tcW w:w="1560" w:type="dxa"/>
            <w:vAlign w:val="bottom"/>
          </w:tcPr>
          <w:p w:rsidR="00000000" w:rsidRDefault="00000000">
            <w:pPr>
              <w:spacing w:before="40" w:after="40"/>
              <w:jc w:val="right"/>
            </w:pPr>
            <w:r>
              <w:t>15,90 %</w:t>
            </w:r>
          </w:p>
        </w:tc>
        <w:tc>
          <w:tcPr>
            <w:tcW w:w="1482" w:type="dxa"/>
            <w:vAlign w:val="bottom"/>
          </w:tcPr>
          <w:p w:rsidR="00000000" w:rsidRDefault="00000000">
            <w:pPr>
              <w:spacing w:before="40" w:after="40"/>
              <w:jc w:val="right"/>
            </w:pPr>
            <w:r>
              <w:t>7,88 %</w:t>
            </w:r>
          </w:p>
        </w:tc>
        <w:tc>
          <w:tcPr>
            <w:tcW w:w="1469" w:type="dxa"/>
            <w:vAlign w:val="bottom"/>
          </w:tcPr>
          <w:p w:rsidR="00000000" w:rsidRDefault="00000000">
            <w:pPr>
              <w:spacing w:before="40" w:after="40"/>
              <w:jc w:val="right"/>
            </w:pPr>
            <w:r>
              <w:t>23,48 %</w:t>
            </w:r>
          </w:p>
        </w:tc>
      </w:tr>
      <w:tr w:rsidR="00000000">
        <w:tblPrEx>
          <w:tblCellMar>
            <w:top w:w="0" w:type="dxa"/>
            <w:bottom w:w="0" w:type="dxa"/>
          </w:tblCellMar>
        </w:tblPrEx>
        <w:tc>
          <w:tcPr>
            <w:tcW w:w="4984" w:type="dxa"/>
            <w:tcBorders>
              <w:top w:val="nil"/>
              <w:bottom w:val="nil"/>
            </w:tcBorders>
          </w:tcPr>
          <w:p w:rsidR="00000000" w:rsidRDefault="00000000">
            <w:pPr>
              <w:spacing w:before="40" w:after="40"/>
              <w:ind w:left="284"/>
            </w:pPr>
            <w:r>
              <w:t>Adultes (45-64)</w:t>
            </w:r>
          </w:p>
        </w:tc>
        <w:tc>
          <w:tcPr>
            <w:tcW w:w="1560" w:type="dxa"/>
            <w:vAlign w:val="bottom"/>
          </w:tcPr>
          <w:p w:rsidR="00000000" w:rsidRDefault="00000000">
            <w:pPr>
              <w:spacing w:before="40" w:after="40"/>
              <w:jc w:val="right"/>
            </w:pPr>
            <w:r>
              <w:t>38,37 %</w:t>
            </w:r>
          </w:p>
        </w:tc>
        <w:tc>
          <w:tcPr>
            <w:tcW w:w="1482" w:type="dxa"/>
            <w:vAlign w:val="bottom"/>
          </w:tcPr>
          <w:p w:rsidR="00000000" w:rsidRDefault="00000000">
            <w:pPr>
              <w:spacing w:before="40" w:after="40"/>
              <w:jc w:val="right"/>
            </w:pPr>
            <w:r>
              <w:t>22,70 %</w:t>
            </w:r>
          </w:p>
        </w:tc>
        <w:tc>
          <w:tcPr>
            <w:tcW w:w="1469" w:type="dxa"/>
            <w:vAlign w:val="bottom"/>
          </w:tcPr>
          <w:p w:rsidR="00000000" w:rsidRDefault="00000000">
            <w:pPr>
              <w:spacing w:before="40" w:after="40"/>
              <w:jc w:val="right"/>
            </w:pPr>
            <w:r>
              <w:t>53,07 %</w:t>
            </w:r>
          </w:p>
        </w:tc>
      </w:tr>
      <w:tr w:rsidR="00000000">
        <w:tblPrEx>
          <w:tblCellMar>
            <w:top w:w="0" w:type="dxa"/>
            <w:bottom w:w="0" w:type="dxa"/>
          </w:tblCellMar>
        </w:tblPrEx>
        <w:tc>
          <w:tcPr>
            <w:tcW w:w="4984" w:type="dxa"/>
            <w:tcBorders>
              <w:top w:val="nil"/>
              <w:bottom w:val="single" w:sz="4" w:space="0" w:color="auto"/>
            </w:tcBorders>
          </w:tcPr>
          <w:p w:rsidR="00000000" w:rsidRDefault="00000000">
            <w:pPr>
              <w:spacing w:before="40" w:after="40"/>
              <w:ind w:left="284"/>
            </w:pPr>
            <w:r>
              <w:t>Personnes âgées (65 ans ou plus)</w:t>
            </w:r>
          </w:p>
        </w:tc>
        <w:tc>
          <w:tcPr>
            <w:tcW w:w="1560" w:type="dxa"/>
            <w:vAlign w:val="bottom"/>
          </w:tcPr>
          <w:p w:rsidR="00000000" w:rsidRDefault="00000000">
            <w:pPr>
              <w:spacing w:before="40" w:after="40"/>
              <w:jc w:val="right"/>
            </w:pPr>
            <w:r>
              <w:t>59,59 %</w:t>
            </w:r>
          </w:p>
        </w:tc>
        <w:tc>
          <w:tcPr>
            <w:tcW w:w="1482" w:type="dxa"/>
            <w:vAlign w:val="bottom"/>
          </w:tcPr>
          <w:p w:rsidR="00000000" w:rsidRDefault="00000000">
            <w:pPr>
              <w:spacing w:before="40" w:after="40"/>
              <w:jc w:val="right"/>
            </w:pPr>
            <w:r>
              <w:t>45,63 %</w:t>
            </w:r>
          </w:p>
        </w:tc>
        <w:tc>
          <w:tcPr>
            <w:tcW w:w="1469" w:type="dxa"/>
            <w:vAlign w:val="bottom"/>
          </w:tcPr>
          <w:p w:rsidR="00000000" w:rsidRDefault="00000000">
            <w:pPr>
              <w:spacing w:before="40" w:after="40"/>
              <w:jc w:val="right"/>
            </w:pPr>
            <w:r>
              <w:t>71,41 %</w:t>
            </w:r>
          </w:p>
        </w:tc>
      </w:tr>
      <w:tr w:rsidR="00000000">
        <w:tblPrEx>
          <w:tblCellMar>
            <w:top w:w="0" w:type="dxa"/>
            <w:bottom w:w="0" w:type="dxa"/>
          </w:tblCellMar>
        </w:tblPrEx>
        <w:tc>
          <w:tcPr>
            <w:tcW w:w="4984" w:type="dxa"/>
            <w:tcBorders>
              <w:bottom w:val="nil"/>
            </w:tcBorders>
          </w:tcPr>
          <w:p w:rsidR="00000000" w:rsidRDefault="00000000">
            <w:pPr>
              <w:keepNext/>
              <w:spacing w:before="40" w:after="40"/>
              <w:rPr>
                <w:b/>
                <w:bCs/>
              </w:rPr>
            </w:pPr>
            <w:r>
              <w:rPr>
                <w:b/>
                <w:bCs/>
              </w:rPr>
              <w:t>Recensement de 2001</w:t>
            </w:r>
          </w:p>
        </w:tc>
        <w:tc>
          <w:tcPr>
            <w:tcW w:w="1560" w:type="dxa"/>
            <w:vAlign w:val="bottom"/>
          </w:tcPr>
          <w:p w:rsidR="00000000" w:rsidRDefault="00000000">
            <w:pPr>
              <w:spacing w:before="40" w:after="40"/>
              <w:jc w:val="right"/>
              <w:rPr>
                <w:b/>
                <w:bCs/>
              </w:rPr>
            </w:pPr>
            <w:r>
              <w:rPr>
                <w:b/>
                <w:bCs/>
              </w:rPr>
              <w:t>13,28 %</w:t>
            </w:r>
          </w:p>
        </w:tc>
        <w:tc>
          <w:tcPr>
            <w:tcW w:w="1482" w:type="dxa"/>
            <w:vAlign w:val="bottom"/>
          </w:tcPr>
          <w:p w:rsidR="00000000" w:rsidRDefault="00000000">
            <w:pPr>
              <w:spacing w:before="40" w:after="40"/>
              <w:jc w:val="right"/>
              <w:rPr>
                <w:b/>
                <w:bCs/>
              </w:rPr>
            </w:pPr>
            <w:r>
              <w:rPr>
                <w:b/>
                <w:bCs/>
              </w:rPr>
              <w:t>6,94 %</w:t>
            </w:r>
          </w:p>
        </w:tc>
        <w:tc>
          <w:tcPr>
            <w:tcW w:w="1469" w:type="dxa"/>
            <w:vAlign w:val="bottom"/>
          </w:tcPr>
          <w:p w:rsidR="00000000" w:rsidRDefault="00000000">
            <w:pPr>
              <w:spacing w:before="40" w:after="40"/>
              <w:jc w:val="right"/>
              <w:rPr>
                <w:b/>
                <w:bCs/>
              </w:rPr>
            </w:pPr>
            <w:r>
              <w:rPr>
                <w:b/>
                <w:bCs/>
              </w:rPr>
              <w:t>19,35 %</w:t>
            </w:r>
          </w:p>
        </w:tc>
      </w:tr>
      <w:tr w:rsidR="00000000">
        <w:tblPrEx>
          <w:tblCellMar>
            <w:top w:w="0" w:type="dxa"/>
            <w:bottom w:w="0" w:type="dxa"/>
          </w:tblCellMar>
        </w:tblPrEx>
        <w:tc>
          <w:tcPr>
            <w:tcW w:w="4984" w:type="dxa"/>
            <w:tcBorders>
              <w:top w:val="nil"/>
              <w:bottom w:val="nil"/>
            </w:tcBorders>
          </w:tcPr>
          <w:p w:rsidR="00000000" w:rsidRDefault="00000000">
            <w:pPr>
              <w:spacing w:before="40" w:after="40"/>
              <w:ind w:left="284"/>
            </w:pPr>
            <w:r>
              <w:t>Adolescents (15-18)</w:t>
            </w:r>
          </w:p>
        </w:tc>
        <w:tc>
          <w:tcPr>
            <w:tcW w:w="1560" w:type="dxa"/>
            <w:vAlign w:val="bottom"/>
          </w:tcPr>
          <w:p w:rsidR="00000000" w:rsidRDefault="00000000">
            <w:pPr>
              <w:spacing w:before="40" w:after="40"/>
              <w:jc w:val="right"/>
            </w:pPr>
            <w:r>
              <w:t>2,00 %</w:t>
            </w:r>
          </w:p>
        </w:tc>
        <w:tc>
          <w:tcPr>
            <w:tcW w:w="1482" w:type="dxa"/>
            <w:vAlign w:val="bottom"/>
          </w:tcPr>
          <w:p w:rsidR="00000000" w:rsidRDefault="00000000">
            <w:pPr>
              <w:spacing w:before="40" w:after="40"/>
              <w:jc w:val="right"/>
            </w:pPr>
            <w:r>
              <w:t>1,23 %</w:t>
            </w:r>
          </w:p>
        </w:tc>
        <w:tc>
          <w:tcPr>
            <w:tcW w:w="1469" w:type="dxa"/>
            <w:vAlign w:val="bottom"/>
          </w:tcPr>
          <w:p w:rsidR="00000000" w:rsidRDefault="00000000">
            <w:pPr>
              <w:spacing w:before="40" w:after="40"/>
              <w:jc w:val="right"/>
            </w:pPr>
            <w:r>
              <w:t>2,79 %</w:t>
            </w:r>
          </w:p>
        </w:tc>
      </w:tr>
      <w:tr w:rsidR="00000000">
        <w:tblPrEx>
          <w:tblCellMar>
            <w:top w:w="0" w:type="dxa"/>
            <w:bottom w:w="0" w:type="dxa"/>
          </w:tblCellMar>
        </w:tblPrEx>
        <w:tc>
          <w:tcPr>
            <w:tcW w:w="4984" w:type="dxa"/>
            <w:tcBorders>
              <w:top w:val="nil"/>
              <w:bottom w:val="nil"/>
            </w:tcBorders>
          </w:tcPr>
          <w:p w:rsidR="00000000" w:rsidRDefault="00000000">
            <w:pPr>
              <w:spacing w:before="40" w:after="40"/>
              <w:ind w:left="284"/>
            </w:pPr>
            <w:r>
              <w:t>Jeunes (19-25)</w:t>
            </w:r>
          </w:p>
        </w:tc>
        <w:tc>
          <w:tcPr>
            <w:tcW w:w="1560" w:type="dxa"/>
            <w:vAlign w:val="bottom"/>
          </w:tcPr>
          <w:p w:rsidR="00000000" w:rsidRDefault="00000000">
            <w:pPr>
              <w:spacing w:before="40" w:after="40"/>
              <w:jc w:val="right"/>
            </w:pPr>
            <w:r>
              <w:t>3,42 %</w:t>
            </w:r>
          </w:p>
        </w:tc>
        <w:tc>
          <w:tcPr>
            <w:tcW w:w="1482" w:type="dxa"/>
            <w:vAlign w:val="bottom"/>
          </w:tcPr>
          <w:p w:rsidR="00000000" w:rsidRDefault="00000000">
            <w:pPr>
              <w:spacing w:before="40" w:after="40"/>
              <w:jc w:val="right"/>
            </w:pPr>
            <w:r>
              <w:t>1,75 %</w:t>
            </w:r>
          </w:p>
        </w:tc>
        <w:tc>
          <w:tcPr>
            <w:tcW w:w="1469" w:type="dxa"/>
            <w:vAlign w:val="bottom"/>
          </w:tcPr>
          <w:p w:rsidR="00000000" w:rsidRDefault="00000000">
            <w:pPr>
              <w:spacing w:before="40" w:after="40"/>
              <w:jc w:val="right"/>
            </w:pPr>
            <w:r>
              <w:t>5,03 %</w:t>
            </w:r>
          </w:p>
        </w:tc>
      </w:tr>
      <w:tr w:rsidR="00000000">
        <w:tblPrEx>
          <w:tblCellMar>
            <w:top w:w="0" w:type="dxa"/>
            <w:bottom w:w="0" w:type="dxa"/>
          </w:tblCellMar>
        </w:tblPrEx>
        <w:tc>
          <w:tcPr>
            <w:tcW w:w="4984" w:type="dxa"/>
            <w:tcBorders>
              <w:top w:val="nil"/>
              <w:bottom w:val="nil"/>
            </w:tcBorders>
          </w:tcPr>
          <w:p w:rsidR="00000000" w:rsidRDefault="00000000">
            <w:pPr>
              <w:spacing w:before="40" w:after="40"/>
              <w:ind w:left="284"/>
            </w:pPr>
            <w:r>
              <w:t>Adultes (26-44)</w:t>
            </w:r>
          </w:p>
        </w:tc>
        <w:tc>
          <w:tcPr>
            <w:tcW w:w="1560" w:type="dxa"/>
            <w:vAlign w:val="bottom"/>
          </w:tcPr>
          <w:p w:rsidR="00000000" w:rsidRDefault="00000000">
            <w:pPr>
              <w:spacing w:before="40" w:after="40"/>
              <w:jc w:val="right"/>
            </w:pPr>
            <w:r>
              <w:t>8,29 %</w:t>
            </w:r>
          </w:p>
        </w:tc>
        <w:tc>
          <w:tcPr>
            <w:tcW w:w="1482" w:type="dxa"/>
            <w:vAlign w:val="bottom"/>
          </w:tcPr>
          <w:p w:rsidR="00000000" w:rsidRDefault="00000000">
            <w:pPr>
              <w:spacing w:before="40" w:after="40"/>
              <w:jc w:val="right"/>
            </w:pPr>
            <w:r>
              <w:t>3,57 %</w:t>
            </w:r>
          </w:p>
        </w:tc>
        <w:tc>
          <w:tcPr>
            <w:tcW w:w="1469" w:type="dxa"/>
            <w:vAlign w:val="bottom"/>
          </w:tcPr>
          <w:p w:rsidR="00000000" w:rsidRDefault="00000000">
            <w:pPr>
              <w:spacing w:before="40" w:after="40"/>
              <w:jc w:val="right"/>
            </w:pPr>
            <w:r>
              <w:t>12,79 %</w:t>
            </w:r>
          </w:p>
        </w:tc>
      </w:tr>
      <w:tr w:rsidR="00000000">
        <w:tblPrEx>
          <w:tblCellMar>
            <w:top w:w="0" w:type="dxa"/>
            <w:bottom w:w="0" w:type="dxa"/>
          </w:tblCellMar>
        </w:tblPrEx>
        <w:tc>
          <w:tcPr>
            <w:tcW w:w="4984" w:type="dxa"/>
            <w:tcBorders>
              <w:top w:val="nil"/>
              <w:bottom w:val="nil"/>
            </w:tcBorders>
          </w:tcPr>
          <w:p w:rsidR="00000000" w:rsidRDefault="00000000">
            <w:pPr>
              <w:spacing w:before="40" w:after="40"/>
              <w:ind w:left="284"/>
            </w:pPr>
            <w:r>
              <w:t>Adultes (45-64)</w:t>
            </w:r>
          </w:p>
        </w:tc>
        <w:tc>
          <w:tcPr>
            <w:tcW w:w="1560" w:type="dxa"/>
            <w:vAlign w:val="bottom"/>
          </w:tcPr>
          <w:p w:rsidR="00000000" w:rsidRDefault="00000000">
            <w:pPr>
              <w:spacing w:before="40" w:after="40"/>
              <w:jc w:val="right"/>
            </w:pPr>
            <w:r>
              <w:t>25,56 %</w:t>
            </w:r>
          </w:p>
        </w:tc>
        <w:tc>
          <w:tcPr>
            <w:tcW w:w="1482" w:type="dxa"/>
            <w:vAlign w:val="bottom"/>
          </w:tcPr>
          <w:p w:rsidR="00000000" w:rsidRDefault="00000000">
            <w:pPr>
              <w:spacing w:before="40" w:after="40"/>
              <w:jc w:val="right"/>
            </w:pPr>
            <w:r>
              <w:t>12,61 %</w:t>
            </w:r>
          </w:p>
        </w:tc>
        <w:tc>
          <w:tcPr>
            <w:tcW w:w="1469" w:type="dxa"/>
            <w:vAlign w:val="bottom"/>
          </w:tcPr>
          <w:p w:rsidR="00000000" w:rsidRDefault="00000000">
            <w:pPr>
              <w:spacing w:before="40" w:after="40"/>
              <w:jc w:val="right"/>
            </w:pPr>
            <w:r>
              <w:t>38,27 %</w:t>
            </w:r>
          </w:p>
        </w:tc>
      </w:tr>
      <w:tr w:rsidR="00000000">
        <w:tblPrEx>
          <w:tblCellMar>
            <w:top w:w="0" w:type="dxa"/>
            <w:bottom w:w="0" w:type="dxa"/>
          </w:tblCellMar>
        </w:tblPrEx>
        <w:tc>
          <w:tcPr>
            <w:tcW w:w="4984" w:type="dxa"/>
            <w:tcBorders>
              <w:top w:val="nil"/>
            </w:tcBorders>
          </w:tcPr>
          <w:p w:rsidR="00000000" w:rsidRDefault="00000000">
            <w:pPr>
              <w:spacing w:before="40" w:after="40"/>
              <w:ind w:left="284"/>
            </w:pPr>
            <w:r>
              <w:t>Personnes âgées (65 ans ou plus)</w:t>
            </w:r>
          </w:p>
        </w:tc>
        <w:tc>
          <w:tcPr>
            <w:tcW w:w="1560" w:type="dxa"/>
            <w:vAlign w:val="bottom"/>
          </w:tcPr>
          <w:p w:rsidR="00000000" w:rsidRDefault="00000000">
            <w:pPr>
              <w:spacing w:before="40" w:after="40"/>
              <w:jc w:val="right"/>
            </w:pPr>
            <w:r>
              <w:t>51,92 %</w:t>
            </w:r>
          </w:p>
        </w:tc>
        <w:tc>
          <w:tcPr>
            <w:tcW w:w="1482" w:type="dxa"/>
            <w:vAlign w:val="bottom"/>
          </w:tcPr>
          <w:p w:rsidR="00000000" w:rsidRDefault="00000000">
            <w:pPr>
              <w:spacing w:before="40" w:after="40"/>
              <w:jc w:val="right"/>
            </w:pPr>
            <w:r>
              <w:t>34,49 %</w:t>
            </w:r>
          </w:p>
        </w:tc>
        <w:tc>
          <w:tcPr>
            <w:tcW w:w="1469" w:type="dxa"/>
            <w:vAlign w:val="bottom"/>
          </w:tcPr>
          <w:p w:rsidR="00000000" w:rsidRDefault="00000000">
            <w:pPr>
              <w:spacing w:before="40" w:after="40"/>
              <w:jc w:val="right"/>
            </w:pPr>
            <w:r>
              <w:t>66,26 %</w:t>
            </w:r>
          </w:p>
        </w:tc>
      </w:tr>
    </w:tbl>
    <w:p w:rsidR="00000000" w:rsidRDefault="00000000">
      <w:pPr>
        <w:spacing w:before="240" w:after="360"/>
        <w:ind w:firstLine="567"/>
      </w:pPr>
      <w:r>
        <w:rPr>
          <w:i/>
          <w:iCs/>
        </w:rPr>
        <w:t>Source</w:t>
      </w:r>
      <w:r>
        <w:t>: INE.</w:t>
      </w:r>
    </w:p>
    <w:p w:rsidR="00000000" w:rsidRDefault="00000000">
      <w:pPr>
        <w:spacing w:after="240"/>
      </w:pPr>
      <w:r>
        <w:t>225.</w:t>
      </w:r>
      <w:r>
        <w:tab/>
        <w:t>L’inégalité entre les sexes dans l’éducation apparaît plus nettement dans les taux d’analphabétisme (tableau 10). Le dernier recensement révèle que 19,35 % des femmes ne savent ni lire ni écrire, contre 6,94 % des hommes, cette inégalité étant présente dans toutes les classes d’âge. On a enregistré de grands progrès depuis vingt-cinq ans, mais la présence de l’analphabétisme chez les jeunes est préoccupante. Cet analphabétisme reflète les difficultés rencontrées pour que les enfants accèdent à l’école et y restent. C’est pourquoi, et comme on l’a mentionné précédemment, on a élaboré il y a quelques années le Programme accès et maintien à l’école pour les filles des zones rurales (voir résumé en annexe).</w:t>
      </w:r>
    </w:p>
    <w:p w:rsidR="00000000" w:rsidRDefault="00000000">
      <w:pPr>
        <w:keepNext/>
        <w:spacing w:after="240"/>
        <w:ind w:left="567"/>
        <w:rPr>
          <w:b/>
          <w:bCs/>
        </w:rPr>
      </w:pPr>
      <w:r>
        <w:rPr>
          <w:b/>
          <w:bCs/>
        </w:rPr>
        <w:t>b)</w:t>
      </w:r>
      <w:r>
        <w:rPr>
          <w:b/>
          <w:bCs/>
        </w:rPr>
        <w:tab/>
        <w:t>Éducation spéciale</w:t>
      </w:r>
    </w:p>
    <w:p w:rsidR="00000000" w:rsidRDefault="00000000">
      <w:pPr>
        <w:spacing w:after="240"/>
      </w:pPr>
      <w:r>
        <w:t>226.</w:t>
      </w:r>
      <w:r>
        <w:tab/>
        <w:t>L’éducation spéciale, qui fait partie de l’éducation alternative, vise à compléter la formation et à donner accès à l’éducation aux personnes qui, à cause d’un état physique ou mental exceptionnel, n’auraient pas commencé ou terminé leurs études dans une scolarité normale</w:t>
      </w:r>
      <w:r>
        <w:rPr>
          <w:rStyle w:val="FootnoteReference"/>
        </w:rPr>
        <w:footnoteReference w:id="20"/>
      </w:r>
      <w:r>
        <w:t>. Les enfants qui ont des besoins particuliers doivent disposer de certains services et/ou d’un soutien pédagogique; il existe dans ce domaine un ensemble de ressources permettant d’atteindre cet objectif.</w:t>
      </w:r>
    </w:p>
    <w:p w:rsidR="00000000" w:rsidRDefault="00000000">
      <w:pPr>
        <w:spacing w:after="240"/>
      </w:pPr>
      <w:r>
        <w:t>227.</w:t>
      </w:r>
      <w:r>
        <w:tab/>
        <w:t>Dans l’année 2002, 6 891 enfants ont été accueillis dans les différents centres d’éducation spéciale de l’ensemble du pays, 48,3 % de filles et 51,7 % de garçons (tableau 11). Plus des deux tiers d’entre eux présentaient des difficultés d’apprentissage (38,3 %) ou une incapacité mentale (30,6 %). Par ailleurs, près des deux tiers du total étaient à Santa Cruz (44,3 %) et à Cochabamba (21,3 %).</w:t>
      </w:r>
    </w:p>
    <w:p w:rsidR="00000000" w:rsidRDefault="00000000">
      <w:pPr>
        <w:spacing w:after="240"/>
        <w:jc w:val="center"/>
        <w:rPr>
          <w:b/>
          <w:bCs/>
        </w:rPr>
      </w:pPr>
      <w:r>
        <w:rPr>
          <w:b/>
          <w:bCs/>
        </w:rPr>
        <w:br w:type="page"/>
        <w:t>Tableau 11</w:t>
      </w:r>
    </w:p>
    <w:p w:rsidR="00000000" w:rsidRDefault="00000000">
      <w:pPr>
        <w:spacing w:after="240"/>
        <w:jc w:val="center"/>
        <w:rPr>
          <w:b/>
          <w:bCs/>
        </w:rPr>
      </w:pPr>
      <w:r>
        <w:rPr>
          <w:b/>
          <w:bCs/>
        </w:rPr>
        <w:t>Bolivie: Population accueillie dans l’éducation spéciale, par catégorie</w:t>
      </w:r>
      <w:r>
        <w:rPr>
          <w:b/>
          <w:bCs/>
          <w:vertAlign w:val="superscript"/>
        </w:rPr>
        <w:t>*</w:t>
      </w:r>
      <w:r>
        <w:rPr>
          <w:b/>
          <w:bCs/>
        </w:rPr>
        <w:t xml:space="preserve">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40"/>
        <w:gridCol w:w="1456"/>
        <w:gridCol w:w="1455"/>
        <w:gridCol w:w="1344"/>
        <w:gridCol w:w="1600"/>
      </w:tblGrid>
      <w:tr w:rsidR="00000000">
        <w:tblPrEx>
          <w:tblCellMar>
            <w:top w:w="0" w:type="dxa"/>
            <w:bottom w:w="0" w:type="dxa"/>
          </w:tblCellMar>
        </w:tblPrEx>
        <w:trPr>
          <w:cantSplit/>
          <w:tblHeader/>
        </w:trPr>
        <w:tc>
          <w:tcPr>
            <w:tcW w:w="3640" w:type="dxa"/>
            <w:vAlign w:val="center"/>
          </w:tcPr>
          <w:p w:rsidR="00000000" w:rsidRDefault="00000000">
            <w:pPr>
              <w:keepNext/>
              <w:spacing w:before="60" w:after="60"/>
              <w:jc w:val="center"/>
            </w:pPr>
            <w:r>
              <w:t>Catégorie</w:t>
            </w:r>
          </w:p>
        </w:tc>
        <w:tc>
          <w:tcPr>
            <w:tcW w:w="1456" w:type="dxa"/>
            <w:vAlign w:val="center"/>
          </w:tcPr>
          <w:p w:rsidR="00000000" w:rsidRDefault="00000000">
            <w:pPr>
              <w:spacing w:before="60" w:after="60"/>
              <w:jc w:val="center"/>
            </w:pPr>
            <w:r>
              <w:t>Filles</w:t>
            </w:r>
          </w:p>
        </w:tc>
        <w:tc>
          <w:tcPr>
            <w:tcW w:w="1455" w:type="dxa"/>
            <w:vAlign w:val="center"/>
          </w:tcPr>
          <w:p w:rsidR="00000000" w:rsidRDefault="00000000">
            <w:pPr>
              <w:spacing w:before="60" w:after="60"/>
              <w:jc w:val="center"/>
            </w:pPr>
            <w:r>
              <w:t>Garçons</w:t>
            </w:r>
          </w:p>
        </w:tc>
        <w:tc>
          <w:tcPr>
            <w:tcW w:w="1344" w:type="dxa"/>
            <w:vAlign w:val="center"/>
          </w:tcPr>
          <w:p w:rsidR="00000000" w:rsidRDefault="00000000">
            <w:pPr>
              <w:spacing w:before="60" w:after="60"/>
              <w:jc w:val="center"/>
            </w:pPr>
            <w:r>
              <w:t>Total</w:t>
            </w:r>
          </w:p>
        </w:tc>
        <w:tc>
          <w:tcPr>
            <w:tcW w:w="1600" w:type="dxa"/>
            <w:vAlign w:val="center"/>
          </w:tcPr>
          <w:p w:rsidR="00000000" w:rsidRDefault="00000000">
            <w:pPr>
              <w:spacing w:before="60" w:after="60"/>
              <w:jc w:val="center"/>
            </w:pPr>
            <w:r>
              <w:t>Pourcentage</w:t>
            </w:r>
          </w:p>
        </w:tc>
      </w:tr>
      <w:tr w:rsidR="00000000">
        <w:tblPrEx>
          <w:tblCellMar>
            <w:top w:w="0" w:type="dxa"/>
            <w:bottom w:w="0" w:type="dxa"/>
          </w:tblCellMar>
        </w:tblPrEx>
        <w:tc>
          <w:tcPr>
            <w:tcW w:w="3640" w:type="dxa"/>
          </w:tcPr>
          <w:p w:rsidR="00000000" w:rsidRDefault="00000000">
            <w:pPr>
              <w:spacing w:before="60" w:after="60"/>
            </w:pPr>
            <w:r>
              <w:t>Difficultés d’apprentissage</w:t>
            </w:r>
          </w:p>
        </w:tc>
        <w:tc>
          <w:tcPr>
            <w:tcW w:w="1456" w:type="dxa"/>
            <w:vAlign w:val="bottom"/>
          </w:tcPr>
          <w:p w:rsidR="00000000" w:rsidRDefault="00000000">
            <w:pPr>
              <w:spacing w:before="60" w:after="60"/>
              <w:jc w:val="right"/>
            </w:pPr>
            <w:r>
              <w:t>1 237</w:t>
            </w:r>
          </w:p>
        </w:tc>
        <w:tc>
          <w:tcPr>
            <w:tcW w:w="1455" w:type="dxa"/>
            <w:vAlign w:val="bottom"/>
          </w:tcPr>
          <w:p w:rsidR="00000000" w:rsidRDefault="00000000">
            <w:pPr>
              <w:spacing w:before="60" w:after="60"/>
              <w:jc w:val="right"/>
            </w:pPr>
            <w:r>
              <w:t>1 399</w:t>
            </w:r>
          </w:p>
        </w:tc>
        <w:tc>
          <w:tcPr>
            <w:tcW w:w="1344" w:type="dxa"/>
            <w:vAlign w:val="bottom"/>
          </w:tcPr>
          <w:p w:rsidR="00000000" w:rsidRDefault="00000000">
            <w:pPr>
              <w:spacing w:before="60" w:after="60"/>
              <w:jc w:val="right"/>
              <w:rPr>
                <w:b/>
                <w:bCs/>
              </w:rPr>
            </w:pPr>
            <w:r>
              <w:rPr>
                <w:b/>
                <w:bCs/>
              </w:rPr>
              <w:t>2 636</w:t>
            </w:r>
          </w:p>
        </w:tc>
        <w:tc>
          <w:tcPr>
            <w:tcW w:w="1600" w:type="dxa"/>
            <w:vAlign w:val="bottom"/>
          </w:tcPr>
          <w:p w:rsidR="00000000" w:rsidRDefault="00000000">
            <w:pPr>
              <w:spacing w:before="60" w:after="60"/>
              <w:jc w:val="right"/>
            </w:pPr>
            <w:r>
              <w:t>38,3 %</w:t>
            </w:r>
          </w:p>
        </w:tc>
      </w:tr>
      <w:tr w:rsidR="00000000">
        <w:tblPrEx>
          <w:tblCellMar>
            <w:top w:w="0" w:type="dxa"/>
            <w:bottom w:w="0" w:type="dxa"/>
          </w:tblCellMar>
        </w:tblPrEx>
        <w:tc>
          <w:tcPr>
            <w:tcW w:w="3640" w:type="dxa"/>
          </w:tcPr>
          <w:p w:rsidR="00000000" w:rsidRDefault="00000000">
            <w:pPr>
              <w:spacing w:before="60" w:after="60"/>
            </w:pPr>
            <w:r>
              <w:t>Incapacité auditive</w:t>
            </w:r>
          </w:p>
        </w:tc>
        <w:tc>
          <w:tcPr>
            <w:tcW w:w="1456" w:type="dxa"/>
            <w:vAlign w:val="bottom"/>
          </w:tcPr>
          <w:p w:rsidR="00000000" w:rsidRDefault="00000000">
            <w:pPr>
              <w:spacing w:before="60" w:after="60"/>
              <w:jc w:val="right"/>
            </w:pPr>
            <w:r>
              <w:t>552</w:t>
            </w:r>
          </w:p>
        </w:tc>
        <w:tc>
          <w:tcPr>
            <w:tcW w:w="1455" w:type="dxa"/>
            <w:vAlign w:val="bottom"/>
          </w:tcPr>
          <w:p w:rsidR="00000000" w:rsidRDefault="00000000">
            <w:pPr>
              <w:spacing w:before="60" w:after="60"/>
              <w:jc w:val="right"/>
            </w:pPr>
            <w:r>
              <w:t>562</w:t>
            </w:r>
          </w:p>
        </w:tc>
        <w:tc>
          <w:tcPr>
            <w:tcW w:w="1344" w:type="dxa"/>
            <w:vAlign w:val="bottom"/>
          </w:tcPr>
          <w:p w:rsidR="00000000" w:rsidRDefault="00000000">
            <w:pPr>
              <w:spacing w:before="60" w:after="60"/>
              <w:jc w:val="right"/>
              <w:rPr>
                <w:b/>
                <w:bCs/>
              </w:rPr>
            </w:pPr>
            <w:r>
              <w:rPr>
                <w:b/>
                <w:bCs/>
              </w:rPr>
              <w:t>1 114</w:t>
            </w:r>
          </w:p>
        </w:tc>
        <w:tc>
          <w:tcPr>
            <w:tcW w:w="1600" w:type="dxa"/>
            <w:vAlign w:val="bottom"/>
          </w:tcPr>
          <w:p w:rsidR="00000000" w:rsidRDefault="00000000">
            <w:pPr>
              <w:spacing w:before="60" w:after="60"/>
              <w:jc w:val="right"/>
            </w:pPr>
            <w:r>
              <w:t>16,2 %</w:t>
            </w:r>
          </w:p>
        </w:tc>
      </w:tr>
      <w:tr w:rsidR="00000000">
        <w:tblPrEx>
          <w:tblCellMar>
            <w:top w:w="0" w:type="dxa"/>
            <w:bottom w:w="0" w:type="dxa"/>
          </w:tblCellMar>
        </w:tblPrEx>
        <w:tc>
          <w:tcPr>
            <w:tcW w:w="3640" w:type="dxa"/>
          </w:tcPr>
          <w:p w:rsidR="00000000" w:rsidRDefault="00000000">
            <w:pPr>
              <w:spacing w:before="60" w:after="60"/>
            </w:pPr>
            <w:r>
              <w:t>Incapacité visuelle</w:t>
            </w:r>
          </w:p>
        </w:tc>
        <w:tc>
          <w:tcPr>
            <w:tcW w:w="1456" w:type="dxa"/>
            <w:vAlign w:val="bottom"/>
          </w:tcPr>
          <w:p w:rsidR="00000000" w:rsidRDefault="00000000">
            <w:pPr>
              <w:spacing w:before="60" w:after="60"/>
              <w:jc w:val="right"/>
            </w:pPr>
            <w:r>
              <w:t>218</w:t>
            </w:r>
          </w:p>
        </w:tc>
        <w:tc>
          <w:tcPr>
            <w:tcW w:w="1455" w:type="dxa"/>
            <w:vAlign w:val="bottom"/>
          </w:tcPr>
          <w:p w:rsidR="00000000" w:rsidRDefault="00000000">
            <w:pPr>
              <w:spacing w:before="60" w:after="60"/>
              <w:jc w:val="right"/>
            </w:pPr>
            <w:r>
              <w:t>257</w:t>
            </w:r>
          </w:p>
        </w:tc>
        <w:tc>
          <w:tcPr>
            <w:tcW w:w="1344" w:type="dxa"/>
            <w:vAlign w:val="bottom"/>
          </w:tcPr>
          <w:p w:rsidR="00000000" w:rsidRDefault="00000000">
            <w:pPr>
              <w:spacing w:before="60" w:after="60"/>
              <w:jc w:val="right"/>
              <w:rPr>
                <w:b/>
                <w:bCs/>
              </w:rPr>
            </w:pPr>
            <w:r>
              <w:rPr>
                <w:b/>
                <w:bCs/>
              </w:rPr>
              <w:t>475</w:t>
            </w:r>
          </w:p>
        </w:tc>
        <w:tc>
          <w:tcPr>
            <w:tcW w:w="1600" w:type="dxa"/>
            <w:vAlign w:val="bottom"/>
          </w:tcPr>
          <w:p w:rsidR="00000000" w:rsidRDefault="00000000">
            <w:pPr>
              <w:spacing w:before="60" w:after="60"/>
              <w:jc w:val="right"/>
            </w:pPr>
            <w:r>
              <w:t>6,9 %</w:t>
            </w:r>
          </w:p>
        </w:tc>
      </w:tr>
      <w:tr w:rsidR="00000000">
        <w:tblPrEx>
          <w:tblCellMar>
            <w:top w:w="0" w:type="dxa"/>
            <w:bottom w:w="0" w:type="dxa"/>
          </w:tblCellMar>
        </w:tblPrEx>
        <w:tc>
          <w:tcPr>
            <w:tcW w:w="3640" w:type="dxa"/>
          </w:tcPr>
          <w:p w:rsidR="00000000" w:rsidRDefault="00000000">
            <w:pPr>
              <w:spacing w:before="60" w:after="60"/>
            </w:pPr>
            <w:r>
              <w:t>Incapacité mentale</w:t>
            </w:r>
          </w:p>
        </w:tc>
        <w:tc>
          <w:tcPr>
            <w:tcW w:w="1456" w:type="dxa"/>
            <w:vAlign w:val="bottom"/>
          </w:tcPr>
          <w:p w:rsidR="00000000" w:rsidRDefault="00000000">
            <w:pPr>
              <w:spacing w:before="60" w:after="60"/>
              <w:jc w:val="right"/>
            </w:pPr>
            <w:r>
              <w:t>1 044</w:t>
            </w:r>
          </w:p>
        </w:tc>
        <w:tc>
          <w:tcPr>
            <w:tcW w:w="1455" w:type="dxa"/>
            <w:vAlign w:val="bottom"/>
          </w:tcPr>
          <w:p w:rsidR="00000000" w:rsidRDefault="00000000">
            <w:pPr>
              <w:spacing w:before="60" w:after="60"/>
              <w:jc w:val="right"/>
            </w:pPr>
            <w:r>
              <w:t>1 067</w:t>
            </w:r>
          </w:p>
        </w:tc>
        <w:tc>
          <w:tcPr>
            <w:tcW w:w="1344" w:type="dxa"/>
            <w:vAlign w:val="bottom"/>
          </w:tcPr>
          <w:p w:rsidR="00000000" w:rsidRDefault="00000000">
            <w:pPr>
              <w:spacing w:before="60" w:after="60"/>
              <w:jc w:val="right"/>
              <w:rPr>
                <w:b/>
                <w:bCs/>
              </w:rPr>
            </w:pPr>
            <w:r>
              <w:rPr>
                <w:b/>
                <w:bCs/>
              </w:rPr>
              <w:t>2 111</w:t>
            </w:r>
          </w:p>
        </w:tc>
        <w:tc>
          <w:tcPr>
            <w:tcW w:w="1600" w:type="dxa"/>
            <w:vAlign w:val="bottom"/>
          </w:tcPr>
          <w:p w:rsidR="00000000" w:rsidRDefault="00000000">
            <w:pPr>
              <w:spacing w:before="60" w:after="60"/>
              <w:jc w:val="right"/>
            </w:pPr>
            <w:r>
              <w:t>30,6 %</w:t>
            </w:r>
          </w:p>
        </w:tc>
      </w:tr>
      <w:tr w:rsidR="00000000">
        <w:tblPrEx>
          <w:tblCellMar>
            <w:top w:w="0" w:type="dxa"/>
            <w:bottom w:w="0" w:type="dxa"/>
          </w:tblCellMar>
        </w:tblPrEx>
        <w:tc>
          <w:tcPr>
            <w:tcW w:w="3640" w:type="dxa"/>
          </w:tcPr>
          <w:p w:rsidR="00000000" w:rsidRDefault="00000000">
            <w:pPr>
              <w:spacing w:before="60" w:after="60"/>
            </w:pPr>
            <w:r>
              <w:t>Incapacité physique</w:t>
            </w:r>
          </w:p>
        </w:tc>
        <w:tc>
          <w:tcPr>
            <w:tcW w:w="1456" w:type="dxa"/>
            <w:vAlign w:val="bottom"/>
          </w:tcPr>
          <w:p w:rsidR="00000000" w:rsidRDefault="00000000">
            <w:pPr>
              <w:spacing w:before="60" w:after="60"/>
              <w:jc w:val="right"/>
            </w:pPr>
            <w:r>
              <w:t>201</w:t>
            </w:r>
          </w:p>
        </w:tc>
        <w:tc>
          <w:tcPr>
            <w:tcW w:w="1455" w:type="dxa"/>
            <w:vAlign w:val="bottom"/>
          </w:tcPr>
          <w:p w:rsidR="00000000" w:rsidRDefault="00000000">
            <w:pPr>
              <w:spacing w:before="60" w:after="60"/>
              <w:jc w:val="right"/>
            </w:pPr>
            <w:r>
              <w:t>197</w:t>
            </w:r>
          </w:p>
        </w:tc>
        <w:tc>
          <w:tcPr>
            <w:tcW w:w="1344" w:type="dxa"/>
            <w:vAlign w:val="bottom"/>
          </w:tcPr>
          <w:p w:rsidR="00000000" w:rsidRDefault="00000000">
            <w:pPr>
              <w:spacing w:before="60" w:after="60"/>
              <w:jc w:val="right"/>
              <w:rPr>
                <w:b/>
                <w:bCs/>
              </w:rPr>
            </w:pPr>
            <w:r>
              <w:rPr>
                <w:b/>
                <w:bCs/>
              </w:rPr>
              <w:t>398</w:t>
            </w:r>
          </w:p>
        </w:tc>
        <w:tc>
          <w:tcPr>
            <w:tcW w:w="1600" w:type="dxa"/>
            <w:vAlign w:val="bottom"/>
          </w:tcPr>
          <w:p w:rsidR="00000000" w:rsidRDefault="00000000">
            <w:pPr>
              <w:spacing w:before="60" w:after="60"/>
              <w:jc w:val="right"/>
            </w:pPr>
            <w:r>
              <w:t>5,8 %</w:t>
            </w:r>
          </w:p>
        </w:tc>
      </w:tr>
      <w:tr w:rsidR="00000000">
        <w:tblPrEx>
          <w:tblCellMar>
            <w:top w:w="0" w:type="dxa"/>
            <w:bottom w:w="0" w:type="dxa"/>
          </w:tblCellMar>
        </w:tblPrEx>
        <w:tc>
          <w:tcPr>
            <w:tcW w:w="3640" w:type="dxa"/>
          </w:tcPr>
          <w:p w:rsidR="00000000" w:rsidRDefault="00000000">
            <w:pPr>
              <w:spacing w:before="60" w:after="60"/>
            </w:pPr>
            <w:r>
              <w:t>Incapacité multiple</w:t>
            </w:r>
          </w:p>
        </w:tc>
        <w:tc>
          <w:tcPr>
            <w:tcW w:w="1456" w:type="dxa"/>
            <w:vAlign w:val="bottom"/>
          </w:tcPr>
          <w:p w:rsidR="00000000" w:rsidRDefault="00000000">
            <w:pPr>
              <w:spacing w:before="60" w:after="60"/>
              <w:jc w:val="right"/>
            </w:pPr>
            <w:r>
              <w:t>73</w:t>
            </w:r>
          </w:p>
        </w:tc>
        <w:tc>
          <w:tcPr>
            <w:tcW w:w="1455" w:type="dxa"/>
            <w:vAlign w:val="bottom"/>
          </w:tcPr>
          <w:p w:rsidR="00000000" w:rsidRDefault="00000000">
            <w:pPr>
              <w:spacing w:before="60" w:after="60"/>
              <w:jc w:val="right"/>
            </w:pPr>
            <w:r>
              <w:t>81</w:t>
            </w:r>
          </w:p>
        </w:tc>
        <w:tc>
          <w:tcPr>
            <w:tcW w:w="1344" w:type="dxa"/>
            <w:vAlign w:val="bottom"/>
          </w:tcPr>
          <w:p w:rsidR="00000000" w:rsidRDefault="00000000">
            <w:pPr>
              <w:spacing w:before="60" w:after="60"/>
              <w:jc w:val="right"/>
              <w:rPr>
                <w:b/>
                <w:bCs/>
              </w:rPr>
            </w:pPr>
            <w:r>
              <w:rPr>
                <w:b/>
                <w:bCs/>
              </w:rPr>
              <w:t>154</w:t>
            </w:r>
          </w:p>
        </w:tc>
        <w:tc>
          <w:tcPr>
            <w:tcW w:w="1600" w:type="dxa"/>
            <w:vAlign w:val="bottom"/>
          </w:tcPr>
          <w:p w:rsidR="00000000" w:rsidRDefault="00000000">
            <w:pPr>
              <w:spacing w:before="60" w:after="60"/>
              <w:jc w:val="right"/>
            </w:pPr>
            <w:r>
              <w:t>2,2 %</w:t>
            </w:r>
          </w:p>
        </w:tc>
      </w:tr>
      <w:tr w:rsidR="00000000">
        <w:tblPrEx>
          <w:tblCellMar>
            <w:top w:w="0" w:type="dxa"/>
            <w:bottom w:w="0" w:type="dxa"/>
          </w:tblCellMar>
        </w:tblPrEx>
        <w:tc>
          <w:tcPr>
            <w:tcW w:w="3640" w:type="dxa"/>
          </w:tcPr>
          <w:p w:rsidR="00000000" w:rsidRDefault="00000000">
            <w:pPr>
              <w:spacing w:before="60" w:after="60"/>
            </w:pPr>
            <w:r>
              <w:t>Enfants surdoués</w:t>
            </w:r>
          </w:p>
        </w:tc>
        <w:tc>
          <w:tcPr>
            <w:tcW w:w="1456" w:type="dxa"/>
            <w:vAlign w:val="bottom"/>
          </w:tcPr>
          <w:p w:rsidR="00000000" w:rsidRDefault="00000000">
            <w:pPr>
              <w:spacing w:before="60" w:after="60"/>
              <w:jc w:val="right"/>
            </w:pPr>
            <w:r>
              <w:t>1</w:t>
            </w:r>
          </w:p>
        </w:tc>
        <w:tc>
          <w:tcPr>
            <w:tcW w:w="1455" w:type="dxa"/>
            <w:vAlign w:val="bottom"/>
          </w:tcPr>
          <w:p w:rsidR="00000000" w:rsidRDefault="00000000">
            <w:pPr>
              <w:spacing w:before="60" w:after="60"/>
              <w:jc w:val="right"/>
            </w:pPr>
            <w:r>
              <w:t>2</w:t>
            </w:r>
          </w:p>
        </w:tc>
        <w:tc>
          <w:tcPr>
            <w:tcW w:w="1344" w:type="dxa"/>
            <w:vAlign w:val="bottom"/>
          </w:tcPr>
          <w:p w:rsidR="00000000" w:rsidRDefault="00000000">
            <w:pPr>
              <w:spacing w:before="60" w:after="60"/>
              <w:jc w:val="right"/>
              <w:rPr>
                <w:b/>
                <w:bCs/>
              </w:rPr>
            </w:pPr>
            <w:r>
              <w:rPr>
                <w:b/>
                <w:bCs/>
              </w:rPr>
              <w:t>3</w:t>
            </w:r>
          </w:p>
        </w:tc>
        <w:tc>
          <w:tcPr>
            <w:tcW w:w="1600" w:type="dxa"/>
            <w:vAlign w:val="bottom"/>
          </w:tcPr>
          <w:p w:rsidR="00000000" w:rsidRDefault="00000000">
            <w:pPr>
              <w:spacing w:before="60" w:after="60"/>
              <w:jc w:val="right"/>
            </w:pPr>
            <w:r>
              <w:t>0,0 %</w:t>
            </w:r>
          </w:p>
        </w:tc>
      </w:tr>
      <w:tr w:rsidR="00000000">
        <w:tblPrEx>
          <w:tblCellMar>
            <w:top w:w="0" w:type="dxa"/>
            <w:bottom w:w="0" w:type="dxa"/>
          </w:tblCellMar>
        </w:tblPrEx>
        <w:tc>
          <w:tcPr>
            <w:tcW w:w="3640" w:type="dxa"/>
          </w:tcPr>
          <w:p w:rsidR="00000000" w:rsidRDefault="00000000">
            <w:pPr>
              <w:spacing w:before="60" w:after="60"/>
              <w:rPr>
                <w:b/>
                <w:bCs/>
              </w:rPr>
            </w:pPr>
            <w:r>
              <w:rPr>
                <w:b/>
                <w:bCs/>
              </w:rPr>
              <w:t>Total</w:t>
            </w:r>
          </w:p>
        </w:tc>
        <w:tc>
          <w:tcPr>
            <w:tcW w:w="1456" w:type="dxa"/>
            <w:vAlign w:val="bottom"/>
          </w:tcPr>
          <w:p w:rsidR="00000000" w:rsidRDefault="00000000">
            <w:pPr>
              <w:spacing w:before="60" w:after="60"/>
              <w:jc w:val="right"/>
              <w:rPr>
                <w:b/>
                <w:bCs/>
              </w:rPr>
            </w:pPr>
            <w:r>
              <w:rPr>
                <w:b/>
                <w:bCs/>
              </w:rPr>
              <w:t>3 326</w:t>
            </w:r>
          </w:p>
        </w:tc>
        <w:tc>
          <w:tcPr>
            <w:tcW w:w="1455" w:type="dxa"/>
            <w:vAlign w:val="bottom"/>
          </w:tcPr>
          <w:p w:rsidR="00000000" w:rsidRDefault="00000000">
            <w:pPr>
              <w:spacing w:before="60" w:after="60"/>
              <w:jc w:val="right"/>
              <w:rPr>
                <w:b/>
                <w:bCs/>
              </w:rPr>
            </w:pPr>
            <w:r>
              <w:rPr>
                <w:b/>
                <w:bCs/>
              </w:rPr>
              <w:t>3 565</w:t>
            </w:r>
          </w:p>
        </w:tc>
        <w:tc>
          <w:tcPr>
            <w:tcW w:w="1344" w:type="dxa"/>
            <w:vAlign w:val="bottom"/>
          </w:tcPr>
          <w:p w:rsidR="00000000" w:rsidRDefault="00000000">
            <w:pPr>
              <w:spacing w:before="60" w:after="60"/>
              <w:jc w:val="right"/>
              <w:rPr>
                <w:b/>
                <w:bCs/>
              </w:rPr>
            </w:pPr>
            <w:r>
              <w:rPr>
                <w:b/>
                <w:bCs/>
              </w:rPr>
              <w:t>6 891</w:t>
            </w:r>
          </w:p>
        </w:tc>
        <w:tc>
          <w:tcPr>
            <w:tcW w:w="1600" w:type="dxa"/>
            <w:vAlign w:val="bottom"/>
          </w:tcPr>
          <w:p w:rsidR="00000000" w:rsidRDefault="00000000">
            <w:pPr>
              <w:spacing w:before="60" w:after="60"/>
              <w:jc w:val="right"/>
              <w:rPr>
                <w:b/>
                <w:bCs/>
              </w:rPr>
            </w:pPr>
            <w:r>
              <w:rPr>
                <w:b/>
                <w:bCs/>
              </w:rPr>
              <w:t>100,0 %</w:t>
            </w:r>
          </w:p>
        </w:tc>
      </w:tr>
    </w:tbl>
    <w:p w:rsidR="00000000" w:rsidRDefault="00000000">
      <w:pPr>
        <w:spacing w:before="240" w:after="240"/>
        <w:ind w:firstLine="567"/>
      </w:pPr>
      <w:r>
        <w:rPr>
          <w:i/>
          <w:iCs/>
        </w:rPr>
        <w:t>Source</w:t>
      </w:r>
      <w:r>
        <w:t>: Services départementaux de l’éducation.</w:t>
      </w:r>
    </w:p>
    <w:p w:rsidR="00000000" w:rsidRDefault="00000000">
      <w:pPr>
        <w:spacing w:after="360"/>
        <w:ind w:left="567"/>
      </w:pPr>
      <w:r>
        <w:rPr>
          <w:i/>
          <w:iCs/>
        </w:rPr>
        <w:t>Établi par</w:t>
      </w:r>
      <w:r>
        <w:t>: Direction de l’analyse (Ministère de l’éducation).</w:t>
      </w:r>
    </w:p>
    <w:p w:rsidR="00000000" w:rsidRDefault="00000000">
      <w:pPr>
        <w:spacing w:after="360"/>
      </w:pPr>
      <w:r>
        <w:rPr>
          <w:b/>
          <w:bCs/>
          <w:vertAlign w:val="superscript"/>
        </w:rPr>
        <w:t>*</w:t>
      </w:r>
      <w:r>
        <w:t xml:space="preserve"> On n’a pas inclus la catégorie des «troubles psychiques ou troubles du comportement». Par ailleurs, étant donné qu’à Cochabamba les effectifs inscrits ne sont pas ventilés par sexe, on a procédé à une estimation à partir de la part relative du total pour chaque catégorie d’incapacité dans l’année 2001.</w:t>
      </w:r>
    </w:p>
    <w:p w:rsidR="00000000" w:rsidRDefault="00000000">
      <w:pPr>
        <w:spacing w:after="240"/>
      </w:pPr>
      <w:r>
        <w:t>228.</w:t>
      </w:r>
      <w:r>
        <w:tab/>
        <w:t>Le processus de réforme éducative prévoit l’intégration des handicapés légers au système éducatif de type scolaire. Conformément à l’article 85 du Règlement relatif aux unités éducatives, «l’éducation spéciale des élèves qui ne présentent pas de très grandes difficultés doit être assurée dans les unités éducatives régulières sous l’orientation permanente de personnel dûment formé». Cependant, les élèves nécessitant une éducation spécialisée ne peuvent pas tous intégrer le système de type scolaire, lequel accueille d’abord ceux qui présentent un retard mental léger et quelques autres ayant un handicap sensoriel ou moteur. Cependant, «dans la pratique, le processus d’intégration dans des espaces éducatifs, professionnels et productifs, n’a été ni consolidé ni généralisé pour des personnes ayant des besoins éducatifs spéciaux»</w:t>
      </w:r>
      <w:r>
        <w:rPr>
          <w:rStyle w:val="FootnoteReference"/>
        </w:rPr>
        <w:footnoteReference w:id="21"/>
      </w:r>
      <w:r>
        <w:t>.</w:t>
      </w:r>
    </w:p>
    <w:p w:rsidR="00000000" w:rsidRDefault="00000000">
      <w:pPr>
        <w:spacing w:after="240"/>
      </w:pPr>
      <w:r>
        <w:t>229.</w:t>
      </w:r>
      <w:r>
        <w:tab/>
        <w:t>Il ressort du tableau 12 que 1 212 personnes, soit 34,1 % de l’ensemble de la population bénéficiant d’une éducation spécialisée en 2002, ont été intégrées dans le système de type scolaire. Il convient de relever qu’un pourcentage élevé d’enfants rencontrant des difficultés d’apprentissage (71 %) et des handicaps visuels (52,9 %) ont été intégrés.</w:t>
      </w:r>
    </w:p>
    <w:p w:rsidR="00000000" w:rsidRDefault="00000000">
      <w:pPr>
        <w:keepNext/>
        <w:spacing w:after="240"/>
        <w:jc w:val="center"/>
        <w:rPr>
          <w:b/>
          <w:bCs/>
        </w:rPr>
      </w:pPr>
      <w:r>
        <w:rPr>
          <w:b/>
          <w:bCs/>
        </w:rPr>
        <w:t>Tableau 12</w:t>
      </w:r>
    </w:p>
    <w:p w:rsidR="00000000" w:rsidRDefault="00000000">
      <w:pPr>
        <w:keepNext/>
        <w:spacing w:after="240"/>
        <w:jc w:val="center"/>
        <w:rPr>
          <w:b/>
          <w:bCs/>
        </w:rPr>
      </w:pPr>
      <w:r>
        <w:rPr>
          <w:b/>
          <w:bCs/>
        </w:rPr>
        <w:t>Bolivie: Population intégrée au système de type scolaire par type de handicap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0"/>
        <w:gridCol w:w="2433"/>
        <w:gridCol w:w="2433"/>
      </w:tblGrid>
      <w:tr w:rsidR="00000000">
        <w:tblPrEx>
          <w:tblCellMar>
            <w:top w:w="0" w:type="dxa"/>
            <w:bottom w:w="0" w:type="dxa"/>
          </w:tblCellMar>
        </w:tblPrEx>
        <w:tc>
          <w:tcPr>
            <w:tcW w:w="4630" w:type="dxa"/>
          </w:tcPr>
          <w:p w:rsidR="00000000" w:rsidRDefault="00000000">
            <w:pPr>
              <w:spacing w:before="45" w:after="50"/>
              <w:jc w:val="center"/>
            </w:pPr>
            <w:r>
              <w:t>Secteur</w:t>
            </w:r>
          </w:p>
        </w:tc>
        <w:tc>
          <w:tcPr>
            <w:tcW w:w="2433" w:type="dxa"/>
          </w:tcPr>
          <w:p w:rsidR="00000000" w:rsidRDefault="00000000">
            <w:pPr>
              <w:spacing w:before="45" w:after="50"/>
              <w:jc w:val="center"/>
            </w:pPr>
            <w:r>
              <w:t>Population intégrée</w:t>
            </w:r>
          </w:p>
        </w:tc>
        <w:tc>
          <w:tcPr>
            <w:tcW w:w="2433" w:type="dxa"/>
          </w:tcPr>
          <w:p w:rsidR="00000000" w:rsidRDefault="00000000">
            <w:pPr>
              <w:spacing w:before="45" w:after="50"/>
              <w:jc w:val="center"/>
            </w:pPr>
            <w:r>
              <w:t>Pourcentage</w:t>
            </w:r>
          </w:p>
        </w:tc>
      </w:tr>
      <w:tr w:rsidR="00000000">
        <w:tblPrEx>
          <w:tblCellMar>
            <w:top w:w="0" w:type="dxa"/>
            <w:bottom w:w="0" w:type="dxa"/>
          </w:tblCellMar>
        </w:tblPrEx>
        <w:tc>
          <w:tcPr>
            <w:tcW w:w="4630" w:type="dxa"/>
          </w:tcPr>
          <w:p w:rsidR="00000000" w:rsidRDefault="00000000">
            <w:pPr>
              <w:spacing w:before="45" w:after="50"/>
            </w:pPr>
            <w:r>
              <w:t>Difficultés d’apprentissage</w:t>
            </w:r>
          </w:p>
        </w:tc>
        <w:tc>
          <w:tcPr>
            <w:tcW w:w="2433" w:type="dxa"/>
          </w:tcPr>
          <w:p w:rsidR="00000000" w:rsidRDefault="00000000">
            <w:pPr>
              <w:spacing w:before="45" w:after="50"/>
              <w:jc w:val="right"/>
            </w:pPr>
            <w:r>
              <w:t>780</w:t>
            </w:r>
          </w:p>
        </w:tc>
        <w:tc>
          <w:tcPr>
            <w:tcW w:w="2433" w:type="dxa"/>
          </w:tcPr>
          <w:p w:rsidR="00000000" w:rsidRDefault="00000000">
            <w:pPr>
              <w:spacing w:before="45" w:after="50"/>
              <w:jc w:val="right"/>
            </w:pPr>
            <w:r>
              <w:t>71,0</w:t>
            </w:r>
          </w:p>
        </w:tc>
      </w:tr>
      <w:tr w:rsidR="00000000">
        <w:tblPrEx>
          <w:tblCellMar>
            <w:top w:w="0" w:type="dxa"/>
            <w:bottom w:w="0" w:type="dxa"/>
          </w:tblCellMar>
        </w:tblPrEx>
        <w:tc>
          <w:tcPr>
            <w:tcW w:w="4630" w:type="dxa"/>
          </w:tcPr>
          <w:p w:rsidR="00000000" w:rsidRDefault="00000000">
            <w:pPr>
              <w:spacing w:before="45" w:after="50"/>
            </w:pPr>
            <w:r>
              <w:t>Handicap auditif</w:t>
            </w:r>
          </w:p>
        </w:tc>
        <w:tc>
          <w:tcPr>
            <w:tcW w:w="2433" w:type="dxa"/>
          </w:tcPr>
          <w:p w:rsidR="00000000" w:rsidRDefault="00000000">
            <w:pPr>
              <w:spacing w:before="45" w:after="50"/>
              <w:jc w:val="right"/>
            </w:pPr>
            <w:r>
              <w:t>59</w:t>
            </w:r>
          </w:p>
        </w:tc>
        <w:tc>
          <w:tcPr>
            <w:tcW w:w="2433" w:type="dxa"/>
          </w:tcPr>
          <w:p w:rsidR="00000000" w:rsidRDefault="00000000">
            <w:pPr>
              <w:spacing w:before="45" w:after="50"/>
              <w:jc w:val="right"/>
            </w:pPr>
            <w:r>
              <w:t>10,6</w:t>
            </w:r>
          </w:p>
        </w:tc>
      </w:tr>
      <w:tr w:rsidR="00000000">
        <w:tblPrEx>
          <w:tblCellMar>
            <w:top w:w="0" w:type="dxa"/>
            <w:bottom w:w="0" w:type="dxa"/>
          </w:tblCellMar>
        </w:tblPrEx>
        <w:tc>
          <w:tcPr>
            <w:tcW w:w="4630" w:type="dxa"/>
          </w:tcPr>
          <w:p w:rsidR="00000000" w:rsidRDefault="00000000">
            <w:pPr>
              <w:spacing w:before="45" w:after="50"/>
            </w:pPr>
            <w:r>
              <w:t>Handicap visuel</w:t>
            </w:r>
          </w:p>
        </w:tc>
        <w:tc>
          <w:tcPr>
            <w:tcW w:w="2433" w:type="dxa"/>
          </w:tcPr>
          <w:p w:rsidR="00000000" w:rsidRDefault="00000000">
            <w:pPr>
              <w:spacing w:before="45" w:after="50"/>
              <w:jc w:val="right"/>
            </w:pPr>
            <w:r>
              <w:t>163</w:t>
            </w:r>
          </w:p>
        </w:tc>
        <w:tc>
          <w:tcPr>
            <w:tcW w:w="2433" w:type="dxa"/>
          </w:tcPr>
          <w:p w:rsidR="00000000" w:rsidRDefault="00000000">
            <w:pPr>
              <w:spacing w:before="45" w:after="50"/>
              <w:jc w:val="right"/>
            </w:pPr>
            <w:r>
              <w:t>52,9</w:t>
            </w:r>
          </w:p>
        </w:tc>
      </w:tr>
      <w:tr w:rsidR="00000000">
        <w:tblPrEx>
          <w:tblCellMar>
            <w:top w:w="0" w:type="dxa"/>
            <w:bottom w:w="0" w:type="dxa"/>
          </w:tblCellMar>
        </w:tblPrEx>
        <w:tc>
          <w:tcPr>
            <w:tcW w:w="4630" w:type="dxa"/>
          </w:tcPr>
          <w:p w:rsidR="00000000" w:rsidRDefault="00000000">
            <w:pPr>
              <w:spacing w:before="45" w:after="50"/>
            </w:pPr>
            <w:r>
              <w:t>Handicap mental</w:t>
            </w:r>
          </w:p>
        </w:tc>
        <w:tc>
          <w:tcPr>
            <w:tcW w:w="2433" w:type="dxa"/>
          </w:tcPr>
          <w:p w:rsidR="00000000" w:rsidRDefault="00000000">
            <w:pPr>
              <w:spacing w:before="45" w:after="50"/>
              <w:jc w:val="right"/>
            </w:pPr>
            <w:r>
              <w:t>169</w:t>
            </w:r>
          </w:p>
        </w:tc>
        <w:tc>
          <w:tcPr>
            <w:tcW w:w="2433" w:type="dxa"/>
          </w:tcPr>
          <w:p w:rsidR="00000000" w:rsidRDefault="00000000">
            <w:pPr>
              <w:spacing w:before="45" w:after="50"/>
              <w:jc w:val="right"/>
            </w:pPr>
            <w:r>
              <w:t>12,9</w:t>
            </w:r>
          </w:p>
        </w:tc>
      </w:tr>
      <w:tr w:rsidR="00000000">
        <w:tblPrEx>
          <w:tblCellMar>
            <w:top w:w="0" w:type="dxa"/>
            <w:bottom w:w="0" w:type="dxa"/>
          </w:tblCellMar>
        </w:tblPrEx>
        <w:tc>
          <w:tcPr>
            <w:tcW w:w="4630" w:type="dxa"/>
          </w:tcPr>
          <w:p w:rsidR="00000000" w:rsidRDefault="00000000">
            <w:pPr>
              <w:spacing w:before="45" w:after="50"/>
            </w:pPr>
            <w:r>
              <w:t>Handicap physique</w:t>
            </w:r>
          </w:p>
        </w:tc>
        <w:tc>
          <w:tcPr>
            <w:tcW w:w="2433" w:type="dxa"/>
          </w:tcPr>
          <w:p w:rsidR="00000000" w:rsidRDefault="00000000">
            <w:pPr>
              <w:spacing w:before="45" w:after="50"/>
              <w:jc w:val="right"/>
            </w:pPr>
            <w:r>
              <w:t>38</w:t>
            </w:r>
          </w:p>
        </w:tc>
        <w:tc>
          <w:tcPr>
            <w:tcW w:w="2433" w:type="dxa"/>
          </w:tcPr>
          <w:p w:rsidR="00000000" w:rsidRDefault="00000000">
            <w:pPr>
              <w:spacing w:before="45" w:after="50"/>
              <w:jc w:val="right"/>
            </w:pPr>
            <w:r>
              <w:t>14,6</w:t>
            </w:r>
          </w:p>
        </w:tc>
      </w:tr>
      <w:tr w:rsidR="00000000">
        <w:tblPrEx>
          <w:tblCellMar>
            <w:top w:w="0" w:type="dxa"/>
            <w:bottom w:w="0" w:type="dxa"/>
          </w:tblCellMar>
        </w:tblPrEx>
        <w:tc>
          <w:tcPr>
            <w:tcW w:w="4630" w:type="dxa"/>
          </w:tcPr>
          <w:p w:rsidR="00000000" w:rsidRDefault="00000000">
            <w:pPr>
              <w:spacing w:before="45" w:after="50"/>
            </w:pPr>
            <w:r>
              <w:t>Handicaps multiples</w:t>
            </w:r>
          </w:p>
        </w:tc>
        <w:tc>
          <w:tcPr>
            <w:tcW w:w="2433" w:type="dxa"/>
          </w:tcPr>
          <w:p w:rsidR="00000000" w:rsidRDefault="00000000">
            <w:pPr>
              <w:spacing w:before="45" w:after="50"/>
              <w:jc w:val="right"/>
            </w:pPr>
            <w:r>
              <w:t>0</w:t>
            </w:r>
          </w:p>
        </w:tc>
        <w:tc>
          <w:tcPr>
            <w:tcW w:w="2433" w:type="dxa"/>
          </w:tcPr>
          <w:p w:rsidR="00000000" w:rsidRDefault="00000000">
            <w:pPr>
              <w:spacing w:before="45" w:after="50"/>
              <w:jc w:val="right"/>
            </w:pPr>
            <w:r>
              <w:t>0,0</w:t>
            </w:r>
          </w:p>
        </w:tc>
      </w:tr>
      <w:tr w:rsidR="00000000">
        <w:tblPrEx>
          <w:tblCellMar>
            <w:top w:w="0" w:type="dxa"/>
            <w:bottom w:w="0" w:type="dxa"/>
          </w:tblCellMar>
        </w:tblPrEx>
        <w:tc>
          <w:tcPr>
            <w:tcW w:w="4630" w:type="dxa"/>
          </w:tcPr>
          <w:p w:rsidR="00000000" w:rsidRDefault="00000000">
            <w:pPr>
              <w:spacing w:before="45" w:after="50"/>
            </w:pPr>
            <w:r>
              <w:t>Surdoués</w:t>
            </w:r>
          </w:p>
        </w:tc>
        <w:tc>
          <w:tcPr>
            <w:tcW w:w="2433" w:type="dxa"/>
          </w:tcPr>
          <w:p w:rsidR="00000000" w:rsidRDefault="00000000">
            <w:pPr>
              <w:spacing w:before="45" w:after="50"/>
              <w:jc w:val="right"/>
            </w:pPr>
            <w:r>
              <w:t>3</w:t>
            </w:r>
          </w:p>
        </w:tc>
        <w:tc>
          <w:tcPr>
            <w:tcW w:w="2433" w:type="dxa"/>
          </w:tcPr>
          <w:p w:rsidR="00000000" w:rsidRDefault="00000000">
            <w:pPr>
              <w:spacing w:before="45" w:after="50"/>
              <w:jc w:val="right"/>
            </w:pPr>
            <w:r>
              <w:t>100,0</w:t>
            </w:r>
          </w:p>
        </w:tc>
      </w:tr>
      <w:tr w:rsidR="00000000">
        <w:tblPrEx>
          <w:tblCellMar>
            <w:top w:w="0" w:type="dxa"/>
            <w:bottom w:w="0" w:type="dxa"/>
          </w:tblCellMar>
        </w:tblPrEx>
        <w:tc>
          <w:tcPr>
            <w:tcW w:w="4630" w:type="dxa"/>
          </w:tcPr>
          <w:p w:rsidR="00000000" w:rsidRDefault="00000000">
            <w:pPr>
              <w:spacing w:before="45" w:after="50"/>
              <w:rPr>
                <w:b/>
                <w:bCs/>
              </w:rPr>
            </w:pPr>
            <w:r>
              <w:rPr>
                <w:b/>
                <w:bCs/>
              </w:rPr>
              <w:t xml:space="preserve">Total </w:t>
            </w:r>
          </w:p>
        </w:tc>
        <w:tc>
          <w:tcPr>
            <w:tcW w:w="2433" w:type="dxa"/>
          </w:tcPr>
          <w:p w:rsidR="00000000" w:rsidRDefault="00000000">
            <w:pPr>
              <w:spacing w:before="45" w:after="50"/>
              <w:jc w:val="right"/>
              <w:rPr>
                <w:b/>
                <w:bCs/>
              </w:rPr>
            </w:pPr>
            <w:r>
              <w:rPr>
                <w:b/>
                <w:bCs/>
              </w:rPr>
              <w:t>1 212</w:t>
            </w:r>
          </w:p>
        </w:tc>
        <w:tc>
          <w:tcPr>
            <w:tcW w:w="2433" w:type="dxa"/>
          </w:tcPr>
          <w:p w:rsidR="00000000" w:rsidRDefault="00000000">
            <w:pPr>
              <w:spacing w:before="45" w:after="50"/>
              <w:jc w:val="right"/>
              <w:rPr>
                <w:b/>
                <w:bCs/>
              </w:rPr>
            </w:pPr>
            <w:r>
              <w:rPr>
                <w:b/>
                <w:bCs/>
              </w:rPr>
              <w:t>34,1</w:t>
            </w:r>
          </w:p>
        </w:tc>
      </w:tr>
    </w:tbl>
    <w:p w:rsidR="00000000" w:rsidRDefault="00000000">
      <w:pPr>
        <w:spacing w:before="180" w:after="180"/>
        <w:ind w:firstLine="567"/>
      </w:pPr>
      <w:r>
        <w:rPr>
          <w:i/>
          <w:iCs/>
        </w:rPr>
        <w:t xml:space="preserve">Source: </w:t>
      </w:r>
      <w:r>
        <w:t>Services départementaux d’éducation.</w:t>
      </w:r>
    </w:p>
    <w:p w:rsidR="00000000" w:rsidRDefault="00000000">
      <w:pPr>
        <w:spacing w:after="360"/>
        <w:ind w:firstLine="567"/>
      </w:pPr>
      <w:r>
        <w:rPr>
          <w:i/>
          <w:iCs/>
        </w:rPr>
        <w:t>Établi par</w:t>
      </w:r>
      <w:r>
        <w:t>: Direction de l’analyse (Ministère de l’éducation).</w:t>
      </w:r>
    </w:p>
    <w:p w:rsidR="00000000" w:rsidRDefault="00000000">
      <w:pPr>
        <w:spacing w:after="240"/>
      </w:pPr>
      <w:r>
        <w:t>230.</w:t>
      </w:r>
      <w:r>
        <w:tab/>
        <w:t>En 2002, on dénombrait 678 facilitateurs, parmi lesquels 42,5 % travaillaient avec des handicapés mentaux, et 18 % avec des personnes ayant des difficultés d’apprentissage (tableau 13).</w:t>
      </w:r>
    </w:p>
    <w:p w:rsidR="00000000" w:rsidRDefault="00000000">
      <w:pPr>
        <w:keepNext/>
        <w:spacing w:after="240"/>
        <w:jc w:val="center"/>
        <w:rPr>
          <w:b/>
          <w:bCs/>
        </w:rPr>
      </w:pPr>
      <w:r>
        <w:rPr>
          <w:b/>
          <w:bCs/>
        </w:rPr>
        <w:t>Tableau 13</w:t>
      </w:r>
    </w:p>
    <w:p w:rsidR="00000000" w:rsidRDefault="00000000">
      <w:pPr>
        <w:keepNext/>
        <w:spacing w:after="240"/>
        <w:jc w:val="center"/>
        <w:rPr>
          <w:b/>
          <w:bCs/>
        </w:rPr>
      </w:pPr>
      <w:r>
        <w:rPr>
          <w:b/>
          <w:bCs/>
        </w:rPr>
        <w:t>Bolivie: Nombre d’éducateurs en éducation spécialisée par type de handicap</w:t>
      </w:r>
      <w:r>
        <w:rPr>
          <w:b/>
          <w:bCs/>
          <w:vertAlign w:val="superscript"/>
        </w:rPr>
        <w:t>*</w:t>
      </w:r>
      <w:r>
        <w:rPr>
          <w:b/>
          <w:bCs/>
        </w:rPr>
        <w:t xml:space="preserve"> (2002)</w:t>
      </w:r>
    </w:p>
    <w:tbl>
      <w:tblPr>
        <w:tblW w:w="9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645"/>
        <w:gridCol w:w="1645"/>
        <w:gridCol w:w="1225"/>
        <w:gridCol w:w="1225"/>
      </w:tblGrid>
      <w:tr w:rsidR="00000000">
        <w:tblPrEx>
          <w:tblCellMar>
            <w:top w:w="0" w:type="dxa"/>
            <w:bottom w:w="0" w:type="dxa"/>
          </w:tblCellMar>
        </w:tblPrEx>
        <w:tc>
          <w:tcPr>
            <w:tcW w:w="3790" w:type="dxa"/>
            <w:vAlign w:val="center"/>
          </w:tcPr>
          <w:p w:rsidR="00000000" w:rsidRDefault="00000000">
            <w:pPr>
              <w:spacing w:before="45" w:after="45"/>
              <w:jc w:val="center"/>
            </w:pPr>
            <w:r>
              <w:t>Secteur</w:t>
            </w:r>
          </w:p>
        </w:tc>
        <w:tc>
          <w:tcPr>
            <w:tcW w:w="1645" w:type="dxa"/>
            <w:vAlign w:val="center"/>
          </w:tcPr>
          <w:p w:rsidR="00000000" w:rsidRDefault="00000000">
            <w:pPr>
              <w:spacing w:before="45" w:after="45"/>
              <w:jc w:val="center"/>
            </w:pPr>
            <w:r>
              <w:t>Femmes</w:t>
            </w:r>
          </w:p>
        </w:tc>
        <w:tc>
          <w:tcPr>
            <w:tcW w:w="1645" w:type="dxa"/>
            <w:vAlign w:val="center"/>
          </w:tcPr>
          <w:p w:rsidR="00000000" w:rsidRDefault="00000000">
            <w:pPr>
              <w:spacing w:before="45" w:after="45"/>
              <w:jc w:val="center"/>
            </w:pPr>
            <w:r>
              <w:t>Hommes</w:t>
            </w:r>
          </w:p>
        </w:tc>
        <w:tc>
          <w:tcPr>
            <w:tcW w:w="1225" w:type="dxa"/>
            <w:vAlign w:val="center"/>
          </w:tcPr>
          <w:p w:rsidR="00000000" w:rsidRDefault="00000000">
            <w:pPr>
              <w:spacing w:before="45" w:after="45"/>
              <w:jc w:val="center"/>
            </w:pPr>
            <w:r>
              <w:t>Total</w:t>
            </w:r>
          </w:p>
        </w:tc>
        <w:tc>
          <w:tcPr>
            <w:tcW w:w="1225" w:type="dxa"/>
            <w:vAlign w:val="center"/>
          </w:tcPr>
          <w:p w:rsidR="00000000" w:rsidRDefault="00000000">
            <w:pPr>
              <w:spacing w:before="45" w:after="45"/>
              <w:jc w:val="center"/>
            </w:pPr>
            <w:r>
              <w:t>%</w:t>
            </w:r>
          </w:p>
        </w:tc>
      </w:tr>
      <w:tr w:rsidR="00000000">
        <w:tblPrEx>
          <w:tblCellMar>
            <w:top w:w="0" w:type="dxa"/>
            <w:bottom w:w="0" w:type="dxa"/>
          </w:tblCellMar>
        </w:tblPrEx>
        <w:tc>
          <w:tcPr>
            <w:tcW w:w="3790" w:type="dxa"/>
          </w:tcPr>
          <w:p w:rsidR="00000000" w:rsidRDefault="00000000">
            <w:pPr>
              <w:spacing w:before="45" w:after="45"/>
            </w:pPr>
            <w:r>
              <w:t>Difficultés d’apprentissage</w:t>
            </w:r>
          </w:p>
        </w:tc>
        <w:tc>
          <w:tcPr>
            <w:tcW w:w="1645" w:type="dxa"/>
          </w:tcPr>
          <w:p w:rsidR="00000000" w:rsidRDefault="00000000">
            <w:pPr>
              <w:spacing w:before="45" w:after="45"/>
              <w:ind w:right="245"/>
              <w:jc w:val="right"/>
            </w:pPr>
            <w:r>
              <w:t>105</w:t>
            </w:r>
          </w:p>
        </w:tc>
        <w:tc>
          <w:tcPr>
            <w:tcW w:w="1645" w:type="dxa"/>
          </w:tcPr>
          <w:p w:rsidR="00000000" w:rsidRDefault="00000000">
            <w:pPr>
              <w:spacing w:before="45" w:after="45"/>
              <w:ind w:right="245"/>
              <w:jc w:val="right"/>
            </w:pPr>
            <w:r>
              <w:t>17</w:t>
            </w:r>
          </w:p>
        </w:tc>
        <w:tc>
          <w:tcPr>
            <w:tcW w:w="1225" w:type="dxa"/>
          </w:tcPr>
          <w:p w:rsidR="00000000" w:rsidRDefault="00000000">
            <w:pPr>
              <w:spacing w:before="45" w:after="45"/>
              <w:ind w:right="245"/>
              <w:jc w:val="right"/>
            </w:pPr>
            <w:r>
              <w:t>122</w:t>
            </w:r>
          </w:p>
        </w:tc>
        <w:tc>
          <w:tcPr>
            <w:tcW w:w="1225" w:type="dxa"/>
          </w:tcPr>
          <w:p w:rsidR="00000000" w:rsidRDefault="00000000">
            <w:pPr>
              <w:spacing w:before="45" w:after="45"/>
              <w:ind w:right="245"/>
              <w:jc w:val="right"/>
            </w:pPr>
            <w:r>
              <w:t>18,0</w:t>
            </w:r>
          </w:p>
        </w:tc>
      </w:tr>
      <w:tr w:rsidR="00000000">
        <w:tblPrEx>
          <w:tblCellMar>
            <w:top w:w="0" w:type="dxa"/>
            <w:bottom w:w="0" w:type="dxa"/>
          </w:tblCellMar>
        </w:tblPrEx>
        <w:tc>
          <w:tcPr>
            <w:tcW w:w="3790" w:type="dxa"/>
          </w:tcPr>
          <w:p w:rsidR="00000000" w:rsidRDefault="00000000">
            <w:pPr>
              <w:spacing w:before="45" w:after="45"/>
            </w:pPr>
            <w:r>
              <w:t>Handicap auditif</w:t>
            </w:r>
          </w:p>
        </w:tc>
        <w:tc>
          <w:tcPr>
            <w:tcW w:w="1645" w:type="dxa"/>
          </w:tcPr>
          <w:p w:rsidR="00000000" w:rsidRDefault="00000000">
            <w:pPr>
              <w:spacing w:before="45" w:after="45"/>
              <w:ind w:right="245"/>
              <w:jc w:val="right"/>
            </w:pPr>
            <w:r>
              <w:t>131</w:t>
            </w:r>
          </w:p>
        </w:tc>
        <w:tc>
          <w:tcPr>
            <w:tcW w:w="1645" w:type="dxa"/>
          </w:tcPr>
          <w:p w:rsidR="00000000" w:rsidRDefault="00000000">
            <w:pPr>
              <w:spacing w:before="45" w:after="45"/>
              <w:ind w:right="245"/>
              <w:jc w:val="right"/>
            </w:pPr>
            <w:r>
              <w:t>28</w:t>
            </w:r>
          </w:p>
        </w:tc>
        <w:tc>
          <w:tcPr>
            <w:tcW w:w="1225" w:type="dxa"/>
          </w:tcPr>
          <w:p w:rsidR="00000000" w:rsidRDefault="00000000">
            <w:pPr>
              <w:spacing w:before="45" w:after="45"/>
              <w:ind w:right="245"/>
              <w:jc w:val="right"/>
            </w:pPr>
            <w:r>
              <w:t>159</w:t>
            </w:r>
          </w:p>
        </w:tc>
        <w:tc>
          <w:tcPr>
            <w:tcW w:w="1225" w:type="dxa"/>
          </w:tcPr>
          <w:p w:rsidR="00000000" w:rsidRDefault="00000000">
            <w:pPr>
              <w:spacing w:before="45" w:after="45"/>
              <w:ind w:right="245"/>
              <w:jc w:val="right"/>
            </w:pPr>
            <w:r>
              <w:t>23,5</w:t>
            </w:r>
          </w:p>
        </w:tc>
      </w:tr>
      <w:tr w:rsidR="00000000">
        <w:tblPrEx>
          <w:tblCellMar>
            <w:top w:w="0" w:type="dxa"/>
            <w:bottom w:w="0" w:type="dxa"/>
          </w:tblCellMar>
        </w:tblPrEx>
        <w:tc>
          <w:tcPr>
            <w:tcW w:w="3790" w:type="dxa"/>
          </w:tcPr>
          <w:p w:rsidR="00000000" w:rsidRDefault="00000000">
            <w:pPr>
              <w:spacing w:before="45" w:after="45"/>
            </w:pPr>
            <w:r>
              <w:t>Handicap visuel</w:t>
            </w:r>
          </w:p>
        </w:tc>
        <w:tc>
          <w:tcPr>
            <w:tcW w:w="1645" w:type="dxa"/>
          </w:tcPr>
          <w:p w:rsidR="00000000" w:rsidRDefault="00000000">
            <w:pPr>
              <w:spacing w:before="45" w:after="45"/>
              <w:ind w:right="245"/>
              <w:jc w:val="right"/>
            </w:pPr>
            <w:r>
              <w:t>43</w:t>
            </w:r>
          </w:p>
        </w:tc>
        <w:tc>
          <w:tcPr>
            <w:tcW w:w="1645" w:type="dxa"/>
          </w:tcPr>
          <w:p w:rsidR="00000000" w:rsidRDefault="00000000">
            <w:pPr>
              <w:spacing w:before="45" w:after="45"/>
              <w:ind w:right="245"/>
              <w:jc w:val="right"/>
            </w:pPr>
            <w:r>
              <w:t>20</w:t>
            </w:r>
          </w:p>
        </w:tc>
        <w:tc>
          <w:tcPr>
            <w:tcW w:w="1225" w:type="dxa"/>
          </w:tcPr>
          <w:p w:rsidR="00000000" w:rsidRDefault="00000000">
            <w:pPr>
              <w:spacing w:before="45" w:after="45"/>
              <w:ind w:right="245"/>
              <w:jc w:val="right"/>
            </w:pPr>
            <w:r>
              <w:t>63</w:t>
            </w:r>
          </w:p>
        </w:tc>
        <w:tc>
          <w:tcPr>
            <w:tcW w:w="1225" w:type="dxa"/>
          </w:tcPr>
          <w:p w:rsidR="00000000" w:rsidRDefault="00000000">
            <w:pPr>
              <w:spacing w:before="45" w:after="45"/>
              <w:ind w:right="245"/>
              <w:jc w:val="right"/>
            </w:pPr>
            <w:r>
              <w:t>9,3</w:t>
            </w:r>
          </w:p>
        </w:tc>
      </w:tr>
      <w:tr w:rsidR="00000000">
        <w:tblPrEx>
          <w:tblCellMar>
            <w:top w:w="0" w:type="dxa"/>
            <w:bottom w:w="0" w:type="dxa"/>
          </w:tblCellMar>
        </w:tblPrEx>
        <w:tc>
          <w:tcPr>
            <w:tcW w:w="3790" w:type="dxa"/>
          </w:tcPr>
          <w:p w:rsidR="00000000" w:rsidRDefault="00000000">
            <w:pPr>
              <w:spacing w:before="45" w:after="45"/>
            </w:pPr>
            <w:r>
              <w:t>Handicap mental</w:t>
            </w:r>
          </w:p>
        </w:tc>
        <w:tc>
          <w:tcPr>
            <w:tcW w:w="1645" w:type="dxa"/>
          </w:tcPr>
          <w:p w:rsidR="00000000" w:rsidRDefault="00000000">
            <w:pPr>
              <w:spacing w:before="45" w:after="45"/>
              <w:ind w:right="245"/>
              <w:jc w:val="right"/>
            </w:pPr>
            <w:r>
              <w:t>221</w:t>
            </w:r>
          </w:p>
        </w:tc>
        <w:tc>
          <w:tcPr>
            <w:tcW w:w="1645" w:type="dxa"/>
          </w:tcPr>
          <w:p w:rsidR="00000000" w:rsidRDefault="00000000">
            <w:pPr>
              <w:spacing w:before="45" w:after="45"/>
              <w:ind w:right="245"/>
              <w:jc w:val="right"/>
            </w:pPr>
            <w:r>
              <w:t>67</w:t>
            </w:r>
          </w:p>
        </w:tc>
        <w:tc>
          <w:tcPr>
            <w:tcW w:w="1225" w:type="dxa"/>
          </w:tcPr>
          <w:p w:rsidR="00000000" w:rsidRDefault="00000000">
            <w:pPr>
              <w:spacing w:before="45" w:after="45"/>
              <w:ind w:right="245"/>
              <w:jc w:val="right"/>
            </w:pPr>
            <w:r>
              <w:t>288</w:t>
            </w:r>
          </w:p>
        </w:tc>
        <w:tc>
          <w:tcPr>
            <w:tcW w:w="1225" w:type="dxa"/>
          </w:tcPr>
          <w:p w:rsidR="00000000" w:rsidRDefault="00000000">
            <w:pPr>
              <w:spacing w:before="45" w:after="45"/>
              <w:ind w:right="245"/>
              <w:jc w:val="right"/>
            </w:pPr>
            <w:r>
              <w:t>42,5</w:t>
            </w:r>
          </w:p>
        </w:tc>
      </w:tr>
      <w:tr w:rsidR="00000000">
        <w:tblPrEx>
          <w:tblCellMar>
            <w:top w:w="0" w:type="dxa"/>
            <w:bottom w:w="0" w:type="dxa"/>
          </w:tblCellMar>
        </w:tblPrEx>
        <w:tc>
          <w:tcPr>
            <w:tcW w:w="3790" w:type="dxa"/>
          </w:tcPr>
          <w:p w:rsidR="00000000" w:rsidRDefault="00000000">
            <w:pPr>
              <w:spacing w:before="45" w:after="45"/>
            </w:pPr>
            <w:r>
              <w:t>Handicap physique</w:t>
            </w:r>
          </w:p>
        </w:tc>
        <w:tc>
          <w:tcPr>
            <w:tcW w:w="1645" w:type="dxa"/>
          </w:tcPr>
          <w:p w:rsidR="00000000" w:rsidRDefault="00000000">
            <w:pPr>
              <w:spacing w:before="45" w:after="45"/>
              <w:ind w:right="245"/>
              <w:jc w:val="right"/>
            </w:pPr>
            <w:r>
              <w:t>14</w:t>
            </w:r>
          </w:p>
        </w:tc>
        <w:tc>
          <w:tcPr>
            <w:tcW w:w="1645" w:type="dxa"/>
          </w:tcPr>
          <w:p w:rsidR="00000000" w:rsidRDefault="00000000">
            <w:pPr>
              <w:spacing w:before="45" w:after="45"/>
              <w:ind w:right="245"/>
              <w:jc w:val="right"/>
            </w:pPr>
            <w:r>
              <w:t>16</w:t>
            </w:r>
          </w:p>
        </w:tc>
        <w:tc>
          <w:tcPr>
            <w:tcW w:w="1225" w:type="dxa"/>
          </w:tcPr>
          <w:p w:rsidR="00000000" w:rsidRDefault="00000000">
            <w:pPr>
              <w:spacing w:before="45" w:after="45"/>
              <w:ind w:right="245"/>
              <w:jc w:val="right"/>
            </w:pPr>
            <w:r>
              <w:t>30</w:t>
            </w:r>
          </w:p>
        </w:tc>
        <w:tc>
          <w:tcPr>
            <w:tcW w:w="1225" w:type="dxa"/>
          </w:tcPr>
          <w:p w:rsidR="00000000" w:rsidRDefault="00000000">
            <w:pPr>
              <w:spacing w:before="45" w:after="45"/>
              <w:ind w:right="245"/>
              <w:jc w:val="right"/>
            </w:pPr>
            <w:r>
              <w:t>4,4</w:t>
            </w:r>
          </w:p>
        </w:tc>
      </w:tr>
      <w:tr w:rsidR="00000000">
        <w:tblPrEx>
          <w:tblCellMar>
            <w:top w:w="0" w:type="dxa"/>
            <w:bottom w:w="0" w:type="dxa"/>
          </w:tblCellMar>
        </w:tblPrEx>
        <w:tc>
          <w:tcPr>
            <w:tcW w:w="3790" w:type="dxa"/>
          </w:tcPr>
          <w:p w:rsidR="00000000" w:rsidRDefault="00000000">
            <w:pPr>
              <w:spacing w:before="45" w:after="45"/>
            </w:pPr>
            <w:r>
              <w:t>Handicaps multiples</w:t>
            </w:r>
          </w:p>
        </w:tc>
        <w:tc>
          <w:tcPr>
            <w:tcW w:w="1645" w:type="dxa"/>
          </w:tcPr>
          <w:p w:rsidR="00000000" w:rsidRDefault="00000000">
            <w:pPr>
              <w:spacing w:before="45" w:after="45"/>
              <w:ind w:right="245"/>
              <w:jc w:val="right"/>
            </w:pPr>
            <w:r>
              <w:t>15</w:t>
            </w:r>
          </w:p>
        </w:tc>
        <w:tc>
          <w:tcPr>
            <w:tcW w:w="1645" w:type="dxa"/>
          </w:tcPr>
          <w:p w:rsidR="00000000" w:rsidRDefault="00000000">
            <w:pPr>
              <w:spacing w:before="45" w:after="45"/>
              <w:ind w:right="245"/>
              <w:jc w:val="right"/>
            </w:pPr>
            <w:r>
              <w:t>1</w:t>
            </w:r>
          </w:p>
        </w:tc>
        <w:tc>
          <w:tcPr>
            <w:tcW w:w="1225" w:type="dxa"/>
          </w:tcPr>
          <w:p w:rsidR="00000000" w:rsidRDefault="00000000">
            <w:pPr>
              <w:spacing w:before="45" w:after="45"/>
              <w:ind w:right="245"/>
              <w:jc w:val="right"/>
            </w:pPr>
            <w:r>
              <w:t>16</w:t>
            </w:r>
          </w:p>
        </w:tc>
        <w:tc>
          <w:tcPr>
            <w:tcW w:w="1225" w:type="dxa"/>
          </w:tcPr>
          <w:p w:rsidR="00000000" w:rsidRDefault="00000000">
            <w:pPr>
              <w:spacing w:before="45" w:after="45"/>
              <w:ind w:right="245"/>
              <w:jc w:val="right"/>
            </w:pPr>
            <w:r>
              <w:t>2,4</w:t>
            </w:r>
          </w:p>
        </w:tc>
      </w:tr>
      <w:tr w:rsidR="00000000">
        <w:tblPrEx>
          <w:tblCellMar>
            <w:top w:w="0" w:type="dxa"/>
            <w:bottom w:w="0" w:type="dxa"/>
          </w:tblCellMar>
        </w:tblPrEx>
        <w:tc>
          <w:tcPr>
            <w:tcW w:w="3790" w:type="dxa"/>
          </w:tcPr>
          <w:p w:rsidR="00000000" w:rsidRDefault="00000000">
            <w:pPr>
              <w:spacing w:before="45" w:after="45"/>
            </w:pPr>
            <w:r>
              <w:t>Surdoués</w:t>
            </w:r>
          </w:p>
        </w:tc>
        <w:tc>
          <w:tcPr>
            <w:tcW w:w="1645" w:type="dxa"/>
          </w:tcPr>
          <w:p w:rsidR="00000000" w:rsidRDefault="00000000">
            <w:pPr>
              <w:spacing w:before="45" w:after="45"/>
              <w:ind w:right="245"/>
              <w:jc w:val="right"/>
            </w:pPr>
            <w:r>
              <w:t>0</w:t>
            </w:r>
          </w:p>
        </w:tc>
        <w:tc>
          <w:tcPr>
            <w:tcW w:w="1645" w:type="dxa"/>
          </w:tcPr>
          <w:p w:rsidR="00000000" w:rsidRDefault="00000000">
            <w:pPr>
              <w:spacing w:before="45" w:after="45"/>
              <w:ind w:right="245"/>
              <w:jc w:val="right"/>
            </w:pPr>
            <w:r>
              <w:t>0</w:t>
            </w:r>
          </w:p>
        </w:tc>
        <w:tc>
          <w:tcPr>
            <w:tcW w:w="1225" w:type="dxa"/>
          </w:tcPr>
          <w:p w:rsidR="00000000" w:rsidRDefault="00000000">
            <w:pPr>
              <w:spacing w:before="45" w:after="45"/>
              <w:ind w:right="245"/>
              <w:jc w:val="right"/>
            </w:pPr>
            <w:r>
              <w:t>0</w:t>
            </w:r>
          </w:p>
        </w:tc>
        <w:tc>
          <w:tcPr>
            <w:tcW w:w="1225" w:type="dxa"/>
          </w:tcPr>
          <w:p w:rsidR="00000000" w:rsidRDefault="00000000">
            <w:pPr>
              <w:spacing w:before="45" w:after="45"/>
              <w:ind w:right="245"/>
              <w:jc w:val="right"/>
            </w:pPr>
            <w:r>
              <w:t>0,0</w:t>
            </w:r>
          </w:p>
        </w:tc>
      </w:tr>
      <w:tr w:rsidR="00000000">
        <w:tblPrEx>
          <w:tblCellMar>
            <w:top w:w="0" w:type="dxa"/>
            <w:bottom w:w="0" w:type="dxa"/>
          </w:tblCellMar>
        </w:tblPrEx>
        <w:tc>
          <w:tcPr>
            <w:tcW w:w="3790" w:type="dxa"/>
          </w:tcPr>
          <w:p w:rsidR="00000000" w:rsidRDefault="00000000">
            <w:pPr>
              <w:pStyle w:val="Heading1"/>
              <w:keepNext w:val="0"/>
              <w:spacing w:before="45" w:after="45"/>
            </w:pPr>
            <w:r>
              <w:t>Total</w:t>
            </w:r>
          </w:p>
        </w:tc>
        <w:tc>
          <w:tcPr>
            <w:tcW w:w="1645" w:type="dxa"/>
          </w:tcPr>
          <w:p w:rsidR="00000000" w:rsidRDefault="00000000">
            <w:pPr>
              <w:spacing w:before="45" w:after="45"/>
              <w:ind w:right="245"/>
              <w:jc w:val="right"/>
              <w:rPr>
                <w:b/>
                <w:bCs/>
              </w:rPr>
            </w:pPr>
            <w:r>
              <w:rPr>
                <w:b/>
                <w:bCs/>
              </w:rPr>
              <w:t>529</w:t>
            </w:r>
          </w:p>
        </w:tc>
        <w:tc>
          <w:tcPr>
            <w:tcW w:w="1645" w:type="dxa"/>
          </w:tcPr>
          <w:p w:rsidR="00000000" w:rsidRDefault="00000000">
            <w:pPr>
              <w:spacing w:before="45" w:after="45"/>
              <w:ind w:right="245"/>
              <w:jc w:val="right"/>
              <w:rPr>
                <w:b/>
                <w:bCs/>
              </w:rPr>
            </w:pPr>
            <w:r>
              <w:rPr>
                <w:b/>
                <w:bCs/>
              </w:rPr>
              <w:t>149</w:t>
            </w:r>
          </w:p>
        </w:tc>
        <w:tc>
          <w:tcPr>
            <w:tcW w:w="1225" w:type="dxa"/>
          </w:tcPr>
          <w:p w:rsidR="00000000" w:rsidRDefault="00000000">
            <w:pPr>
              <w:spacing w:before="45" w:after="45"/>
              <w:ind w:right="245"/>
              <w:jc w:val="right"/>
              <w:rPr>
                <w:b/>
                <w:bCs/>
              </w:rPr>
            </w:pPr>
            <w:r>
              <w:rPr>
                <w:b/>
                <w:bCs/>
              </w:rPr>
              <w:t>678</w:t>
            </w:r>
          </w:p>
        </w:tc>
        <w:tc>
          <w:tcPr>
            <w:tcW w:w="1225" w:type="dxa"/>
          </w:tcPr>
          <w:p w:rsidR="00000000" w:rsidRDefault="00000000">
            <w:pPr>
              <w:spacing w:before="45" w:after="45"/>
              <w:ind w:right="245"/>
              <w:jc w:val="right"/>
              <w:rPr>
                <w:b/>
                <w:bCs/>
              </w:rPr>
            </w:pPr>
            <w:r>
              <w:rPr>
                <w:b/>
                <w:bCs/>
              </w:rPr>
              <w:t>100,0</w:t>
            </w:r>
          </w:p>
        </w:tc>
      </w:tr>
    </w:tbl>
    <w:p w:rsidR="00000000" w:rsidRDefault="00000000">
      <w:pPr>
        <w:spacing w:before="180" w:after="180"/>
        <w:ind w:firstLine="567"/>
      </w:pPr>
      <w:r>
        <w:rPr>
          <w:i/>
          <w:iCs/>
        </w:rPr>
        <w:t>Source</w:t>
      </w:r>
      <w:r>
        <w:t>: Services départementaux d’éducation.</w:t>
      </w:r>
    </w:p>
    <w:p w:rsidR="00000000" w:rsidRDefault="00000000">
      <w:pPr>
        <w:spacing w:after="180"/>
        <w:ind w:firstLine="567"/>
      </w:pPr>
      <w:r>
        <w:rPr>
          <w:i/>
          <w:iCs/>
        </w:rPr>
        <w:t>Établi par</w:t>
      </w:r>
      <w:r>
        <w:t>: Direction de l’analyse (Ministère de l’éducation).</w:t>
      </w:r>
    </w:p>
    <w:p w:rsidR="00000000" w:rsidRDefault="00000000">
      <w:pPr>
        <w:spacing w:after="360"/>
      </w:pPr>
      <w:r>
        <w:rPr>
          <w:b/>
          <w:bCs/>
          <w:vertAlign w:val="superscript"/>
        </w:rPr>
        <w:t>*</w:t>
      </w:r>
      <w:r>
        <w:t xml:space="preserve"> Le nombre total de centres ne correspond pas nécessairement à la somme de ceux</w:t>
      </w:r>
      <w:r>
        <w:noBreakHyphen/>
        <w:t>ci, un centre pouvant être spécialisé dans plus d’un secteur.</w:t>
      </w:r>
    </w:p>
    <w:p w:rsidR="00000000" w:rsidRDefault="00000000">
      <w:pPr>
        <w:spacing w:after="240"/>
      </w:pPr>
      <w:r>
        <w:t>231.</w:t>
      </w:r>
      <w:r>
        <w:tab/>
        <w:t>En 2002, il existait 102 centres d’éducation spécialisée dans le pays, tant en zone urbaine qu’en zone rurale, la plupart d’entre eux dans le domaine des difficultés d’apprentissage et des handicaps mentaux (tableau 14).</w:t>
      </w:r>
    </w:p>
    <w:p w:rsidR="00000000" w:rsidRDefault="00000000">
      <w:pPr>
        <w:keepNext/>
        <w:spacing w:after="240"/>
        <w:jc w:val="center"/>
        <w:rPr>
          <w:b/>
          <w:bCs/>
        </w:rPr>
      </w:pPr>
      <w:r>
        <w:rPr>
          <w:b/>
          <w:bCs/>
        </w:rPr>
        <w:t>Tableau 14</w:t>
      </w:r>
    </w:p>
    <w:p w:rsidR="00000000" w:rsidRDefault="00000000">
      <w:pPr>
        <w:keepNext/>
        <w:spacing w:after="240"/>
        <w:jc w:val="center"/>
        <w:rPr>
          <w:b/>
          <w:bCs/>
        </w:rPr>
      </w:pPr>
      <w:r>
        <w:rPr>
          <w:b/>
          <w:bCs/>
        </w:rPr>
        <w:t>Bolivie: Nombre de centres d’éducation spéciale par type de handicap</w:t>
      </w:r>
      <w:r>
        <w:rPr>
          <w:b/>
          <w:bCs/>
          <w:vertAlign w:val="superscript"/>
        </w:rPr>
        <w:t>*</w:t>
      </w:r>
      <w:r>
        <w:rPr>
          <w:b/>
          <w:bCs/>
        </w:rPr>
        <w:t xml:space="preserve"> (2002)</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70"/>
        <w:gridCol w:w="2312"/>
        <w:gridCol w:w="2313"/>
      </w:tblGrid>
      <w:tr w:rsidR="00000000">
        <w:tblPrEx>
          <w:tblCellMar>
            <w:top w:w="0" w:type="dxa"/>
            <w:bottom w:w="0" w:type="dxa"/>
          </w:tblCellMar>
        </w:tblPrEx>
        <w:tc>
          <w:tcPr>
            <w:tcW w:w="4870" w:type="dxa"/>
            <w:vAlign w:val="center"/>
          </w:tcPr>
          <w:p w:rsidR="00000000" w:rsidRDefault="00000000">
            <w:pPr>
              <w:spacing w:before="45" w:after="45"/>
              <w:jc w:val="center"/>
            </w:pPr>
            <w:r>
              <w:t>Secteur</w:t>
            </w:r>
          </w:p>
        </w:tc>
        <w:tc>
          <w:tcPr>
            <w:tcW w:w="2312" w:type="dxa"/>
            <w:vAlign w:val="center"/>
          </w:tcPr>
          <w:p w:rsidR="00000000" w:rsidRDefault="00000000">
            <w:pPr>
              <w:spacing w:before="45" w:after="45"/>
              <w:jc w:val="center"/>
            </w:pPr>
            <w:r>
              <w:t>Centres</w:t>
            </w:r>
          </w:p>
        </w:tc>
        <w:tc>
          <w:tcPr>
            <w:tcW w:w="2313" w:type="dxa"/>
            <w:vAlign w:val="center"/>
          </w:tcPr>
          <w:p w:rsidR="00000000" w:rsidRDefault="00000000">
            <w:pPr>
              <w:spacing w:before="45" w:after="45"/>
              <w:jc w:val="center"/>
            </w:pPr>
            <w:r>
              <w:t>En pourcentage</w:t>
            </w:r>
          </w:p>
        </w:tc>
      </w:tr>
      <w:tr w:rsidR="00000000">
        <w:tblPrEx>
          <w:tblCellMar>
            <w:top w:w="0" w:type="dxa"/>
            <w:bottom w:w="0" w:type="dxa"/>
          </w:tblCellMar>
        </w:tblPrEx>
        <w:tc>
          <w:tcPr>
            <w:tcW w:w="4870" w:type="dxa"/>
          </w:tcPr>
          <w:p w:rsidR="00000000" w:rsidRDefault="00000000">
            <w:pPr>
              <w:spacing w:before="45" w:after="45"/>
            </w:pPr>
            <w:r>
              <w:t>Difficultés d’apprentissage</w:t>
            </w:r>
          </w:p>
        </w:tc>
        <w:tc>
          <w:tcPr>
            <w:tcW w:w="2312" w:type="dxa"/>
          </w:tcPr>
          <w:p w:rsidR="00000000" w:rsidRDefault="00000000">
            <w:pPr>
              <w:spacing w:before="45" w:after="45"/>
              <w:jc w:val="right"/>
            </w:pPr>
            <w:r>
              <w:t>45</w:t>
            </w:r>
          </w:p>
        </w:tc>
        <w:tc>
          <w:tcPr>
            <w:tcW w:w="2313" w:type="dxa"/>
          </w:tcPr>
          <w:p w:rsidR="00000000" w:rsidRDefault="00000000">
            <w:pPr>
              <w:spacing w:before="45" w:after="45"/>
              <w:jc w:val="right"/>
            </w:pPr>
            <w:r>
              <w:t>44,1</w:t>
            </w:r>
          </w:p>
        </w:tc>
      </w:tr>
      <w:tr w:rsidR="00000000">
        <w:tblPrEx>
          <w:tblCellMar>
            <w:top w:w="0" w:type="dxa"/>
            <w:bottom w:w="0" w:type="dxa"/>
          </w:tblCellMar>
        </w:tblPrEx>
        <w:tc>
          <w:tcPr>
            <w:tcW w:w="4870" w:type="dxa"/>
          </w:tcPr>
          <w:p w:rsidR="00000000" w:rsidRDefault="00000000">
            <w:pPr>
              <w:spacing w:before="45" w:after="45"/>
            </w:pPr>
            <w:r>
              <w:t>Handicap auditif</w:t>
            </w:r>
          </w:p>
        </w:tc>
        <w:tc>
          <w:tcPr>
            <w:tcW w:w="2312" w:type="dxa"/>
          </w:tcPr>
          <w:p w:rsidR="00000000" w:rsidRDefault="00000000">
            <w:pPr>
              <w:spacing w:before="45" w:after="45"/>
              <w:jc w:val="right"/>
              <w:rPr>
                <w:lang w:val="nl-NL"/>
              </w:rPr>
            </w:pPr>
            <w:r>
              <w:rPr>
                <w:lang w:val="nl-NL"/>
              </w:rPr>
              <w:t>31</w:t>
            </w:r>
          </w:p>
        </w:tc>
        <w:tc>
          <w:tcPr>
            <w:tcW w:w="2313" w:type="dxa"/>
          </w:tcPr>
          <w:p w:rsidR="00000000" w:rsidRDefault="00000000">
            <w:pPr>
              <w:spacing w:before="45" w:after="45"/>
              <w:jc w:val="right"/>
              <w:rPr>
                <w:lang w:val="nl-NL"/>
              </w:rPr>
            </w:pPr>
            <w:r>
              <w:rPr>
                <w:lang w:val="nl-NL"/>
              </w:rPr>
              <w:t>30,4</w:t>
            </w:r>
          </w:p>
        </w:tc>
      </w:tr>
      <w:tr w:rsidR="00000000">
        <w:tblPrEx>
          <w:tblCellMar>
            <w:top w:w="0" w:type="dxa"/>
            <w:bottom w:w="0" w:type="dxa"/>
          </w:tblCellMar>
        </w:tblPrEx>
        <w:tc>
          <w:tcPr>
            <w:tcW w:w="4870" w:type="dxa"/>
          </w:tcPr>
          <w:p w:rsidR="00000000" w:rsidRDefault="00000000">
            <w:pPr>
              <w:spacing w:before="45" w:after="45"/>
              <w:rPr>
                <w:lang w:val="nl-NL"/>
              </w:rPr>
            </w:pPr>
            <w:r>
              <w:rPr>
                <w:lang w:val="nl-NL"/>
              </w:rPr>
              <w:t>Handicap visuel</w:t>
            </w:r>
          </w:p>
        </w:tc>
        <w:tc>
          <w:tcPr>
            <w:tcW w:w="2312" w:type="dxa"/>
          </w:tcPr>
          <w:p w:rsidR="00000000" w:rsidRDefault="00000000">
            <w:pPr>
              <w:spacing w:before="45" w:after="45"/>
              <w:jc w:val="right"/>
              <w:rPr>
                <w:lang w:val="nl-NL"/>
              </w:rPr>
            </w:pPr>
            <w:r>
              <w:rPr>
                <w:lang w:val="nl-NL"/>
              </w:rPr>
              <w:t>25</w:t>
            </w:r>
          </w:p>
        </w:tc>
        <w:tc>
          <w:tcPr>
            <w:tcW w:w="2313" w:type="dxa"/>
          </w:tcPr>
          <w:p w:rsidR="00000000" w:rsidRDefault="00000000">
            <w:pPr>
              <w:spacing w:before="45" w:after="45"/>
              <w:jc w:val="right"/>
              <w:rPr>
                <w:lang w:val="nl-NL"/>
              </w:rPr>
            </w:pPr>
            <w:r>
              <w:rPr>
                <w:lang w:val="nl-NL"/>
              </w:rPr>
              <w:t>24,5</w:t>
            </w:r>
          </w:p>
        </w:tc>
      </w:tr>
      <w:tr w:rsidR="00000000">
        <w:tblPrEx>
          <w:tblCellMar>
            <w:top w:w="0" w:type="dxa"/>
            <w:bottom w:w="0" w:type="dxa"/>
          </w:tblCellMar>
        </w:tblPrEx>
        <w:tc>
          <w:tcPr>
            <w:tcW w:w="4870" w:type="dxa"/>
          </w:tcPr>
          <w:p w:rsidR="00000000" w:rsidRDefault="00000000">
            <w:pPr>
              <w:spacing w:before="45" w:after="45"/>
              <w:rPr>
                <w:lang w:val="nl-NL"/>
              </w:rPr>
            </w:pPr>
            <w:r>
              <w:rPr>
                <w:lang w:val="nl-NL"/>
              </w:rPr>
              <w:t>Handicap mental</w:t>
            </w:r>
          </w:p>
        </w:tc>
        <w:tc>
          <w:tcPr>
            <w:tcW w:w="2312" w:type="dxa"/>
          </w:tcPr>
          <w:p w:rsidR="00000000" w:rsidRDefault="00000000">
            <w:pPr>
              <w:spacing w:before="45" w:after="45"/>
              <w:jc w:val="right"/>
            </w:pPr>
            <w:r>
              <w:t>36</w:t>
            </w:r>
          </w:p>
        </w:tc>
        <w:tc>
          <w:tcPr>
            <w:tcW w:w="2313" w:type="dxa"/>
          </w:tcPr>
          <w:p w:rsidR="00000000" w:rsidRDefault="00000000">
            <w:pPr>
              <w:spacing w:before="45" w:after="45"/>
              <w:jc w:val="right"/>
            </w:pPr>
            <w:r>
              <w:t>35,3</w:t>
            </w:r>
          </w:p>
        </w:tc>
      </w:tr>
      <w:tr w:rsidR="00000000">
        <w:tblPrEx>
          <w:tblCellMar>
            <w:top w:w="0" w:type="dxa"/>
            <w:bottom w:w="0" w:type="dxa"/>
          </w:tblCellMar>
        </w:tblPrEx>
        <w:tc>
          <w:tcPr>
            <w:tcW w:w="4870" w:type="dxa"/>
          </w:tcPr>
          <w:p w:rsidR="00000000" w:rsidRDefault="00000000">
            <w:pPr>
              <w:pStyle w:val="Header"/>
              <w:spacing w:before="45" w:after="45"/>
            </w:pPr>
            <w:r>
              <w:t>Handicap physique</w:t>
            </w:r>
          </w:p>
        </w:tc>
        <w:tc>
          <w:tcPr>
            <w:tcW w:w="2312" w:type="dxa"/>
          </w:tcPr>
          <w:p w:rsidR="00000000" w:rsidRDefault="00000000">
            <w:pPr>
              <w:spacing w:before="45" w:after="45"/>
              <w:jc w:val="right"/>
            </w:pPr>
            <w:r>
              <w:t>21</w:t>
            </w:r>
          </w:p>
        </w:tc>
        <w:tc>
          <w:tcPr>
            <w:tcW w:w="2313" w:type="dxa"/>
          </w:tcPr>
          <w:p w:rsidR="00000000" w:rsidRDefault="00000000">
            <w:pPr>
              <w:spacing w:before="45" w:after="45"/>
              <w:jc w:val="right"/>
            </w:pPr>
            <w:r>
              <w:t>20,6</w:t>
            </w:r>
          </w:p>
        </w:tc>
      </w:tr>
      <w:tr w:rsidR="00000000">
        <w:tblPrEx>
          <w:tblCellMar>
            <w:top w:w="0" w:type="dxa"/>
            <w:bottom w:w="0" w:type="dxa"/>
          </w:tblCellMar>
        </w:tblPrEx>
        <w:tc>
          <w:tcPr>
            <w:tcW w:w="4870" w:type="dxa"/>
          </w:tcPr>
          <w:p w:rsidR="00000000" w:rsidRDefault="00000000">
            <w:pPr>
              <w:spacing w:before="45" w:after="45"/>
            </w:pPr>
            <w:r>
              <w:t>Handicaps multiples</w:t>
            </w:r>
          </w:p>
        </w:tc>
        <w:tc>
          <w:tcPr>
            <w:tcW w:w="2312" w:type="dxa"/>
          </w:tcPr>
          <w:p w:rsidR="00000000" w:rsidRDefault="00000000">
            <w:pPr>
              <w:spacing w:before="45" w:after="45"/>
              <w:jc w:val="right"/>
            </w:pPr>
            <w:r>
              <w:t>7</w:t>
            </w:r>
          </w:p>
        </w:tc>
        <w:tc>
          <w:tcPr>
            <w:tcW w:w="2313" w:type="dxa"/>
          </w:tcPr>
          <w:p w:rsidR="00000000" w:rsidRDefault="00000000">
            <w:pPr>
              <w:spacing w:before="45" w:after="45"/>
              <w:jc w:val="right"/>
            </w:pPr>
            <w:r>
              <w:t>6,9</w:t>
            </w:r>
          </w:p>
        </w:tc>
      </w:tr>
      <w:tr w:rsidR="00000000">
        <w:tblPrEx>
          <w:tblCellMar>
            <w:top w:w="0" w:type="dxa"/>
            <w:bottom w:w="0" w:type="dxa"/>
          </w:tblCellMar>
        </w:tblPrEx>
        <w:tc>
          <w:tcPr>
            <w:tcW w:w="4870" w:type="dxa"/>
          </w:tcPr>
          <w:p w:rsidR="00000000" w:rsidRDefault="00000000">
            <w:pPr>
              <w:spacing w:before="45" w:after="45"/>
            </w:pPr>
            <w:r>
              <w:t>Surdoués</w:t>
            </w:r>
          </w:p>
        </w:tc>
        <w:tc>
          <w:tcPr>
            <w:tcW w:w="2312" w:type="dxa"/>
          </w:tcPr>
          <w:p w:rsidR="00000000" w:rsidRDefault="00000000">
            <w:pPr>
              <w:spacing w:before="45" w:after="45"/>
              <w:jc w:val="right"/>
            </w:pPr>
            <w:r>
              <w:t>0</w:t>
            </w:r>
          </w:p>
        </w:tc>
        <w:tc>
          <w:tcPr>
            <w:tcW w:w="2313" w:type="dxa"/>
          </w:tcPr>
          <w:p w:rsidR="00000000" w:rsidRDefault="00000000">
            <w:pPr>
              <w:spacing w:before="45" w:after="45"/>
              <w:jc w:val="right"/>
            </w:pPr>
            <w:r>
              <w:t>0,0</w:t>
            </w:r>
          </w:p>
        </w:tc>
      </w:tr>
      <w:tr w:rsidR="00000000">
        <w:tblPrEx>
          <w:tblCellMar>
            <w:top w:w="0" w:type="dxa"/>
            <w:bottom w:w="0" w:type="dxa"/>
          </w:tblCellMar>
        </w:tblPrEx>
        <w:tc>
          <w:tcPr>
            <w:tcW w:w="4870" w:type="dxa"/>
          </w:tcPr>
          <w:p w:rsidR="00000000" w:rsidRDefault="00000000">
            <w:pPr>
              <w:spacing w:before="45" w:after="45"/>
              <w:rPr>
                <w:b/>
                <w:bCs/>
              </w:rPr>
            </w:pPr>
            <w:r>
              <w:rPr>
                <w:b/>
                <w:bCs/>
              </w:rPr>
              <w:t>Total</w:t>
            </w:r>
          </w:p>
        </w:tc>
        <w:tc>
          <w:tcPr>
            <w:tcW w:w="2312" w:type="dxa"/>
          </w:tcPr>
          <w:p w:rsidR="00000000" w:rsidRDefault="00000000">
            <w:pPr>
              <w:spacing w:before="45" w:after="45"/>
              <w:jc w:val="right"/>
              <w:rPr>
                <w:b/>
                <w:bCs/>
              </w:rPr>
            </w:pPr>
            <w:r>
              <w:rPr>
                <w:b/>
                <w:bCs/>
              </w:rPr>
              <w:t>102</w:t>
            </w:r>
          </w:p>
        </w:tc>
        <w:tc>
          <w:tcPr>
            <w:tcW w:w="2313" w:type="dxa"/>
          </w:tcPr>
          <w:p w:rsidR="00000000" w:rsidRDefault="00000000">
            <w:pPr>
              <w:spacing w:before="45" w:after="45"/>
              <w:jc w:val="right"/>
              <w:rPr>
                <w:b/>
                <w:bCs/>
              </w:rPr>
            </w:pPr>
            <w:r>
              <w:rPr>
                <w:b/>
                <w:bCs/>
              </w:rPr>
              <w:t>100,0</w:t>
            </w:r>
          </w:p>
        </w:tc>
      </w:tr>
    </w:tbl>
    <w:p w:rsidR="00000000" w:rsidRDefault="00000000">
      <w:pPr>
        <w:spacing w:before="180" w:after="180"/>
        <w:ind w:firstLine="567"/>
      </w:pPr>
      <w:r>
        <w:rPr>
          <w:i/>
          <w:iCs/>
        </w:rPr>
        <w:t xml:space="preserve">Source: </w:t>
      </w:r>
      <w:r>
        <w:t>Services départementaux d’éducation.</w:t>
      </w:r>
    </w:p>
    <w:p w:rsidR="00000000" w:rsidRDefault="00000000">
      <w:pPr>
        <w:spacing w:after="180"/>
        <w:ind w:firstLine="567"/>
      </w:pPr>
      <w:r>
        <w:rPr>
          <w:i/>
          <w:iCs/>
        </w:rPr>
        <w:t>Établi par</w:t>
      </w:r>
      <w:r>
        <w:t>: Direction de l’analyse (Ministère de l’éducation).</w:t>
      </w:r>
    </w:p>
    <w:p w:rsidR="00000000" w:rsidRDefault="00000000">
      <w:pPr>
        <w:spacing w:after="360"/>
      </w:pPr>
      <w:r>
        <w:rPr>
          <w:b/>
          <w:bCs/>
          <w:vertAlign w:val="superscript"/>
        </w:rPr>
        <w:t>*</w:t>
      </w:r>
      <w:r>
        <w:t xml:space="preserve"> Le nombre total de centres ne correspond pas nécessairement à la somme de ceux</w:t>
      </w:r>
      <w:r>
        <w:noBreakHyphen/>
        <w:t>ci, un centre pouvant être spécialisé dans plus d’un secteur.</w:t>
      </w:r>
    </w:p>
    <w:p w:rsidR="00000000" w:rsidRDefault="00000000">
      <w:pPr>
        <w:spacing w:after="240"/>
      </w:pPr>
      <w:r>
        <w:t>232.</w:t>
      </w:r>
      <w:r>
        <w:tab/>
        <w:t>Cependant, il existe actuellement des problèmes en matière d’éducation spécialisée, qui tiennent, notamment, aux programmes, à la formation des enseignants, à l’infrastructure, à la structure administrative, et qui n’ont toujours pas été réglés. Un type de difficulté, sur lequel l’État a peu de contrôle direct, est lié au fait que la communauté ne s’engage pas en faveur de l’éducation spécialisée</w:t>
      </w:r>
      <w:r>
        <w:rPr>
          <w:rStyle w:val="FootnoteReference"/>
        </w:rPr>
        <w:footnoteReference w:id="22"/>
      </w:r>
      <w:r>
        <w:t>.</w:t>
      </w:r>
    </w:p>
    <w:p w:rsidR="00000000" w:rsidRDefault="00000000">
      <w:pPr>
        <w:keepNext/>
        <w:spacing w:after="240"/>
        <w:jc w:val="center"/>
        <w:rPr>
          <w:b/>
          <w:bCs/>
        </w:rPr>
      </w:pPr>
      <w:r>
        <w:rPr>
          <w:b/>
          <w:bCs/>
        </w:rPr>
        <w:t>ENSEIGNEMENT PRIMAIRE OBLIGATOIRE ET GRATUIT</w:t>
      </w:r>
    </w:p>
    <w:p w:rsidR="00000000" w:rsidRDefault="00000000">
      <w:pPr>
        <w:spacing w:after="240"/>
      </w:pPr>
      <w:r>
        <w:t>233.</w:t>
      </w:r>
      <w:r>
        <w:tab/>
        <w:t>Comme cela a déjà été indiqué au sujet de l’article 13, l’enseignement primaire en Bolivie est obligatoire et gratuit. Par conséquent, pour rendre l’enseignement plus accessible et, en même temps, améliorer les conditions dans le secondaire, la Bolivie a adopté une politique éducative tendant à accroître la couverture, l’accessibilité et le maintien à l’école. Bien qu’il persiste encore quelques problèmes, on a enregistré des progrès importants qui peuvent être évalués grâce aux indicateurs comparant les données pour 1992 et 2001.</w:t>
      </w:r>
    </w:p>
    <w:p w:rsidR="00000000" w:rsidRDefault="00000000">
      <w:pPr>
        <w:spacing w:after="240"/>
      </w:pPr>
      <w:r>
        <w:t>234.</w:t>
      </w:r>
      <w:r>
        <w:tab/>
        <w:t>Actuellement, l’objectif du Plan d’opération pluriannuel 2004</w:t>
      </w:r>
      <w:r>
        <w:noBreakHyphen/>
        <w:t>2008 du Ministère de l’éducation est d’améliorer la qualité du système éducatif national et de favoriser l’accès et le maintien la population qui est victime d’un degré d’exclusion élevé.</w:t>
      </w:r>
    </w:p>
    <w:p w:rsidR="00000000" w:rsidRDefault="00000000">
      <w:pPr>
        <w:spacing w:after="240"/>
      </w:pPr>
      <w:r>
        <w:t>235.</w:t>
      </w:r>
      <w:r>
        <w:tab/>
        <w:t>Dans l’une des observations finales qu’il a adressées à l’État bolivien, le Comité des droits économiques, sociaux et culturels de l’ONU se disait préoccupé par la lenteur des progrès de l’alphabétisation, par les taux d’analphabétisme qui demeurent élevés en Bolivie, et par le taux élevé d’enfants qui ne sont pas scolarisés. On trouvera ci</w:t>
      </w:r>
      <w:r>
        <w:noBreakHyphen/>
        <w:t>après quelques</w:t>
      </w:r>
      <w:r>
        <w:noBreakHyphen/>
        <w:t>uns des résultats obtenus à cet égard en 2001.</w:t>
      </w:r>
    </w:p>
    <w:p w:rsidR="00000000" w:rsidRDefault="00000000">
      <w:pPr>
        <w:spacing w:after="240"/>
      </w:pPr>
      <w:r>
        <w:t>236.</w:t>
      </w:r>
      <w:r>
        <w:tab/>
        <w:t>Comme indiqué précédemment, la situation dans le domaine de l’éducation est analysée en se servant d’indicateurs de résultats comme, entre autres, le taux d’analphabétisme, l’accès et le maintien des enfants à l’école. Il convient néanmoins de signaler que les résultats du système d’éducation nationale (SEN) reflètent non seulement l’effort accompli dans le secteur pertinent, mais encore qu’ils dépendent du milieu familial des élèves et de la situation économique du pays. Le fait que la Bolivie soit l’un des pays les plus pauvres de l’Amérique latine, avec la moitié de sa population vivant sous le seuil de pauvreté, a une influence négative sur les résultats scolaires.</w:t>
      </w:r>
    </w:p>
    <w:p w:rsidR="00000000" w:rsidRDefault="00000000">
      <w:pPr>
        <w:spacing w:after="240"/>
      </w:pPr>
      <w:r>
        <w:t>237.</w:t>
      </w:r>
      <w:r>
        <w:tab/>
        <w:t>En Bolivie, le taux d’analphabétisme de la population âgée de 15 ans ou plus était, d’après le recensement de 2001, de 13,3 %. Bien que ce taux soit inférieur à celui du précédent recensement (tableau 15), son niveau demeure néanmoins préoccupant, tout comme les différences selon le sexe et la zone géographique. L’analphabétisme atteint un niveau élevé en zone rurale (25,8 %), et il touche davantage les femmes (37,9 %) que les hommes (14,4 %).</w:t>
      </w:r>
    </w:p>
    <w:p w:rsidR="00000000" w:rsidRDefault="00000000">
      <w:pPr>
        <w:keepNext/>
        <w:spacing w:after="240"/>
        <w:jc w:val="center"/>
        <w:rPr>
          <w:b/>
          <w:bCs/>
        </w:rPr>
      </w:pPr>
      <w:r>
        <w:rPr>
          <w:b/>
          <w:bCs/>
        </w:rPr>
        <w:t>Tableau 15</w:t>
      </w:r>
    </w:p>
    <w:p w:rsidR="00000000" w:rsidRDefault="00000000">
      <w:pPr>
        <w:keepNext/>
        <w:spacing w:after="240"/>
        <w:jc w:val="center"/>
      </w:pPr>
      <w:r>
        <w:rPr>
          <w:b/>
          <w:bCs/>
        </w:rPr>
        <w:t>Évolution de certains indicateurs</w:t>
      </w:r>
      <w:r>
        <w:br/>
        <w:t>(</w:t>
      </w:r>
      <w:r>
        <w:rPr>
          <w:i/>
          <w:iCs/>
        </w:rPr>
        <w:t>En pourcentage</w:t>
      </w:r>
      <w:r>
        <w:t>)</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70"/>
        <w:gridCol w:w="2340"/>
        <w:gridCol w:w="2340"/>
      </w:tblGrid>
      <w:tr w:rsidR="00000000">
        <w:tblPrEx>
          <w:tblCellMar>
            <w:top w:w="0" w:type="dxa"/>
            <w:bottom w:w="0" w:type="dxa"/>
          </w:tblCellMar>
        </w:tblPrEx>
        <w:tc>
          <w:tcPr>
            <w:tcW w:w="4870" w:type="dxa"/>
            <w:vAlign w:val="center"/>
          </w:tcPr>
          <w:p w:rsidR="00000000" w:rsidRDefault="00000000">
            <w:pPr>
              <w:spacing w:before="60" w:after="60"/>
              <w:jc w:val="center"/>
            </w:pPr>
            <w:r>
              <w:t>Indicateur</w:t>
            </w:r>
          </w:p>
        </w:tc>
        <w:tc>
          <w:tcPr>
            <w:tcW w:w="2340" w:type="dxa"/>
            <w:vAlign w:val="center"/>
          </w:tcPr>
          <w:p w:rsidR="00000000" w:rsidRDefault="00000000">
            <w:pPr>
              <w:spacing w:before="60" w:after="60"/>
              <w:jc w:val="center"/>
            </w:pPr>
            <w:r>
              <w:t>1992</w:t>
            </w:r>
          </w:p>
        </w:tc>
        <w:tc>
          <w:tcPr>
            <w:tcW w:w="2340" w:type="dxa"/>
            <w:vAlign w:val="center"/>
          </w:tcPr>
          <w:p w:rsidR="00000000" w:rsidRDefault="00000000">
            <w:pPr>
              <w:spacing w:before="60" w:after="60"/>
              <w:jc w:val="center"/>
            </w:pPr>
            <w:r>
              <w:t>2001</w:t>
            </w:r>
          </w:p>
        </w:tc>
      </w:tr>
      <w:tr w:rsidR="00000000">
        <w:tblPrEx>
          <w:tblCellMar>
            <w:top w:w="0" w:type="dxa"/>
            <w:bottom w:w="0" w:type="dxa"/>
          </w:tblCellMar>
        </w:tblPrEx>
        <w:tc>
          <w:tcPr>
            <w:tcW w:w="4870" w:type="dxa"/>
          </w:tcPr>
          <w:p w:rsidR="00000000" w:rsidRDefault="00000000">
            <w:pPr>
              <w:spacing w:before="60" w:after="60"/>
            </w:pPr>
            <w:r>
              <w:t>Nombre moyen d’années d’étude</w:t>
            </w:r>
            <w:r>
              <w:rPr>
                <w:b/>
                <w:bCs/>
                <w:i/>
                <w:iCs/>
                <w:vertAlign w:val="superscript"/>
              </w:rPr>
              <w:t>1</w:t>
            </w:r>
          </w:p>
        </w:tc>
        <w:tc>
          <w:tcPr>
            <w:tcW w:w="2340" w:type="dxa"/>
          </w:tcPr>
          <w:p w:rsidR="00000000" w:rsidRDefault="00000000">
            <w:pPr>
              <w:spacing w:before="60" w:after="60"/>
              <w:jc w:val="right"/>
            </w:pPr>
            <w:r>
              <w:t>6,1</w:t>
            </w:r>
          </w:p>
        </w:tc>
        <w:tc>
          <w:tcPr>
            <w:tcW w:w="2340" w:type="dxa"/>
          </w:tcPr>
          <w:p w:rsidR="00000000" w:rsidRDefault="00000000">
            <w:pPr>
              <w:spacing w:before="60" w:after="60"/>
              <w:jc w:val="right"/>
            </w:pPr>
            <w:r>
              <w:t>7,4</w:t>
            </w:r>
          </w:p>
        </w:tc>
      </w:tr>
      <w:tr w:rsidR="00000000">
        <w:tblPrEx>
          <w:tblCellMar>
            <w:top w:w="0" w:type="dxa"/>
            <w:bottom w:w="0" w:type="dxa"/>
          </w:tblCellMar>
        </w:tblPrEx>
        <w:tc>
          <w:tcPr>
            <w:tcW w:w="4870" w:type="dxa"/>
          </w:tcPr>
          <w:p w:rsidR="00000000" w:rsidRDefault="00000000">
            <w:pPr>
              <w:spacing w:before="60" w:after="60"/>
            </w:pPr>
            <w:r>
              <w:t>Analphabétisme</w:t>
            </w:r>
            <w:r>
              <w:rPr>
                <w:b/>
                <w:bCs/>
                <w:i/>
                <w:iCs/>
                <w:vertAlign w:val="superscript"/>
              </w:rPr>
              <w:t>2</w:t>
            </w:r>
          </w:p>
        </w:tc>
        <w:tc>
          <w:tcPr>
            <w:tcW w:w="2340" w:type="dxa"/>
          </w:tcPr>
          <w:p w:rsidR="00000000" w:rsidRDefault="00000000">
            <w:pPr>
              <w:spacing w:before="60" w:after="60"/>
              <w:jc w:val="right"/>
            </w:pPr>
            <w:r>
              <w:t>20,0</w:t>
            </w:r>
          </w:p>
        </w:tc>
        <w:tc>
          <w:tcPr>
            <w:tcW w:w="2340" w:type="dxa"/>
          </w:tcPr>
          <w:p w:rsidR="00000000" w:rsidRDefault="00000000">
            <w:pPr>
              <w:spacing w:before="60" w:after="60"/>
              <w:jc w:val="right"/>
            </w:pPr>
            <w:r>
              <w:t>13,3</w:t>
            </w:r>
          </w:p>
        </w:tc>
      </w:tr>
      <w:tr w:rsidR="00000000">
        <w:tblPrEx>
          <w:tblCellMar>
            <w:top w:w="0" w:type="dxa"/>
            <w:bottom w:w="0" w:type="dxa"/>
          </w:tblCellMar>
        </w:tblPrEx>
        <w:tc>
          <w:tcPr>
            <w:tcW w:w="4870" w:type="dxa"/>
          </w:tcPr>
          <w:p w:rsidR="00000000" w:rsidRDefault="00000000">
            <w:pPr>
              <w:spacing w:before="60" w:after="60"/>
            </w:pPr>
            <w:r>
              <w:t>Pourcentage brut d’inscriptions (primaire)</w:t>
            </w:r>
          </w:p>
        </w:tc>
        <w:tc>
          <w:tcPr>
            <w:tcW w:w="2340" w:type="dxa"/>
          </w:tcPr>
          <w:p w:rsidR="00000000" w:rsidRDefault="00000000">
            <w:pPr>
              <w:spacing w:before="60" w:after="60"/>
              <w:jc w:val="right"/>
            </w:pPr>
            <w:r>
              <w:t>99,8</w:t>
            </w:r>
          </w:p>
        </w:tc>
        <w:tc>
          <w:tcPr>
            <w:tcW w:w="2340" w:type="dxa"/>
          </w:tcPr>
          <w:p w:rsidR="00000000" w:rsidRDefault="00000000">
            <w:pPr>
              <w:spacing w:before="60" w:after="60"/>
              <w:jc w:val="right"/>
            </w:pPr>
            <w:r>
              <w:t>108,4</w:t>
            </w:r>
          </w:p>
        </w:tc>
      </w:tr>
      <w:tr w:rsidR="00000000">
        <w:tblPrEx>
          <w:tblCellMar>
            <w:top w:w="0" w:type="dxa"/>
            <w:bottom w:w="0" w:type="dxa"/>
          </w:tblCellMar>
        </w:tblPrEx>
        <w:tc>
          <w:tcPr>
            <w:tcW w:w="4870" w:type="dxa"/>
          </w:tcPr>
          <w:p w:rsidR="00000000" w:rsidRDefault="00000000">
            <w:pPr>
              <w:spacing w:before="60" w:after="60"/>
            </w:pPr>
            <w:r>
              <w:t>Pourcentage brut d’inscriptions (tous niveaux)</w:t>
            </w:r>
          </w:p>
        </w:tc>
        <w:tc>
          <w:tcPr>
            <w:tcW w:w="2340" w:type="dxa"/>
          </w:tcPr>
          <w:p w:rsidR="00000000" w:rsidRDefault="00000000">
            <w:pPr>
              <w:spacing w:before="60" w:after="60"/>
              <w:jc w:val="right"/>
            </w:pPr>
            <w:r>
              <w:t>75,5</w:t>
            </w:r>
          </w:p>
        </w:tc>
        <w:tc>
          <w:tcPr>
            <w:tcW w:w="2340" w:type="dxa"/>
          </w:tcPr>
          <w:p w:rsidR="00000000" w:rsidRDefault="00000000">
            <w:pPr>
              <w:spacing w:before="60" w:after="60"/>
              <w:jc w:val="right"/>
            </w:pPr>
            <w:r>
              <w:t>88,4</w:t>
            </w:r>
          </w:p>
        </w:tc>
      </w:tr>
      <w:tr w:rsidR="00000000">
        <w:tblPrEx>
          <w:tblCellMar>
            <w:top w:w="0" w:type="dxa"/>
            <w:bottom w:w="0" w:type="dxa"/>
          </w:tblCellMar>
        </w:tblPrEx>
        <w:tc>
          <w:tcPr>
            <w:tcW w:w="4870" w:type="dxa"/>
          </w:tcPr>
          <w:p w:rsidR="00000000" w:rsidRDefault="00000000">
            <w:pPr>
              <w:spacing w:before="60" w:after="60"/>
            </w:pPr>
            <w:r>
              <w:t>Taux d’abandon (tous niveaux)</w:t>
            </w:r>
          </w:p>
        </w:tc>
        <w:tc>
          <w:tcPr>
            <w:tcW w:w="2340" w:type="dxa"/>
          </w:tcPr>
          <w:p w:rsidR="00000000" w:rsidRDefault="00000000">
            <w:pPr>
              <w:spacing w:before="60" w:after="60"/>
              <w:jc w:val="right"/>
            </w:pPr>
            <w:r>
              <w:t>10,1</w:t>
            </w:r>
          </w:p>
        </w:tc>
        <w:tc>
          <w:tcPr>
            <w:tcW w:w="2340" w:type="dxa"/>
          </w:tcPr>
          <w:p w:rsidR="00000000" w:rsidRDefault="00000000">
            <w:pPr>
              <w:spacing w:before="60" w:after="60"/>
              <w:jc w:val="right"/>
            </w:pPr>
            <w:r>
              <w:t>6,4</w:t>
            </w:r>
          </w:p>
        </w:tc>
      </w:tr>
      <w:tr w:rsidR="00000000">
        <w:tblPrEx>
          <w:tblCellMar>
            <w:top w:w="0" w:type="dxa"/>
            <w:bottom w:w="0" w:type="dxa"/>
          </w:tblCellMar>
        </w:tblPrEx>
        <w:tc>
          <w:tcPr>
            <w:tcW w:w="4870" w:type="dxa"/>
          </w:tcPr>
          <w:p w:rsidR="00000000" w:rsidRDefault="00000000">
            <w:pPr>
              <w:spacing w:before="60" w:after="60"/>
            </w:pPr>
            <w:r>
              <w:t>Taux d’achèvement (huit classes du primaire)</w:t>
            </w:r>
          </w:p>
        </w:tc>
        <w:tc>
          <w:tcPr>
            <w:tcW w:w="2340" w:type="dxa"/>
          </w:tcPr>
          <w:p w:rsidR="00000000" w:rsidRDefault="00000000">
            <w:pPr>
              <w:spacing w:before="60" w:after="60"/>
              <w:jc w:val="right"/>
            </w:pPr>
            <w:r>
              <w:t>55,4</w:t>
            </w:r>
          </w:p>
        </w:tc>
        <w:tc>
          <w:tcPr>
            <w:tcW w:w="2340" w:type="dxa"/>
          </w:tcPr>
          <w:p w:rsidR="00000000" w:rsidRDefault="00000000">
            <w:pPr>
              <w:spacing w:before="60" w:after="60"/>
              <w:jc w:val="right"/>
            </w:pPr>
            <w:r>
              <w:t>75,5</w:t>
            </w:r>
          </w:p>
        </w:tc>
      </w:tr>
      <w:tr w:rsidR="00000000">
        <w:tblPrEx>
          <w:tblCellMar>
            <w:top w:w="0" w:type="dxa"/>
            <w:bottom w:w="0" w:type="dxa"/>
          </w:tblCellMar>
        </w:tblPrEx>
        <w:tc>
          <w:tcPr>
            <w:tcW w:w="4870" w:type="dxa"/>
          </w:tcPr>
          <w:p w:rsidR="00000000" w:rsidRDefault="00000000">
            <w:pPr>
              <w:spacing w:before="60" w:after="60"/>
            </w:pPr>
            <w:r>
              <w:t>Taux d’achèvement (quatre classes du secondaire)</w:t>
            </w:r>
          </w:p>
        </w:tc>
        <w:tc>
          <w:tcPr>
            <w:tcW w:w="2340" w:type="dxa"/>
          </w:tcPr>
          <w:p w:rsidR="00000000" w:rsidRDefault="00000000">
            <w:pPr>
              <w:spacing w:before="60" w:after="60"/>
              <w:jc w:val="right"/>
            </w:pPr>
            <w:r>
              <w:t>31,1</w:t>
            </w:r>
          </w:p>
        </w:tc>
        <w:tc>
          <w:tcPr>
            <w:tcW w:w="2340" w:type="dxa"/>
          </w:tcPr>
          <w:p w:rsidR="00000000" w:rsidRDefault="00000000">
            <w:pPr>
              <w:spacing w:before="60" w:after="60"/>
              <w:jc w:val="right"/>
            </w:pPr>
            <w:r>
              <w:t>48,4</w:t>
            </w:r>
          </w:p>
        </w:tc>
      </w:tr>
      <w:tr w:rsidR="00000000">
        <w:tblPrEx>
          <w:tblCellMar>
            <w:top w:w="0" w:type="dxa"/>
            <w:bottom w:w="0" w:type="dxa"/>
          </w:tblCellMar>
        </w:tblPrEx>
        <w:tc>
          <w:tcPr>
            <w:tcW w:w="4870" w:type="dxa"/>
          </w:tcPr>
          <w:p w:rsidR="00000000" w:rsidRDefault="00000000">
            <w:pPr>
              <w:spacing w:before="60" w:after="60"/>
            </w:pPr>
            <w:r>
              <w:t>Dépenses relatives à l’éducation/PIB</w:t>
            </w:r>
            <w:r>
              <w:rPr>
                <w:b/>
                <w:bCs/>
                <w:i/>
                <w:iCs/>
                <w:vertAlign w:val="superscript"/>
              </w:rPr>
              <w:t>3</w:t>
            </w:r>
          </w:p>
        </w:tc>
        <w:tc>
          <w:tcPr>
            <w:tcW w:w="2340" w:type="dxa"/>
          </w:tcPr>
          <w:p w:rsidR="00000000" w:rsidRDefault="00000000">
            <w:pPr>
              <w:spacing w:before="60" w:after="60"/>
              <w:jc w:val="right"/>
            </w:pPr>
            <w:r>
              <w:t>2,8</w:t>
            </w:r>
          </w:p>
        </w:tc>
        <w:tc>
          <w:tcPr>
            <w:tcW w:w="2340" w:type="dxa"/>
          </w:tcPr>
          <w:p w:rsidR="00000000" w:rsidRDefault="00000000">
            <w:pPr>
              <w:spacing w:before="60" w:after="60"/>
              <w:jc w:val="right"/>
            </w:pPr>
            <w:r>
              <w:t>4,2</w:t>
            </w:r>
          </w:p>
        </w:tc>
      </w:tr>
    </w:tbl>
    <w:p w:rsidR="00000000" w:rsidRDefault="00000000">
      <w:pPr>
        <w:spacing w:before="240" w:after="240"/>
      </w:pPr>
      <w:r>
        <w:rPr>
          <w:b/>
          <w:bCs/>
          <w:i/>
          <w:iCs/>
          <w:vertAlign w:val="superscript"/>
        </w:rPr>
        <w:t>1</w:t>
      </w:r>
      <w:r>
        <w:t xml:space="preserve"> Population âgée de 19 ans ou plus.</w:t>
      </w:r>
    </w:p>
    <w:p w:rsidR="00000000" w:rsidRDefault="00000000">
      <w:pPr>
        <w:spacing w:after="240"/>
      </w:pPr>
      <w:r>
        <w:rPr>
          <w:b/>
          <w:bCs/>
          <w:i/>
          <w:iCs/>
          <w:vertAlign w:val="superscript"/>
        </w:rPr>
        <w:t>2</w:t>
      </w:r>
      <w:r>
        <w:t xml:space="preserve"> Population âgée de 15 ans ou plus.</w:t>
      </w:r>
    </w:p>
    <w:p w:rsidR="00000000" w:rsidRDefault="00000000">
      <w:pPr>
        <w:spacing w:after="360"/>
      </w:pPr>
      <w:r>
        <w:rPr>
          <w:b/>
          <w:bCs/>
          <w:i/>
          <w:iCs/>
          <w:vertAlign w:val="superscript"/>
        </w:rPr>
        <w:t>3</w:t>
      </w:r>
      <w:r>
        <w:t xml:space="preserve"> Ne comprend pas les universités.</w:t>
      </w:r>
    </w:p>
    <w:p w:rsidR="00000000" w:rsidRDefault="00000000">
      <w:pPr>
        <w:spacing w:after="240"/>
      </w:pPr>
      <w:r>
        <w:t>238.</w:t>
      </w:r>
      <w:r>
        <w:tab/>
        <w:t>La situation éducative de la population adulte présentée dans les tableaux ci</w:t>
      </w:r>
      <w:r>
        <w:noBreakHyphen/>
        <w:t>dessus, défavorable essentiellement pour la population rurale et féminine, reflète les problèmes et les limites du système éducatif avant 1994, surtout dans l’enseignement de type scolaire.</w:t>
      </w:r>
    </w:p>
    <w:p w:rsidR="00000000" w:rsidRDefault="00000000">
      <w:pPr>
        <w:spacing w:after="240"/>
      </w:pPr>
      <w:r>
        <w:t>239.</w:t>
      </w:r>
      <w:r>
        <w:tab/>
        <w:t xml:space="preserve">Conformément à la recommandation du Comité des droits économiques, sociaux et culturels concernant les possibilités offertes aux populations autochtones de s’instruire dans leur langue maternelle, l’État bolivien s’est efforcé de promouvoir une éducation qui favorise les interactions des différentes cultures nationales, et facilite la coexistence dans le respect mutuel, la consolidation de la démocratie et le développement sans exclusion sociale. Le programme de réforme éducative, qui répond à cette nécessité, prévoit la mise en place d’une éducation interculturelle et bilingue, déjà consacrée par la loi </w:t>
      </w:r>
      <w:r>
        <w:rPr>
          <w:rFonts w:eastAsia="MS Mincho"/>
        </w:rPr>
        <w:t>n</w:t>
      </w:r>
      <w:r>
        <w:rPr>
          <w:rFonts w:eastAsia="MS Mincho"/>
          <w:vertAlign w:val="superscript"/>
        </w:rPr>
        <w:t>o</w:t>
      </w:r>
      <w:r>
        <w:t> 1565, dans les différents programmes, les matériaux pédagogiques et la formation des enseignants.</w:t>
      </w:r>
    </w:p>
    <w:p w:rsidR="00000000" w:rsidRDefault="00000000">
      <w:pPr>
        <w:keepNext/>
        <w:spacing w:after="240"/>
        <w:jc w:val="center"/>
        <w:rPr>
          <w:b/>
          <w:bCs/>
        </w:rPr>
      </w:pPr>
      <w:r>
        <w:rPr>
          <w:b/>
          <w:bCs/>
        </w:rPr>
        <w:t>Tableau 16</w:t>
      </w:r>
    </w:p>
    <w:p w:rsidR="00000000" w:rsidRDefault="00000000">
      <w:pPr>
        <w:keepNext/>
        <w:spacing w:after="240"/>
        <w:jc w:val="center"/>
      </w:pPr>
      <w:r>
        <w:rPr>
          <w:b/>
          <w:bCs/>
        </w:rPr>
        <w:t>Bolivie: Taux d’analphabétisme de la population âgée de 15 ans ou plus</w:t>
      </w:r>
      <w:r>
        <w:rPr>
          <w:b/>
          <w:bCs/>
        </w:rPr>
        <w:br/>
        <w:t>par sexe, selon la zone géographique (1992 et 2001)</w:t>
      </w:r>
      <w:r>
        <w:rPr>
          <w:b/>
          <w:bCs/>
        </w:rPr>
        <w:br/>
      </w:r>
      <w:r>
        <w:t>(</w:t>
      </w:r>
      <w:r>
        <w:rPr>
          <w:i/>
          <w:iCs/>
        </w:rPr>
        <w:t>En pourcentage</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0"/>
        <w:gridCol w:w="1231"/>
        <w:gridCol w:w="1231"/>
        <w:gridCol w:w="1231"/>
        <w:gridCol w:w="1231"/>
        <w:gridCol w:w="1231"/>
        <w:gridCol w:w="1231"/>
      </w:tblGrid>
      <w:tr w:rsidR="00000000">
        <w:tblPrEx>
          <w:tblCellMar>
            <w:top w:w="0" w:type="dxa"/>
            <w:bottom w:w="0" w:type="dxa"/>
          </w:tblCellMar>
        </w:tblPrEx>
        <w:trPr>
          <w:cantSplit/>
        </w:trPr>
        <w:tc>
          <w:tcPr>
            <w:tcW w:w="2110" w:type="dxa"/>
            <w:vMerge w:val="restart"/>
            <w:vAlign w:val="center"/>
          </w:tcPr>
          <w:p w:rsidR="00000000" w:rsidRDefault="00000000">
            <w:pPr>
              <w:spacing w:before="60" w:after="60"/>
              <w:jc w:val="center"/>
            </w:pPr>
            <w:r>
              <w:t>Zone</w:t>
            </w:r>
          </w:p>
        </w:tc>
        <w:tc>
          <w:tcPr>
            <w:tcW w:w="3693" w:type="dxa"/>
            <w:gridSpan w:val="3"/>
            <w:vAlign w:val="center"/>
          </w:tcPr>
          <w:p w:rsidR="00000000" w:rsidRDefault="00000000">
            <w:pPr>
              <w:spacing w:before="60" w:after="60"/>
              <w:jc w:val="center"/>
            </w:pPr>
            <w:r>
              <w:t>Recensement 1992</w:t>
            </w:r>
            <w:r>
              <w:rPr>
                <w:b/>
                <w:bCs/>
                <w:vertAlign w:val="superscript"/>
              </w:rPr>
              <w:t>*</w:t>
            </w:r>
          </w:p>
        </w:tc>
        <w:tc>
          <w:tcPr>
            <w:tcW w:w="3693" w:type="dxa"/>
            <w:gridSpan w:val="3"/>
            <w:vAlign w:val="center"/>
          </w:tcPr>
          <w:p w:rsidR="00000000" w:rsidRDefault="00000000">
            <w:pPr>
              <w:spacing w:before="60" w:after="60"/>
              <w:jc w:val="center"/>
            </w:pPr>
            <w:r>
              <w:t>Recensement 2001</w:t>
            </w:r>
            <w:r>
              <w:rPr>
                <w:b/>
                <w:bCs/>
                <w:vertAlign w:val="superscript"/>
              </w:rPr>
              <w:t>*</w:t>
            </w:r>
          </w:p>
        </w:tc>
      </w:tr>
      <w:tr w:rsidR="00000000">
        <w:tblPrEx>
          <w:tblCellMar>
            <w:top w:w="0" w:type="dxa"/>
            <w:bottom w:w="0" w:type="dxa"/>
          </w:tblCellMar>
        </w:tblPrEx>
        <w:trPr>
          <w:cantSplit/>
        </w:trPr>
        <w:tc>
          <w:tcPr>
            <w:tcW w:w="2110" w:type="dxa"/>
            <w:vMerge/>
            <w:vAlign w:val="center"/>
          </w:tcPr>
          <w:p w:rsidR="00000000" w:rsidRDefault="00000000">
            <w:pPr>
              <w:spacing w:before="60" w:after="60"/>
              <w:jc w:val="center"/>
            </w:pPr>
          </w:p>
        </w:tc>
        <w:tc>
          <w:tcPr>
            <w:tcW w:w="1231" w:type="dxa"/>
            <w:vAlign w:val="center"/>
          </w:tcPr>
          <w:p w:rsidR="00000000" w:rsidRDefault="00000000">
            <w:pPr>
              <w:spacing w:before="60" w:after="60"/>
              <w:jc w:val="center"/>
              <w:rPr>
                <w:lang w:val="fr-FR"/>
              </w:rPr>
            </w:pPr>
            <w:r>
              <w:rPr>
                <w:lang w:val="fr-FR"/>
              </w:rPr>
              <w:t>Total</w:t>
            </w:r>
          </w:p>
        </w:tc>
        <w:tc>
          <w:tcPr>
            <w:tcW w:w="1231" w:type="dxa"/>
            <w:vAlign w:val="center"/>
          </w:tcPr>
          <w:p w:rsidR="00000000" w:rsidRDefault="00000000">
            <w:pPr>
              <w:spacing w:before="60" w:after="60"/>
              <w:jc w:val="center"/>
              <w:rPr>
                <w:lang w:val="fr-FR"/>
              </w:rPr>
            </w:pPr>
            <w:r>
              <w:rPr>
                <w:lang w:val="fr-FR"/>
              </w:rPr>
              <w:t>Hommes</w:t>
            </w:r>
          </w:p>
        </w:tc>
        <w:tc>
          <w:tcPr>
            <w:tcW w:w="1231" w:type="dxa"/>
            <w:vAlign w:val="center"/>
          </w:tcPr>
          <w:p w:rsidR="00000000" w:rsidRDefault="00000000">
            <w:pPr>
              <w:spacing w:before="60" w:after="60"/>
              <w:jc w:val="center"/>
              <w:rPr>
                <w:lang w:val="fr-FR"/>
              </w:rPr>
            </w:pPr>
            <w:r>
              <w:rPr>
                <w:lang w:val="fr-FR"/>
              </w:rPr>
              <w:t>Femmes</w:t>
            </w:r>
          </w:p>
        </w:tc>
        <w:tc>
          <w:tcPr>
            <w:tcW w:w="1231" w:type="dxa"/>
            <w:vAlign w:val="center"/>
          </w:tcPr>
          <w:p w:rsidR="00000000" w:rsidRDefault="00000000">
            <w:pPr>
              <w:spacing w:before="60" w:after="60"/>
              <w:jc w:val="center"/>
              <w:rPr>
                <w:lang w:val="fr-FR"/>
              </w:rPr>
            </w:pPr>
            <w:r>
              <w:rPr>
                <w:lang w:val="fr-FR"/>
              </w:rPr>
              <w:t>Total</w:t>
            </w:r>
          </w:p>
        </w:tc>
        <w:tc>
          <w:tcPr>
            <w:tcW w:w="1231" w:type="dxa"/>
            <w:vAlign w:val="center"/>
          </w:tcPr>
          <w:p w:rsidR="00000000" w:rsidRDefault="00000000">
            <w:pPr>
              <w:spacing w:before="60" w:after="60"/>
              <w:jc w:val="center"/>
              <w:rPr>
                <w:lang w:val="fr-FR"/>
              </w:rPr>
            </w:pPr>
            <w:r>
              <w:rPr>
                <w:lang w:val="fr-FR"/>
              </w:rPr>
              <w:t>Hommes</w:t>
            </w:r>
          </w:p>
        </w:tc>
        <w:tc>
          <w:tcPr>
            <w:tcW w:w="1231" w:type="dxa"/>
            <w:vAlign w:val="center"/>
          </w:tcPr>
          <w:p w:rsidR="00000000" w:rsidRDefault="00000000">
            <w:pPr>
              <w:spacing w:before="60" w:after="60"/>
              <w:jc w:val="center"/>
              <w:rPr>
                <w:lang w:val="fr-FR"/>
              </w:rPr>
            </w:pPr>
            <w:r>
              <w:rPr>
                <w:lang w:val="fr-FR"/>
              </w:rPr>
              <w:t>Femmes</w:t>
            </w:r>
          </w:p>
        </w:tc>
      </w:tr>
      <w:tr w:rsidR="00000000">
        <w:tblPrEx>
          <w:tblCellMar>
            <w:top w:w="0" w:type="dxa"/>
            <w:bottom w:w="0" w:type="dxa"/>
          </w:tblCellMar>
        </w:tblPrEx>
        <w:tc>
          <w:tcPr>
            <w:tcW w:w="2110" w:type="dxa"/>
          </w:tcPr>
          <w:p w:rsidR="00000000" w:rsidRDefault="00000000">
            <w:pPr>
              <w:spacing w:before="60" w:after="60"/>
            </w:pPr>
            <w:r>
              <w:t>Rurale</w:t>
            </w:r>
          </w:p>
        </w:tc>
        <w:tc>
          <w:tcPr>
            <w:tcW w:w="1231" w:type="dxa"/>
          </w:tcPr>
          <w:p w:rsidR="00000000" w:rsidRDefault="00000000">
            <w:pPr>
              <w:spacing w:before="60" w:after="60"/>
              <w:jc w:val="right"/>
            </w:pPr>
            <w:r>
              <w:t>36,5</w:t>
            </w:r>
          </w:p>
        </w:tc>
        <w:tc>
          <w:tcPr>
            <w:tcW w:w="1231" w:type="dxa"/>
          </w:tcPr>
          <w:p w:rsidR="00000000" w:rsidRDefault="00000000">
            <w:pPr>
              <w:spacing w:before="60" w:after="60"/>
              <w:jc w:val="right"/>
            </w:pPr>
            <w:r>
              <w:t>23,1</w:t>
            </w:r>
          </w:p>
        </w:tc>
        <w:tc>
          <w:tcPr>
            <w:tcW w:w="1231" w:type="dxa"/>
          </w:tcPr>
          <w:p w:rsidR="00000000" w:rsidRDefault="00000000">
            <w:pPr>
              <w:spacing w:before="60" w:after="60"/>
              <w:jc w:val="right"/>
            </w:pPr>
            <w:r>
              <w:t>49,9</w:t>
            </w:r>
          </w:p>
        </w:tc>
        <w:tc>
          <w:tcPr>
            <w:tcW w:w="1231" w:type="dxa"/>
          </w:tcPr>
          <w:p w:rsidR="00000000" w:rsidRDefault="00000000">
            <w:pPr>
              <w:spacing w:before="60" w:after="60"/>
              <w:jc w:val="right"/>
            </w:pPr>
            <w:r>
              <w:t>25,8</w:t>
            </w:r>
          </w:p>
        </w:tc>
        <w:tc>
          <w:tcPr>
            <w:tcW w:w="1231" w:type="dxa"/>
          </w:tcPr>
          <w:p w:rsidR="00000000" w:rsidRDefault="00000000">
            <w:pPr>
              <w:spacing w:before="60" w:after="60"/>
              <w:jc w:val="right"/>
            </w:pPr>
            <w:r>
              <w:t>14,4</w:t>
            </w:r>
          </w:p>
        </w:tc>
        <w:tc>
          <w:tcPr>
            <w:tcW w:w="1231" w:type="dxa"/>
          </w:tcPr>
          <w:p w:rsidR="00000000" w:rsidRDefault="00000000">
            <w:pPr>
              <w:spacing w:before="60" w:after="60"/>
              <w:jc w:val="right"/>
            </w:pPr>
            <w:r>
              <w:t>37,9</w:t>
            </w:r>
          </w:p>
        </w:tc>
      </w:tr>
      <w:tr w:rsidR="00000000">
        <w:tblPrEx>
          <w:tblCellMar>
            <w:top w:w="0" w:type="dxa"/>
            <w:bottom w:w="0" w:type="dxa"/>
          </w:tblCellMar>
        </w:tblPrEx>
        <w:tc>
          <w:tcPr>
            <w:tcW w:w="2110" w:type="dxa"/>
          </w:tcPr>
          <w:p w:rsidR="00000000" w:rsidRDefault="00000000">
            <w:pPr>
              <w:spacing w:before="60" w:after="60"/>
            </w:pPr>
            <w:r>
              <w:t>Urbaine</w:t>
            </w:r>
          </w:p>
        </w:tc>
        <w:tc>
          <w:tcPr>
            <w:tcW w:w="1231" w:type="dxa"/>
          </w:tcPr>
          <w:p w:rsidR="00000000" w:rsidRDefault="00000000">
            <w:pPr>
              <w:spacing w:before="60" w:after="60"/>
              <w:jc w:val="right"/>
            </w:pPr>
            <w:r>
              <w:t>8,9</w:t>
            </w:r>
          </w:p>
        </w:tc>
        <w:tc>
          <w:tcPr>
            <w:tcW w:w="1231" w:type="dxa"/>
          </w:tcPr>
          <w:p w:rsidR="00000000" w:rsidRDefault="00000000">
            <w:pPr>
              <w:spacing w:before="60" w:after="60"/>
              <w:jc w:val="right"/>
            </w:pPr>
            <w:r>
              <w:t>3,8</w:t>
            </w:r>
          </w:p>
        </w:tc>
        <w:tc>
          <w:tcPr>
            <w:tcW w:w="1231" w:type="dxa"/>
          </w:tcPr>
          <w:p w:rsidR="00000000" w:rsidRDefault="00000000">
            <w:pPr>
              <w:spacing w:before="60" w:after="60"/>
              <w:jc w:val="right"/>
            </w:pPr>
            <w:r>
              <w:t>13,5</w:t>
            </w:r>
          </w:p>
        </w:tc>
        <w:tc>
          <w:tcPr>
            <w:tcW w:w="1231" w:type="dxa"/>
          </w:tcPr>
          <w:p w:rsidR="00000000" w:rsidRDefault="00000000">
            <w:pPr>
              <w:spacing w:before="60" w:after="60"/>
              <w:jc w:val="right"/>
            </w:pPr>
            <w:r>
              <w:t>6,4</w:t>
            </w:r>
          </w:p>
        </w:tc>
        <w:tc>
          <w:tcPr>
            <w:tcW w:w="1231" w:type="dxa"/>
          </w:tcPr>
          <w:p w:rsidR="00000000" w:rsidRDefault="00000000">
            <w:pPr>
              <w:spacing w:before="60" w:after="60"/>
              <w:jc w:val="right"/>
            </w:pPr>
            <w:r>
              <w:t>2,5</w:t>
            </w:r>
          </w:p>
        </w:tc>
        <w:tc>
          <w:tcPr>
            <w:tcW w:w="1231" w:type="dxa"/>
          </w:tcPr>
          <w:p w:rsidR="00000000" w:rsidRDefault="00000000">
            <w:pPr>
              <w:spacing w:before="60" w:after="60"/>
              <w:jc w:val="right"/>
            </w:pPr>
            <w:r>
              <w:t>10,0</w:t>
            </w:r>
          </w:p>
        </w:tc>
      </w:tr>
      <w:tr w:rsidR="00000000">
        <w:tblPrEx>
          <w:tblCellMar>
            <w:top w:w="0" w:type="dxa"/>
            <w:bottom w:w="0" w:type="dxa"/>
          </w:tblCellMar>
        </w:tblPrEx>
        <w:tc>
          <w:tcPr>
            <w:tcW w:w="2110" w:type="dxa"/>
          </w:tcPr>
          <w:p w:rsidR="00000000" w:rsidRDefault="00000000">
            <w:pPr>
              <w:spacing w:before="60" w:after="60"/>
              <w:rPr>
                <w:b/>
                <w:bCs/>
              </w:rPr>
            </w:pPr>
            <w:r>
              <w:rPr>
                <w:b/>
                <w:bCs/>
              </w:rPr>
              <w:t>Total</w:t>
            </w:r>
          </w:p>
        </w:tc>
        <w:tc>
          <w:tcPr>
            <w:tcW w:w="1231" w:type="dxa"/>
          </w:tcPr>
          <w:p w:rsidR="00000000" w:rsidRDefault="00000000">
            <w:pPr>
              <w:spacing w:before="60" w:after="60"/>
              <w:jc w:val="right"/>
              <w:rPr>
                <w:b/>
                <w:bCs/>
              </w:rPr>
            </w:pPr>
            <w:r>
              <w:rPr>
                <w:b/>
                <w:bCs/>
              </w:rPr>
              <w:t>20,0</w:t>
            </w:r>
          </w:p>
        </w:tc>
        <w:tc>
          <w:tcPr>
            <w:tcW w:w="1231" w:type="dxa"/>
          </w:tcPr>
          <w:p w:rsidR="00000000" w:rsidRDefault="00000000">
            <w:pPr>
              <w:spacing w:before="60" w:after="60"/>
              <w:jc w:val="right"/>
              <w:rPr>
                <w:b/>
                <w:bCs/>
              </w:rPr>
            </w:pPr>
            <w:r>
              <w:rPr>
                <w:b/>
                <w:bCs/>
              </w:rPr>
              <w:t>11,8</w:t>
            </w:r>
          </w:p>
        </w:tc>
        <w:tc>
          <w:tcPr>
            <w:tcW w:w="1231" w:type="dxa"/>
          </w:tcPr>
          <w:p w:rsidR="00000000" w:rsidRDefault="00000000">
            <w:pPr>
              <w:spacing w:before="60" w:after="60"/>
              <w:jc w:val="right"/>
              <w:rPr>
                <w:b/>
                <w:bCs/>
              </w:rPr>
            </w:pPr>
            <w:r>
              <w:rPr>
                <w:b/>
                <w:bCs/>
              </w:rPr>
              <w:t>27,7</w:t>
            </w:r>
          </w:p>
        </w:tc>
        <w:tc>
          <w:tcPr>
            <w:tcW w:w="1231" w:type="dxa"/>
          </w:tcPr>
          <w:p w:rsidR="00000000" w:rsidRDefault="00000000">
            <w:pPr>
              <w:spacing w:before="60" w:after="60"/>
              <w:jc w:val="right"/>
              <w:rPr>
                <w:b/>
                <w:bCs/>
              </w:rPr>
            </w:pPr>
            <w:r>
              <w:rPr>
                <w:b/>
                <w:bCs/>
              </w:rPr>
              <w:t>13,3</w:t>
            </w:r>
          </w:p>
        </w:tc>
        <w:tc>
          <w:tcPr>
            <w:tcW w:w="1231" w:type="dxa"/>
          </w:tcPr>
          <w:p w:rsidR="00000000" w:rsidRDefault="00000000">
            <w:pPr>
              <w:spacing w:before="60" w:after="60"/>
              <w:jc w:val="right"/>
              <w:rPr>
                <w:b/>
                <w:bCs/>
              </w:rPr>
            </w:pPr>
            <w:r>
              <w:rPr>
                <w:b/>
                <w:bCs/>
              </w:rPr>
              <w:t>6,9</w:t>
            </w:r>
          </w:p>
        </w:tc>
        <w:tc>
          <w:tcPr>
            <w:tcW w:w="1231" w:type="dxa"/>
          </w:tcPr>
          <w:p w:rsidR="00000000" w:rsidRDefault="00000000">
            <w:pPr>
              <w:spacing w:before="60" w:after="60"/>
              <w:jc w:val="right"/>
              <w:rPr>
                <w:b/>
                <w:bCs/>
              </w:rPr>
            </w:pPr>
            <w:r>
              <w:rPr>
                <w:b/>
                <w:bCs/>
              </w:rPr>
              <w:t>19,4</w:t>
            </w:r>
          </w:p>
        </w:tc>
      </w:tr>
    </w:tbl>
    <w:p w:rsidR="00000000" w:rsidRDefault="00000000">
      <w:pPr>
        <w:spacing w:before="240" w:after="240"/>
        <w:ind w:firstLine="567"/>
      </w:pPr>
      <w:r>
        <w:rPr>
          <w:i/>
          <w:iCs/>
        </w:rPr>
        <w:t>Source</w:t>
      </w:r>
      <w:r>
        <w:t>: INE (2002b).</w:t>
      </w:r>
    </w:p>
    <w:p w:rsidR="00000000" w:rsidRDefault="00000000">
      <w:pPr>
        <w:spacing w:after="240"/>
        <w:ind w:firstLine="567"/>
      </w:pPr>
      <w:r>
        <w:rPr>
          <w:i/>
          <w:iCs/>
        </w:rPr>
        <w:t>Établi par</w:t>
      </w:r>
      <w:r>
        <w:t>: Direction de l’analyse (Ministère de l’éducation).</w:t>
      </w:r>
    </w:p>
    <w:p w:rsidR="00000000" w:rsidRDefault="00000000">
      <w:pPr>
        <w:spacing w:after="360"/>
      </w:pPr>
      <w:r>
        <w:rPr>
          <w:b/>
          <w:bCs/>
          <w:vertAlign w:val="superscript"/>
        </w:rPr>
        <w:t>*</w:t>
      </w:r>
      <w:r>
        <w:t xml:space="preserve"> N’inclut pas les personnes qui résident habituellement à l’étranger, ni celles qui ne précisent pas si elles savent lire et écrire.</w:t>
      </w:r>
    </w:p>
    <w:p w:rsidR="00000000" w:rsidRDefault="00000000">
      <w:pPr>
        <w:spacing w:after="240"/>
      </w:pPr>
      <w:r>
        <w:t>240.</w:t>
      </w:r>
      <w:r>
        <w:tab/>
        <w:t>La dimension interculturelle favorise un apprentissage nourri d’expériences qui permettent aux enfants d’utiliser, de valoriser avec un sens critique, de connaître et de développer leurs propres langues et cultures, et d’en tirer parti, tout en reconnaissant, acceptant et valorisant l’existence d’autres langues</w:t>
      </w:r>
      <w:r>
        <w:rPr>
          <w:rStyle w:val="FootnoteReference"/>
        </w:rPr>
        <w:footnoteReference w:id="23"/>
      </w:r>
      <w:r>
        <w:t>. L’interculturalité, qui constitue l’un des fondements et des objectifs de l’éducation en Bolivie, est donc présente dans tous les domaines et niveaux d’éducation.</w:t>
      </w:r>
    </w:p>
    <w:p w:rsidR="00000000" w:rsidRDefault="00000000">
      <w:pPr>
        <w:spacing w:after="240"/>
      </w:pPr>
      <w:r>
        <w:t>241.</w:t>
      </w:r>
      <w:r>
        <w:tab/>
        <w:t>Le bilinguisme consiste, pour les enfants, à apprendre à lire et à écrire à la fois dans leur langue maternelle (aimara, quechua, guaraní ou autres langues natives), et en espagnol. En outre, les enfants devraient acquérir diverses compétences en mathématiques, en sciences de la vie et dans d’autres domaines, tant dans leur langue maternelle qu’en espagnol</w:t>
      </w:r>
      <w:r>
        <w:rPr>
          <w:rStyle w:val="FootnoteReference"/>
        </w:rPr>
        <w:footnoteReference w:id="24"/>
      </w:r>
      <w:r>
        <w:t>.</w:t>
      </w:r>
    </w:p>
    <w:p w:rsidR="00000000" w:rsidRDefault="00000000">
      <w:pPr>
        <w:spacing w:after="240"/>
      </w:pPr>
      <w:r>
        <w:t>242.</w:t>
      </w:r>
      <w:r>
        <w:tab/>
        <w:t>À cet égard, le programme d’éducation interculturelle bilingue (EIB) doit permettre non seulement à l’enfant de commencer un apprentissage dans sa langue maternelle, mais également de valoriser et apprécier sa culture.</w:t>
      </w:r>
    </w:p>
    <w:p w:rsidR="00000000" w:rsidRDefault="00000000">
      <w:pPr>
        <w:spacing w:after="240"/>
      </w:pPr>
      <w:r>
        <w:t>243.</w:t>
      </w:r>
      <w:r>
        <w:tab/>
        <w:t>En Bolivie, 29,9 % de la population vivant en zone rurale ne parle pas l’espagnol, et 63,1 % déclarent avoir appris à parler dans une langue native. Cette situation traduit la nécessité pour les enfants d’apprendre à lire et à écrire dans leur langue maternelle, ce qui leur permettra ainsi de ne pas avoir honte de parler, de poser des questions et de participer en classe (ce qui accroît l’estime de soi). En effet, d’une part, ils comprennent ce que le maître leur enseigne et ne répètent pas sans comprendre; d’autre part, l’apprentissage dans leur langue maternelle facilite également l’apprentissage et la compréhension d’une seconde langue</w:t>
      </w:r>
      <w:r>
        <w:rPr>
          <w:rStyle w:val="FootnoteReference"/>
        </w:rPr>
        <w:footnoteReference w:id="25"/>
      </w:r>
      <w:r>
        <w:t>.</w:t>
      </w:r>
    </w:p>
    <w:p w:rsidR="00000000" w:rsidRDefault="00000000">
      <w:pPr>
        <w:spacing w:after="240"/>
      </w:pPr>
      <w:r>
        <w:t>244.</w:t>
      </w:r>
      <w:r>
        <w:tab/>
        <w:t>La mise en œuvre du bilinguisme se concentre en zone rurale. Le graphique 6 présente l’évolution des établissements d’enseignement où le bilinguisme est utilisé en Bolivie, et l’on constate qu’il y en a de plus en plus. Jusqu’en 2002, on a enregistré une augmentation importante de ces établissements, qui se sont élevés à 2 899 dans toutes les zones rurales du pays, soit plus de deux fois et demi leur nombre en 1997.</w:t>
      </w:r>
    </w:p>
    <w:p w:rsidR="00000000" w:rsidRDefault="00000000">
      <w:pPr>
        <w:keepNext/>
        <w:spacing w:after="240"/>
        <w:jc w:val="center"/>
        <w:rPr>
          <w:b/>
          <w:bCs/>
        </w:rPr>
      </w:pPr>
      <w:r>
        <w:rPr>
          <w:b/>
          <w:bCs/>
        </w:rPr>
        <w:t>Graphique 6</w:t>
      </w:r>
    </w:p>
    <w:p w:rsidR="00000000" w:rsidRDefault="00000000">
      <w:pPr>
        <w:keepNext/>
        <w:spacing w:after="240"/>
        <w:jc w:val="center"/>
        <w:rPr>
          <w:b/>
          <w:bCs/>
        </w:rPr>
      </w:pPr>
      <w:r>
        <w:rPr>
          <w:b/>
          <w:bCs/>
        </w:rPr>
        <w:t>Bolivie − Zone rurale: Dépendance publique: établissements d’enseignement</w:t>
      </w:r>
      <w:r>
        <w:rPr>
          <w:b/>
          <w:bCs/>
        </w:rPr>
        <w:br/>
        <w:t>retenus pour mettre en œuvre le bilinguisme (1997</w:t>
      </w:r>
      <w:r>
        <w:rPr>
          <w:b/>
          <w:bCs/>
        </w:rPr>
        <w:noBreakHyphen/>
        <w:t>2002)</w:t>
      </w:r>
    </w:p>
    <w:bookmarkStart w:id="77" w:name="_MON_1251618839"/>
    <w:bookmarkStart w:id="78" w:name="_MON_1251618853"/>
    <w:bookmarkStart w:id="79" w:name="_MON_1251621569"/>
    <w:bookmarkStart w:id="80" w:name="_MON_1251625004"/>
    <w:bookmarkStart w:id="81" w:name="_MON_1251627789"/>
    <w:bookmarkStart w:id="82" w:name="_MON_1251631722"/>
    <w:bookmarkStart w:id="83" w:name="_MON_1257239651"/>
    <w:bookmarkStart w:id="84" w:name="_MON_1257240166"/>
    <w:bookmarkStart w:id="85" w:name="_MON_1257240250"/>
    <w:bookmarkStart w:id="86" w:name="_MON_1257240313"/>
    <w:bookmarkStart w:id="87" w:name="_MON_1257240376"/>
    <w:bookmarkStart w:id="88" w:name="_MON_1257240629"/>
    <w:bookmarkStart w:id="89" w:name="_MON_1257245286"/>
    <w:bookmarkStart w:id="90" w:name="_MON_1257255944"/>
    <w:bookmarkEnd w:id="77"/>
    <w:bookmarkEnd w:id="78"/>
    <w:bookmarkEnd w:id="79"/>
    <w:bookmarkEnd w:id="80"/>
    <w:bookmarkEnd w:id="81"/>
    <w:bookmarkEnd w:id="82"/>
    <w:bookmarkEnd w:id="83"/>
    <w:bookmarkEnd w:id="84"/>
    <w:bookmarkEnd w:id="85"/>
    <w:bookmarkEnd w:id="86"/>
    <w:bookmarkEnd w:id="87"/>
    <w:bookmarkEnd w:id="88"/>
    <w:bookmarkEnd w:id="89"/>
    <w:bookmarkEnd w:id="90"/>
    <w:p w:rsidR="00000000" w:rsidRDefault="00000000">
      <w:pPr>
        <w:spacing w:after="240"/>
        <w:jc w:val="center"/>
      </w:pPr>
      <w:r>
        <w:object w:dxaOrig="6648" w:dyaOrig="3522">
          <v:shape id="_x0000_i1031" type="#_x0000_t75" style="width:375.75pt;height:176.25pt" o:ole="">
            <v:imagedata r:id="rId19" o:title="" cropbottom="18864f"/>
            <w10:bordertop type="single" width="4"/>
            <w10:borderleft type="single" width="4"/>
            <w10:borderbottom type="single" width="4"/>
            <w10:borderright type="single" width="4"/>
          </v:shape>
          <o:OLEObject Type="Embed" ProgID="Word.Picture.8" ShapeID="_x0000_i1031" DrawAspect="Content" ObjectID="_1394898072" r:id="rId20"/>
        </w:object>
      </w:r>
    </w:p>
    <w:p w:rsidR="00000000" w:rsidRDefault="00000000">
      <w:pPr>
        <w:spacing w:after="240"/>
        <w:ind w:firstLine="567"/>
      </w:pPr>
      <w:r>
        <w:rPr>
          <w:i/>
          <w:iCs/>
        </w:rPr>
        <w:t>Source</w:t>
      </w:r>
      <w:r>
        <w:t>: SIE.</w:t>
      </w:r>
    </w:p>
    <w:p w:rsidR="00000000" w:rsidRDefault="00000000">
      <w:pPr>
        <w:spacing w:after="240"/>
        <w:ind w:firstLine="567"/>
      </w:pPr>
      <w:r>
        <w:rPr>
          <w:i/>
          <w:iCs/>
        </w:rPr>
        <w:t>Élaboré par</w:t>
      </w:r>
      <w:r>
        <w:t>: Direction de l’analyse (Ministère de l’éducation).</w:t>
      </w:r>
    </w:p>
    <w:p w:rsidR="00000000" w:rsidRDefault="00000000">
      <w:pPr>
        <w:spacing w:after="240"/>
      </w:pPr>
      <w:r>
        <w:t>245.</w:t>
      </w:r>
      <w:r>
        <w:tab/>
        <w:t>Pour l’heure, des modules d’apprentissage pour le premier et le second cycle de l’enseignement primaire ont été élaborés en castillan, aimara, quechua et guaraní dans les matières suivantes: sciences de la vie, langues et mathématiques. Ainsi, l’apprentissage en première et en seconde langue est une réalité.</w:t>
      </w:r>
    </w:p>
    <w:p w:rsidR="00000000" w:rsidRDefault="00000000">
      <w:pPr>
        <w:keepNext/>
        <w:spacing w:after="240"/>
      </w:pPr>
      <w:r>
        <w:rPr>
          <w:b/>
          <w:bCs/>
        </w:rPr>
        <w:t>Taux d’achèvement</w:t>
      </w:r>
      <w:r>
        <w:rPr>
          <w:rStyle w:val="FootnoteReference"/>
        </w:rPr>
        <w:footnoteReference w:id="26"/>
      </w:r>
    </w:p>
    <w:p w:rsidR="00000000" w:rsidRDefault="00000000">
      <w:pPr>
        <w:spacing w:after="240"/>
      </w:pPr>
      <w:r>
        <w:t>246.</w:t>
      </w:r>
      <w:r>
        <w:tab/>
        <w:t>Le taux d’achèvement du primaire se définit comme le quotient entre les élèves en huitième année de primaire et l’ensemble des enfants de 13 ans, qui est l’âge officiel pour suivre ce niveau d’enseignement. Le taux d’achèvement du secondaire se définit comme le quotient entre les élèves en quatrième année de secondaire et la population de 17 ans, qui est l’âge officiel pour ce niveau d’enseignement. Ces indicateurs donnent une idée approximative du maintien des élèves à l’école, car ils permettent de mesurer le pourcentage d’enfants qui achèvent le cycle primaire et le cycle secondaire par rapport à la population qui est en âge de conclure ces cycles d’enseignement.</w:t>
      </w:r>
    </w:p>
    <w:p w:rsidR="00000000" w:rsidRDefault="00000000">
      <w:pPr>
        <w:spacing w:after="240"/>
      </w:pPr>
      <w:r>
        <w:t>247.</w:t>
      </w:r>
      <w:r>
        <w:tab/>
        <w:t>Le pourcentage de filles qui achèvent l’enseignement primaire a augmenté depuis 1992, puisqu’il était de 52,1 % cette année</w:t>
      </w:r>
      <w:r>
        <w:noBreakHyphen/>
        <w:t>là, contre 69,6 % en 2001. Dans le cas des garçons, ce pourcentage est passé de 58,7 % à 73,3 % (graphique 7). Ces chiffres signifient qu’en 2001, près de 70 600 filles et 75 700 garçons ont terminé le cycle primaire, contre environ 39 500 et 45 300, respectivement, en 1992. En 2001, parmi les élèves qui ont achevé l’enseignement primaire, 54 000 avaient l’âge officiel</w:t>
      </w:r>
      <w:r>
        <w:rPr>
          <w:rStyle w:val="FootnoteReference"/>
        </w:rPr>
        <w:footnoteReference w:id="27"/>
      </w:r>
      <w:r>
        <w:t>, tandis que plus de 150 600 enfants en âge de l’achever ne l’avaient toujours pas achevé et ne l’achèveront jamais.</w:t>
      </w:r>
    </w:p>
    <w:p w:rsidR="00000000" w:rsidRDefault="00000000">
      <w:pPr>
        <w:spacing w:after="240"/>
      </w:pPr>
      <w:r>
        <w:t>248.</w:t>
      </w:r>
      <w:r>
        <w:tab/>
        <w:t>Entre 1992 et 2001, le pourcentage de jeunes ayant achevé l’enseignement secondaire est passé de 32,8 à 48,9 % pour les garçons, et de 29,4 à 47,9 % pour les filles. En 2001, près de 140 400 jeunes de 17 ans n’avaient toujours pas conclu l’enseignement secondaire et ne le concluront jamais (graphique 8).</w:t>
      </w:r>
    </w:p>
    <w:p w:rsidR="00000000" w:rsidRDefault="00000000">
      <w:pPr>
        <w:spacing w:after="240"/>
      </w:pPr>
      <w:r>
        <w:t>249.</w:t>
      </w:r>
      <w:r>
        <w:tab/>
        <w:t>En zone rurale, seulement 53,9 % des garçons et 43,9 % des filles achèvent l’enseignement primaire. En zone urbaine, ce taux est plus élevé: il est de 85,7 % et de 84,2 %, respectivement. Il faut cependant redoubler d’efforts pour qu’un plus grand nombre d’enfants achèvent l’enseignement primaire (graphique 9).</w:t>
      </w:r>
    </w:p>
    <w:p w:rsidR="00000000" w:rsidRDefault="00000000">
      <w:pPr>
        <w:spacing w:after="240"/>
      </w:pPr>
      <w:r>
        <w:t>250.</w:t>
      </w:r>
      <w:r>
        <w:tab/>
        <w:t>Dans l’enseignement secondaire, la situation est plus préoccupante puisqu’en zone urbaine 60,1 % des élèves terminent ce cycle d’enseignement, contre seulement 22,9 % en zone rurale (graphique 10). Cette situation est inquiétante car les chances de trouver un emploi sont plus grandes lorsqu’on a achevé le cycle secondaire, ce qui se produit davantage en zone urbaine qu’en zone rurale.</w:t>
      </w:r>
    </w:p>
    <w:p w:rsidR="00000000" w:rsidRDefault="00000000">
      <w:pPr>
        <w:spacing w:after="240"/>
      </w:pPr>
      <w:r>
        <w:t>251.</w:t>
      </w:r>
      <w:r>
        <w:tab/>
        <w:t>Si l’on considère le pourcentage d’élèves ayant achevé le cycle primaire en zone rurale (graphique 9), on constate que la situation des filles est pire que celle des garçons, le taux d’abandon étant le plus élevé chez les filles âgées de 11 à 14 ans. Cette situation compromet gravement la possibilité de poursuivre les études dans l’enseignement secondaire et d’atteindre par la suite des niveaux de scolarité plus élevés.</w:t>
      </w:r>
    </w:p>
    <w:p w:rsidR="00000000" w:rsidRDefault="00000000">
      <w:pPr>
        <w:spacing w:after="240"/>
      </w:pPr>
      <w:r>
        <w:t>252.</w:t>
      </w:r>
      <w:r>
        <w:tab/>
        <w:t>Afin de contrebalancer le déséquilibre qui affecte les filles dans les zones rurales, le Ministère de l’éducation a mis en place, en 1999, le Programme pour l’accès et le maintien des filles à l’école en zone rurale. Jusqu’à présent, ce programme a fonctionné à Oruro, Chuquisaca, Potosí et La Paz, et plus précisément dans 50 municipalités où les taux d’enrôlement scolaire des filles étaient faibles. Ce programme, dont l’objectif est de promouvoir l’accès et le maintien des filles dans l’enseignement primaire en zone rurale grâce à des stratégies durables et reproductibles, met l’accent sur la recherche, la sensibilisation et les interventions focalisées, tout en identifiant les facteurs qui facilitent le processus ou y font obstacle (voir le résumé à l’annexe).</w:t>
      </w:r>
    </w:p>
    <w:p w:rsidR="00000000" w:rsidRDefault="00000000">
      <w:pPr>
        <w:keepNext/>
        <w:spacing w:after="240"/>
        <w:jc w:val="center"/>
        <w:rPr>
          <w:b/>
          <w:bCs/>
        </w:rPr>
      </w:pPr>
      <w:r>
        <w:rPr>
          <w:b/>
          <w:bCs/>
        </w:rPr>
        <w:t>Graphique 7</w:t>
      </w:r>
    </w:p>
    <w:p w:rsidR="00000000" w:rsidRDefault="00000000">
      <w:pPr>
        <w:keepNext/>
        <w:spacing w:after="240"/>
        <w:jc w:val="center"/>
        <w:rPr>
          <w:b/>
          <w:bCs/>
        </w:rPr>
      </w:pPr>
      <w:r>
        <w:rPr>
          <w:b/>
          <w:bCs/>
        </w:rPr>
        <w:t>Bolivie: Taux d’achèvement de la huitième année d’enseignement primaire</w:t>
      </w:r>
      <w:r>
        <w:rPr>
          <w:b/>
          <w:bCs/>
        </w:rPr>
        <w:br/>
        <w:t>par sexe (1992 et 2001)</w:t>
      </w:r>
    </w:p>
    <w:bookmarkStart w:id="91" w:name="_MON_1251284217"/>
    <w:bookmarkStart w:id="92" w:name="_MON_1251284624"/>
    <w:bookmarkStart w:id="93" w:name="_MON_1251284751"/>
    <w:bookmarkStart w:id="94" w:name="_MON_1251284764"/>
    <w:bookmarkStart w:id="95" w:name="_MON_1251285527"/>
    <w:bookmarkStart w:id="96" w:name="_MON_1251285554"/>
    <w:bookmarkStart w:id="97" w:name="_MON_1251286219"/>
    <w:bookmarkStart w:id="98" w:name="_MON_1251287469"/>
    <w:bookmarkStart w:id="99" w:name="_MON_1251613495"/>
    <w:bookmarkStart w:id="100" w:name="_MON_1251613535"/>
    <w:bookmarkStart w:id="101" w:name="_MON_1251613732"/>
    <w:bookmarkStart w:id="102" w:name="_MON_1251613888"/>
    <w:bookmarkStart w:id="103" w:name="_MON_1251613971"/>
    <w:bookmarkStart w:id="104" w:name="_MON_1251614209"/>
    <w:bookmarkStart w:id="105" w:name="_MON_1251614286"/>
    <w:bookmarkStart w:id="106" w:name="_MON_1251614644"/>
    <w:bookmarkStart w:id="107" w:name="_MON_1251618879"/>
    <w:bookmarkStart w:id="108" w:name="_MON_1251619015"/>
    <w:bookmarkStart w:id="109" w:name="_MON_1251619114"/>
    <w:bookmarkStart w:id="110" w:name="_MON_1251619448"/>
    <w:bookmarkStart w:id="111" w:name="_MON_1251619765"/>
    <w:bookmarkStart w:id="112" w:name="_MON_1251627821"/>
    <w:bookmarkStart w:id="113" w:name="_MON_1251802591"/>
    <w:bookmarkStart w:id="114" w:name="_MON_1251806366"/>
    <w:bookmarkStart w:id="115" w:name="_MON_1251806459"/>
    <w:bookmarkStart w:id="116" w:name="_MON_1251810896"/>
    <w:bookmarkStart w:id="117" w:name="_MON_1251810987"/>
    <w:bookmarkStart w:id="118" w:name="_MON_1251810996"/>
    <w:bookmarkStart w:id="119" w:name="_MON_1251811116"/>
    <w:bookmarkStart w:id="120" w:name="_MON_1251811126"/>
    <w:bookmarkStart w:id="121" w:name="_MON_1251811146"/>
    <w:bookmarkStart w:id="122" w:name="_MON_1251811148"/>
    <w:bookmarkStart w:id="123" w:name="_MON_1251811169"/>
    <w:bookmarkStart w:id="124" w:name="_MON_1251811188"/>
    <w:bookmarkStart w:id="125" w:name="_MON_1251812417"/>
    <w:bookmarkStart w:id="126" w:name="_MON_1251866789"/>
    <w:bookmarkStart w:id="127" w:name="_MON_1251866892"/>
    <w:bookmarkStart w:id="128" w:name="_MON_1251866905"/>
    <w:bookmarkStart w:id="129" w:name="_MON_1251866937"/>
    <w:bookmarkStart w:id="130" w:name="_MON_1251866945"/>
    <w:bookmarkStart w:id="131" w:name="_MON_1251868881"/>
    <w:bookmarkStart w:id="132" w:name="_MON_1251869020"/>
    <w:bookmarkStart w:id="133" w:name="_MON_1251869028"/>
    <w:bookmarkStart w:id="134" w:name="_MON_1251869056"/>
    <w:bookmarkStart w:id="135" w:name="_MON_1251869108"/>
    <w:bookmarkStart w:id="136" w:name="_MON_1251869157"/>
    <w:bookmarkStart w:id="137" w:name="_MON_1251869764"/>
    <w:bookmarkStart w:id="138" w:name="_MON_1251869800"/>
    <w:bookmarkStart w:id="139" w:name="_MON_1251869810"/>
    <w:bookmarkStart w:id="140" w:name="_MON_1252148575"/>
    <w:bookmarkStart w:id="141" w:name="_MON_1252148579"/>
    <w:bookmarkStart w:id="142" w:name="_MON_1252486665"/>
    <w:bookmarkStart w:id="143" w:name="_MON_1252495360"/>
    <w:bookmarkStart w:id="144" w:name="_MON_1257312711"/>
    <w:bookmarkStart w:id="145" w:name="_MON_1257312730"/>
    <w:bookmarkStart w:id="146" w:name="_MON_1257313190"/>
    <w:bookmarkStart w:id="147" w:name="_MON_1257313816"/>
    <w:bookmarkStart w:id="148" w:name="_MON_1257314536"/>
    <w:bookmarkStart w:id="149" w:name="_MON_1257314758"/>
    <w:bookmarkStart w:id="150" w:name="_MON_1257314782"/>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rsidR="00000000" w:rsidRDefault="00000000">
      <w:pPr>
        <w:spacing w:after="240"/>
        <w:jc w:val="center"/>
      </w:pPr>
      <w:r>
        <w:object w:dxaOrig="5295" w:dyaOrig="2805">
          <v:shape id="_x0000_i1032" type="#_x0000_t75" style="width:399.75pt;height:197.25pt" o:ole="">
            <v:imagedata r:id="rId21" o:title="" croptop="-6093f" cropbottom="-1192f" cropleft="-2596f" cropright="-2175f"/>
            <w10:bordertop type="single" width="4"/>
            <w10:borderleft type="single" width="4"/>
            <w10:borderbottom type="single" width="4"/>
            <w10:borderright type="single" width="4"/>
          </v:shape>
          <o:OLEObject Type="Embed" ProgID="Word.Picture.8" ShapeID="_x0000_i1032" DrawAspect="Content" ObjectID="_1394898073" r:id="rId22"/>
        </w:object>
      </w:r>
    </w:p>
    <w:p w:rsidR="00000000" w:rsidRDefault="00000000">
      <w:pPr>
        <w:spacing w:after="240"/>
        <w:ind w:firstLine="567"/>
      </w:pPr>
      <w:r>
        <w:rPr>
          <w:i/>
          <w:iCs/>
        </w:rPr>
        <w:t>Source</w:t>
      </w:r>
      <w:r>
        <w:t>: INE, SIE.</w:t>
      </w:r>
    </w:p>
    <w:p w:rsidR="00000000" w:rsidRDefault="00000000">
      <w:pPr>
        <w:spacing w:after="360"/>
        <w:ind w:firstLine="567"/>
      </w:pPr>
      <w:r>
        <w:rPr>
          <w:i/>
          <w:iCs/>
        </w:rPr>
        <w:t>Élaboré par</w:t>
      </w:r>
      <w:r>
        <w:t>: Direction de l’analyse (Ministère de l’éducation).</w:t>
      </w:r>
    </w:p>
    <w:p w:rsidR="00000000" w:rsidRDefault="00000000">
      <w:pPr>
        <w:keepNext/>
        <w:spacing w:after="240"/>
        <w:jc w:val="center"/>
        <w:rPr>
          <w:b/>
          <w:bCs/>
        </w:rPr>
      </w:pPr>
      <w:r>
        <w:rPr>
          <w:b/>
          <w:bCs/>
        </w:rPr>
        <w:t>Graphique 8</w:t>
      </w:r>
    </w:p>
    <w:p w:rsidR="00000000" w:rsidRDefault="00000000">
      <w:pPr>
        <w:keepNext/>
        <w:spacing w:after="240"/>
        <w:jc w:val="center"/>
        <w:rPr>
          <w:b/>
          <w:bCs/>
        </w:rPr>
      </w:pPr>
      <w:r>
        <w:rPr>
          <w:b/>
          <w:bCs/>
        </w:rPr>
        <w:t>Bolivie: Taux d’achèvement de la quatrième année d’enseignement secondaire</w:t>
      </w:r>
      <w:r>
        <w:rPr>
          <w:b/>
          <w:bCs/>
        </w:rPr>
        <w:br/>
        <w:t>par sexe (1992 et 2001)</w:t>
      </w:r>
    </w:p>
    <w:bookmarkStart w:id="151" w:name="_MON_1251286018"/>
    <w:bookmarkStart w:id="152" w:name="_MON_1251286102"/>
    <w:bookmarkStart w:id="153" w:name="_MON_1251286138"/>
    <w:bookmarkStart w:id="154" w:name="_MON_1251287439"/>
    <w:bookmarkStart w:id="155" w:name="_MON_1251625160"/>
    <w:bookmarkStart w:id="156" w:name="_MON_1251625418"/>
    <w:bookmarkStart w:id="157" w:name="_MON_1251625785"/>
    <w:bookmarkStart w:id="158" w:name="_MON_1251625821"/>
    <w:bookmarkStart w:id="159" w:name="_MON_1251625857"/>
    <w:bookmarkStart w:id="160" w:name="_MON_1251625885"/>
    <w:bookmarkStart w:id="161" w:name="_MON_1251625916"/>
    <w:bookmarkStart w:id="162" w:name="_MON_1251627837"/>
    <w:bookmarkStart w:id="163" w:name="_MON_1251802673"/>
    <w:bookmarkStart w:id="164" w:name="_MON_1251802765"/>
    <w:bookmarkStart w:id="165" w:name="_MON_1251806527"/>
    <w:bookmarkStart w:id="166" w:name="_MON_1251806554"/>
    <w:bookmarkStart w:id="167" w:name="_MON_1251812467"/>
    <w:bookmarkStart w:id="168" w:name="_MON_1251812579"/>
    <w:bookmarkStart w:id="169" w:name="_MON_1251812597"/>
    <w:bookmarkStart w:id="170" w:name="_MON_1251867678"/>
    <w:bookmarkStart w:id="171" w:name="_MON_1251867691"/>
    <w:bookmarkStart w:id="172" w:name="_MON_1251867891"/>
    <w:bookmarkStart w:id="173" w:name="_MON_1251867896"/>
    <w:bookmarkStart w:id="174" w:name="_MON_1251868296"/>
    <w:bookmarkStart w:id="175" w:name="_MON_1251868305"/>
    <w:bookmarkStart w:id="176" w:name="_MON_1251868339"/>
    <w:bookmarkStart w:id="177" w:name="_MON_1251868348"/>
    <w:bookmarkStart w:id="178" w:name="_MON_1251868376"/>
    <w:bookmarkStart w:id="179" w:name="_MON_1251868388"/>
    <w:bookmarkStart w:id="180" w:name="_MON_1251869270"/>
    <w:bookmarkStart w:id="181" w:name="_MON_1251869329"/>
    <w:bookmarkStart w:id="182" w:name="_MON_1251869340"/>
    <w:bookmarkStart w:id="183" w:name="_MON_1251869446"/>
    <w:bookmarkStart w:id="184" w:name="_MON_1251869461"/>
    <w:bookmarkStart w:id="185" w:name="_MON_1251869897"/>
    <w:bookmarkStart w:id="186" w:name="_MON_1251870110"/>
    <w:bookmarkStart w:id="187" w:name="_MON_1251870116"/>
    <w:bookmarkStart w:id="188" w:name="_MON_1251870239"/>
    <w:bookmarkStart w:id="189" w:name="_MON_1252495481"/>
    <w:bookmarkStart w:id="190" w:name="_MON_1252495677"/>
    <w:bookmarkStart w:id="191" w:name="_MON_1257313293"/>
    <w:bookmarkStart w:id="192" w:name="_MON_1257313910"/>
    <w:bookmarkStart w:id="193" w:name="_MON_1257313979"/>
    <w:bookmarkStart w:id="194" w:name="_MON_1257314821"/>
    <w:bookmarkStart w:id="195" w:name="_MON_1257314979"/>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rsidR="00000000" w:rsidRDefault="00000000">
      <w:pPr>
        <w:spacing w:after="240"/>
        <w:jc w:val="center"/>
      </w:pPr>
      <w:r>
        <w:object w:dxaOrig="5220" w:dyaOrig="2775">
          <v:shape id="_x0000_i1033" type="#_x0000_t75" style="width:400.5pt;height:180.75pt" o:ole="">
            <v:imagedata r:id="rId23" o:title="" croptop="-3481f" cropbottom="-1205f" cropleft="-2349f" cropright="-1993f"/>
            <w10:bordertop type="single" width="4"/>
            <w10:borderleft type="single" width="4"/>
            <w10:borderbottom type="single" width="4"/>
            <w10:borderright type="single" width="4"/>
          </v:shape>
          <o:OLEObject Type="Embed" ProgID="Word.Picture.8" ShapeID="_x0000_i1033" DrawAspect="Content" ObjectID="_1394898074" r:id="rId24"/>
        </w:object>
      </w:r>
    </w:p>
    <w:p w:rsidR="00000000" w:rsidRDefault="00000000">
      <w:pPr>
        <w:spacing w:after="240"/>
        <w:ind w:firstLine="567"/>
      </w:pPr>
      <w:r>
        <w:rPr>
          <w:i/>
          <w:iCs/>
        </w:rPr>
        <w:t>Source</w:t>
      </w:r>
      <w:r>
        <w:t>: INE, SIE.</w:t>
      </w:r>
    </w:p>
    <w:p w:rsidR="00000000" w:rsidRDefault="00000000">
      <w:pPr>
        <w:spacing w:after="360"/>
        <w:ind w:firstLine="567"/>
      </w:pPr>
      <w:r>
        <w:rPr>
          <w:i/>
          <w:iCs/>
        </w:rPr>
        <w:t>Élaboré par</w:t>
      </w:r>
      <w:r>
        <w:t>: Direction de l’analyse (Ministère de l’éducation).</w:t>
      </w:r>
    </w:p>
    <w:p w:rsidR="00000000" w:rsidRDefault="00000000">
      <w:pPr>
        <w:keepNext/>
        <w:spacing w:after="240"/>
        <w:jc w:val="center"/>
        <w:rPr>
          <w:b/>
          <w:bCs/>
        </w:rPr>
      </w:pPr>
      <w:r>
        <w:rPr>
          <w:b/>
          <w:bCs/>
        </w:rPr>
        <w:t>Graphique 9</w:t>
      </w:r>
    </w:p>
    <w:p w:rsidR="00000000" w:rsidRDefault="00000000">
      <w:pPr>
        <w:keepNext/>
        <w:spacing w:after="240"/>
        <w:jc w:val="center"/>
        <w:rPr>
          <w:b/>
          <w:bCs/>
        </w:rPr>
      </w:pPr>
      <w:r>
        <w:rPr>
          <w:b/>
          <w:bCs/>
        </w:rPr>
        <w:t>Bolivie: Taux d’achèvement de la huitième année d’enseignement primaire</w:t>
      </w:r>
      <w:r>
        <w:rPr>
          <w:b/>
          <w:bCs/>
        </w:rPr>
        <w:br/>
        <w:t>par sexe, selon la zone géographique (2001)</w:t>
      </w:r>
    </w:p>
    <w:bookmarkStart w:id="196" w:name="_MON_1251286450"/>
    <w:bookmarkStart w:id="197" w:name="_MON_1251286981"/>
    <w:bookmarkStart w:id="198" w:name="_MON_1251287415"/>
    <w:bookmarkStart w:id="199" w:name="_MON_1251287436"/>
    <w:bookmarkStart w:id="200" w:name="_MON_1251628680"/>
    <w:bookmarkStart w:id="201" w:name="_MON_1251628887"/>
    <w:bookmarkStart w:id="202" w:name="_MON_1251628966"/>
    <w:bookmarkStart w:id="203" w:name="_MON_1251629402"/>
    <w:bookmarkStart w:id="204" w:name="_MON_1251802820"/>
    <w:bookmarkStart w:id="205" w:name="_MON_1251810718"/>
    <w:bookmarkStart w:id="206" w:name="_MON_1251810786"/>
    <w:bookmarkStart w:id="207" w:name="_MON_1251811242"/>
    <w:bookmarkStart w:id="208" w:name="_MON_1251867620"/>
    <w:bookmarkStart w:id="209" w:name="_MON_1251869513"/>
    <w:bookmarkStart w:id="210" w:name="_MON_1251870163"/>
    <w:bookmarkStart w:id="211" w:name="_MON_1252148704"/>
    <w:bookmarkStart w:id="212" w:name="_MON_1257314138"/>
    <w:bookmarkStart w:id="213" w:name="_MON_1257314476"/>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rsidR="00000000" w:rsidRDefault="00000000">
      <w:pPr>
        <w:spacing w:after="240"/>
        <w:jc w:val="center"/>
      </w:pPr>
      <w:r>
        <w:object w:dxaOrig="5175" w:dyaOrig="2715">
          <v:shape id="_x0000_i1034" type="#_x0000_t75" style="width:400.5pt;height:210.75pt" o:ole="">
            <v:imagedata r:id="rId25" o:title="" croptop="-5337f" cropbottom="-1642f" cropleft="-1508f" cropright="-1723f"/>
            <w10:bordertop type="single" width="4"/>
            <w10:borderleft type="single" width="4"/>
            <w10:borderbottom type="single" width="4"/>
            <w10:borderright type="single" width="4"/>
          </v:shape>
          <o:OLEObject Type="Embed" ProgID="Word.Picture.8" ShapeID="_x0000_i1034" DrawAspect="Content" ObjectID="_1394898075" r:id="rId26"/>
        </w:object>
      </w:r>
    </w:p>
    <w:p w:rsidR="00000000" w:rsidRDefault="00000000">
      <w:pPr>
        <w:spacing w:after="240"/>
        <w:ind w:firstLine="567"/>
      </w:pPr>
      <w:r>
        <w:rPr>
          <w:i/>
          <w:iCs/>
        </w:rPr>
        <w:t>Source</w:t>
      </w:r>
      <w:r>
        <w:t>: INE, SIE.</w:t>
      </w:r>
    </w:p>
    <w:p w:rsidR="00000000" w:rsidRDefault="00000000">
      <w:pPr>
        <w:spacing w:after="360"/>
        <w:ind w:firstLine="567"/>
      </w:pPr>
      <w:r>
        <w:rPr>
          <w:i/>
          <w:iCs/>
        </w:rPr>
        <w:t>Élaboré par</w:t>
      </w:r>
      <w:r>
        <w:t>: Direction de l’analyse (Ministère de l’éducation).</w:t>
      </w:r>
    </w:p>
    <w:p w:rsidR="00000000" w:rsidRDefault="00000000">
      <w:pPr>
        <w:keepNext/>
        <w:spacing w:after="240"/>
        <w:jc w:val="center"/>
        <w:rPr>
          <w:b/>
          <w:bCs/>
        </w:rPr>
      </w:pPr>
      <w:r>
        <w:rPr>
          <w:b/>
          <w:bCs/>
        </w:rPr>
        <w:t>Graphique 10</w:t>
      </w:r>
    </w:p>
    <w:p w:rsidR="00000000" w:rsidRDefault="00000000">
      <w:pPr>
        <w:keepNext/>
        <w:spacing w:after="240"/>
        <w:jc w:val="center"/>
        <w:rPr>
          <w:b/>
          <w:bCs/>
        </w:rPr>
      </w:pPr>
      <w:r>
        <w:rPr>
          <w:b/>
          <w:bCs/>
        </w:rPr>
        <w:t>Bolivie: Taux d’achèvement de la quatrième année d’enseignement secondaire</w:t>
      </w:r>
      <w:r>
        <w:rPr>
          <w:b/>
          <w:bCs/>
        </w:rPr>
        <w:br/>
        <w:t>par sexe, selon la zone géographique (2001)</w:t>
      </w:r>
    </w:p>
    <w:bookmarkStart w:id="214" w:name="_MON_1251287143"/>
    <w:bookmarkStart w:id="215" w:name="_MON_1251287382"/>
    <w:bookmarkStart w:id="216" w:name="_MON_1251287411"/>
    <w:bookmarkStart w:id="217" w:name="_MON_1251630608"/>
    <w:bookmarkStart w:id="218" w:name="_MON_1251630884"/>
    <w:bookmarkStart w:id="219" w:name="_MON_1251631102"/>
    <w:bookmarkStart w:id="220" w:name="_MON_1251631415"/>
    <w:bookmarkStart w:id="221" w:name="_MON_1251802955"/>
    <w:bookmarkStart w:id="222" w:name="_MON_1251803028"/>
    <w:bookmarkStart w:id="223" w:name="_MON_1251809920"/>
    <w:bookmarkStart w:id="224" w:name="_MON_1251809955"/>
    <w:bookmarkStart w:id="225" w:name="_MON_1251866994"/>
    <w:bookmarkStart w:id="226" w:name="_MON_1251867092"/>
    <w:bookmarkStart w:id="227" w:name="_MON_1251867105"/>
    <w:bookmarkStart w:id="228" w:name="_MON_1251867510"/>
    <w:bookmarkStart w:id="229" w:name="_MON_1251867524"/>
    <w:bookmarkStart w:id="230" w:name="_MON_1251868428"/>
    <w:bookmarkStart w:id="231" w:name="_MON_1251869587"/>
    <w:bookmarkStart w:id="232" w:name="_MON_1251870344"/>
    <w:bookmarkStart w:id="233" w:name="_MON_1251870392"/>
    <w:bookmarkStart w:id="234" w:name="_MON_1251870416"/>
    <w:bookmarkStart w:id="235" w:name="_MON_1252148793"/>
    <w:bookmarkStart w:id="236" w:name="_MON_1252148983"/>
    <w:bookmarkStart w:id="237" w:name="_MON_1257315186"/>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rsidR="00000000" w:rsidRDefault="00000000">
      <w:pPr>
        <w:spacing w:after="240"/>
        <w:jc w:val="center"/>
      </w:pPr>
      <w:r>
        <w:object w:dxaOrig="5235" w:dyaOrig="2745">
          <v:shape id="_x0000_i1035" type="#_x0000_t75" style="width:400.5pt;height:213.75pt" o:ole="">
            <v:imagedata r:id="rId27" o:title="" croptop="-5279f" cropbottom="-2436f" cropleft="-426f" cropright="-2697f"/>
            <w10:bordertop type="single" width="4"/>
            <w10:borderleft type="single" width="4"/>
            <w10:borderbottom type="single" width="4"/>
            <w10:borderright type="single" width="4"/>
          </v:shape>
          <o:OLEObject Type="Embed" ProgID="Word.Picture.8" ShapeID="_x0000_i1035" DrawAspect="Content" ObjectID="_1394898076" r:id="rId28"/>
        </w:object>
      </w:r>
    </w:p>
    <w:p w:rsidR="00000000" w:rsidRDefault="00000000">
      <w:pPr>
        <w:spacing w:after="240"/>
        <w:ind w:firstLine="567"/>
      </w:pPr>
      <w:r>
        <w:rPr>
          <w:i/>
          <w:iCs/>
        </w:rPr>
        <w:t>Source</w:t>
      </w:r>
      <w:r>
        <w:t>: INE, SIE.</w:t>
      </w:r>
    </w:p>
    <w:p w:rsidR="00000000" w:rsidRDefault="00000000">
      <w:pPr>
        <w:spacing w:after="360"/>
        <w:ind w:firstLine="567"/>
      </w:pPr>
      <w:r>
        <w:rPr>
          <w:i/>
          <w:iCs/>
        </w:rPr>
        <w:t>Élaboré par</w:t>
      </w:r>
      <w:r>
        <w:t>: Direction de l’analyse (Ministère de l’éducation).</w:t>
      </w:r>
    </w:p>
    <w:p w:rsidR="00000000" w:rsidRDefault="00000000">
      <w:pPr>
        <w:spacing w:after="240"/>
      </w:pPr>
      <w:r>
        <w:t>253.</w:t>
      </w:r>
      <w:r>
        <w:tab/>
        <w:t xml:space="preserve">La structure de l’enseignement secondaire prévue par la loi </w:t>
      </w:r>
      <w:r>
        <w:rPr>
          <w:rFonts w:eastAsia="MS Mincho"/>
        </w:rPr>
        <w:t>n</w:t>
      </w:r>
      <w:r>
        <w:rPr>
          <w:rFonts w:eastAsia="MS Mincho"/>
          <w:vertAlign w:val="superscript"/>
        </w:rPr>
        <w:t>o</w:t>
      </w:r>
      <w:r>
        <w:t xml:space="preserve"> 1565 et le décret suprême </w:t>
      </w:r>
      <w:r>
        <w:rPr>
          <w:rFonts w:eastAsia="MS Mincho"/>
        </w:rPr>
        <w:t>n</w:t>
      </w:r>
      <w:r>
        <w:rPr>
          <w:rFonts w:eastAsia="MS Mincho"/>
          <w:vertAlign w:val="superscript"/>
        </w:rPr>
        <w:t>o</w:t>
      </w:r>
      <w:r>
        <w:t> 23950 est complexe; cependant, elle n’est pas appliquée en pratique en raison des retards enregistrés par le Programme pour la réforme éducative. Conformément à cette structure, le niveau secondaire est divisé en deux cycles: le premier, celui des apprentissages technologiques, a une durée de deux ans et s’adresse à tous les étudiants, lesquels obtiennent, à l’issue de ce cycle, un diplôme de technicien de base dans une spécialité définie au niveau régional</w:t>
      </w:r>
      <w:r>
        <w:rPr>
          <w:rStyle w:val="FootnoteReference"/>
        </w:rPr>
        <w:footnoteReference w:id="28"/>
      </w:r>
      <w:r>
        <w:t>. Le second cycle, consacré aux apprentissages différenciés, a une durée de deux ans et débouche sur un diplôme à deux branches: le baccalauréat technique et le baccalauréat en humanités. Le baccalauréat technique prépare l’intégration de l’étudiant dans le monde du travail, grâce à une spécialisation professionnelle définie au plan régional; la formation future est dispensée dans les instituts de formation technique et technologique. Le baccalauréat en humanités doit permettre d’obtenir diverses mentions, dans divers domaines de spécialisation, et prépare à des études dans des universités ou des centres de formation des enseignants</w:t>
      </w:r>
      <w:r>
        <w:rPr>
          <w:rStyle w:val="FootnoteReference"/>
        </w:rPr>
        <w:footnoteReference w:id="29"/>
      </w:r>
      <w:r>
        <w:t xml:space="preserve">. Les différentes matières prévues par le décret suprême </w:t>
      </w:r>
      <w:r>
        <w:rPr>
          <w:rFonts w:eastAsia="MS Mincho"/>
        </w:rPr>
        <w:t>n</w:t>
      </w:r>
      <w:r>
        <w:rPr>
          <w:rFonts w:eastAsia="MS Mincho"/>
          <w:vertAlign w:val="superscript"/>
        </w:rPr>
        <w:t>o</w:t>
      </w:r>
      <w:r>
        <w:t> 23950 pour l’enseignement secondaire sont les suivantes: communication et langues, mathématiques, expression et créativité, sciences naturelles et écologie, sciences sociales, psychologie, philosophie, logique et éthique, technologie et informatique, spécialisation professionnelle</w:t>
      </w:r>
      <w:r>
        <w:rPr>
          <w:rStyle w:val="FootnoteReference"/>
        </w:rPr>
        <w:footnoteReference w:id="30"/>
      </w:r>
      <w:r>
        <w:t>.</w:t>
      </w:r>
    </w:p>
    <w:p w:rsidR="00000000" w:rsidRDefault="00000000">
      <w:pPr>
        <w:spacing w:after="240"/>
      </w:pPr>
      <w:r>
        <w:t>254.</w:t>
      </w:r>
      <w:r>
        <w:tab/>
        <w:t>Dans le cadre du Congrès national de l’éducation, ont été organisés jusqu’à présent des ateliers thématiques, dans lesquels on a débattu d’aspects spécifiques, et des congrès départementaux qui se sont penchés sur chacun des thèmes abordés dans les ateliers. Dans l’atelier consacré à l’enseignement secondaire, organisé à Cobija au mois de novembre, les participants se sont largement accordés pour considérer que cet enseignement n’a pas été suffisamment pris en compte dans le processus de réforme éducative, et qu’il doit être redéfini, l’accent étant mis sur un baccalauréat intégral humanistico</w:t>
      </w:r>
      <w:r>
        <w:noBreakHyphen/>
        <w:t xml:space="preserve">technique, contrairement à l’option de la double orientation prévue par la loi </w:t>
      </w:r>
      <w:r>
        <w:rPr>
          <w:rFonts w:eastAsia="MS Mincho"/>
        </w:rPr>
        <w:t>n</w:t>
      </w:r>
      <w:r>
        <w:rPr>
          <w:rFonts w:eastAsia="MS Mincho"/>
          <w:vertAlign w:val="superscript"/>
        </w:rPr>
        <w:t>o</w:t>
      </w:r>
      <w:r>
        <w:t> 1565. Une autre idée qui a été bien accueillie, tant à l’occasion du Congrès national de l’éducation que dans d’autres rencontres et projets − le Dialogue national Bolivie productive (DNBP), et la Stratégie bolivienne pour la réduction de la pauvreté (EBRP) 2004</w:t>
      </w:r>
      <w:r>
        <w:noBreakHyphen/>
        <w:t>2007 − est celle qui prévoit une éducation productive, axée sur la formation professionnelle, technique et technologique</w:t>
      </w:r>
      <w:r>
        <w:rPr>
          <w:rStyle w:val="FootnoteReference"/>
        </w:rPr>
        <w:footnoteReference w:id="31"/>
      </w:r>
      <w:r>
        <w:t>.</w:t>
      </w:r>
    </w:p>
    <w:p w:rsidR="00000000" w:rsidRDefault="00000000">
      <w:pPr>
        <w:spacing w:after="240"/>
      </w:pPr>
      <w:r>
        <w:t>255.</w:t>
      </w:r>
      <w:r>
        <w:tab/>
        <w:t>Afin de promouvoir un enseignement secondaire, technique et professionnel, généralisé et accessible à tous, on a lancé dans le prolongement du Programme de réforme éducative, le projet de transformation de l’éducation secondaire, axé sur le nouveau système de formation technique et technologique. À cet égard, il existe déjà une version préliminaire du projet comportant des composantes et des sous</w:t>
      </w:r>
      <w:r>
        <w:noBreakHyphen/>
        <w:t>composantes, qui vise à améliorer l’accès, le maintien, la qualité, la pertinence et la gestion en matière d’éducation.</w:t>
      </w:r>
    </w:p>
    <w:p w:rsidR="00000000" w:rsidRDefault="00000000">
      <w:pPr>
        <w:keepNext/>
        <w:spacing w:after="240"/>
        <w:rPr>
          <w:b/>
          <w:bCs/>
        </w:rPr>
      </w:pPr>
      <w:r>
        <w:rPr>
          <w:b/>
          <w:bCs/>
        </w:rPr>
        <w:t>Droit de participer à la vie culturelle</w:t>
      </w:r>
    </w:p>
    <w:p w:rsidR="00000000" w:rsidRDefault="00000000">
      <w:pPr>
        <w:spacing w:after="240"/>
      </w:pPr>
      <w:r>
        <w:t>256.</w:t>
      </w:r>
      <w:r>
        <w:tab/>
        <w:t>Afin de permettre l’exercice effectif de ce droit, l’État bolivien dispose de la législation spéciale indiquée ci</w:t>
      </w:r>
      <w:r>
        <w:noBreakHyphen/>
        <w:t>dessous:</w:t>
      </w:r>
    </w:p>
    <w:p w:rsidR="00000000" w:rsidRDefault="00000000">
      <w:pPr>
        <w:spacing w:after="240"/>
        <w:ind w:left="1134" w:hanging="567"/>
      </w:pPr>
      <w:r>
        <w:t>1.</w:t>
      </w:r>
      <w:r>
        <w:tab/>
        <w:t>Constitution politique de l’État: articles 7 (al. </w:t>
      </w:r>
      <w:r>
        <w:rPr>
          <w:i/>
          <w:iCs/>
        </w:rPr>
        <w:t>e</w:t>
      </w:r>
      <w:r>
        <w:t>), 171 (par. 1), 177 (par. 1), 191 et 192;</w:t>
      </w:r>
    </w:p>
    <w:p w:rsidR="00000000" w:rsidRDefault="00000000">
      <w:pPr>
        <w:spacing w:after="240"/>
        <w:ind w:left="1134" w:hanging="567"/>
      </w:pPr>
      <w:r>
        <w:t>2.</w:t>
      </w:r>
      <w:r>
        <w:tab/>
        <w:t>Loi relative au patrimoine de la nation − Ruines de Tiahuanaco et lac Titicaca;</w:t>
      </w:r>
    </w:p>
    <w:p w:rsidR="00000000" w:rsidRDefault="00000000">
      <w:pPr>
        <w:spacing w:after="240"/>
        <w:ind w:left="1134" w:hanging="567"/>
      </w:pPr>
      <w:r>
        <w:t>3.</w:t>
      </w:r>
      <w:r>
        <w:tab/>
        <w:t>Loi relative aux monuments nationaux;</w:t>
      </w:r>
    </w:p>
    <w:p w:rsidR="00000000" w:rsidRDefault="00000000">
      <w:pPr>
        <w:spacing w:after="240"/>
        <w:ind w:left="1134" w:hanging="567"/>
      </w:pPr>
      <w:r>
        <w:t>4.</w:t>
      </w:r>
      <w:r>
        <w:tab/>
        <w:t>Lois pour la protection du patrimoine bibliographique et documentaire;</w:t>
      </w:r>
    </w:p>
    <w:p w:rsidR="00000000" w:rsidRDefault="00000000">
      <w:pPr>
        <w:spacing w:after="240"/>
        <w:ind w:left="1134" w:hanging="567"/>
      </w:pPr>
      <w:r>
        <w:t>5.</w:t>
      </w:r>
      <w:r>
        <w:tab/>
        <w:t>Loi relative au cinéma: articles 1, 2, 30, 33 et 34;</w:t>
      </w:r>
    </w:p>
    <w:p w:rsidR="00000000" w:rsidRDefault="00000000">
      <w:pPr>
        <w:spacing w:after="240"/>
        <w:ind w:left="1134" w:hanging="567"/>
      </w:pPr>
      <w:r>
        <w:t>6.</w:t>
      </w:r>
      <w:r>
        <w:tab/>
        <w:t>Loi relative aux droits d’auteur;</w:t>
      </w:r>
    </w:p>
    <w:p w:rsidR="00000000" w:rsidRDefault="00000000">
      <w:pPr>
        <w:spacing w:after="240"/>
        <w:ind w:left="1134" w:hanging="567"/>
      </w:pPr>
      <w:r>
        <w:t>7.</w:t>
      </w:r>
      <w:r>
        <w:tab/>
        <w:t>Loi relative à la décentralisation de l’administration et au patrimoine culturel du département;</w:t>
      </w:r>
    </w:p>
    <w:p w:rsidR="00000000" w:rsidRDefault="00000000">
      <w:pPr>
        <w:spacing w:after="240"/>
        <w:ind w:left="1134" w:hanging="567"/>
      </w:pPr>
      <w:r>
        <w:t>8.</w:t>
      </w:r>
      <w:r>
        <w:tab/>
        <w:t>Loi relative à la participation populaire et aux biens culturels de la cité et de la communauté;</w:t>
      </w:r>
    </w:p>
    <w:p w:rsidR="00000000" w:rsidRDefault="00000000">
      <w:pPr>
        <w:spacing w:after="240"/>
        <w:ind w:left="1134" w:hanging="567"/>
      </w:pPr>
      <w:r>
        <w:t>9.</w:t>
      </w:r>
      <w:r>
        <w:tab/>
        <w:t>Décret suprême relatif aux monuments nationaux;</w:t>
      </w:r>
    </w:p>
    <w:p w:rsidR="00000000" w:rsidRDefault="00000000">
      <w:pPr>
        <w:spacing w:after="240"/>
        <w:ind w:left="1134" w:hanging="567"/>
      </w:pPr>
      <w:r>
        <w:t>10.</w:t>
      </w:r>
      <w:r>
        <w:tab/>
        <w:t>Décret suprême relatif au patrimoine bibliographique et documentaire;</w:t>
      </w:r>
    </w:p>
    <w:p w:rsidR="00000000" w:rsidRDefault="00000000">
      <w:pPr>
        <w:spacing w:after="240"/>
        <w:ind w:left="1134" w:hanging="567"/>
      </w:pPr>
      <w:r>
        <w:t>11.</w:t>
      </w:r>
      <w:r>
        <w:tab/>
        <w:t>Décret suprême relatif au classement et à la conservation du trésor artistique de la nation;</w:t>
      </w:r>
    </w:p>
    <w:p w:rsidR="00000000" w:rsidRDefault="00000000">
      <w:pPr>
        <w:spacing w:after="240"/>
        <w:ind w:left="1134" w:hanging="567"/>
      </w:pPr>
      <w:r>
        <w:t>12.</w:t>
      </w:r>
      <w:r>
        <w:tab/>
        <w:t>Décret suprême relatif à la recherche paléontologique;</w:t>
      </w:r>
    </w:p>
    <w:p w:rsidR="00000000" w:rsidRDefault="00000000">
      <w:pPr>
        <w:spacing w:after="240"/>
        <w:ind w:left="1134" w:hanging="567"/>
      </w:pPr>
      <w:r>
        <w:t>13.</w:t>
      </w:r>
      <w:r>
        <w:tab/>
        <w:t>Décret suprême portant interdiction de la vente d’objets archéologiques;</w:t>
      </w:r>
    </w:p>
    <w:p w:rsidR="00000000" w:rsidRDefault="00000000">
      <w:pPr>
        <w:spacing w:after="240"/>
        <w:ind w:left="1134" w:hanging="567"/>
      </w:pPr>
      <w:r>
        <w:t>14.</w:t>
      </w:r>
      <w:r>
        <w:tab/>
        <w:t>Décret suprême concernant la protection du patrimoine ethnologique et ethnographique;</w:t>
      </w:r>
    </w:p>
    <w:p w:rsidR="00000000" w:rsidRDefault="00000000">
      <w:pPr>
        <w:spacing w:after="240"/>
        <w:ind w:left="1134" w:hanging="567"/>
      </w:pPr>
      <w:r>
        <w:t>15.</w:t>
      </w:r>
      <w:r>
        <w:tab/>
        <w:t>Résolution ministérielle sur les fouilles archéologiques en République de Bolivie;</w:t>
      </w:r>
    </w:p>
    <w:p w:rsidR="00000000" w:rsidRDefault="00000000">
      <w:pPr>
        <w:spacing w:after="240"/>
        <w:ind w:left="1134" w:hanging="567"/>
      </w:pPr>
      <w:r>
        <w:t>16.</w:t>
      </w:r>
      <w:r>
        <w:tab/>
        <w:t>Règlement sur les recherches anthropologiques;</w:t>
      </w:r>
    </w:p>
    <w:p w:rsidR="00000000" w:rsidRDefault="00000000">
      <w:pPr>
        <w:spacing w:after="240"/>
        <w:ind w:left="1134" w:hanging="567"/>
      </w:pPr>
      <w:r>
        <w:t>17.</w:t>
      </w:r>
      <w:r>
        <w:tab/>
        <w:t>Règlement d’application de la loi relative aux droits d’auteur.</w:t>
      </w:r>
    </w:p>
    <w:p w:rsidR="00000000" w:rsidRDefault="00000000">
      <w:pPr>
        <w:spacing w:after="240"/>
      </w:pPr>
      <w:r>
        <w:t>257.</w:t>
      </w:r>
      <w:r>
        <w:tab/>
        <w:t>Par ailleurs, l’État bolivien a adopté un certain nombre de conventions à cet égard.</w:t>
      </w:r>
    </w:p>
    <w:p w:rsidR="00000000" w:rsidRDefault="00000000">
      <w:pPr>
        <w:keepNext/>
        <w:spacing w:after="240"/>
        <w:jc w:val="center"/>
        <w:rPr>
          <w:b/>
          <w:bCs/>
        </w:rPr>
      </w:pPr>
      <w:r>
        <w:rPr>
          <w:b/>
          <w:bCs/>
        </w:rPr>
        <w:t>I.  CONVENTIONS</w:t>
      </w:r>
    </w:p>
    <w:p w:rsidR="00000000" w:rsidRDefault="00000000">
      <w:pPr>
        <w:keepNext/>
        <w:spacing w:after="240"/>
        <w:rPr>
          <w:b/>
          <w:bCs/>
        </w:rPr>
      </w:pPr>
      <w:r>
        <w:rPr>
          <w:b/>
          <w:bCs/>
        </w:rPr>
        <w:t>1.</w:t>
      </w:r>
      <w:r>
        <w:rPr>
          <w:b/>
          <w:bCs/>
        </w:rPr>
        <w:tab/>
        <w:t>Convention concernant le Fonds pour le développement des cultures et le dialogue</w:t>
      </w:r>
    </w:p>
    <w:p w:rsidR="00000000" w:rsidRDefault="00000000">
      <w:pPr>
        <w:spacing w:after="240"/>
      </w:pPr>
      <w:r>
        <w:t>258.</w:t>
      </w:r>
      <w:r>
        <w:tab/>
        <w:t>L’objectif de la Convention est de constituer un fonds culturel pour le développement et la promotion de la production culturelle, pour appuyer les processus et les projets culturels dans le cadre de la diversité, la pluralité et le dialogue. Sont parties à cette convention le Gouvernement de la République de Bolivie et l’ambassade royale du Danemark en Bolivie.</w:t>
      </w:r>
    </w:p>
    <w:p w:rsidR="00000000" w:rsidRDefault="00000000">
      <w:pPr>
        <w:spacing w:after="240"/>
      </w:pPr>
      <w:r>
        <w:t>259.</w:t>
      </w:r>
      <w:r>
        <w:tab/>
        <w:t>Tous les projets et études devront privilégier la pérennité, en tant que processus destinés à inspirer et à promouvoir des politiques publiques; ils seront approuvés par le Conseil de direction du Fonds culturel, qui pourra proposer ses orientations dans le cadre du dialogue interculturel. Par ailleurs, les projets seront réalisés moyennant un appel d’offres public, sur concours ou sur invitation directe.</w:t>
      </w:r>
    </w:p>
    <w:p w:rsidR="00000000" w:rsidRDefault="00000000">
      <w:pPr>
        <w:keepNext/>
        <w:spacing w:after="240"/>
        <w:rPr>
          <w:b/>
          <w:bCs/>
        </w:rPr>
      </w:pPr>
      <w:r>
        <w:rPr>
          <w:b/>
          <w:bCs/>
        </w:rPr>
        <w:t>2.</w:t>
      </w:r>
      <w:r>
        <w:rPr>
          <w:b/>
          <w:bCs/>
        </w:rPr>
        <w:tab/>
        <w:t>Convention relative aux afro</w:t>
      </w:r>
      <w:r>
        <w:rPr>
          <w:b/>
          <w:bCs/>
        </w:rPr>
        <w:noBreakHyphen/>
        <w:t>descendants</w:t>
      </w:r>
    </w:p>
    <w:p w:rsidR="00000000" w:rsidRDefault="00000000">
      <w:pPr>
        <w:spacing w:after="240"/>
      </w:pPr>
      <w:r>
        <w:t>260.</w:t>
      </w:r>
      <w:r>
        <w:tab/>
        <w:t>En 2002 a été organisée la première rencontre nationale afro</w:t>
      </w:r>
      <w:r>
        <w:noBreakHyphen/>
        <w:t>bolivienne. L’objet de cette cérémonie était de commémorer les cent cinquante ans de l’abolition de l’esclavage en Bolivie, ainsi que d’instaurer des espaces de réflexion et de débat s’inscrivant dans le cadre de programmes politiques de développement favorisant l’intégration au système organique de l’État.</w:t>
      </w:r>
    </w:p>
    <w:p w:rsidR="00000000" w:rsidRDefault="00000000">
      <w:pPr>
        <w:keepNext/>
        <w:spacing w:after="240"/>
        <w:rPr>
          <w:b/>
          <w:bCs/>
        </w:rPr>
      </w:pPr>
      <w:r>
        <w:rPr>
          <w:b/>
          <w:bCs/>
        </w:rPr>
        <w:t>Droit de jouir du progrès scientifique et de ses applications</w:t>
      </w:r>
    </w:p>
    <w:p w:rsidR="00000000" w:rsidRDefault="00000000">
      <w:pPr>
        <w:spacing w:after="240"/>
      </w:pPr>
      <w:r>
        <w:t>261.</w:t>
      </w:r>
      <w:r>
        <w:tab/>
        <w:t>L’enseignement supérieur devant être également accessible à tous, eu égard aux capacités de chacun, grâce à la fourniture de moyens appropriés, et en particulier la mise en œuvre progressive de la gratuité de l’enseignement, il convient de préciser qu’à l’heure actuelle la Bolivie dispose d’universités d’État qui dispensent une formation professionnelle gratuite.</w:t>
      </w:r>
    </w:p>
    <w:p w:rsidR="00000000" w:rsidRDefault="00000000">
      <w:pPr>
        <w:spacing w:after="240"/>
      </w:pPr>
      <w:r>
        <w:t>262.</w:t>
      </w:r>
      <w:r>
        <w:tab/>
        <w:t>Afin que le progrès scientifique contribue durablement au développement économique, culturel et social du pays, et que la situation de la Bolivie soit améliorée, il est indispensable de mettre en pratique un ensemble de politiques spécifiques.</w:t>
      </w:r>
    </w:p>
    <w:p w:rsidR="00000000" w:rsidRDefault="00000000">
      <w:pPr>
        <w:spacing w:after="240"/>
      </w:pPr>
      <w:r>
        <w:t>263.</w:t>
      </w:r>
      <w:r>
        <w:tab/>
        <w:t xml:space="preserve">La Direction générale de la science et de la technologie, qui relève du </w:t>
      </w:r>
      <w:r>
        <w:rPr>
          <w:rFonts w:eastAsia="MS Mincho"/>
        </w:rPr>
        <w:t>secrétariat</w:t>
      </w:r>
      <w:r>
        <w:t xml:space="preserve"> d’État chargé de l’enseignement supérieur, de la science et de la technologie, a établi un plan national pour la science, la technologie et l’innovation 2004</w:t>
      </w:r>
      <w:r>
        <w:noBreakHyphen/>
        <w:t>2009. Cet instrument devrait apporter un véritable appui à la science et à la technologie. Un autre organisme de l’ONU a participé à ce programme par l’intermédiaire de l’UNESCO.</w:t>
      </w:r>
    </w:p>
    <w:p w:rsidR="00000000" w:rsidRDefault="00000000">
      <w:pPr>
        <w:spacing w:after="240"/>
      </w:pPr>
      <w:r>
        <w:t>264.</w:t>
      </w:r>
      <w:r>
        <w:tab/>
        <w:t>Les mesures visant à diffuser la science et la culture, importantes pour assurer, grâce à un effort d’intégration, l’adoption de véritables mécanismes nationaux et régionaux destinés à promouvoir la formation, les échanges et l’adaptation de réseaux et d’alliances stratégiques, ont été mises en œuvre principalement dans le cadre de la Convention Andrés Bello</w:t>
      </w:r>
      <w:r>
        <w:rPr>
          <w:rStyle w:val="FootnoteReference"/>
        </w:rPr>
        <w:footnoteReference w:id="32"/>
      </w:r>
      <w:r>
        <w:t>.</w:t>
      </w:r>
    </w:p>
    <w:p w:rsidR="00000000" w:rsidRDefault="00000000">
      <w:pPr>
        <w:spacing w:after="240"/>
      </w:pPr>
      <w:r>
        <w:t>265.</w:t>
      </w:r>
      <w:r>
        <w:tab/>
        <w:t>Ces dernières décennies, des programmes d’éducation non scolaire et informelle ont été mis en place dans le domaine de la science et de la technologie. Ils ont pour objet d’élaborer différentes stratégies visant à promouvoir les connaissances scientifiques chez les enfants et les jeunes.</w:t>
      </w:r>
    </w:p>
    <w:p w:rsidR="00000000" w:rsidRDefault="00000000">
      <w:pPr>
        <w:spacing w:after="240"/>
      </w:pPr>
      <w:r>
        <w:t>266.</w:t>
      </w:r>
      <w:r>
        <w:tab/>
        <w:t>À titre d’exemple on peut citer le programme CUCLI CUCLI de la Convention Andrés Bello, le projet régional à moyen terme sur les innovations éducatives (UNESCO/OREAL), le réseau d’innovation éducative INNOVEMOS, etc.</w:t>
      </w:r>
    </w:p>
    <w:p w:rsidR="00000000" w:rsidRDefault="00000000">
      <w:pPr>
        <w:spacing w:after="240"/>
      </w:pPr>
      <w:r>
        <w:t>267.</w:t>
      </w:r>
      <w:r>
        <w:tab/>
        <w:t>Par ailleurs, on peut également préciser que la Convention Andrés Bello a favorisé la mise en œuvre, conjointement avec les organisations nationales pour la science et la technologie, d’un plan d’action conjoint sur la vulgarisation dans l’enseignement des sciences.</w:t>
      </w:r>
    </w:p>
    <w:p w:rsidR="00000000" w:rsidRDefault="00000000">
      <w:pPr>
        <w:spacing w:after="240"/>
      </w:pPr>
      <w:r>
        <w:t>268.</w:t>
      </w:r>
      <w:r>
        <w:tab/>
        <w:t>Le Plan national bolivien pour la science et la technologie comprend le Programme pour la diffusion et la vulgarisation de la science et de la technologie, dont l’objectif est de favoriser la diffusion et la divulgation des connaissances scientifiques dans la société bolivienne.</w:t>
      </w:r>
    </w:p>
    <w:p w:rsidR="00000000" w:rsidRDefault="00000000">
      <w:pPr>
        <w:spacing w:after="240"/>
      </w:pPr>
      <w:r>
        <w:t>269.</w:t>
      </w:r>
      <w:r>
        <w:tab/>
        <w:t>Les actions en faveur du renforcement et du développement de la coopération sont très bénéfiques. À cet égard, la formation des ressources humaines en Bolivie a été favorisée, grâce à l’octroi de bourses, l’organisation de stages dans des centres d’excellence à l’étranger, etc.</w:t>
      </w:r>
    </w:p>
    <w:p w:rsidR="00000000" w:rsidRDefault="00000000">
      <w:pPr>
        <w:spacing w:after="240"/>
      </w:pPr>
      <w:r>
        <w:t>270.</w:t>
      </w:r>
      <w:r>
        <w:tab/>
        <w:t>À titre d’exemple, on peut mentionner les actions réalisées dans le cadre du Programme ibéro</w:t>
      </w:r>
      <w:r>
        <w:noBreakHyphen/>
        <w:t>américain de la science et de la technologie pour le développement (CYTED), comportant des journées ibéro-américaines (CURSOS), la mobilité des chercheurs, des miniforums, des forums, etc.</w:t>
      </w:r>
    </w:p>
    <w:p w:rsidR="00000000" w:rsidRDefault="00000000">
      <w:pPr>
        <w:spacing w:after="240"/>
      </w:pPr>
      <w:r>
        <w:t>271.</w:t>
      </w:r>
      <w:r>
        <w:tab/>
        <w:t>L’UNESCO a également été l’un des organismes qui a favorisé ces actions, grâce à des programmes de formation supérieure, l’octroi de bourses, et même des propositions d’emploi.</w:t>
      </w:r>
    </w:p>
    <w:p w:rsidR="00000000" w:rsidRDefault="00000000">
      <w:pPr>
        <w:keepLines/>
        <w:spacing w:after="240"/>
        <w:ind w:left="567"/>
        <w:rPr>
          <w:b/>
          <w:bCs/>
        </w:rPr>
      </w:pPr>
      <w:r>
        <w:rPr>
          <w:b/>
          <w:bCs/>
        </w:rPr>
        <w:t>40.</w:t>
      </w:r>
      <w:r>
        <w:rPr>
          <w:b/>
          <w:bCs/>
        </w:rPr>
        <w:tab/>
        <w:t>Le Comité demande instamment à l’</w:t>
      </w:r>
      <w:r>
        <w:rPr>
          <w:rFonts w:eastAsia="MS Mincho"/>
          <w:b/>
          <w:bCs/>
        </w:rPr>
        <w:t>État partie</w:t>
      </w:r>
      <w:r>
        <w:rPr>
          <w:b/>
          <w:bCs/>
        </w:rPr>
        <w:t xml:space="preserve"> de considérer la réforme foncière comme une de ses priorités, de prévoir les ressources économiques et humaines nécessaires à sa mise en œuvre et d’engager sans attendre les procédures d’établissement de titres fonciers.</w:t>
      </w:r>
    </w:p>
    <w:p w:rsidR="00000000" w:rsidRDefault="00000000">
      <w:pPr>
        <w:spacing w:after="240"/>
      </w:pPr>
      <w:r>
        <w:t>272.</w:t>
      </w:r>
      <w:r>
        <w:tab/>
        <w:t>Veuillez consulter le rapport sur la population et le logement.</w:t>
      </w:r>
    </w:p>
    <w:p w:rsidR="00000000" w:rsidRDefault="00000000">
      <w:pPr>
        <w:keepLines/>
        <w:spacing w:after="240"/>
        <w:ind w:left="567"/>
        <w:rPr>
          <w:rFonts w:eastAsia="MS Mincho"/>
          <w:b/>
          <w:bCs/>
        </w:rPr>
      </w:pPr>
      <w:r>
        <w:rPr>
          <w:b/>
          <w:bCs/>
        </w:rPr>
        <w:t>41.</w:t>
      </w:r>
      <w:r>
        <w:rPr>
          <w:b/>
          <w:bCs/>
        </w:rPr>
        <w:tab/>
        <w:t>Le Comité demande à l’</w:t>
      </w:r>
      <w:r>
        <w:rPr>
          <w:rFonts w:eastAsia="MS Mincho"/>
          <w:b/>
          <w:bCs/>
        </w:rPr>
        <w:t>État partie</w:t>
      </w:r>
      <w:r>
        <w:rPr>
          <w:b/>
          <w:bCs/>
        </w:rPr>
        <w:t xml:space="preserve"> de prendre des dispositions pour remédier aux problèmes posés par l’important déficit de logements, la fréquence des expulsions forcées et le manque de logements sociaux pour les groupes à faible revenu, vulnérables et marginalisés. Le Comité prie l’</w:t>
      </w:r>
      <w:r>
        <w:rPr>
          <w:rFonts w:eastAsia="MS Mincho"/>
          <w:b/>
          <w:bCs/>
        </w:rPr>
        <w:t>État partie de fournir dans son deuxième rapport périodique, conformément à l’Observation générale n</w:t>
      </w:r>
      <w:r>
        <w:rPr>
          <w:rFonts w:eastAsia="MS Mincho"/>
          <w:b/>
          <w:bCs/>
          <w:vertAlign w:val="superscript"/>
        </w:rPr>
        <w:t>o</w:t>
      </w:r>
      <w:r>
        <w:rPr>
          <w:rFonts w:eastAsia="MS Mincho"/>
          <w:b/>
          <w:bCs/>
        </w:rPr>
        <w:t> 7 du Comité, des informations détaillées sur le nombre et la nature des expulsions forcées qui ont eu lieu en Bolivie.</w:t>
      </w:r>
    </w:p>
    <w:p w:rsidR="00000000" w:rsidRDefault="00000000">
      <w:pPr>
        <w:spacing w:after="240"/>
        <w:rPr>
          <w:rFonts w:eastAsia="MS Mincho"/>
        </w:rPr>
      </w:pPr>
      <w:r>
        <w:rPr>
          <w:rFonts w:eastAsia="MS Mincho"/>
        </w:rPr>
        <w:t>273.</w:t>
      </w:r>
      <w:r>
        <w:rPr>
          <w:rFonts w:eastAsia="MS Mincho"/>
        </w:rPr>
        <w:tab/>
        <w:t>Veuillez consulter le rapport sur le recensement de la population et le logement.</w:t>
      </w:r>
    </w:p>
    <w:p w:rsidR="00000000" w:rsidRDefault="00000000">
      <w:pPr>
        <w:keepLines/>
        <w:spacing w:after="240"/>
        <w:ind w:left="567"/>
        <w:rPr>
          <w:b/>
          <w:bCs/>
        </w:rPr>
      </w:pPr>
      <w:r>
        <w:rPr>
          <w:b/>
          <w:bCs/>
        </w:rPr>
        <w:t>42.</w:t>
      </w:r>
      <w:r>
        <w:rPr>
          <w:b/>
          <w:bCs/>
        </w:rPr>
        <w:tab/>
        <w:t>Le Comité demande instamment à l’État partie de prendre des dispositions pour remédier aux problèmes et insuffisances qui affectent les enfants et nuisent à leur bien</w:t>
      </w:r>
      <w:r>
        <w:rPr>
          <w:b/>
          <w:bCs/>
        </w:rPr>
        <w:noBreakHyphen/>
        <w:t>être, à commencer par les diverses formes d’exploitation des enfants telles que le trafic d’enfants, l’exploitation sexuelle des enfants et les mauvais traitements qui leur sont infligés au sein de la famille. Le Comité demande instamment à l’État partie de dégager les ressources financières nécessaires pour l’éducation des enfants et l’éradication de la malnutrition infantile.</w:t>
      </w:r>
    </w:p>
    <w:p w:rsidR="00000000" w:rsidRDefault="00000000">
      <w:pPr>
        <w:keepNext/>
        <w:spacing w:after="240"/>
        <w:rPr>
          <w:b/>
          <w:bCs/>
        </w:rPr>
      </w:pPr>
      <w:r>
        <w:rPr>
          <w:b/>
          <w:bCs/>
        </w:rPr>
        <w:t>Protection et assistance en faveur de tous les enfants et adolescents contre l’exploitation économique et sociale</w:t>
      </w:r>
    </w:p>
    <w:p w:rsidR="00000000" w:rsidRDefault="00000000">
      <w:pPr>
        <w:spacing w:after="240"/>
      </w:pPr>
      <w:r>
        <w:t>274.</w:t>
      </w:r>
      <w:r>
        <w:tab/>
        <w:t>Le 27 octobre 1999 a été adopté le Code de l’enfance et de l’adolescence, dont le titre VI prévoit le droit à la protection complète au travail et interdit d’employer des enfants dans des activités dangereuses et insalubres, et les travaux portant atteinte à la dignité de l’enfant. Les inspections réalisées dans des entreprises, ainsi que leur enregistrement auprès du Ministère du travail, permettent de vérifier que des enfants et des adolescents travaillent.</w:t>
      </w:r>
    </w:p>
    <w:p w:rsidR="00000000" w:rsidRDefault="00000000">
      <w:pPr>
        <w:spacing w:after="240"/>
      </w:pPr>
      <w:r>
        <w:t>275.</w:t>
      </w:r>
      <w:r>
        <w:tab/>
        <w:t xml:space="preserve">La résolution suprême </w:t>
      </w:r>
      <w:r>
        <w:rPr>
          <w:rFonts w:eastAsia="MS Mincho"/>
        </w:rPr>
        <w:t>n</w:t>
      </w:r>
      <w:r>
        <w:rPr>
          <w:rFonts w:eastAsia="MS Mincho"/>
          <w:vertAlign w:val="superscript"/>
        </w:rPr>
        <w:t>o</w:t>
      </w:r>
      <w:r>
        <w:t> 220849, du 7 juin 2001, porte approbation du Plan national d’élimination progressive du travail infantile, qui devra être mis en œuvre d’ici à 2010.</w:t>
      </w:r>
    </w:p>
    <w:p w:rsidR="00000000" w:rsidRDefault="00000000">
      <w:pPr>
        <w:spacing w:after="240"/>
      </w:pPr>
      <w:r>
        <w:t>276.</w:t>
      </w:r>
      <w:r>
        <w:tab/>
        <w:t xml:space="preserve">Mémoire présenté par le </w:t>
      </w:r>
      <w:r>
        <w:rPr>
          <w:rFonts w:eastAsia="MS Mincho"/>
        </w:rPr>
        <w:t>Gouvernement</w:t>
      </w:r>
      <w:r>
        <w:t xml:space="preserve"> de la République de Bolivie, conformément aux dispositions de l’article 22 de la Constitution de l’</w:t>
      </w:r>
      <w:r>
        <w:rPr>
          <w:rFonts w:eastAsia="MS Mincho"/>
        </w:rPr>
        <w:t>Organisation</w:t>
      </w:r>
      <w:r>
        <w:t xml:space="preserve"> </w:t>
      </w:r>
      <w:r>
        <w:rPr>
          <w:rFonts w:eastAsia="MS Mincho"/>
        </w:rPr>
        <w:t>international</w:t>
      </w:r>
      <w:r>
        <w:t>e du Travail, correspondant à la période comprise entre le 1</w:t>
      </w:r>
      <w:r>
        <w:rPr>
          <w:vertAlign w:val="superscript"/>
        </w:rPr>
        <w:t>er</w:t>
      </w:r>
      <w:r>
        <w:t xml:space="preserve"> juin 2003 et le 1</w:t>
      </w:r>
      <w:r>
        <w:rPr>
          <w:vertAlign w:val="superscript"/>
        </w:rPr>
        <w:t>er</w:t>
      </w:r>
      <w:r>
        <w:t xml:space="preserve"> juin 2004, relatif aux mesures adoptées pour donner effet aux dispositions de la:</w:t>
      </w:r>
    </w:p>
    <w:p w:rsidR="00000000" w:rsidRDefault="00000000">
      <w:pPr>
        <w:keepNext/>
        <w:spacing w:after="240"/>
        <w:ind w:left="567"/>
        <w:jc w:val="center"/>
        <w:rPr>
          <w:b/>
          <w:bCs/>
        </w:rPr>
      </w:pPr>
      <w:r>
        <w:rPr>
          <w:b/>
          <w:bCs/>
        </w:rPr>
        <w:t>CONVENTION SUR L’EXAMEN MÉDICAL DES ADOLESCENTS</w:t>
      </w:r>
      <w:r>
        <w:rPr>
          <w:b/>
          <w:bCs/>
        </w:rPr>
        <w:br/>
        <w:t>(INDUSTRIE), 1946</w:t>
      </w:r>
    </w:p>
    <w:p w:rsidR="00000000" w:rsidRDefault="00000000">
      <w:pPr>
        <w:keepNext/>
        <w:spacing w:after="240"/>
        <w:ind w:left="567"/>
        <w:jc w:val="center"/>
      </w:pPr>
      <w:r>
        <w:rPr>
          <w:b/>
          <w:bCs/>
        </w:rPr>
        <w:t xml:space="preserve">Convention </w:t>
      </w:r>
      <w:r>
        <w:rPr>
          <w:rFonts w:eastAsia="MS Mincho"/>
          <w:b/>
          <w:bCs/>
        </w:rPr>
        <w:t>n</w:t>
      </w:r>
      <w:r>
        <w:rPr>
          <w:rFonts w:eastAsia="MS Mincho"/>
          <w:b/>
          <w:bCs/>
          <w:vertAlign w:val="superscript"/>
        </w:rPr>
        <w:t>o</w:t>
      </w:r>
      <w:r>
        <w:rPr>
          <w:b/>
          <w:bCs/>
        </w:rPr>
        <w:t> 77</w:t>
      </w:r>
    </w:p>
    <w:p w:rsidR="00000000" w:rsidRDefault="00000000">
      <w:pPr>
        <w:keepNext/>
        <w:spacing w:after="240"/>
        <w:ind w:left="567"/>
        <w:jc w:val="center"/>
        <w:rPr>
          <w:b/>
          <w:bCs/>
        </w:rPr>
      </w:pPr>
      <w:r>
        <w:rPr>
          <w:b/>
          <w:bCs/>
        </w:rPr>
        <w:t>Ratifiée par la Bolivie le 15 novembre 1973</w:t>
      </w:r>
    </w:p>
    <w:p w:rsidR="00000000" w:rsidRDefault="00000000">
      <w:pPr>
        <w:spacing w:after="240"/>
        <w:ind w:left="567"/>
      </w:pPr>
      <w:r>
        <w:t>I.</w:t>
      </w:r>
      <w:r>
        <w:tab/>
        <w:t>Les dispositions légales concernant l’application de cette convention</w:t>
      </w:r>
      <w:r>
        <w:rPr>
          <w:b/>
          <w:bCs/>
        </w:rPr>
        <w:t xml:space="preserve"> </w:t>
      </w:r>
      <w:r>
        <w:t>et accompagnant le présent rapport sont les suivantes:</w:t>
      </w:r>
    </w:p>
    <w:p w:rsidR="00000000" w:rsidRDefault="00000000">
      <w:pPr>
        <w:spacing w:after="240"/>
        <w:ind w:left="567" w:firstLine="567"/>
      </w:pPr>
      <w:r>
        <w:t>a)</w:t>
      </w:r>
      <w:r>
        <w:tab/>
        <w:t xml:space="preserve">Code des enfants et des adolescents. Loi </w:t>
      </w:r>
      <w:r>
        <w:rPr>
          <w:rFonts w:eastAsia="MS Mincho"/>
        </w:rPr>
        <w:t>n</w:t>
      </w:r>
      <w:r>
        <w:rPr>
          <w:rFonts w:eastAsia="MS Mincho"/>
          <w:vertAlign w:val="superscript"/>
        </w:rPr>
        <w:t>o</w:t>
      </w:r>
      <w:r>
        <w:t> 2026, du 27 octobre 1999;</w:t>
      </w:r>
    </w:p>
    <w:p w:rsidR="00000000" w:rsidRDefault="00000000">
      <w:pPr>
        <w:spacing w:after="240"/>
        <w:ind w:left="567" w:firstLine="567"/>
      </w:pPr>
      <w:r>
        <w:t>b)</w:t>
      </w:r>
      <w:r>
        <w:tab/>
        <w:t xml:space="preserve">Règlement relatif au Code des enfants et des adolescents. Décret suprême </w:t>
      </w:r>
      <w:r>
        <w:rPr>
          <w:rFonts w:eastAsia="MS Mincho"/>
        </w:rPr>
        <w:t>n</w:t>
      </w:r>
      <w:r>
        <w:rPr>
          <w:rFonts w:eastAsia="MS Mincho"/>
          <w:vertAlign w:val="superscript"/>
        </w:rPr>
        <w:t>o</w:t>
      </w:r>
      <w:r>
        <w:t> 27443 du 8 avril 2004;</w:t>
      </w:r>
    </w:p>
    <w:p w:rsidR="00000000" w:rsidRDefault="00000000">
      <w:pPr>
        <w:spacing w:after="240"/>
        <w:ind w:left="567" w:firstLine="567"/>
      </w:pPr>
      <w:r>
        <w:t>c)</w:t>
      </w:r>
      <w:r>
        <w:tab/>
        <w:t xml:space="preserve">Résolution biministérielle du 11 mai 2004, adoptée en vertu des dispositions de la Convention en question, et faisant également partie du Plan pour l’élimination progressive du travail des enfants, mis en œuvre en application de la Convention </w:t>
      </w:r>
      <w:r>
        <w:rPr>
          <w:rFonts w:eastAsia="MS Mincho"/>
        </w:rPr>
        <w:t>n</w:t>
      </w:r>
      <w:r>
        <w:rPr>
          <w:rFonts w:eastAsia="MS Mincho"/>
          <w:vertAlign w:val="superscript"/>
        </w:rPr>
        <w:t>o</w:t>
      </w:r>
      <w:r>
        <w:t> 182.</w:t>
      </w:r>
    </w:p>
    <w:p w:rsidR="00000000" w:rsidRDefault="00000000">
      <w:pPr>
        <w:spacing w:after="240"/>
        <w:ind w:left="567"/>
      </w:pPr>
      <w:r>
        <w:t>II.</w:t>
      </w:r>
      <w:r>
        <w:tab/>
        <w:t>La présente convention a été ratifiée par le biais du décret</w:t>
      </w:r>
      <w:r>
        <w:noBreakHyphen/>
        <w:t xml:space="preserve">loi </w:t>
      </w:r>
      <w:r>
        <w:rPr>
          <w:rFonts w:eastAsia="MS Mincho"/>
        </w:rPr>
        <w:t>n</w:t>
      </w:r>
      <w:r>
        <w:rPr>
          <w:rFonts w:eastAsia="MS Mincho"/>
          <w:vertAlign w:val="superscript"/>
        </w:rPr>
        <w:t>o</w:t>
      </w:r>
      <w:r>
        <w:t> 7737, du 28 juillet 1966 (</w:t>
      </w:r>
      <w:r>
        <w:rPr>
          <w:i/>
          <w:iCs/>
        </w:rPr>
        <w:t>sic</w:t>
      </w:r>
      <w:r>
        <w:t>), lequel, par décision uniforme de la doctrine, a rang de loi. À défaut de disposition expresse, et conformément à la pratique et à la doctrine internationales, tout instrument intégré dans l’ordre juridique bolivien en vertu d’un processus de ratification s’applique à titre prioritaire, étant considéré comme une loi spéciale.</w:t>
      </w:r>
    </w:p>
    <w:p w:rsidR="00000000" w:rsidRDefault="00000000">
      <w:pPr>
        <w:spacing w:after="240"/>
      </w:pPr>
      <w:r>
        <w:t>277.</w:t>
      </w:r>
      <w:r>
        <w:tab/>
        <w:t xml:space="preserve">S’agissant de l’application de la Convention </w:t>
      </w:r>
      <w:r>
        <w:rPr>
          <w:rFonts w:eastAsia="MS Mincho"/>
        </w:rPr>
        <w:t>n</w:t>
      </w:r>
      <w:r>
        <w:rPr>
          <w:rFonts w:eastAsia="MS Mincho"/>
          <w:vertAlign w:val="superscript"/>
        </w:rPr>
        <w:t>o</w:t>
      </w:r>
      <w:r>
        <w:t> 77, le Code des enfants et des adolescents contient deux chapitres relatifs au traitement au travail des adolescents âgés de 14 à 18 ans: l’un concerne les mineurs qui travaillent en situation de dépendance (applicable dans l’industrie, les activités minières, le commerce et autres secteurs), et l’autre est relatif à ceux qui travaillent de manière indépendante ou pour leur propre compte.</w:t>
      </w:r>
    </w:p>
    <w:p w:rsidR="00000000" w:rsidRDefault="00000000">
      <w:pPr>
        <w:spacing w:after="240"/>
      </w:pPr>
      <w:r>
        <w:t>278.</w:t>
      </w:r>
      <w:r>
        <w:tab/>
        <w:t>L’exécutif examine actuellement un décret suprême visant à réglementer le travail salarié agricole (voir annexe), qui comprend un chapitre spécifique consacré au travail des adolescents, prévoyant notamment l’obligation de leur faire passer, gratuitement et périodiquement, un examen médical d’aptitude.</w:t>
      </w:r>
    </w:p>
    <w:p w:rsidR="00000000" w:rsidRDefault="00000000">
      <w:pPr>
        <w:spacing w:after="240"/>
      </w:pPr>
      <w:r>
        <w:t>279.</w:t>
      </w:r>
      <w:r>
        <w:tab/>
        <w:t xml:space="preserve">Par ailleurs, le Ministère du travail met actuellement en place un nouveau formulaire (voir annexe) qui sera utilisé par les inspecteurs du travail, et comportant des indications concrètes concernant la santé, l’hygiène et la sécurité des adolescents au travail. Le Ministère du travail a également pris contact avec l’Institut bolivien pour la normalisation et la qualité (IBNORCA), organisme spécialisé en la matière, afin d’obtenir son avis concernant l’élaboration d’une norme portant règlement d’application de la loi générale </w:t>
      </w:r>
      <w:r>
        <w:rPr>
          <w:rFonts w:eastAsia="MS Mincho"/>
        </w:rPr>
        <w:t>sur l’hygiène, la sécurité au travail et le bien</w:t>
      </w:r>
      <w:r>
        <w:rPr>
          <w:rFonts w:eastAsia="MS Mincho"/>
        </w:rPr>
        <w:noBreakHyphen/>
        <w:t>être, pour ce qui touche au travail des adolescents dans l’industrie et les mines, règlement qui devrait être prêt dans quarante</w:t>
      </w:r>
      <w:r>
        <w:rPr>
          <w:rFonts w:eastAsia="MS Mincho"/>
        </w:rPr>
        <w:noBreakHyphen/>
        <w:t>cinq jours.</w:t>
      </w:r>
    </w:p>
    <w:p w:rsidR="00000000" w:rsidRDefault="00000000">
      <w:pPr>
        <w:keepNext/>
        <w:spacing w:after="240"/>
        <w:ind w:left="567"/>
        <w:jc w:val="center"/>
        <w:rPr>
          <w:b/>
          <w:bCs/>
        </w:rPr>
      </w:pPr>
      <w:r>
        <w:rPr>
          <w:b/>
          <w:bCs/>
        </w:rPr>
        <w:t>Première partie</w:t>
      </w:r>
    </w:p>
    <w:p w:rsidR="00000000" w:rsidRDefault="00000000">
      <w:pPr>
        <w:keepNext/>
        <w:spacing w:after="240"/>
        <w:ind w:left="567"/>
        <w:jc w:val="center"/>
        <w:rPr>
          <w:b/>
          <w:bCs/>
        </w:rPr>
      </w:pPr>
      <w:r>
        <w:rPr>
          <w:b/>
          <w:bCs/>
        </w:rPr>
        <w:t>DISPOSITIONS GÉNÉRALES</w:t>
      </w:r>
    </w:p>
    <w:p w:rsidR="00000000" w:rsidRDefault="00000000">
      <w:pPr>
        <w:keepNext/>
        <w:spacing w:after="240"/>
        <w:ind w:left="567"/>
        <w:jc w:val="center"/>
        <w:rPr>
          <w:b/>
          <w:bCs/>
        </w:rPr>
      </w:pPr>
      <w:r>
        <w:rPr>
          <w:b/>
          <w:bCs/>
        </w:rPr>
        <w:t>Article 1</w:t>
      </w:r>
    </w:p>
    <w:p w:rsidR="00000000" w:rsidRDefault="00000000">
      <w:pPr>
        <w:spacing w:after="240"/>
        <w:ind w:left="567" w:firstLine="567"/>
      </w:pPr>
      <w:r>
        <w:t>Le Code des enfants et des adolescents contient des dispositions expresses qui distinguent trois modalités de travail: en situation de dépendance, pour son propre compte, et dans le cadre familial. Cette délimitation expresse vise à donner effet au paragraphe 3 de l’article premier de la Convention. Par ailleurs, comme indiqué ci</w:t>
      </w:r>
      <w:r>
        <w:noBreakHyphen/>
        <w:t>dessus, le projet de règlement relatif au travail salarié agricole (qui a été élaboré et remis à l’exécutif en vue de sa promulgation, et qui est actuellement examiné par l’Unité d’analyse des politiques et de l’économie − UDAPE), comprendra un chapitre particulier consacré aux adolescents, ce qui permettra d’établir clairement la ligne de démarcation entre les différents secteurs d’activité pour les adolescents.</w:t>
      </w:r>
    </w:p>
    <w:p w:rsidR="00000000" w:rsidRDefault="00000000">
      <w:pPr>
        <w:spacing w:after="240"/>
        <w:ind w:left="567"/>
        <w:jc w:val="center"/>
        <w:rPr>
          <w:b/>
          <w:bCs/>
        </w:rPr>
      </w:pPr>
      <w:r>
        <w:rPr>
          <w:b/>
          <w:bCs/>
        </w:rPr>
        <w:t>Article 2</w:t>
      </w:r>
    </w:p>
    <w:p w:rsidR="00000000" w:rsidRDefault="00000000">
      <w:pPr>
        <w:spacing w:after="240"/>
        <w:ind w:left="567" w:firstLine="567"/>
      </w:pPr>
      <w:r>
        <w:t>Le Ministère de la santé et des sports a lancé un programme destiné à faire pratiquer des examens médicaux sur des adolescents, qui s’inscrit dans le contexte du «Plan national d’élimination progressive des pires formes du travail des enfants». Dans le cadre de ce programme, et grâce à la collaboration du Ministère du travail, trois domaines prioritaires ont été définis: le travail agricole (récoltes), le travail dans les mines et l’exploitation sexuelle. À cet égard, en 2004, en coordination avec certaines ONG telles que CARE et Save the Children (Canada) et avec le soutien financier de l’UNICEF, des examens ont été réalisés à titre prioritaire sur des adolescents qui travaillent à la récolte de la canne à sucre et dans des mines (dans ce dernier cas, avec un contrôle spécifique concernant l’utilisation de substances chimiques et toxiques).</w:t>
      </w:r>
    </w:p>
    <w:p w:rsidR="00000000" w:rsidRDefault="00000000">
      <w:pPr>
        <w:spacing w:after="240"/>
        <w:ind w:left="567" w:firstLine="567"/>
      </w:pPr>
      <w:r>
        <w:t>Afin de faciliter la réalisation d’examens médicaux d’aptitude au travail, dans un cadre général et progressif, le Ministère du travail et celui de la santé et des sports ont adopté la résolution biministérielle 001/04, qui prévoit la délivrance, à titre gratuit, d’un certificat médical, établi en quatre exemplaires destinés à l’adolescent, à l’employeur, au Ministère de la santé et des sports et au Ministère du travail.</w:t>
      </w:r>
    </w:p>
    <w:p w:rsidR="00000000" w:rsidRDefault="00000000">
      <w:pPr>
        <w:keepNext/>
        <w:spacing w:after="240"/>
        <w:ind w:left="567"/>
        <w:jc w:val="center"/>
        <w:rPr>
          <w:b/>
          <w:bCs/>
        </w:rPr>
      </w:pPr>
      <w:r>
        <w:rPr>
          <w:b/>
          <w:bCs/>
        </w:rPr>
        <w:t>Article 3</w:t>
      </w:r>
    </w:p>
    <w:p w:rsidR="00000000" w:rsidRDefault="00000000">
      <w:pPr>
        <w:spacing w:after="240"/>
        <w:ind w:left="567" w:firstLine="567"/>
      </w:pPr>
      <w:r>
        <w:t xml:space="preserve">Rien n’est prévu quant à la périodicité avec laquelle doivent être effectués les examens médicaux. Ce point, ainsi que d’autres prévus dans la Convention </w:t>
      </w:r>
      <w:r>
        <w:rPr>
          <w:rFonts w:eastAsia="MS Mincho"/>
        </w:rPr>
        <w:t>n</w:t>
      </w:r>
      <w:r>
        <w:rPr>
          <w:rFonts w:eastAsia="MS Mincho"/>
          <w:vertAlign w:val="superscript"/>
        </w:rPr>
        <w:t>o</w:t>
      </w:r>
      <w:r>
        <w:t> 77, seront définis dans le règlement d’application de la loi générale relative à l’hygiène, à la sécurité au travail et au bien</w:t>
      </w:r>
      <w:r>
        <w:noBreakHyphen/>
        <w:t>être, actuellement en cours d’élaboration. Il convient de préciser en outre que la Bolivie a sollicité une assistance technique pour l’application de conventions et de recommandations; dans le cadre de cette assistance internationale, il est prévu de promouvoir la mise en œuvre de cette convention, en particulier dans les zones prioritaires susmentionnées, dans l’optique de l’exécution du Plan national pour l’élimination progressive des pires formes du travail des enfants.</w:t>
      </w:r>
    </w:p>
    <w:p w:rsidR="00000000" w:rsidRDefault="00000000">
      <w:pPr>
        <w:keepNext/>
        <w:spacing w:after="240"/>
        <w:ind w:left="567"/>
        <w:jc w:val="center"/>
        <w:rPr>
          <w:b/>
          <w:bCs/>
        </w:rPr>
      </w:pPr>
      <w:r>
        <w:rPr>
          <w:b/>
          <w:bCs/>
        </w:rPr>
        <w:t>Article 4</w:t>
      </w:r>
    </w:p>
    <w:p w:rsidR="00000000" w:rsidRDefault="00000000">
      <w:pPr>
        <w:spacing w:after="240"/>
        <w:ind w:left="567" w:firstLine="567"/>
      </w:pPr>
      <w:r>
        <w:t>Voir les informations relatives à l’article précédent.</w:t>
      </w:r>
    </w:p>
    <w:p w:rsidR="00000000" w:rsidRDefault="00000000">
      <w:pPr>
        <w:keepNext/>
        <w:spacing w:after="240"/>
        <w:ind w:left="567"/>
        <w:jc w:val="center"/>
        <w:rPr>
          <w:b/>
          <w:bCs/>
        </w:rPr>
      </w:pPr>
      <w:r>
        <w:rPr>
          <w:b/>
          <w:bCs/>
        </w:rPr>
        <w:t>Article 5</w:t>
      </w:r>
    </w:p>
    <w:p w:rsidR="00000000" w:rsidRDefault="00000000">
      <w:pPr>
        <w:spacing w:after="240"/>
        <w:ind w:left="567" w:firstLine="567"/>
      </w:pPr>
      <w:r>
        <w:t>Voir le deuxième paragraphe des commentaires relatifs à l’article 2 du présent rapport. En outre, toutes les normes qui seront élaborées devront prévoir la gratuité de tous les examens médicaux.</w:t>
      </w:r>
    </w:p>
    <w:p w:rsidR="00000000" w:rsidRDefault="00000000">
      <w:pPr>
        <w:keepNext/>
        <w:spacing w:after="240"/>
        <w:ind w:left="567"/>
        <w:jc w:val="center"/>
        <w:rPr>
          <w:b/>
          <w:bCs/>
        </w:rPr>
      </w:pPr>
      <w:r>
        <w:rPr>
          <w:b/>
          <w:bCs/>
        </w:rPr>
        <w:t>Article 6</w:t>
      </w:r>
    </w:p>
    <w:p w:rsidR="00000000" w:rsidRDefault="00000000">
      <w:pPr>
        <w:spacing w:after="240"/>
        <w:ind w:left="567" w:firstLine="567"/>
      </w:pPr>
      <w:r>
        <w:t>Voir les informations relatives à l’article 3.</w:t>
      </w:r>
    </w:p>
    <w:p w:rsidR="00000000" w:rsidRDefault="00000000">
      <w:pPr>
        <w:keepNext/>
        <w:spacing w:after="240"/>
        <w:ind w:left="567"/>
        <w:jc w:val="center"/>
        <w:rPr>
          <w:b/>
          <w:bCs/>
        </w:rPr>
      </w:pPr>
      <w:r>
        <w:rPr>
          <w:b/>
          <w:bCs/>
        </w:rPr>
        <w:t>Article 7</w:t>
      </w:r>
    </w:p>
    <w:p w:rsidR="00000000" w:rsidRDefault="00000000">
      <w:pPr>
        <w:spacing w:after="240"/>
        <w:ind w:left="567" w:firstLine="567"/>
      </w:pPr>
      <w:r>
        <w:t>Les contrôles prévus par le Ministère du travail ont été confiés à la Direction générale de la sécurité industrielle, à la Direction générale du travail et à la Direction générale des affaires syndicales, qui relèvent du Secrétariat d’État du travail. Ces directions utilisent un formulaire d’inspection technique (voir annexe), qui comporte des rubriques relatives à la surveillance du travail des adolescents tenant compte des normes internes relatives à l’application de la Convention.</w:t>
      </w:r>
    </w:p>
    <w:p w:rsidR="00000000" w:rsidRDefault="00000000">
      <w:pPr>
        <w:keepNext/>
        <w:spacing w:after="240"/>
        <w:ind w:left="567"/>
        <w:jc w:val="center"/>
        <w:rPr>
          <w:b/>
          <w:bCs/>
        </w:rPr>
      </w:pPr>
      <w:r>
        <w:rPr>
          <w:b/>
          <w:bCs/>
        </w:rPr>
        <w:t>Deuxième partie</w:t>
      </w:r>
    </w:p>
    <w:p w:rsidR="00000000" w:rsidRDefault="00000000">
      <w:pPr>
        <w:keepNext/>
        <w:spacing w:after="240"/>
        <w:ind w:left="567"/>
        <w:jc w:val="center"/>
      </w:pPr>
      <w:r>
        <w:rPr>
          <w:b/>
          <w:bCs/>
        </w:rPr>
        <w:t>DISPOSITIONS SPÉCIALES POUR CERTAINS PAYS</w:t>
      </w:r>
    </w:p>
    <w:p w:rsidR="00000000" w:rsidRDefault="00000000">
      <w:pPr>
        <w:spacing w:after="240"/>
        <w:ind w:left="567" w:firstLine="567"/>
      </w:pPr>
      <w:r>
        <w:t>Le Gouvernement de la République bolivienne tient à préciser que les contraintes économiques dues à la crise qui frappe actuellement le continent américain, ainsi que la situation politique, ont empêché d’appliquer pleinement la Convention sur l’ensemble du territoire national, en particulier dans les chefs</w:t>
      </w:r>
      <w:r>
        <w:noBreakHyphen/>
        <w:t>lieux de départements éloignés et en zone rurale. Cependant, les mesures qui devraient permettre, en fonction des possibilités, de couvrir progressivement l’ensemble du pays ainsi que tous les domaines d’activité professionnelle des adolescents sont en cours d’adoption.</w:t>
      </w:r>
    </w:p>
    <w:p w:rsidR="00000000" w:rsidRDefault="00000000">
      <w:pPr>
        <w:keepNext/>
        <w:spacing w:after="240"/>
        <w:ind w:left="567"/>
        <w:jc w:val="center"/>
      </w:pPr>
      <w:r>
        <w:rPr>
          <w:b/>
          <w:bCs/>
        </w:rPr>
        <w:t>Article 8</w:t>
      </w:r>
    </w:p>
    <w:p w:rsidR="00000000" w:rsidRDefault="00000000">
      <w:pPr>
        <w:spacing w:after="240"/>
        <w:ind w:left="567" w:firstLine="567"/>
      </w:pPr>
      <w:r>
        <w:t>Les organismes suivants sont compétents pour appliquer les dispositions législatives et réglementaires relatives à la Convention:</w:t>
      </w:r>
    </w:p>
    <w:p w:rsidR="00000000" w:rsidRDefault="00000000">
      <w:pPr>
        <w:spacing w:after="240"/>
        <w:ind w:left="567" w:firstLine="567"/>
      </w:pPr>
      <w:r>
        <w:t>a)</w:t>
      </w:r>
      <w:r>
        <w:tab/>
        <w:t>Le Ministère de la santé et des sports, pour ce qui touche la réalisation de l’examen médical d’aptitude au travail et la délivrance du certificat médical. Au niveau des départements, ce sont les services départementaux de la santé, qui relèvent des préfectures, qui sont chargés de mettre en œuvre les dispositions de la Convention;</w:t>
      </w:r>
    </w:p>
    <w:p w:rsidR="00000000" w:rsidRDefault="00000000">
      <w:pPr>
        <w:spacing w:after="240"/>
        <w:ind w:left="567" w:firstLine="567"/>
      </w:pPr>
      <w:r>
        <w:t>b)</w:t>
      </w:r>
      <w:r>
        <w:tab/>
        <w:t>Sur le plan administratif, le Ministère du travail est chargé au niveau national, de superviser et de contrôler le respect des normes applicables au travail et à la sécurité au travail, par l’intermédiaire des services d’inspection relevant de la Direction générale du travail et de la Direction générale de la sécurité industrielle. Les infractions aux normes du travail et de la sécurité industrielle sont sanctionnées par la voie administrative et peuvent donner lieu à des amendes pécuniaires d’un montant actuellement compris entre 1 000 et 10 000 bolivianos. Ces montants seront modifiés, comme il ressort du procès</w:t>
      </w:r>
      <w:r>
        <w:noBreakHyphen/>
        <w:t>verbal de négociation tripartite, élaboré avec l’assistance technique de l’OIT, en date du 21 avril 2004 (voir annexe).</w:t>
      </w:r>
    </w:p>
    <w:p w:rsidR="00000000" w:rsidRDefault="00000000">
      <w:pPr>
        <w:spacing w:after="240"/>
        <w:ind w:left="567" w:firstLine="567"/>
      </w:pPr>
      <w:r>
        <w:t>Au niveau local, ce sont les défenseurs des enfants et des adolescents qui sont compétents pour connaître des plaintes individuelles pour violation des droits du travail des adolescents.</w:t>
      </w:r>
    </w:p>
    <w:p w:rsidR="00000000" w:rsidRDefault="00000000">
      <w:pPr>
        <w:spacing w:after="240"/>
        <w:ind w:left="567"/>
      </w:pPr>
      <w:r>
        <w:t>IV.</w:t>
      </w:r>
      <w:r>
        <w:tab/>
        <w:t>Aucune décision judiciaire sur des questions de principe relatives à l’application de la Convention n’a été rendue à ce jour.</w:t>
      </w:r>
    </w:p>
    <w:p w:rsidR="00000000" w:rsidRDefault="00000000">
      <w:pPr>
        <w:spacing w:after="240"/>
        <w:ind w:left="567"/>
      </w:pPr>
      <w:r>
        <w:t>V.</w:t>
      </w:r>
      <w:r>
        <w:tab/>
        <w:t>On ne dispose pas d’informations concernant l’application de la Convention dans le cadre administratif. Les mesures nécessaires pour que l’on puisse disposer à l’avenir de statistiques relatives au niveau d’exécution de la Convention sont en cours d’adoption.</w:t>
      </w:r>
    </w:p>
    <w:p w:rsidR="00000000" w:rsidRDefault="00000000">
      <w:pPr>
        <w:spacing w:after="240"/>
        <w:ind w:left="567"/>
      </w:pPr>
      <w:r>
        <w:t>VI.</w:t>
      </w:r>
      <w:r>
        <w:tab/>
        <w:t xml:space="preserve">Le présent mémoire a été envoyé à la Centrale ouvrière bolivienne (COB), organisation syndicale reconnue comme la plus représentative au niveau national, ainsi qu’à la Confédération des entrepreneurs privés de Bolivie (CEPB), qui représente les employeurs. Le rapport ayant été remis le 4 juin 2004, des observations n’ont pas encore été reçues. On trouvera en annexe une note avec un avis de réception de chacune des organisations mentionnées (voir annexe </w:t>
      </w:r>
      <w:r>
        <w:rPr>
          <w:rFonts w:eastAsia="MS Mincho"/>
        </w:rPr>
        <w:t>n</w:t>
      </w:r>
      <w:r>
        <w:rPr>
          <w:rFonts w:eastAsia="MS Mincho"/>
          <w:vertAlign w:val="superscript"/>
        </w:rPr>
        <w:t>o</w:t>
      </w:r>
      <w:r>
        <w:t> 3 a)).</w:t>
      </w:r>
    </w:p>
    <w:p w:rsidR="00000000" w:rsidRDefault="00000000">
      <w:pPr>
        <w:spacing w:after="240"/>
      </w:pPr>
      <w:r>
        <w:t>280.</w:t>
      </w:r>
      <w:r>
        <w:tab/>
        <w:t xml:space="preserve">Par ailleurs, un certain nombre d’autres conventions ont été conclues avec l’OIT (voir annexe </w:t>
      </w:r>
      <w:r>
        <w:rPr>
          <w:rFonts w:eastAsia="MS Mincho"/>
        </w:rPr>
        <w:t>n</w:t>
      </w:r>
      <w:r>
        <w:rPr>
          <w:rFonts w:eastAsia="MS Mincho"/>
          <w:vertAlign w:val="superscript"/>
        </w:rPr>
        <w:t>o</w:t>
      </w:r>
      <w:r>
        <w:t> 13). En ce qui concerne la santé, l’État bolivien a réalisé les actions ci</w:t>
      </w:r>
      <w:r>
        <w:noBreakHyphen/>
        <w:t>après.</w:t>
      </w:r>
    </w:p>
    <w:p w:rsidR="00000000" w:rsidRDefault="00000000">
      <w:pPr>
        <w:keepNext/>
        <w:spacing w:after="240"/>
        <w:ind w:left="567"/>
      </w:pPr>
      <w:r>
        <w:rPr>
          <w:b/>
          <w:bCs/>
        </w:rPr>
        <w:t>Antécédents</w:t>
      </w:r>
    </w:p>
    <w:p w:rsidR="00000000" w:rsidRDefault="00000000">
      <w:pPr>
        <w:spacing w:after="240"/>
      </w:pPr>
      <w:r>
        <w:t>281.</w:t>
      </w:r>
      <w:r>
        <w:tab/>
        <w:t>S’agissant de la santé des adolescents, et afin d’assurer la fourniture de soins complets axés sur les aspects préventifs, ne se limitant pas au cadre des services, le Ministère de la santé et des sports, en tant qu’organisme chargé de réglementer et de promouvoir la santé, a élaboré après avoir conclu des alliances stratégiques, notamment avec les secteurs de l’éducation et de la justice, de nouveaux règlements, normes et programmes destinés à fournir protection et assistance aux enfants et adolescents du pays.</w:t>
      </w:r>
    </w:p>
    <w:p w:rsidR="00000000" w:rsidRDefault="00000000">
      <w:pPr>
        <w:keepNext/>
        <w:spacing w:after="240"/>
        <w:ind w:left="567"/>
        <w:rPr>
          <w:b/>
          <w:bCs/>
        </w:rPr>
      </w:pPr>
      <w:r>
        <w:rPr>
          <w:b/>
          <w:bCs/>
        </w:rPr>
        <w:t>Progrès</w:t>
      </w:r>
    </w:p>
    <w:p w:rsidR="00000000" w:rsidRDefault="00000000">
      <w:pPr>
        <w:spacing w:after="240"/>
      </w:pPr>
      <w:r>
        <w:t>282.</w:t>
      </w:r>
      <w:r>
        <w:tab/>
        <w:t>À partir de 2004, la Bolivie a mis en œuvre les plans suivants:</w:t>
      </w:r>
    </w:p>
    <w:p w:rsidR="00000000" w:rsidRDefault="00000000">
      <w:pPr>
        <w:spacing w:after="240"/>
        <w:ind w:left="1134" w:hanging="567"/>
      </w:pPr>
      <w:r>
        <w:t>1.</w:t>
      </w:r>
      <w:r>
        <w:tab/>
        <w:t>Le Plan national pour la santé et le développement intégral des adolescents 2004</w:t>
      </w:r>
      <w:r>
        <w:noBreakHyphen/>
        <w:t>2008;</w:t>
      </w:r>
    </w:p>
    <w:p w:rsidR="00000000" w:rsidRDefault="00000000">
      <w:pPr>
        <w:spacing w:after="240"/>
        <w:ind w:left="1134" w:hanging="567"/>
      </w:pPr>
      <w:r>
        <w:t>2.</w:t>
      </w:r>
      <w:r>
        <w:tab/>
        <w:t>Le programme Services conviviaux et de qualité pour les adolescents;</w:t>
      </w:r>
    </w:p>
    <w:p w:rsidR="00000000" w:rsidRDefault="00000000">
      <w:pPr>
        <w:spacing w:after="240"/>
        <w:ind w:left="1134" w:hanging="567"/>
      </w:pPr>
      <w:r>
        <w:t>3.</w:t>
      </w:r>
      <w:r>
        <w:tab/>
        <w:t>La nouvelle norme et les règles des protocoles cliniques pour les soins de santé complets en faveur des adolescents;</w:t>
      </w:r>
    </w:p>
    <w:p w:rsidR="00000000" w:rsidRDefault="00000000">
      <w:pPr>
        <w:spacing w:after="240"/>
        <w:ind w:left="1134" w:hanging="567"/>
      </w:pPr>
      <w:r>
        <w:t>4.</w:t>
      </w:r>
      <w:r>
        <w:tab/>
        <w:t>Le programme de santé scolaire.</w:t>
      </w:r>
    </w:p>
    <w:p w:rsidR="00000000" w:rsidRDefault="00000000">
      <w:pPr>
        <w:spacing w:after="240"/>
        <w:ind w:left="567"/>
        <w:rPr>
          <w:b/>
          <w:bCs/>
        </w:rPr>
      </w:pPr>
      <w:r>
        <w:rPr>
          <w:b/>
          <w:bCs/>
        </w:rPr>
        <w:t>43.</w:t>
      </w:r>
      <w:r>
        <w:rPr>
          <w:b/>
          <w:bCs/>
        </w:rPr>
        <w:tab/>
        <w:t>Le Comité demande à l’État partie de prendre des mesures pour réduire le taux de mortalité féminine, et notamment pour réduire le nombre des décès causés par les avortements illégaux et les accouchements non assistés. Il recommande en particulier à l’État partie d’intensifier la mise en œuvre du Programme national pour la santé sexuelle et génésique, d’organiser des campagnes d’information sur la santé sexuelle et génésique des femmes et d’inclure ces questions dans les programmes scolaires.</w:t>
      </w:r>
    </w:p>
    <w:p w:rsidR="00000000" w:rsidRDefault="00000000">
      <w:pPr>
        <w:spacing w:after="240"/>
      </w:pPr>
      <w:r>
        <w:t>283.</w:t>
      </w:r>
      <w:r>
        <w:tab/>
        <w:t xml:space="preserve">Il convient de mentionner à cet égard la promulgation de la loi </w:t>
      </w:r>
      <w:r>
        <w:rPr>
          <w:rFonts w:eastAsia="MS Mincho"/>
        </w:rPr>
        <w:t>n</w:t>
      </w:r>
      <w:r>
        <w:rPr>
          <w:rFonts w:eastAsia="MS Mincho"/>
          <w:vertAlign w:val="superscript"/>
        </w:rPr>
        <w:t>o</w:t>
      </w:r>
      <w:r>
        <w:t> 2426 sur l’assurance universelle materno</w:t>
      </w:r>
      <w:r>
        <w:noBreakHyphen/>
        <w:t>infantile, du 21 novembre 2002, qui s’inscrit dans le cadre de la lutte contre la mortalité materno</w:t>
      </w:r>
      <w:r>
        <w:noBreakHyphen/>
        <w:t>infantile. On trouvera, dans la partie correspondante du présent rapport, les résultats obtenus avec l’application de la mesure adoptée.</w:t>
      </w:r>
    </w:p>
    <w:p w:rsidR="00000000" w:rsidRDefault="00000000">
      <w:pPr>
        <w:keepNext/>
        <w:spacing w:after="240"/>
        <w:rPr>
          <w:b/>
          <w:bCs/>
        </w:rPr>
      </w:pPr>
      <w:r>
        <w:rPr>
          <w:b/>
          <w:bCs/>
        </w:rPr>
        <w:t>Réduction de la mortinatalité et de la mortalité infantile, et développement sain de l’enfant</w:t>
      </w:r>
    </w:p>
    <w:p w:rsidR="00000000" w:rsidRDefault="00000000">
      <w:pPr>
        <w:keepNext/>
        <w:spacing w:after="240"/>
        <w:ind w:left="567"/>
        <w:rPr>
          <w:b/>
          <w:bCs/>
        </w:rPr>
      </w:pPr>
      <w:r>
        <w:rPr>
          <w:b/>
          <w:bCs/>
        </w:rPr>
        <w:t>Antécédents</w:t>
      </w:r>
    </w:p>
    <w:p w:rsidR="00000000" w:rsidRDefault="00000000">
      <w:pPr>
        <w:spacing w:after="240"/>
      </w:pPr>
      <w:r>
        <w:t>284.</w:t>
      </w:r>
      <w:r>
        <w:tab/>
        <w:t>En matière de santé materno</w:t>
      </w:r>
      <w:r>
        <w:noBreakHyphen/>
        <w:t>infantile, l’État bolivien précise qu’en 1994 le Secrétariat national de la santé a élaboré le Plan vie pour la réduction accélérée de la mortalité des mères et des enfants de moins de 5 ans.</w:t>
      </w:r>
    </w:p>
    <w:p w:rsidR="00000000" w:rsidRDefault="00000000">
      <w:pPr>
        <w:spacing w:after="240"/>
      </w:pPr>
      <w:r>
        <w:t>285.</w:t>
      </w:r>
      <w:r>
        <w:tab/>
        <w:t>En 1996, a été instaurée l’assurance nationale de la maternité et de l’enfance (SNMN), qui complète les prestations du Plan vie et assure leur financement sur fonds publics.</w:t>
      </w:r>
    </w:p>
    <w:p w:rsidR="00000000" w:rsidRDefault="00000000">
      <w:pPr>
        <w:spacing w:after="240"/>
      </w:pPr>
      <w:r>
        <w:t>286.</w:t>
      </w:r>
      <w:r>
        <w:tab/>
        <w:t>En 1999, l’assurance de santé de base (SBS) prend en charge les soins liés aux complications hémorragiques de la première moitié de la grossesse.</w:t>
      </w:r>
    </w:p>
    <w:p w:rsidR="00000000" w:rsidRDefault="00000000">
      <w:pPr>
        <w:spacing w:after="240"/>
      </w:pPr>
      <w:r>
        <w:t>287.</w:t>
      </w:r>
      <w:r>
        <w:tab/>
        <w:t>En tant que politique et élément prioritaire pour la réalisation des objectifs du Millénaire et de la Stratégie bolivienne de réduction de la pauvreté, il s’agit de l’une des stratégies du programme spécifique pour la protection de la santé des femmes enceintes et des enfants de moins de 5 ans; parallèlement, cela facilite la mise en œuvre du modèle de gestion décentralisée et participative et du système national unique d’approvisionnements.</w:t>
      </w:r>
    </w:p>
    <w:p w:rsidR="00000000" w:rsidRDefault="00000000">
      <w:pPr>
        <w:spacing w:after="240"/>
      </w:pPr>
      <w:r>
        <w:t>288.</w:t>
      </w:r>
      <w:r>
        <w:tab/>
        <w:t>Avec la loi relative à l’assurance universelle materno</w:t>
      </w:r>
      <w:r>
        <w:noBreakHyphen/>
        <w:t xml:space="preserve">infantile (SUMI), à partir de 2003 les prestations couvrant toutes les pathologies de la mère durant la grossesse, l’accouchement et le postaccouchement jusqu’à six mois, et de l’enfant jusqu’à 5 ans, seront élargies. </w:t>
      </w:r>
    </w:p>
    <w:p w:rsidR="00000000" w:rsidRDefault="00000000">
      <w:pPr>
        <w:spacing w:after="240"/>
      </w:pPr>
      <w:r>
        <w:t>289.</w:t>
      </w:r>
      <w:r>
        <w:tab/>
        <w:t>Dans le cadre de cette mission qui incombe à l’État bolivien, le système national des services de santé, outre qu’il accorde des soins gratuits aux usagers comme le prévoit la politique nationale de santé, devra également promouvoir des espaces d’assistance sains et sûrs, favoriser les soins individualisés, fondés sur le dialogue et le respect des valeurs et des croyances, et élaborer de meilleures pratiques sanitaires, c’est-à-dire des pratiques fondées sur des éléments probants et les normes nationales, afin de fournir des soins de qualité à la femme enceinte et au nouveau</w:t>
      </w:r>
      <w:r>
        <w:noBreakHyphen/>
        <w:t>né.</w:t>
      </w:r>
    </w:p>
    <w:p w:rsidR="00000000" w:rsidRDefault="00000000">
      <w:pPr>
        <w:keepNext/>
        <w:spacing w:after="240"/>
        <w:ind w:left="567"/>
        <w:rPr>
          <w:b/>
          <w:bCs/>
        </w:rPr>
      </w:pPr>
      <w:r>
        <w:rPr>
          <w:b/>
          <w:bCs/>
        </w:rPr>
        <w:t>Normes et règlements</w:t>
      </w:r>
    </w:p>
    <w:p w:rsidR="00000000" w:rsidRDefault="00000000">
      <w:pPr>
        <w:spacing w:after="240"/>
      </w:pPr>
      <w:r>
        <w:t>290.</w:t>
      </w:r>
      <w:r>
        <w:tab/>
        <w:t xml:space="preserve">La loi </w:t>
      </w:r>
      <w:r>
        <w:rPr>
          <w:rFonts w:eastAsia="MS Mincho"/>
        </w:rPr>
        <w:t>n</w:t>
      </w:r>
      <w:r>
        <w:rPr>
          <w:rFonts w:eastAsia="MS Mincho"/>
          <w:vertAlign w:val="superscript"/>
        </w:rPr>
        <w:t>o</w:t>
      </w:r>
      <w:r>
        <w:t> 2426, du 21 novembre 2002, a créé l’assurance universelle materno</w:t>
      </w:r>
      <w:r>
        <w:noBreakHyphen/>
        <w:t>infantile (SUMI), qui est un élément prioritaire de la politique nationale en faveur des objectifs du Millénaire pour le développement et de la Stratégie bolivienne de réduction de la pauvreté. Cette assurance représente l’une des stratégies prioritaires de la politique de santé et du programme spécifique pour la protection sanitaire des femmes enceintes et des enfants de moins de 5 ans.</w:t>
      </w:r>
    </w:p>
    <w:p w:rsidR="00000000" w:rsidRDefault="00000000">
      <w:pPr>
        <w:spacing w:after="240"/>
      </w:pPr>
      <w:r>
        <w:t>291.</w:t>
      </w:r>
      <w:r>
        <w:tab/>
        <w:t>L’objet de la SUMI est de diminuer de manière durable la morbimortalité maternelle et infantile. Elle a pour objectifs:</w:t>
      </w:r>
    </w:p>
    <w:p w:rsidR="00000000" w:rsidRDefault="00000000">
      <w:pPr>
        <w:numPr>
          <w:ilvl w:val="0"/>
          <w:numId w:val="125"/>
        </w:numPr>
        <w:spacing w:after="240"/>
      </w:pPr>
      <w:r>
        <w:t>De promouvoir la demande de soins moyennant la fourniture de services de santé gratuits pour les usagers − femmes enceintes jusqu’à six mois après l’accouchement, enfants de moins de 5 ans − en ce qui concerne la prévention, les soins et la réadaptation;</w:t>
      </w:r>
    </w:p>
    <w:p w:rsidR="00000000" w:rsidRDefault="00000000">
      <w:pPr>
        <w:numPr>
          <w:ilvl w:val="0"/>
          <w:numId w:val="125"/>
        </w:numPr>
        <w:spacing w:after="240"/>
      </w:pPr>
      <w:r>
        <w:t>De subventionner la demande et d’améliorer les incitations destinées aux multiples prestataires de soins de santé, à travers un mécanisme de paiement pour un ensemble de services fournis;</w:t>
      </w:r>
    </w:p>
    <w:p w:rsidR="00000000" w:rsidRDefault="00000000">
      <w:pPr>
        <w:numPr>
          <w:ilvl w:val="0"/>
          <w:numId w:val="125"/>
        </w:numPr>
        <w:spacing w:after="240"/>
      </w:pPr>
      <w:r>
        <w:t>D’accroître la responsabilité municipale et départementale en matière de gestion de la santé;</w:t>
      </w:r>
    </w:p>
    <w:p w:rsidR="00000000" w:rsidRDefault="00000000">
      <w:pPr>
        <w:numPr>
          <w:ilvl w:val="0"/>
          <w:numId w:val="125"/>
        </w:numPr>
        <w:spacing w:after="240"/>
      </w:pPr>
      <w:r>
        <w:t>De garantir la gestion partagée et concurrente avec une participation populaire;</w:t>
      </w:r>
    </w:p>
    <w:p w:rsidR="00000000" w:rsidRDefault="00000000">
      <w:pPr>
        <w:numPr>
          <w:ilvl w:val="0"/>
          <w:numId w:val="125"/>
        </w:numPr>
        <w:spacing w:after="240"/>
      </w:pPr>
      <w:r>
        <w:t>D’approfondir les processus de décentralisation, de contrôle social et de participation à la gestion de la santé dans la société civile organisée, par le biais de l’organisation de DILOS et les réseaux sociaux de santé.</w:t>
      </w:r>
    </w:p>
    <w:p w:rsidR="00000000" w:rsidRDefault="00000000">
      <w:pPr>
        <w:spacing w:after="240"/>
      </w:pPr>
      <w:r>
        <w:t>292.</w:t>
      </w:r>
      <w:r>
        <w:tab/>
        <w:t>Les autorités municipales sont chargées de mettre en œuvre cette assurance et d’administrer le compte municipal de la SUMI; leurs ressources proviennent de la coparticipation budgétaire, selon une échelle de 7 % pour 2003, 8 % pour 2004 et 10 % à partir de 2005. En cas d’insuffisance de ces crédits, le Fonds de solidarité nationale débloque mensuellement des ressources, qui proviennent de l’allégement de la dette externe (loi relative au Dialogue national, 2000).</w:t>
      </w:r>
    </w:p>
    <w:p w:rsidR="00000000" w:rsidRDefault="00000000">
      <w:pPr>
        <w:spacing w:after="240"/>
      </w:pPr>
      <w:r>
        <w:t>293.</w:t>
      </w:r>
      <w:r>
        <w:tab/>
        <w:t>Les prestations sont octroyées à titre obligatoire dans 2 259 établissements de santé publique et de sécurité sociale. En 2003, 1 252 157 enfants de moins de 5 ans et 327 700 femmes (grossesses attendues) en ont bénéficié, en zones urbaines et rurales, dans le cadre des trois niveaux de soins du système public, de l’assurance sociale à court terme (caisses de santé) ou de systèmes privés conventionnés, à ou sans but lucratif; tous sont organisés en réseaux de santé municipaux, et constitués par des établissements de premier niveau et d’autres établissements de référence plus complexes.</w:t>
      </w:r>
    </w:p>
    <w:p w:rsidR="00000000" w:rsidRDefault="00000000">
      <w:pPr>
        <w:spacing w:after="240"/>
      </w:pPr>
      <w:r>
        <w:t>294.</w:t>
      </w:r>
      <w:r>
        <w:tab/>
        <w:t>Pour 2004, la population qui devrait bénéficier de la SUMI est la suivante:</w:t>
      </w:r>
    </w:p>
    <w:p w:rsidR="00000000" w:rsidRDefault="00000000">
      <w:pPr>
        <w:numPr>
          <w:ilvl w:val="0"/>
          <w:numId w:val="124"/>
        </w:numPr>
        <w:spacing w:after="240"/>
      </w:pPr>
      <w:r>
        <w:t>1 267 325 enfants de moins de 5 ans et 328 682 femmes (grossesses attendues);</w:t>
      </w:r>
    </w:p>
    <w:p w:rsidR="00000000" w:rsidRDefault="00000000">
      <w:pPr>
        <w:numPr>
          <w:ilvl w:val="0"/>
          <w:numId w:val="124"/>
        </w:numPr>
        <w:spacing w:after="240"/>
      </w:pPr>
      <w:r>
        <w:t>Pour 2005: 1 279 269 enfants de moins de 5 ans et 328 682 femmes (grossesses attendues).</w:t>
      </w:r>
    </w:p>
    <w:p w:rsidR="00000000" w:rsidRDefault="00000000">
      <w:pPr>
        <w:keepNext/>
        <w:spacing w:after="240"/>
        <w:ind w:left="567"/>
      </w:pPr>
      <w:r>
        <w:rPr>
          <w:b/>
          <w:bCs/>
        </w:rPr>
        <w:t xml:space="preserve">Décret suprême </w:t>
      </w:r>
      <w:r>
        <w:rPr>
          <w:rFonts w:eastAsia="MS Mincho"/>
          <w:b/>
          <w:bCs/>
        </w:rPr>
        <w:t>n</w:t>
      </w:r>
      <w:r>
        <w:rPr>
          <w:rFonts w:eastAsia="MS Mincho"/>
          <w:b/>
          <w:bCs/>
          <w:vertAlign w:val="superscript"/>
        </w:rPr>
        <w:t>o</w:t>
      </w:r>
      <w:r>
        <w:rPr>
          <w:b/>
          <w:bCs/>
        </w:rPr>
        <w:t> 26874, Règlement de la SUMI du 12 décembre 2002</w:t>
      </w:r>
    </w:p>
    <w:p w:rsidR="00000000" w:rsidRDefault="00000000">
      <w:pPr>
        <w:spacing w:after="240"/>
      </w:pPr>
      <w:r>
        <w:t>295.</w:t>
      </w:r>
      <w:r>
        <w:tab/>
        <w:t>Ce texte réglemente l’application de la SUMI s’agissant de la portée, du financement, de l’administration, des sanctions et des dispositions transitoires; il précise expressément les droits et obligations des prestataires de santé et des bénéficiaires.</w:t>
      </w:r>
    </w:p>
    <w:p w:rsidR="00000000" w:rsidRDefault="00000000">
      <w:pPr>
        <w:keepNext/>
        <w:spacing w:after="240"/>
        <w:ind w:left="567"/>
        <w:rPr>
          <w:b/>
          <w:bCs/>
        </w:rPr>
      </w:pPr>
      <w:r>
        <w:rPr>
          <w:b/>
          <w:bCs/>
        </w:rPr>
        <w:t xml:space="preserve">Décret suprême </w:t>
      </w:r>
      <w:r>
        <w:rPr>
          <w:rFonts w:eastAsia="MS Mincho"/>
          <w:b/>
          <w:bCs/>
        </w:rPr>
        <w:t>n</w:t>
      </w:r>
      <w:r>
        <w:rPr>
          <w:rFonts w:eastAsia="MS Mincho"/>
          <w:b/>
          <w:bCs/>
          <w:vertAlign w:val="superscript"/>
        </w:rPr>
        <w:t>o</w:t>
      </w:r>
      <w:r>
        <w:rPr>
          <w:b/>
          <w:bCs/>
        </w:rPr>
        <w:t> 26875, modèle de gestion et DILOS du 21 décembre 2002</w:t>
      </w:r>
    </w:p>
    <w:p w:rsidR="00000000" w:rsidRDefault="00000000">
      <w:pPr>
        <w:spacing w:after="240"/>
      </w:pPr>
      <w:r>
        <w:t>296.</w:t>
      </w:r>
      <w:r>
        <w:tab/>
        <w:t xml:space="preserve">Ce texte réglemente la structure des réseaux d’établissements, en tenant compte des critères territoriaux et fonctionnels destinés à renforcer la rationalité en matière d’utilisation des ressources. Il mentionne également les DILOS, dans le contexte de la gestion du système public de santé, en précisant les fonctions, l’attribution et la responsabilité des différents niveaux de soins. </w:t>
      </w:r>
    </w:p>
    <w:p w:rsidR="00000000" w:rsidRDefault="00000000">
      <w:pPr>
        <w:keepNext/>
        <w:spacing w:after="240"/>
        <w:ind w:left="567"/>
      </w:pPr>
      <w:r>
        <w:rPr>
          <w:b/>
          <w:bCs/>
        </w:rPr>
        <w:t xml:space="preserve">Résolution ministérielle </w:t>
      </w:r>
      <w:r>
        <w:rPr>
          <w:rFonts w:eastAsia="MS Mincho"/>
          <w:b/>
          <w:bCs/>
        </w:rPr>
        <w:t>n</w:t>
      </w:r>
      <w:r>
        <w:rPr>
          <w:rFonts w:eastAsia="MS Mincho"/>
          <w:b/>
          <w:bCs/>
          <w:vertAlign w:val="superscript"/>
        </w:rPr>
        <w:t>o</w:t>
      </w:r>
      <w:r>
        <w:rPr>
          <w:b/>
          <w:bCs/>
        </w:rPr>
        <w:t> 0735, règlement du SNUS (Système national unique de santé)</w:t>
      </w:r>
    </w:p>
    <w:p w:rsidR="00000000" w:rsidRDefault="00000000">
      <w:pPr>
        <w:spacing w:after="240"/>
      </w:pPr>
      <w:r>
        <w:t>297.</w:t>
      </w:r>
      <w:r>
        <w:tab/>
        <w:t xml:space="preserve">Le Règlement s’inscrit dans le cadre de la loi </w:t>
      </w:r>
      <w:r>
        <w:rPr>
          <w:rFonts w:eastAsia="MS Mincho"/>
        </w:rPr>
        <w:t>n</w:t>
      </w:r>
      <w:r>
        <w:rPr>
          <w:rFonts w:eastAsia="MS Mincho"/>
          <w:vertAlign w:val="superscript"/>
        </w:rPr>
        <w:t>o</w:t>
      </w:r>
      <w:r>
        <w:t xml:space="preserve"> 1737 (loi relative aux médicaments), du décret suprême </w:t>
      </w:r>
      <w:r>
        <w:rPr>
          <w:rFonts w:eastAsia="MS Mincho"/>
        </w:rPr>
        <w:t>n</w:t>
      </w:r>
      <w:r>
        <w:rPr>
          <w:rFonts w:eastAsia="MS Mincho"/>
          <w:vertAlign w:val="superscript"/>
        </w:rPr>
        <w:t>o</w:t>
      </w:r>
      <w:r>
        <w:t xml:space="preserve"> 25235 (règlement d’application de la loi relative aux médicaments) et du décret suprême </w:t>
      </w:r>
      <w:r>
        <w:rPr>
          <w:rFonts w:eastAsia="MS Mincho"/>
        </w:rPr>
        <w:t>n</w:t>
      </w:r>
      <w:r>
        <w:rPr>
          <w:rFonts w:eastAsia="MS Mincho"/>
          <w:vertAlign w:val="superscript"/>
        </w:rPr>
        <w:t>o</w:t>
      </w:r>
      <w:r>
        <w:t> 26873, qui prévoit la responsabilité du Ministère de la santé, lequel doit préserver l’intégralité du service pharmaceutique, en établissant le cadre normatif de l’administration des médicaments et des apports dans tout le système public.</w:t>
      </w:r>
    </w:p>
    <w:p w:rsidR="00000000" w:rsidRDefault="00000000">
      <w:pPr>
        <w:keepNext/>
        <w:spacing w:after="240"/>
        <w:ind w:left="567"/>
        <w:rPr>
          <w:b/>
          <w:bCs/>
        </w:rPr>
      </w:pPr>
      <w:r>
        <w:rPr>
          <w:b/>
          <w:bCs/>
        </w:rPr>
        <w:t>Progrès</w:t>
      </w:r>
    </w:p>
    <w:p w:rsidR="00000000" w:rsidRDefault="00000000">
      <w:pPr>
        <w:spacing w:after="240"/>
      </w:pPr>
      <w:r>
        <w:t>298.</w:t>
      </w:r>
      <w:r>
        <w:tab/>
        <w:t>Dans les deux années qui ont suivi la mise en œuvre de la SUMI (2003 et 2004), on a obtenu les résultats ci</w:t>
      </w:r>
      <w:r>
        <w:noBreakHyphen/>
        <w:t>après.</w:t>
      </w:r>
    </w:p>
    <w:p w:rsidR="00000000" w:rsidRDefault="00000000">
      <w:pPr>
        <w:keepNext/>
        <w:spacing w:after="240"/>
        <w:ind w:left="567"/>
      </w:pPr>
      <w:r>
        <w:rPr>
          <w:b/>
          <w:bCs/>
        </w:rPr>
        <w:t>Impact</w:t>
      </w:r>
    </w:p>
    <w:p w:rsidR="00000000" w:rsidRDefault="00000000">
      <w:pPr>
        <w:spacing w:after="240"/>
        <w:ind w:firstLine="567"/>
      </w:pPr>
      <w:r>
        <w:t>Contribution des assurances publiques et de la SUMI à la réduction des taux de mortalité.</w:t>
      </w:r>
    </w:p>
    <w:p w:rsidR="00000000" w:rsidRDefault="00000000">
      <w:pPr>
        <w:spacing w:after="240"/>
        <w:ind w:firstLine="567"/>
      </w:pPr>
      <w:r>
        <w:t>La contribution des assurances publiques dans le pays a permis d’enregistrer la réduction accélérée et importante des taux de mortalité materno-infantile, mis en évidence par l’enquête nationale sur la démographie et la santé (ENDSA) 2003:</w:t>
      </w:r>
    </w:p>
    <w:p w:rsidR="00000000" w:rsidRDefault="00000000">
      <w:pPr>
        <w:numPr>
          <w:ilvl w:val="0"/>
          <w:numId w:val="126"/>
        </w:numPr>
        <w:spacing w:after="240"/>
      </w:pPr>
      <w:r>
        <w:t>La mortalité maternelle pour 100 000 naissances vivantes a diminué de 41 %, passant de 390 en 1994 à 230 en 2003;</w:t>
      </w:r>
    </w:p>
    <w:p w:rsidR="00000000" w:rsidRDefault="00000000">
      <w:pPr>
        <w:numPr>
          <w:ilvl w:val="0"/>
          <w:numId w:val="126"/>
        </w:numPr>
        <w:spacing w:after="240"/>
      </w:pPr>
      <w:r>
        <w:t>Le taux de mortalité infantile (enfants de moins de 1 an) a diminué de 44 % par rapport à 1989. Il est passé de 96 pour 1 000 naissances vivantes en 1989, à 54 pour 1 000 naissances vivantes en 2003.</w:t>
      </w:r>
    </w:p>
    <w:p w:rsidR="00000000" w:rsidRDefault="00000000">
      <w:pPr>
        <w:spacing w:after="240"/>
        <w:ind w:firstLine="567"/>
      </w:pPr>
      <w:r>
        <w:t>On estime qu’au rythme actuel, les normes internationales pourront être atteintes avant 2015 (année prévue pour la réalisation des objectifs du Millénaire).</w:t>
      </w:r>
    </w:p>
    <w:p w:rsidR="00000000" w:rsidRDefault="00000000">
      <w:pPr>
        <w:keepNext/>
        <w:tabs>
          <w:tab w:val="left" w:pos="567"/>
          <w:tab w:val="left" w:pos="1134"/>
        </w:tabs>
        <w:spacing w:after="240"/>
      </w:pPr>
      <w:r>
        <w:t>299.</w:t>
      </w:r>
      <w:r>
        <w:rPr>
          <w:b/>
          <w:bCs/>
        </w:rPr>
        <w:tab/>
        <w:t>Le processus</w:t>
      </w:r>
    </w:p>
    <w:p w:rsidR="00000000" w:rsidRDefault="00000000">
      <w:pPr>
        <w:keepNext/>
        <w:numPr>
          <w:ilvl w:val="0"/>
          <w:numId w:val="126"/>
        </w:numPr>
        <w:spacing w:after="240"/>
      </w:pPr>
      <w:r>
        <w:t>Participation des 314 municipalités du pays à la mise en œuvre de la SUMI;</w:t>
      </w:r>
    </w:p>
    <w:p w:rsidR="00000000" w:rsidRDefault="00000000">
      <w:pPr>
        <w:numPr>
          <w:ilvl w:val="0"/>
          <w:numId w:val="126"/>
        </w:numPr>
        <w:spacing w:after="240"/>
      </w:pPr>
      <w:r>
        <w:t>Participation des 2 756 établissements des trois niveaux de soins/gestion (le premier niveau comprend les postes de santé, les dispensaires, les brigades de santé, les services sont axés sur la promotion et la prévention sanitaires, la consultation ambulatoire et l’hospitalisation temporaire; le deuxième niveau comprend l’hôpital de base d’appui, il s’agit d’un établissement plus complexe qui dispose de spécialités en médecine interne, chirurgie, pédiatrie et gynécologie obstétrique, ainsi que d’un service d’anesthésie; le troisième niveau se compose des hôpitaux généraux et des instituts et hôpitaux spécialisés, qui fournissent des soins spécialisés et sous</w:t>
      </w:r>
      <w:r>
        <w:noBreakHyphen/>
        <w:t>spécialisés) à la fourniture de prestations de la SUMI;</w:t>
      </w:r>
    </w:p>
    <w:p w:rsidR="00000000" w:rsidRDefault="00000000">
      <w:pPr>
        <w:numPr>
          <w:ilvl w:val="0"/>
          <w:numId w:val="126"/>
        </w:numPr>
        <w:spacing w:after="240"/>
      </w:pPr>
      <w:r>
        <w:t>Le pourcentage de prestations selon le niveau de soins a été le suivant: 70 % au premier niveau, 18 % au deuxième niveau et 12 % au troisième niveau;</w:t>
      </w:r>
    </w:p>
    <w:p w:rsidR="00000000" w:rsidRDefault="00000000">
      <w:pPr>
        <w:numPr>
          <w:ilvl w:val="0"/>
          <w:numId w:val="126"/>
        </w:numPr>
        <w:spacing w:after="240"/>
      </w:pPr>
      <w:r>
        <w:t>Les prestations de la SUMI en zone rurale ont été les suivantes: 54 % pour les enfants de moins de 5 ans, 15 % en néonatologie et 36 % pour les femmes enceintes;</w:t>
      </w:r>
    </w:p>
    <w:p w:rsidR="00000000" w:rsidRDefault="00000000">
      <w:pPr>
        <w:numPr>
          <w:ilvl w:val="0"/>
          <w:numId w:val="126"/>
        </w:numPr>
        <w:spacing w:after="240"/>
      </w:pPr>
      <w:r>
        <w:t>En 2003, on a enregistré 8 378 271 prestations; le chiffre correspondant pour 2004 est de 13 576 456</w:t>
      </w:r>
      <w:r>
        <w:rPr>
          <w:b/>
          <w:bCs/>
          <w:vertAlign w:val="superscript"/>
        </w:rPr>
        <w:t>*</w:t>
      </w:r>
      <w:r>
        <w:t>;</w:t>
      </w:r>
    </w:p>
    <w:p w:rsidR="00000000" w:rsidRDefault="00000000">
      <w:pPr>
        <w:numPr>
          <w:ilvl w:val="0"/>
          <w:numId w:val="126"/>
        </w:numPr>
        <w:spacing w:after="240"/>
      </w:pPr>
      <w:r>
        <w:t>La couverture cumulée d’affiliation en 2003</w:t>
      </w:r>
      <w:r>
        <w:noBreakHyphen/>
        <w:t>2004 a été de 77 %;</w:t>
      </w:r>
    </w:p>
    <w:p w:rsidR="00000000" w:rsidRDefault="00000000">
      <w:pPr>
        <w:numPr>
          <w:ilvl w:val="0"/>
          <w:numId w:val="126"/>
        </w:numPr>
        <w:spacing w:after="240"/>
      </w:pPr>
      <w:r>
        <w:t>Des manuels sur les processus administratifs (instructions sur l’établissement des formulaires et les mécanismes de recouvrement et de paiement) ont été conçus, validés, imprimés, institutionnalisés et diffusés;</w:t>
      </w:r>
    </w:p>
    <w:p w:rsidR="00000000" w:rsidRDefault="00000000">
      <w:pPr>
        <w:numPr>
          <w:ilvl w:val="0"/>
          <w:numId w:val="126"/>
        </w:numPr>
        <w:spacing w:after="240"/>
      </w:pPr>
      <w:r>
        <w:t>34 contrôles administratifs techniques médicaux ont été effectués dans les principaux établissements du pays;</w:t>
      </w:r>
    </w:p>
    <w:p w:rsidR="00000000" w:rsidRDefault="00000000">
      <w:pPr>
        <w:numPr>
          <w:ilvl w:val="0"/>
          <w:numId w:val="126"/>
        </w:numPr>
        <w:spacing w:after="240"/>
      </w:pPr>
      <w:r>
        <w:t>Le logotype institutionnel de la SUMI a été modifié;</w:t>
      </w:r>
    </w:p>
    <w:p w:rsidR="00000000" w:rsidRDefault="00000000">
      <w:pPr>
        <w:numPr>
          <w:ilvl w:val="0"/>
          <w:numId w:val="126"/>
        </w:numPr>
        <w:spacing w:after="240"/>
      </w:pPr>
      <w:r>
        <w:t>La stratégie de communication a été lancée;</w:t>
      </w:r>
    </w:p>
    <w:p w:rsidR="00000000" w:rsidRDefault="00000000">
      <w:pPr>
        <w:numPr>
          <w:ilvl w:val="0"/>
          <w:numId w:val="126"/>
        </w:numPr>
        <w:spacing w:after="240"/>
      </w:pPr>
      <w:r>
        <w:t>1 400 intervenants clefs des 314 municipalités et des neuf sièges ont été formés à la mise en œuvre du modèle de gestion, des réseaux de santé, du DILOS, de la SUMI et du SNUS.</w:t>
      </w:r>
    </w:p>
    <w:p w:rsidR="00000000" w:rsidRDefault="00000000">
      <w:pPr>
        <w:spacing w:after="240"/>
        <w:ind w:left="567"/>
        <w:rPr>
          <w:b/>
          <w:bCs/>
        </w:rPr>
      </w:pPr>
      <w:r>
        <w:rPr>
          <w:b/>
          <w:bCs/>
        </w:rPr>
        <w:t>44.</w:t>
      </w:r>
      <w:r>
        <w:rPr>
          <w:b/>
          <w:bCs/>
        </w:rPr>
        <w:tab/>
        <w:t xml:space="preserve">Le Comité recommande à l’État partie de donner la priorité, dans son budget, à l’éducation, de mettre en place des programmes d’alphabétisation des adultes, en particulier dans les zones rurales, et de s’efforcer d’accroître le taux de fréquentation scolaire des enfants de moins de 9 ans. À cet égard, il engage vivement l’État partie à mettre en œuvre un plan national global d’éducation pour tous, comme prévu au paragraphe 16 du Cadre d’action de Dakar, en tenant compte des Observations générales </w:t>
      </w:r>
      <w:r>
        <w:rPr>
          <w:rFonts w:eastAsia="MS Mincho"/>
          <w:b/>
          <w:bCs/>
        </w:rPr>
        <w:t>n</w:t>
      </w:r>
      <w:r>
        <w:rPr>
          <w:rFonts w:eastAsia="MS Mincho"/>
          <w:b/>
          <w:bCs/>
          <w:vertAlign w:val="superscript"/>
        </w:rPr>
        <w:t>o</w:t>
      </w:r>
      <w:r>
        <w:rPr>
          <w:b/>
          <w:bCs/>
          <w:vertAlign w:val="superscript"/>
        </w:rPr>
        <w:t>s</w:t>
      </w:r>
      <w:r>
        <w:t xml:space="preserve"> </w:t>
      </w:r>
      <w:r>
        <w:rPr>
          <w:b/>
          <w:bCs/>
        </w:rPr>
        <w:t>11 et 13 du Comité.</w:t>
      </w:r>
    </w:p>
    <w:p w:rsidR="00000000" w:rsidRDefault="00000000">
      <w:pPr>
        <w:spacing w:after="240"/>
      </w:pPr>
      <w:r>
        <w:t>300.</w:t>
      </w:r>
      <w:r>
        <w:tab/>
        <w:t>Pas d’information.</w:t>
      </w:r>
    </w:p>
    <w:p w:rsidR="00000000" w:rsidRDefault="00000000">
      <w:pPr>
        <w:spacing w:after="240"/>
        <w:ind w:left="567"/>
        <w:rPr>
          <w:b/>
          <w:bCs/>
        </w:rPr>
      </w:pPr>
      <w:r>
        <w:rPr>
          <w:b/>
          <w:bCs/>
        </w:rPr>
        <w:t>45.</w:t>
      </w:r>
      <w:r>
        <w:rPr>
          <w:b/>
          <w:bCs/>
        </w:rPr>
        <w:tab/>
        <w:t>Le Comité encourage l’État partie à mettre en application le Code de procédure pénale en vertu duquel trois des principales langues autochtones − le quechua, l’aymara et le tupi guaraní − peuvent être employées pour les procédures judiciaires et administratives.</w:t>
      </w:r>
    </w:p>
    <w:p w:rsidR="00000000" w:rsidRDefault="00000000">
      <w:pPr>
        <w:spacing w:after="240"/>
      </w:pPr>
      <w:r>
        <w:t>301.</w:t>
      </w:r>
      <w:r>
        <w:tab/>
        <w:t xml:space="preserve">Le nouveau Code de procédure pénale a été promulgué par la loi </w:t>
      </w:r>
      <w:r>
        <w:rPr>
          <w:rFonts w:eastAsia="MS Mincho"/>
        </w:rPr>
        <w:t>n</w:t>
      </w:r>
      <w:r>
        <w:rPr>
          <w:rFonts w:eastAsia="MS Mincho"/>
          <w:vertAlign w:val="superscript"/>
        </w:rPr>
        <w:t>o</w:t>
      </w:r>
      <w:r>
        <w:t> 1970, du 25 mars 1999. S’il ne prévoit pas de procédures judiciaires et administratives dans les langues autochtones, il prévoit en revanche, le droit à un interprète pour tout inculpé qui ne comprendrait pas l’espagnol. L’interprète pourra être choisi par l’inculpé et devra l’assister dans tous les actes nécessaires à sa défense; si l’inculpé ne dispose pas de ressources suffisantes, un interprète est désigné d’office.</w:t>
      </w:r>
    </w:p>
    <w:p w:rsidR="00000000" w:rsidRDefault="00000000">
      <w:pPr>
        <w:spacing w:after="240"/>
      </w:pPr>
      <w:r>
        <w:t>302.</w:t>
      </w:r>
      <w:r>
        <w:tab/>
        <w:t>En outre, l’article 28 dudit Code de procédure pénale prévoit que la justice communautaire constitue un moyen qui permet d’éteindre l’action pénale: «L’action pénale est éteinte lorsque le délit ou l’infraction est commis dans une communauté autochtone et rurale, par l’un de ses membres à l’encontre d’un autre, et que les autorités naturelles de la communauté ont réglé le conflit conformément au droit coutumier, dès lors que le règlement n’est pas contraire aux droits fondamentaux et aux garanties de la personne prévus par la Constitution politique de l’État. La loi validera l’application du droit coutumier autochtone.».</w:t>
      </w:r>
    </w:p>
    <w:p w:rsidR="00000000" w:rsidRDefault="00000000">
      <w:pPr>
        <w:spacing w:after="240"/>
      </w:pPr>
      <w:r>
        <w:t>303.</w:t>
      </w:r>
      <w:r>
        <w:tab/>
        <w:t>Par ailleurs, l’État partie précise que le nouveau Code de procédure pénale a été diffusé par le biais du Comité exécutif pour la mise en œuvre du nouveau Code de procédure pénale parmi des groupes sociaux appartenant aux communautés aymara, quechua, tupi guaraní et autres.</w:t>
      </w:r>
    </w:p>
    <w:p w:rsidR="00000000" w:rsidRDefault="00000000">
      <w:pPr>
        <w:spacing w:after="240"/>
        <w:ind w:left="567"/>
        <w:rPr>
          <w:b/>
          <w:bCs/>
        </w:rPr>
      </w:pPr>
      <w:r>
        <w:rPr>
          <w:b/>
          <w:bCs/>
        </w:rPr>
        <w:t>47.</w:t>
      </w:r>
      <w:r>
        <w:rPr>
          <w:b/>
          <w:bCs/>
        </w:rPr>
        <w:tab/>
        <w:t>Le Comité demande à l’État partie de diffuser largement ses observations finales dans la société bolivienne à tous les niveaux et d’informer le Comité de toutes les mesures qu’il aura prises en vue de leur donner suite. Il encourage en outre l’État partie à consulter les organisations non gouvernementales et d’autres membres de la société civile lors de l’élaboration de son deuxième rapport périodique.</w:t>
      </w:r>
    </w:p>
    <w:p w:rsidR="00000000" w:rsidRDefault="00000000">
      <w:pPr>
        <w:spacing w:after="240"/>
      </w:pPr>
      <w:r>
        <w:t>304.</w:t>
      </w:r>
      <w:r>
        <w:tab/>
        <w:t>Les observations finales du Comité ont été communiquées aux institutions publiques chargées de leur application.</w:t>
      </w:r>
    </w:p>
    <w:p w:rsidR="00000000" w:rsidRDefault="00000000">
      <w:pPr>
        <w:spacing w:after="240"/>
      </w:pPr>
      <w:r>
        <w:t>305.</w:t>
      </w:r>
      <w:r>
        <w:tab/>
        <w:t xml:space="preserve">Par ailleurs, conformément au décret suprême </w:t>
      </w:r>
      <w:r>
        <w:rPr>
          <w:rFonts w:eastAsia="MS Mincho"/>
        </w:rPr>
        <w:t>n</w:t>
      </w:r>
      <w:r>
        <w:rPr>
          <w:rFonts w:eastAsia="MS Mincho"/>
          <w:vertAlign w:val="superscript"/>
        </w:rPr>
        <w:t>o</w:t>
      </w:r>
      <w:r>
        <w:t> 27420, les prochaines observations concernant le présent rapport seront largement diffusées parmi les représentants des mécanismes publics et de la société civile.</w:t>
      </w:r>
    </w:p>
    <w:p w:rsidR="00000000" w:rsidRDefault="00000000">
      <w:pPr>
        <w:spacing w:after="240"/>
        <w:jc w:val="center"/>
      </w:pPr>
      <w:r>
        <w:t>-----</w:t>
      </w:r>
    </w:p>
    <w:sectPr w:rsidR="00000000">
      <w:headerReference w:type="even" r:id="rId29"/>
      <w:headerReference w:type="default" r:id="rId30"/>
      <w:footerReference w:type="first" r:id="rId3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GE.07</w:t>
    </w:r>
    <w:r>
      <w:noBreakHyphen/>
      <w:t>43682  (F)    211107    231107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rapport initial (E/1990/5/Add.44) relatif aux droits couverts par les articles 1 à 15 a été examiné par le Comité des droits économiques, sociaux et culturels à sa vingt</w:t>
      </w:r>
      <w:r>
        <w:noBreakHyphen/>
        <w:t>cinquième session, en mai 2001 (voir les documents E/C.12/2001/SR.15, E/C.12/2001/SR.16 et E/C.12/2001/SR.17).</w:t>
      </w:r>
    </w:p>
  </w:footnote>
  <w:footnote w:id="2">
    <w:p w:rsidR="00000000" w:rsidRDefault="00000000">
      <w:pPr>
        <w:pStyle w:val="Footer"/>
        <w:spacing w:after="240"/>
      </w:pPr>
      <w:r>
        <w:rPr>
          <w:rStyle w:val="FootnoteReference"/>
        </w:rPr>
        <w:t>**</w:t>
      </w:r>
      <w:r>
        <w:t xml:space="preserve"> Les informations présentées par la Bolivie conformément aux directives concernant la première partie des rapports des États parties figurent dans le document de base (HRI/CORE/1/Add.54/Rev.2).</w:t>
      </w:r>
    </w:p>
  </w:footnote>
  <w:footnote w:id="3">
    <w:p w:rsidR="00000000" w:rsidRDefault="00000000">
      <w:pPr>
        <w:pStyle w:val="Footer"/>
        <w:spacing w:after="240"/>
      </w:pPr>
      <w:r>
        <w:rPr>
          <w:rStyle w:val="FootnoteReference"/>
        </w:rPr>
        <w:t>***</w:t>
      </w:r>
      <w:r>
        <w:t xml:space="preserve"> Le présent document n’a pas fait l’objet d’une mise au point rédactionnelle avant d’être envoyé aux services de traduction de l’Organisation des </w:t>
      </w:r>
      <w:r>
        <w:rPr>
          <w:rFonts w:eastAsia="MS Mincho"/>
        </w:rPr>
        <w:t>Nations Unies</w:t>
      </w:r>
      <w:r>
        <w:t>.</w:t>
      </w:r>
    </w:p>
  </w:footnote>
  <w:footnote w:id="4">
    <w:p w:rsidR="00000000" w:rsidRDefault="00000000">
      <w:pPr>
        <w:spacing w:after="240"/>
      </w:pPr>
      <w:r>
        <w:rPr>
          <w:rStyle w:val="FootnoteReference"/>
        </w:rPr>
        <w:footnoteRef/>
      </w:r>
      <w:r>
        <w:t xml:space="preserve"> Ce document est élaboré par le mécanisme du pouvoir exécutif et de la communauté des droits de l’homme (société civile organisée). Il sera achevé et présenté d’ici à la fin de septembre 2005. </w:t>
      </w:r>
    </w:p>
  </w:footnote>
  <w:footnote w:id="5">
    <w:p w:rsidR="00000000" w:rsidRDefault="00000000">
      <w:pPr>
        <w:pStyle w:val="FootnoteText"/>
        <w:spacing w:after="240"/>
      </w:pPr>
      <w:r>
        <w:rPr>
          <w:rStyle w:val="FootnoteReference"/>
        </w:rPr>
        <w:footnoteRef/>
      </w:r>
      <w:r>
        <w:t xml:space="preserve"> Organisme créé par le décret suprême </w:t>
      </w:r>
      <w:r>
        <w:rPr>
          <w:rFonts w:eastAsia="MS Mincho"/>
        </w:rPr>
        <w:t>n</w:t>
      </w:r>
      <w:r>
        <w:rPr>
          <w:rFonts w:eastAsia="MS Mincho"/>
          <w:vertAlign w:val="superscript"/>
        </w:rPr>
        <w:t>o</w:t>
      </w:r>
      <w:r>
        <w:t> 27420.</w:t>
      </w:r>
    </w:p>
  </w:footnote>
  <w:footnote w:id="6">
    <w:p w:rsidR="00000000" w:rsidRDefault="00000000">
      <w:pPr>
        <w:pStyle w:val="FootnoteText"/>
        <w:spacing w:after="240"/>
      </w:pPr>
      <w:r>
        <w:rPr>
          <w:rStyle w:val="FootnoteReference"/>
        </w:rPr>
        <w:footnoteRef/>
      </w:r>
      <w:r>
        <w:t xml:space="preserve"> Id.</w:t>
      </w:r>
    </w:p>
  </w:footnote>
  <w:footnote w:id="7">
    <w:p w:rsidR="00000000" w:rsidRDefault="00000000">
      <w:pPr>
        <w:pStyle w:val="FootnoteText"/>
        <w:spacing w:after="240"/>
      </w:pPr>
      <w:r>
        <w:rPr>
          <w:rStyle w:val="FootnoteReference"/>
        </w:rPr>
        <w:footnoteRef/>
      </w:r>
      <w:r>
        <w:t xml:space="preserve"> Institut national de statistique − Enquête nationale sur la démographie et la santé 2003 (ENDSA/03).</w:t>
      </w:r>
    </w:p>
  </w:footnote>
  <w:footnote w:id="8">
    <w:p w:rsidR="00000000" w:rsidRDefault="00000000">
      <w:pPr>
        <w:pStyle w:val="FootnoteText"/>
        <w:spacing w:after="240"/>
        <w:rPr>
          <w:lang w:val="fr-FR"/>
        </w:rPr>
      </w:pPr>
      <w:r>
        <w:rPr>
          <w:rStyle w:val="FootnoteReference"/>
          <w:lang w:val="fr-FR"/>
        </w:rPr>
        <w:footnoteRef/>
      </w:r>
      <w:r>
        <w:rPr>
          <w:lang w:val="fr-FR"/>
        </w:rPr>
        <w:t xml:space="preserve"> UDAPE − INE − Système des Nations Unies. Progrès accomplis dans la réalisation des objectifs du Millénaire pour le développement, Bolivie 2002, deuxième rapport, 2002.</w:t>
      </w:r>
    </w:p>
  </w:footnote>
  <w:footnote w:id="9">
    <w:p w:rsidR="00000000" w:rsidRDefault="00000000">
      <w:pPr>
        <w:pStyle w:val="FootnoteText"/>
        <w:spacing w:after="240"/>
        <w:rPr>
          <w:lang w:val="fr-FR"/>
        </w:rPr>
      </w:pPr>
      <w:r>
        <w:rPr>
          <w:rStyle w:val="FootnoteReference"/>
          <w:lang w:val="fr-FR"/>
        </w:rPr>
        <w:footnoteRef/>
      </w:r>
      <w:r>
        <w:rPr>
          <w:lang w:val="fr-FR"/>
        </w:rPr>
        <w:t xml:space="preserve"> UDAPE − INE − Système des Nations Unies. Progrès accomplis dans la réalisation des objectifs du Millénaire pour le développement, Bolivie 2002, deuxième rapport, 2002.</w:t>
      </w:r>
    </w:p>
  </w:footnote>
  <w:footnote w:id="10">
    <w:p w:rsidR="00000000" w:rsidRDefault="00000000">
      <w:pPr>
        <w:pStyle w:val="FootnoteText"/>
        <w:spacing w:after="240"/>
        <w:rPr>
          <w:lang w:val="fr-FR"/>
        </w:rPr>
      </w:pPr>
      <w:r>
        <w:rPr>
          <w:rStyle w:val="FootnoteReference"/>
          <w:lang w:val="fr-FR"/>
        </w:rPr>
        <w:footnoteRef/>
      </w:r>
      <w:r>
        <w:rPr>
          <w:lang w:val="fr-FR"/>
        </w:rPr>
        <w:t xml:space="preserve"> Judith McGuire et Cindy López, «Les limites de la croissance en Bolivie: comment les programmes de nutrition peuvent contribuer à la réduction de la pauvreté». Banque mondiale, Secteur du développement humain pour la région Amérique latine, septembre 2001.</w:t>
      </w:r>
    </w:p>
  </w:footnote>
  <w:footnote w:id="11">
    <w:p w:rsidR="00000000" w:rsidRDefault="00000000">
      <w:pPr>
        <w:pStyle w:val="FootnoteText"/>
        <w:spacing w:after="240"/>
        <w:rPr>
          <w:lang w:val="fr-FR"/>
        </w:rPr>
      </w:pPr>
      <w:r>
        <w:rPr>
          <w:rStyle w:val="FootnoteReference"/>
          <w:lang w:val="fr-FR"/>
        </w:rPr>
        <w:footnoteRef/>
      </w:r>
      <w:r>
        <w:rPr>
          <w:lang w:val="fr-FR"/>
        </w:rPr>
        <w:t xml:space="preserve"> S. Paulson, N. Velarde, Évaluation d’interventions en cours. Étude sur la dénutrition et la pauvreté, Cochabamba (Bolivie), 2001. Banque mondiale, p. 26.</w:t>
      </w:r>
    </w:p>
  </w:footnote>
  <w:footnote w:id="12">
    <w:p w:rsidR="00000000" w:rsidRDefault="00000000">
      <w:pPr>
        <w:pStyle w:val="FootnoteText"/>
        <w:spacing w:after="240"/>
      </w:pPr>
      <w:r>
        <w:rPr>
          <w:rStyle w:val="FootnoteReference"/>
        </w:rPr>
        <w:footnoteRef/>
      </w:r>
      <w:r>
        <w:t xml:space="preserve"> En ce qui concerne la formulation des politiques de santé, on trouvera ci</w:t>
      </w:r>
      <w:r>
        <w:noBreakHyphen/>
        <w:t>joint 14 jeux de documents concernant les programmes, les protocoles, les résolutions et autres décisions qui reflètent l’action menée par l’État dans ce domaine.</w:t>
      </w:r>
    </w:p>
  </w:footnote>
  <w:footnote w:id="13">
    <w:p w:rsidR="00000000" w:rsidRDefault="00000000">
      <w:pPr>
        <w:pStyle w:val="FootnoteText"/>
        <w:spacing w:after="240"/>
      </w:pPr>
      <w:r>
        <w:rPr>
          <w:rStyle w:val="FootnoteReference"/>
        </w:rPr>
        <w:footnoteRef/>
      </w:r>
      <w:r>
        <w:t xml:space="preserve"> Cette catégorie comprend les personnes qui ont déclaré ne pas aller à l’école faute d’argent ou parce qu’elles travaillaient.</w:t>
      </w:r>
    </w:p>
  </w:footnote>
  <w:footnote w:id="14">
    <w:p w:rsidR="00000000" w:rsidRDefault="00000000">
      <w:pPr>
        <w:pStyle w:val="FootnoteText"/>
        <w:spacing w:after="240"/>
      </w:pPr>
      <w:r>
        <w:rPr>
          <w:rStyle w:val="FootnoteReference"/>
        </w:rPr>
        <w:footnoteRef/>
      </w:r>
      <w:r>
        <w:t xml:space="preserve"> On a tenu compte dans cette catégorie de considérations personnelles ou familiales, c’est</w:t>
      </w:r>
      <w:r>
        <w:noBreakHyphen/>
        <w:t>à</w:t>
      </w:r>
      <w:r>
        <w:noBreakHyphen/>
        <w:t>dire des sujets qui ont déclaré ne pas aller à l’école à cause de leur âge trop avancé, par manque d’intérêt, pour cause de grossesse, à cause de l’obligation de s’occuper d’autres enfants, parce qu’ils se jugeaient trop jeunes ou à cause de problèmes familiaux.</w:t>
      </w:r>
    </w:p>
  </w:footnote>
  <w:footnote w:id="15">
    <w:p w:rsidR="00000000" w:rsidRDefault="00000000">
      <w:pPr>
        <w:pStyle w:val="FootnoteText"/>
        <w:spacing w:after="240"/>
      </w:pPr>
      <w:r>
        <w:rPr>
          <w:rStyle w:val="FootnoteReference"/>
        </w:rPr>
        <w:footnoteRef/>
      </w:r>
      <w:r>
        <w:t xml:space="preserve"> Dans le bulletin intitulé </w:t>
      </w:r>
      <w:r>
        <w:rPr>
          <w:i/>
          <w:iCs/>
        </w:rPr>
        <w:t>Programme d’amélioration des enquêtes et de mesure du niveau de vie</w:t>
      </w:r>
      <w:r>
        <w:t xml:space="preserve"> (MECOVI 2002), il n’existe en ce qui concerne l’enseignement qu’une seule rubrique: établissements trop éloignés.</w:t>
      </w:r>
    </w:p>
  </w:footnote>
  <w:footnote w:id="16">
    <w:p w:rsidR="00000000" w:rsidRDefault="00000000">
      <w:pPr>
        <w:pStyle w:val="FootnoteText"/>
        <w:spacing w:after="240"/>
      </w:pPr>
      <w:r>
        <w:rPr>
          <w:rStyle w:val="FootnoteReference"/>
        </w:rPr>
        <w:footnoteRef/>
      </w:r>
      <w:r>
        <w:t xml:space="preserve"> Loi 1565, art. 24.</w:t>
      </w:r>
    </w:p>
  </w:footnote>
  <w:footnote w:id="17">
    <w:p w:rsidR="00000000" w:rsidRDefault="00000000">
      <w:pPr>
        <w:pStyle w:val="FootnoteText"/>
        <w:spacing w:after="240"/>
      </w:pPr>
      <w:r>
        <w:rPr>
          <w:rStyle w:val="FootnoteReference"/>
        </w:rPr>
        <w:footnoteRef/>
      </w:r>
      <w:r>
        <w:t xml:space="preserve"> Décret suprême 23950, art. 74.</w:t>
      </w:r>
    </w:p>
  </w:footnote>
  <w:footnote w:id="18">
    <w:p w:rsidR="00000000" w:rsidRDefault="00000000">
      <w:pPr>
        <w:pStyle w:val="FootnoteText"/>
        <w:spacing w:after="240"/>
      </w:pPr>
      <w:r>
        <w:rPr>
          <w:rStyle w:val="FootnoteReference"/>
        </w:rPr>
        <w:footnoteRef/>
      </w:r>
      <w:r>
        <w:t xml:space="preserve"> Loi 1565, art. 28.</w:t>
      </w:r>
    </w:p>
  </w:footnote>
  <w:footnote w:id="19">
    <w:p w:rsidR="00000000" w:rsidRDefault="00000000">
      <w:pPr>
        <w:pStyle w:val="FootnoteText"/>
        <w:spacing w:after="240"/>
      </w:pPr>
      <w:r>
        <w:rPr>
          <w:rStyle w:val="FootnoteReference"/>
        </w:rPr>
        <w:footnoteRef/>
      </w:r>
      <w:r>
        <w:t xml:space="preserve"> Décret suprême 23950, art. 78 et 83.</w:t>
      </w:r>
    </w:p>
  </w:footnote>
  <w:footnote w:id="20">
    <w:p w:rsidR="00000000" w:rsidRDefault="00000000">
      <w:pPr>
        <w:pStyle w:val="FootnoteText"/>
        <w:spacing w:after="240"/>
      </w:pPr>
      <w:r>
        <w:rPr>
          <w:rStyle w:val="FootnoteReference"/>
        </w:rPr>
        <w:footnoteRef/>
      </w:r>
      <w:r>
        <w:t xml:space="preserve"> Loi 1565, art. 24.</w:t>
      </w:r>
    </w:p>
  </w:footnote>
  <w:footnote w:id="21">
    <w:p w:rsidR="00000000" w:rsidRDefault="00000000">
      <w:pPr>
        <w:pStyle w:val="FootnoteText"/>
        <w:spacing w:after="240"/>
      </w:pPr>
      <w:r>
        <w:rPr>
          <w:rStyle w:val="FootnoteReference"/>
        </w:rPr>
        <w:footnoteRef/>
      </w:r>
      <w:r>
        <w:t xml:space="preserve"> Guevara, Miriam. </w:t>
      </w:r>
      <w:r>
        <w:rPr>
          <w:i/>
          <w:iCs/>
        </w:rPr>
        <w:t>Ofertas educativas para personas con necesidades especiales en Bolivia</w:t>
      </w:r>
      <w:r>
        <w:t>. UNESCO, UNICEF, Association allemande pour l’éducation des adultes, 1997.</w:t>
      </w:r>
    </w:p>
  </w:footnote>
  <w:footnote w:id="22">
    <w:p w:rsidR="00000000" w:rsidRDefault="00000000">
      <w:pPr>
        <w:pStyle w:val="FootnoteText"/>
        <w:spacing w:after="240"/>
      </w:pPr>
      <w:r>
        <w:rPr>
          <w:rStyle w:val="FootnoteReference"/>
        </w:rPr>
        <w:footnoteRef/>
      </w:r>
      <w:r>
        <w:t xml:space="preserve"> Ministère de l’éducation, de la culture et des sports (2003a).</w:t>
      </w:r>
    </w:p>
  </w:footnote>
  <w:footnote w:id="23">
    <w:p w:rsidR="00000000" w:rsidRDefault="00000000">
      <w:pPr>
        <w:pStyle w:val="FootnoteText"/>
        <w:spacing w:after="240"/>
      </w:pPr>
      <w:r>
        <w:rPr>
          <w:rStyle w:val="FootnoteReference"/>
        </w:rPr>
        <w:footnoteRef/>
      </w:r>
      <w:r>
        <w:t xml:space="preserve"> Ministère de l’éducation, de la culture et des sports (2001c).</w:t>
      </w:r>
    </w:p>
  </w:footnote>
  <w:footnote w:id="24">
    <w:p w:rsidR="00000000" w:rsidRDefault="00000000">
      <w:pPr>
        <w:pStyle w:val="FootnoteText"/>
        <w:spacing w:after="240"/>
      </w:pPr>
      <w:r>
        <w:rPr>
          <w:rStyle w:val="FootnoteReference"/>
        </w:rPr>
        <w:footnoteRef/>
      </w:r>
      <w:r>
        <w:t xml:space="preserve"> Ministère de l’éducation, de la culture et des sports.</w:t>
      </w:r>
    </w:p>
  </w:footnote>
  <w:footnote w:id="25">
    <w:p w:rsidR="00000000" w:rsidRDefault="00000000">
      <w:pPr>
        <w:pStyle w:val="FootnoteText"/>
        <w:spacing w:after="240"/>
      </w:pPr>
      <w:r>
        <w:rPr>
          <w:rStyle w:val="FootnoteReference"/>
        </w:rPr>
        <w:footnoteRef/>
      </w:r>
      <w:r>
        <w:t xml:space="preserve"> Ministère de l’éducation, de la culture et des sports.</w:t>
      </w:r>
    </w:p>
  </w:footnote>
  <w:footnote w:id="26">
    <w:p w:rsidR="00000000" w:rsidRDefault="00000000">
      <w:pPr>
        <w:pStyle w:val="FootnoteText"/>
        <w:spacing w:after="240"/>
      </w:pPr>
      <w:r>
        <w:rPr>
          <w:rStyle w:val="FootnoteReference"/>
        </w:rPr>
        <w:footnoteRef/>
      </w:r>
      <w:r>
        <w:t xml:space="preserve"> Les résultats présentés dans cette partie comprennent à la fois l’enseignement public et l’enseignement privé.</w:t>
      </w:r>
    </w:p>
  </w:footnote>
  <w:footnote w:id="27">
    <w:p w:rsidR="00000000" w:rsidRDefault="00000000">
      <w:pPr>
        <w:pStyle w:val="FootnoteText"/>
        <w:spacing w:after="240"/>
      </w:pPr>
      <w:r>
        <w:rPr>
          <w:rStyle w:val="FootnoteReference"/>
        </w:rPr>
        <w:footnoteRef/>
      </w:r>
      <w:r>
        <w:t xml:space="preserve"> On considère qu’un enfant achève l’enseignement primaire à l’âge officiel lorsqu’il a commencé la huitième année d’enseignement primaire à 13 ans et l’a achevée à 14 ans.</w:t>
      </w:r>
    </w:p>
  </w:footnote>
  <w:footnote w:id="28">
    <w:p w:rsidR="00000000" w:rsidRDefault="00000000">
      <w:pPr>
        <w:pStyle w:val="FootnoteText"/>
        <w:spacing w:after="240"/>
        <w:rPr>
          <w:lang w:val="fr-FR"/>
        </w:rPr>
      </w:pPr>
      <w:r>
        <w:rPr>
          <w:rStyle w:val="FootnoteReference"/>
        </w:rPr>
        <w:footnoteRef/>
      </w:r>
      <w:r>
        <w:rPr>
          <w:lang w:val="fr-FR"/>
        </w:rPr>
        <w:t xml:space="preserve"> Décret suprême </w:t>
      </w:r>
      <w:r>
        <w:rPr>
          <w:rFonts w:eastAsia="MS Mincho"/>
          <w:lang w:val="fr-FR"/>
        </w:rPr>
        <w:t>n</w:t>
      </w:r>
      <w:r>
        <w:rPr>
          <w:rFonts w:eastAsia="MS Mincho"/>
          <w:vertAlign w:val="superscript"/>
          <w:lang w:val="fr-FR"/>
        </w:rPr>
        <w:t>o</w:t>
      </w:r>
      <w:r>
        <w:rPr>
          <w:lang w:val="fr-FR"/>
        </w:rPr>
        <w:t xml:space="preserve"> 23950, art. 42.</w:t>
      </w:r>
    </w:p>
  </w:footnote>
  <w:footnote w:id="29">
    <w:p w:rsidR="00000000" w:rsidRDefault="00000000">
      <w:pPr>
        <w:pStyle w:val="FootnoteText"/>
        <w:spacing w:after="240"/>
        <w:rPr>
          <w:lang w:val="fr-FR"/>
        </w:rPr>
      </w:pPr>
      <w:r>
        <w:rPr>
          <w:rStyle w:val="FootnoteReference"/>
        </w:rPr>
        <w:footnoteRef/>
      </w:r>
      <w:r>
        <w:rPr>
          <w:lang w:val="fr-FR"/>
        </w:rPr>
        <w:t xml:space="preserve"> Décret suprême </w:t>
      </w:r>
      <w:r>
        <w:rPr>
          <w:rFonts w:eastAsia="MS Mincho"/>
          <w:lang w:val="fr-FR"/>
        </w:rPr>
        <w:t>n</w:t>
      </w:r>
      <w:r>
        <w:rPr>
          <w:rFonts w:eastAsia="MS Mincho"/>
          <w:vertAlign w:val="superscript"/>
          <w:lang w:val="fr-FR"/>
        </w:rPr>
        <w:t>o</w:t>
      </w:r>
      <w:r>
        <w:rPr>
          <w:lang w:val="fr-FR"/>
        </w:rPr>
        <w:t> 23950, chap. VI.</w:t>
      </w:r>
    </w:p>
  </w:footnote>
  <w:footnote w:id="30">
    <w:p w:rsidR="00000000" w:rsidRDefault="00000000">
      <w:pPr>
        <w:pStyle w:val="FootnoteText"/>
        <w:spacing w:after="240"/>
      </w:pPr>
      <w:r>
        <w:rPr>
          <w:rStyle w:val="FootnoteReference"/>
        </w:rPr>
        <w:footnoteRef/>
      </w:r>
      <w:r>
        <w:t xml:space="preserve"> Décret suprême </w:t>
      </w:r>
      <w:r>
        <w:rPr>
          <w:rFonts w:eastAsia="MS Mincho"/>
        </w:rPr>
        <w:t>n</w:t>
      </w:r>
      <w:r>
        <w:rPr>
          <w:rFonts w:eastAsia="MS Mincho"/>
          <w:vertAlign w:val="superscript"/>
        </w:rPr>
        <w:t>o</w:t>
      </w:r>
      <w:r>
        <w:t> 23950, art. 43.</w:t>
      </w:r>
    </w:p>
  </w:footnote>
  <w:footnote w:id="31">
    <w:p w:rsidR="00000000" w:rsidRDefault="00000000">
      <w:pPr>
        <w:pStyle w:val="FootnoteText"/>
        <w:spacing w:after="240"/>
      </w:pPr>
      <w:r>
        <w:rPr>
          <w:rStyle w:val="FootnoteReference"/>
        </w:rPr>
        <w:footnoteRef/>
      </w:r>
      <w:r>
        <w:t xml:space="preserve"> Information figurant dans le document intitulé Projet d’appui à la transformation de l’éducation secondaire (document de travail), première phase 2005</w:t>
      </w:r>
      <w:r>
        <w:noBreakHyphen/>
        <w:t>2008, élaboré par l’équipe du secondaire.</w:t>
      </w:r>
    </w:p>
  </w:footnote>
  <w:footnote w:id="32">
    <w:p w:rsidR="00000000" w:rsidRDefault="00000000">
      <w:pPr>
        <w:pStyle w:val="FootnoteText"/>
        <w:spacing w:after="240"/>
      </w:pPr>
      <w:r>
        <w:rPr>
          <w:rStyle w:val="FootnoteReference"/>
        </w:rPr>
        <w:footnoteRef/>
      </w:r>
      <w:r>
        <w:t xml:space="preserve"> La Convention Andrés Bello a pour vocation d’assurer l’intégration éducative, scientifique, technologique et culturelle de la Bolivie, de la Colombie, du Chili, de Cuba, de l’Équateur, de l’Espagne, du Mexique, du Panama, du Paraguay, du Pérou et du Venezuela.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E/C.12/BOL/2</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80"/>
      </w:tabs>
      <w:rPr>
        <w:lang w:val="de-CH"/>
      </w:rPr>
    </w:pPr>
    <w:r>
      <w:tab/>
    </w:r>
    <w:r>
      <w:rPr>
        <w:lang w:val="de-CH"/>
      </w:rPr>
      <w:t>E/C.12/BOL/2</w:t>
    </w:r>
  </w:p>
  <w:p w:rsidR="00000000" w:rsidRDefault="00000000">
    <w:pPr>
      <w:pStyle w:val="Header"/>
      <w:tabs>
        <w:tab w:val="left" w:pos="7680"/>
      </w:tabs>
    </w:pPr>
    <w:r>
      <w:rPr>
        <w:lang w:val="de-CH"/>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32C6485"/>
    <w:multiLevelType w:val="hybridMultilevel"/>
    <w:tmpl w:val="67D2406C"/>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6726B36"/>
    <w:multiLevelType w:val="hybridMultilevel"/>
    <w:tmpl w:val="6DFA8A96"/>
    <w:lvl w:ilvl="0" w:tplc="69C41442">
      <w:start w:val="1"/>
      <w:numFmt w:val="lowerLetter"/>
      <w:lvlText w:val="%1)"/>
      <w:lvlJc w:val="left"/>
      <w:pPr>
        <w:tabs>
          <w:tab w:val="num" w:pos="462"/>
        </w:tabs>
        <w:ind w:left="462" w:hanging="360"/>
      </w:pPr>
      <w:rPr>
        <w:rFonts w:hint="default"/>
      </w:rPr>
    </w:lvl>
    <w:lvl w:ilvl="1" w:tplc="040C0019" w:tentative="1">
      <w:start w:val="1"/>
      <w:numFmt w:val="lowerLetter"/>
      <w:lvlText w:val="%2."/>
      <w:lvlJc w:val="left"/>
      <w:pPr>
        <w:tabs>
          <w:tab w:val="num" w:pos="1182"/>
        </w:tabs>
        <w:ind w:left="1182" w:hanging="360"/>
      </w:pPr>
    </w:lvl>
    <w:lvl w:ilvl="2" w:tplc="040C001B" w:tentative="1">
      <w:start w:val="1"/>
      <w:numFmt w:val="lowerRoman"/>
      <w:lvlText w:val="%3."/>
      <w:lvlJc w:val="right"/>
      <w:pPr>
        <w:tabs>
          <w:tab w:val="num" w:pos="1902"/>
        </w:tabs>
        <w:ind w:left="1902" w:hanging="180"/>
      </w:pPr>
    </w:lvl>
    <w:lvl w:ilvl="3" w:tplc="040C000F" w:tentative="1">
      <w:start w:val="1"/>
      <w:numFmt w:val="decimal"/>
      <w:lvlText w:val="%4."/>
      <w:lvlJc w:val="left"/>
      <w:pPr>
        <w:tabs>
          <w:tab w:val="num" w:pos="2622"/>
        </w:tabs>
        <w:ind w:left="2622" w:hanging="360"/>
      </w:pPr>
    </w:lvl>
    <w:lvl w:ilvl="4" w:tplc="040C0019" w:tentative="1">
      <w:start w:val="1"/>
      <w:numFmt w:val="lowerLetter"/>
      <w:lvlText w:val="%5."/>
      <w:lvlJc w:val="left"/>
      <w:pPr>
        <w:tabs>
          <w:tab w:val="num" w:pos="3342"/>
        </w:tabs>
        <w:ind w:left="3342" w:hanging="360"/>
      </w:pPr>
    </w:lvl>
    <w:lvl w:ilvl="5" w:tplc="040C001B" w:tentative="1">
      <w:start w:val="1"/>
      <w:numFmt w:val="lowerRoman"/>
      <w:lvlText w:val="%6."/>
      <w:lvlJc w:val="right"/>
      <w:pPr>
        <w:tabs>
          <w:tab w:val="num" w:pos="4062"/>
        </w:tabs>
        <w:ind w:left="4062" w:hanging="180"/>
      </w:pPr>
    </w:lvl>
    <w:lvl w:ilvl="6" w:tplc="040C000F" w:tentative="1">
      <w:start w:val="1"/>
      <w:numFmt w:val="decimal"/>
      <w:lvlText w:val="%7."/>
      <w:lvlJc w:val="left"/>
      <w:pPr>
        <w:tabs>
          <w:tab w:val="num" w:pos="4782"/>
        </w:tabs>
        <w:ind w:left="4782" w:hanging="360"/>
      </w:pPr>
    </w:lvl>
    <w:lvl w:ilvl="7" w:tplc="040C0019" w:tentative="1">
      <w:start w:val="1"/>
      <w:numFmt w:val="lowerLetter"/>
      <w:lvlText w:val="%8."/>
      <w:lvlJc w:val="left"/>
      <w:pPr>
        <w:tabs>
          <w:tab w:val="num" w:pos="5502"/>
        </w:tabs>
        <w:ind w:left="5502" w:hanging="360"/>
      </w:pPr>
    </w:lvl>
    <w:lvl w:ilvl="8" w:tplc="040C001B" w:tentative="1">
      <w:start w:val="1"/>
      <w:numFmt w:val="lowerRoman"/>
      <w:lvlText w:val="%9."/>
      <w:lvlJc w:val="right"/>
      <w:pPr>
        <w:tabs>
          <w:tab w:val="num" w:pos="6222"/>
        </w:tabs>
        <w:ind w:left="6222" w:hanging="180"/>
      </w:pPr>
    </w:lvl>
  </w:abstractNum>
  <w:abstractNum w:abstractNumId="12">
    <w:nsid w:val="07C074B3"/>
    <w:multiLevelType w:val="hybridMultilevel"/>
    <w:tmpl w:val="70D06A86"/>
    <w:lvl w:ilvl="0" w:tplc="C39CDA56">
      <w:start w:val="1"/>
      <w:numFmt w:val="bullet"/>
      <w:lvlText w:val=""/>
      <w:lvlJc w:val="left"/>
      <w:pPr>
        <w:tabs>
          <w:tab w:val="num" w:pos="1701"/>
        </w:tabs>
        <w:ind w:left="1701"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3">
    <w:nsid w:val="0B491AA5"/>
    <w:multiLevelType w:val="hybridMultilevel"/>
    <w:tmpl w:val="E8A45CB0"/>
    <w:lvl w:ilvl="0" w:tplc="68C81D08">
      <w:start w:val="1"/>
      <w:numFmt w:val="bullet"/>
      <w:lvlText w:val=""/>
      <w:lvlJc w:val="left"/>
      <w:pPr>
        <w:tabs>
          <w:tab w:val="num" w:pos="1134"/>
        </w:tabs>
        <w:ind w:left="1134" w:hanging="567"/>
      </w:pPr>
      <w:rPr>
        <w:rFonts w:ascii="Symbol" w:hAnsi="Symbol" w:hint="default"/>
      </w:rPr>
    </w:lvl>
    <w:lvl w:ilvl="1" w:tplc="268A0968">
      <w:start w:val="1"/>
      <w:numFmt w:val="bullet"/>
      <w:lvlText w:val="–"/>
      <w:lvlJc w:val="left"/>
      <w:pPr>
        <w:tabs>
          <w:tab w:val="num" w:pos="1134"/>
        </w:tabs>
        <w:ind w:left="1134"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E7141C8"/>
    <w:multiLevelType w:val="hybridMultilevel"/>
    <w:tmpl w:val="B5285B14"/>
    <w:lvl w:ilvl="0" w:tplc="038EBAA2">
      <w:start w:val="1"/>
      <w:numFmt w:val="bullet"/>
      <w:lvlText w:val=""/>
      <w:lvlJc w:val="left"/>
      <w:pPr>
        <w:tabs>
          <w:tab w:val="num" w:pos="2835"/>
        </w:tabs>
        <w:ind w:left="2835" w:hanging="567"/>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114B1A08"/>
    <w:multiLevelType w:val="hybridMultilevel"/>
    <w:tmpl w:val="F3662C28"/>
    <w:lvl w:ilvl="0" w:tplc="5322B616">
      <w:start w:val="2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24055EF"/>
    <w:multiLevelType w:val="hybridMultilevel"/>
    <w:tmpl w:val="F0627A06"/>
    <w:lvl w:ilvl="0" w:tplc="36E427B0">
      <w:start w:val="1"/>
      <w:numFmt w:val="bullet"/>
      <w:lvlText w:val="–"/>
      <w:lvlJc w:val="left"/>
      <w:pPr>
        <w:tabs>
          <w:tab w:val="num" w:pos="2268"/>
        </w:tabs>
        <w:ind w:left="2268" w:hanging="567"/>
      </w:pPr>
      <w:rPr>
        <w:rFonts w:ascii="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7">
    <w:nsid w:val="13AD7CDD"/>
    <w:multiLevelType w:val="hybridMultilevel"/>
    <w:tmpl w:val="0BBCA688"/>
    <w:lvl w:ilvl="0" w:tplc="8954CB3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3BE1283"/>
    <w:multiLevelType w:val="hybridMultilevel"/>
    <w:tmpl w:val="C6AAE8A8"/>
    <w:lvl w:ilvl="0" w:tplc="038EBA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4040E09"/>
    <w:multiLevelType w:val="hybridMultilevel"/>
    <w:tmpl w:val="4FB6537E"/>
    <w:lvl w:ilvl="0" w:tplc="268A096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52D18BC"/>
    <w:multiLevelType w:val="hybridMultilevel"/>
    <w:tmpl w:val="2BAE19E4"/>
    <w:lvl w:ilvl="0" w:tplc="8954CB3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61438DE"/>
    <w:multiLevelType w:val="hybridMultilevel"/>
    <w:tmpl w:val="EC1A329E"/>
    <w:lvl w:ilvl="0" w:tplc="36E427B0">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2">
    <w:nsid w:val="169F0FDC"/>
    <w:multiLevelType w:val="hybridMultilevel"/>
    <w:tmpl w:val="6DD281C4"/>
    <w:lvl w:ilvl="0" w:tplc="36E427B0">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3">
    <w:nsid w:val="17B77CCA"/>
    <w:multiLevelType w:val="hybridMultilevel"/>
    <w:tmpl w:val="EC1A329E"/>
    <w:lvl w:ilvl="0" w:tplc="36E427B0">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4">
    <w:nsid w:val="1ADE6A15"/>
    <w:multiLevelType w:val="hybridMultilevel"/>
    <w:tmpl w:val="F990D0CA"/>
    <w:lvl w:ilvl="0" w:tplc="759C728C">
      <w:start w:val="1"/>
      <w:numFmt w:val="lowerLetter"/>
      <w:lvlText w:val="%1)"/>
      <w:lvlJc w:val="left"/>
      <w:pPr>
        <w:tabs>
          <w:tab w:val="num" w:pos="960"/>
        </w:tabs>
        <w:ind w:left="960" w:hanging="360"/>
      </w:pPr>
      <w:rPr>
        <w:rFonts w:hint="default"/>
      </w:rPr>
    </w:lvl>
    <w:lvl w:ilvl="1" w:tplc="040C0019" w:tentative="1">
      <w:start w:val="1"/>
      <w:numFmt w:val="lowerLetter"/>
      <w:lvlText w:val="%2."/>
      <w:lvlJc w:val="left"/>
      <w:pPr>
        <w:tabs>
          <w:tab w:val="num" w:pos="1680"/>
        </w:tabs>
        <w:ind w:left="1680" w:hanging="360"/>
      </w:pPr>
    </w:lvl>
    <w:lvl w:ilvl="2" w:tplc="040C001B" w:tentative="1">
      <w:start w:val="1"/>
      <w:numFmt w:val="lowerRoman"/>
      <w:lvlText w:val="%3."/>
      <w:lvlJc w:val="right"/>
      <w:pPr>
        <w:tabs>
          <w:tab w:val="num" w:pos="2400"/>
        </w:tabs>
        <w:ind w:left="2400" w:hanging="180"/>
      </w:pPr>
    </w:lvl>
    <w:lvl w:ilvl="3" w:tplc="040C000F" w:tentative="1">
      <w:start w:val="1"/>
      <w:numFmt w:val="decimal"/>
      <w:lvlText w:val="%4."/>
      <w:lvlJc w:val="left"/>
      <w:pPr>
        <w:tabs>
          <w:tab w:val="num" w:pos="3120"/>
        </w:tabs>
        <w:ind w:left="3120" w:hanging="360"/>
      </w:pPr>
    </w:lvl>
    <w:lvl w:ilvl="4" w:tplc="040C0019" w:tentative="1">
      <w:start w:val="1"/>
      <w:numFmt w:val="lowerLetter"/>
      <w:lvlText w:val="%5."/>
      <w:lvlJc w:val="left"/>
      <w:pPr>
        <w:tabs>
          <w:tab w:val="num" w:pos="3840"/>
        </w:tabs>
        <w:ind w:left="3840" w:hanging="360"/>
      </w:pPr>
    </w:lvl>
    <w:lvl w:ilvl="5" w:tplc="040C001B" w:tentative="1">
      <w:start w:val="1"/>
      <w:numFmt w:val="lowerRoman"/>
      <w:lvlText w:val="%6."/>
      <w:lvlJc w:val="right"/>
      <w:pPr>
        <w:tabs>
          <w:tab w:val="num" w:pos="4560"/>
        </w:tabs>
        <w:ind w:left="4560" w:hanging="180"/>
      </w:pPr>
    </w:lvl>
    <w:lvl w:ilvl="6" w:tplc="040C000F" w:tentative="1">
      <w:start w:val="1"/>
      <w:numFmt w:val="decimal"/>
      <w:lvlText w:val="%7."/>
      <w:lvlJc w:val="left"/>
      <w:pPr>
        <w:tabs>
          <w:tab w:val="num" w:pos="5280"/>
        </w:tabs>
        <w:ind w:left="5280" w:hanging="360"/>
      </w:pPr>
    </w:lvl>
    <w:lvl w:ilvl="7" w:tplc="040C0019" w:tentative="1">
      <w:start w:val="1"/>
      <w:numFmt w:val="lowerLetter"/>
      <w:lvlText w:val="%8."/>
      <w:lvlJc w:val="left"/>
      <w:pPr>
        <w:tabs>
          <w:tab w:val="num" w:pos="6000"/>
        </w:tabs>
        <w:ind w:left="6000" w:hanging="360"/>
      </w:pPr>
    </w:lvl>
    <w:lvl w:ilvl="8" w:tplc="040C001B" w:tentative="1">
      <w:start w:val="1"/>
      <w:numFmt w:val="lowerRoman"/>
      <w:lvlText w:val="%9."/>
      <w:lvlJc w:val="right"/>
      <w:pPr>
        <w:tabs>
          <w:tab w:val="num" w:pos="6720"/>
        </w:tabs>
        <w:ind w:left="6720" w:hanging="180"/>
      </w:pPr>
    </w:lvl>
  </w:abstractNum>
  <w:abstractNum w:abstractNumId="25">
    <w:nsid w:val="265C3E61"/>
    <w:multiLevelType w:val="hybridMultilevel"/>
    <w:tmpl w:val="B45243CE"/>
    <w:lvl w:ilvl="0" w:tplc="E78A2556">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71F185A"/>
    <w:multiLevelType w:val="hybridMultilevel"/>
    <w:tmpl w:val="DA6C0F1A"/>
    <w:lvl w:ilvl="0" w:tplc="8954CB3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2802170F"/>
    <w:multiLevelType w:val="hybridMultilevel"/>
    <w:tmpl w:val="C1F219B0"/>
    <w:lvl w:ilvl="0" w:tplc="07E64246">
      <w:start w:val="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2B3D0838"/>
    <w:multiLevelType w:val="hybridMultilevel"/>
    <w:tmpl w:val="D6A64DCC"/>
    <w:lvl w:ilvl="0" w:tplc="FB58EFA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B3F49C6"/>
    <w:multiLevelType w:val="singleLevel"/>
    <w:tmpl w:val="E3B2C61A"/>
    <w:lvl w:ilvl="0">
      <w:start w:val="1"/>
      <w:numFmt w:val="lowerRoman"/>
      <w:lvlText w:val="%1)"/>
      <w:lvlJc w:val="right"/>
      <w:pPr>
        <w:tabs>
          <w:tab w:val="num" w:pos="927"/>
        </w:tabs>
        <w:ind w:left="567" w:firstLine="0"/>
      </w:pPr>
    </w:lvl>
  </w:abstractNum>
  <w:abstractNum w:abstractNumId="30">
    <w:nsid w:val="2C4C12AD"/>
    <w:multiLevelType w:val="hybridMultilevel"/>
    <w:tmpl w:val="67D2406C"/>
    <w:lvl w:ilvl="0" w:tplc="C39CDA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EBF0409"/>
    <w:multiLevelType w:val="hybridMultilevel"/>
    <w:tmpl w:val="E902B75E"/>
    <w:lvl w:ilvl="0" w:tplc="038EBA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2EDA27BD"/>
    <w:multiLevelType w:val="hybridMultilevel"/>
    <w:tmpl w:val="70D06A86"/>
    <w:lvl w:ilvl="0" w:tplc="C39CDA56">
      <w:start w:val="1"/>
      <w:numFmt w:val="bullet"/>
      <w:lvlText w:val=""/>
      <w:lvlJc w:val="left"/>
      <w:pPr>
        <w:tabs>
          <w:tab w:val="num" w:pos="1701"/>
        </w:tabs>
        <w:ind w:left="1701" w:hanging="567"/>
      </w:pPr>
      <w:rPr>
        <w:rFonts w:ascii="Symbol" w:hAnsi="Symbol" w:hint="default"/>
      </w:rPr>
    </w:lvl>
    <w:lvl w:ilvl="1" w:tplc="040C0003">
      <w:start w:val="1"/>
      <w:numFmt w:val="decimal"/>
      <w:lvlText w:val="%2."/>
      <w:lvlJc w:val="left"/>
      <w:pPr>
        <w:tabs>
          <w:tab w:val="num" w:pos="2007"/>
        </w:tabs>
        <w:ind w:left="2007" w:hanging="360"/>
      </w:pPr>
    </w:lvl>
    <w:lvl w:ilvl="2" w:tplc="040C0005">
      <w:start w:val="1"/>
      <w:numFmt w:val="decimal"/>
      <w:lvlText w:val="%3."/>
      <w:lvlJc w:val="left"/>
      <w:pPr>
        <w:tabs>
          <w:tab w:val="num" w:pos="2727"/>
        </w:tabs>
        <w:ind w:left="2727" w:hanging="360"/>
      </w:pPr>
    </w:lvl>
    <w:lvl w:ilvl="3" w:tplc="040C0001">
      <w:start w:val="1"/>
      <w:numFmt w:val="decimal"/>
      <w:lvlText w:val="%4."/>
      <w:lvlJc w:val="left"/>
      <w:pPr>
        <w:tabs>
          <w:tab w:val="num" w:pos="3447"/>
        </w:tabs>
        <w:ind w:left="3447" w:hanging="360"/>
      </w:pPr>
    </w:lvl>
    <w:lvl w:ilvl="4" w:tplc="040C0003">
      <w:start w:val="1"/>
      <w:numFmt w:val="decimal"/>
      <w:lvlText w:val="%5."/>
      <w:lvlJc w:val="left"/>
      <w:pPr>
        <w:tabs>
          <w:tab w:val="num" w:pos="4167"/>
        </w:tabs>
        <w:ind w:left="4167" w:hanging="360"/>
      </w:pPr>
    </w:lvl>
    <w:lvl w:ilvl="5" w:tplc="040C0005">
      <w:start w:val="1"/>
      <w:numFmt w:val="decimal"/>
      <w:lvlText w:val="%6."/>
      <w:lvlJc w:val="left"/>
      <w:pPr>
        <w:tabs>
          <w:tab w:val="num" w:pos="4887"/>
        </w:tabs>
        <w:ind w:left="4887" w:hanging="360"/>
      </w:pPr>
    </w:lvl>
    <w:lvl w:ilvl="6" w:tplc="040C0001">
      <w:start w:val="1"/>
      <w:numFmt w:val="decimal"/>
      <w:lvlText w:val="%7."/>
      <w:lvlJc w:val="left"/>
      <w:pPr>
        <w:tabs>
          <w:tab w:val="num" w:pos="5607"/>
        </w:tabs>
        <w:ind w:left="5607" w:hanging="360"/>
      </w:pPr>
    </w:lvl>
    <w:lvl w:ilvl="7" w:tplc="040C0003">
      <w:start w:val="1"/>
      <w:numFmt w:val="decimal"/>
      <w:lvlText w:val="%8."/>
      <w:lvlJc w:val="left"/>
      <w:pPr>
        <w:tabs>
          <w:tab w:val="num" w:pos="6327"/>
        </w:tabs>
        <w:ind w:left="6327" w:hanging="360"/>
      </w:pPr>
    </w:lvl>
    <w:lvl w:ilvl="8" w:tplc="040C0005">
      <w:start w:val="1"/>
      <w:numFmt w:val="decimal"/>
      <w:lvlText w:val="%9."/>
      <w:lvlJc w:val="left"/>
      <w:pPr>
        <w:tabs>
          <w:tab w:val="num" w:pos="7047"/>
        </w:tabs>
        <w:ind w:left="7047" w:hanging="360"/>
      </w:pPr>
    </w:lvl>
  </w:abstractNum>
  <w:abstractNum w:abstractNumId="33">
    <w:nsid w:val="302F3667"/>
    <w:multiLevelType w:val="hybridMultilevel"/>
    <w:tmpl w:val="ED520652"/>
    <w:lvl w:ilvl="0" w:tplc="7BBE9170">
      <w:start w:val="24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32511A9D"/>
    <w:multiLevelType w:val="hybridMultilevel"/>
    <w:tmpl w:val="41DC1882"/>
    <w:lvl w:ilvl="0" w:tplc="36E427B0">
      <w:start w:val="1"/>
      <w:numFmt w:val="bullet"/>
      <w:lvlText w:val="–"/>
      <w:lvlJc w:val="left"/>
      <w:pPr>
        <w:tabs>
          <w:tab w:val="num" w:pos="2835"/>
        </w:tabs>
        <w:ind w:left="2835" w:hanging="567"/>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040C0005">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5">
    <w:nsid w:val="328B4887"/>
    <w:multiLevelType w:val="hybridMultilevel"/>
    <w:tmpl w:val="6DD281C4"/>
    <w:lvl w:ilvl="0" w:tplc="C39CDA5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6">
    <w:nsid w:val="35BC18EA"/>
    <w:multiLevelType w:val="hybridMultilevel"/>
    <w:tmpl w:val="67D2406C"/>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372D082E"/>
    <w:multiLevelType w:val="hybridMultilevel"/>
    <w:tmpl w:val="BC5EF8E6"/>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38FC49DB"/>
    <w:multiLevelType w:val="hybridMultilevel"/>
    <w:tmpl w:val="4C9A2620"/>
    <w:lvl w:ilvl="0" w:tplc="A6128840">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39256E64"/>
    <w:multiLevelType w:val="hybridMultilevel"/>
    <w:tmpl w:val="2BAE19E4"/>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40">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41">
    <w:nsid w:val="3F2355C7"/>
    <w:multiLevelType w:val="hybridMultilevel"/>
    <w:tmpl w:val="70D06A86"/>
    <w:lvl w:ilvl="0" w:tplc="36E427B0">
      <w:start w:val="1"/>
      <w:numFmt w:val="bullet"/>
      <w:lvlText w:val="–"/>
      <w:lvlJc w:val="left"/>
      <w:pPr>
        <w:tabs>
          <w:tab w:val="num" w:pos="2268"/>
        </w:tabs>
        <w:ind w:left="2268" w:hanging="567"/>
      </w:pPr>
      <w:rPr>
        <w:rFonts w:ascii="Times New Roman" w:hAnsi="Times New Roman" w:cs="Times New Roman" w:hint="default"/>
      </w:rPr>
    </w:lvl>
    <w:lvl w:ilvl="1" w:tplc="040C0003">
      <w:start w:val="1"/>
      <w:numFmt w:val="decimal"/>
      <w:lvlText w:val="%2."/>
      <w:lvlJc w:val="left"/>
      <w:pPr>
        <w:tabs>
          <w:tab w:val="num" w:pos="2211"/>
        </w:tabs>
        <w:ind w:left="2211" w:hanging="360"/>
      </w:pPr>
    </w:lvl>
    <w:lvl w:ilvl="2" w:tplc="040C0005">
      <w:start w:val="1"/>
      <w:numFmt w:val="decimal"/>
      <w:lvlText w:val="%3."/>
      <w:lvlJc w:val="left"/>
      <w:pPr>
        <w:tabs>
          <w:tab w:val="num" w:pos="2931"/>
        </w:tabs>
        <w:ind w:left="2931" w:hanging="360"/>
      </w:pPr>
    </w:lvl>
    <w:lvl w:ilvl="3" w:tplc="040C0001">
      <w:start w:val="1"/>
      <w:numFmt w:val="decimal"/>
      <w:lvlText w:val="%4."/>
      <w:lvlJc w:val="left"/>
      <w:pPr>
        <w:tabs>
          <w:tab w:val="num" w:pos="3651"/>
        </w:tabs>
        <w:ind w:left="3651" w:hanging="360"/>
      </w:pPr>
    </w:lvl>
    <w:lvl w:ilvl="4" w:tplc="040C0003">
      <w:start w:val="1"/>
      <w:numFmt w:val="decimal"/>
      <w:lvlText w:val="%5."/>
      <w:lvlJc w:val="left"/>
      <w:pPr>
        <w:tabs>
          <w:tab w:val="num" w:pos="4371"/>
        </w:tabs>
        <w:ind w:left="4371" w:hanging="360"/>
      </w:pPr>
    </w:lvl>
    <w:lvl w:ilvl="5" w:tplc="040C0005">
      <w:start w:val="1"/>
      <w:numFmt w:val="decimal"/>
      <w:lvlText w:val="%6."/>
      <w:lvlJc w:val="left"/>
      <w:pPr>
        <w:tabs>
          <w:tab w:val="num" w:pos="5091"/>
        </w:tabs>
        <w:ind w:left="5091" w:hanging="360"/>
      </w:pPr>
    </w:lvl>
    <w:lvl w:ilvl="6" w:tplc="040C0001">
      <w:start w:val="1"/>
      <w:numFmt w:val="decimal"/>
      <w:lvlText w:val="%7."/>
      <w:lvlJc w:val="left"/>
      <w:pPr>
        <w:tabs>
          <w:tab w:val="num" w:pos="5811"/>
        </w:tabs>
        <w:ind w:left="5811" w:hanging="360"/>
      </w:pPr>
    </w:lvl>
    <w:lvl w:ilvl="7" w:tplc="040C0003">
      <w:start w:val="1"/>
      <w:numFmt w:val="decimal"/>
      <w:lvlText w:val="%8."/>
      <w:lvlJc w:val="left"/>
      <w:pPr>
        <w:tabs>
          <w:tab w:val="num" w:pos="6531"/>
        </w:tabs>
        <w:ind w:left="6531" w:hanging="360"/>
      </w:pPr>
    </w:lvl>
    <w:lvl w:ilvl="8" w:tplc="040C0005">
      <w:start w:val="1"/>
      <w:numFmt w:val="decimal"/>
      <w:lvlText w:val="%9."/>
      <w:lvlJc w:val="left"/>
      <w:pPr>
        <w:tabs>
          <w:tab w:val="num" w:pos="7251"/>
        </w:tabs>
        <w:ind w:left="7251" w:hanging="360"/>
      </w:pPr>
    </w:lvl>
  </w:abstractNum>
  <w:abstractNum w:abstractNumId="42">
    <w:nsid w:val="407347CB"/>
    <w:multiLevelType w:val="hybridMultilevel"/>
    <w:tmpl w:val="4C9A2620"/>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40E5484E"/>
    <w:multiLevelType w:val="hybridMultilevel"/>
    <w:tmpl w:val="3174A8F0"/>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4">
    <w:nsid w:val="44A820F8"/>
    <w:multiLevelType w:val="hybridMultilevel"/>
    <w:tmpl w:val="D94E15A4"/>
    <w:lvl w:ilvl="0" w:tplc="0DD4C980">
      <w:start w:val="10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46416B07"/>
    <w:multiLevelType w:val="hybridMultilevel"/>
    <w:tmpl w:val="2BAE19E4"/>
    <w:lvl w:ilvl="0" w:tplc="C39CDA5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46">
    <w:nsid w:val="47CE5E4C"/>
    <w:multiLevelType w:val="hybridMultilevel"/>
    <w:tmpl w:val="AC7ED97A"/>
    <w:lvl w:ilvl="0" w:tplc="68C81D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4A89328D"/>
    <w:multiLevelType w:val="hybridMultilevel"/>
    <w:tmpl w:val="509E394C"/>
    <w:lvl w:ilvl="0" w:tplc="EF7CF31E">
      <w:start w:val="117"/>
      <w:numFmt w:val="bullet"/>
      <w:lvlText w:val="-"/>
      <w:lvlJc w:val="left"/>
      <w:pPr>
        <w:tabs>
          <w:tab w:val="num" w:pos="1182"/>
        </w:tabs>
        <w:ind w:left="1182" w:hanging="360"/>
      </w:pPr>
      <w:rPr>
        <w:rFonts w:ascii="Arial" w:eastAsia="Times New Roman" w:hAnsi="Arial" w:cs="Arial" w:hint="default"/>
      </w:rPr>
    </w:lvl>
    <w:lvl w:ilvl="1" w:tplc="040C0003" w:tentative="1">
      <w:start w:val="1"/>
      <w:numFmt w:val="bullet"/>
      <w:lvlText w:val="o"/>
      <w:lvlJc w:val="left"/>
      <w:pPr>
        <w:tabs>
          <w:tab w:val="num" w:pos="1902"/>
        </w:tabs>
        <w:ind w:left="1902" w:hanging="360"/>
      </w:pPr>
      <w:rPr>
        <w:rFonts w:ascii="Courier New" w:hAnsi="Courier New" w:hint="default"/>
      </w:rPr>
    </w:lvl>
    <w:lvl w:ilvl="2" w:tplc="040C0005" w:tentative="1">
      <w:start w:val="1"/>
      <w:numFmt w:val="bullet"/>
      <w:lvlText w:val=""/>
      <w:lvlJc w:val="left"/>
      <w:pPr>
        <w:tabs>
          <w:tab w:val="num" w:pos="2622"/>
        </w:tabs>
        <w:ind w:left="2622" w:hanging="360"/>
      </w:pPr>
      <w:rPr>
        <w:rFonts w:ascii="Wingdings" w:hAnsi="Wingdings" w:hint="default"/>
      </w:rPr>
    </w:lvl>
    <w:lvl w:ilvl="3" w:tplc="040C0001" w:tentative="1">
      <w:start w:val="1"/>
      <w:numFmt w:val="bullet"/>
      <w:lvlText w:val=""/>
      <w:lvlJc w:val="left"/>
      <w:pPr>
        <w:tabs>
          <w:tab w:val="num" w:pos="3342"/>
        </w:tabs>
        <w:ind w:left="3342" w:hanging="360"/>
      </w:pPr>
      <w:rPr>
        <w:rFonts w:ascii="Symbol" w:hAnsi="Symbol" w:hint="default"/>
      </w:rPr>
    </w:lvl>
    <w:lvl w:ilvl="4" w:tplc="040C0003" w:tentative="1">
      <w:start w:val="1"/>
      <w:numFmt w:val="bullet"/>
      <w:lvlText w:val="o"/>
      <w:lvlJc w:val="left"/>
      <w:pPr>
        <w:tabs>
          <w:tab w:val="num" w:pos="4062"/>
        </w:tabs>
        <w:ind w:left="4062" w:hanging="360"/>
      </w:pPr>
      <w:rPr>
        <w:rFonts w:ascii="Courier New" w:hAnsi="Courier New" w:hint="default"/>
      </w:rPr>
    </w:lvl>
    <w:lvl w:ilvl="5" w:tplc="040C0005" w:tentative="1">
      <w:start w:val="1"/>
      <w:numFmt w:val="bullet"/>
      <w:lvlText w:val=""/>
      <w:lvlJc w:val="left"/>
      <w:pPr>
        <w:tabs>
          <w:tab w:val="num" w:pos="4782"/>
        </w:tabs>
        <w:ind w:left="4782" w:hanging="360"/>
      </w:pPr>
      <w:rPr>
        <w:rFonts w:ascii="Wingdings" w:hAnsi="Wingdings" w:hint="default"/>
      </w:rPr>
    </w:lvl>
    <w:lvl w:ilvl="6" w:tplc="040C0001" w:tentative="1">
      <w:start w:val="1"/>
      <w:numFmt w:val="bullet"/>
      <w:lvlText w:val=""/>
      <w:lvlJc w:val="left"/>
      <w:pPr>
        <w:tabs>
          <w:tab w:val="num" w:pos="5502"/>
        </w:tabs>
        <w:ind w:left="5502" w:hanging="360"/>
      </w:pPr>
      <w:rPr>
        <w:rFonts w:ascii="Symbol" w:hAnsi="Symbol" w:hint="default"/>
      </w:rPr>
    </w:lvl>
    <w:lvl w:ilvl="7" w:tplc="040C0003" w:tentative="1">
      <w:start w:val="1"/>
      <w:numFmt w:val="bullet"/>
      <w:lvlText w:val="o"/>
      <w:lvlJc w:val="left"/>
      <w:pPr>
        <w:tabs>
          <w:tab w:val="num" w:pos="6222"/>
        </w:tabs>
        <w:ind w:left="6222" w:hanging="360"/>
      </w:pPr>
      <w:rPr>
        <w:rFonts w:ascii="Courier New" w:hAnsi="Courier New" w:hint="default"/>
      </w:rPr>
    </w:lvl>
    <w:lvl w:ilvl="8" w:tplc="040C0005" w:tentative="1">
      <w:start w:val="1"/>
      <w:numFmt w:val="bullet"/>
      <w:lvlText w:val=""/>
      <w:lvlJc w:val="left"/>
      <w:pPr>
        <w:tabs>
          <w:tab w:val="num" w:pos="6942"/>
        </w:tabs>
        <w:ind w:left="6942" w:hanging="360"/>
      </w:pPr>
      <w:rPr>
        <w:rFonts w:ascii="Wingdings" w:hAnsi="Wingdings" w:hint="default"/>
      </w:rPr>
    </w:lvl>
  </w:abstractNum>
  <w:abstractNum w:abstractNumId="48">
    <w:nsid w:val="4C01189C"/>
    <w:multiLevelType w:val="hybridMultilevel"/>
    <w:tmpl w:val="F0627A06"/>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49">
    <w:nsid w:val="4CDB42C8"/>
    <w:multiLevelType w:val="hybridMultilevel"/>
    <w:tmpl w:val="634CE4FA"/>
    <w:lvl w:ilvl="0" w:tplc="8954CB3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4D365B5E"/>
    <w:multiLevelType w:val="hybridMultilevel"/>
    <w:tmpl w:val="BC5EF8E6"/>
    <w:lvl w:ilvl="0" w:tplc="038EBA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4D822B63"/>
    <w:multiLevelType w:val="hybridMultilevel"/>
    <w:tmpl w:val="70D06A86"/>
    <w:lvl w:ilvl="0" w:tplc="165885DC">
      <w:start w:val="1"/>
      <w:numFmt w:val="bullet"/>
      <w:lvlText w:val=""/>
      <w:lvlJc w:val="left"/>
      <w:pPr>
        <w:tabs>
          <w:tab w:val="num" w:pos="1290"/>
        </w:tabs>
        <w:ind w:left="129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2">
    <w:nsid w:val="4E4C0D9C"/>
    <w:multiLevelType w:val="hybridMultilevel"/>
    <w:tmpl w:val="7444DDEE"/>
    <w:lvl w:ilvl="0" w:tplc="8954CB3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4EB0724B"/>
    <w:multiLevelType w:val="hybridMultilevel"/>
    <w:tmpl w:val="70D06A86"/>
    <w:lvl w:ilvl="0" w:tplc="53403A9A">
      <w:start w:val="1"/>
      <w:numFmt w:val="bullet"/>
      <w:lvlText w:val=""/>
      <w:lvlJc w:val="left"/>
      <w:pPr>
        <w:tabs>
          <w:tab w:val="num" w:pos="1134"/>
        </w:tabs>
        <w:ind w:left="1134" w:hanging="567"/>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4">
    <w:nsid w:val="4F1F1930"/>
    <w:multiLevelType w:val="hybridMultilevel"/>
    <w:tmpl w:val="EC1A329E"/>
    <w:lvl w:ilvl="0" w:tplc="C39CDA5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6">
    <w:nsid w:val="507563D6"/>
    <w:multiLevelType w:val="hybridMultilevel"/>
    <w:tmpl w:val="AC7ED97A"/>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56927134"/>
    <w:multiLevelType w:val="hybridMultilevel"/>
    <w:tmpl w:val="073270AA"/>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57B33CE4"/>
    <w:multiLevelType w:val="hybridMultilevel"/>
    <w:tmpl w:val="85743138"/>
    <w:lvl w:ilvl="0" w:tplc="0D68918E">
      <w:start w:val="1"/>
      <w:numFmt w:val="bullet"/>
      <w:lvlText w:val=""/>
      <w:lvlJc w:val="left"/>
      <w:pPr>
        <w:tabs>
          <w:tab w:val="num" w:pos="927"/>
        </w:tabs>
        <w:ind w:left="851" w:hanging="284"/>
      </w:pPr>
      <w:rPr>
        <w:rFonts w:ascii="Symbol" w:hAnsi="Symbol" w:hint="default"/>
        <w:color w:val="auto"/>
      </w:rPr>
    </w:lvl>
    <w:lvl w:ilvl="1" w:tplc="040C0003">
      <w:start w:val="1"/>
      <w:numFmt w:val="decimal"/>
      <w:lvlText w:val="%2."/>
      <w:lvlJc w:val="left"/>
      <w:pPr>
        <w:tabs>
          <w:tab w:val="num" w:pos="2007"/>
        </w:tabs>
        <w:ind w:left="2007" w:hanging="360"/>
      </w:pPr>
    </w:lvl>
    <w:lvl w:ilvl="2" w:tplc="040C0005">
      <w:start w:val="1"/>
      <w:numFmt w:val="decimal"/>
      <w:lvlText w:val="%3."/>
      <w:lvlJc w:val="left"/>
      <w:pPr>
        <w:tabs>
          <w:tab w:val="num" w:pos="2727"/>
        </w:tabs>
        <w:ind w:left="2727" w:hanging="360"/>
      </w:pPr>
    </w:lvl>
    <w:lvl w:ilvl="3" w:tplc="040C0001">
      <w:start w:val="1"/>
      <w:numFmt w:val="decimal"/>
      <w:lvlText w:val="%4."/>
      <w:lvlJc w:val="left"/>
      <w:pPr>
        <w:tabs>
          <w:tab w:val="num" w:pos="3447"/>
        </w:tabs>
        <w:ind w:left="3447" w:hanging="360"/>
      </w:pPr>
    </w:lvl>
    <w:lvl w:ilvl="4" w:tplc="040C0003">
      <w:start w:val="1"/>
      <w:numFmt w:val="decimal"/>
      <w:lvlText w:val="%5."/>
      <w:lvlJc w:val="left"/>
      <w:pPr>
        <w:tabs>
          <w:tab w:val="num" w:pos="4167"/>
        </w:tabs>
        <w:ind w:left="4167" w:hanging="360"/>
      </w:pPr>
    </w:lvl>
    <w:lvl w:ilvl="5" w:tplc="040C0005">
      <w:start w:val="1"/>
      <w:numFmt w:val="decimal"/>
      <w:lvlText w:val="%6."/>
      <w:lvlJc w:val="left"/>
      <w:pPr>
        <w:tabs>
          <w:tab w:val="num" w:pos="4887"/>
        </w:tabs>
        <w:ind w:left="4887" w:hanging="360"/>
      </w:pPr>
    </w:lvl>
    <w:lvl w:ilvl="6" w:tplc="040C0001">
      <w:start w:val="1"/>
      <w:numFmt w:val="decimal"/>
      <w:lvlText w:val="%7."/>
      <w:lvlJc w:val="left"/>
      <w:pPr>
        <w:tabs>
          <w:tab w:val="num" w:pos="5607"/>
        </w:tabs>
        <w:ind w:left="5607" w:hanging="360"/>
      </w:pPr>
    </w:lvl>
    <w:lvl w:ilvl="7" w:tplc="040C0003">
      <w:start w:val="1"/>
      <w:numFmt w:val="decimal"/>
      <w:lvlText w:val="%8."/>
      <w:lvlJc w:val="left"/>
      <w:pPr>
        <w:tabs>
          <w:tab w:val="num" w:pos="6327"/>
        </w:tabs>
        <w:ind w:left="6327" w:hanging="360"/>
      </w:pPr>
    </w:lvl>
    <w:lvl w:ilvl="8" w:tplc="040C0005">
      <w:start w:val="1"/>
      <w:numFmt w:val="decimal"/>
      <w:lvlText w:val="%9."/>
      <w:lvlJc w:val="left"/>
      <w:pPr>
        <w:tabs>
          <w:tab w:val="num" w:pos="7047"/>
        </w:tabs>
        <w:ind w:left="7047" w:hanging="360"/>
      </w:pPr>
    </w:lvl>
  </w:abstractNum>
  <w:abstractNum w:abstractNumId="59">
    <w:nsid w:val="5A954926"/>
    <w:multiLevelType w:val="hybridMultilevel"/>
    <w:tmpl w:val="70D06A86"/>
    <w:lvl w:ilvl="0" w:tplc="36E427B0">
      <w:start w:val="1"/>
      <w:numFmt w:val="bullet"/>
      <w:lvlText w:val="–"/>
      <w:lvlJc w:val="left"/>
      <w:pPr>
        <w:tabs>
          <w:tab w:val="num" w:pos="1701"/>
        </w:tabs>
        <w:ind w:left="1701" w:hanging="567"/>
      </w:pPr>
      <w:rPr>
        <w:rFonts w:ascii="Times New Roman" w:hAnsi="Times New Roman" w:cs="Times New Roman" w:hint="default"/>
      </w:rPr>
    </w:lvl>
    <w:lvl w:ilvl="1" w:tplc="040C0003">
      <w:start w:val="1"/>
      <w:numFmt w:val="decimal"/>
      <w:lvlText w:val="%2."/>
      <w:lvlJc w:val="left"/>
      <w:pPr>
        <w:tabs>
          <w:tab w:val="num" w:pos="2007"/>
        </w:tabs>
        <w:ind w:left="2007" w:hanging="360"/>
      </w:pPr>
    </w:lvl>
    <w:lvl w:ilvl="2" w:tplc="040C0005">
      <w:start w:val="1"/>
      <w:numFmt w:val="decimal"/>
      <w:lvlText w:val="%3."/>
      <w:lvlJc w:val="left"/>
      <w:pPr>
        <w:tabs>
          <w:tab w:val="num" w:pos="2727"/>
        </w:tabs>
        <w:ind w:left="2727" w:hanging="360"/>
      </w:pPr>
    </w:lvl>
    <w:lvl w:ilvl="3" w:tplc="040C0001">
      <w:start w:val="1"/>
      <w:numFmt w:val="decimal"/>
      <w:lvlText w:val="%4."/>
      <w:lvlJc w:val="left"/>
      <w:pPr>
        <w:tabs>
          <w:tab w:val="num" w:pos="3447"/>
        </w:tabs>
        <w:ind w:left="3447" w:hanging="360"/>
      </w:pPr>
    </w:lvl>
    <w:lvl w:ilvl="4" w:tplc="040C0003">
      <w:start w:val="1"/>
      <w:numFmt w:val="decimal"/>
      <w:lvlText w:val="%5."/>
      <w:lvlJc w:val="left"/>
      <w:pPr>
        <w:tabs>
          <w:tab w:val="num" w:pos="4167"/>
        </w:tabs>
        <w:ind w:left="4167" w:hanging="360"/>
      </w:pPr>
    </w:lvl>
    <w:lvl w:ilvl="5" w:tplc="040C0005">
      <w:start w:val="1"/>
      <w:numFmt w:val="decimal"/>
      <w:lvlText w:val="%6."/>
      <w:lvlJc w:val="left"/>
      <w:pPr>
        <w:tabs>
          <w:tab w:val="num" w:pos="4887"/>
        </w:tabs>
        <w:ind w:left="4887" w:hanging="360"/>
      </w:pPr>
    </w:lvl>
    <w:lvl w:ilvl="6" w:tplc="040C0001">
      <w:start w:val="1"/>
      <w:numFmt w:val="decimal"/>
      <w:lvlText w:val="%7."/>
      <w:lvlJc w:val="left"/>
      <w:pPr>
        <w:tabs>
          <w:tab w:val="num" w:pos="5607"/>
        </w:tabs>
        <w:ind w:left="5607" w:hanging="360"/>
      </w:pPr>
    </w:lvl>
    <w:lvl w:ilvl="7" w:tplc="040C0003">
      <w:start w:val="1"/>
      <w:numFmt w:val="decimal"/>
      <w:lvlText w:val="%8."/>
      <w:lvlJc w:val="left"/>
      <w:pPr>
        <w:tabs>
          <w:tab w:val="num" w:pos="6327"/>
        </w:tabs>
        <w:ind w:left="6327" w:hanging="360"/>
      </w:pPr>
    </w:lvl>
    <w:lvl w:ilvl="8" w:tplc="040C0005">
      <w:start w:val="1"/>
      <w:numFmt w:val="decimal"/>
      <w:lvlText w:val="%9."/>
      <w:lvlJc w:val="left"/>
      <w:pPr>
        <w:tabs>
          <w:tab w:val="num" w:pos="7047"/>
        </w:tabs>
        <w:ind w:left="7047" w:hanging="360"/>
      </w:pPr>
    </w:lvl>
  </w:abstractNum>
  <w:abstractNum w:abstractNumId="60">
    <w:nsid w:val="5BE36AFB"/>
    <w:multiLevelType w:val="hybridMultilevel"/>
    <w:tmpl w:val="013E21DE"/>
    <w:lvl w:ilvl="0" w:tplc="FA146F78">
      <w:start w:val="1"/>
      <w:numFmt w:val="bullet"/>
      <w:lvlText w:val=""/>
      <w:lvlJc w:val="left"/>
      <w:pPr>
        <w:tabs>
          <w:tab w:val="num" w:pos="1134"/>
        </w:tabs>
        <w:ind w:left="1134" w:hanging="567"/>
      </w:pPr>
      <w:rPr>
        <w:rFonts w:ascii="Symbol" w:hAnsi="Symbol" w:hint="default"/>
        <w:sz w:val="22"/>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5C684D4D"/>
    <w:multiLevelType w:val="hybridMultilevel"/>
    <w:tmpl w:val="2BAE19E4"/>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62">
    <w:nsid w:val="5CD47C5D"/>
    <w:multiLevelType w:val="hybridMultilevel"/>
    <w:tmpl w:val="41DC1882"/>
    <w:lvl w:ilvl="0" w:tplc="36E427B0">
      <w:start w:val="1"/>
      <w:numFmt w:val="bullet"/>
      <w:lvlText w:val="–"/>
      <w:lvlJc w:val="left"/>
      <w:pPr>
        <w:tabs>
          <w:tab w:val="num" w:pos="2268"/>
        </w:tabs>
        <w:ind w:left="2268" w:hanging="567"/>
      </w:pPr>
      <w:rPr>
        <w:rFonts w:ascii="Times New Roman" w:hAnsi="Times New Roman" w:cs="Times New Roman" w:hint="default"/>
      </w:rPr>
    </w:lvl>
    <w:lvl w:ilvl="1" w:tplc="040C0003">
      <w:start w:val="1"/>
      <w:numFmt w:val="bullet"/>
      <w:lvlText w:val="o"/>
      <w:lvlJc w:val="left"/>
      <w:pPr>
        <w:tabs>
          <w:tab w:val="num" w:pos="2007"/>
        </w:tabs>
        <w:ind w:left="2007" w:hanging="360"/>
      </w:pPr>
      <w:rPr>
        <w:rFonts w:ascii="Courier New" w:hAnsi="Courier New" w:hint="default"/>
      </w:rPr>
    </w:lvl>
    <w:lvl w:ilvl="2" w:tplc="36E427B0">
      <w:start w:val="1"/>
      <w:numFmt w:val="bullet"/>
      <w:lvlText w:val="–"/>
      <w:lvlJc w:val="left"/>
      <w:pPr>
        <w:tabs>
          <w:tab w:val="num" w:pos="2934"/>
        </w:tabs>
        <w:ind w:left="2934" w:hanging="567"/>
      </w:pPr>
      <w:rPr>
        <w:rFonts w:ascii="Times New Roman" w:hAnsi="Times New Roman" w:cs="Times New Roman"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3">
    <w:nsid w:val="653D109F"/>
    <w:multiLevelType w:val="hybridMultilevel"/>
    <w:tmpl w:val="D406606C"/>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64">
    <w:nsid w:val="65C047D5"/>
    <w:multiLevelType w:val="hybridMultilevel"/>
    <w:tmpl w:val="D2E6661E"/>
    <w:lvl w:ilvl="0" w:tplc="8954CB3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6684158A"/>
    <w:multiLevelType w:val="hybridMultilevel"/>
    <w:tmpl w:val="013E21DE"/>
    <w:lvl w:ilvl="0" w:tplc="9F70209E">
      <w:start w:val="1"/>
      <w:numFmt w:val="bullet"/>
      <w:lvlText w:val=""/>
      <w:lvlJc w:val="left"/>
      <w:pPr>
        <w:tabs>
          <w:tab w:val="num" w:pos="1134"/>
        </w:tabs>
        <w:ind w:left="1134" w:hanging="567"/>
      </w:pPr>
      <w:rPr>
        <w:rFonts w:ascii="Symbol" w:hAnsi="Symbol" w:hint="default"/>
        <w:sz w:val="22"/>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68554FA7"/>
    <w:multiLevelType w:val="hybridMultilevel"/>
    <w:tmpl w:val="073270AA"/>
    <w:lvl w:ilvl="0" w:tplc="A442E3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6B055A81"/>
    <w:multiLevelType w:val="hybridMultilevel"/>
    <w:tmpl w:val="70D06A86"/>
    <w:lvl w:ilvl="0" w:tplc="EB8263B0">
      <w:start w:val="1"/>
      <w:numFmt w:val="bullet"/>
      <w:lvlText w:val=""/>
      <w:lvlJc w:val="left"/>
      <w:pPr>
        <w:tabs>
          <w:tab w:val="num" w:pos="1701"/>
        </w:tabs>
        <w:ind w:left="1701" w:hanging="567"/>
      </w:pPr>
      <w:rPr>
        <w:rFonts w:ascii="Symbol" w:hAnsi="Symbol" w:hint="default"/>
        <w:color w:val="auto"/>
      </w:rPr>
    </w:lvl>
    <w:lvl w:ilvl="1" w:tplc="040C0003">
      <w:start w:val="1"/>
      <w:numFmt w:val="decimal"/>
      <w:lvlText w:val="%2."/>
      <w:lvlJc w:val="left"/>
      <w:pPr>
        <w:tabs>
          <w:tab w:val="num" w:pos="1644"/>
        </w:tabs>
        <w:ind w:left="1644" w:hanging="360"/>
      </w:pPr>
    </w:lvl>
    <w:lvl w:ilvl="2" w:tplc="040C0005">
      <w:start w:val="1"/>
      <w:numFmt w:val="decimal"/>
      <w:lvlText w:val="%3."/>
      <w:lvlJc w:val="left"/>
      <w:pPr>
        <w:tabs>
          <w:tab w:val="num" w:pos="2364"/>
        </w:tabs>
        <w:ind w:left="2364" w:hanging="360"/>
      </w:pPr>
    </w:lvl>
    <w:lvl w:ilvl="3" w:tplc="040C0001">
      <w:start w:val="1"/>
      <w:numFmt w:val="decimal"/>
      <w:lvlText w:val="%4."/>
      <w:lvlJc w:val="left"/>
      <w:pPr>
        <w:tabs>
          <w:tab w:val="num" w:pos="3084"/>
        </w:tabs>
        <w:ind w:left="3084" w:hanging="360"/>
      </w:pPr>
    </w:lvl>
    <w:lvl w:ilvl="4" w:tplc="040C0003">
      <w:start w:val="1"/>
      <w:numFmt w:val="decimal"/>
      <w:lvlText w:val="%5."/>
      <w:lvlJc w:val="left"/>
      <w:pPr>
        <w:tabs>
          <w:tab w:val="num" w:pos="3804"/>
        </w:tabs>
        <w:ind w:left="3804" w:hanging="360"/>
      </w:pPr>
    </w:lvl>
    <w:lvl w:ilvl="5" w:tplc="040C0005">
      <w:start w:val="1"/>
      <w:numFmt w:val="decimal"/>
      <w:lvlText w:val="%6."/>
      <w:lvlJc w:val="left"/>
      <w:pPr>
        <w:tabs>
          <w:tab w:val="num" w:pos="4524"/>
        </w:tabs>
        <w:ind w:left="4524" w:hanging="360"/>
      </w:pPr>
    </w:lvl>
    <w:lvl w:ilvl="6" w:tplc="040C0001">
      <w:start w:val="1"/>
      <w:numFmt w:val="decimal"/>
      <w:lvlText w:val="%7."/>
      <w:lvlJc w:val="left"/>
      <w:pPr>
        <w:tabs>
          <w:tab w:val="num" w:pos="5244"/>
        </w:tabs>
        <w:ind w:left="5244" w:hanging="360"/>
      </w:pPr>
    </w:lvl>
    <w:lvl w:ilvl="7" w:tplc="040C0003">
      <w:start w:val="1"/>
      <w:numFmt w:val="decimal"/>
      <w:lvlText w:val="%8."/>
      <w:lvlJc w:val="left"/>
      <w:pPr>
        <w:tabs>
          <w:tab w:val="num" w:pos="5964"/>
        </w:tabs>
        <w:ind w:left="5964" w:hanging="360"/>
      </w:pPr>
    </w:lvl>
    <w:lvl w:ilvl="8" w:tplc="040C0005">
      <w:start w:val="1"/>
      <w:numFmt w:val="decimal"/>
      <w:lvlText w:val="%9."/>
      <w:lvlJc w:val="left"/>
      <w:pPr>
        <w:tabs>
          <w:tab w:val="num" w:pos="6684"/>
        </w:tabs>
        <w:ind w:left="6684" w:hanging="360"/>
      </w:pPr>
    </w:lvl>
  </w:abstractNum>
  <w:abstractNum w:abstractNumId="68">
    <w:nsid w:val="6D164392"/>
    <w:multiLevelType w:val="hybridMultilevel"/>
    <w:tmpl w:val="67D2406C"/>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6E963566"/>
    <w:multiLevelType w:val="hybridMultilevel"/>
    <w:tmpl w:val="B5285B14"/>
    <w:lvl w:ilvl="0" w:tplc="36E427B0">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0">
    <w:nsid w:val="7090250E"/>
    <w:multiLevelType w:val="hybridMultilevel"/>
    <w:tmpl w:val="E902B75E"/>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71">
    <w:nsid w:val="71DE2E9E"/>
    <w:multiLevelType w:val="hybridMultilevel"/>
    <w:tmpl w:val="BA8624D4"/>
    <w:lvl w:ilvl="0" w:tplc="354CFFB0">
      <w:start w:val="1"/>
      <w:numFmt w:val="lowerLetter"/>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72">
    <w:nsid w:val="73F838F8"/>
    <w:multiLevelType w:val="hybridMultilevel"/>
    <w:tmpl w:val="966ACF9C"/>
    <w:lvl w:ilvl="0" w:tplc="4A70F88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75DC434D"/>
    <w:multiLevelType w:val="hybridMultilevel"/>
    <w:tmpl w:val="306866E6"/>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74">
    <w:nsid w:val="768D401E"/>
    <w:multiLevelType w:val="hybridMultilevel"/>
    <w:tmpl w:val="67D2406C"/>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7C576B53"/>
    <w:multiLevelType w:val="hybridMultilevel"/>
    <w:tmpl w:val="70D06A86"/>
    <w:lvl w:ilvl="0" w:tplc="0D68918E">
      <w:start w:val="1"/>
      <w:numFmt w:val="bullet"/>
      <w:lvlText w:val=""/>
      <w:lvlJc w:val="left"/>
      <w:pPr>
        <w:tabs>
          <w:tab w:val="num" w:pos="1494"/>
        </w:tabs>
        <w:ind w:left="1418" w:hanging="284"/>
      </w:pPr>
      <w:rPr>
        <w:rFonts w:ascii="Symbol" w:hAnsi="Symbol" w:hint="default"/>
        <w:color w:val="auto"/>
      </w:rPr>
    </w:lvl>
    <w:lvl w:ilvl="1" w:tplc="040C0003">
      <w:start w:val="1"/>
      <w:numFmt w:val="decimal"/>
      <w:lvlText w:val="%2."/>
      <w:lvlJc w:val="left"/>
      <w:pPr>
        <w:tabs>
          <w:tab w:val="num" w:pos="1644"/>
        </w:tabs>
        <w:ind w:left="1644" w:hanging="360"/>
      </w:pPr>
    </w:lvl>
    <w:lvl w:ilvl="2" w:tplc="040C0005">
      <w:start w:val="1"/>
      <w:numFmt w:val="decimal"/>
      <w:lvlText w:val="%3."/>
      <w:lvlJc w:val="left"/>
      <w:pPr>
        <w:tabs>
          <w:tab w:val="num" w:pos="2364"/>
        </w:tabs>
        <w:ind w:left="2364" w:hanging="360"/>
      </w:pPr>
    </w:lvl>
    <w:lvl w:ilvl="3" w:tplc="040C0001">
      <w:start w:val="1"/>
      <w:numFmt w:val="decimal"/>
      <w:lvlText w:val="%4."/>
      <w:lvlJc w:val="left"/>
      <w:pPr>
        <w:tabs>
          <w:tab w:val="num" w:pos="3084"/>
        </w:tabs>
        <w:ind w:left="3084" w:hanging="360"/>
      </w:pPr>
    </w:lvl>
    <w:lvl w:ilvl="4" w:tplc="040C0003">
      <w:start w:val="1"/>
      <w:numFmt w:val="decimal"/>
      <w:lvlText w:val="%5."/>
      <w:lvlJc w:val="left"/>
      <w:pPr>
        <w:tabs>
          <w:tab w:val="num" w:pos="3804"/>
        </w:tabs>
        <w:ind w:left="3804" w:hanging="360"/>
      </w:pPr>
    </w:lvl>
    <w:lvl w:ilvl="5" w:tplc="040C0005">
      <w:start w:val="1"/>
      <w:numFmt w:val="decimal"/>
      <w:lvlText w:val="%6."/>
      <w:lvlJc w:val="left"/>
      <w:pPr>
        <w:tabs>
          <w:tab w:val="num" w:pos="4524"/>
        </w:tabs>
        <w:ind w:left="4524" w:hanging="360"/>
      </w:pPr>
    </w:lvl>
    <w:lvl w:ilvl="6" w:tplc="040C0001">
      <w:start w:val="1"/>
      <w:numFmt w:val="decimal"/>
      <w:lvlText w:val="%7."/>
      <w:lvlJc w:val="left"/>
      <w:pPr>
        <w:tabs>
          <w:tab w:val="num" w:pos="5244"/>
        </w:tabs>
        <w:ind w:left="5244" w:hanging="360"/>
      </w:pPr>
    </w:lvl>
    <w:lvl w:ilvl="7" w:tplc="040C0003">
      <w:start w:val="1"/>
      <w:numFmt w:val="decimal"/>
      <w:lvlText w:val="%8."/>
      <w:lvlJc w:val="left"/>
      <w:pPr>
        <w:tabs>
          <w:tab w:val="num" w:pos="5964"/>
        </w:tabs>
        <w:ind w:left="5964" w:hanging="360"/>
      </w:pPr>
    </w:lvl>
    <w:lvl w:ilvl="8" w:tplc="040C0005">
      <w:start w:val="1"/>
      <w:numFmt w:val="decimal"/>
      <w:lvlText w:val="%9."/>
      <w:lvlJc w:val="left"/>
      <w:pPr>
        <w:tabs>
          <w:tab w:val="num" w:pos="6684"/>
        </w:tabs>
        <w:ind w:left="6684" w:hanging="360"/>
      </w:pPr>
    </w:lvl>
  </w:abstractNum>
  <w:abstractNum w:abstractNumId="76">
    <w:nsid w:val="7CF349BD"/>
    <w:multiLevelType w:val="singleLevel"/>
    <w:tmpl w:val="1AEC463A"/>
    <w:lvl w:ilvl="0">
      <w:start w:val="1"/>
      <w:numFmt w:val="lowerRoman"/>
      <w:lvlText w:val="%1)"/>
      <w:lvlJc w:val="right"/>
      <w:pPr>
        <w:tabs>
          <w:tab w:val="num" w:pos="504"/>
        </w:tabs>
        <w:ind w:left="504" w:hanging="216"/>
      </w:pPr>
    </w:lvl>
  </w:abstractNum>
  <w:abstractNum w:abstractNumId="77">
    <w:nsid w:val="7D167672"/>
    <w:multiLevelType w:val="hybridMultilevel"/>
    <w:tmpl w:val="3174A8F0"/>
    <w:lvl w:ilvl="0" w:tplc="36E42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8">
    <w:nsid w:val="7D3A751D"/>
    <w:multiLevelType w:val="hybridMultilevel"/>
    <w:tmpl w:val="67D2406C"/>
    <w:lvl w:ilvl="0" w:tplc="8954CB3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7DD1134E"/>
    <w:multiLevelType w:val="hybridMultilevel"/>
    <w:tmpl w:val="BBCACC9C"/>
    <w:lvl w:ilvl="0" w:tplc="8954CB3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7EAB3296"/>
    <w:multiLevelType w:val="hybridMultilevel"/>
    <w:tmpl w:val="E8A45CB0"/>
    <w:lvl w:ilvl="0" w:tplc="36E427B0">
      <w:start w:val="1"/>
      <w:numFmt w:val="bullet"/>
      <w:lvlText w:val="–"/>
      <w:lvlJc w:val="left"/>
      <w:pPr>
        <w:tabs>
          <w:tab w:val="num" w:pos="1134"/>
        </w:tabs>
        <w:ind w:left="1134" w:hanging="567"/>
      </w:pPr>
      <w:rPr>
        <w:rFonts w:ascii="Times New Roman" w:hAnsi="Times New Roman" w:cs="Times New Roman" w:hint="default"/>
      </w:rPr>
    </w:lvl>
    <w:lvl w:ilvl="1" w:tplc="268A0968">
      <w:start w:val="1"/>
      <w:numFmt w:val="bullet"/>
      <w:lvlText w:val="–"/>
      <w:lvlJc w:val="left"/>
      <w:pPr>
        <w:tabs>
          <w:tab w:val="num" w:pos="567"/>
        </w:tabs>
        <w:ind w:left="567" w:hanging="567"/>
      </w:pPr>
      <w:rPr>
        <w:rFonts w:ascii="Times New Roman" w:hAnsi="Times New Roman" w:cs="Times New Roman" w:hint="default"/>
      </w:rPr>
    </w:lvl>
    <w:lvl w:ilvl="2" w:tplc="040C0005">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num w:numId="1">
    <w:abstractNumId w:val="40"/>
  </w:num>
  <w:num w:numId="2">
    <w:abstractNumId w:val="76"/>
  </w:num>
  <w:num w:numId="3">
    <w:abstractNumId w:val="29"/>
  </w:num>
  <w:num w:numId="4">
    <w:abstractNumId w:val="76"/>
  </w:num>
  <w:num w:numId="5">
    <w:abstractNumId w:val="29"/>
  </w:num>
  <w:num w:numId="6">
    <w:abstractNumId w:val="76"/>
  </w:num>
  <w:num w:numId="7">
    <w:abstractNumId w:val="76"/>
  </w:num>
  <w:num w:numId="8">
    <w:abstractNumId w:val="76"/>
  </w:num>
  <w:num w:numId="9">
    <w:abstractNumId w:val="76"/>
  </w:num>
  <w:num w:numId="10">
    <w:abstractNumId w:val="40"/>
  </w:num>
  <w:num w:numId="11">
    <w:abstractNumId w:val="40"/>
  </w:num>
  <w:num w:numId="12">
    <w:abstractNumId w:val="76"/>
  </w:num>
  <w:num w:numId="13">
    <w:abstractNumId w:val="40"/>
  </w:num>
  <w:num w:numId="14">
    <w:abstractNumId w:val="76"/>
  </w:num>
  <w:num w:numId="15">
    <w:abstractNumId w:val="76"/>
  </w:num>
  <w:num w:numId="16">
    <w:abstractNumId w:val="76"/>
  </w:num>
  <w:num w:numId="17">
    <w:abstractNumId w:val="76"/>
  </w:num>
  <w:num w:numId="18">
    <w:abstractNumId w:val="76"/>
  </w:num>
  <w:num w:numId="19">
    <w:abstractNumId w:val="76"/>
  </w:num>
  <w:num w:numId="20">
    <w:abstractNumId w:val="29"/>
  </w:num>
  <w:num w:numId="21">
    <w:abstractNumId w:val="29"/>
  </w:num>
  <w:num w:numId="22">
    <w:abstractNumId w:val="29"/>
  </w:num>
  <w:num w:numId="23">
    <w:abstractNumId w:val="29"/>
  </w:num>
  <w:num w:numId="24">
    <w:abstractNumId w:val="29"/>
  </w:num>
  <w:num w:numId="25">
    <w:abstractNumId w:val="40"/>
  </w:num>
  <w:num w:numId="26">
    <w:abstractNumId w:val="40"/>
  </w:num>
  <w:num w:numId="27">
    <w:abstractNumId w:val="29"/>
  </w:num>
  <w:num w:numId="28">
    <w:abstractNumId w:val="40"/>
  </w:num>
  <w:num w:numId="29">
    <w:abstractNumId w:val="40"/>
  </w:num>
  <w:num w:numId="30">
    <w:abstractNumId w:val="40"/>
  </w:num>
  <w:num w:numId="31">
    <w:abstractNumId w:val="29"/>
  </w:num>
  <w:num w:numId="32">
    <w:abstractNumId w:val="29"/>
  </w:num>
  <w:num w:numId="33">
    <w:abstractNumId w:val="76"/>
  </w:num>
  <w:num w:numId="34">
    <w:abstractNumId w:val="29"/>
  </w:num>
  <w:num w:numId="35">
    <w:abstractNumId w:val="76"/>
  </w:num>
  <w:num w:numId="36">
    <w:abstractNumId w:val="76"/>
  </w:num>
  <w:num w:numId="37">
    <w:abstractNumId w:val="29"/>
  </w:num>
  <w:num w:numId="38">
    <w:abstractNumId w:val="76"/>
  </w:num>
  <w:num w:numId="39">
    <w:abstractNumId w:val="29"/>
  </w:num>
  <w:num w:numId="40">
    <w:abstractNumId w:val="29"/>
  </w:num>
  <w:num w:numId="41">
    <w:abstractNumId w:val="29"/>
  </w:num>
  <w:num w:numId="42">
    <w:abstractNumId w:val="76"/>
  </w:num>
  <w:num w:numId="43">
    <w:abstractNumId w:val="29"/>
  </w:num>
  <w:num w:numId="44">
    <w:abstractNumId w:val="76"/>
  </w:num>
  <w:num w:numId="45">
    <w:abstractNumId w:val="29"/>
  </w:num>
  <w:num w:numId="46">
    <w:abstractNumId w:val="29"/>
  </w:num>
  <w:num w:numId="47">
    <w:abstractNumId w:val="55"/>
  </w:num>
  <w:num w:numId="48">
    <w:abstractNumId w:val="66"/>
  </w:num>
  <w:num w:numId="49">
    <w:abstractNumId w:val="50"/>
  </w:num>
  <w:num w:numId="50">
    <w:abstractNumId w:val="34"/>
  </w:num>
  <w:num w:numId="51">
    <w:abstractNumId w:val="62"/>
  </w:num>
  <w:num w:numId="52">
    <w:abstractNumId w:val="13"/>
  </w:num>
  <w:num w:numId="53">
    <w:abstractNumId w:val="19"/>
  </w:num>
  <w:num w:numId="54">
    <w:abstractNumId w:val="31"/>
  </w:num>
  <w:num w:numId="55">
    <w:abstractNumId w:val="18"/>
  </w:num>
  <w:num w:numId="56">
    <w:abstractNumId w:val="38"/>
  </w:num>
  <w:num w:numId="57">
    <w:abstractNumId w:val="14"/>
  </w:num>
  <w:num w:numId="58">
    <w:abstractNumId w:val="71"/>
  </w:num>
  <w:num w:numId="59">
    <w:abstractNumId w:val="27"/>
  </w:num>
  <w:num w:numId="60">
    <w:abstractNumId w:val="11"/>
  </w:num>
  <w:num w:numId="61">
    <w:abstractNumId w:val="15"/>
  </w:num>
  <w:num w:numId="62">
    <w:abstractNumId w:val="24"/>
  </w:num>
  <w:num w:numId="63">
    <w:abstractNumId w:val="44"/>
  </w:num>
  <w:num w:numId="64">
    <w:abstractNumId w:val="47"/>
  </w:num>
  <w:num w:numId="65">
    <w:abstractNumId w:val="33"/>
  </w:num>
  <w:num w:numId="66">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0"/>
  </w:num>
  <w:num w:numId="70">
    <w:abstractNumId w:val="51"/>
  </w:num>
  <w:num w:numId="71">
    <w:abstractNumId w:val="53"/>
  </w:num>
  <w:num w:numId="72">
    <w:abstractNumId w:val="58"/>
  </w:num>
  <w:num w:numId="73">
    <w:abstractNumId w:val="67"/>
  </w:num>
  <w:num w:numId="74">
    <w:abstractNumId w:val="65"/>
  </w:num>
  <w:num w:numId="75">
    <w:abstractNumId w:val="8"/>
  </w:num>
  <w:num w:numId="76">
    <w:abstractNumId w:val="3"/>
  </w:num>
  <w:num w:numId="77">
    <w:abstractNumId w:val="2"/>
  </w:num>
  <w:num w:numId="78">
    <w:abstractNumId w:val="1"/>
  </w:num>
  <w:num w:numId="79">
    <w:abstractNumId w:val="0"/>
  </w:num>
  <w:num w:numId="80">
    <w:abstractNumId w:val="9"/>
  </w:num>
  <w:num w:numId="81">
    <w:abstractNumId w:val="7"/>
  </w:num>
  <w:num w:numId="82">
    <w:abstractNumId w:val="6"/>
  </w:num>
  <w:num w:numId="83">
    <w:abstractNumId w:val="5"/>
  </w:num>
  <w:num w:numId="84">
    <w:abstractNumId w:val="4"/>
  </w:num>
  <w:num w:numId="85">
    <w:abstractNumId w:val="43"/>
  </w:num>
  <w:num w:numId="86">
    <w:abstractNumId w:val="46"/>
  </w:num>
  <w:num w:numId="87">
    <w:abstractNumId w:val="28"/>
  </w:num>
  <w:num w:numId="88">
    <w:abstractNumId w:val="20"/>
  </w:num>
  <w:num w:numId="89">
    <w:abstractNumId w:val="49"/>
  </w:num>
  <w:num w:numId="90">
    <w:abstractNumId w:val="78"/>
  </w:num>
  <w:num w:numId="91">
    <w:abstractNumId w:val="79"/>
  </w:num>
  <w:num w:numId="92">
    <w:abstractNumId w:val="17"/>
  </w:num>
  <w:num w:numId="93">
    <w:abstractNumId w:val="64"/>
  </w:num>
  <w:num w:numId="94">
    <w:abstractNumId w:val="26"/>
  </w:num>
  <w:num w:numId="95">
    <w:abstractNumId w:val="32"/>
  </w:num>
  <w:num w:numId="96">
    <w:abstractNumId w:val="41"/>
  </w:num>
  <w:num w:numId="97">
    <w:abstractNumId w:val="12"/>
  </w:num>
  <w:num w:numId="98">
    <w:abstractNumId w:val="45"/>
  </w:num>
  <w:num w:numId="99">
    <w:abstractNumId w:val="30"/>
  </w:num>
  <w:num w:numId="100">
    <w:abstractNumId w:val="35"/>
  </w:num>
  <w:num w:numId="101">
    <w:abstractNumId w:val="54"/>
  </w:num>
  <w:num w:numId="102">
    <w:abstractNumId w:val="16"/>
  </w:num>
  <w:num w:numId="103">
    <w:abstractNumId w:val="48"/>
  </w:num>
  <w:num w:numId="104">
    <w:abstractNumId w:val="57"/>
  </w:num>
  <w:num w:numId="105">
    <w:abstractNumId w:val="37"/>
  </w:num>
  <w:num w:numId="106">
    <w:abstractNumId w:val="80"/>
  </w:num>
  <w:num w:numId="107">
    <w:abstractNumId w:val="70"/>
  </w:num>
  <w:num w:numId="108">
    <w:abstractNumId w:val="42"/>
  </w:num>
  <w:num w:numId="109">
    <w:abstractNumId w:val="69"/>
  </w:num>
  <w:num w:numId="110">
    <w:abstractNumId w:val="59"/>
  </w:num>
  <w:num w:numId="111">
    <w:abstractNumId w:val="73"/>
  </w:num>
  <w:num w:numId="112">
    <w:abstractNumId w:val="77"/>
  </w:num>
  <w:num w:numId="113">
    <w:abstractNumId w:val="56"/>
  </w:num>
  <w:num w:numId="114">
    <w:abstractNumId w:val="61"/>
  </w:num>
  <w:num w:numId="115">
    <w:abstractNumId w:val="39"/>
  </w:num>
  <w:num w:numId="116">
    <w:abstractNumId w:val="36"/>
  </w:num>
  <w:num w:numId="117">
    <w:abstractNumId w:val="68"/>
  </w:num>
  <w:num w:numId="118">
    <w:abstractNumId w:val="74"/>
  </w:num>
  <w:num w:numId="119">
    <w:abstractNumId w:val="10"/>
  </w:num>
  <w:num w:numId="120">
    <w:abstractNumId w:val="22"/>
  </w:num>
  <w:num w:numId="121">
    <w:abstractNumId w:val="23"/>
  </w:num>
  <w:num w:numId="122">
    <w:abstractNumId w:val="21"/>
  </w:num>
  <w:num w:numId="123">
    <w:abstractNumId w:val="63"/>
  </w:num>
  <w:num w:numId="124">
    <w:abstractNumId w:val="52"/>
  </w:num>
  <w:num w:numId="125">
    <w:abstractNumId w:val="72"/>
  </w:num>
  <w:num w:numId="1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hideSpellingErrors/>
  <w:activeWritingStyle w:appName="MSWord" w:lang="fr-FR" w:vendorID="9" w:dllVersion="512" w:checkStyle="1"/>
  <w:activeWritingStyle w:appName="MSWord" w:lang="de-CH" w:vendorID="9" w:dllVersion="512" w:checkStyle="1"/>
  <w:activeWritingStyle w:appName="MSWord" w:lang="fr-CA"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paragraph" w:styleId="Heading4">
    <w:name w:val="heading 4"/>
    <w:basedOn w:val="Normal"/>
    <w:next w:val="Normal"/>
    <w:qFormat/>
    <w:pPr>
      <w:keepNext/>
      <w:spacing w:before="60" w:after="60"/>
      <w:outlineLvl w:val="3"/>
    </w:pPr>
    <w:rPr>
      <w:b/>
      <w:bCs/>
      <w:sz w:val="20"/>
      <w:lang w:val="fr-FR"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Indent">
    <w:name w:val="Body Text Indent"/>
    <w:basedOn w:val="Normal"/>
    <w:semiHidden/>
    <w:pPr>
      <w:spacing w:after="240"/>
      <w:ind w:left="1134"/>
    </w:pPr>
  </w:style>
  <w:style w:type="paragraph" w:styleId="BodyText">
    <w:name w:val="Body Text"/>
    <w:basedOn w:val="Normal"/>
    <w:semiHidden/>
  </w:style>
  <w:style w:type="paragraph" w:styleId="BodyText2">
    <w:name w:val="Body Text 2"/>
    <w:basedOn w:val="Normal"/>
    <w:semiHidden/>
    <w:pPr>
      <w:spacing w:line="480" w:lineRule="auto"/>
    </w:pPr>
  </w:style>
  <w:style w:type="paragraph" w:styleId="BodyTextIndent2">
    <w:name w:val="Body Text Indent 2"/>
    <w:basedOn w:val="Normal"/>
    <w:semiHidden/>
    <w:pPr>
      <w:spacing w:after="240"/>
      <w:ind w:left="1701" w:hanging="567"/>
    </w:pPr>
  </w:style>
  <w:style w:type="paragraph" w:styleId="Title">
    <w:name w:val="Title"/>
    <w:basedOn w:val="Normal"/>
    <w:qFormat/>
    <w:pPr>
      <w:spacing w:before="120" w:after="240"/>
      <w:jc w:val="center"/>
    </w:pPr>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149</Pages>
  <Words>46793</Words>
  <Characters>253627</Characters>
  <Application>Microsoft Office Word</Application>
  <DocSecurity>4</DocSecurity>
  <Lines>12600</Lines>
  <Paragraphs>10331</Paragraphs>
  <ScaleCrop>false</ScaleCrop>
  <HeadingPairs>
    <vt:vector size="2" baseType="variant">
      <vt:variant>
        <vt:lpstr>Titre</vt:lpstr>
      </vt:variant>
      <vt:variant>
        <vt:i4>1</vt:i4>
      </vt:variant>
    </vt:vector>
  </HeadingPairs>
  <TitlesOfParts>
    <vt:vector size="1" baseType="lpstr">
      <vt:lpstr>E/C.12/BOL/2</vt:lpstr>
    </vt:vector>
  </TitlesOfParts>
  <Manager>cmv</Manager>
  <Company>ONU</Company>
  <LinksUpToDate>false</LinksUpToDate>
  <CharactersWithSpaces>290295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E/C.12/BOL/2</dc:title>
  <dc:subject>Final (Maric)</dc:subject>
  <dc:creator>Moret-Var</dc:creator>
  <cp:keywords/>
  <dc:description/>
  <cp:lastModifiedBy>CSD</cp:lastModifiedBy>
  <cp:revision>2</cp:revision>
  <cp:lastPrinted>2007-11-23T15:51:00Z</cp:lastPrinted>
  <dcterms:created xsi:type="dcterms:W3CDTF">2007-11-23T15:58:00Z</dcterms:created>
  <dcterms:modified xsi:type="dcterms:W3CDTF">2007-11-23T15:58:00Z</dcterms:modified>
</cp:coreProperties>
</file>