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ED69B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Pr="00ED69B8" w:rsidRDefault="00ED69B8" w:rsidP="00ED69B8">
            <w:pPr>
              <w:pStyle w:val="SingleTxtG"/>
              <w:suppressAutoHyphens/>
              <w:spacing w:before="240" w:after="0"/>
              <w:jc w:val="center"/>
              <w:rPr>
                <w:u w:val="single"/>
              </w:rPr>
            </w:pPr>
            <w:bookmarkStart w:id="0" w:name="_GoBack"/>
            <w:bookmarkEnd w:id="0"/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D69B8" w:rsidP="00ED69B8">
            <w:pPr>
              <w:jc w:val="right"/>
            </w:pPr>
            <w:r w:rsidRPr="00ED69B8">
              <w:rPr>
                <w:sz w:val="40"/>
              </w:rPr>
              <w:t>CERD</w:t>
            </w:r>
            <w:r>
              <w:t>/C/AZE/Q/7-9</w:t>
            </w:r>
          </w:p>
        </w:tc>
      </w:tr>
      <w:tr w:rsidR="002D5AAC" w:rsidTr="00ED69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A17DFD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2044F6CA" wp14:editId="10BC67A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D69B8" w:rsidP="00B778C8">
            <w:pPr>
              <w:spacing w:before="240"/>
            </w:pPr>
            <w:r>
              <w:t>Distr. general</w:t>
            </w:r>
          </w:p>
          <w:p w:rsidR="00ED69B8" w:rsidRDefault="00ED69B8" w:rsidP="00ED69B8">
            <w:pPr>
              <w:spacing w:line="240" w:lineRule="exact"/>
            </w:pPr>
            <w:r>
              <w:t>24 de febrero de 2016</w:t>
            </w:r>
          </w:p>
          <w:p w:rsidR="00ED69B8" w:rsidRDefault="00ED69B8" w:rsidP="00ED69B8">
            <w:pPr>
              <w:spacing w:line="240" w:lineRule="exact"/>
            </w:pPr>
            <w:r>
              <w:t>Español</w:t>
            </w:r>
          </w:p>
          <w:p w:rsidR="00ED69B8" w:rsidRDefault="00ED69B8" w:rsidP="00ED69B8">
            <w:pPr>
              <w:spacing w:line="240" w:lineRule="exact"/>
            </w:pPr>
            <w:r>
              <w:t>Original: inglés</w:t>
            </w:r>
          </w:p>
          <w:p w:rsidR="00C22405" w:rsidRDefault="00C22405" w:rsidP="00ED69B8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2D7D2C" w:rsidRPr="002D7D2C" w:rsidRDefault="002D7D2C" w:rsidP="002D7D2C">
      <w:pPr>
        <w:spacing w:before="120"/>
        <w:rPr>
          <w:b/>
          <w:sz w:val="24"/>
          <w:szCs w:val="24"/>
          <w:lang w:val="es-ES_tradnl"/>
        </w:rPr>
      </w:pPr>
      <w:r w:rsidRPr="002D7D2C">
        <w:rPr>
          <w:b/>
          <w:sz w:val="24"/>
          <w:szCs w:val="24"/>
          <w:lang w:val="es-ES_tradnl"/>
        </w:rPr>
        <w:t>Comité para la Eliminación de la Discriminación Racial</w:t>
      </w:r>
    </w:p>
    <w:p w:rsidR="002D7D2C" w:rsidRPr="002D7D2C" w:rsidRDefault="002D7D2C" w:rsidP="002D7D2C">
      <w:pPr>
        <w:rPr>
          <w:b/>
          <w:lang w:val="es-ES_tradnl"/>
        </w:rPr>
      </w:pPr>
      <w:r w:rsidRPr="002D7D2C">
        <w:rPr>
          <w:b/>
          <w:lang w:val="es-ES_tradnl"/>
        </w:rPr>
        <w:t>89º período de sesiones</w:t>
      </w:r>
    </w:p>
    <w:p w:rsidR="002D7D2C" w:rsidRPr="002D7D2C" w:rsidRDefault="002D7D2C" w:rsidP="002D7D2C">
      <w:pPr>
        <w:rPr>
          <w:lang w:val="es-ES_tradnl"/>
        </w:rPr>
      </w:pPr>
      <w:r w:rsidRPr="002D7D2C">
        <w:rPr>
          <w:lang w:val="es-ES_tradnl"/>
        </w:rPr>
        <w:t>25 de abril a 13 de mayo de 2016</w:t>
      </w:r>
    </w:p>
    <w:p w:rsidR="002D7D2C" w:rsidRPr="002D7D2C" w:rsidRDefault="002D7D2C" w:rsidP="002D7D2C">
      <w:pPr>
        <w:rPr>
          <w:lang w:val="es-ES_tradnl"/>
        </w:rPr>
      </w:pPr>
      <w:r w:rsidRPr="002D7D2C">
        <w:rPr>
          <w:lang w:val="es-ES_tradnl"/>
        </w:rPr>
        <w:t>Tema 6 del programa provisional</w:t>
      </w:r>
    </w:p>
    <w:p w:rsidR="002D7D2C" w:rsidRPr="002D7D2C" w:rsidRDefault="002D7D2C" w:rsidP="002D7D2C">
      <w:pPr>
        <w:rPr>
          <w:b/>
          <w:lang w:val="es-ES_tradnl"/>
        </w:rPr>
      </w:pPr>
      <w:r w:rsidRPr="002D7D2C">
        <w:rPr>
          <w:b/>
          <w:lang w:val="es-ES_tradnl"/>
        </w:rPr>
        <w:t>Examen de los informes, las observaciones y la</w:t>
      </w:r>
      <w:r>
        <w:rPr>
          <w:b/>
          <w:lang w:val="es-ES_tradnl"/>
        </w:rPr>
        <w:t xml:space="preserve"> información</w:t>
      </w:r>
      <w:r>
        <w:rPr>
          <w:b/>
          <w:lang w:val="es-ES_tradnl"/>
        </w:rPr>
        <w:br/>
      </w:r>
      <w:r w:rsidRPr="002D7D2C">
        <w:rPr>
          <w:b/>
          <w:lang w:val="es-ES_tradnl"/>
        </w:rPr>
        <w:t xml:space="preserve">presentados por los Estados partes en </w:t>
      </w:r>
      <w:r>
        <w:rPr>
          <w:b/>
          <w:lang w:val="es-ES_tradnl"/>
        </w:rPr>
        <w:t>virtud del artículo 9</w:t>
      </w:r>
      <w:r>
        <w:rPr>
          <w:b/>
          <w:lang w:val="es-ES_tradnl"/>
        </w:rPr>
        <w:br/>
      </w:r>
      <w:r w:rsidRPr="002D7D2C">
        <w:rPr>
          <w:b/>
          <w:lang w:val="es-ES_tradnl"/>
        </w:rPr>
        <w:t>de la Convención</w:t>
      </w:r>
    </w:p>
    <w:p w:rsidR="002D7D2C" w:rsidRPr="002D7D2C" w:rsidRDefault="002D7D2C" w:rsidP="002D7D2C">
      <w:pPr>
        <w:pStyle w:val="HChG"/>
        <w:rPr>
          <w:lang w:val="es-ES_tradnl"/>
        </w:rPr>
      </w:pPr>
      <w:r w:rsidRPr="002D7D2C">
        <w:rPr>
          <w:lang w:val="es-ES_tradnl"/>
        </w:rPr>
        <w:tab/>
      </w:r>
      <w:r w:rsidRPr="002D7D2C">
        <w:rPr>
          <w:lang w:val="es-ES_tradnl"/>
        </w:rPr>
        <w:tab/>
        <w:t>Lista de temas relativa a los informes periódicos séptimo a</w:t>
      </w:r>
      <w:r>
        <w:rPr>
          <w:lang w:val="es-ES_tradnl"/>
        </w:rPr>
        <w:t> </w:t>
      </w:r>
      <w:r w:rsidRPr="002D7D2C">
        <w:rPr>
          <w:lang w:val="es-ES_tradnl"/>
        </w:rPr>
        <w:t>noveno combinados de Azerbaiyán</w:t>
      </w:r>
      <w:r>
        <w:rPr>
          <w:lang w:val="es-ES_tradnl"/>
        </w:rPr>
        <w:t xml:space="preserve"> (CERD/C/AZE/7-9)</w:t>
      </w:r>
    </w:p>
    <w:p w:rsidR="002D7D2C" w:rsidRDefault="002D7D2C" w:rsidP="002D7D2C">
      <w:pPr>
        <w:pStyle w:val="H1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2D7D2C">
        <w:rPr>
          <w:lang w:val="es-ES_tradnl"/>
        </w:rPr>
        <w:t>Nota del Relator para el país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2D7D2C" w:rsidTr="00850215"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2D7D2C" w:rsidRDefault="002D7D2C" w:rsidP="00850215">
            <w:pPr>
              <w:spacing w:line="240" w:lineRule="auto"/>
            </w:pPr>
          </w:p>
        </w:tc>
      </w:tr>
      <w:tr w:rsidR="002D7D2C" w:rsidTr="00850215"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D7D2C" w:rsidRDefault="002D7D2C" w:rsidP="00850215">
            <w:pPr>
              <w:spacing w:after="120"/>
              <w:jc w:val="both"/>
            </w:pPr>
            <w:r w:rsidRPr="002D7D2C">
              <w:rPr>
                <w:lang w:val="es-ES_tradnl"/>
              </w:rPr>
              <w:tab/>
              <w:t>El Comité para la Eliminación de la Discriminación Racial decidió en su 76º período de sesiones (A/65/18,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podrán abordarse otros asuntos. No se requieren respuestas por escrito.</w:t>
            </w:r>
          </w:p>
        </w:tc>
      </w:tr>
      <w:tr w:rsidR="002D7D2C" w:rsidTr="00850215"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2D7D2C" w:rsidRDefault="002D7D2C" w:rsidP="00850215">
            <w:pPr>
              <w:spacing w:line="240" w:lineRule="auto"/>
            </w:pPr>
          </w:p>
        </w:tc>
      </w:tr>
    </w:tbl>
    <w:p w:rsidR="002D7D2C" w:rsidRPr="002D7D2C" w:rsidRDefault="002D7D2C" w:rsidP="002D7D2C">
      <w:pPr>
        <w:pStyle w:val="H1G"/>
        <w:rPr>
          <w:lang w:val="es-ES_tradnl"/>
        </w:rPr>
      </w:pPr>
      <w:r w:rsidRPr="002D7D2C">
        <w:rPr>
          <w:lang w:val="es-ES_tradnl"/>
        </w:rPr>
        <w:tab/>
        <w:t>1.</w:t>
      </w:r>
      <w:r w:rsidRPr="002D7D2C">
        <w:rPr>
          <w:lang w:val="es-ES_tradnl"/>
        </w:rPr>
        <w:tab/>
        <w:t xml:space="preserve">La Convención en el derecho interno; </w:t>
      </w:r>
      <w:r>
        <w:rPr>
          <w:lang w:val="es-ES_tradnl"/>
        </w:rPr>
        <w:t>marco institucional y normativo </w:t>
      </w:r>
      <w:r w:rsidRPr="002D7D2C">
        <w:rPr>
          <w:lang w:val="es-ES_tradnl"/>
        </w:rPr>
        <w:t>para su aplicación (arts. 1, 2, 4, 6 y 7</w:t>
      </w:r>
      <w:r>
        <w:rPr>
          <w:lang w:val="es-ES_tradnl"/>
        </w:rPr>
        <w:t>)</w:t>
      </w:r>
    </w:p>
    <w:p w:rsidR="002D7D2C" w:rsidRPr="002D7D2C" w:rsidRDefault="002D7D2C" w:rsidP="002D7D2C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2D7D2C">
        <w:rPr>
          <w:lang w:val="es-ES_tradnl"/>
        </w:rPr>
        <w:t>a)</w:t>
      </w:r>
      <w:r w:rsidRPr="002D7D2C">
        <w:rPr>
          <w:lang w:val="es-ES_tradnl"/>
        </w:rPr>
        <w:tab/>
        <w:t>Definición de discriminación racial; prohibición de la discriminación indirecta; disposiciones que prohíben y sancionan la discriminación racial en el derecho administrativo (CERD/C/AZE/7-9, párrs. 41 y 48 a 51);</w:t>
      </w:r>
    </w:p>
    <w:p w:rsidR="002D7D2C" w:rsidRPr="002D7D2C" w:rsidRDefault="002D7D2C" w:rsidP="002D7D2C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2D7D2C">
        <w:rPr>
          <w:lang w:val="es-ES_tradnl"/>
        </w:rPr>
        <w:t>b)</w:t>
      </w:r>
      <w:r w:rsidRPr="002D7D2C">
        <w:rPr>
          <w:lang w:val="es-ES_tradnl"/>
        </w:rPr>
        <w:tab/>
        <w:t>Eficacia del marco jurídico de prohibición de la discriminación racial y de los recursos judiciales y no judiciales (CERD/C/AZE/7-9, párrs. 32 y 33);</w:t>
      </w:r>
    </w:p>
    <w:p w:rsidR="002D7D2C" w:rsidRPr="002D7D2C" w:rsidRDefault="002D7D2C" w:rsidP="002D7D2C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2D7D2C">
        <w:rPr>
          <w:lang w:val="es-ES_tradnl"/>
        </w:rPr>
        <w:t>c)</w:t>
      </w:r>
      <w:r w:rsidRPr="002D7D2C">
        <w:rPr>
          <w:lang w:val="es-ES_tradnl"/>
        </w:rPr>
        <w:tab/>
        <w:t>Aplicación del Plan de Acción Nacional de Defensa de los Derechos Humanos, en particular el resultado de las actividades realizadas para proteger y seguir desarrollando el patrimonio cultural de las minorías nacionales y concienciar a la población sobre la prohibición de la discrimin</w:t>
      </w:r>
      <w:r>
        <w:rPr>
          <w:lang w:val="es-ES_tradnl"/>
        </w:rPr>
        <w:t xml:space="preserve">ación (CERD/C/AZE/CO/6, párr. 4 </w:t>
      </w:r>
      <w:r w:rsidRPr="002D7D2C">
        <w:rPr>
          <w:lang w:val="es-ES_tradnl"/>
        </w:rPr>
        <w:t>a)).</w:t>
      </w:r>
    </w:p>
    <w:p w:rsidR="002D7D2C" w:rsidRPr="002D7D2C" w:rsidRDefault="002D7D2C" w:rsidP="002D7D2C">
      <w:pPr>
        <w:pStyle w:val="H1G"/>
        <w:rPr>
          <w:lang w:val="es-ES_tradnl"/>
        </w:rPr>
      </w:pPr>
      <w:r w:rsidRPr="002D7D2C">
        <w:rPr>
          <w:lang w:val="es-ES_tradnl"/>
        </w:rPr>
        <w:lastRenderedPageBreak/>
        <w:tab/>
        <w:t>2.</w:t>
      </w:r>
      <w:r w:rsidRPr="002D7D2C">
        <w:rPr>
          <w:lang w:val="es-ES_tradnl"/>
        </w:rPr>
        <w:tab/>
        <w:t>Situación de los grupos minoritarios</w:t>
      </w:r>
    </w:p>
    <w:p w:rsidR="002D7D2C" w:rsidRPr="002D7D2C" w:rsidRDefault="002D7D2C" w:rsidP="002D7D2C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2D7D2C">
        <w:rPr>
          <w:lang w:val="es-ES_tradnl"/>
        </w:rPr>
        <w:t>a)</w:t>
      </w:r>
      <w:r w:rsidRPr="002D7D2C">
        <w:rPr>
          <w:lang w:val="es-ES_tradnl"/>
        </w:rPr>
        <w:tab/>
        <w:t>Información y datos sobre el disfrute de los derechos económicos, sociales y culturales por los diversos grupos étnicos en el Estado parte (CERD/C/AZE/CO/6, párr. 6; CERD/C/AZE/7-9, párrs. 15, 63 a 65 y 149);</w:t>
      </w:r>
    </w:p>
    <w:p w:rsidR="002D7D2C" w:rsidRPr="002D7D2C" w:rsidRDefault="002D7D2C" w:rsidP="002D7D2C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2D7D2C">
        <w:rPr>
          <w:lang w:val="es-ES_tradnl"/>
        </w:rPr>
        <w:t>b)</w:t>
      </w:r>
      <w:r w:rsidRPr="002D7D2C">
        <w:rPr>
          <w:lang w:val="es-ES_tradnl"/>
        </w:rPr>
        <w:tab/>
        <w:t>Representación de los grupos minoritarios y mecanismos de diálogo con ellos (CERD/C/AZE/CO/6, párrs. 12 y 13);</w:t>
      </w:r>
    </w:p>
    <w:p w:rsidR="002D7D2C" w:rsidRPr="002D7D2C" w:rsidRDefault="002D7D2C" w:rsidP="002D7D2C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2D7D2C">
        <w:rPr>
          <w:lang w:val="es-ES_tradnl"/>
        </w:rPr>
        <w:t>c)</w:t>
      </w:r>
      <w:r w:rsidRPr="002D7D2C">
        <w:rPr>
          <w:lang w:val="es-ES_tradnl"/>
        </w:rPr>
        <w:tab/>
        <w:t>Incidencia de la discriminación racial y los discursos de odio, incluidos los casos contra las minorías étnicas (CERD/C/AZE/7-9, pá</w:t>
      </w:r>
      <w:r>
        <w:rPr>
          <w:lang w:val="es-ES_tradnl"/>
        </w:rPr>
        <w:t>rr. 32; CERD/C/AZE/CO/6, párrs. </w:t>
      </w:r>
      <w:r w:rsidRPr="002D7D2C">
        <w:rPr>
          <w:lang w:val="es-ES_tradnl"/>
        </w:rPr>
        <w:t>9 y 15);</w:t>
      </w:r>
    </w:p>
    <w:p w:rsidR="002D7D2C" w:rsidRPr="002D7D2C" w:rsidRDefault="002D7D2C" w:rsidP="002D7D2C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2D7D2C">
        <w:rPr>
          <w:lang w:val="es-ES_tradnl"/>
        </w:rPr>
        <w:t>d)</w:t>
      </w:r>
      <w:r w:rsidRPr="002D7D2C">
        <w:rPr>
          <w:lang w:val="es-ES_tradnl"/>
        </w:rPr>
        <w:tab/>
        <w:t>Información sobre el disfrute de los derechos económicos y sociales por los desplazados internos y los refugiados, incluida la restitución de la propiedad (CERD/C/AZE/7-9, párr. 170).</w:t>
      </w:r>
    </w:p>
    <w:p w:rsidR="002D7D2C" w:rsidRPr="002D7D2C" w:rsidRDefault="002D7D2C" w:rsidP="002D7D2C">
      <w:pPr>
        <w:pStyle w:val="H1G"/>
        <w:rPr>
          <w:lang w:val="es-ES_tradnl"/>
        </w:rPr>
      </w:pPr>
      <w:r w:rsidRPr="002D7D2C">
        <w:rPr>
          <w:lang w:val="es-ES_tradnl"/>
        </w:rPr>
        <w:tab/>
        <w:t>3.</w:t>
      </w:r>
      <w:r w:rsidRPr="002D7D2C">
        <w:rPr>
          <w:lang w:val="es-ES_tradnl"/>
        </w:rPr>
        <w:tab/>
        <w:t>Situación de los no nacionales, incluidos los</w:t>
      </w:r>
      <w:r>
        <w:rPr>
          <w:lang w:val="es-ES_tradnl"/>
        </w:rPr>
        <w:t xml:space="preserve"> apátridas, los</w:t>
      </w:r>
      <w:r w:rsidR="00104A30">
        <w:rPr>
          <w:lang w:val="es-ES_tradnl"/>
        </w:rPr>
        <w:t xml:space="preserve"> </w:t>
      </w:r>
      <w:r>
        <w:rPr>
          <w:lang w:val="es-ES_tradnl"/>
        </w:rPr>
        <w:t>solicitantes de </w:t>
      </w:r>
      <w:r w:rsidRPr="002D7D2C">
        <w:rPr>
          <w:lang w:val="es-ES_tradnl"/>
        </w:rPr>
        <w:t>asilo y los refugiados</w:t>
      </w:r>
    </w:p>
    <w:p w:rsidR="002D7D2C" w:rsidRPr="002D7D2C" w:rsidRDefault="002D7D2C" w:rsidP="002D7D2C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2D7D2C">
        <w:rPr>
          <w:lang w:val="es-ES_tradnl"/>
        </w:rPr>
        <w:t>a)</w:t>
      </w:r>
      <w:r w:rsidRPr="002D7D2C">
        <w:rPr>
          <w:lang w:val="es-ES_tradnl"/>
        </w:rPr>
        <w:tab/>
        <w:t>Cobertura de la ley y la política de asilo, incluida la protección contra la devolución y el acceso a los derechos económicos y sociales (CERD/C/AZE/7-9, párrs. 120 y 121, 141 y 142 y 167; CERD/C/AZE/CO/6, párr. 5);</w:t>
      </w:r>
    </w:p>
    <w:p w:rsidR="002D7D2C" w:rsidRPr="002D7D2C" w:rsidRDefault="002D7D2C" w:rsidP="002D7D2C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2D7D2C">
        <w:rPr>
          <w:lang w:val="es-ES_tradnl"/>
        </w:rPr>
        <w:t>b)</w:t>
      </w:r>
      <w:r w:rsidRPr="002D7D2C">
        <w:rPr>
          <w:lang w:val="es-ES_tradnl"/>
        </w:rPr>
        <w:tab/>
        <w:t>Repercusión de la aplicación del Plan de Acción Nacional de Lucha contra la Trata de Personas (2009-2013) (CERD/C/AZE/7-9, párrs. 125 a 139);</w:t>
      </w:r>
    </w:p>
    <w:p w:rsidR="002D7D2C" w:rsidRPr="002D7D2C" w:rsidRDefault="002D7D2C" w:rsidP="002D7D2C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2D7D2C">
        <w:rPr>
          <w:lang w:val="es-ES_tradnl"/>
        </w:rPr>
        <w:t>c)</w:t>
      </w:r>
      <w:r w:rsidRPr="002D7D2C">
        <w:rPr>
          <w:lang w:val="es-ES_tradnl"/>
        </w:rPr>
        <w:tab/>
        <w:t>Medidas adoptadas para reducir y prevenir los casos de a</w:t>
      </w:r>
      <w:r>
        <w:rPr>
          <w:lang w:val="es-ES_tradnl"/>
        </w:rPr>
        <w:t xml:space="preserve">patridia (CERD/C/AZE/7-9, párr. </w:t>
      </w:r>
      <w:r w:rsidRPr="002D7D2C">
        <w:rPr>
          <w:lang w:val="es-ES_tradnl"/>
        </w:rPr>
        <w:t>102).</w:t>
      </w:r>
    </w:p>
    <w:p w:rsidR="00ED69B8" w:rsidRPr="002D7D2C" w:rsidRDefault="002D7D2C" w:rsidP="002D7D2C">
      <w:pPr>
        <w:pStyle w:val="SingleTxtG"/>
        <w:suppressAutoHyphens/>
        <w:spacing w:before="240" w:after="0"/>
        <w:jc w:val="center"/>
        <w:rPr>
          <w:u w:val="single"/>
          <w:lang w:val="es-ES_tradnl"/>
        </w:rPr>
      </w:pP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</w:p>
    <w:sectPr w:rsidR="00ED69B8" w:rsidRPr="002D7D2C" w:rsidSect="00ED69B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E7A" w:rsidRPr="00D43FF0" w:rsidRDefault="00AC5E7A" w:rsidP="00D43FF0">
      <w:pPr>
        <w:pStyle w:val="Piedepgina"/>
      </w:pPr>
    </w:p>
  </w:endnote>
  <w:endnote w:type="continuationSeparator" w:id="0">
    <w:p w:rsidR="00AC5E7A" w:rsidRPr="00D43FF0" w:rsidRDefault="00AC5E7A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9B8" w:rsidRPr="00ED69B8" w:rsidRDefault="00ED69B8" w:rsidP="00ED69B8">
    <w:pPr>
      <w:pStyle w:val="Piedepgina"/>
      <w:tabs>
        <w:tab w:val="right" w:pos="9638"/>
      </w:tabs>
    </w:pPr>
    <w:r w:rsidRPr="00ED69B8">
      <w:rPr>
        <w:b/>
        <w:sz w:val="18"/>
      </w:rPr>
      <w:fldChar w:fldCharType="begin"/>
    </w:r>
    <w:r w:rsidRPr="00ED69B8">
      <w:rPr>
        <w:b/>
        <w:sz w:val="18"/>
      </w:rPr>
      <w:instrText xml:space="preserve"> PAGE  \* MERGEFORMAT </w:instrText>
    </w:r>
    <w:r w:rsidRPr="00ED69B8">
      <w:rPr>
        <w:b/>
        <w:sz w:val="18"/>
      </w:rPr>
      <w:fldChar w:fldCharType="separate"/>
    </w:r>
    <w:r w:rsidR="0076638A">
      <w:rPr>
        <w:b/>
        <w:noProof/>
        <w:sz w:val="18"/>
      </w:rPr>
      <w:t>2</w:t>
    </w:r>
    <w:r w:rsidRPr="00ED69B8">
      <w:rPr>
        <w:b/>
        <w:sz w:val="18"/>
      </w:rPr>
      <w:fldChar w:fldCharType="end"/>
    </w:r>
    <w:r>
      <w:rPr>
        <w:b/>
        <w:sz w:val="18"/>
      </w:rPr>
      <w:tab/>
    </w:r>
    <w:r>
      <w:t>GE.16-02874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9B8" w:rsidRPr="00ED69B8" w:rsidRDefault="00ED69B8" w:rsidP="00ED69B8">
    <w:pPr>
      <w:pStyle w:val="Piedepgina"/>
      <w:tabs>
        <w:tab w:val="right" w:pos="9638"/>
      </w:tabs>
      <w:rPr>
        <w:b/>
        <w:sz w:val="18"/>
      </w:rPr>
    </w:pPr>
    <w:r>
      <w:t>GE.16-02874</w:t>
    </w:r>
    <w:r>
      <w:tab/>
    </w:r>
    <w:r w:rsidRPr="00ED69B8">
      <w:rPr>
        <w:b/>
        <w:sz w:val="18"/>
      </w:rPr>
      <w:fldChar w:fldCharType="begin"/>
    </w:r>
    <w:r w:rsidRPr="00ED69B8">
      <w:rPr>
        <w:b/>
        <w:sz w:val="18"/>
      </w:rPr>
      <w:instrText xml:space="preserve"> PAGE  \* MERGEFORMAT </w:instrText>
    </w:r>
    <w:r w:rsidRPr="00ED69B8">
      <w:rPr>
        <w:b/>
        <w:sz w:val="18"/>
      </w:rPr>
      <w:fldChar w:fldCharType="separate"/>
    </w:r>
    <w:r w:rsidR="00924878">
      <w:rPr>
        <w:b/>
        <w:noProof/>
        <w:sz w:val="18"/>
      </w:rPr>
      <w:t>2</w:t>
    </w:r>
    <w:r w:rsidRPr="00ED69B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A" w:rsidRPr="00ED69B8" w:rsidRDefault="00ED69B8" w:rsidP="00ED69B8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674BE797" wp14:editId="66008A7B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16-02874  (S)    140316    180316</w:t>
    </w:r>
    <w:r>
      <w:rPr>
        <w:sz w:val="20"/>
      </w:rPr>
      <w:br/>
    </w:r>
    <w:r w:rsidRPr="00ED69B8">
      <w:rPr>
        <w:rFonts w:ascii="C39T30Lfz" w:hAnsi="C39T30Lfz"/>
        <w:sz w:val="56"/>
      </w:rPr>
      <w:t></w:t>
    </w:r>
    <w:r w:rsidRPr="00ED69B8">
      <w:rPr>
        <w:rFonts w:ascii="C39T30Lfz" w:hAnsi="C39T30Lfz"/>
        <w:sz w:val="56"/>
      </w:rPr>
      <w:t></w:t>
    </w:r>
    <w:r w:rsidRPr="00ED69B8">
      <w:rPr>
        <w:rFonts w:ascii="C39T30Lfz" w:hAnsi="C39T30Lfz"/>
        <w:sz w:val="56"/>
      </w:rPr>
      <w:t></w:t>
    </w:r>
    <w:r w:rsidRPr="00ED69B8">
      <w:rPr>
        <w:rFonts w:ascii="C39T30Lfz" w:hAnsi="C39T30Lfz"/>
        <w:sz w:val="56"/>
      </w:rPr>
      <w:t></w:t>
    </w:r>
    <w:r w:rsidRPr="00ED69B8">
      <w:rPr>
        <w:rFonts w:ascii="C39T30Lfz" w:hAnsi="C39T30Lfz"/>
        <w:sz w:val="56"/>
      </w:rPr>
      <w:t></w:t>
    </w:r>
    <w:r w:rsidRPr="00ED69B8">
      <w:rPr>
        <w:rFonts w:ascii="C39T30Lfz" w:hAnsi="C39T30Lfz"/>
        <w:sz w:val="56"/>
      </w:rPr>
      <w:t></w:t>
    </w:r>
    <w:r w:rsidRPr="00ED69B8">
      <w:rPr>
        <w:rFonts w:ascii="C39T30Lfz" w:hAnsi="C39T30Lfz"/>
        <w:sz w:val="56"/>
      </w:rPr>
      <w:t></w:t>
    </w:r>
    <w:r w:rsidRPr="00ED69B8">
      <w:rPr>
        <w:rFonts w:ascii="C39T30Lfz" w:hAnsi="C39T30Lfz"/>
        <w:sz w:val="56"/>
      </w:rPr>
      <w:t></w:t>
    </w:r>
    <w:r w:rsidRPr="00ED69B8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CERD/C/AZE/Q/7-9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AZE/Q/7-9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E7A" w:rsidRPr="001075E9" w:rsidRDefault="00AC5E7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C5E7A" w:rsidRDefault="00AC5E7A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9B8" w:rsidRPr="00ED69B8" w:rsidRDefault="00ED69B8">
    <w:pPr>
      <w:pStyle w:val="Encabezado"/>
    </w:pPr>
    <w:r>
      <w:t>CERD/C/AZE/Q/7-9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9B8" w:rsidRPr="00ED69B8" w:rsidRDefault="00ED69B8" w:rsidP="00ED69B8">
    <w:pPr>
      <w:pStyle w:val="Encabezado"/>
      <w:jc w:val="right"/>
    </w:pPr>
    <w:r>
      <w:t>CERD/C/AZE/Q/7-9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E7A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4A30"/>
    <w:rsid w:val="001075E9"/>
    <w:rsid w:val="00133DFF"/>
    <w:rsid w:val="00145F2F"/>
    <w:rsid w:val="00160FF7"/>
    <w:rsid w:val="00180183"/>
    <w:rsid w:val="00196389"/>
    <w:rsid w:val="001C7A89"/>
    <w:rsid w:val="00201F1A"/>
    <w:rsid w:val="002433EC"/>
    <w:rsid w:val="0025226E"/>
    <w:rsid w:val="0026745A"/>
    <w:rsid w:val="00281DDE"/>
    <w:rsid w:val="00283ED7"/>
    <w:rsid w:val="00293E36"/>
    <w:rsid w:val="002A2EFC"/>
    <w:rsid w:val="002C0E18"/>
    <w:rsid w:val="002C33BB"/>
    <w:rsid w:val="002D5AAC"/>
    <w:rsid w:val="002D7D2C"/>
    <w:rsid w:val="00301299"/>
    <w:rsid w:val="00322004"/>
    <w:rsid w:val="00334B5B"/>
    <w:rsid w:val="003402C2"/>
    <w:rsid w:val="00381C24"/>
    <w:rsid w:val="003958D0"/>
    <w:rsid w:val="004031F0"/>
    <w:rsid w:val="00454E07"/>
    <w:rsid w:val="00471CB3"/>
    <w:rsid w:val="0050108D"/>
    <w:rsid w:val="0051740C"/>
    <w:rsid w:val="00564FEF"/>
    <w:rsid w:val="00572E19"/>
    <w:rsid w:val="005F0B42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6638A"/>
    <w:rsid w:val="007967DF"/>
    <w:rsid w:val="00834B71"/>
    <w:rsid w:val="0086445C"/>
    <w:rsid w:val="00865A80"/>
    <w:rsid w:val="00865FAC"/>
    <w:rsid w:val="008728CD"/>
    <w:rsid w:val="008A08D7"/>
    <w:rsid w:val="008A13F9"/>
    <w:rsid w:val="008A2EDF"/>
    <w:rsid w:val="008C0F65"/>
    <w:rsid w:val="008C29C4"/>
    <w:rsid w:val="00906890"/>
    <w:rsid w:val="00924878"/>
    <w:rsid w:val="00951972"/>
    <w:rsid w:val="00954E65"/>
    <w:rsid w:val="00A17DFD"/>
    <w:rsid w:val="00A414EF"/>
    <w:rsid w:val="00A4674B"/>
    <w:rsid w:val="00A917B3"/>
    <w:rsid w:val="00AB4B51"/>
    <w:rsid w:val="00AC5E7A"/>
    <w:rsid w:val="00B066FC"/>
    <w:rsid w:val="00B10CC7"/>
    <w:rsid w:val="00B62458"/>
    <w:rsid w:val="00B778C8"/>
    <w:rsid w:val="00BA3587"/>
    <w:rsid w:val="00BB36EA"/>
    <w:rsid w:val="00BD33EE"/>
    <w:rsid w:val="00C22405"/>
    <w:rsid w:val="00C60F0C"/>
    <w:rsid w:val="00C621AF"/>
    <w:rsid w:val="00C63C2A"/>
    <w:rsid w:val="00C805C9"/>
    <w:rsid w:val="00C907F0"/>
    <w:rsid w:val="00CA1679"/>
    <w:rsid w:val="00CC15A3"/>
    <w:rsid w:val="00D05347"/>
    <w:rsid w:val="00D43FF0"/>
    <w:rsid w:val="00D55A6D"/>
    <w:rsid w:val="00D90138"/>
    <w:rsid w:val="00DA26B8"/>
    <w:rsid w:val="00DD4E25"/>
    <w:rsid w:val="00E2793E"/>
    <w:rsid w:val="00E73F76"/>
    <w:rsid w:val="00EA31D8"/>
    <w:rsid w:val="00EA5579"/>
    <w:rsid w:val="00EC13EF"/>
    <w:rsid w:val="00ED69B8"/>
    <w:rsid w:val="00EF1360"/>
    <w:rsid w:val="00EF3220"/>
    <w:rsid w:val="00EF7198"/>
    <w:rsid w:val="00F41883"/>
    <w:rsid w:val="00F45524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512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CERD/C/AZE/Q/7-9</dc:title>
  <dc:subject/>
  <dc:creator>Moreno Angel</dc:creator>
  <cp:keywords/>
  <dc:description/>
  <cp:lastModifiedBy>María de la Plaza</cp:lastModifiedBy>
  <cp:revision>3</cp:revision>
  <cp:lastPrinted>2016-03-18T14:20:00Z</cp:lastPrinted>
  <dcterms:created xsi:type="dcterms:W3CDTF">2016-03-18T14:20:00Z</dcterms:created>
  <dcterms:modified xsi:type="dcterms:W3CDTF">2016-03-18T14:20:00Z</dcterms:modified>
</cp:coreProperties>
</file>