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3420"/>
        <w:gridCol w:w="2120"/>
        <w:gridCol w:w="2819"/>
      </w:tblGrid>
      <w:tr w:rsidR="007511D7" w:rsidRPr="00D65A62" w:rsidTr="00442C5D">
        <w:trPr>
          <w:trHeight w:hRule="exact" w:val="851"/>
        </w:trPr>
        <w:tc>
          <w:tcPr>
            <w:tcW w:w="4700" w:type="dxa"/>
            <w:gridSpan w:val="2"/>
            <w:tcBorders>
              <w:bottom w:val="single" w:sz="4" w:space="0" w:color="auto"/>
            </w:tcBorders>
            <w:shd w:val="clear" w:color="auto" w:fill="auto"/>
            <w:vAlign w:val="bottom"/>
          </w:tcPr>
          <w:p w:rsidR="007511D7" w:rsidRPr="00442C5D" w:rsidRDefault="007511D7" w:rsidP="00442C5D">
            <w:pPr>
              <w:spacing w:before="40" w:after="80" w:line="300" w:lineRule="exact"/>
              <w:rPr>
                <w:sz w:val="28"/>
              </w:rPr>
            </w:pPr>
            <w:r w:rsidRPr="00442C5D">
              <w:rPr>
                <w:sz w:val="28"/>
              </w:rPr>
              <w:t>Организация Объединенных Наций</w:t>
            </w:r>
          </w:p>
        </w:tc>
        <w:tc>
          <w:tcPr>
            <w:tcW w:w="4939" w:type="dxa"/>
            <w:gridSpan w:val="2"/>
            <w:tcBorders>
              <w:bottom w:val="single" w:sz="4" w:space="0" w:color="auto"/>
            </w:tcBorders>
            <w:shd w:val="clear" w:color="auto" w:fill="auto"/>
            <w:vAlign w:val="bottom"/>
          </w:tcPr>
          <w:p w:rsidR="007511D7" w:rsidRPr="00442C5D" w:rsidRDefault="007511D7" w:rsidP="00442C5D">
            <w:pPr>
              <w:spacing w:before="40" w:after="40"/>
              <w:jc w:val="right"/>
              <w:rPr>
                <w:lang w:val="en-US"/>
              </w:rPr>
            </w:pPr>
            <w:r w:rsidRPr="00442C5D">
              <w:rPr>
                <w:sz w:val="40"/>
                <w:szCs w:val="40"/>
                <w:lang w:val="en-US"/>
              </w:rPr>
              <w:t>CERD</w:t>
            </w:r>
            <w:r w:rsidRPr="00442C5D">
              <w:rPr>
                <w:lang w:val="en-US"/>
              </w:rPr>
              <w:t>/</w:t>
            </w:r>
            <w:fldSimple w:instr=" FILLIN  &quot;Введите часть символа после CERD/&quot;  \* MERGEFORMAT ">
              <w:r w:rsidR="00ED2C29">
                <w:rPr>
                  <w:sz w:val="18"/>
                </w:rPr>
                <w:t>C/DNK/20-21</w:t>
              </w:r>
            </w:fldSimple>
          </w:p>
        </w:tc>
      </w:tr>
      <w:tr w:rsidR="007511D7" w:rsidRPr="00635870" w:rsidTr="00442C5D">
        <w:trPr>
          <w:trHeight w:hRule="exact" w:val="2835"/>
        </w:trPr>
        <w:tc>
          <w:tcPr>
            <w:tcW w:w="1280" w:type="dxa"/>
            <w:tcBorders>
              <w:top w:val="single" w:sz="4" w:space="0" w:color="auto"/>
              <w:bottom w:val="single" w:sz="12" w:space="0" w:color="auto"/>
            </w:tcBorders>
            <w:shd w:val="clear" w:color="auto" w:fill="auto"/>
          </w:tcPr>
          <w:p w:rsidR="007511D7" w:rsidRPr="00442C5D" w:rsidRDefault="007511D7" w:rsidP="00442C5D">
            <w:pPr>
              <w:spacing w:before="120" w:after="40"/>
              <w:jc w:val="center"/>
              <w:rPr>
                <w:sz w:val="18"/>
              </w:rPr>
            </w:pPr>
            <w:r w:rsidRPr="00442C5D">
              <w:rPr>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7511D7" w:rsidRPr="00442C5D" w:rsidRDefault="007511D7" w:rsidP="00442C5D">
            <w:pPr>
              <w:suppressAutoHyphens/>
              <w:spacing w:before="120" w:after="40" w:line="380" w:lineRule="exact"/>
              <w:rPr>
                <w:b/>
                <w:spacing w:val="-4"/>
                <w:w w:val="100"/>
                <w:sz w:val="34"/>
                <w:szCs w:val="40"/>
              </w:rPr>
            </w:pPr>
            <w:r w:rsidRPr="00442C5D">
              <w:rPr>
                <w:b/>
                <w:spacing w:val="-4"/>
                <w:w w:val="100"/>
                <w:sz w:val="34"/>
                <w:szCs w:val="40"/>
              </w:rPr>
              <w:t>Международная конвенция</w:t>
            </w:r>
            <w:r w:rsidRPr="00442C5D">
              <w:rPr>
                <w:b/>
                <w:spacing w:val="-4"/>
                <w:w w:val="100"/>
                <w:sz w:val="34"/>
                <w:szCs w:val="40"/>
              </w:rPr>
              <w:br/>
              <w:t>о ликвидации всех форм</w:t>
            </w:r>
            <w:r w:rsidRPr="00442C5D">
              <w:rPr>
                <w:b/>
                <w:spacing w:val="-4"/>
                <w:w w:val="100"/>
                <w:sz w:val="34"/>
                <w:szCs w:val="40"/>
              </w:rPr>
              <w:br/>
              <w:t>расовой дискриминации</w:t>
            </w:r>
          </w:p>
        </w:tc>
        <w:tc>
          <w:tcPr>
            <w:tcW w:w="2819" w:type="dxa"/>
            <w:tcBorders>
              <w:top w:val="single" w:sz="4" w:space="0" w:color="auto"/>
              <w:bottom w:val="single" w:sz="12" w:space="0" w:color="auto"/>
            </w:tcBorders>
            <w:shd w:val="clear" w:color="auto" w:fill="auto"/>
          </w:tcPr>
          <w:p w:rsidR="007511D7" w:rsidRPr="00442C5D" w:rsidRDefault="007511D7" w:rsidP="00442C5D">
            <w:pPr>
              <w:spacing w:before="240"/>
              <w:rPr>
                <w:lang w:val="en-US"/>
              </w:rPr>
            </w:pPr>
            <w:r w:rsidRPr="00442C5D">
              <w:rPr>
                <w:lang w:val="en-US"/>
              </w:rPr>
              <w:t>Distr</w:t>
            </w:r>
            <w:r w:rsidRPr="00D65A62">
              <w:t>.:</w:t>
            </w:r>
            <w:r w:rsidRPr="00442C5D">
              <w:rPr>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442C5D">
              <w:rPr>
                <w:lang w:val="en-US"/>
              </w:rPr>
              <w:instrText xml:space="preserve"> FORMDROPDOWN </w:instrText>
            </w:r>
            <w:r w:rsidRPr="00D65A62">
              <w:fldChar w:fldCharType="end"/>
            </w:r>
            <w:bookmarkEnd w:id="0"/>
          </w:p>
          <w:p w:rsidR="007511D7" w:rsidRPr="00442C5D" w:rsidRDefault="007511D7" w:rsidP="002B43B0">
            <w:pPr>
              <w:rPr>
                <w:lang w:val="en-US"/>
              </w:rPr>
            </w:pPr>
            <w:fldSimple w:instr=" FILLIN  &quot;Введите дату документа&quot; \* MERGEFORMAT ">
              <w:r w:rsidR="00ED2C29">
                <w:rPr>
                  <w:lang w:val="en-US"/>
                </w:rPr>
                <w:t>30 October 2013</w:t>
              </w:r>
            </w:fldSimple>
          </w:p>
          <w:p w:rsidR="007511D7" w:rsidRPr="00D65A62" w:rsidRDefault="007511D7" w:rsidP="002B43B0">
            <w:r w:rsidRPr="00442C5D">
              <w:rPr>
                <w:lang w:val="en-US"/>
              </w:rPr>
              <w:t>Russian</w:t>
            </w:r>
          </w:p>
          <w:p w:rsidR="007511D7" w:rsidRPr="00D65A62" w:rsidRDefault="007511D7" w:rsidP="002B43B0">
            <w:r w:rsidRPr="00442C5D">
              <w:rPr>
                <w:lang w:val="en-US"/>
              </w:rPr>
              <w:t>Original</w:t>
            </w:r>
            <w:r w:rsidRPr="00D65A62">
              <w:t xml:space="preserve">: </w:t>
            </w:r>
            <w:bookmarkStart w:id="1" w:name="ПолеСоСписком2"/>
            <w:r w:rsidRPr="00D65A6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42C5D">
              <w:rPr>
                <w:lang w:val="en-US"/>
              </w:rPr>
              <w:instrText xml:space="preserve"> FORMDROPDOWN </w:instrText>
            </w:r>
            <w:r w:rsidRPr="00D65A62">
              <w:fldChar w:fldCharType="end"/>
            </w:r>
            <w:bookmarkEnd w:id="1"/>
          </w:p>
          <w:p w:rsidR="007511D7" w:rsidRPr="00442C5D" w:rsidRDefault="007511D7" w:rsidP="00442C5D">
            <w:pPr>
              <w:spacing w:before="40" w:after="40"/>
              <w:rPr>
                <w:sz w:val="18"/>
              </w:rPr>
            </w:pPr>
          </w:p>
        </w:tc>
      </w:tr>
    </w:tbl>
    <w:p w:rsidR="00907DF0" w:rsidRPr="00907DF0" w:rsidRDefault="00907DF0" w:rsidP="00907DF0">
      <w:pPr>
        <w:spacing w:before="120"/>
        <w:rPr>
          <w:b/>
          <w:sz w:val="24"/>
          <w:szCs w:val="24"/>
        </w:rPr>
      </w:pPr>
      <w:r w:rsidRPr="00907DF0">
        <w:rPr>
          <w:b/>
          <w:sz w:val="24"/>
          <w:szCs w:val="24"/>
        </w:rPr>
        <w:t>Комитет по ликвидации расовой дискриминации</w:t>
      </w:r>
    </w:p>
    <w:p w:rsidR="00907DF0" w:rsidRDefault="00F67BDD" w:rsidP="00907DF0">
      <w:pPr>
        <w:pStyle w:val="HMGR"/>
      </w:pPr>
      <w:r>
        <w:tab/>
      </w:r>
      <w:r>
        <w:tab/>
        <w:t>Доклады, представляемые</w:t>
      </w:r>
      <w:r w:rsidR="00907DF0">
        <w:t xml:space="preserve"> государствами-участниками в соответствии со статьей</w:t>
      </w:r>
      <w:r w:rsidR="0081171D">
        <w:t> </w:t>
      </w:r>
      <w:r w:rsidR="00907DF0">
        <w:t>9 Конвенции</w:t>
      </w:r>
    </w:p>
    <w:p w:rsidR="00907DF0" w:rsidRDefault="00907DF0" w:rsidP="00907DF0">
      <w:pPr>
        <w:pStyle w:val="HChGR"/>
      </w:pPr>
      <w:r>
        <w:tab/>
      </w:r>
      <w:r>
        <w:tab/>
        <w:t>Двадцатый и двадцать первый периодические доклады государств-участников, подле</w:t>
      </w:r>
      <w:r w:rsidR="009D4ADF">
        <w:t>жащие представлению в 2013 году</w:t>
      </w:r>
    </w:p>
    <w:p w:rsidR="00907DF0" w:rsidRDefault="00907DF0" w:rsidP="00907DF0">
      <w:pPr>
        <w:pStyle w:val="HMGR"/>
      </w:pPr>
      <w:r>
        <w:tab/>
      </w:r>
      <w:r>
        <w:tab/>
        <w:t>Дания</w:t>
      </w:r>
      <w:r w:rsidR="00F67BDD" w:rsidRPr="00D336DB">
        <w:rPr>
          <w:rStyle w:val="FootnoteReference"/>
          <w:sz w:val="20"/>
          <w:vertAlign w:val="baseline"/>
        </w:rPr>
        <w:footnoteReference w:customMarkFollows="1" w:id="1"/>
        <w:t>*</w:t>
      </w:r>
      <w:r w:rsidR="00612CFA" w:rsidRPr="00612CFA">
        <w:rPr>
          <w:b w:val="0"/>
          <w:sz w:val="20"/>
          <w:vertAlign w:val="superscript"/>
        </w:rPr>
        <w:t>,</w:t>
      </w:r>
      <w:r w:rsidR="00612CFA">
        <w:rPr>
          <w:b w:val="0"/>
          <w:sz w:val="20"/>
          <w:vertAlign w:val="superscript"/>
        </w:rPr>
        <w:t xml:space="preserve"> </w:t>
      </w:r>
      <w:r w:rsidR="00F67BDD" w:rsidRPr="00D336DB">
        <w:rPr>
          <w:rStyle w:val="FootnoteReference"/>
          <w:bCs/>
          <w:sz w:val="20"/>
          <w:vertAlign w:val="baseline"/>
        </w:rPr>
        <w:footnoteReference w:customMarkFollows="1" w:id="2"/>
        <w:t>**</w:t>
      </w:r>
    </w:p>
    <w:p w:rsidR="00907DF0" w:rsidRDefault="00907DF0" w:rsidP="00907DF0">
      <w:pPr>
        <w:jc w:val="right"/>
        <w:rPr>
          <w:lang w:val="en-US"/>
        </w:rPr>
      </w:pPr>
      <w:r>
        <w:t>[24 июня 2013 года]</w:t>
      </w:r>
    </w:p>
    <w:p w:rsidR="00F2412B" w:rsidRDefault="00907DF0" w:rsidP="00F2412B">
      <w:pPr>
        <w:spacing w:after="120"/>
        <w:rPr>
          <w:sz w:val="28"/>
          <w:szCs w:val="28"/>
        </w:rPr>
      </w:pPr>
      <w:r w:rsidRPr="00F2412B">
        <w:br w:type="page"/>
      </w:r>
      <w:r w:rsidR="00F2412B" w:rsidRPr="008F14B3">
        <w:rPr>
          <w:sz w:val="28"/>
          <w:szCs w:val="28"/>
        </w:rPr>
        <w:t>Содержание</w:t>
      </w:r>
    </w:p>
    <w:p w:rsidR="00F2412B" w:rsidRPr="0045583B" w:rsidRDefault="00F2412B" w:rsidP="00F2412B">
      <w:pPr>
        <w:tabs>
          <w:tab w:val="right" w:pos="8929"/>
          <w:tab w:val="right" w:pos="9638"/>
        </w:tabs>
        <w:spacing w:after="120"/>
        <w:ind w:left="283"/>
        <w:rPr>
          <w:i/>
          <w:color w:val="000000"/>
          <w:sz w:val="18"/>
        </w:rPr>
      </w:pPr>
      <w:r w:rsidRPr="0045583B">
        <w:rPr>
          <w:i/>
          <w:color w:val="000000"/>
          <w:sz w:val="18"/>
        </w:rPr>
        <w:tab/>
        <w:t>Пункты</w:t>
      </w:r>
      <w:r w:rsidRPr="0045583B">
        <w:rPr>
          <w:i/>
          <w:color w:val="000000"/>
          <w:sz w:val="18"/>
        </w:rPr>
        <w:tab/>
        <w:t>Стр.</w:t>
      </w:r>
    </w:p>
    <w:p w:rsidR="00F2412B" w:rsidRPr="00F2412B" w:rsidRDefault="00F2412B" w:rsidP="009D4ADF">
      <w:pPr>
        <w:tabs>
          <w:tab w:val="right" w:pos="567"/>
          <w:tab w:val="left" w:pos="1134"/>
          <w:tab w:val="left" w:pos="1701"/>
          <w:tab w:val="left" w:pos="1985"/>
          <w:tab w:val="right" w:leader="dot" w:pos="7655"/>
          <w:tab w:val="right" w:pos="8931"/>
          <w:tab w:val="right" w:pos="9639"/>
        </w:tabs>
        <w:spacing w:after="120"/>
      </w:pPr>
      <w:r>
        <w:tab/>
      </w:r>
      <w:r>
        <w:rPr>
          <w:lang w:val="en-US"/>
        </w:rPr>
        <w:t>I</w:t>
      </w:r>
      <w:r w:rsidRPr="00AF13D2">
        <w:t>.</w:t>
      </w:r>
      <w:r w:rsidRPr="00AF13D2">
        <w:tab/>
      </w:r>
      <w:r>
        <w:t>Общие замечания</w:t>
      </w:r>
      <w:r w:rsidRPr="00F2412B">
        <w:t xml:space="preserve"> </w:t>
      </w:r>
      <w:r w:rsidRPr="00AF13D2">
        <w:tab/>
      </w:r>
      <w:r w:rsidRPr="00AF13D2">
        <w:tab/>
      </w:r>
      <w:r>
        <w:t>1–7</w:t>
      </w:r>
      <w:r w:rsidRPr="00AF13D2">
        <w:tab/>
      </w:r>
      <w:r w:rsidRPr="00F2412B">
        <w:t>3</w:t>
      </w:r>
    </w:p>
    <w:p w:rsidR="00F2412B" w:rsidRPr="003B3F81" w:rsidRDefault="00F2412B" w:rsidP="00F2412B">
      <w:pPr>
        <w:tabs>
          <w:tab w:val="right" w:pos="567"/>
          <w:tab w:val="left" w:pos="1134"/>
          <w:tab w:val="left" w:pos="1701"/>
          <w:tab w:val="left" w:pos="1985"/>
          <w:tab w:val="right" w:leader="dot" w:pos="7655"/>
          <w:tab w:val="right" w:pos="8931"/>
          <w:tab w:val="right" w:pos="9639"/>
        </w:tabs>
        <w:spacing w:after="120"/>
        <w:ind w:left="1134" w:hanging="1134"/>
      </w:pPr>
      <w:r w:rsidRPr="0057788B">
        <w:tab/>
      </w:r>
      <w:r w:rsidRPr="00C822D2">
        <w:t>II</w:t>
      </w:r>
      <w:r w:rsidRPr="00AF13D2">
        <w:t>.</w:t>
      </w:r>
      <w:r w:rsidRPr="00AF13D2">
        <w:tab/>
      </w:r>
      <w:r>
        <w:t>Информация, касающаяся статей 2–7 Конвенции</w:t>
      </w:r>
      <w:r w:rsidRPr="00F2412B">
        <w:t xml:space="preserve"> </w:t>
      </w:r>
      <w:r w:rsidRPr="00AF13D2">
        <w:tab/>
      </w:r>
      <w:r w:rsidRPr="00AF13D2">
        <w:tab/>
      </w:r>
      <w:r>
        <w:t>8–20</w:t>
      </w:r>
      <w:r w:rsidRPr="007B7A9C">
        <w:t>6</w:t>
      </w:r>
      <w:r w:rsidRPr="00AF13D2">
        <w:tab/>
      </w:r>
      <w:r w:rsidRPr="003B3F81">
        <w:t>4</w:t>
      </w:r>
    </w:p>
    <w:p w:rsidR="00F2412B" w:rsidRPr="00C31BA9" w:rsidRDefault="00F2412B" w:rsidP="00F2412B">
      <w:pPr>
        <w:tabs>
          <w:tab w:val="right" w:leader="dot" w:pos="7655"/>
          <w:tab w:val="right" w:pos="8929"/>
          <w:tab w:val="right" w:pos="9659"/>
        </w:tabs>
        <w:spacing w:after="120"/>
        <w:ind w:left="1701" w:hanging="567"/>
        <w:rPr>
          <w:lang w:val="en-US"/>
        </w:rPr>
      </w:pPr>
      <w:r>
        <w:rPr>
          <w:noProof/>
        </w:rPr>
        <w:t>Статья 2.</w:t>
      </w:r>
      <w:r w:rsidRPr="00D93188">
        <w:tab/>
      </w:r>
      <w:r w:rsidRPr="00D93188">
        <w:tab/>
      </w:r>
      <w:r>
        <w:t>8–35</w:t>
      </w:r>
      <w:r>
        <w:tab/>
      </w:r>
      <w:r w:rsidR="00C31BA9">
        <w:rPr>
          <w:lang w:val="en-US"/>
        </w:rPr>
        <w:t>4</w:t>
      </w:r>
    </w:p>
    <w:p w:rsidR="00F2412B" w:rsidRPr="00C31BA9" w:rsidRDefault="00F2412B" w:rsidP="00F2412B">
      <w:pPr>
        <w:tabs>
          <w:tab w:val="right" w:leader="dot" w:pos="7655"/>
          <w:tab w:val="right" w:pos="8929"/>
          <w:tab w:val="right" w:pos="9659"/>
        </w:tabs>
        <w:spacing w:after="120"/>
        <w:ind w:left="1701" w:hanging="567"/>
        <w:rPr>
          <w:lang w:val="en-US"/>
        </w:rPr>
      </w:pPr>
      <w:r>
        <w:rPr>
          <w:noProof/>
        </w:rPr>
        <w:t>Статья 3.</w:t>
      </w:r>
      <w:r w:rsidRPr="00D93188">
        <w:tab/>
      </w:r>
      <w:r w:rsidRPr="00D93188">
        <w:tab/>
      </w:r>
      <w:r>
        <w:t>36</w:t>
      </w:r>
      <w:r>
        <w:tab/>
      </w:r>
      <w:r w:rsidR="00C31BA9">
        <w:rPr>
          <w:lang w:val="en-US"/>
        </w:rPr>
        <w:t>10</w:t>
      </w:r>
    </w:p>
    <w:p w:rsidR="00F2412B" w:rsidRPr="00FA5A15" w:rsidRDefault="00F2412B" w:rsidP="00F2412B">
      <w:pPr>
        <w:tabs>
          <w:tab w:val="right" w:leader="dot" w:pos="7655"/>
          <w:tab w:val="right" w:pos="8929"/>
          <w:tab w:val="right" w:pos="9659"/>
        </w:tabs>
        <w:spacing w:after="120"/>
        <w:ind w:left="1134"/>
      </w:pPr>
      <w:r>
        <w:rPr>
          <w:noProof/>
        </w:rPr>
        <w:t>Статья 4.</w:t>
      </w:r>
      <w:r w:rsidRPr="00D93188">
        <w:tab/>
      </w:r>
      <w:r w:rsidRPr="00D93188">
        <w:tab/>
      </w:r>
      <w:r w:rsidRPr="007B7A9C">
        <w:t>3</w:t>
      </w:r>
      <w:r>
        <w:t>7–78</w:t>
      </w:r>
      <w:r>
        <w:tab/>
        <w:t>1</w:t>
      </w:r>
      <w:r w:rsidRPr="00FA5A15">
        <w:t>0</w:t>
      </w:r>
    </w:p>
    <w:p w:rsidR="00F2412B" w:rsidRPr="00C31BA9" w:rsidRDefault="00F2412B" w:rsidP="00F2412B">
      <w:pPr>
        <w:tabs>
          <w:tab w:val="right" w:leader="dot" w:pos="7655"/>
          <w:tab w:val="right" w:pos="8929"/>
          <w:tab w:val="right" w:pos="9659"/>
        </w:tabs>
        <w:spacing w:after="120"/>
        <w:ind w:left="1134"/>
        <w:rPr>
          <w:lang w:val="en-US"/>
        </w:rPr>
      </w:pPr>
      <w:r>
        <w:rPr>
          <w:noProof/>
        </w:rPr>
        <w:t>Статья 5.</w:t>
      </w:r>
      <w:r w:rsidRPr="00D93188">
        <w:tab/>
      </w:r>
      <w:r w:rsidRPr="00D93188">
        <w:tab/>
      </w:r>
      <w:r>
        <w:t>79–186</w:t>
      </w:r>
      <w:r>
        <w:tab/>
        <w:t>1</w:t>
      </w:r>
      <w:r w:rsidR="00C31BA9">
        <w:rPr>
          <w:lang w:val="en-US"/>
        </w:rPr>
        <w:t>7</w:t>
      </w:r>
    </w:p>
    <w:p w:rsidR="00F2412B" w:rsidRPr="00C31BA9" w:rsidRDefault="00F2412B" w:rsidP="00F2412B">
      <w:pPr>
        <w:tabs>
          <w:tab w:val="right" w:leader="dot" w:pos="7655"/>
          <w:tab w:val="right" w:pos="8929"/>
          <w:tab w:val="right" w:pos="9659"/>
        </w:tabs>
        <w:spacing w:after="120"/>
        <w:ind w:left="1701" w:hanging="567"/>
      </w:pPr>
      <w:r>
        <w:rPr>
          <w:noProof/>
        </w:rPr>
        <w:t>Статья 6.</w:t>
      </w:r>
      <w:r w:rsidRPr="00D93188">
        <w:tab/>
      </w:r>
      <w:r w:rsidRPr="00D93188">
        <w:tab/>
      </w:r>
      <w:r>
        <w:t>187–194</w:t>
      </w:r>
      <w:r>
        <w:tab/>
      </w:r>
      <w:r w:rsidR="00C31BA9" w:rsidRPr="00C31BA9">
        <w:t>40</w:t>
      </w:r>
    </w:p>
    <w:p w:rsidR="00F2412B" w:rsidRPr="00C31BA9" w:rsidRDefault="00F2412B" w:rsidP="00F2412B">
      <w:pPr>
        <w:tabs>
          <w:tab w:val="right" w:leader="dot" w:pos="7655"/>
          <w:tab w:val="right" w:pos="8929"/>
          <w:tab w:val="right" w:pos="9659"/>
        </w:tabs>
        <w:spacing w:after="120"/>
        <w:ind w:left="1701" w:hanging="567"/>
      </w:pPr>
      <w:r>
        <w:rPr>
          <w:noProof/>
        </w:rPr>
        <w:t>Статья 7</w:t>
      </w:r>
      <w:r w:rsidRPr="00D93188">
        <w:tab/>
      </w:r>
      <w:r w:rsidRPr="00D93188">
        <w:tab/>
      </w:r>
      <w:r>
        <w:t>195–206</w:t>
      </w:r>
      <w:r>
        <w:tab/>
      </w:r>
      <w:r w:rsidR="00C31BA9" w:rsidRPr="00C31BA9">
        <w:t>41</w:t>
      </w:r>
    </w:p>
    <w:p w:rsidR="00F2412B" w:rsidRPr="00FA5A15" w:rsidRDefault="00F2412B" w:rsidP="009D4ADF">
      <w:pPr>
        <w:tabs>
          <w:tab w:val="left" w:pos="1134"/>
          <w:tab w:val="left" w:pos="1701"/>
          <w:tab w:val="left" w:pos="1985"/>
          <w:tab w:val="right" w:leader="dot" w:pos="7655"/>
          <w:tab w:val="right" w:pos="8929"/>
          <w:tab w:val="right" w:pos="9659"/>
        </w:tabs>
        <w:spacing w:after="120"/>
      </w:pPr>
      <w:r>
        <w:t>Приложения</w:t>
      </w:r>
    </w:p>
    <w:p w:rsidR="00F2412B" w:rsidRPr="00C31BA9" w:rsidRDefault="00F2412B" w:rsidP="00F2412B">
      <w:pPr>
        <w:tabs>
          <w:tab w:val="right" w:pos="567"/>
          <w:tab w:val="left" w:pos="1134"/>
          <w:tab w:val="left" w:pos="1701"/>
          <w:tab w:val="left" w:pos="1985"/>
          <w:tab w:val="right" w:leader="dot" w:pos="8931"/>
          <w:tab w:val="right" w:pos="9639"/>
        </w:tabs>
        <w:spacing w:after="120"/>
        <w:ind w:left="1134" w:hanging="1134"/>
      </w:pPr>
      <w:r w:rsidRPr="0057788B">
        <w:tab/>
      </w:r>
      <w:r w:rsidRPr="00C822D2">
        <w:t>I</w:t>
      </w:r>
      <w:r w:rsidRPr="00AF13D2">
        <w:t>.</w:t>
      </w:r>
      <w:r w:rsidRPr="00AF13D2">
        <w:tab/>
      </w:r>
      <w:r>
        <w:t xml:space="preserve">Информация по Гренландии </w:t>
      </w:r>
      <w:r>
        <w:tab/>
      </w:r>
      <w:r w:rsidRPr="00AF13D2">
        <w:tab/>
      </w:r>
      <w:r w:rsidR="00C31BA9" w:rsidRPr="00C31BA9">
        <w:t>45</w:t>
      </w:r>
    </w:p>
    <w:p w:rsidR="00F2412B" w:rsidRPr="00C31BA9" w:rsidRDefault="00F2412B" w:rsidP="00F2412B">
      <w:pPr>
        <w:tabs>
          <w:tab w:val="right" w:pos="567"/>
          <w:tab w:val="left" w:pos="1134"/>
          <w:tab w:val="left" w:pos="1701"/>
          <w:tab w:val="left" w:pos="1985"/>
          <w:tab w:val="right" w:leader="dot" w:pos="8931"/>
          <w:tab w:val="right" w:pos="9639"/>
        </w:tabs>
        <w:spacing w:after="120"/>
        <w:ind w:left="1134" w:hanging="1134"/>
      </w:pPr>
      <w:r w:rsidRPr="0057788B">
        <w:tab/>
      </w:r>
      <w:r w:rsidRPr="00C822D2">
        <w:t>II</w:t>
      </w:r>
      <w:r w:rsidRPr="00AF13D2">
        <w:t>.</w:t>
      </w:r>
      <w:r w:rsidRPr="00AF13D2">
        <w:tab/>
      </w:r>
      <w:r>
        <w:t xml:space="preserve">Информация по Фарерским островам </w:t>
      </w:r>
      <w:r>
        <w:tab/>
      </w:r>
      <w:r w:rsidRPr="00AF13D2">
        <w:tab/>
      </w:r>
      <w:r w:rsidR="00C31BA9" w:rsidRPr="00C31BA9">
        <w:t>48</w:t>
      </w:r>
    </w:p>
    <w:p w:rsidR="00F2412B" w:rsidRPr="00C31BA9" w:rsidRDefault="00F2412B" w:rsidP="00F2412B">
      <w:pPr>
        <w:tabs>
          <w:tab w:val="right" w:pos="567"/>
          <w:tab w:val="left" w:pos="1134"/>
          <w:tab w:val="left" w:pos="1701"/>
          <w:tab w:val="left" w:pos="1985"/>
          <w:tab w:val="right" w:leader="dot" w:pos="8931"/>
          <w:tab w:val="right" w:pos="9639"/>
        </w:tabs>
        <w:spacing w:after="120"/>
        <w:ind w:left="1134" w:hanging="1134"/>
      </w:pPr>
      <w:r w:rsidRPr="0057788B">
        <w:tab/>
      </w:r>
      <w:r w:rsidRPr="00C822D2">
        <w:t>III</w:t>
      </w:r>
      <w:r w:rsidRPr="00AF13D2">
        <w:t>.</w:t>
      </w:r>
      <w:r w:rsidRPr="00AF13D2">
        <w:tab/>
      </w:r>
      <w:r>
        <w:t xml:space="preserve">Данные о заключенных в разбивке по этническому происхождению </w:t>
      </w:r>
      <w:r>
        <w:tab/>
      </w:r>
      <w:r w:rsidRPr="00AF13D2">
        <w:tab/>
      </w:r>
      <w:r w:rsidR="00C31BA9" w:rsidRPr="00C31BA9">
        <w:t>51</w:t>
      </w:r>
    </w:p>
    <w:p w:rsidR="00F2412B" w:rsidRPr="00F2412B" w:rsidRDefault="00F2412B" w:rsidP="00F2412B">
      <w:pPr>
        <w:tabs>
          <w:tab w:val="right" w:pos="567"/>
          <w:tab w:val="left" w:pos="1134"/>
          <w:tab w:val="left" w:pos="1701"/>
          <w:tab w:val="left" w:pos="1985"/>
          <w:tab w:val="right" w:leader="dot" w:pos="8931"/>
          <w:tab w:val="right" w:pos="9639"/>
        </w:tabs>
        <w:spacing w:after="120"/>
        <w:ind w:left="1134" w:hanging="1134"/>
      </w:pPr>
      <w:r w:rsidRPr="0057788B">
        <w:tab/>
      </w:r>
      <w:r>
        <w:t>IV</w:t>
      </w:r>
      <w:r w:rsidRPr="00AF13D2">
        <w:t>.</w:t>
      </w:r>
      <w:r w:rsidRPr="00AF13D2">
        <w:tab/>
      </w:r>
      <w:r>
        <w:t xml:space="preserve">Датская национальная стратегия интеграции рома </w:t>
      </w:r>
      <w:r>
        <w:tab/>
      </w:r>
      <w:r w:rsidRPr="00AF13D2">
        <w:tab/>
      </w:r>
      <w:r w:rsidR="00C31BA9" w:rsidRPr="00724E1B">
        <w:t>5</w:t>
      </w:r>
      <w:r w:rsidRPr="00E2692C">
        <w:t>6</w:t>
      </w:r>
    </w:p>
    <w:p w:rsidR="00907DF0" w:rsidRDefault="00907DF0" w:rsidP="00907DF0">
      <w:pPr>
        <w:pStyle w:val="HChGR"/>
      </w:pPr>
      <w:r>
        <w:br w:type="page"/>
      </w:r>
      <w:r>
        <w:tab/>
        <w:t>I.</w:t>
      </w:r>
      <w:r>
        <w:tab/>
        <w:t>Общие замечания</w:t>
      </w:r>
    </w:p>
    <w:p w:rsidR="00907DF0" w:rsidRDefault="00907DF0" w:rsidP="00907DF0">
      <w:pPr>
        <w:pStyle w:val="SingleTxtGR"/>
      </w:pPr>
      <w:r>
        <w:t>1.</w:t>
      </w:r>
      <w:r>
        <w:tab/>
        <w:t>Настоящий доклад объединяет двадцатый и двадцать первый периодич</w:t>
      </w:r>
      <w:r>
        <w:t>е</w:t>
      </w:r>
      <w:r>
        <w:t>ские доклады, представленные правительством Дании в соответствии со стат</w:t>
      </w:r>
      <w:r>
        <w:t>ь</w:t>
      </w:r>
      <w:r>
        <w:t>ей</w:t>
      </w:r>
      <w:r w:rsidR="0081171D">
        <w:t> </w:t>
      </w:r>
      <w:r>
        <w:t>9 Международной конвенции о ликвидации всех форм расовой дискримин</w:t>
      </w:r>
      <w:r>
        <w:t>а</w:t>
      </w:r>
      <w:r>
        <w:t>ции. Этот доклад является обновленным вариантом упоминаемых в тексте пр</w:t>
      </w:r>
      <w:r>
        <w:t>е</w:t>
      </w:r>
      <w:r>
        <w:t>дыдущих периодических докладов, а именно сведенных воедино восемнадцат</w:t>
      </w:r>
      <w:r>
        <w:t>о</w:t>
      </w:r>
      <w:r>
        <w:t>го и девятнадцат</w:t>
      </w:r>
      <w:r>
        <w:t>о</w:t>
      </w:r>
      <w:r>
        <w:t xml:space="preserve">го периодических докладов (CERD/C/DNK/18-19) </w:t>
      </w:r>
      <w:r w:rsidR="0081171D">
        <w:br/>
      </w:r>
      <w:r>
        <w:t>(далее по тексту – "девятнадцатый периодический доклад"), которые были представлены 7</w:t>
      </w:r>
      <w:r w:rsidR="0081171D">
        <w:t> </w:t>
      </w:r>
      <w:r>
        <w:t>июля 2009</w:t>
      </w:r>
      <w:r w:rsidR="0081171D">
        <w:t> </w:t>
      </w:r>
      <w:r>
        <w:t>года. В нем также содержатся ссылки на заключ</w:t>
      </w:r>
      <w:r>
        <w:t>и</w:t>
      </w:r>
      <w:r>
        <w:t>тельные з</w:t>
      </w:r>
      <w:r>
        <w:t>а</w:t>
      </w:r>
      <w:r>
        <w:t xml:space="preserve">мечания Комитета </w:t>
      </w:r>
      <w:r w:rsidRPr="006D3840">
        <w:t>по</w:t>
      </w:r>
      <w:r>
        <w:t xml:space="preserve"> ликвидации расовой дискриминации </w:t>
      </w:r>
      <w:r w:rsidR="0081171D">
        <w:br/>
      </w:r>
      <w:r>
        <w:t>по этому докладу (CERD/C/DNK/CO/18-19). Кроме того, в нем приведены ссылки на</w:t>
      </w:r>
      <w:r w:rsidR="0081171D">
        <w:t xml:space="preserve"> </w:t>
      </w:r>
      <w:r>
        <w:t>представленную правительством Дании 24</w:t>
      </w:r>
      <w:r w:rsidR="0081171D">
        <w:t> </w:t>
      </w:r>
      <w:r>
        <w:t>августа 2011</w:t>
      </w:r>
      <w:r w:rsidR="0081171D">
        <w:t> </w:t>
      </w:r>
      <w:r>
        <w:t>года инфо</w:t>
      </w:r>
      <w:r>
        <w:t>р</w:t>
      </w:r>
      <w:r>
        <w:t>мацию по</w:t>
      </w:r>
      <w:r w:rsidR="0081171D">
        <w:t xml:space="preserve"> </w:t>
      </w:r>
      <w:r>
        <w:t>итогам рассмотрения заключительных замечаний Комитета (CERD/C/DNK/CO/18</w:t>
      </w:r>
      <w:r w:rsidR="0081171D">
        <w:noBreakHyphen/>
      </w:r>
      <w:r>
        <w:t>19/Add.1). Для целей настоящего доклада, когда в тексте приводится ссылка на "заключительные замечания" без дополнительных уто</w:t>
      </w:r>
      <w:r>
        <w:t>ч</w:t>
      </w:r>
      <w:r>
        <w:t>нений, речь идет о заключительных замечаниях Комитета по девятнадцатому периодическому д</w:t>
      </w:r>
      <w:r>
        <w:t>о</w:t>
      </w:r>
      <w:r>
        <w:t>кладу Дании.</w:t>
      </w:r>
    </w:p>
    <w:p w:rsidR="00907DF0" w:rsidRDefault="00907DF0" w:rsidP="00907DF0">
      <w:pPr>
        <w:pStyle w:val="SingleTxtGR"/>
      </w:pPr>
      <w:r>
        <w:t>2.</w:t>
      </w:r>
      <w:r>
        <w:tab/>
        <w:t>Настоящий доклад охватывает период с июля 2009 по апрель 2013</w:t>
      </w:r>
      <w:r w:rsidR="0081171D">
        <w:t> </w:t>
      </w:r>
      <w:r>
        <w:t>года. В</w:t>
      </w:r>
      <w:r w:rsidR="0081171D">
        <w:t> </w:t>
      </w:r>
      <w:r>
        <w:t>тех случаях, когда за этот период никаких изменений в законодательной, с</w:t>
      </w:r>
      <w:r>
        <w:t>у</w:t>
      </w:r>
      <w:r>
        <w:t>дебной или административной области не произошло, следует обращаться к д</w:t>
      </w:r>
      <w:r>
        <w:t>е</w:t>
      </w:r>
      <w:r w:rsidR="00987F86">
        <w:t>вятнадцатому или другим предыдущим периодическим докладам</w:t>
      </w:r>
      <w:r>
        <w:t>.</w:t>
      </w:r>
    </w:p>
    <w:p w:rsidR="00907DF0" w:rsidRDefault="00907DF0" w:rsidP="00907DF0">
      <w:pPr>
        <w:pStyle w:val="SingleTxtGR"/>
      </w:pPr>
      <w:r>
        <w:t>3.</w:t>
      </w:r>
      <w:r>
        <w:tab/>
        <w:t>Подробная информация о положении в Гренландии и на Фарерских ос</w:t>
      </w:r>
      <w:r>
        <w:t>т</w:t>
      </w:r>
      <w:r>
        <w:t>ровах приводится, соответственно, в приложениях</w:t>
      </w:r>
      <w:r w:rsidR="0081171D">
        <w:t> </w:t>
      </w:r>
      <w:r>
        <w:t>I и II. Информация, относ</w:t>
      </w:r>
      <w:r>
        <w:t>я</w:t>
      </w:r>
      <w:r>
        <w:t>щаяся к рекомендации, вынесенной в пункте</w:t>
      </w:r>
      <w:r w:rsidR="0081171D">
        <w:t> </w:t>
      </w:r>
      <w:r>
        <w:t>17 заключительных замечаний Комитета по девятнадцатому периодическому докладу, приводится в прилож</w:t>
      </w:r>
      <w:r>
        <w:t>е</w:t>
      </w:r>
      <w:r>
        <w:t>нии</w:t>
      </w:r>
      <w:r w:rsidR="0081171D">
        <w:t> </w:t>
      </w:r>
      <w:r>
        <w:t>I (Гренландия).</w:t>
      </w:r>
    </w:p>
    <w:p w:rsidR="00907DF0" w:rsidRDefault="00907DF0" w:rsidP="00907DF0">
      <w:pPr>
        <w:pStyle w:val="SingleTxtGR"/>
      </w:pPr>
      <w:r>
        <w:t>4.</w:t>
      </w:r>
      <w:r>
        <w:tab/>
        <w:t>Настоящий доклад подготовлен Министерством иностранных дел на о</w:t>
      </w:r>
      <w:r>
        <w:t>с</w:t>
      </w:r>
      <w:r>
        <w:t>нове материалов, поступивших от соответствующих министерств и государс</w:t>
      </w:r>
      <w:r>
        <w:t>т</w:t>
      </w:r>
      <w:r>
        <w:t>венных ведомств Дании и правительств Гренландии и Фарерских островов. Кроме того, замечания в связи с подготовкой настоящего доклада были пре</w:t>
      </w:r>
      <w:r>
        <w:t>д</w:t>
      </w:r>
      <w:r>
        <w:t>ставлены Датским институтом по правам человека.</w:t>
      </w:r>
    </w:p>
    <w:p w:rsidR="00907DF0" w:rsidRDefault="00907DF0" w:rsidP="00907DF0">
      <w:pPr>
        <w:pStyle w:val="H23GR"/>
      </w:pPr>
      <w:r>
        <w:tab/>
      </w:r>
      <w:r>
        <w:tab/>
        <w:t>Обнародование</w:t>
      </w:r>
    </w:p>
    <w:p w:rsidR="00907DF0" w:rsidRDefault="00907DF0" w:rsidP="00907DF0">
      <w:pPr>
        <w:pStyle w:val="SingleTxtGR"/>
      </w:pPr>
      <w:r>
        <w:t>5.</w:t>
      </w:r>
      <w:r>
        <w:tab/>
        <w:t>Настоящий доклад, как и все периодические доклады, представленные правительством Дании договорным органам Организации Объединенных Н</w:t>
      </w:r>
      <w:r>
        <w:t>а</w:t>
      </w:r>
      <w:r>
        <w:t>ций, будет обнародован на официальном веб-сайте Министерства иностра</w:t>
      </w:r>
      <w:r>
        <w:t>н</w:t>
      </w:r>
      <w:r>
        <w:t>ных дел (www.um.dk). Заключительные замечания Комитета по их поступлении б</w:t>
      </w:r>
      <w:r>
        <w:t>у</w:t>
      </w:r>
      <w:r>
        <w:t>дут также обнародованы и освещены в пресс-релизе.</w:t>
      </w:r>
    </w:p>
    <w:p w:rsidR="00907DF0" w:rsidRDefault="00907DF0" w:rsidP="00907DF0">
      <w:pPr>
        <w:pStyle w:val="H23GR"/>
      </w:pPr>
      <w:r>
        <w:tab/>
      </w:r>
      <w:r>
        <w:tab/>
        <w:t>Поправка к пункту 6 статьи 8</w:t>
      </w:r>
    </w:p>
    <w:p w:rsidR="00907DF0" w:rsidRDefault="00907DF0" w:rsidP="00907DF0">
      <w:pPr>
        <w:pStyle w:val="SingleTxtGR"/>
      </w:pPr>
      <w:r>
        <w:t>6.</w:t>
      </w:r>
      <w:r>
        <w:tab/>
        <w:t>В пункте</w:t>
      </w:r>
      <w:r w:rsidR="0081171D">
        <w:t> </w:t>
      </w:r>
      <w:r>
        <w:t>23 своих заключительных замечаний Комитет рекомендовал р</w:t>
      </w:r>
      <w:r>
        <w:t>а</w:t>
      </w:r>
      <w:r>
        <w:t>тифицировать поправки к пункту</w:t>
      </w:r>
      <w:r w:rsidR="0081171D">
        <w:t> </w:t>
      </w:r>
      <w:r>
        <w:t>6 статьи</w:t>
      </w:r>
      <w:r w:rsidR="0081171D">
        <w:t> </w:t>
      </w:r>
      <w:r>
        <w:t>8 Международной конвенции о ли</w:t>
      </w:r>
      <w:r>
        <w:t>к</w:t>
      </w:r>
      <w:r>
        <w:t>видации всех форм расовой дискриминации. Правительство желает проинфо</w:t>
      </w:r>
      <w:r>
        <w:t>р</w:t>
      </w:r>
      <w:r>
        <w:t>мировать Комитет о том, что документ о принятии этой поправки правительс</w:t>
      </w:r>
      <w:r>
        <w:t>т</w:t>
      </w:r>
      <w:r>
        <w:t>вом Дании был передан на хранение Генеральному секретарю 3</w:t>
      </w:r>
      <w:r w:rsidR="0081171D">
        <w:t> </w:t>
      </w:r>
      <w:r>
        <w:t>сентября 1993</w:t>
      </w:r>
      <w:r w:rsidR="0081171D">
        <w:t> </w:t>
      </w:r>
      <w:r>
        <w:t>года.</w:t>
      </w:r>
    </w:p>
    <w:p w:rsidR="00907DF0" w:rsidRDefault="00907DF0" w:rsidP="00907DF0">
      <w:pPr>
        <w:pStyle w:val="H23GR"/>
      </w:pPr>
      <w:r>
        <w:tab/>
      </w:r>
      <w:r>
        <w:tab/>
        <w:t>Базовый документ Дании</w:t>
      </w:r>
    </w:p>
    <w:p w:rsidR="00907DF0" w:rsidRDefault="00907DF0" w:rsidP="00907DF0">
      <w:pPr>
        <w:pStyle w:val="SingleTxtGR"/>
      </w:pPr>
      <w:r>
        <w:t>7.</w:t>
      </w:r>
      <w:r>
        <w:tab/>
        <w:t>Правительство в надлежащем порядке приняло к сведению адресованный Дании Комитетом в пункте</w:t>
      </w:r>
      <w:r w:rsidR="0081171D">
        <w:t> </w:t>
      </w:r>
      <w:r>
        <w:t>25 его заключительных замечаний призыв предст</w:t>
      </w:r>
      <w:r>
        <w:t>а</w:t>
      </w:r>
      <w:r>
        <w:t>вить обновленный вариант базового документа Дании. Однако правительство имеет в виду отложить начало работы над возможным обновленным вар</w:t>
      </w:r>
      <w:r>
        <w:t>и</w:t>
      </w:r>
      <w:r>
        <w:t>антом базового документа до завершения межправительственного процесса укрепл</w:t>
      </w:r>
      <w:r>
        <w:t>е</w:t>
      </w:r>
      <w:r>
        <w:t>ния договорных о</w:t>
      </w:r>
      <w:r>
        <w:t>р</w:t>
      </w:r>
      <w:r>
        <w:t>ганов.</w:t>
      </w:r>
    </w:p>
    <w:p w:rsidR="00907DF0" w:rsidRDefault="00907DF0" w:rsidP="00907DF0">
      <w:pPr>
        <w:pStyle w:val="HChGR"/>
      </w:pPr>
      <w:r>
        <w:tab/>
        <w:t>II.</w:t>
      </w:r>
      <w:r>
        <w:tab/>
        <w:t>Информация, касающаяся статей 2</w:t>
      </w:r>
      <w:r w:rsidR="00221FE4">
        <w:t>–</w:t>
      </w:r>
      <w:r>
        <w:t>7 Конвенции</w:t>
      </w:r>
    </w:p>
    <w:p w:rsidR="00907DF0" w:rsidRPr="00BC63F5" w:rsidRDefault="00BC63F5" w:rsidP="00907DF0">
      <w:pPr>
        <w:pStyle w:val="H1GR"/>
        <w:rPr>
          <w:lang w:val="en-US"/>
        </w:rPr>
      </w:pPr>
      <w:r>
        <w:tab/>
      </w:r>
      <w:r>
        <w:tab/>
        <w:t>Статья 2, пункт 1</w:t>
      </w:r>
    </w:p>
    <w:p w:rsidR="00907DF0" w:rsidRDefault="00907DF0" w:rsidP="00907DF0">
      <w:pPr>
        <w:pStyle w:val="H1GR"/>
      </w:pPr>
      <w:r>
        <w:tab/>
      </w:r>
      <w:r>
        <w:tab/>
        <w:t>Общие меры по ликвидации расовой дискриминации</w:t>
      </w:r>
    </w:p>
    <w:p w:rsidR="00907DF0" w:rsidRDefault="00907DF0" w:rsidP="00907DF0">
      <w:pPr>
        <w:pStyle w:val="SingleTxtGR"/>
      </w:pPr>
      <w:r>
        <w:t>8.</w:t>
      </w:r>
      <w:r>
        <w:tab/>
        <w:t>Дания придает важное значение борьбе с нетерпимостью и расизмом. Д</w:t>
      </w:r>
      <w:r>
        <w:t>а</w:t>
      </w:r>
      <w:r>
        <w:t>нией уже приняты и будут далее приниматься меры по защите уязвимых соц</w:t>
      </w:r>
      <w:r>
        <w:t>и</w:t>
      </w:r>
      <w:r>
        <w:t>альных групп от дискриминации и преступлений на почве ненависти, по борьбе с расизмом, нетерпимостью и ксенофобией. За время, истекшее с момента представления Данией девятнадцатого периодического доклада, правительс</w:t>
      </w:r>
      <w:r>
        <w:t>т</w:t>
      </w:r>
      <w:r>
        <w:t>вом были приняты различные меры по ликвидации расовой дискриминации и</w:t>
      </w:r>
      <w:r w:rsidR="008F2270">
        <w:t> </w:t>
      </w:r>
      <w:r>
        <w:t>наращиванию процесса интеграции. Информация о некоторых из этих общих мер приводится ниже.</w:t>
      </w:r>
    </w:p>
    <w:p w:rsidR="00907DF0" w:rsidRDefault="00907DF0" w:rsidP="00907DF0">
      <w:pPr>
        <w:pStyle w:val="SingleTxtGR"/>
      </w:pPr>
      <w:r>
        <w:t>9.</w:t>
      </w:r>
      <w:r>
        <w:tab/>
        <w:t>Касаясь пункта</w:t>
      </w:r>
      <w:r w:rsidR="0081171D">
        <w:t> </w:t>
      </w:r>
      <w:r>
        <w:t>21 заключительных замечаний Комитета, правительство желает проинформировать его о неизменной и полной приверженности Дании главной цели Дурбанской конференции 2001 года, которая заключается в по</w:t>
      </w:r>
      <w:r>
        <w:t>л</w:t>
      </w:r>
      <w:r>
        <w:t>ной ликвидации расизма, расовой дискриминации, ксенофобии и связанной с</w:t>
      </w:r>
      <w:r w:rsidR="0081171D">
        <w:t> </w:t>
      </w:r>
      <w:r>
        <w:t>ними нетерпимости. Правительство рассматривает Международную конве</w:t>
      </w:r>
      <w:r>
        <w:t>н</w:t>
      </w:r>
      <w:r>
        <w:t>цию о ликвидации всех форм расовой дискриминации в качестве универсал</w:t>
      </w:r>
      <w:r>
        <w:t>ь</w:t>
      </w:r>
      <w:r>
        <w:t>ной основы для усилий по недопущению и искоренению расизма и борьбе с</w:t>
      </w:r>
      <w:r w:rsidR="0081171D">
        <w:t> </w:t>
      </w:r>
      <w:r>
        <w:t>ним. Поэтому практические усилия в этой области нацелены непосредственно на выполнение этих договорных международных обязательств при сохранении в поле зрения дурбанских документов. В последние годы правительство прин</w:t>
      </w:r>
      <w:r>
        <w:t>я</w:t>
      </w:r>
      <w:r>
        <w:t>ло два плана действий, направленных на повышение уровня терпимости в о</w:t>
      </w:r>
      <w:r>
        <w:t>б</w:t>
      </w:r>
      <w:r>
        <w:t>ществе: план действий на период с 2009</w:t>
      </w:r>
      <w:r w:rsidR="0081171D">
        <w:t> </w:t>
      </w:r>
      <w:r>
        <w:t>года по недопущению экстремистских настроений среди молодежи, а также план действий на период с 2010</w:t>
      </w:r>
      <w:r w:rsidR="0081171D">
        <w:t> </w:t>
      </w:r>
      <w:r>
        <w:t>года по утверждению межэтнического равноправия и воспитанию уважения к челов</w:t>
      </w:r>
      <w:r>
        <w:t>е</w:t>
      </w:r>
      <w:r>
        <w:t>ческой личности. Реализовано большинство инициатив по линии ранее прин</w:t>
      </w:r>
      <w:r>
        <w:t>я</w:t>
      </w:r>
      <w:r>
        <w:t>тых правительством планов действий, а другие инициативы были скорректир</w:t>
      </w:r>
      <w:r>
        <w:t>о</w:t>
      </w:r>
      <w:r>
        <w:t>ваны с целью привести их в соответствие с текущими политическими устано</w:t>
      </w:r>
      <w:r>
        <w:t>в</w:t>
      </w:r>
      <w:r>
        <w:t>ками правительства.</w:t>
      </w:r>
    </w:p>
    <w:p w:rsidR="00907DF0" w:rsidRDefault="00907DF0" w:rsidP="00907DF0">
      <w:pPr>
        <w:pStyle w:val="SingleTxtGR"/>
      </w:pPr>
      <w:r>
        <w:t>10.</w:t>
      </w:r>
      <w:r>
        <w:tab/>
        <w:t>В период после представления девятнадцатого периодического доклада правительство произвело пересмотр основ интеграционной политики Дании. Нынешнее правительство приступило к исполнению своих обязанностей в о</w:t>
      </w:r>
      <w:r>
        <w:t>к</w:t>
      </w:r>
      <w:r>
        <w:t>тябре 2012</w:t>
      </w:r>
      <w:r w:rsidR="0081171D">
        <w:t> </w:t>
      </w:r>
      <w:r>
        <w:t>года. Правительство рассматривает в качестве одной из своих кл</w:t>
      </w:r>
      <w:r>
        <w:t>ю</w:t>
      </w:r>
      <w:r>
        <w:t>чевых задач более полную интеграцию мигрантов и беженцев. Оно возложило обязанность по углублению интеграции на ряд министерств, общая координ</w:t>
      </w:r>
      <w:r>
        <w:t>а</w:t>
      </w:r>
      <w:r>
        <w:t>ция деятельности которых поручена Министерству социального обеспечения и</w:t>
      </w:r>
      <w:r w:rsidR="0081171D">
        <w:t> </w:t>
      </w:r>
      <w:r>
        <w:t>интеграции. Цель новой политики, проводимой правительством, заключае</w:t>
      </w:r>
      <w:r>
        <w:t>т</w:t>
      </w:r>
      <w:r>
        <w:t>ся в том, чтобы утвердить целостный и комплексный подход к интеграции, учит</w:t>
      </w:r>
      <w:r>
        <w:t>ы</w:t>
      </w:r>
      <w:r>
        <w:t>вающий как потребности общества, так и нужды мигрантов, и добиться того, чтобы политика интеграции побуждала всех мигрантов и их потомков к вкл</w:t>
      </w:r>
      <w:r>
        <w:t>ю</w:t>
      </w:r>
      <w:r>
        <w:t>ченности и равноправному участию в жизни датского общества.</w:t>
      </w:r>
    </w:p>
    <w:p w:rsidR="00907DF0" w:rsidRDefault="00907DF0" w:rsidP="00907DF0">
      <w:pPr>
        <w:pStyle w:val="SingleTxtGR"/>
      </w:pPr>
      <w:r>
        <w:t>11.</w:t>
      </w:r>
      <w:r>
        <w:tab/>
        <w:t>В ноябре 2012</w:t>
      </w:r>
      <w:r w:rsidR="0081171D">
        <w:t> </w:t>
      </w:r>
      <w:r>
        <w:t>года правительство приступило к претворению в жизнь своего нового подхода к интеграции. Стратегическая линия правительства в</w:t>
      </w:r>
      <w:r w:rsidR="0081171D">
        <w:t> </w:t>
      </w:r>
      <w:r>
        <w:t>этой области нацелена прежде всего на разработку целостного и комплексного подхода к интеграции, учитывающего помимо потребностей общества и нужды мигрантов, а также на обеспечение того, чтобы политика интеграции на деле побуждала всех мигрантов и их потомков к включенности и равноправному участию в жизни датского общества. Эта стратегическая линия предполагает решение семи основных задач:</w:t>
      </w:r>
    </w:p>
    <w:p w:rsidR="00907DF0" w:rsidRDefault="00907DF0" w:rsidP="004A15C8">
      <w:pPr>
        <w:pStyle w:val="SingleTxtGR"/>
        <w:tabs>
          <w:tab w:val="clear" w:pos="1701"/>
          <w:tab w:val="clear" w:pos="2268"/>
        </w:tabs>
        <w:ind w:left="1985" w:hanging="284"/>
      </w:pPr>
      <w:r>
        <w:t>-</w:t>
      </w:r>
      <w:r>
        <w:tab/>
        <w:t>управление деятельностью по интеграции и контроль за ней (вкл</w:t>
      </w:r>
      <w:r>
        <w:t>ю</w:t>
      </w:r>
      <w:r>
        <w:t>чая запуск проекта "Национальный интеграционный барометр", который задает пок</w:t>
      </w:r>
      <w:r>
        <w:t>а</w:t>
      </w:r>
      <w:r>
        <w:t>затели успешной интеграции);</w:t>
      </w:r>
    </w:p>
    <w:p w:rsidR="00907DF0" w:rsidRDefault="00907DF0" w:rsidP="004A15C8">
      <w:pPr>
        <w:pStyle w:val="SingleTxtGR"/>
        <w:tabs>
          <w:tab w:val="clear" w:pos="1701"/>
          <w:tab w:val="clear" w:pos="2268"/>
        </w:tabs>
        <w:ind w:left="1985" w:hanging="284"/>
      </w:pPr>
      <w:r>
        <w:t>-</w:t>
      </w:r>
      <w:r>
        <w:tab/>
        <w:t>прием и обеспечение интеграции вновь прибывающих беженцев и</w:t>
      </w:r>
      <w:r w:rsidR="00E64CCF">
        <w:t> </w:t>
      </w:r>
      <w:r>
        <w:t>мигрантов;</w:t>
      </w:r>
    </w:p>
    <w:p w:rsidR="00907DF0" w:rsidRDefault="00907DF0" w:rsidP="004A15C8">
      <w:pPr>
        <w:pStyle w:val="SingleTxtGR"/>
        <w:tabs>
          <w:tab w:val="clear" w:pos="1701"/>
          <w:tab w:val="clear" w:pos="2268"/>
        </w:tabs>
        <w:ind w:left="1985" w:hanging="284"/>
      </w:pPr>
      <w:r>
        <w:t>-</w:t>
      </w:r>
      <w:r>
        <w:tab/>
        <w:t>повышение уровня занятости среди мигрантов и их пото</w:t>
      </w:r>
      <w:r>
        <w:t>м</w:t>
      </w:r>
      <w:r>
        <w:t>ков;</w:t>
      </w:r>
    </w:p>
    <w:p w:rsidR="00907DF0" w:rsidRDefault="00907DF0" w:rsidP="004A15C8">
      <w:pPr>
        <w:pStyle w:val="SingleTxtGR"/>
        <w:tabs>
          <w:tab w:val="clear" w:pos="1701"/>
          <w:tab w:val="clear" w:pos="2268"/>
        </w:tabs>
        <w:ind w:left="1985" w:hanging="284"/>
      </w:pPr>
      <w:r>
        <w:t>-</w:t>
      </w:r>
      <w:r>
        <w:tab/>
        <w:t>повышение образовательного уровня с акцентом на повышении усп</w:t>
      </w:r>
      <w:r>
        <w:t>е</w:t>
      </w:r>
      <w:r>
        <w:t>ваемости мигрантов и их потомков в школах и других учебных завед</w:t>
      </w:r>
      <w:r>
        <w:t>е</w:t>
      </w:r>
      <w:r>
        <w:t>ниях;</w:t>
      </w:r>
    </w:p>
    <w:p w:rsidR="00907DF0" w:rsidRDefault="00907DF0" w:rsidP="004A15C8">
      <w:pPr>
        <w:pStyle w:val="SingleTxtGR"/>
        <w:tabs>
          <w:tab w:val="clear" w:pos="1701"/>
          <w:tab w:val="clear" w:pos="2268"/>
        </w:tabs>
        <w:ind w:left="1985" w:hanging="284"/>
      </w:pPr>
      <w:r>
        <w:t>-</w:t>
      </w:r>
      <w:r>
        <w:tab/>
        <w:t>повышение уровня гражданственности и социальной интеграции, расширение равных возможностей и утверждение гендерного равенс</w:t>
      </w:r>
      <w:r>
        <w:t>т</w:t>
      </w:r>
      <w:r>
        <w:t>ва среди мигрантов и их потомков;</w:t>
      </w:r>
    </w:p>
    <w:p w:rsidR="00907DF0" w:rsidRDefault="00907DF0" w:rsidP="004A15C8">
      <w:pPr>
        <w:pStyle w:val="SingleTxtGR"/>
        <w:tabs>
          <w:tab w:val="clear" w:pos="1701"/>
          <w:tab w:val="clear" w:pos="2268"/>
        </w:tabs>
        <w:ind w:left="1985" w:hanging="284"/>
      </w:pPr>
      <w:r>
        <w:t>-</w:t>
      </w:r>
      <w:r>
        <w:tab/>
        <w:t>наращивание комплексных интеграционных усилий в неблагополу</w:t>
      </w:r>
      <w:r>
        <w:t>ч</w:t>
      </w:r>
      <w:r>
        <w:t>ных кварталах;</w:t>
      </w:r>
    </w:p>
    <w:p w:rsidR="00907DF0" w:rsidRDefault="00907DF0" w:rsidP="004A15C8">
      <w:pPr>
        <w:pStyle w:val="SingleTxtGR"/>
        <w:tabs>
          <w:tab w:val="clear" w:pos="1701"/>
          <w:tab w:val="clear" w:pos="2268"/>
        </w:tabs>
        <w:ind w:left="1985" w:hanging="284"/>
      </w:pPr>
      <w:r>
        <w:t>-</w:t>
      </w:r>
      <w:r>
        <w:tab/>
        <w:t>недопущение маргинализации и преступности в среде мигрантов и</w:t>
      </w:r>
      <w:r w:rsidR="0067663A">
        <w:t xml:space="preserve"> </w:t>
      </w:r>
      <w:r>
        <w:t>их п</w:t>
      </w:r>
      <w:r>
        <w:t>о</w:t>
      </w:r>
      <w:r>
        <w:t>томков.</w:t>
      </w:r>
    </w:p>
    <w:p w:rsidR="00907DF0" w:rsidRDefault="00907DF0" w:rsidP="0081171D">
      <w:pPr>
        <w:pStyle w:val="SingleTxtGR"/>
      </w:pPr>
      <w:r>
        <w:t>12.</w:t>
      </w:r>
      <w:r>
        <w:tab/>
        <w:t>Кроме того, на период 2012–2015</w:t>
      </w:r>
      <w:r w:rsidR="00361C33">
        <w:t> </w:t>
      </w:r>
      <w:r>
        <w:t>годов на реализацию инициатив по воспитанию гражданственности и борьбе с дискриминацией в отношении этн</w:t>
      </w:r>
      <w:r>
        <w:t>и</w:t>
      </w:r>
      <w:r>
        <w:t>ческих меньшинств (в том числе на помощь мун</w:t>
      </w:r>
      <w:r>
        <w:t>и</w:t>
      </w:r>
      <w:r>
        <w:t>ципалитетам, НПО и советам по вопросам интеграции) было выделено в общей сложности 20</w:t>
      </w:r>
      <w:r w:rsidR="00CF6CDE">
        <w:t> млн. </w:t>
      </w:r>
      <w:r>
        <w:t>датских крон. Ожидается, что в 2013</w:t>
      </w:r>
      <w:r w:rsidR="00361C33">
        <w:t> </w:t>
      </w:r>
      <w:r>
        <w:t>году начнется выделение средств различным ин</w:t>
      </w:r>
      <w:r>
        <w:t>и</w:t>
      </w:r>
      <w:r>
        <w:t>циативам местного и общенационального уровня на цели борьбы с дискрим</w:t>
      </w:r>
      <w:r>
        <w:t>и</w:t>
      </w:r>
      <w:r>
        <w:t>нацией в отношении этнических меньшинств.</w:t>
      </w:r>
    </w:p>
    <w:p w:rsidR="00907DF0" w:rsidRDefault="00907DF0" w:rsidP="00907DF0">
      <w:pPr>
        <w:pStyle w:val="H23GR"/>
      </w:pPr>
      <w:r>
        <w:tab/>
      </w:r>
      <w:r>
        <w:tab/>
        <w:t>Стратегия противодействия конфликтам на почве защиты чести</w:t>
      </w:r>
    </w:p>
    <w:p w:rsidR="00907DF0" w:rsidRDefault="00907DF0" w:rsidP="00907DF0">
      <w:pPr>
        <w:pStyle w:val="SingleTxtGR"/>
      </w:pPr>
      <w:r>
        <w:t>13.</w:t>
      </w:r>
      <w:r>
        <w:tab/>
        <w:t>Помимо этого в русле осуществляемой правительством программы "За</w:t>
      </w:r>
      <w:r w:rsidR="00361C33">
        <w:t> </w:t>
      </w:r>
      <w:r>
        <w:t>единство датского народа" (октябрь 2011</w:t>
      </w:r>
      <w:r w:rsidR="00361C33">
        <w:t> </w:t>
      </w:r>
      <w:r>
        <w:t>года) правительство провозгласило национальную стратегию борьбы с конфликтами на почве защиты чести. На ч</w:t>
      </w:r>
      <w:r>
        <w:t>е</w:t>
      </w:r>
      <w:r>
        <w:t>тыре года было выделено в общей сложности 24</w:t>
      </w:r>
      <w:r w:rsidR="00361C33">
        <w:t> </w:t>
      </w:r>
      <w:r>
        <w:t>млн.</w:t>
      </w:r>
      <w:r w:rsidR="00361C33">
        <w:t> </w:t>
      </w:r>
      <w:r>
        <w:t>датских крон, с тем чтобы уменьшить число молодых людей, становящихся жертвами конфликтов на по</w:t>
      </w:r>
      <w:r>
        <w:t>ч</w:t>
      </w:r>
      <w:r>
        <w:t>ве защиты чести. Эта стратегия была провозглашена Министром социального обеспечения и интеграции 6</w:t>
      </w:r>
      <w:r w:rsidR="00361C33">
        <w:t> </w:t>
      </w:r>
      <w:r>
        <w:t>июля 2012</w:t>
      </w:r>
      <w:r w:rsidR="00361C33">
        <w:t> </w:t>
      </w:r>
      <w:r>
        <w:t>г</w:t>
      </w:r>
      <w:r>
        <w:t>о</w:t>
      </w:r>
      <w:r>
        <w:t>да. Она строится на той посылке, что конфликты на почве защиты чести не только затрудняют жизнь непосредстве</w:t>
      </w:r>
      <w:r>
        <w:t>н</w:t>
      </w:r>
      <w:r>
        <w:t>но вовлеченным в них лицам, но и являются препятствием для интеграции м</w:t>
      </w:r>
      <w:r>
        <w:t>и</w:t>
      </w:r>
      <w:r>
        <w:t>грантов в более широком смысле. Соответственно, эта стратегия преследует, в</w:t>
      </w:r>
      <w:r w:rsidR="00361C33">
        <w:t> </w:t>
      </w:r>
      <w:r>
        <w:t>частности, цель углубить понимание молодыми людьми своих основных прав, которыми они обладают в качестве граждан Дании, и научить их осуществлять свои основные права. Эта стратегия нацелена, среди прочего, на развитие с</w:t>
      </w:r>
      <w:r>
        <w:t>о</w:t>
      </w:r>
      <w:r>
        <w:t>трудничества между муниципалитетами, другими официальными органами и</w:t>
      </w:r>
      <w:r w:rsidR="00361C33">
        <w:t> </w:t>
      </w:r>
      <w:r>
        <w:t>НПО, на подготовку специалистов, оказание поддержки молодым людям, и</w:t>
      </w:r>
      <w:r>
        <w:t>з</w:t>
      </w:r>
      <w:r>
        <w:t>менение привычного отношения и проведение пр</w:t>
      </w:r>
      <w:r>
        <w:t>о</w:t>
      </w:r>
      <w:r>
        <w:t>светительских кампаний.</w:t>
      </w:r>
    </w:p>
    <w:p w:rsidR="00907DF0" w:rsidRDefault="00907DF0" w:rsidP="00907DF0">
      <w:pPr>
        <w:pStyle w:val="H23GR"/>
      </w:pPr>
      <w:r>
        <w:tab/>
      </w:r>
      <w:r>
        <w:tab/>
        <w:t>План действий по утверждению корпоративной социальной ответственности на 2012─2015 годы</w:t>
      </w:r>
    </w:p>
    <w:p w:rsidR="00907DF0" w:rsidRDefault="00907DF0" w:rsidP="00907DF0">
      <w:pPr>
        <w:pStyle w:val="SingleTxtGR"/>
      </w:pPr>
      <w:r>
        <w:t>14.</w:t>
      </w:r>
      <w:r>
        <w:tab/>
        <w:t>За время с момента представления Данией своего девятнадцатого пери</w:t>
      </w:r>
      <w:r>
        <w:t>о</w:t>
      </w:r>
      <w:r>
        <w:t xml:space="preserve">дического доклада правительством был разработан второй план действий по утверждению корпоративной социальной ответственности (КСО) (План </w:t>
      </w:r>
      <w:r w:rsidR="00361C33">
        <w:br/>
      </w:r>
      <w:r>
        <w:t>де</w:t>
      </w:r>
      <w:r>
        <w:t>й</w:t>
      </w:r>
      <w:r>
        <w:t xml:space="preserve">ствий по утверждению корпоративной социальной ответственности </w:t>
      </w:r>
      <w:r w:rsidR="00361C33">
        <w:br/>
      </w:r>
      <w:r>
        <w:t>на</w:t>
      </w:r>
      <w:r w:rsidR="00361C33">
        <w:t> </w:t>
      </w:r>
      <w:r>
        <w:t>2012</w:t>
      </w:r>
      <w:r w:rsidR="00361C33">
        <w:t>–</w:t>
      </w:r>
      <w:r>
        <w:t>2015</w:t>
      </w:r>
      <w:r w:rsidR="00361C33">
        <w:t> </w:t>
      </w:r>
      <w:r>
        <w:t>годы: экономический рост на принципах ответственности), кот</w:t>
      </w:r>
      <w:r>
        <w:t>о</w:t>
      </w:r>
      <w:r>
        <w:t>рый нац</w:t>
      </w:r>
      <w:r>
        <w:t>е</w:t>
      </w:r>
      <w:r>
        <w:t>лен на обеспечение экономического роста при соблюдении принципов ответственности. В основу этого плана действий положены международные принципы и стандарты, такие, как Глобальный договор Организации Объед</w:t>
      </w:r>
      <w:r>
        <w:t>и</w:t>
      </w:r>
      <w:r>
        <w:t>ненных Наций, Руководящие принципы предпринимательской деятельности в</w:t>
      </w:r>
      <w:r w:rsidR="00361C33">
        <w:t> </w:t>
      </w:r>
      <w:r>
        <w:t>аспекте прав человека (Организация Объединенных Наций), Руководящие принципы ОЭСР для многонациональных предприятий и стандарт ИСО</w:t>
      </w:r>
      <w:r w:rsidR="00361C33">
        <w:t> </w:t>
      </w:r>
      <w:r>
        <w:t>26000. Общей исходной посылкой при реализации всех этих принципов является сл</w:t>
      </w:r>
      <w:r>
        <w:t>е</w:t>
      </w:r>
      <w:r>
        <w:t>дование международным правозащитным нормам.</w:t>
      </w:r>
    </w:p>
    <w:p w:rsidR="00907DF0" w:rsidRDefault="00907DF0" w:rsidP="00907DF0">
      <w:pPr>
        <w:pStyle w:val="SingleTxtGR"/>
      </w:pPr>
      <w:r>
        <w:t>15.</w:t>
      </w:r>
      <w:r>
        <w:tab/>
        <w:t xml:space="preserve">Этот план действий охватывает широкий круг инициатив, нацеленных на содействие экономическому росту с соблюдением принципов ответственности при одновременной защите и уважении прав человека; тем самым он вносит вклад в ликвидацию расовой дискриминации. Реализация некоторых инициатив уже началась, тогда как другие будут реализованы в ближайшие три года </w:t>
      </w:r>
      <w:r w:rsidR="00361C33">
        <w:br/>
      </w:r>
      <w:r>
        <w:t>(2013–2015</w:t>
      </w:r>
      <w:r w:rsidR="00E64CCF">
        <w:t> </w:t>
      </w:r>
      <w:r>
        <w:t>годы).</w:t>
      </w:r>
    </w:p>
    <w:p w:rsidR="00907DF0" w:rsidRDefault="00907DF0" w:rsidP="00907DF0">
      <w:pPr>
        <w:pStyle w:val="H23GR"/>
      </w:pPr>
      <w:r>
        <w:tab/>
      </w:r>
      <w:r>
        <w:tab/>
        <w:t>Закон о финансовой отчетности (статья 99</w:t>
      </w:r>
      <w:r w:rsidR="00221FE4">
        <w:t> </w:t>
      </w:r>
      <w:r>
        <w:t>a)</w:t>
      </w:r>
    </w:p>
    <w:p w:rsidR="00907DF0" w:rsidRDefault="00907DF0" w:rsidP="00907DF0">
      <w:pPr>
        <w:pStyle w:val="SingleTxtGR"/>
      </w:pPr>
      <w:r>
        <w:t>16.</w:t>
      </w:r>
      <w:r>
        <w:tab/>
        <w:t>Согласно статье</w:t>
      </w:r>
      <w:r w:rsidR="00E64CCF">
        <w:t> </w:t>
      </w:r>
      <w:r>
        <w:t>99а закона о финансовой отчетности с 2008</w:t>
      </w:r>
      <w:r w:rsidR="00E64CCF">
        <w:t> </w:t>
      </w:r>
      <w:r>
        <w:t>года 1</w:t>
      </w:r>
      <w:r w:rsidR="00E64CCF">
        <w:t> 100 </w:t>
      </w:r>
      <w:r>
        <w:t>крупнейших датских предприятий и все государственные общества с</w:t>
      </w:r>
      <w:r w:rsidR="00E64CCF">
        <w:t> </w:t>
      </w:r>
      <w:r>
        <w:t>ограниченной ответственностью обязаны указывать в своей годовой отчетн</w:t>
      </w:r>
      <w:r>
        <w:t>о</w:t>
      </w:r>
      <w:r>
        <w:t>сти показатели КСО. В 2012</w:t>
      </w:r>
      <w:r w:rsidR="00E64CCF">
        <w:t> </w:t>
      </w:r>
      <w:r>
        <w:t>году датский парламент принял закон, согласно к</w:t>
      </w:r>
      <w:r>
        <w:t>о</w:t>
      </w:r>
      <w:r>
        <w:t>торому в будущем те же компании должны будут включать в свою годовую о</w:t>
      </w:r>
      <w:r>
        <w:t>т</w:t>
      </w:r>
      <w:r>
        <w:t>четность конкретную информацию о принимаемых ими мерах по соблюдению прав человека либо сообщать об отсутствии таких мер. Ежегодно публикуются св</w:t>
      </w:r>
      <w:r>
        <w:t>е</w:t>
      </w:r>
      <w:r>
        <w:t>дения о выполнении предприятиями требований статьи</w:t>
      </w:r>
      <w:r w:rsidR="00E64CCF">
        <w:t> </w:t>
      </w:r>
      <w:r>
        <w:t>99</w:t>
      </w:r>
      <w:r w:rsidR="00221FE4">
        <w:t> </w:t>
      </w:r>
      <w:r>
        <w:t>а</w:t>
      </w:r>
      <w:r w:rsidR="00221FE4">
        <w:t>)</w:t>
      </w:r>
      <w:r>
        <w:t>.</w:t>
      </w:r>
    </w:p>
    <w:p w:rsidR="00907DF0" w:rsidRDefault="00907DF0" w:rsidP="00907DF0">
      <w:pPr>
        <w:pStyle w:val="H23GR"/>
      </w:pPr>
      <w:r>
        <w:tab/>
      </w:r>
      <w:r>
        <w:tab/>
        <w:t>"Нет преступлениям на почве ненависти" (региональная кампания)</w:t>
      </w:r>
    </w:p>
    <w:p w:rsidR="00907DF0" w:rsidRDefault="00907DF0" w:rsidP="00907DF0">
      <w:pPr>
        <w:pStyle w:val="SingleTxtGR"/>
      </w:pPr>
      <w:r>
        <w:t>17.</w:t>
      </w:r>
      <w:r>
        <w:tab/>
        <w:t>В августе 2010</w:t>
      </w:r>
      <w:r w:rsidR="00361C33">
        <w:t> </w:t>
      </w:r>
      <w:r>
        <w:t>года полицейская служба Копенгагена совместно с Да</w:t>
      </w:r>
      <w:r>
        <w:t>т</w:t>
      </w:r>
      <w:r>
        <w:t>ским институтом по правам человека, городской администрацией Копенгагена и</w:t>
      </w:r>
      <w:r w:rsidR="00361C33">
        <w:t> </w:t>
      </w:r>
      <w:r>
        <w:t>городской администрацией Фредериксберга начала осуществление в Копенг</w:t>
      </w:r>
      <w:r>
        <w:t>а</w:t>
      </w:r>
      <w:r>
        <w:t>гене и Фредериксберге кампании под лозунгом "Нет преступлениям на почве ненависти". Эта кампания преследует цель привлечь внимание к преступлен</w:t>
      </w:r>
      <w:r>
        <w:t>и</w:t>
      </w:r>
      <w:r>
        <w:t>ям на почве ненависти и побудить пострадавших и свидетелей заявлять о такого рода преступлениях в полицию.</w:t>
      </w:r>
    </w:p>
    <w:p w:rsidR="00907DF0" w:rsidRDefault="00907DF0" w:rsidP="00907DF0">
      <w:pPr>
        <w:pStyle w:val="SingleTxtGR"/>
      </w:pPr>
      <w:r>
        <w:t>18.</w:t>
      </w:r>
      <w:r>
        <w:tab/>
        <w:t>В рамках этой кампании с 16 по 29</w:t>
      </w:r>
      <w:r w:rsidR="00361C33">
        <w:t> </w:t>
      </w:r>
      <w:r>
        <w:t>августа 2010</w:t>
      </w:r>
      <w:r w:rsidR="00361C33">
        <w:t> </w:t>
      </w:r>
      <w:r>
        <w:t>года в общественных м</w:t>
      </w:r>
      <w:r>
        <w:t>е</w:t>
      </w:r>
      <w:r>
        <w:t>стах, например на бортах автобусов и на обочинах дорог, были размещены пл</w:t>
      </w:r>
      <w:r>
        <w:t>а</w:t>
      </w:r>
      <w:r>
        <w:t>каты и афиши. Кроме того, в Копенгагене выставлялись произведения искусс</w:t>
      </w:r>
      <w:r>
        <w:t>т</w:t>
      </w:r>
      <w:r>
        <w:t>ва на тему о преступлениях на почве ненависти, и аналогичные материалы б</w:t>
      </w:r>
      <w:r>
        <w:t>ы</w:t>
      </w:r>
      <w:r>
        <w:t>ли размещены в "Фейсбуке". К участию в этой кампании были приглашены и</w:t>
      </w:r>
      <w:r w:rsidR="00361C33">
        <w:t> </w:t>
      </w:r>
      <w:r>
        <w:t>магазины в центре Копенгагена и в районе Н</w:t>
      </w:r>
      <w:r w:rsidR="00CC0FD0">
        <w:t>е</w:t>
      </w:r>
      <w:r>
        <w:t>рребро, которым было предл</w:t>
      </w:r>
      <w:r>
        <w:t>о</w:t>
      </w:r>
      <w:r>
        <w:t>жено наклеивать соответствующие афиши на ви</w:t>
      </w:r>
      <w:r>
        <w:t>т</w:t>
      </w:r>
      <w:r>
        <w:t xml:space="preserve">рины, входные двери и </w:t>
      </w:r>
      <w:r w:rsidR="00AC018F">
        <w:t>т.д.</w:t>
      </w:r>
    </w:p>
    <w:p w:rsidR="00907DF0" w:rsidRDefault="00907DF0" w:rsidP="00907DF0">
      <w:pPr>
        <w:pStyle w:val="SingleTxtGR"/>
      </w:pPr>
      <w:r>
        <w:t>19.</w:t>
      </w:r>
      <w:r>
        <w:tab/>
        <w:t>В рамках это</w:t>
      </w:r>
      <w:r w:rsidR="00361C33">
        <w:t>й кампании был также создан веб</w:t>
      </w:r>
      <w:r w:rsidR="00361C33">
        <w:noBreakHyphen/>
      </w:r>
      <w:r>
        <w:t>сайт (www.stophadforbrydelser.dk), на котором была размещена информация о прав</w:t>
      </w:r>
      <w:r>
        <w:t>и</w:t>
      </w:r>
      <w:r>
        <w:t>лах постановки полиции в известность о замеченном преступлении на почве ненависти. На веб-сайте была размещена информация о различных видах пр</w:t>
      </w:r>
      <w:r>
        <w:t>е</w:t>
      </w:r>
      <w:r>
        <w:t>ступлений на почве ненависти, о лицах, совершающих такие преступления, и</w:t>
      </w:r>
      <w:r w:rsidR="00361C33">
        <w:t> о </w:t>
      </w:r>
      <w:r>
        <w:t>жертвах таких преступлений. Там же была представлена информация на различных языках о праве пострадавшего на назначение ему адвоката в случае возбуждения дела против нарушителя. Недавно содержание веб-сайта было в</w:t>
      </w:r>
      <w:r>
        <w:t>ы</w:t>
      </w:r>
      <w:r>
        <w:t>ложено в социал</w:t>
      </w:r>
      <w:r>
        <w:t>ь</w:t>
      </w:r>
      <w:r>
        <w:t>ных сетях ("Фейсбук").</w:t>
      </w:r>
    </w:p>
    <w:p w:rsidR="00907DF0" w:rsidRDefault="00907DF0" w:rsidP="00907DF0">
      <w:pPr>
        <w:pStyle w:val="SingleTxtGR"/>
      </w:pPr>
      <w:r>
        <w:t>20.</w:t>
      </w:r>
      <w:r>
        <w:tab/>
        <w:t>В октябре 2012</w:t>
      </w:r>
      <w:r w:rsidR="00361C33">
        <w:t> </w:t>
      </w:r>
      <w:r>
        <w:t>года Министерство юстиции высказалось за продолжение этой кампании. Новая кампания предполагает проведение публичных мер</w:t>
      </w:r>
      <w:r>
        <w:t>о</w:t>
      </w:r>
      <w:r>
        <w:t>приятий, нацеленных на повышение осведомленности граждан и побуждение их к</w:t>
      </w:r>
      <w:r w:rsidR="00361C33">
        <w:t> </w:t>
      </w:r>
      <w:r>
        <w:t>подаче заявлений о преступлениях на почве ненависти в правоохранител</w:t>
      </w:r>
      <w:r>
        <w:t>ь</w:t>
      </w:r>
      <w:r>
        <w:t>ные органы. Кроме того, кампания предполагает создание "информационно-просветительского автобуса", с помощью которого имеется в виду наладить контакты с молодежью и вовлечь как пострадавших, так и нарушителей в ди</w:t>
      </w:r>
      <w:r>
        <w:t>а</w:t>
      </w:r>
      <w:r>
        <w:t>лог.</w:t>
      </w:r>
    </w:p>
    <w:p w:rsidR="00907DF0" w:rsidRDefault="00907DF0" w:rsidP="00907DF0">
      <w:pPr>
        <w:pStyle w:val="H23GR"/>
      </w:pPr>
      <w:r>
        <w:tab/>
      </w:r>
      <w:r>
        <w:tab/>
        <w:t>Обязанность защищать</w:t>
      </w:r>
    </w:p>
    <w:p w:rsidR="00907DF0" w:rsidRDefault="00907DF0" w:rsidP="00907DF0">
      <w:pPr>
        <w:pStyle w:val="SingleTxtGR"/>
      </w:pPr>
      <w:r>
        <w:t>21.</w:t>
      </w:r>
      <w:r>
        <w:tab/>
        <w:t>Дискриминация по таким признакам, как раса, вероисповедание и этн</w:t>
      </w:r>
      <w:r>
        <w:t>и</w:t>
      </w:r>
      <w:r>
        <w:t>ческая принадлежность, является фактором, приведшим, в том числе в неда</w:t>
      </w:r>
      <w:r>
        <w:t>в</w:t>
      </w:r>
      <w:r>
        <w:t>нем прошлом, к таким массовым зверствам, как г</w:t>
      </w:r>
      <w:r>
        <w:t>е</w:t>
      </w:r>
      <w:r>
        <w:t>ноцид и преступления против человечности. В качестве средства предупреждения таких преступлений ме</w:t>
      </w:r>
      <w:r>
        <w:t>ж</w:t>
      </w:r>
      <w:r>
        <w:t>дународное сообщество выдвинуло принцип "обязанности защищать". Дания, со своей стороны, весьма активно продвигала этот принцип, стремясь к его практическому воплощению в рамках своей внешней политики. В качестве о</w:t>
      </w:r>
      <w:r>
        <w:t>д</w:t>
      </w:r>
      <w:r>
        <w:t>ного из примеров можно назвать инициативу по назначению координаторов, о</w:t>
      </w:r>
      <w:r>
        <w:t>т</w:t>
      </w:r>
      <w:r>
        <w:t>ветственных за применение этого принципа, которая была обнародована прав</w:t>
      </w:r>
      <w:r>
        <w:t>и</w:t>
      </w:r>
      <w:r>
        <w:t xml:space="preserve">тельствами Дании и Ганы на встрече </w:t>
      </w:r>
      <w:r w:rsidR="0081171D">
        <w:t xml:space="preserve">Министров </w:t>
      </w:r>
      <w:r>
        <w:t>в Нью-Йорке в сентябре 2010</w:t>
      </w:r>
      <w:r w:rsidR="00361C33">
        <w:t> </w:t>
      </w:r>
      <w:r>
        <w:t>года. Сеть координаторов служит платформой для обмена опытом между координаторами (должностные лица старшего звена в составе государственного аппарата соответствующих стран) с целью укрепления национального поте</w:t>
      </w:r>
      <w:r>
        <w:t>н</w:t>
      </w:r>
      <w:r>
        <w:t>циала по предупреждению массовых зверств и налаживания сотрудничества между государствами-членами.</w:t>
      </w:r>
    </w:p>
    <w:p w:rsidR="00907DF0" w:rsidRDefault="00907DF0" w:rsidP="00907DF0">
      <w:pPr>
        <w:pStyle w:val="SingleTxtGR"/>
      </w:pPr>
      <w:r>
        <w:t>22.</w:t>
      </w:r>
      <w:r>
        <w:tab/>
        <w:t>Кроме того, Дания – прежде всего с прицелом на обмен передовым оп</w:t>
      </w:r>
      <w:r>
        <w:t>ы</w:t>
      </w:r>
      <w:r>
        <w:t>том с другими государствами – прилагала внутри страны усилия к созданию механизмов раннего предупреждения. Так, например, Министр иностранных дел Дании назначил в составе датского Министерства иностранных дел юри</w:t>
      </w:r>
      <w:r>
        <w:t>с</w:t>
      </w:r>
      <w:r>
        <w:t>консульта, который будет выполнять функции координатора с датской ст</w:t>
      </w:r>
      <w:r>
        <w:t>о</w:t>
      </w:r>
      <w:r>
        <w:t>роны. В 2012</w:t>
      </w:r>
      <w:r w:rsidR="00361C33">
        <w:t> </w:t>
      </w:r>
      <w:r>
        <w:t>году по инициативе датского координатора в масштабах всего госуда</w:t>
      </w:r>
      <w:r>
        <w:t>р</w:t>
      </w:r>
      <w:r>
        <w:t>ственного аппарата страны была начата оценка нынешней внутренней и</w:t>
      </w:r>
      <w:r w:rsidR="00361C33">
        <w:t> </w:t>
      </w:r>
      <w:r>
        <w:t>международной политики страны в вопросах предупреждения массовых зверств в расчете на разработку национального плана действий по упрочению обязанности защищать. Этот план действий, который будет обнародован в</w:t>
      </w:r>
      <w:r w:rsidR="00361C33">
        <w:t> </w:t>
      </w:r>
      <w:r>
        <w:t>2013</w:t>
      </w:r>
      <w:r w:rsidR="00361C33">
        <w:t> </w:t>
      </w:r>
      <w:r>
        <w:t>году, откроет возможности для принятия стратегических мер, определ</w:t>
      </w:r>
      <w:r>
        <w:t>е</w:t>
      </w:r>
      <w:r>
        <w:t>ния приоритетов и ресурсов, а также распределения ответственности и пост</w:t>
      </w:r>
      <w:r>
        <w:t>а</w:t>
      </w:r>
      <w:r>
        <w:t>новки сроков на национальном уровне. Процесс разработки плана позволил у</w:t>
      </w:r>
      <w:r>
        <w:t>г</w:t>
      </w:r>
      <w:r>
        <w:t>лубить осознание принципа обязанности защищать работниками министерств и в</w:t>
      </w:r>
      <w:r>
        <w:t>е</w:t>
      </w:r>
      <w:r>
        <w:t>домств, участвующих в этом процессе.</w:t>
      </w:r>
    </w:p>
    <w:p w:rsidR="00907DF0" w:rsidRDefault="00907DF0" w:rsidP="00907DF0">
      <w:pPr>
        <w:pStyle w:val="H1GR"/>
      </w:pPr>
      <w:r>
        <w:tab/>
      </w:r>
      <w:r>
        <w:tab/>
        <w:t>Статья 2, пункт 11</w:t>
      </w:r>
      <w:r w:rsidR="00221FE4">
        <w:t> </w:t>
      </w:r>
      <w:r>
        <w:t>c</w:t>
      </w:r>
      <w:r w:rsidR="00221FE4">
        <w:t>)</w:t>
      </w:r>
    </w:p>
    <w:p w:rsidR="00907DF0" w:rsidRDefault="00907DF0" w:rsidP="00907DF0">
      <w:pPr>
        <w:pStyle w:val="H1GR"/>
      </w:pPr>
      <w:r>
        <w:tab/>
      </w:r>
      <w:r>
        <w:tab/>
        <w:t>Эффективные меры по пересмотру политики правительства в</w:t>
      </w:r>
      <w:r w:rsidR="00CC0FD0">
        <w:t> </w:t>
      </w:r>
      <w:r>
        <w:t>национальном и местном масштабе, а также по исправлению, отмене или аннулированию любых законов и постановлений, ведущих к возникновению или увековечению расовой дискриминации всюду, где она существует</w:t>
      </w:r>
    </w:p>
    <w:p w:rsidR="00907DF0" w:rsidRDefault="00907DF0" w:rsidP="00907DF0">
      <w:pPr>
        <w:pStyle w:val="H23GR"/>
      </w:pPr>
      <w:r>
        <w:tab/>
      </w:r>
      <w:r>
        <w:tab/>
        <w:t>Перенос в датское законодательство</w:t>
      </w:r>
    </w:p>
    <w:p w:rsidR="00907DF0" w:rsidRDefault="00907DF0" w:rsidP="00907DF0">
      <w:pPr>
        <w:pStyle w:val="SingleTxtGR"/>
      </w:pPr>
      <w:r>
        <w:t>23.</w:t>
      </w:r>
      <w:r>
        <w:tab/>
        <w:t>В пункте</w:t>
      </w:r>
      <w:r w:rsidR="00361C33">
        <w:t> </w:t>
      </w:r>
      <w:r>
        <w:t>8 своих заключительных замечаний Комитет вновь адресовал правительству рекоменд</w:t>
      </w:r>
      <w:r>
        <w:t>а</w:t>
      </w:r>
      <w:r>
        <w:t>цию пересмотреть принятое им решение не включать Международную конвенцию о ликвидации всех форм расовой дискриминации в</w:t>
      </w:r>
      <w:r w:rsidR="00361C33">
        <w:t> </w:t>
      </w:r>
      <w:r>
        <w:t>состав правовой системы страны.</w:t>
      </w:r>
    </w:p>
    <w:p w:rsidR="00907DF0" w:rsidRDefault="00907DF0" w:rsidP="00907DF0">
      <w:pPr>
        <w:pStyle w:val="SingleTxtGR"/>
      </w:pPr>
      <w:r>
        <w:t>24.</w:t>
      </w:r>
      <w:r>
        <w:tab/>
        <w:t>Как было указано в пункт</w:t>
      </w:r>
      <w:r w:rsidR="00CC0FD0">
        <w:t>ах 47–</w:t>
      </w:r>
      <w:r>
        <w:t>54 семнадцатого период</w:t>
      </w:r>
      <w:r w:rsidR="00CC0FD0">
        <w:t>ического доклада и в пунктах 24–</w:t>
      </w:r>
      <w:r>
        <w:t>26 девятнадцатого периодического доклада, Конвенция служит немаловажным и актуальным источником права для датского законодательства. Избранный метод выполнения обязательств не препятствует ее практическому применению датскими судами.</w:t>
      </w:r>
    </w:p>
    <w:p w:rsidR="00907DF0" w:rsidRDefault="00907DF0" w:rsidP="00907DF0">
      <w:pPr>
        <w:pStyle w:val="SingleTxtGR"/>
      </w:pPr>
      <w:r>
        <w:t>25.</w:t>
      </w:r>
      <w:r>
        <w:tab/>
        <w:t>Тем не менее недавно правительство сформировало комитет экспертов, поручив ему рассмотреть возможность включения ряда договоров, в том числе КЛРД, в датское законодательство. Работа комитета экспертов еще не заверш</w:t>
      </w:r>
      <w:r>
        <w:t>е</w:t>
      </w:r>
      <w:r>
        <w:t>на.</w:t>
      </w:r>
    </w:p>
    <w:p w:rsidR="00907DF0" w:rsidRDefault="00907DF0" w:rsidP="00907DF0">
      <w:pPr>
        <w:pStyle w:val="H23GR"/>
      </w:pPr>
      <w:r>
        <w:tab/>
      </w:r>
      <w:r>
        <w:tab/>
        <w:t>Международная конвенци</w:t>
      </w:r>
      <w:r w:rsidR="00361C33">
        <w:t>я о защите прав всех трудящихся</w:t>
      </w:r>
      <w:r w:rsidR="00361C33">
        <w:noBreakHyphen/>
      </w:r>
      <w:r>
        <w:t>мигрантов и</w:t>
      </w:r>
      <w:r w:rsidR="00CC0FD0">
        <w:t> </w:t>
      </w:r>
      <w:r>
        <w:t>членов их семей</w:t>
      </w:r>
    </w:p>
    <w:p w:rsidR="00907DF0" w:rsidRDefault="00907DF0" w:rsidP="00907DF0">
      <w:pPr>
        <w:pStyle w:val="SingleTxtGR"/>
      </w:pPr>
      <w:r>
        <w:t>26.</w:t>
      </w:r>
      <w:r>
        <w:tab/>
        <w:t>В пункте</w:t>
      </w:r>
      <w:r w:rsidR="00361C33">
        <w:t> </w:t>
      </w:r>
      <w:r>
        <w:t>20 своих заключительных замечаний Комитет призвал прав</w:t>
      </w:r>
      <w:r>
        <w:t>и</w:t>
      </w:r>
      <w:r>
        <w:t>тельство рассмотреть возможность ратификации некоторых международных д</w:t>
      </w:r>
      <w:r>
        <w:t>о</w:t>
      </w:r>
      <w:r>
        <w:t>говоров, включая Международную конвенцию о защите прав всех трудящихся-мигрантов и членов их семей. По имеющимся оценкам, с 1975</w:t>
      </w:r>
      <w:r w:rsidR="00361C33">
        <w:t> </w:t>
      </w:r>
      <w:r>
        <w:t>года наблюд</w:t>
      </w:r>
      <w:r>
        <w:t>а</w:t>
      </w:r>
      <w:r>
        <w:t>лось возрастание числа лиц, проживающих и работающих за пределами своих стран происхождения. Дания ратифицировала все ключевые конвенции МОТ, посвященные правам трудящихся. Они распространяются также на иностра</w:t>
      </w:r>
      <w:r>
        <w:t>н</w:t>
      </w:r>
      <w:r>
        <w:t>цев, проживающих в Дании. Дания придает высокоприоритетное значение з</w:t>
      </w:r>
      <w:r>
        <w:t>а</w:t>
      </w:r>
      <w:r>
        <w:t>креплению мигрантов на рынке труда, что имеет ключевое значение с точки зрения реализ</w:t>
      </w:r>
      <w:r>
        <w:t>а</w:t>
      </w:r>
      <w:r>
        <w:t>ции ими своих прав.</w:t>
      </w:r>
    </w:p>
    <w:p w:rsidR="00907DF0" w:rsidRDefault="00907DF0" w:rsidP="00907DF0">
      <w:pPr>
        <w:pStyle w:val="SingleTxtGR"/>
      </w:pPr>
      <w:r>
        <w:t>27.</w:t>
      </w:r>
      <w:r>
        <w:tab/>
        <w:t>Дания обратила внимание, что на настоящий момент указанная конве</w:t>
      </w:r>
      <w:r>
        <w:t>н</w:t>
      </w:r>
      <w:r>
        <w:t>ция ратифицирована весьма немногими европейскими странами (Босния и Ге</w:t>
      </w:r>
      <w:r>
        <w:t>р</w:t>
      </w:r>
      <w:r>
        <w:t>цеговина, Турция, Азербайджан и Республика Албания). Дания не ратифицир</w:t>
      </w:r>
      <w:r>
        <w:t>о</w:t>
      </w:r>
      <w:r>
        <w:t>вала эту конвенцию по причине неопределенности последствий ратификации с</w:t>
      </w:r>
      <w:r w:rsidR="00361C33">
        <w:t> </w:t>
      </w:r>
      <w:r>
        <w:t>точки зрения действующего законодательства.</w:t>
      </w:r>
    </w:p>
    <w:p w:rsidR="00907DF0" w:rsidRDefault="00907DF0" w:rsidP="00907DF0">
      <w:pPr>
        <w:pStyle w:val="SingleTxtGR"/>
      </w:pPr>
      <w:r>
        <w:t>28.</w:t>
      </w:r>
      <w:r>
        <w:tab/>
        <w:t>Вышеупомянутому комитету экспертов было также поручено рассмо</w:t>
      </w:r>
      <w:r>
        <w:t>т</w:t>
      </w:r>
      <w:r>
        <w:t>реть, в частности, вопрос о возможности присоединения к протоколу</w:t>
      </w:r>
      <w:r w:rsidR="00361C33">
        <w:t> </w:t>
      </w:r>
      <w:r>
        <w:t>№</w:t>
      </w:r>
      <w:r w:rsidR="00361C33">
        <w:t> </w:t>
      </w:r>
      <w:r>
        <w:t>12 к</w:t>
      </w:r>
      <w:r w:rsidR="00361C33">
        <w:t> </w:t>
      </w:r>
      <w:r>
        <w:t>Европейской конвенции о правах человека, где предусматривается общий з</w:t>
      </w:r>
      <w:r>
        <w:t>а</w:t>
      </w:r>
      <w:r>
        <w:t>прет на дискриминацию. Дальнейшее рассмотрение вопроса о целесообразн</w:t>
      </w:r>
      <w:r>
        <w:t>о</w:t>
      </w:r>
      <w:r>
        <w:t>сти принятия общего антидискриминационного законодательства будет поста</w:t>
      </w:r>
      <w:r>
        <w:t>в</w:t>
      </w:r>
      <w:r>
        <w:t>лено в зависимость от итогов работы комитета экспертов.</w:t>
      </w:r>
    </w:p>
    <w:p w:rsidR="00907DF0" w:rsidRDefault="00907DF0" w:rsidP="00907DF0">
      <w:pPr>
        <w:pStyle w:val="H1GR"/>
      </w:pPr>
      <w:r>
        <w:tab/>
      </w:r>
      <w:r>
        <w:tab/>
        <w:t>Статья 2, пункт 2</w:t>
      </w:r>
    </w:p>
    <w:p w:rsidR="00907DF0" w:rsidRDefault="00907DF0" w:rsidP="00907DF0">
      <w:pPr>
        <w:pStyle w:val="H1GR"/>
      </w:pPr>
      <w:r>
        <w:tab/>
      </w:r>
      <w:r>
        <w:tab/>
        <w:t>Особые и конкретные меры с целью обеспечения надлежащего развития и защиты некоторых расовых групп или лиц, к ним принадлежащих, с тем чтобы гарантировать им полное и</w:t>
      </w:r>
      <w:r w:rsidR="00CC0FD0">
        <w:t> </w:t>
      </w:r>
      <w:r>
        <w:t>равное использование прав человека и основных свобод</w:t>
      </w:r>
    </w:p>
    <w:p w:rsidR="00907DF0" w:rsidRDefault="00907DF0" w:rsidP="00907DF0">
      <w:pPr>
        <w:pStyle w:val="SingleTxtGR"/>
      </w:pPr>
      <w:r>
        <w:t>29.</w:t>
      </w:r>
      <w:r>
        <w:tab/>
        <w:t>Просьба ознакомиться с замечаниями по пункту "e" статьи</w:t>
      </w:r>
      <w:r w:rsidR="00361C33">
        <w:t> </w:t>
      </w:r>
      <w:r>
        <w:t>2, где прив</w:t>
      </w:r>
      <w:r>
        <w:t>о</w:t>
      </w:r>
      <w:r>
        <w:t>дятся дополнительные обстоятельные пояснения относительно того, каким о</w:t>
      </w:r>
      <w:r>
        <w:t>б</w:t>
      </w:r>
      <w:r>
        <w:t>разом интеграционная политика Дании призвана содействовать полной реал</w:t>
      </w:r>
      <w:r>
        <w:t>и</w:t>
      </w:r>
      <w:r>
        <w:t>зации всеми мигрантами и их потомками в Дании своих прав человека на ра</w:t>
      </w:r>
      <w:r>
        <w:t>в</w:t>
      </w:r>
      <w:r>
        <w:t>ноправной основе.</w:t>
      </w:r>
    </w:p>
    <w:p w:rsidR="00907DF0" w:rsidRDefault="00907DF0" w:rsidP="00907DF0">
      <w:pPr>
        <w:pStyle w:val="SingleTxtGR"/>
      </w:pPr>
      <w:r>
        <w:t>30.</w:t>
      </w:r>
      <w:r>
        <w:tab/>
        <w:t>В своей интеграционной политике правительство исходит из той посы</w:t>
      </w:r>
      <w:r>
        <w:t>л</w:t>
      </w:r>
      <w:r>
        <w:t>ки, что все проживающие в Дании лица должны обладать равными правами и</w:t>
      </w:r>
      <w:r w:rsidR="00361C33">
        <w:t> </w:t>
      </w:r>
      <w:r>
        <w:t>основными свободами без какой-либо дискриминации. В датском законод</w:t>
      </w:r>
      <w:r>
        <w:t>а</w:t>
      </w:r>
      <w:r>
        <w:t>тельстве не проводится различия между разными этническими группами, и</w:t>
      </w:r>
      <w:r w:rsidR="00361C33">
        <w:t> </w:t>
      </w:r>
      <w:r>
        <w:t>в</w:t>
      </w:r>
      <w:r w:rsidR="00361C33">
        <w:t> </w:t>
      </w:r>
      <w:r>
        <w:t>большинстве случаев права и обязанности увязаны с проживанием, а не с</w:t>
      </w:r>
      <w:r w:rsidR="00361C33">
        <w:t> </w:t>
      </w:r>
      <w:r>
        <w:t>гражданством. Соответственно, система социальной помощи Дании основана на принципах всеобщего и равного доступа к услугам в области здравоохран</w:t>
      </w:r>
      <w:r>
        <w:t>е</w:t>
      </w:r>
      <w:r>
        <w:t>ния, образования, обеспечения жильем, трудоустройства и к социальным слу</w:t>
      </w:r>
      <w:r>
        <w:t>ж</w:t>
      </w:r>
      <w:r>
        <w:t>бам для всех лиц, на законных основаниях проживающих в Дании, независимо от их национального или э</w:t>
      </w:r>
      <w:r>
        <w:t>т</w:t>
      </w:r>
      <w:r>
        <w:t>нического происхождения.</w:t>
      </w:r>
    </w:p>
    <w:p w:rsidR="00907DF0" w:rsidRDefault="00907DF0" w:rsidP="00907DF0">
      <w:pPr>
        <w:pStyle w:val="H23GR"/>
      </w:pPr>
      <w:r>
        <w:tab/>
      </w:r>
      <w:r>
        <w:tab/>
        <w:t>Стратегия интеграции рома</w:t>
      </w:r>
    </w:p>
    <w:p w:rsidR="00907DF0" w:rsidRDefault="00907DF0" w:rsidP="00907DF0">
      <w:pPr>
        <w:pStyle w:val="SingleTxtGR"/>
      </w:pPr>
      <w:r>
        <w:t>31.</w:t>
      </w:r>
      <w:r>
        <w:tab/>
        <w:t>В пункте</w:t>
      </w:r>
      <w:r w:rsidR="00361C33">
        <w:t> </w:t>
      </w:r>
      <w:r>
        <w:t>10 своих заключительных замечаний по девятнадцатому пери</w:t>
      </w:r>
      <w:r>
        <w:t>о</w:t>
      </w:r>
      <w:r>
        <w:t>дическому докладу Комитет рекомендовал государству-участнику принять на</w:t>
      </w:r>
      <w:r>
        <w:t>д</w:t>
      </w:r>
      <w:r>
        <w:t>лежащие меры по установлению численности и правового статуса лиц из н</w:t>
      </w:r>
      <w:r>
        <w:t>а</w:t>
      </w:r>
      <w:r>
        <w:t>родности рома в стране и обеспечить лицам из народности рома и путешес</w:t>
      </w:r>
      <w:r>
        <w:t>т</w:t>
      </w:r>
      <w:r>
        <w:t>вующим лицам в стране защиту от дискриминации.</w:t>
      </w:r>
    </w:p>
    <w:p w:rsidR="00907DF0" w:rsidRDefault="00907DF0" w:rsidP="00907DF0">
      <w:pPr>
        <w:pStyle w:val="SingleTxtGR"/>
      </w:pPr>
      <w:r>
        <w:t>32.</w:t>
      </w:r>
      <w:r>
        <w:tab/>
        <w:t>Ключевыми ценностями в Дании считаются уважение человеческого до</w:t>
      </w:r>
      <w:r>
        <w:t>с</w:t>
      </w:r>
      <w:r>
        <w:t>тоинства, свобода, дем</w:t>
      </w:r>
      <w:r>
        <w:t>о</w:t>
      </w:r>
      <w:r>
        <w:t>кратия, равенство, верховенство права и уважение прав человека, в том числе прав лиц, принадлежащих к числу меньшинств. Поэтому цыгане в Дании пользуются теми же основными правами и такой же защитой, что и прочие граждане Дании или другие законно проживающие в стране лица иностранного происхождения. Ответственность за социальную интеграцию и</w:t>
      </w:r>
      <w:r>
        <w:t>н</w:t>
      </w:r>
      <w:r>
        <w:t>дивидов передана на местный уровень в муниципалитеты. Правительство ведет обширную работу по обмену информацией об интеграции цыган, причем эта работа по ознакомлению муниципалитетов с передовым опытом и согласова</w:t>
      </w:r>
      <w:r>
        <w:t>н</w:t>
      </w:r>
      <w:r>
        <w:t>ными принц</w:t>
      </w:r>
      <w:r>
        <w:t>и</w:t>
      </w:r>
      <w:r>
        <w:t>пами интеграции цыган ведется на постоянной основе.</w:t>
      </w:r>
    </w:p>
    <w:p w:rsidR="00907DF0" w:rsidRDefault="00907DF0" w:rsidP="00907DF0">
      <w:pPr>
        <w:pStyle w:val="SingleTxtGR"/>
      </w:pPr>
      <w:r>
        <w:t>33.</w:t>
      </w:r>
      <w:r>
        <w:tab/>
        <w:t>Разработанная в Дании национальная стратегия интеграции рома, которая была представлена в Европейскую комиссию в 2011</w:t>
      </w:r>
      <w:r w:rsidR="00361C33">
        <w:t> </w:t>
      </w:r>
      <w:r>
        <w:t>году, вписана в общий ко</w:t>
      </w:r>
      <w:r>
        <w:t>м</w:t>
      </w:r>
      <w:r>
        <w:t>плекс политических установок. В основу датской интеграционной политики, а</w:t>
      </w:r>
      <w:r w:rsidR="00361C33">
        <w:t> </w:t>
      </w:r>
      <w:r>
        <w:t>также датской системы социальной помощи заложена та посылка, что все л</w:t>
      </w:r>
      <w:r>
        <w:t>и</w:t>
      </w:r>
      <w:r>
        <w:t>ца, законно проживающие в Дании, независимо от их этнической принадлежн</w:t>
      </w:r>
      <w:r>
        <w:t>о</w:t>
      </w:r>
      <w:r>
        <w:t>сти, должны быть наделены равными правами и основными свободами без к</w:t>
      </w:r>
      <w:r>
        <w:t>а</w:t>
      </w:r>
      <w:r>
        <w:t>кой-либо дискриминации в таких областях, как образование, занятость, обесп</w:t>
      </w:r>
      <w:r>
        <w:t>е</w:t>
      </w:r>
      <w:r>
        <w:t>чение жильем и охрана здоровья. Для координации работы на национальном и</w:t>
      </w:r>
      <w:r w:rsidR="00361C33">
        <w:t> </w:t>
      </w:r>
      <w:r>
        <w:t>международном уровнях в Дании учрежден национальный контактный пункт по проблемам цыган.</w:t>
      </w:r>
    </w:p>
    <w:p w:rsidR="00907DF0" w:rsidRDefault="00907DF0" w:rsidP="00907DF0">
      <w:pPr>
        <w:pStyle w:val="SingleTxtGR"/>
      </w:pPr>
      <w:r>
        <w:t>34.</w:t>
      </w:r>
      <w:r>
        <w:tab/>
        <w:t>В стратегии интеграции рома говорится об отсутствии статистических данных о цыганах по той причине, что в Дании не производится регистрация этнического происхождения жителей страны. Так, например, в датской наци</w:t>
      </w:r>
      <w:r>
        <w:t>о</w:t>
      </w:r>
      <w:r>
        <w:t>нальной системе регистрации актов гражданского состояния (СРАГС) фикс</w:t>
      </w:r>
      <w:r>
        <w:t>и</w:t>
      </w:r>
      <w:r>
        <w:t>руются лишь основные персональные данные (ФИО, адрес, семейное полож</w:t>
      </w:r>
      <w:r>
        <w:t>е</w:t>
      </w:r>
      <w:r>
        <w:t>ние, гражданство и пр.) каждого лица, законно проживающего в Дании. Свед</w:t>
      </w:r>
      <w:r>
        <w:t>е</w:t>
      </w:r>
      <w:r>
        <w:t>ния, содержащиеся в СРАГС, не включают данные об этнической принадле</w:t>
      </w:r>
      <w:r>
        <w:t>ж</w:t>
      </w:r>
      <w:r>
        <w:t>ности. Фиксировать в СРАГС данные об этнической принадлежности не план</w:t>
      </w:r>
      <w:r>
        <w:t>и</w:t>
      </w:r>
      <w:r>
        <w:t>руется, поскольку регистрация этнической принадлежности считается не соо</w:t>
      </w:r>
      <w:r>
        <w:t>т</w:t>
      </w:r>
      <w:r>
        <w:t>ветствующей задачам СРАГС.</w:t>
      </w:r>
    </w:p>
    <w:p w:rsidR="00907DF0" w:rsidRDefault="00907DF0" w:rsidP="00907DF0">
      <w:pPr>
        <w:pStyle w:val="SingleTxtGR"/>
      </w:pPr>
      <w:r>
        <w:t>35.</w:t>
      </w:r>
      <w:r>
        <w:tab/>
        <w:t>Просьба о</w:t>
      </w:r>
      <w:r w:rsidR="00361C33">
        <w:t>знакомиться также с пунктами 32–</w:t>
      </w:r>
      <w:r>
        <w:t>35 девятнадцатого период</w:t>
      </w:r>
      <w:r>
        <w:t>и</w:t>
      </w:r>
      <w:r>
        <w:t>ческого доклада Дании.</w:t>
      </w:r>
    </w:p>
    <w:p w:rsidR="00907DF0" w:rsidRDefault="00907DF0" w:rsidP="00907DF0">
      <w:pPr>
        <w:pStyle w:val="H1GR"/>
      </w:pPr>
      <w:r>
        <w:tab/>
      </w:r>
      <w:r>
        <w:tab/>
        <w:t>Статья 3</w:t>
      </w:r>
    </w:p>
    <w:p w:rsidR="00907DF0" w:rsidRDefault="00907DF0" w:rsidP="00907DF0">
      <w:pPr>
        <w:pStyle w:val="H1GR"/>
      </w:pPr>
      <w:r>
        <w:tab/>
      </w:r>
      <w:r>
        <w:tab/>
        <w:t>Запрет на расовую сегрегацию</w:t>
      </w:r>
    </w:p>
    <w:p w:rsidR="00907DF0" w:rsidRDefault="00907DF0" w:rsidP="00907DF0">
      <w:pPr>
        <w:pStyle w:val="SingleTxtGR"/>
      </w:pPr>
      <w:r>
        <w:t>36.</w:t>
      </w:r>
      <w:r>
        <w:tab/>
        <w:t>Просьба ознакомиться, в частности, с представленной в настоящем до</w:t>
      </w:r>
      <w:r>
        <w:t>к</w:t>
      </w:r>
      <w:r>
        <w:t>ладе по статье</w:t>
      </w:r>
      <w:r w:rsidR="00361C33">
        <w:t> </w:t>
      </w:r>
      <w:r>
        <w:t>5, пункт</w:t>
      </w:r>
      <w:r w:rsidR="00361C33">
        <w:t> </w:t>
      </w:r>
      <w:r>
        <w:t>"e", подпункты</w:t>
      </w:r>
      <w:r w:rsidR="00361C33">
        <w:t> </w:t>
      </w:r>
      <w:r>
        <w:t>"iii" и "v", информацией относительно мер по максимально надежному недопущению сегр</w:t>
      </w:r>
      <w:r>
        <w:t>е</w:t>
      </w:r>
      <w:r>
        <w:t>гации групп и частных лиц, пользующихся защитой в соответствии с Конвенцией, в сферах обеспечения жильем и образования.</w:t>
      </w:r>
    </w:p>
    <w:p w:rsidR="00907DF0" w:rsidRDefault="00907DF0" w:rsidP="00907DF0">
      <w:pPr>
        <w:pStyle w:val="H1GR"/>
      </w:pPr>
      <w:r>
        <w:tab/>
      </w:r>
      <w:r>
        <w:tab/>
        <w:t>Статья 4</w:t>
      </w:r>
    </w:p>
    <w:p w:rsidR="00907DF0" w:rsidRDefault="00907DF0" w:rsidP="00907DF0">
      <w:pPr>
        <w:pStyle w:val="H1GR"/>
      </w:pPr>
      <w:r>
        <w:tab/>
      </w:r>
      <w:r>
        <w:tab/>
        <w:t>Запрет поощрения расовой ненависти и дискриминации или</w:t>
      </w:r>
      <w:r w:rsidR="00CC0FD0">
        <w:t> </w:t>
      </w:r>
      <w:r>
        <w:t>подстрекательства к ним</w:t>
      </w:r>
    </w:p>
    <w:p w:rsidR="00907DF0" w:rsidRDefault="00907DF0" w:rsidP="00907DF0">
      <w:pPr>
        <w:pStyle w:val="H23GR"/>
      </w:pPr>
      <w:r>
        <w:tab/>
      </w:r>
      <w:r>
        <w:tab/>
        <w:t>Рекомендация об ограничении полномочий Государственного обв</w:t>
      </w:r>
      <w:r>
        <w:t>и</w:t>
      </w:r>
      <w:r>
        <w:t>нителя</w:t>
      </w:r>
    </w:p>
    <w:p w:rsidR="00907DF0" w:rsidRDefault="00907DF0" w:rsidP="00907DF0">
      <w:pPr>
        <w:pStyle w:val="SingleTxtGR"/>
      </w:pPr>
      <w:r>
        <w:t>37.</w:t>
      </w:r>
      <w:r>
        <w:tab/>
        <w:t>В пункте</w:t>
      </w:r>
      <w:r w:rsidR="00361C33">
        <w:t> </w:t>
      </w:r>
      <w:r>
        <w:t>9 своих заключительных замечаний Комитет выразил озабоче</w:t>
      </w:r>
      <w:r>
        <w:t>н</w:t>
      </w:r>
      <w:r>
        <w:t>ность широкими полномочиями Государственного обвинителя в отношении прекращения расследований, снятия обвинений или закрытия дел и рекоменд</w:t>
      </w:r>
      <w:r>
        <w:t>о</w:t>
      </w:r>
      <w:r>
        <w:t>вал создать независимый и многокультурный орган для оценки решений, пр</w:t>
      </w:r>
      <w:r>
        <w:t>и</w:t>
      </w:r>
      <w:r>
        <w:t>нятых Государственным обвинителем, и надзора за их выполнением. Комитет далее настоятельно призвал правительство противодействовать призывам к о</w:t>
      </w:r>
      <w:r>
        <w:t>т</w:t>
      </w:r>
      <w:r>
        <w:t>мене статьи</w:t>
      </w:r>
      <w:r w:rsidR="00361C33">
        <w:t> </w:t>
      </w:r>
      <w:r>
        <w:t>266</w:t>
      </w:r>
      <w:r w:rsidR="00221FE4">
        <w:rPr>
          <w:lang w:val="en-US"/>
        </w:rPr>
        <w:t> </w:t>
      </w:r>
      <w:r>
        <w:t>b</w:t>
      </w:r>
      <w:r w:rsidR="00221FE4" w:rsidRPr="00221FE4">
        <w:t>)</w:t>
      </w:r>
      <w:r>
        <w:t xml:space="preserve"> Уголовного кодекса Дании.</w:t>
      </w:r>
    </w:p>
    <w:p w:rsidR="00907DF0" w:rsidRDefault="00907DF0" w:rsidP="00907DF0">
      <w:pPr>
        <w:pStyle w:val="SingleTxtGR"/>
      </w:pPr>
      <w:r>
        <w:t>38.</w:t>
      </w:r>
      <w:r>
        <w:tab/>
        <w:t>Следует отметить, что уголовно-процессуальное производство в Дании основано на "принципе целесообразности", а не следования букве закона. Из этого следует, что решение о возбуждении или н</w:t>
      </w:r>
      <w:r>
        <w:t>е</w:t>
      </w:r>
      <w:r>
        <w:t>возбуждении дела против того или иного лица, которому полицией предъявлены обвинения в совершении уг</w:t>
      </w:r>
      <w:r>
        <w:t>о</w:t>
      </w:r>
      <w:r>
        <w:t>ловного преступления, принимается прокуратурой.</w:t>
      </w:r>
    </w:p>
    <w:p w:rsidR="00907DF0" w:rsidRDefault="00907DF0" w:rsidP="00907DF0">
      <w:pPr>
        <w:pStyle w:val="SingleTxtGR"/>
      </w:pPr>
      <w:r>
        <w:t>39.</w:t>
      </w:r>
      <w:r>
        <w:tab/>
        <w:t>Учреждение правительством органа для оценки и надзора за решениями, принимаемыми Госуда</w:t>
      </w:r>
      <w:r>
        <w:t>р</w:t>
      </w:r>
      <w:r>
        <w:t>ственным обвинителем, означало бы отход от одного из наиболее основополагающих принципов системы уголовно-процессуального права Дании.</w:t>
      </w:r>
    </w:p>
    <w:p w:rsidR="00907DF0" w:rsidRDefault="00907DF0" w:rsidP="00907DF0">
      <w:pPr>
        <w:pStyle w:val="SingleTxtGR"/>
      </w:pPr>
      <w:r>
        <w:t>40.</w:t>
      </w:r>
      <w:r>
        <w:tab/>
        <w:t>Что касается выраженной Комитетом озабоченности по поводу закрытия дел, переданных Государственному обвинителю, просьба ознакомиться со ст</w:t>
      </w:r>
      <w:r>
        <w:t>а</w:t>
      </w:r>
      <w:r>
        <w:t>тьей</w:t>
      </w:r>
      <w:r w:rsidR="00361C33">
        <w:t> </w:t>
      </w:r>
      <w:r>
        <w:t>96.2 датского закона об отправлении правосудия. Из этого положения сл</w:t>
      </w:r>
      <w:r>
        <w:t>е</w:t>
      </w:r>
      <w:r>
        <w:t>дует, что прокурор обязан не только обеспечить привлечение к отве</w:t>
      </w:r>
      <w:r>
        <w:t>т</w:t>
      </w:r>
      <w:r>
        <w:t>ственности виновного, но и не допустить судебного преследования невиновного. Это наз</w:t>
      </w:r>
      <w:r>
        <w:t>ы</w:t>
      </w:r>
      <w:r>
        <w:t>вается принципом объективности, а исходя из этого принципа</w:t>
      </w:r>
      <w:r w:rsidR="00361C33">
        <w:t>,</w:t>
      </w:r>
      <w:r>
        <w:t xml:space="preserve"> судебное пр</w:t>
      </w:r>
      <w:r>
        <w:t>е</w:t>
      </w:r>
      <w:r>
        <w:t>следование против предполагаемого нарушителя возбуждать не следует, если, исходя из доказательной базы по делу, прокуратура предполагает, что добиться осуждения преступника не удастся.</w:t>
      </w:r>
    </w:p>
    <w:p w:rsidR="00907DF0" w:rsidRDefault="00907DF0" w:rsidP="00907DF0">
      <w:pPr>
        <w:pStyle w:val="SingleTxtGR"/>
      </w:pPr>
      <w:r>
        <w:t>41.</w:t>
      </w:r>
      <w:r>
        <w:tab/>
        <w:t>В свете вышеизложенного правительство решило не следовать рекоме</w:t>
      </w:r>
      <w:r>
        <w:t>н</w:t>
      </w:r>
      <w:r>
        <w:t>дации, вынесенной Комитетом. Вместе с тем правительство разделяет точку зрения Комитета о важности эффективного судебного преследования лиц, в</w:t>
      </w:r>
      <w:r>
        <w:t>и</w:t>
      </w:r>
      <w:r>
        <w:t>новных в преступлениях на почве ненависти. Соответственно, правительство не планирует отменять статью</w:t>
      </w:r>
      <w:r w:rsidR="00221FE4">
        <w:rPr>
          <w:lang w:val="en-US"/>
        </w:rPr>
        <w:t> </w:t>
      </w:r>
      <w:r>
        <w:t>266</w:t>
      </w:r>
      <w:r w:rsidR="00221FE4">
        <w:rPr>
          <w:lang w:val="en-US"/>
        </w:rPr>
        <w:t> </w:t>
      </w:r>
      <w:r>
        <w:t>b</w:t>
      </w:r>
      <w:r w:rsidR="00221FE4">
        <w:rPr>
          <w:lang w:val="en-US"/>
        </w:rPr>
        <w:t>)</w:t>
      </w:r>
      <w:r>
        <w:t xml:space="preserve"> Уголовного кодекса.</w:t>
      </w:r>
    </w:p>
    <w:p w:rsidR="00907DF0" w:rsidRDefault="00907DF0" w:rsidP="00907DF0">
      <w:pPr>
        <w:pStyle w:val="H23GR"/>
      </w:pPr>
      <w:r>
        <w:tab/>
      </w:r>
      <w:r>
        <w:tab/>
        <w:t>Дальнейшие усилия по борьбе с преступлениями на расовой почве и</w:t>
      </w:r>
      <w:r w:rsidR="00CC0FD0">
        <w:t> </w:t>
      </w:r>
      <w:r>
        <w:t>разжиганием ненав</w:t>
      </w:r>
      <w:r>
        <w:t>и</w:t>
      </w:r>
      <w:r>
        <w:t>сти</w:t>
      </w:r>
    </w:p>
    <w:p w:rsidR="00907DF0" w:rsidRDefault="00907DF0" w:rsidP="00907DF0">
      <w:pPr>
        <w:pStyle w:val="SingleTxtGR"/>
      </w:pPr>
      <w:r>
        <w:t>42.</w:t>
      </w:r>
      <w:r>
        <w:tab/>
        <w:t>В период после 2009</w:t>
      </w:r>
      <w:r w:rsidR="00361C33">
        <w:t> </w:t>
      </w:r>
      <w:r>
        <w:t>года Государственный обвинитель и Национальный комиссар полиции выступили с рядом инициатив по борьбе с преступлениями на почве ненависти.</w:t>
      </w:r>
    </w:p>
    <w:p w:rsidR="00907DF0" w:rsidRDefault="00907DF0" w:rsidP="00907DF0">
      <w:pPr>
        <w:pStyle w:val="SingleTxtGR"/>
      </w:pPr>
      <w:r>
        <w:t>43.</w:t>
      </w:r>
      <w:r>
        <w:tab/>
        <w:t>В своем совместном письме, направленном всем комиссарам полиции и</w:t>
      </w:r>
      <w:r w:rsidR="00361C33">
        <w:t> </w:t>
      </w:r>
      <w:r>
        <w:t>региональным прокурорам 22</w:t>
      </w:r>
      <w:r w:rsidR="00361C33">
        <w:t> </w:t>
      </w:r>
      <w:r>
        <w:t>сентября 2011</w:t>
      </w:r>
      <w:r w:rsidR="00361C33">
        <w:t> </w:t>
      </w:r>
      <w:r>
        <w:t>года, Государственный обвин</w:t>
      </w:r>
      <w:r>
        <w:t>и</w:t>
      </w:r>
      <w:r>
        <w:t>тель и Национальный комиссар полиции подчеркнули обязанность полицейской службы и прокуратуры обеспечить эффективное судебное преследование по д</w:t>
      </w:r>
      <w:r>
        <w:t>е</w:t>
      </w:r>
      <w:r>
        <w:t>лам о преступлениях на почве ненависти. Кроме того, полицейской службе и</w:t>
      </w:r>
      <w:r w:rsidR="00361C33">
        <w:t> </w:t>
      </w:r>
      <w:r>
        <w:t>прокуратуре был адресован призыв вносить свой вклад в осуществление пр</w:t>
      </w:r>
      <w:r>
        <w:t>о</w:t>
      </w:r>
      <w:r>
        <w:t>ектов/кампаний, посвященных преступлениям на почве ненависти, например просветительских кампаний, призванных формировать общественное мнение по проблеме преступлений на почве ненависти.</w:t>
      </w:r>
    </w:p>
    <w:p w:rsidR="00907DF0" w:rsidRDefault="00907DF0" w:rsidP="00907DF0">
      <w:pPr>
        <w:pStyle w:val="SingleTxtGR"/>
      </w:pPr>
      <w:r>
        <w:t>44.</w:t>
      </w:r>
      <w:r>
        <w:tab/>
        <w:t>Помимо этого, в 2011</w:t>
      </w:r>
      <w:r w:rsidR="00361C33">
        <w:t> </w:t>
      </w:r>
      <w:r>
        <w:t>году Государственный обвинитель издал новые р</w:t>
      </w:r>
      <w:r>
        <w:t>у</w:t>
      </w:r>
      <w:r>
        <w:t>ководящие принципы проведения расследования и судебного преследования по случаям нарушения статьи</w:t>
      </w:r>
      <w:r w:rsidR="00221FE4">
        <w:t> </w:t>
      </w:r>
      <w:r>
        <w:t>266</w:t>
      </w:r>
      <w:r w:rsidR="00221FE4">
        <w:t> </w:t>
      </w:r>
      <w:r>
        <w:t>b</w:t>
      </w:r>
      <w:r w:rsidR="00221FE4">
        <w:t>)</w:t>
      </w:r>
      <w:r>
        <w:t xml:space="preserve"> Уголовного кодекса и закона о запрещении дискриминации по признаку расы, а также по делам, в отношении которых м</w:t>
      </w:r>
      <w:r>
        <w:t>о</w:t>
      </w:r>
      <w:r>
        <w:t>жет быть применена статья</w:t>
      </w:r>
      <w:r w:rsidR="00361C33">
        <w:t> </w:t>
      </w:r>
      <w:r>
        <w:t>81 (№</w:t>
      </w:r>
      <w:r w:rsidR="00361C33">
        <w:t> </w:t>
      </w:r>
      <w:r w:rsidR="00D3337A">
        <w:t>6) Уголовного кодекса</w:t>
      </w:r>
      <w:r>
        <w:t xml:space="preserve"> (инстру</w:t>
      </w:r>
      <w:r>
        <w:t>к</w:t>
      </w:r>
      <w:r>
        <w:t>ция</w:t>
      </w:r>
      <w:r w:rsidR="00CC0FD0">
        <w:t> </w:t>
      </w:r>
      <w:r>
        <w:t>№</w:t>
      </w:r>
      <w:r w:rsidR="00CC0FD0">
        <w:t> </w:t>
      </w:r>
      <w:r>
        <w:t>2/2011, заменяющая и</w:t>
      </w:r>
      <w:r>
        <w:t>н</w:t>
      </w:r>
      <w:r>
        <w:t>струкцию</w:t>
      </w:r>
      <w:r w:rsidR="00361C33">
        <w:t> № </w:t>
      </w:r>
      <w:r>
        <w:t>9/2006).</w:t>
      </w:r>
    </w:p>
    <w:p w:rsidR="00907DF0" w:rsidRDefault="00907DF0" w:rsidP="00907DF0">
      <w:pPr>
        <w:pStyle w:val="SingleTxtGR"/>
      </w:pPr>
      <w:r>
        <w:t>45.</w:t>
      </w:r>
      <w:r>
        <w:tab/>
        <w:t>Касаясь преступлений, совершенных из расистских побуждени</w:t>
      </w:r>
      <w:r w:rsidR="00D3337A">
        <w:t>й, следует отметить, что в 2011–2012 </w:t>
      </w:r>
      <w:r>
        <w:t>годах во всех районных управлениях полиции Дании были проведены семинары на тему о преступлениях на почве ненависти. Сем</w:t>
      </w:r>
      <w:r>
        <w:t>и</w:t>
      </w:r>
      <w:r>
        <w:t>нары, материалы для которых были разработаны Национальной службой без</w:t>
      </w:r>
      <w:r>
        <w:t>о</w:t>
      </w:r>
      <w:r>
        <w:t>пасности и разведки Дании и Датским институтом по правам человека, были предназначены для сотрудников полиции и прокуратуры. На семинарах ра</w:t>
      </w:r>
      <w:r>
        <w:t>с</w:t>
      </w:r>
      <w:r>
        <w:t>сматривались такие темы, как международные конвенции, права человека, в</w:t>
      </w:r>
      <w:r>
        <w:t>ы</w:t>
      </w:r>
      <w:r>
        <w:t>явление и регистрация преступлений на почве ненависти, а также разработа</w:t>
      </w:r>
      <w:r>
        <w:t>н</w:t>
      </w:r>
      <w:r>
        <w:t>ные Государственным обвинителем руководящие принципы проведения рассл</w:t>
      </w:r>
      <w:r>
        <w:t>е</w:t>
      </w:r>
      <w:r>
        <w:t>дования и судебного преследования по делам о преступлениях на почве нен</w:t>
      </w:r>
      <w:r>
        <w:t>а</w:t>
      </w:r>
      <w:r>
        <w:t>висти.</w:t>
      </w:r>
    </w:p>
    <w:p w:rsidR="00907DF0" w:rsidRDefault="0067663A" w:rsidP="00907DF0">
      <w:pPr>
        <w:pStyle w:val="SingleTxtGR"/>
      </w:pPr>
      <w:r>
        <w:t>46.</w:t>
      </w:r>
      <w:r>
        <w:tab/>
      </w:r>
      <w:r w:rsidR="00907DF0">
        <w:t>Кроме того, с 2013</w:t>
      </w:r>
      <w:r w:rsidR="00D3337A">
        <w:t> </w:t>
      </w:r>
      <w:r w:rsidR="00907DF0">
        <w:t>года Государственный обвинитель ежегодно организ</w:t>
      </w:r>
      <w:r w:rsidR="00907DF0">
        <w:t>у</w:t>
      </w:r>
      <w:r w:rsidR="00907DF0">
        <w:t>ет семинар на тему о преступлениях на почве ненависти. Семинар, посвяще</w:t>
      </w:r>
      <w:r w:rsidR="00907DF0">
        <w:t>н</w:t>
      </w:r>
      <w:r w:rsidR="00907DF0">
        <w:t>ный выявлению таких преступлений и уголовному преследованию нарушит</w:t>
      </w:r>
      <w:r w:rsidR="00907DF0">
        <w:t>е</w:t>
      </w:r>
      <w:r w:rsidR="00907DF0">
        <w:t>лей, предназначен для прокуроров, адвокатов и судей. В его программу входит также рассмотрение правозащитных аспектов в связи с преступлениями на по</w:t>
      </w:r>
      <w:r w:rsidR="00907DF0">
        <w:t>ч</w:t>
      </w:r>
      <w:r w:rsidR="00907DF0">
        <w:t>ве ненависти.</w:t>
      </w:r>
    </w:p>
    <w:p w:rsidR="00907DF0" w:rsidRDefault="00907DF0" w:rsidP="00907DF0">
      <w:pPr>
        <w:pStyle w:val="SingleTxtGR"/>
      </w:pPr>
      <w:r>
        <w:t>47.</w:t>
      </w:r>
      <w:r>
        <w:tab/>
        <w:t>И наконец, следует отметить, что преступления на почве ненависти в</w:t>
      </w:r>
      <w:r>
        <w:t>ы</w:t>
      </w:r>
      <w:r>
        <w:t>делены в качестве отдельного направления приложения усилий в рамках стр</w:t>
      </w:r>
      <w:r>
        <w:t>а</w:t>
      </w:r>
      <w:r>
        <w:t>тегии деятельности прокуратуры на 2012–2015</w:t>
      </w:r>
      <w:r w:rsidR="00D3337A">
        <w:t> </w:t>
      </w:r>
      <w:r>
        <w:t>годы и что судебное преслед</w:t>
      </w:r>
      <w:r>
        <w:t>о</w:t>
      </w:r>
      <w:r>
        <w:t>вание по делам о преступлениях на почве ненависти – это тема, которая ра</w:t>
      </w:r>
      <w:r>
        <w:t>с</w:t>
      </w:r>
      <w:r>
        <w:t>сматривалась и будет рассматриваться на соответствующих форумах, орган</w:t>
      </w:r>
      <w:r>
        <w:t>и</w:t>
      </w:r>
      <w:r>
        <w:t>зуемых прокуратурой, например в комитете по преступлениям против личн</w:t>
      </w:r>
      <w:r>
        <w:t>о</w:t>
      </w:r>
      <w:r>
        <w:t>сти, в</w:t>
      </w:r>
      <w:r w:rsidR="00D3337A">
        <w:t> </w:t>
      </w:r>
      <w:r>
        <w:t>работе которого участвуют представители всех районных управлений п</w:t>
      </w:r>
      <w:r>
        <w:t>о</w:t>
      </w:r>
      <w:r>
        <w:t>лиции и региональных прокуратур.</w:t>
      </w:r>
    </w:p>
    <w:p w:rsidR="00907DF0" w:rsidRDefault="00907DF0" w:rsidP="00907DF0">
      <w:pPr>
        <w:pStyle w:val="H23GR"/>
      </w:pPr>
      <w:r>
        <w:tab/>
      </w:r>
      <w:r>
        <w:tab/>
        <w:t>Уголовные дела по фактам высказываний расистского характера (статья</w:t>
      </w:r>
      <w:r w:rsidR="00D3337A">
        <w:t> </w:t>
      </w:r>
      <w:r>
        <w:t>266</w:t>
      </w:r>
      <w:r w:rsidR="00221FE4">
        <w:rPr>
          <w:lang w:val="en-US"/>
        </w:rPr>
        <w:t> </w:t>
      </w:r>
      <w:r>
        <w:t>b</w:t>
      </w:r>
      <w:r w:rsidR="00221FE4" w:rsidRPr="00221FE4">
        <w:t>)</w:t>
      </w:r>
      <w:r>
        <w:t xml:space="preserve"> Уголовного кодекса)</w:t>
      </w:r>
    </w:p>
    <w:p w:rsidR="00907DF0" w:rsidRDefault="00907DF0" w:rsidP="00907DF0">
      <w:pPr>
        <w:pStyle w:val="SingleTxtGR"/>
      </w:pPr>
      <w:r>
        <w:t>48.</w:t>
      </w:r>
      <w:r>
        <w:tab/>
        <w:t>В 2011</w:t>
      </w:r>
      <w:r w:rsidR="00D3337A">
        <w:t> </w:t>
      </w:r>
      <w:r>
        <w:t>году Государственный обвинитель издал новые руководящие п</w:t>
      </w:r>
      <w:r>
        <w:t>о</w:t>
      </w:r>
      <w:r>
        <w:t>ложения, касающиеся производства по делам о нарушении статьи</w:t>
      </w:r>
      <w:r w:rsidR="00D3337A">
        <w:t> </w:t>
      </w:r>
      <w:r>
        <w:t>266</w:t>
      </w:r>
      <w:r w:rsidR="00221FE4">
        <w:t> </w:t>
      </w:r>
      <w:r>
        <w:t>b</w:t>
      </w:r>
      <w:r w:rsidR="00221FE4">
        <w:t>)</w:t>
      </w:r>
      <w:r>
        <w:t xml:space="preserve"> Уг</w:t>
      </w:r>
      <w:r>
        <w:t>о</w:t>
      </w:r>
      <w:r>
        <w:t>ловного кодекса (инструкция</w:t>
      </w:r>
      <w:r w:rsidR="00D3337A">
        <w:t> </w:t>
      </w:r>
      <w:r>
        <w:t>№</w:t>
      </w:r>
      <w:r w:rsidR="00D3337A">
        <w:t> </w:t>
      </w:r>
      <w:r>
        <w:t>2/2011, заменяющая инструкцию</w:t>
      </w:r>
      <w:r w:rsidR="00D3337A">
        <w:t> </w:t>
      </w:r>
      <w:r>
        <w:t>№</w:t>
      </w:r>
      <w:r w:rsidR="00D3337A">
        <w:t> </w:t>
      </w:r>
      <w:r>
        <w:t>9/2006).</w:t>
      </w:r>
    </w:p>
    <w:p w:rsidR="00907DF0" w:rsidRDefault="00907DF0" w:rsidP="00907DF0">
      <w:pPr>
        <w:pStyle w:val="SingleTxtGR"/>
      </w:pPr>
      <w:r>
        <w:t>49.</w:t>
      </w:r>
      <w:r>
        <w:tab/>
        <w:t>Исходя из задачи обеспечения транспарентности и единообразия прим</w:t>
      </w:r>
      <w:r>
        <w:t>е</w:t>
      </w:r>
      <w:r>
        <w:t>нения сотрудниками полиции и прокуратуры статьи</w:t>
      </w:r>
      <w:r w:rsidR="00D3337A">
        <w:t> </w:t>
      </w:r>
      <w:r>
        <w:t>266</w:t>
      </w:r>
      <w:r w:rsidR="00221FE4">
        <w:t> </w:t>
      </w:r>
      <w:r>
        <w:t>b</w:t>
      </w:r>
      <w:r w:rsidR="00221FE4">
        <w:t>)</w:t>
      </w:r>
      <w:r>
        <w:t xml:space="preserve"> Уголовного кодекса в</w:t>
      </w:r>
      <w:r w:rsidR="00D3337A">
        <w:t> </w:t>
      </w:r>
      <w:r>
        <w:t>связи с делами о разжигании ненависти</w:t>
      </w:r>
      <w:r w:rsidR="006D3840">
        <w:t>,</w:t>
      </w:r>
      <w:r>
        <w:t xml:space="preserve"> в новой инструкции изложены по</w:t>
      </w:r>
      <w:r>
        <w:t>д</w:t>
      </w:r>
      <w:r>
        <w:t>крепленные примерами из судебной практики подробные инструкции о том, в</w:t>
      </w:r>
      <w:r w:rsidR="00D3337A">
        <w:t> </w:t>
      </w:r>
      <w:r>
        <w:t>каких случаях то или иное деяние следует рассматривать, в принципе, как н</w:t>
      </w:r>
      <w:r>
        <w:t>а</w:t>
      </w:r>
      <w:r>
        <w:t>рушение статьи</w:t>
      </w:r>
      <w:r w:rsidR="00D3337A">
        <w:t> </w:t>
      </w:r>
      <w:r>
        <w:t>266</w:t>
      </w:r>
      <w:r w:rsidR="00221FE4">
        <w:t> </w:t>
      </w:r>
      <w:r>
        <w:t>b</w:t>
      </w:r>
      <w:r w:rsidR="00221FE4">
        <w:t>)</w:t>
      </w:r>
      <w:r>
        <w:t>. В инструкцию включены новые пункты, трактующие принцип свободы выражения мнений применительно к таким случаям, а также рекомендации относительно расследования и искомого наказания по таким д</w:t>
      </w:r>
      <w:r>
        <w:t>е</w:t>
      </w:r>
      <w:r>
        <w:t>лам.</w:t>
      </w:r>
    </w:p>
    <w:p w:rsidR="00907DF0" w:rsidRDefault="00907DF0" w:rsidP="00907DF0">
      <w:pPr>
        <w:pStyle w:val="SingleTxtGR"/>
      </w:pPr>
      <w:r>
        <w:t>50.</w:t>
      </w:r>
      <w:r>
        <w:tab/>
        <w:t>Из инструкции</w:t>
      </w:r>
      <w:r w:rsidR="00D3337A">
        <w:t> </w:t>
      </w:r>
      <w:r>
        <w:t>№</w:t>
      </w:r>
      <w:r w:rsidR="00D3337A">
        <w:t> </w:t>
      </w:r>
      <w:r>
        <w:t>9/2006 в новую инструкцию перенесены положения о</w:t>
      </w:r>
      <w:r w:rsidR="00D3337A">
        <w:t> </w:t>
      </w:r>
      <w:r>
        <w:t>порядке подачи рапорта по случаям нарушения статьи</w:t>
      </w:r>
      <w:r w:rsidR="00D3337A">
        <w:t> </w:t>
      </w:r>
      <w:r>
        <w:t>266</w:t>
      </w:r>
      <w:r w:rsidR="00221FE4">
        <w:rPr>
          <w:lang w:val="en-US"/>
        </w:rPr>
        <w:t> </w:t>
      </w:r>
      <w:r>
        <w:t>b</w:t>
      </w:r>
      <w:r w:rsidR="00221FE4" w:rsidRPr="00221FE4">
        <w:t>)</w:t>
      </w:r>
      <w:r>
        <w:t>. Так, по всем случаям предъявления предварительного обвинения в нарушении статьи</w:t>
      </w:r>
      <w:r w:rsidR="00D3337A">
        <w:t> </w:t>
      </w:r>
      <w:r>
        <w:t>266</w:t>
      </w:r>
      <w:r w:rsidR="00221FE4">
        <w:rPr>
          <w:lang w:val="en-US"/>
        </w:rPr>
        <w:t> </w:t>
      </w:r>
      <w:r w:rsidR="00221FE4">
        <w:t>b</w:t>
      </w:r>
      <w:r w:rsidR="00221FE4" w:rsidRPr="00221FE4">
        <w:t>)</w:t>
      </w:r>
      <w:r>
        <w:t xml:space="preserve"> требуется направление Государственному обвинителю рапорта, сопровожда</w:t>
      </w:r>
      <w:r>
        <w:t>е</w:t>
      </w:r>
      <w:r>
        <w:t>мого рекомендацией относительно возбуждения уголовного преследования. Т</w:t>
      </w:r>
      <w:r>
        <w:t>а</w:t>
      </w:r>
      <w:r>
        <w:t>ким образом, именно Государственный обвин</w:t>
      </w:r>
      <w:r w:rsidR="00E21DB7">
        <w:t>итель принимает постановление о</w:t>
      </w:r>
      <w:r w:rsidR="00E21DB7">
        <w:rPr>
          <w:lang w:val="en-US"/>
        </w:rPr>
        <w:t> </w:t>
      </w:r>
      <w:r>
        <w:t>возбуждении или невозбуждении преследования в случае предъявления пре</w:t>
      </w:r>
      <w:r>
        <w:t>д</w:t>
      </w:r>
      <w:r>
        <w:t>варительного обвинения.</w:t>
      </w:r>
    </w:p>
    <w:p w:rsidR="00907DF0" w:rsidRDefault="00907DF0" w:rsidP="00907DF0">
      <w:pPr>
        <w:pStyle w:val="SingleTxtGR"/>
      </w:pPr>
      <w:r>
        <w:t>51.</w:t>
      </w:r>
      <w:r>
        <w:tab/>
        <w:t>Если предварительное обвинение не было предъявлено, а комиссар пол</w:t>
      </w:r>
      <w:r>
        <w:t>и</w:t>
      </w:r>
      <w:r>
        <w:t>ции считает необходимым отозвать рапорт о предполагаемом нарушении ст</w:t>
      </w:r>
      <w:r>
        <w:t>а</w:t>
      </w:r>
      <w:r>
        <w:t>тьи</w:t>
      </w:r>
      <w:r w:rsidR="00D3337A">
        <w:t> </w:t>
      </w:r>
      <w:r>
        <w:t>266</w:t>
      </w:r>
      <w:r w:rsidR="00221FE4">
        <w:rPr>
          <w:lang w:val="en-US"/>
        </w:rPr>
        <w:t> </w:t>
      </w:r>
      <w:r>
        <w:t>b</w:t>
      </w:r>
      <w:r w:rsidR="00221FE4" w:rsidRPr="00221FE4">
        <w:t>)</w:t>
      </w:r>
      <w:r>
        <w:t xml:space="preserve"> или признать отсутствие оснований для продолжения расследования, дело должно быть передано региональному прокурору вместе с соответству</w:t>
      </w:r>
      <w:r>
        <w:t>ю</w:t>
      </w:r>
      <w:r>
        <w:t>щей рекомендацией. В этом случае региональный прокурор определяет целес</w:t>
      </w:r>
      <w:r>
        <w:t>о</w:t>
      </w:r>
      <w:r>
        <w:t>образность оставления без движения рапорта о нарушении статьи</w:t>
      </w:r>
      <w:r w:rsidR="00D3337A">
        <w:t> </w:t>
      </w:r>
      <w:r>
        <w:t>266</w:t>
      </w:r>
      <w:r w:rsidR="00221FE4">
        <w:rPr>
          <w:lang w:val="en-US"/>
        </w:rPr>
        <w:t> </w:t>
      </w:r>
      <w:r>
        <w:t>b</w:t>
      </w:r>
      <w:r w:rsidR="00221FE4" w:rsidRPr="00221FE4">
        <w:t>)</w:t>
      </w:r>
      <w:r>
        <w:t xml:space="preserve"> или прекращения расследования. Тем не менее Государственный обвинитель до</w:t>
      </w:r>
      <w:r>
        <w:t>л</w:t>
      </w:r>
      <w:r>
        <w:t>жен быть поставлен в известность о решении регионального прокурора.</w:t>
      </w:r>
    </w:p>
    <w:p w:rsidR="00907DF0" w:rsidRDefault="00907DF0" w:rsidP="00907DF0">
      <w:pPr>
        <w:pStyle w:val="SingleTxtGR"/>
      </w:pPr>
      <w:r>
        <w:t>52.</w:t>
      </w:r>
      <w:r>
        <w:tab/>
        <w:t>Такой порядок отчетности преследует цель обеспечить единообразную практику предъявления обвинений в масштабах всей страны и надзор за прои</w:t>
      </w:r>
      <w:r>
        <w:t>з</w:t>
      </w:r>
      <w:r>
        <w:t>водством по делам.</w:t>
      </w:r>
    </w:p>
    <w:p w:rsidR="00907DF0" w:rsidRDefault="00907DF0" w:rsidP="00907DF0">
      <w:pPr>
        <w:pStyle w:val="SingleTxtGR"/>
      </w:pPr>
      <w:r>
        <w:t>53.</w:t>
      </w:r>
      <w:r>
        <w:tab/>
        <w:t>Окончательные решения, принятые судами по делам о нарушении ст</w:t>
      </w:r>
      <w:r>
        <w:t>а</w:t>
      </w:r>
      <w:r>
        <w:t>тьи</w:t>
      </w:r>
      <w:r w:rsidR="00D3337A">
        <w:t> </w:t>
      </w:r>
      <w:r>
        <w:t>266</w:t>
      </w:r>
      <w:r w:rsidR="00221FE4">
        <w:rPr>
          <w:lang w:val="en-US"/>
        </w:rPr>
        <w:t> </w:t>
      </w:r>
      <w:r>
        <w:t>b</w:t>
      </w:r>
      <w:r w:rsidR="00221FE4" w:rsidRPr="00221FE4">
        <w:t>)</w:t>
      </w:r>
      <w:r>
        <w:t>, размещаются на веб-сайте Государственного обвинителя (www.rigsadvokaten.dk). Этот ресурс, который систематически обновляется, с</w:t>
      </w:r>
      <w:r>
        <w:t>о</w:t>
      </w:r>
      <w:r>
        <w:t>держит информацию о 76</w:t>
      </w:r>
      <w:r w:rsidR="00D3337A">
        <w:t> </w:t>
      </w:r>
      <w:r>
        <w:t>судебных решениях, в том числе об оправдательных пригов</w:t>
      </w:r>
      <w:r>
        <w:t>о</w:t>
      </w:r>
      <w:r>
        <w:t xml:space="preserve">рах, наложении штрафа и </w:t>
      </w:r>
      <w:r w:rsidR="00AC018F">
        <w:t>т.п.</w:t>
      </w:r>
      <w:r>
        <w:t>, за период с 2000</w:t>
      </w:r>
      <w:r w:rsidR="00D3337A">
        <w:t> </w:t>
      </w:r>
      <w:r>
        <w:t>года по дату последнего обновления 4</w:t>
      </w:r>
      <w:r w:rsidR="00D3337A">
        <w:t> </w:t>
      </w:r>
      <w:r>
        <w:t>июля 2012</w:t>
      </w:r>
      <w:r w:rsidR="00D3337A">
        <w:t> </w:t>
      </w:r>
      <w:r>
        <w:t>года.</w:t>
      </w:r>
    </w:p>
    <w:p w:rsidR="00907DF0" w:rsidRDefault="00907DF0" w:rsidP="00E64CCF">
      <w:pPr>
        <w:pStyle w:val="SingleTxtGR"/>
        <w:keepLines/>
      </w:pPr>
      <w:r>
        <w:t>54.</w:t>
      </w:r>
      <w:r>
        <w:tab/>
        <w:t>Включенные в предыдущие доклады Дании статистические данные о д</w:t>
      </w:r>
      <w:r>
        <w:t>е</w:t>
      </w:r>
      <w:r>
        <w:t>лах, касавшихся случаев нарушения статьи</w:t>
      </w:r>
      <w:r w:rsidR="00D3337A">
        <w:t> </w:t>
      </w:r>
      <w:r>
        <w:t>266</w:t>
      </w:r>
      <w:r w:rsidR="00221FE4">
        <w:rPr>
          <w:lang w:val="en-US"/>
        </w:rPr>
        <w:t> </w:t>
      </w:r>
      <w:r>
        <w:t>b</w:t>
      </w:r>
      <w:r w:rsidR="00221FE4" w:rsidRPr="00221FE4">
        <w:t>)</w:t>
      </w:r>
      <w:r>
        <w:t xml:space="preserve"> Уголовного кодекса, были с</w:t>
      </w:r>
      <w:r>
        <w:t>о</w:t>
      </w:r>
      <w:r>
        <w:t>браны в ручном режиме. С момента представления объединенных воедино в</w:t>
      </w:r>
      <w:r>
        <w:t>о</w:t>
      </w:r>
      <w:r>
        <w:t>семнадцатого и девятнадцатого периодических докладов была произведена адаптация компьютерной системы полицейской службы, дающая возможность электронного извлечения требуемых данных. Приведенные ниже статистич</w:t>
      </w:r>
      <w:r>
        <w:t>е</w:t>
      </w:r>
      <w:r>
        <w:t>ские данные были извлечены в электронном виде из компьютерной системы полицейской службы (POLSAS). Ввиду произведенной адаптации прежние ст</w:t>
      </w:r>
      <w:r>
        <w:t>а</w:t>
      </w:r>
      <w:r>
        <w:t>тистические данные и статистические данные, приведенные в следующих та</w:t>
      </w:r>
      <w:r>
        <w:t>б</w:t>
      </w:r>
      <w:r>
        <w:t>лицах, не являются напр</w:t>
      </w:r>
      <w:r>
        <w:t>я</w:t>
      </w:r>
      <w:r>
        <w:t>мую сопоставимыми.</w:t>
      </w:r>
    </w:p>
    <w:p w:rsidR="00907DF0" w:rsidRDefault="00907DF0" w:rsidP="00907DF0">
      <w:pPr>
        <w:pStyle w:val="SingleTxtGR"/>
      </w:pPr>
      <w:r>
        <w:t>55.</w:t>
      </w:r>
      <w:r>
        <w:tab/>
        <w:t>В таблице</w:t>
      </w:r>
      <w:r w:rsidR="00D3337A">
        <w:t> </w:t>
      </w:r>
      <w:r>
        <w:t>1 приводится информация о делах, по которым были предъя</w:t>
      </w:r>
      <w:r>
        <w:t>в</w:t>
      </w:r>
      <w:r>
        <w:t>лены предварительные обвинения в нарушении статьи</w:t>
      </w:r>
      <w:r w:rsidR="00D3337A">
        <w:t> </w:t>
      </w:r>
      <w:r>
        <w:t>266</w:t>
      </w:r>
      <w:r w:rsidR="00221FE4">
        <w:rPr>
          <w:lang w:val="en-US"/>
        </w:rPr>
        <w:t> </w:t>
      </w:r>
      <w:r>
        <w:t>b</w:t>
      </w:r>
      <w:r w:rsidR="00221FE4" w:rsidRPr="00221FE4">
        <w:t>)</w:t>
      </w:r>
      <w:r>
        <w:t xml:space="preserve"> Уголовного коде</w:t>
      </w:r>
      <w:r>
        <w:t>к</w:t>
      </w:r>
      <w:r>
        <w:t>са.</w:t>
      </w:r>
    </w:p>
    <w:p w:rsidR="00907DF0" w:rsidRDefault="00907DF0" w:rsidP="00907DF0">
      <w:pPr>
        <w:pStyle w:val="SingleTxtGR"/>
      </w:pPr>
      <w:r>
        <w:t>Таблица</w:t>
      </w:r>
      <w:r w:rsidR="003A6774">
        <w:t> </w:t>
      </w:r>
      <w:r>
        <w:t>1</w:t>
      </w:r>
    </w:p>
    <w:tbl>
      <w:tblPr>
        <w:tblW w:w="7371" w:type="dxa"/>
        <w:tblInd w:w="1134" w:type="dxa"/>
        <w:tblBorders>
          <w:top w:val="single" w:sz="4" w:space="0" w:color="auto"/>
        </w:tblBorders>
        <w:tblLayout w:type="fixed"/>
        <w:tblCellMar>
          <w:left w:w="0" w:type="dxa"/>
          <w:right w:w="0" w:type="dxa"/>
        </w:tblCellMar>
        <w:tblLook w:val="0000"/>
      </w:tblPr>
      <w:tblGrid>
        <w:gridCol w:w="1111"/>
        <w:gridCol w:w="1201"/>
        <w:gridCol w:w="1309"/>
        <w:gridCol w:w="1306"/>
        <w:gridCol w:w="1201"/>
        <w:gridCol w:w="1243"/>
      </w:tblGrid>
      <w:tr w:rsidR="00612CFA" w:rsidRPr="00B35AE6" w:rsidTr="005E6D7C">
        <w:trPr>
          <w:tblHeader/>
        </w:trPr>
        <w:tc>
          <w:tcPr>
            <w:tcW w:w="1110" w:type="dxa"/>
            <w:tcBorders>
              <w:top w:val="single" w:sz="4" w:space="0" w:color="auto"/>
              <w:bottom w:val="single" w:sz="12" w:space="0" w:color="auto"/>
            </w:tcBorders>
            <w:shd w:val="clear" w:color="auto" w:fill="auto"/>
            <w:vAlign w:val="bottom"/>
          </w:tcPr>
          <w:p w:rsidR="00612CFA" w:rsidRPr="00B35AE6" w:rsidRDefault="00612CFA" w:rsidP="00B35AE6">
            <w:pPr>
              <w:spacing w:before="80" w:after="80" w:line="200" w:lineRule="exact"/>
              <w:rPr>
                <w:i/>
                <w:sz w:val="16"/>
                <w:szCs w:val="16"/>
              </w:rPr>
            </w:pPr>
            <w:r w:rsidRPr="00B35AE6">
              <w:rPr>
                <w:i/>
                <w:sz w:val="16"/>
                <w:szCs w:val="16"/>
              </w:rPr>
              <w:t>Год</w:t>
            </w:r>
          </w:p>
        </w:tc>
        <w:tc>
          <w:tcPr>
            <w:tcW w:w="1201" w:type="dxa"/>
            <w:tcBorders>
              <w:top w:val="single" w:sz="4" w:space="0" w:color="auto"/>
              <w:bottom w:val="single" w:sz="12" w:space="0" w:color="auto"/>
            </w:tcBorders>
            <w:shd w:val="clear" w:color="auto" w:fill="auto"/>
            <w:vAlign w:val="bottom"/>
          </w:tcPr>
          <w:p w:rsidR="00612CFA" w:rsidRPr="00B35AE6" w:rsidRDefault="00612CFA" w:rsidP="00B35AE6">
            <w:pPr>
              <w:spacing w:before="80" w:after="80" w:line="200" w:lineRule="exact"/>
              <w:jc w:val="right"/>
              <w:rPr>
                <w:i/>
                <w:sz w:val="16"/>
                <w:szCs w:val="16"/>
              </w:rPr>
            </w:pPr>
            <w:r w:rsidRPr="00B35AE6">
              <w:rPr>
                <w:i/>
                <w:sz w:val="16"/>
                <w:szCs w:val="16"/>
              </w:rPr>
              <w:t xml:space="preserve">Число </w:t>
            </w:r>
            <w:r w:rsidR="00F2466A">
              <w:rPr>
                <w:i/>
                <w:sz w:val="16"/>
                <w:szCs w:val="16"/>
              </w:rPr>
              <w:br/>
            </w:r>
            <w:r w:rsidRPr="00B35AE6">
              <w:rPr>
                <w:i/>
                <w:sz w:val="16"/>
                <w:szCs w:val="16"/>
              </w:rPr>
              <w:t>предъя</w:t>
            </w:r>
            <w:r w:rsidRPr="00B35AE6">
              <w:rPr>
                <w:i/>
                <w:sz w:val="16"/>
                <w:szCs w:val="16"/>
              </w:rPr>
              <w:t>в</w:t>
            </w:r>
            <w:r w:rsidRPr="00B35AE6">
              <w:rPr>
                <w:i/>
                <w:sz w:val="16"/>
                <w:szCs w:val="16"/>
              </w:rPr>
              <w:t>ленных обвин</w:t>
            </w:r>
            <w:r w:rsidRPr="00B35AE6">
              <w:rPr>
                <w:i/>
                <w:sz w:val="16"/>
                <w:szCs w:val="16"/>
              </w:rPr>
              <w:t>е</w:t>
            </w:r>
            <w:r w:rsidRPr="00B35AE6">
              <w:rPr>
                <w:i/>
                <w:sz w:val="16"/>
                <w:szCs w:val="16"/>
              </w:rPr>
              <w:t>ний</w:t>
            </w:r>
          </w:p>
        </w:tc>
        <w:tc>
          <w:tcPr>
            <w:tcW w:w="1309" w:type="dxa"/>
            <w:tcBorders>
              <w:top w:val="single" w:sz="4" w:space="0" w:color="auto"/>
              <w:bottom w:val="single" w:sz="12" w:space="0" w:color="auto"/>
            </w:tcBorders>
            <w:shd w:val="clear" w:color="auto" w:fill="auto"/>
            <w:vAlign w:val="bottom"/>
          </w:tcPr>
          <w:p w:rsidR="00612CFA" w:rsidRPr="00B35AE6" w:rsidRDefault="00612CFA" w:rsidP="00B35AE6">
            <w:pPr>
              <w:spacing w:before="80" w:after="80" w:line="200" w:lineRule="exact"/>
              <w:jc w:val="right"/>
              <w:rPr>
                <w:i/>
                <w:sz w:val="16"/>
                <w:szCs w:val="16"/>
              </w:rPr>
            </w:pPr>
            <w:r w:rsidRPr="00B35AE6">
              <w:rPr>
                <w:i/>
                <w:sz w:val="16"/>
                <w:szCs w:val="16"/>
              </w:rPr>
              <w:t xml:space="preserve">Число </w:t>
            </w:r>
            <w:r w:rsidR="00F2466A">
              <w:rPr>
                <w:i/>
                <w:sz w:val="16"/>
                <w:szCs w:val="16"/>
              </w:rPr>
              <w:br/>
            </w:r>
            <w:r w:rsidRPr="00B35AE6">
              <w:rPr>
                <w:i/>
                <w:sz w:val="16"/>
                <w:szCs w:val="16"/>
              </w:rPr>
              <w:t>обвин</w:t>
            </w:r>
            <w:r w:rsidRPr="00B35AE6">
              <w:rPr>
                <w:i/>
                <w:sz w:val="16"/>
                <w:szCs w:val="16"/>
              </w:rPr>
              <w:t>и</w:t>
            </w:r>
            <w:r w:rsidRPr="00B35AE6">
              <w:rPr>
                <w:i/>
                <w:sz w:val="16"/>
                <w:szCs w:val="16"/>
              </w:rPr>
              <w:t>тельных закл</w:t>
            </w:r>
            <w:r w:rsidRPr="00B35AE6">
              <w:rPr>
                <w:i/>
                <w:sz w:val="16"/>
                <w:szCs w:val="16"/>
              </w:rPr>
              <w:t>ю</w:t>
            </w:r>
            <w:r w:rsidRPr="00B35AE6">
              <w:rPr>
                <w:i/>
                <w:sz w:val="16"/>
                <w:szCs w:val="16"/>
              </w:rPr>
              <w:t>чений</w:t>
            </w:r>
          </w:p>
        </w:tc>
        <w:tc>
          <w:tcPr>
            <w:tcW w:w="1306" w:type="dxa"/>
            <w:tcBorders>
              <w:top w:val="single" w:sz="4" w:space="0" w:color="auto"/>
              <w:bottom w:val="single" w:sz="12" w:space="0" w:color="auto"/>
            </w:tcBorders>
            <w:shd w:val="clear" w:color="auto" w:fill="auto"/>
            <w:vAlign w:val="bottom"/>
          </w:tcPr>
          <w:p w:rsidR="00612CFA" w:rsidRPr="00B35AE6" w:rsidRDefault="00612CFA" w:rsidP="00B35AE6">
            <w:pPr>
              <w:spacing w:before="80" w:after="80" w:line="200" w:lineRule="exact"/>
              <w:jc w:val="right"/>
              <w:rPr>
                <w:i/>
                <w:sz w:val="16"/>
                <w:szCs w:val="16"/>
              </w:rPr>
            </w:pPr>
            <w:r w:rsidRPr="00B35AE6">
              <w:rPr>
                <w:i/>
                <w:sz w:val="16"/>
                <w:szCs w:val="16"/>
              </w:rPr>
              <w:t xml:space="preserve">Число </w:t>
            </w:r>
            <w:r w:rsidR="00F2466A">
              <w:rPr>
                <w:i/>
                <w:sz w:val="16"/>
                <w:szCs w:val="16"/>
              </w:rPr>
              <w:br/>
            </w:r>
            <w:r w:rsidRPr="00B35AE6">
              <w:rPr>
                <w:i/>
                <w:sz w:val="16"/>
                <w:szCs w:val="16"/>
              </w:rPr>
              <w:t xml:space="preserve">вынесенных </w:t>
            </w:r>
            <w:r w:rsidR="00F2466A">
              <w:rPr>
                <w:i/>
                <w:sz w:val="16"/>
                <w:szCs w:val="16"/>
              </w:rPr>
              <w:br/>
            </w:r>
            <w:r w:rsidRPr="00B35AE6">
              <w:rPr>
                <w:i/>
                <w:sz w:val="16"/>
                <w:szCs w:val="16"/>
              </w:rPr>
              <w:t>обвинител</w:t>
            </w:r>
            <w:r w:rsidRPr="00B35AE6">
              <w:rPr>
                <w:i/>
                <w:sz w:val="16"/>
                <w:szCs w:val="16"/>
              </w:rPr>
              <w:t>ь</w:t>
            </w:r>
            <w:r w:rsidRPr="00B35AE6">
              <w:rPr>
                <w:i/>
                <w:sz w:val="16"/>
                <w:szCs w:val="16"/>
              </w:rPr>
              <w:t>ных приговоров</w:t>
            </w:r>
          </w:p>
        </w:tc>
        <w:tc>
          <w:tcPr>
            <w:tcW w:w="1201" w:type="dxa"/>
            <w:tcBorders>
              <w:top w:val="single" w:sz="4" w:space="0" w:color="auto"/>
              <w:bottom w:val="single" w:sz="12" w:space="0" w:color="auto"/>
            </w:tcBorders>
            <w:shd w:val="clear" w:color="auto" w:fill="auto"/>
            <w:vAlign w:val="bottom"/>
          </w:tcPr>
          <w:p w:rsidR="00612CFA" w:rsidRPr="00B35AE6" w:rsidRDefault="00612CFA" w:rsidP="00B35AE6">
            <w:pPr>
              <w:spacing w:before="80" w:after="80" w:line="200" w:lineRule="exact"/>
              <w:jc w:val="right"/>
              <w:rPr>
                <w:i/>
                <w:sz w:val="16"/>
                <w:szCs w:val="16"/>
              </w:rPr>
            </w:pPr>
            <w:r w:rsidRPr="00B35AE6">
              <w:rPr>
                <w:i/>
                <w:sz w:val="16"/>
                <w:szCs w:val="16"/>
              </w:rPr>
              <w:t xml:space="preserve">Число </w:t>
            </w:r>
            <w:r w:rsidR="00F2466A">
              <w:rPr>
                <w:i/>
                <w:sz w:val="16"/>
                <w:szCs w:val="16"/>
              </w:rPr>
              <w:br/>
            </w:r>
            <w:r w:rsidRPr="00B35AE6">
              <w:rPr>
                <w:i/>
                <w:sz w:val="16"/>
                <w:szCs w:val="16"/>
              </w:rPr>
              <w:t>нал</w:t>
            </w:r>
            <w:r w:rsidRPr="00B35AE6">
              <w:rPr>
                <w:i/>
                <w:sz w:val="16"/>
                <w:szCs w:val="16"/>
              </w:rPr>
              <w:t>о</w:t>
            </w:r>
            <w:r w:rsidRPr="00B35AE6">
              <w:rPr>
                <w:i/>
                <w:sz w:val="16"/>
                <w:szCs w:val="16"/>
              </w:rPr>
              <w:t>женных штр</w:t>
            </w:r>
            <w:r w:rsidRPr="00B35AE6">
              <w:rPr>
                <w:i/>
                <w:sz w:val="16"/>
                <w:szCs w:val="16"/>
              </w:rPr>
              <w:t>а</w:t>
            </w:r>
            <w:r w:rsidRPr="00B35AE6">
              <w:rPr>
                <w:i/>
                <w:sz w:val="16"/>
                <w:szCs w:val="16"/>
              </w:rPr>
              <w:t>фов</w:t>
            </w:r>
          </w:p>
        </w:tc>
        <w:tc>
          <w:tcPr>
            <w:tcW w:w="1243" w:type="dxa"/>
            <w:tcBorders>
              <w:top w:val="single" w:sz="4" w:space="0" w:color="auto"/>
              <w:bottom w:val="single" w:sz="12" w:space="0" w:color="auto"/>
            </w:tcBorders>
            <w:shd w:val="clear" w:color="auto" w:fill="auto"/>
            <w:vAlign w:val="bottom"/>
          </w:tcPr>
          <w:p w:rsidR="00612CFA" w:rsidRPr="00B35AE6" w:rsidRDefault="00612CFA" w:rsidP="00B35AE6">
            <w:pPr>
              <w:spacing w:before="80" w:after="80" w:line="200" w:lineRule="exact"/>
              <w:jc w:val="right"/>
              <w:rPr>
                <w:i/>
                <w:sz w:val="16"/>
                <w:szCs w:val="16"/>
              </w:rPr>
            </w:pPr>
            <w:r w:rsidRPr="00B35AE6">
              <w:rPr>
                <w:i/>
                <w:sz w:val="16"/>
                <w:szCs w:val="16"/>
              </w:rPr>
              <w:t xml:space="preserve">Число </w:t>
            </w:r>
            <w:r w:rsidR="00F2466A">
              <w:rPr>
                <w:i/>
                <w:sz w:val="16"/>
                <w:szCs w:val="16"/>
              </w:rPr>
              <w:br/>
            </w:r>
            <w:r w:rsidRPr="00B35AE6">
              <w:rPr>
                <w:i/>
                <w:sz w:val="16"/>
                <w:szCs w:val="16"/>
              </w:rPr>
              <w:t>оправд</w:t>
            </w:r>
            <w:r w:rsidRPr="00B35AE6">
              <w:rPr>
                <w:i/>
                <w:sz w:val="16"/>
                <w:szCs w:val="16"/>
              </w:rPr>
              <w:t>а</w:t>
            </w:r>
            <w:r w:rsidRPr="00B35AE6">
              <w:rPr>
                <w:i/>
                <w:sz w:val="16"/>
                <w:szCs w:val="16"/>
              </w:rPr>
              <w:t>тельных приг</w:t>
            </w:r>
            <w:r w:rsidRPr="00B35AE6">
              <w:rPr>
                <w:i/>
                <w:sz w:val="16"/>
                <w:szCs w:val="16"/>
              </w:rPr>
              <w:t>о</w:t>
            </w:r>
            <w:r w:rsidRPr="00B35AE6">
              <w:rPr>
                <w:i/>
                <w:sz w:val="16"/>
                <w:szCs w:val="16"/>
              </w:rPr>
              <w:t>воров</w:t>
            </w:r>
          </w:p>
        </w:tc>
      </w:tr>
      <w:tr w:rsidR="00612CFA" w:rsidRPr="006B371B" w:rsidTr="005E6D7C">
        <w:tc>
          <w:tcPr>
            <w:tcW w:w="1110" w:type="dxa"/>
            <w:tcBorders>
              <w:top w:val="single" w:sz="12" w:space="0" w:color="auto"/>
            </w:tcBorders>
            <w:shd w:val="clear" w:color="auto" w:fill="auto"/>
          </w:tcPr>
          <w:p w:rsidR="00612CFA" w:rsidRPr="00F2466A" w:rsidRDefault="00612CFA" w:rsidP="00F2466A">
            <w:pPr>
              <w:spacing w:before="40" w:after="40" w:line="220" w:lineRule="exact"/>
              <w:rPr>
                <w:sz w:val="18"/>
                <w:szCs w:val="18"/>
              </w:rPr>
            </w:pPr>
            <w:r w:rsidRPr="00F2466A">
              <w:rPr>
                <w:sz w:val="18"/>
                <w:szCs w:val="18"/>
              </w:rPr>
              <w:t>2007 г.</w:t>
            </w:r>
          </w:p>
        </w:tc>
        <w:tc>
          <w:tcPr>
            <w:tcW w:w="1201" w:type="dxa"/>
            <w:tcBorders>
              <w:top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15</w:t>
            </w:r>
          </w:p>
        </w:tc>
        <w:tc>
          <w:tcPr>
            <w:tcW w:w="1309" w:type="dxa"/>
            <w:tcBorders>
              <w:top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6</w:t>
            </w:r>
          </w:p>
        </w:tc>
        <w:tc>
          <w:tcPr>
            <w:tcW w:w="1306" w:type="dxa"/>
            <w:tcBorders>
              <w:top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8</w:t>
            </w:r>
          </w:p>
        </w:tc>
        <w:tc>
          <w:tcPr>
            <w:tcW w:w="1201" w:type="dxa"/>
            <w:tcBorders>
              <w:top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w:t>
            </w:r>
          </w:p>
        </w:tc>
        <w:tc>
          <w:tcPr>
            <w:tcW w:w="1243" w:type="dxa"/>
            <w:tcBorders>
              <w:top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4</w:t>
            </w:r>
          </w:p>
        </w:tc>
      </w:tr>
      <w:tr w:rsidR="00612CFA" w:rsidRPr="006B371B" w:rsidTr="005E6D7C">
        <w:tc>
          <w:tcPr>
            <w:tcW w:w="1110" w:type="dxa"/>
            <w:shd w:val="clear" w:color="auto" w:fill="auto"/>
          </w:tcPr>
          <w:p w:rsidR="00612CFA" w:rsidRPr="00F2466A" w:rsidRDefault="00612CFA" w:rsidP="00F2466A">
            <w:pPr>
              <w:spacing w:before="40" w:after="40" w:line="220" w:lineRule="exact"/>
              <w:rPr>
                <w:sz w:val="18"/>
                <w:szCs w:val="18"/>
              </w:rPr>
            </w:pPr>
            <w:r w:rsidRPr="00F2466A">
              <w:rPr>
                <w:sz w:val="18"/>
                <w:szCs w:val="18"/>
              </w:rPr>
              <w:t>2008 г.</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9</w:t>
            </w:r>
          </w:p>
        </w:tc>
        <w:tc>
          <w:tcPr>
            <w:tcW w:w="1309"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8</w:t>
            </w:r>
          </w:p>
        </w:tc>
        <w:tc>
          <w:tcPr>
            <w:tcW w:w="1306"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2</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4</w:t>
            </w:r>
          </w:p>
        </w:tc>
        <w:tc>
          <w:tcPr>
            <w:tcW w:w="1243"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0</w:t>
            </w:r>
          </w:p>
        </w:tc>
      </w:tr>
      <w:tr w:rsidR="00612CFA" w:rsidRPr="006B371B" w:rsidTr="005E6D7C">
        <w:tc>
          <w:tcPr>
            <w:tcW w:w="1110" w:type="dxa"/>
            <w:shd w:val="clear" w:color="auto" w:fill="auto"/>
          </w:tcPr>
          <w:p w:rsidR="00612CFA" w:rsidRPr="00F2466A" w:rsidRDefault="00612CFA" w:rsidP="00F2466A">
            <w:pPr>
              <w:spacing w:before="40" w:after="40" w:line="220" w:lineRule="exact"/>
              <w:rPr>
                <w:sz w:val="18"/>
                <w:szCs w:val="18"/>
              </w:rPr>
            </w:pPr>
            <w:r w:rsidRPr="00F2466A">
              <w:rPr>
                <w:sz w:val="18"/>
                <w:szCs w:val="18"/>
              </w:rPr>
              <w:t>2009 г.</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15</w:t>
            </w:r>
          </w:p>
        </w:tc>
        <w:tc>
          <w:tcPr>
            <w:tcW w:w="1309"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6</w:t>
            </w:r>
          </w:p>
        </w:tc>
        <w:tc>
          <w:tcPr>
            <w:tcW w:w="1306"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4</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0</w:t>
            </w:r>
          </w:p>
        </w:tc>
        <w:tc>
          <w:tcPr>
            <w:tcW w:w="1243"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0</w:t>
            </w:r>
          </w:p>
        </w:tc>
      </w:tr>
      <w:tr w:rsidR="00612CFA" w:rsidRPr="006B371B" w:rsidTr="005E6D7C">
        <w:tc>
          <w:tcPr>
            <w:tcW w:w="1110" w:type="dxa"/>
            <w:shd w:val="clear" w:color="auto" w:fill="auto"/>
          </w:tcPr>
          <w:p w:rsidR="00612CFA" w:rsidRPr="00F2466A" w:rsidRDefault="00612CFA" w:rsidP="00F2466A">
            <w:pPr>
              <w:spacing w:before="40" w:after="40" w:line="220" w:lineRule="exact"/>
              <w:rPr>
                <w:sz w:val="18"/>
                <w:szCs w:val="18"/>
              </w:rPr>
            </w:pPr>
            <w:r w:rsidRPr="00F2466A">
              <w:rPr>
                <w:sz w:val="18"/>
                <w:szCs w:val="18"/>
              </w:rPr>
              <w:t>2010 г.</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29</w:t>
            </w:r>
          </w:p>
        </w:tc>
        <w:tc>
          <w:tcPr>
            <w:tcW w:w="1309"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13</w:t>
            </w:r>
          </w:p>
        </w:tc>
        <w:tc>
          <w:tcPr>
            <w:tcW w:w="1306"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7</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w:t>
            </w:r>
          </w:p>
        </w:tc>
        <w:tc>
          <w:tcPr>
            <w:tcW w:w="1243"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2</w:t>
            </w:r>
          </w:p>
        </w:tc>
      </w:tr>
      <w:tr w:rsidR="00612CFA" w:rsidRPr="006B371B" w:rsidTr="005E6D7C">
        <w:tc>
          <w:tcPr>
            <w:tcW w:w="1110" w:type="dxa"/>
            <w:shd w:val="clear" w:color="auto" w:fill="auto"/>
          </w:tcPr>
          <w:p w:rsidR="00612CFA" w:rsidRPr="00F2466A" w:rsidRDefault="00612CFA" w:rsidP="00F2466A">
            <w:pPr>
              <w:spacing w:before="40" w:after="40" w:line="220" w:lineRule="exact"/>
              <w:rPr>
                <w:sz w:val="18"/>
                <w:szCs w:val="18"/>
              </w:rPr>
            </w:pPr>
            <w:r w:rsidRPr="00F2466A">
              <w:rPr>
                <w:sz w:val="18"/>
                <w:szCs w:val="18"/>
              </w:rPr>
              <w:t>2011 г.</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28</w:t>
            </w:r>
          </w:p>
        </w:tc>
        <w:tc>
          <w:tcPr>
            <w:tcW w:w="1309"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19</w:t>
            </w:r>
          </w:p>
        </w:tc>
        <w:tc>
          <w:tcPr>
            <w:tcW w:w="1306"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5</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2</w:t>
            </w:r>
          </w:p>
        </w:tc>
        <w:tc>
          <w:tcPr>
            <w:tcW w:w="1243"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w:t>
            </w:r>
          </w:p>
        </w:tc>
      </w:tr>
      <w:tr w:rsidR="00612CFA" w:rsidRPr="006B371B" w:rsidTr="005E6D7C">
        <w:tc>
          <w:tcPr>
            <w:tcW w:w="1110" w:type="dxa"/>
            <w:shd w:val="clear" w:color="auto" w:fill="auto"/>
          </w:tcPr>
          <w:p w:rsidR="00612CFA" w:rsidRPr="00F2466A" w:rsidRDefault="00612CFA" w:rsidP="00F2466A">
            <w:pPr>
              <w:spacing w:before="40" w:after="40" w:line="220" w:lineRule="exact"/>
              <w:rPr>
                <w:sz w:val="18"/>
                <w:szCs w:val="18"/>
              </w:rPr>
            </w:pPr>
            <w:r w:rsidRPr="00F2466A">
              <w:rPr>
                <w:sz w:val="18"/>
                <w:szCs w:val="18"/>
              </w:rPr>
              <w:t>2012 г.</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26</w:t>
            </w:r>
          </w:p>
        </w:tc>
        <w:tc>
          <w:tcPr>
            <w:tcW w:w="1309"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14</w:t>
            </w:r>
          </w:p>
        </w:tc>
        <w:tc>
          <w:tcPr>
            <w:tcW w:w="1306"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4</w:t>
            </w:r>
          </w:p>
        </w:tc>
        <w:tc>
          <w:tcPr>
            <w:tcW w:w="1201"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4</w:t>
            </w:r>
          </w:p>
        </w:tc>
        <w:tc>
          <w:tcPr>
            <w:tcW w:w="1243" w:type="dxa"/>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4</w:t>
            </w:r>
          </w:p>
        </w:tc>
      </w:tr>
      <w:tr w:rsidR="00612CFA" w:rsidRPr="006B371B" w:rsidTr="005E6D7C">
        <w:tc>
          <w:tcPr>
            <w:tcW w:w="1110" w:type="dxa"/>
            <w:tcBorders>
              <w:bottom w:val="single" w:sz="12" w:space="0" w:color="auto"/>
            </w:tcBorders>
            <w:shd w:val="clear" w:color="auto" w:fill="auto"/>
          </w:tcPr>
          <w:p w:rsidR="00612CFA" w:rsidRPr="00F2466A" w:rsidRDefault="00612CFA" w:rsidP="00F2466A">
            <w:pPr>
              <w:spacing w:before="40" w:after="40" w:line="220" w:lineRule="exact"/>
              <w:rPr>
                <w:sz w:val="18"/>
                <w:szCs w:val="18"/>
              </w:rPr>
            </w:pPr>
            <w:r w:rsidRPr="00F2466A">
              <w:rPr>
                <w:sz w:val="18"/>
                <w:szCs w:val="18"/>
              </w:rPr>
              <w:t>Всего</w:t>
            </w:r>
          </w:p>
        </w:tc>
        <w:tc>
          <w:tcPr>
            <w:tcW w:w="1201" w:type="dxa"/>
            <w:tcBorders>
              <w:bottom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122</w:t>
            </w:r>
          </w:p>
        </w:tc>
        <w:tc>
          <w:tcPr>
            <w:tcW w:w="1309" w:type="dxa"/>
            <w:tcBorders>
              <w:bottom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66</w:t>
            </w:r>
          </w:p>
        </w:tc>
        <w:tc>
          <w:tcPr>
            <w:tcW w:w="1306" w:type="dxa"/>
            <w:tcBorders>
              <w:bottom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30</w:t>
            </w:r>
          </w:p>
        </w:tc>
        <w:tc>
          <w:tcPr>
            <w:tcW w:w="1201" w:type="dxa"/>
            <w:tcBorders>
              <w:bottom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12</w:t>
            </w:r>
          </w:p>
        </w:tc>
        <w:tc>
          <w:tcPr>
            <w:tcW w:w="1243" w:type="dxa"/>
            <w:tcBorders>
              <w:bottom w:val="single" w:sz="12" w:space="0" w:color="auto"/>
            </w:tcBorders>
            <w:shd w:val="clear" w:color="auto" w:fill="auto"/>
            <w:vAlign w:val="bottom"/>
          </w:tcPr>
          <w:p w:rsidR="00612CFA" w:rsidRPr="00F2466A" w:rsidRDefault="00612CFA" w:rsidP="00F2466A">
            <w:pPr>
              <w:spacing w:before="40" w:after="40" w:line="220" w:lineRule="exact"/>
              <w:jc w:val="right"/>
              <w:rPr>
                <w:sz w:val="18"/>
                <w:szCs w:val="18"/>
              </w:rPr>
            </w:pPr>
            <w:r w:rsidRPr="00F2466A">
              <w:rPr>
                <w:sz w:val="18"/>
                <w:szCs w:val="18"/>
              </w:rPr>
              <w:t>11</w:t>
            </w:r>
          </w:p>
        </w:tc>
      </w:tr>
    </w:tbl>
    <w:p w:rsidR="00907DF0" w:rsidRDefault="00907DF0" w:rsidP="00612CFA">
      <w:pPr>
        <w:pStyle w:val="SingleTxtGR"/>
        <w:spacing w:before="240"/>
      </w:pPr>
      <w:r>
        <w:t>56.</w:t>
      </w:r>
      <w:r>
        <w:tab/>
        <w:t>В таблице</w:t>
      </w:r>
      <w:r w:rsidR="00612CFA">
        <w:t> </w:t>
      </w:r>
      <w:r>
        <w:t>2 представлена информация о делах, по которым предвар</w:t>
      </w:r>
      <w:r>
        <w:t>и</w:t>
      </w:r>
      <w:r>
        <w:t>тельные обвинения в нар</w:t>
      </w:r>
      <w:r>
        <w:t>у</w:t>
      </w:r>
      <w:r>
        <w:t>шении статьи</w:t>
      </w:r>
      <w:r w:rsidR="00D3337A">
        <w:t> </w:t>
      </w:r>
      <w:r>
        <w:t>266</w:t>
      </w:r>
      <w:r w:rsidR="00221FE4">
        <w:rPr>
          <w:lang w:val="en-US"/>
        </w:rPr>
        <w:t> </w:t>
      </w:r>
      <w:r>
        <w:t>b</w:t>
      </w:r>
      <w:r w:rsidR="00221FE4" w:rsidRPr="00221FE4">
        <w:t>)</w:t>
      </w:r>
      <w:r>
        <w:t xml:space="preserve"> Уголовного кодекса предъявлены не были.</w:t>
      </w:r>
    </w:p>
    <w:p w:rsidR="00907DF0" w:rsidRDefault="00907DF0" w:rsidP="00907DF0">
      <w:pPr>
        <w:pStyle w:val="SingleTxtGR"/>
      </w:pPr>
      <w:r>
        <w:t>Таблица</w:t>
      </w:r>
      <w:r w:rsidR="00F2466A">
        <w:t> </w:t>
      </w:r>
      <w:r>
        <w:t>2</w:t>
      </w:r>
    </w:p>
    <w:tbl>
      <w:tblPr>
        <w:tblW w:w="7371" w:type="dxa"/>
        <w:tblInd w:w="1134" w:type="dxa"/>
        <w:tblBorders>
          <w:top w:val="single" w:sz="4" w:space="0" w:color="auto"/>
        </w:tblBorders>
        <w:tblLayout w:type="fixed"/>
        <w:tblCellMar>
          <w:left w:w="0" w:type="dxa"/>
          <w:right w:w="0" w:type="dxa"/>
        </w:tblCellMar>
        <w:tblLook w:val="0000"/>
      </w:tblPr>
      <w:tblGrid>
        <w:gridCol w:w="1134"/>
        <w:gridCol w:w="1843"/>
        <w:gridCol w:w="2222"/>
        <w:gridCol w:w="2172"/>
      </w:tblGrid>
      <w:tr w:rsidR="00F2466A" w:rsidRPr="00F2466A" w:rsidTr="005E6D7C">
        <w:trPr>
          <w:tblHeader/>
        </w:trPr>
        <w:tc>
          <w:tcPr>
            <w:tcW w:w="1134" w:type="dxa"/>
            <w:tcBorders>
              <w:top w:val="single" w:sz="4" w:space="0" w:color="auto"/>
              <w:bottom w:val="single" w:sz="12" w:space="0" w:color="auto"/>
            </w:tcBorders>
            <w:shd w:val="clear" w:color="auto" w:fill="auto"/>
            <w:vAlign w:val="bottom"/>
          </w:tcPr>
          <w:p w:rsidR="00F2466A" w:rsidRPr="00F2466A" w:rsidRDefault="00F2466A" w:rsidP="00F2466A">
            <w:pPr>
              <w:spacing w:before="80" w:after="80" w:line="200" w:lineRule="exact"/>
              <w:rPr>
                <w:i/>
                <w:sz w:val="16"/>
                <w:szCs w:val="16"/>
              </w:rPr>
            </w:pPr>
            <w:r w:rsidRPr="00F2466A">
              <w:rPr>
                <w:i/>
                <w:sz w:val="16"/>
                <w:szCs w:val="16"/>
              </w:rPr>
              <w:t>Год</w:t>
            </w:r>
          </w:p>
        </w:tc>
        <w:tc>
          <w:tcPr>
            <w:tcW w:w="1843" w:type="dxa"/>
            <w:tcBorders>
              <w:top w:val="single" w:sz="4" w:space="0" w:color="auto"/>
              <w:bottom w:val="single" w:sz="12" w:space="0" w:color="auto"/>
            </w:tcBorders>
            <w:shd w:val="clear" w:color="auto" w:fill="auto"/>
            <w:vAlign w:val="bottom"/>
          </w:tcPr>
          <w:p w:rsidR="00F2466A" w:rsidRPr="00F2466A" w:rsidRDefault="00F2466A" w:rsidP="00F2466A">
            <w:pPr>
              <w:spacing w:before="80" w:after="80" w:line="200" w:lineRule="exact"/>
              <w:jc w:val="right"/>
              <w:rPr>
                <w:i/>
                <w:sz w:val="16"/>
                <w:szCs w:val="16"/>
              </w:rPr>
            </w:pPr>
            <w:r w:rsidRPr="00F2466A">
              <w:rPr>
                <w:i/>
                <w:sz w:val="16"/>
                <w:szCs w:val="16"/>
              </w:rPr>
              <w:t xml:space="preserve">Число дел, </w:t>
            </w:r>
            <w:r>
              <w:rPr>
                <w:i/>
                <w:sz w:val="16"/>
                <w:szCs w:val="16"/>
              </w:rPr>
              <w:br/>
            </w:r>
            <w:r w:rsidRPr="00F2466A">
              <w:rPr>
                <w:i/>
                <w:sz w:val="16"/>
                <w:szCs w:val="16"/>
              </w:rPr>
              <w:t xml:space="preserve">по которым </w:t>
            </w:r>
            <w:r>
              <w:rPr>
                <w:i/>
                <w:sz w:val="16"/>
                <w:szCs w:val="16"/>
              </w:rPr>
              <w:br/>
            </w:r>
            <w:r w:rsidRPr="00F2466A">
              <w:rPr>
                <w:i/>
                <w:sz w:val="16"/>
                <w:szCs w:val="16"/>
              </w:rPr>
              <w:t>расслед</w:t>
            </w:r>
            <w:r w:rsidRPr="00F2466A">
              <w:rPr>
                <w:i/>
                <w:sz w:val="16"/>
                <w:szCs w:val="16"/>
              </w:rPr>
              <w:t>о</w:t>
            </w:r>
            <w:r w:rsidRPr="00F2466A">
              <w:rPr>
                <w:i/>
                <w:sz w:val="16"/>
                <w:szCs w:val="16"/>
              </w:rPr>
              <w:t xml:space="preserve">вание </w:t>
            </w:r>
            <w:r>
              <w:rPr>
                <w:i/>
                <w:sz w:val="16"/>
                <w:szCs w:val="16"/>
              </w:rPr>
              <w:br/>
            </w:r>
            <w:r w:rsidRPr="00F2466A">
              <w:rPr>
                <w:i/>
                <w:sz w:val="16"/>
                <w:szCs w:val="16"/>
              </w:rPr>
              <w:t>не было начато</w:t>
            </w:r>
          </w:p>
        </w:tc>
        <w:tc>
          <w:tcPr>
            <w:tcW w:w="2222" w:type="dxa"/>
            <w:tcBorders>
              <w:top w:val="single" w:sz="4" w:space="0" w:color="auto"/>
              <w:bottom w:val="single" w:sz="12" w:space="0" w:color="auto"/>
            </w:tcBorders>
            <w:shd w:val="clear" w:color="auto" w:fill="auto"/>
            <w:vAlign w:val="bottom"/>
          </w:tcPr>
          <w:p w:rsidR="00F2466A" w:rsidRPr="00F2466A" w:rsidRDefault="00F2466A" w:rsidP="00F2466A">
            <w:pPr>
              <w:spacing w:before="80" w:after="80" w:line="200" w:lineRule="exact"/>
              <w:jc w:val="right"/>
              <w:rPr>
                <w:i/>
                <w:sz w:val="16"/>
                <w:szCs w:val="16"/>
              </w:rPr>
            </w:pPr>
            <w:r w:rsidRPr="00F2466A">
              <w:rPr>
                <w:i/>
                <w:sz w:val="16"/>
                <w:szCs w:val="16"/>
              </w:rPr>
              <w:t xml:space="preserve">Число дел, </w:t>
            </w:r>
            <w:r>
              <w:rPr>
                <w:i/>
                <w:sz w:val="16"/>
                <w:szCs w:val="16"/>
              </w:rPr>
              <w:br/>
            </w:r>
            <w:r w:rsidRPr="00F2466A">
              <w:rPr>
                <w:i/>
                <w:sz w:val="16"/>
                <w:szCs w:val="16"/>
              </w:rPr>
              <w:t xml:space="preserve">по которым начатое </w:t>
            </w:r>
            <w:r>
              <w:rPr>
                <w:i/>
                <w:sz w:val="16"/>
                <w:szCs w:val="16"/>
              </w:rPr>
              <w:br/>
            </w:r>
            <w:r w:rsidRPr="00F2466A">
              <w:rPr>
                <w:i/>
                <w:sz w:val="16"/>
                <w:szCs w:val="16"/>
              </w:rPr>
              <w:t xml:space="preserve">расследование </w:t>
            </w:r>
            <w:r>
              <w:rPr>
                <w:i/>
                <w:sz w:val="16"/>
                <w:szCs w:val="16"/>
              </w:rPr>
              <w:br/>
            </w:r>
            <w:r w:rsidRPr="00F2466A">
              <w:rPr>
                <w:i/>
                <w:sz w:val="16"/>
                <w:szCs w:val="16"/>
              </w:rPr>
              <w:t>было прекр</w:t>
            </w:r>
            <w:r w:rsidRPr="00F2466A">
              <w:rPr>
                <w:i/>
                <w:sz w:val="16"/>
                <w:szCs w:val="16"/>
              </w:rPr>
              <w:t>а</w:t>
            </w:r>
            <w:r w:rsidRPr="00F2466A">
              <w:rPr>
                <w:i/>
                <w:sz w:val="16"/>
                <w:szCs w:val="16"/>
              </w:rPr>
              <w:t>щено</w:t>
            </w:r>
          </w:p>
        </w:tc>
        <w:tc>
          <w:tcPr>
            <w:tcW w:w="2172" w:type="dxa"/>
            <w:tcBorders>
              <w:top w:val="single" w:sz="4" w:space="0" w:color="auto"/>
              <w:bottom w:val="single" w:sz="12" w:space="0" w:color="auto"/>
            </w:tcBorders>
            <w:shd w:val="clear" w:color="auto" w:fill="auto"/>
            <w:vAlign w:val="bottom"/>
          </w:tcPr>
          <w:p w:rsidR="00F2466A" w:rsidRPr="00F2466A" w:rsidRDefault="00F2466A" w:rsidP="00F2466A">
            <w:pPr>
              <w:spacing w:before="80" w:after="80" w:line="200" w:lineRule="exact"/>
              <w:jc w:val="right"/>
              <w:rPr>
                <w:i/>
                <w:sz w:val="16"/>
                <w:szCs w:val="16"/>
              </w:rPr>
            </w:pPr>
            <w:r w:rsidRPr="00F2466A">
              <w:rPr>
                <w:i/>
                <w:sz w:val="16"/>
                <w:szCs w:val="16"/>
              </w:rPr>
              <w:t xml:space="preserve">Число дел, </w:t>
            </w:r>
            <w:r>
              <w:rPr>
                <w:i/>
                <w:sz w:val="16"/>
                <w:szCs w:val="16"/>
              </w:rPr>
              <w:br/>
            </w:r>
            <w:r w:rsidRPr="00F2466A">
              <w:rPr>
                <w:i/>
                <w:sz w:val="16"/>
                <w:szCs w:val="16"/>
              </w:rPr>
              <w:t xml:space="preserve">по которым </w:t>
            </w:r>
            <w:r>
              <w:rPr>
                <w:i/>
                <w:sz w:val="16"/>
                <w:szCs w:val="16"/>
              </w:rPr>
              <w:br/>
            </w:r>
            <w:r w:rsidRPr="00F2466A">
              <w:rPr>
                <w:i/>
                <w:sz w:val="16"/>
                <w:szCs w:val="16"/>
              </w:rPr>
              <w:t>предъявленное обв</w:t>
            </w:r>
            <w:r w:rsidRPr="00F2466A">
              <w:rPr>
                <w:i/>
                <w:sz w:val="16"/>
                <w:szCs w:val="16"/>
              </w:rPr>
              <w:t>и</w:t>
            </w:r>
            <w:r w:rsidRPr="00F2466A">
              <w:rPr>
                <w:i/>
                <w:sz w:val="16"/>
                <w:szCs w:val="16"/>
              </w:rPr>
              <w:t>нение было снято</w:t>
            </w:r>
          </w:p>
        </w:tc>
      </w:tr>
      <w:tr w:rsidR="00F2466A" w:rsidRPr="00F2466A" w:rsidTr="005E6D7C">
        <w:tc>
          <w:tcPr>
            <w:tcW w:w="1134" w:type="dxa"/>
            <w:tcBorders>
              <w:top w:val="single" w:sz="12" w:space="0" w:color="auto"/>
            </w:tcBorders>
            <w:shd w:val="clear" w:color="auto" w:fill="auto"/>
          </w:tcPr>
          <w:p w:rsidR="00F2466A" w:rsidRPr="00F2466A" w:rsidRDefault="00F2466A" w:rsidP="00F2466A">
            <w:pPr>
              <w:spacing w:before="40" w:after="40" w:line="220" w:lineRule="exact"/>
              <w:rPr>
                <w:sz w:val="18"/>
                <w:szCs w:val="18"/>
              </w:rPr>
            </w:pPr>
            <w:r w:rsidRPr="00F2466A">
              <w:rPr>
                <w:sz w:val="18"/>
                <w:szCs w:val="18"/>
              </w:rPr>
              <w:t>2007 г.</w:t>
            </w:r>
          </w:p>
        </w:tc>
        <w:tc>
          <w:tcPr>
            <w:tcW w:w="1843" w:type="dxa"/>
            <w:tcBorders>
              <w:top w:val="single" w:sz="12" w:space="0" w:color="auto"/>
            </w:tcBorders>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3</w:t>
            </w:r>
          </w:p>
        </w:tc>
        <w:tc>
          <w:tcPr>
            <w:tcW w:w="2222" w:type="dxa"/>
            <w:tcBorders>
              <w:top w:val="single" w:sz="12" w:space="0" w:color="auto"/>
            </w:tcBorders>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3</w:t>
            </w:r>
          </w:p>
        </w:tc>
        <w:tc>
          <w:tcPr>
            <w:tcW w:w="2172" w:type="dxa"/>
            <w:tcBorders>
              <w:top w:val="single" w:sz="12" w:space="0" w:color="auto"/>
            </w:tcBorders>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9</w:t>
            </w:r>
          </w:p>
        </w:tc>
      </w:tr>
      <w:tr w:rsidR="00F2466A" w:rsidRPr="00F2466A" w:rsidTr="005E6D7C">
        <w:tc>
          <w:tcPr>
            <w:tcW w:w="1134" w:type="dxa"/>
            <w:shd w:val="clear" w:color="auto" w:fill="auto"/>
          </w:tcPr>
          <w:p w:rsidR="00F2466A" w:rsidRPr="00F2466A" w:rsidRDefault="00F2466A" w:rsidP="00F2466A">
            <w:pPr>
              <w:spacing w:before="40" w:after="40" w:line="220" w:lineRule="exact"/>
              <w:rPr>
                <w:sz w:val="18"/>
                <w:szCs w:val="18"/>
              </w:rPr>
            </w:pPr>
            <w:r w:rsidRPr="00F2466A">
              <w:rPr>
                <w:sz w:val="18"/>
                <w:szCs w:val="18"/>
              </w:rPr>
              <w:t>2008 г.</w:t>
            </w:r>
          </w:p>
        </w:tc>
        <w:tc>
          <w:tcPr>
            <w:tcW w:w="1843"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3</w:t>
            </w:r>
          </w:p>
        </w:tc>
        <w:tc>
          <w:tcPr>
            <w:tcW w:w="222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6</w:t>
            </w:r>
          </w:p>
        </w:tc>
        <w:tc>
          <w:tcPr>
            <w:tcW w:w="217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1</w:t>
            </w:r>
          </w:p>
        </w:tc>
      </w:tr>
      <w:tr w:rsidR="00F2466A" w:rsidRPr="00F2466A" w:rsidTr="005E6D7C">
        <w:tc>
          <w:tcPr>
            <w:tcW w:w="1134" w:type="dxa"/>
            <w:shd w:val="clear" w:color="auto" w:fill="auto"/>
          </w:tcPr>
          <w:p w:rsidR="00F2466A" w:rsidRPr="00F2466A" w:rsidRDefault="00F2466A" w:rsidP="00F2466A">
            <w:pPr>
              <w:spacing w:before="40" w:after="40" w:line="220" w:lineRule="exact"/>
              <w:rPr>
                <w:sz w:val="18"/>
                <w:szCs w:val="18"/>
              </w:rPr>
            </w:pPr>
            <w:r w:rsidRPr="00F2466A">
              <w:rPr>
                <w:sz w:val="18"/>
                <w:szCs w:val="18"/>
              </w:rPr>
              <w:t>2009 г.</w:t>
            </w:r>
          </w:p>
        </w:tc>
        <w:tc>
          <w:tcPr>
            <w:tcW w:w="1843"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1</w:t>
            </w:r>
          </w:p>
        </w:tc>
        <w:tc>
          <w:tcPr>
            <w:tcW w:w="222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5</w:t>
            </w:r>
          </w:p>
        </w:tc>
        <w:tc>
          <w:tcPr>
            <w:tcW w:w="217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3</w:t>
            </w:r>
          </w:p>
        </w:tc>
      </w:tr>
      <w:tr w:rsidR="00F2466A" w:rsidRPr="00F2466A" w:rsidTr="005E6D7C">
        <w:tc>
          <w:tcPr>
            <w:tcW w:w="1134" w:type="dxa"/>
            <w:shd w:val="clear" w:color="auto" w:fill="auto"/>
          </w:tcPr>
          <w:p w:rsidR="00F2466A" w:rsidRPr="00F2466A" w:rsidRDefault="00F2466A" w:rsidP="00F2466A">
            <w:pPr>
              <w:spacing w:before="40" w:after="40" w:line="220" w:lineRule="exact"/>
              <w:rPr>
                <w:sz w:val="18"/>
                <w:szCs w:val="18"/>
              </w:rPr>
            </w:pPr>
            <w:r w:rsidRPr="00F2466A">
              <w:rPr>
                <w:sz w:val="18"/>
                <w:szCs w:val="18"/>
              </w:rPr>
              <w:t>2010 г.</w:t>
            </w:r>
          </w:p>
        </w:tc>
        <w:tc>
          <w:tcPr>
            <w:tcW w:w="1843"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2</w:t>
            </w:r>
          </w:p>
        </w:tc>
        <w:tc>
          <w:tcPr>
            <w:tcW w:w="222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5</w:t>
            </w:r>
          </w:p>
        </w:tc>
        <w:tc>
          <w:tcPr>
            <w:tcW w:w="217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12</w:t>
            </w:r>
          </w:p>
        </w:tc>
      </w:tr>
      <w:tr w:rsidR="00F2466A" w:rsidRPr="00F2466A" w:rsidTr="005E6D7C">
        <w:tc>
          <w:tcPr>
            <w:tcW w:w="1134" w:type="dxa"/>
            <w:shd w:val="clear" w:color="auto" w:fill="auto"/>
          </w:tcPr>
          <w:p w:rsidR="00F2466A" w:rsidRPr="00F2466A" w:rsidRDefault="00F2466A" w:rsidP="00F2466A">
            <w:pPr>
              <w:spacing w:before="40" w:after="40" w:line="220" w:lineRule="exact"/>
              <w:rPr>
                <w:sz w:val="18"/>
                <w:szCs w:val="18"/>
              </w:rPr>
            </w:pPr>
            <w:r w:rsidRPr="00F2466A">
              <w:rPr>
                <w:sz w:val="18"/>
                <w:szCs w:val="18"/>
              </w:rPr>
              <w:t>2011 г.</w:t>
            </w:r>
          </w:p>
        </w:tc>
        <w:tc>
          <w:tcPr>
            <w:tcW w:w="1843"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4</w:t>
            </w:r>
          </w:p>
        </w:tc>
        <w:tc>
          <w:tcPr>
            <w:tcW w:w="222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7</w:t>
            </w:r>
          </w:p>
        </w:tc>
        <w:tc>
          <w:tcPr>
            <w:tcW w:w="217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17</w:t>
            </w:r>
          </w:p>
        </w:tc>
      </w:tr>
      <w:tr w:rsidR="00F2466A" w:rsidRPr="00F2466A" w:rsidTr="005E6D7C">
        <w:tc>
          <w:tcPr>
            <w:tcW w:w="1134" w:type="dxa"/>
            <w:shd w:val="clear" w:color="auto" w:fill="auto"/>
          </w:tcPr>
          <w:p w:rsidR="00F2466A" w:rsidRPr="00F2466A" w:rsidRDefault="00F2466A" w:rsidP="00F2466A">
            <w:pPr>
              <w:spacing w:before="40" w:after="40" w:line="220" w:lineRule="exact"/>
              <w:rPr>
                <w:sz w:val="18"/>
                <w:szCs w:val="18"/>
              </w:rPr>
            </w:pPr>
            <w:r w:rsidRPr="00F2466A">
              <w:rPr>
                <w:sz w:val="18"/>
                <w:szCs w:val="18"/>
              </w:rPr>
              <w:t>2012 г.</w:t>
            </w:r>
          </w:p>
        </w:tc>
        <w:tc>
          <w:tcPr>
            <w:tcW w:w="1843"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0</w:t>
            </w:r>
          </w:p>
        </w:tc>
        <w:tc>
          <w:tcPr>
            <w:tcW w:w="222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5</w:t>
            </w:r>
          </w:p>
        </w:tc>
        <w:tc>
          <w:tcPr>
            <w:tcW w:w="2172" w:type="dxa"/>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7</w:t>
            </w:r>
          </w:p>
        </w:tc>
      </w:tr>
      <w:tr w:rsidR="00F2466A" w:rsidRPr="00F2466A" w:rsidTr="005E6D7C">
        <w:tc>
          <w:tcPr>
            <w:tcW w:w="1134" w:type="dxa"/>
            <w:tcBorders>
              <w:bottom w:val="single" w:sz="12" w:space="0" w:color="auto"/>
            </w:tcBorders>
            <w:shd w:val="clear" w:color="auto" w:fill="auto"/>
          </w:tcPr>
          <w:p w:rsidR="00F2466A" w:rsidRPr="00F2466A" w:rsidRDefault="00F2466A" w:rsidP="00F2466A">
            <w:pPr>
              <w:spacing w:before="40" w:after="40" w:line="220" w:lineRule="exact"/>
              <w:rPr>
                <w:sz w:val="18"/>
                <w:szCs w:val="18"/>
              </w:rPr>
            </w:pPr>
            <w:r w:rsidRPr="00F2466A">
              <w:rPr>
                <w:sz w:val="18"/>
                <w:szCs w:val="18"/>
              </w:rPr>
              <w:t>Всего</w:t>
            </w:r>
          </w:p>
        </w:tc>
        <w:tc>
          <w:tcPr>
            <w:tcW w:w="1843" w:type="dxa"/>
            <w:tcBorders>
              <w:bottom w:val="single" w:sz="12" w:space="0" w:color="auto"/>
            </w:tcBorders>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13</w:t>
            </w:r>
          </w:p>
        </w:tc>
        <w:tc>
          <w:tcPr>
            <w:tcW w:w="2222" w:type="dxa"/>
            <w:tcBorders>
              <w:bottom w:val="single" w:sz="12" w:space="0" w:color="auto"/>
            </w:tcBorders>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31</w:t>
            </w:r>
          </w:p>
        </w:tc>
        <w:tc>
          <w:tcPr>
            <w:tcW w:w="2172" w:type="dxa"/>
            <w:tcBorders>
              <w:bottom w:val="single" w:sz="12" w:space="0" w:color="auto"/>
            </w:tcBorders>
            <w:shd w:val="clear" w:color="auto" w:fill="auto"/>
            <w:vAlign w:val="bottom"/>
          </w:tcPr>
          <w:p w:rsidR="00F2466A" w:rsidRPr="00F2466A" w:rsidRDefault="00F2466A" w:rsidP="00F2466A">
            <w:pPr>
              <w:spacing w:before="40" w:after="40" w:line="220" w:lineRule="exact"/>
              <w:jc w:val="right"/>
              <w:rPr>
                <w:sz w:val="18"/>
                <w:szCs w:val="18"/>
              </w:rPr>
            </w:pPr>
            <w:r w:rsidRPr="00F2466A">
              <w:rPr>
                <w:sz w:val="18"/>
                <w:szCs w:val="18"/>
              </w:rPr>
              <w:t>49</w:t>
            </w:r>
          </w:p>
        </w:tc>
      </w:tr>
    </w:tbl>
    <w:p w:rsidR="00907DF0" w:rsidRDefault="00907DF0" w:rsidP="00F2466A">
      <w:pPr>
        <w:pStyle w:val="SingleTxtGR"/>
        <w:spacing w:before="240"/>
      </w:pPr>
      <w:r>
        <w:t>57.</w:t>
      </w:r>
      <w:r>
        <w:tab/>
        <w:t>Следует отметить, например, что число предварительных обвинений, предъявленных в том или ином году, не соответствует числу вынесенных обв</w:t>
      </w:r>
      <w:r>
        <w:t>и</w:t>
      </w:r>
      <w:r>
        <w:t>нительных заключений в том же году, поскольку производство по делам, по к</w:t>
      </w:r>
      <w:r>
        <w:t>о</w:t>
      </w:r>
      <w:r>
        <w:t>торым обвинительное заключение было вынесено в 2010</w:t>
      </w:r>
      <w:r w:rsidR="00D3337A">
        <w:t> </w:t>
      </w:r>
      <w:r>
        <w:t>году, возможно, было возбуждено еще в 2009</w:t>
      </w:r>
      <w:r w:rsidR="00D3337A">
        <w:t> </w:t>
      </w:r>
      <w:r>
        <w:t>году. Кроме того, следует отметить, что приведенные выше данные не я</w:t>
      </w:r>
      <w:r>
        <w:t>в</w:t>
      </w:r>
      <w:r>
        <w:t>ляются статичными и что цифры могут меняться вследствие внесения поправок или запоздалого обновления данных в компьютерной сист</w:t>
      </w:r>
      <w:r>
        <w:t>е</w:t>
      </w:r>
      <w:r>
        <w:t>ме полицейской службы, вынесения новых обвинительных приг</w:t>
      </w:r>
      <w:r>
        <w:t>о</w:t>
      </w:r>
      <w:r>
        <w:t>воров и т.п.</w:t>
      </w:r>
    </w:p>
    <w:p w:rsidR="00907DF0" w:rsidRDefault="00907DF0" w:rsidP="00B730D8">
      <w:pPr>
        <w:pStyle w:val="H23GR"/>
      </w:pPr>
      <w:r>
        <w:tab/>
      </w:r>
      <w:r>
        <w:tab/>
        <w:t>Закон о запрещении дискриминации по признаку расы</w:t>
      </w:r>
    </w:p>
    <w:p w:rsidR="00907DF0" w:rsidRDefault="00907DF0" w:rsidP="00907DF0">
      <w:pPr>
        <w:pStyle w:val="SingleTxtGR"/>
      </w:pPr>
      <w:r>
        <w:t>58.</w:t>
      </w:r>
      <w:r>
        <w:tab/>
        <w:t>Из инструкции</w:t>
      </w:r>
      <w:r w:rsidR="00D3337A">
        <w:t> </w:t>
      </w:r>
      <w:r>
        <w:t>№</w:t>
      </w:r>
      <w:r w:rsidR="00D3337A">
        <w:t> </w:t>
      </w:r>
      <w:r>
        <w:t>9/2006 в новое руководство, изданное в виде новой и</w:t>
      </w:r>
      <w:r>
        <w:t>н</w:t>
      </w:r>
      <w:r>
        <w:t>струкции</w:t>
      </w:r>
      <w:r w:rsidR="00D3337A">
        <w:t> </w:t>
      </w:r>
      <w:r>
        <w:t>№</w:t>
      </w:r>
      <w:r w:rsidR="00D3337A">
        <w:t> </w:t>
      </w:r>
      <w:r>
        <w:t>2/2011, были перенесены положения о порядке подачи рапорта по случаям нарушения закона о запрещении дискр</w:t>
      </w:r>
      <w:r>
        <w:t>и</w:t>
      </w:r>
      <w:r>
        <w:t>минации по признаку расы.</w:t>
      </w:r>
    </w:p>
    <w:p w:rsidR="00907DF0" w:rsidRDefault="00907DF0" w:rsidP="00907DF0">
      <w:pPr>
        <w:pStyle w:val="SingleTxtGR"/>
      </w:pPr>
      <w:r>
        <w:t>59.</w:t>
      </w:r>
      <w:r>
        <w:tab/>
        <w:t>Соответственно, по аналогии с описанным выше порядком, принятым в</w:t>
      </w:r>
      <w:r w:rsidR="00D3337A">
        <w:t> </w:t>
      </w:r>
      <w:r>
        <w:t>отношении случаев нарушения статьи</w:t>
      </w:r>
      <w:r w:rsidR="00D3337A">
        <w:t> </w:t>
      </w:r>
      <w:r>
        <w:t>266</w:t>
      </w:r>
      <w:r w:rsidR="00221FE4">
        <w:rPr>
          <w:lang w:val="en-US"/>
        </w:rPr>
        <w:t> </w:t>
      </w:r>
      <w:r>
        <w:t>b</w:t>
      </w:r>
      <w:r w:rsidR="00221FE4" w:rsidRPr="00221FE4">
        <w:t>)</w:t>
      </w:r>
      <w:r>
        <w:t xml:space="preserve"> Уголовного кодекса, дела о</w:t>
      </w:r>
      <w:r w:rsidR="00221FE4">
        <w:rPr>
          <w:lang w:val="en-US"/>
        </w:rPr>
        <w:t> </w:t>
      </w:r>
      <w:r>
        <w:t>нарушении закона о запрещении дискриминации по признаку расы должны доводиться до сведения Государственного обвинителя.</w:t>
      </w:r>
    </w:p>
    <w:p w:rsidR="00907DF0" w:rsidRDefault="00907DF0" w:rsidP="00907DF0">
      <w:pPr>
        <w:pStyle w:val="SingleTxtGR"/>
      </w:pPr>
      <w:r>
        <w:t>60.</w:t>
      </w:r>
      <w:r>
        <w:tab/>
        <w:t>За период 2009–2012</w:t>
      </w:r>
      <w:r w:rsidR="00400F3D">
        <w:t> </w:t>
      </w:r>
      <w:r>
        <w:t>годов Государственный обвинитель был извещен о</w:t>
      </w:r>
      <w:r w:rsidR="00D3337A">
        <w:t> </w:t>
      </w:r>
      <w:r>
        <w:t>двух вынесенных приговорах (один о наложении штрафа, а другой – оправд</w:t>
      </w:r>
      <w:r>
        <w:t>а</w:t>
      </w:r>
      <w:r>
        <w:t>тельный) по делам, связанным с нарушением закона о запрещении дискрим</w:t>
      </w:r>
      <w:r>
        <w:t>и</w:t>
      </w:r>
      <w:r>
        <w:t>нации по признаку расы.</w:t>
      </w:r>
    </w:p>
    <w:p w:rsidR="00907DF0" w:rsidRDefault="00907DF0" w:rsidP="00907DF0">
      <w:pPr>
        <w:pStyle w:val="SingleTxtGR"/>
      </w:pPr>
      <w:r>
        <w:t>61.</w:t>
      </w:r>
      <w:r>
        <w:tab/>
        <w:t>Не так давно Государственный обвинитель утвердил рекомендацию о</w:t>
      </w:r>
      <w:r w:rsidR="00D3337A">
        <w:t> </w:t>
      </w:r>
      <w:r>
        <w:t>возбуждении дела против владельца пивного бара, который не пустил в бар человека итальянского происхождения.</w:t>
      </w:r>
    </w:p>
    <w:p w:rsidR="00907DF0" w:rsidRDefault="00907DF0" w:rsidP="00B730D8">
      <w:pPr>
        <w:pStyle w:val="H23GR"/>
      </w:pPr>
      <w:r>
        <w:tab/>
      </w:r>
      <w:r>
        <w:tab/>
        <w:t xml:space="preserve">Прочие преступления, совершенные из расистских побуждений </w:t>
      </w:r>
      <w:r w:rsidR="00CC0FD0">
        <w:br/>
      </w:r>
      <w:r>
        <w:t>(статья</w:t>
      </w:r>
      <w:r w:rsidR="00CC0FD0">
        <w:t> </w:t>
      </w:r>
      <w:r>
        <w:t>81 (№ 6) Уголовного кодекса)</w:t>
      </w:r>
    </w:p>
    <w:p w:rsidR="00907DF0" w:rsidRDefault="00907DF0" w:rsidP="00907DF0">
      <w:pPr>
        <w:pStyle w:val="SingleTxtGR"/>
      </w:pPr>
      <w:r>
        <w:t>62.</w:t>
      </w:r>
      <w:r>
        <w:tab/>
        <w:t>В соответствии со</w:t>
      </w:r>
      <w:r w:rsidR="00D3337A">
        <w:t xml:space="preserve"> </w:t>
      </w:r>
      <w:r>
        <w:t>статьей</w:t>
      </w:r>
      <w:r w:rsidR="00D3337A">
        <w:t> </w:t>
      </w:r>
      <w:r>
        <w:t>81 (№</w:t>
      </w:r>
      <w:r w:rsidR="00D3337A">
        <w:t> </w:t>
      </w:r>
      <w:r>
        <w:t>6) суды при вынесении приговора об</w:t>
      </w:r>
      <w:r>
        <w:t>я</w:t>
      </w:r>
      <w:r>
        <w:t>заны исходить из того, что присутствие мотива этнического происхождения, в</w:t>
      </w:r>
      <w:r>
        <w:t>е</w:t>
      </w:r>
      <w:r>
        <w:t xml:space="preserve">роисповедания, сексуальной ориентации и </w:t>
      </w:r>
      <w:r w:rsidR="00AC018F">
        <w:t>т.п.</w:t>
      </w:r>
      <w:r>
        <w:t xml:space="preserve"> является отягчающим обсто</w:t>
      </w:r>
      <w:r>
        <w:t>я</w:t>
      </w:r>
      <w:r>
        <w:t>тельством при совершении того или иного деяния. Просьба ознакомиться с</w:t>
      </w:r>
      <w:r w:rsidR="00D3337A">
        <w:t> </w:t>
      </w:r>
      <w:r>
        <w:t>пунктами</w:t>
      </w:r>
      <w:r w:rsidR="00D3337A">
        <w:t> 64–</w:t>
      </w:r>
      <w:r>
        <w:t>66 семнадцатого периодического доклада.</w:t>
      </w:r>
    </w:p>
    <w:p w:rsidR="00907DF0" w:rsidRDefault="00907DF0" w:rsidP="00907DF0">
      <w:pPr>
        <w:pStyle w:val="SingleTxtGR"/>
      </w:pPr>
      <w:r>
        <w:t>63.</w:t>
      </w:r>
      <w:r>
        <w:tab/>
        <w:t>Как указано в новой инструкции</w:t>
      </w:r>
      <w:r w:rsidR="00D3337A">
        <w:t> </w:t>
      </w:r>
      <w:r>
        <w:t>№</w:t>
      </w:r>
      <w:r w:rsidR="00D3337A">
        <w:t> </w:t>
      </w:r>
      <w:r>
        <w:t>2/2011, эффективная борьба с прест</w:t>
      </w:r>
      <w:r>
        <w:t>у</w:t>
      </w:r>
      <w:r>
        <w:t>плениями на почве ненависти возможна, только если сотрудники полиции и</w:t>
      </w:r>
      <w:r w:rsidR="00D3337A">
        <w:t> </w:t>
      </w:r>
      <w:r>
        <w:t>прокуратуры понимают, какие обстоятельства в контексте уголовных дел, м</w:t>
      </w:r>
      <w:r>
        <w:t>о</w:t>
      </w:r>
      <w:r>
        <w:t xml:space="preserve">гут свидетельствовать о том, что преступление было полностью или частично мотивировано этническим происхождением, вероисповеданием, сексуальной ориентацией и </w:t>
      </w:r>
      <w:r w:rsidR="00AC018F">
        <w:t>т.п.</w:t>
      </w:r>
      <w:r>
        <w:t xml:space="preserve"> жер</w:t>
      </w:r>
      <w:r>
        <w:t>т</w:t>
      </w:r>
      <w:r>
        <w:t>вы.</w:t>
      </w:r>
    </w:p>
    <w:p w:rsidR="00907DF0" w:rsidRDefault="00907DF0" w:rsidP="00907DF0">
      <w:pPr>
        <w:pStyle w:val="SingleTxtGR"/>
      </w:pPr>
      <w:r>
        <w:t>64.</w:t>
      </w:r>
      <w:r>
        <w:tab/>
        <w:t>Таким образом, новые руководящие принципы, изложенные в инстру</w:t>
      </w:r>
      <w:r>
        <w:t>к</w:t>
      </w:r>
      <w:r>
        <w:t>ции, призваны обеспечить проведение полицией при наличии подобных обсто</w:t>
      </w:r>
      <w:r>
        <w:t>я</w:t>
      </w:r>
      <w:r>
        <w:t>тельств таких следственных действий на этапе расследования, какие необход</w:t>
      </w:r>
      <w:r>
        <w:t>и</w:t>
      </w:r>
      <w:r>
        <w:t>мы для прояснения этой стороны дела, и построение прокурором доказ</w:t>
      </w:r>
      <w:r>
        <w:t>а</w:t>
      </w:r>
      <w:r>
        <w:t xml:space="preserve">тельной базы по таким делам таким образом, чтобы представить необходимые </w:t>
      </w:r>
      <w:r w:rsidR="006D3840">
        <w:br/>
      </w:r>
      <w:r>
        <w:t>свидетельства наличия отягчающих обстоятельств, о которых говорится в</w:t>
      </w:r>
      <w:r w:rsidR="00CC0FD0">
        <w:t> </w:t>
      </w:r>
      <w:r>
        <w:t>статье</w:t>
      </w:r>
      <w:r w:rsidR="00CC0FD0">
        <w:t> 81 </w:t>
      </w:r>
      <w:r>
        <w:t>(№ 6) Уголовного кодекса.</w:t>
      </w:r>
    </w:p>
    <w:p w:rsidR="00907DF0" w:rsidRDefault="00907DF0" w:rsidP="00907DF0">
      <w:pPr>
        <w:pStyle w:val="SingleTxtGR"/>
      </w:pPr>
      <w:r>
        <w:t>65.</w:t>
      </w:r>
      <w:r>
        <w:tab/>
        <w:t>С тем чтобы облегчить полиции выявление случаев, возможно, требу</w:t>
      </w:r>
      <w:r>
        <w:t>ю</w:t>
      </w:r>
      <w:r>
        <w:t>щих применения статьи</w:t>
      </w:r>
      <w:r w:rsidR="00D3337A">
        <w:t> </w:t>
      </w:r>
      <w:r>
        <w:t>81 (№</w:t>
      </w:r>
      <w:r w:rsidR="00D3337A">
        <w:t> </w:t>
      </w:r>
      <w:r>
        <w:t>6) Уголовного кодекса, в новой инструкции пр</w:t>
      </w:r>
      <w:r>
        <w:t>и</w:t>
      </w:r>
      <w:r>
        <w:t>водятся примеры обстоятельств, которые могут свидетельствовать о том, что деяние было мотивировано этническим происхождением, религиозными убе</w:t>
      </w:r>
      <w:r>
        <w:t>ж</w:t>
      </w:r>
      <w:r>
        <w:t xml:space="preserve">дениями, сексуальной ориентацией и </w:t>
      </w:r>
      <w:r w:rsidR="00AC018F">
        <w:t>т.п.</w:t>
      </w:r>
      <w:r>
        <w:t xml:space="preserve"> жертвы (признаки преступления на почве ненависти).</w:t>
      </w:r>
    </w:p>
    <w:p w:rsidR="00907DF0" w:rsidRDefault="00907DF0" w:rsidP="00E64CCF">
      <w:pPr>
        <w:pStyle w:val="SingleTxtGR"/>
        <w:keepLines/>
      </w:pPr>
      <w:r>
        <w:t>66.</w:t>
      </w:r>
      <w:r>
        <w:tab/>
        <w:t xml:space="preserve">Из инструкции следует, что признаком мотива ненависти могут служить, например, свидетельства того, что подозреваемое лицо допускало (негативные) высказывания об этническом происхождении, вероисповедании, сексуальной ориентации и </w:t>
      </w:r>
      <w:r w:rsidR="00AC018F">
        <w:t>т.п.</w:t>
      </w:r>
      <w:r>
        <w:t xml:space="preserve"> жертвы непосредственно до, во время или в продолжение преступления.</w:t>
      </w:r>
    </w:p>
    <w:p w:rsidR="00907DF0" w:rsidRDefault="00907DF0" w:rsidP="00907DF0">
      <w:pPr>
        <w:pStyle w:val="SingleTxtGR"/>
      </w:pPr>
      <w:r>
        <w:t>67.</w:t>
      </w:r>
      <w:r>
        <w:tab/>
        <w:t>Еще одним признаком наличия мотива ненависти могут быть сведения о</w:t>
      </w:r>
      <w:r w:rsidR="00D3337A">
        <w:t> </w:t>
      </w:r>
      <w:r>
        <w:t>том, что подозреваемое лицо принадлежит или симпатизирует организации или объединению, выступающим, например, с крайних расистских или гом</w:t>
      </w:r>
      <w:r>
        <w:t>о</w:t>
      </w:r>
      <w:r>
        <w:t>фобских позиций. Признаком преступления на почве ненависти может служить также факт совершения преступления в месте или его нацеленность на место, которое заведомо является местом встречи лиц, принадлежащих к той или иной этнической группе, конфессии или определенной сексуальной ориентации (н</w:t>
      </w:r>
      <w:r>
        <w:t>а</w:t>
      </w:r>
      <w:r>
        <w:t>пример, церковь, мечеть или синагога либо некоторые парки).</w:t>
      </w:r>
    </w:p>
    <w:p w:rsidR="00907DF0" w:rsidRDefault="00907DF0" w:rsidP="00907DF0">
      <w:pPr>
        <w:pStyle w:val="SingleTxtGR"/>
      </w:pPr>
      <w:r>
        <w:t>68.</w:t>
      </w:r>
      <w:r>
        <w:tab/>
        <w:t>Из инструкции следует, что при наличии таких признаков полиция обяз</w:t>
      </w:r>
      <w:r>
        <w:t>а</w:t>
      </w:r>
      <w:r>
        <w:t>на изучить этот аспект дела, а прокуроры, в случае если не было предпринято попытки надлежащим образом выявить наличие мотива ненависти, обязаны вернуть дело в полицию на доследование.</w:t>
      </w:r>
    </w:p>
    <w:p w:rsidR="00907DF0" w:rsidRDefault="00907DF0" w:rsidP="00907DF0">
      <w:pPr>
        <w:pStyle w:val="SingleTxtGR"/>
      </w:pPr>
      <w:r>
        <w:t>69.</w:t>
      </w:r>
      <w:r>
        <w:tab/>
        <w:t>Если прокурор приходит к выводу о том, что наличие мотива надлеж</w:t>
      </w:r>
      <w:r>
        <w:t>а</w:t>
      </w:r>
      <w:r>
        <w:t>щим образом установлено, и о том, что дело удовлетворяет условиям примен</w:t>
      </w:r>
      <w:r>
        <w:t>е</w:t>
      </w:r>
      <w:r>
        <w:t>ния статьи</w:t>
      </w:r>
      <w:r w:rsidR="00D3337A">
        <w:t> </w:t>
      </w:r>
      <w:r>
        <w:t>81 (№</w:t>
      </w:r>
      <w:r w:rsidR="00D3337A">
        <w:t> </w:t>
      </w:r>
      <w:r>
        <w:t>6) Уголовного кодекса, ссылка на это положение Уголовного кодекса должна быть, как общее правило, включена в обвинительное заключ</w:t>
      </w:r>
      <w:r>
        <w:t>е</w:t>
      </w:r>
      <w:r>
        <w:t>ние/ходатайство, представляемое в суд.</w:t>
      </w:r>
    </w:p>
    <w:p w:rsidR="00907DF0" w:rsidRDefault="00907DF0" w:rsidP="00907DF0">
      <w:pPr>
        <w:pStyle w:val="SingleTxtGR"/>
      </w:pPr>
      <w:r>
        <w:t>70.</w:t>
      </w:r>
      <w:r>
        <w:tab/>
        <w:t>Согласно новой инструкции прокурор во время судебного разбирательс</w:t>
      </w:r>
      <w:r>
        <w:t>т</w:t>
      </w:r>
      <w:r>
        <w:t>ва обязан во всех случаях внести ясность относительно наличия мотива нен</w:t>
      </w:r>
      <w:r>
        <w:t>а</w:t>
      </w:r>
      <w:r>
        <w:t>висти путем допроса свидетелей и предъявления доказательств, содержащих соответствующую информацию по этому моменту. Кроме того, прокурор в св</w:t>
      </w:r>
      <w:r>
        <w:t>о</w:t>
      </w:r>
      <w:r>
        <w:t>ей заключительной речи обязан указать на наличие мотива ненависти в качестве отягчающего обстоятельства в связи с вынесением приговора. И наконец, пр</w:t>
      </w:r>
      <w:r>
        <w:t>о</w:t>
      </w:r>
      <w:r>
        <w:t>курор обязан предложить суду ясно изложить в своем решении свою позицию по вопросу о применении статьи</w:t>
      </w:r>
      <w:r w:rsidR="00D3337A">
        <w:t> </w:t>
      </w:r>
      <w:r>
        <w:t>81 (№</w:t>
      </w:r>
      <w:r w:rsidR="00D3337A">
        <w:t> </w:t>
      </w:r>
      <w:r>
        <w:t>6) Уголовного кодекса.</w:t>
      </w:r>
    </w:p>
    <w:p w:rsidR="00907DF0" w:rsidRDefault="00907DF0" w:rsidP="00907DF0">
      <w:pPr>
        <w:pStyle w:val="SingleTxtGR"/>
      </w:pPr>
      <w:r>
        <w:t>71.</w:t>
      </w:r>
      <w:r>
        <w:tab/>
        <w:t>В апреле 2008</w:t>
      </w:r>
      <w:r w:rsidR="00D3337A">
        <w:t> </w:t>
      </w:r>
      <w:r>
        <w:t>года Государственный обвинитель опубликовал доклад о</w:t>
      </w:r>
      <w:r w:rsidR="00D3337A">
        <w:t> </w:t>
      </w:r>
      <w:r>
        <w:t>вынесенных приговорах, в которых прямо указывается, что оговоренные в</w:t>
      </w:r>
      <w:r w:rsidR="00D3337A">
        <w:t> </w:t>
      </w:r>
      <w:r>
        <w:t>ста</w:t>
      </w:r>
      <w:r w:rsidR="00D3337A">
        <w:t>тье </w:t>
      </w:r>
      <w:r>
        <w:t>81 (№</w:t>
      </w:r>
      <w:r w:rsidR="00D3337A">
        <w:t> </w:t>
      </w:r>
      <w:r>
        <w:t>6) обстоятельства повлияли на содержание приговора, либо пр</w:t>
      </w:r>
      <w:r>
        <w:t>о</w:t>
      </w:r>
      <w:r>
        <w:t>сматриваются признаки того, что приговор так или иначе был вынесен под во</w:t>
      </w:r>
      <w:r>
        <w:t>з</w:t>
      </w:r>
      <w:r>
        <w:t>действием этого положения. Доклад был подготовлен на основе данных неа</w:t>
      </w:r>
      <w:r>
        <w:t>в</w:t>
      </w:r>
      <w:r>
        <w:t>томатизированной системы отчетности о решениях, принятых в 2007</w:t>
      </w:r>
      <w:r w:rsidR="00D3337A">
        <w:t> </w:t>
      </w:r>
      <w:r>
        <w:t>году. Просьба ознакомиться с описанием, приведенным в пунктах</w:t>
      </w:r>
      <w:r w:rsidR="00D3337A">
        <w:t> 50–</w:t>
      </w:r>
      <w:r>
        <w:t>54 девятнадц</w:t>
      </w:r>
      <w:r>
        <w:t>а</w:t>
      </w:r>
      <w:r>
        <w:t>того п</w:t>
      </w:r>
      <w:r>
        <w:t>е</w:t>
      </w:r>
      <w:r>
        <w:t>риодического доклада.</w:t>
      </w:r>
    </w:p>
    <w:p w:rsidR="00907DF0" w:rsidRDefault="00907DF0" w:rsidP="00907DF0">
      <w:pPr>
        <w:pStyle w:val="SingleTxtGR"/>
      </w:pPr>
      <w:r>
        <w:t>72.</w:t>
      </w:r>
      <w:r>
        <w:tab/>
        <w:t>На данный момент возможность электронного извлечения из компьюте</w:t>
      </w:r>
      <w:r>
        <w:t>р</w:t>
      </w:r>
      <w:r>
        <w:t>ной системы полицейской службы информации о числе дел, в связи с которыми была сделана ссылка на статью</w:t>
      </w:r>
      <w:r w:rsidR="00D3337A">
        <w:t> </w:t>
      </w:r>
      <w:r>
        <w:t>81 (№</w:t>
      </w:r>
      <w:r w:rsidR="00D3337A">
        <w:t> </w:t>
      </w:r>
      <w:r>
        <w:t>6), отсутствует. Поэтому невозможно представить дополнительную статистическую информацию о точном числе т</w:t>
      </w:r>
      <w:r>
        <w:t>а</w:t>
      </w:r>
      <w:r>
        <w:t>ких случаев. Однако в настоящее время Государственный обвинитель изучает возможность использ</w:t>
      </w:r>
      <w:r>
        <w:t>о</w:t>
      </w:r>
      <w:r>
        <w:t>вания данных об уголовных преступлениях и инцидентах с потенциально расистской или религиозной подоплекой, сбор которых прои</w:t>
      </w:r>
      <w:r>
        <w:t>з</w:t>
      </w:r>
      <w:r>
        <w:t>водится Национальной службой безопасности и разведки Дании, для определ</w:t>
      </w:r>
      <w:r>
        <w:t>е</w:t>
      </w:r>
      <w:r>
        <w:t>ния того, как часто прокуроры ссылаются, а суды применяют положения ст</w:t>
      </w:r>
      <w:r>
        <w:t>а</w:t>
      </w:r>
      <w:r>
        <w:t>тьи</w:t>
      </w:r>
      <w:r w:rsidR="00D3337A">
        <w:t> </w:t>
      </w:r>
      <w:r>
        <w:t>81 (№</w:t>
      </w:r>
      <w:r w:rsidR="00D3337A">
        <w:t> </w:t>
      </w:r>
      <w:r>
        <w:t>6).</w:t>
      </w:r>
    </w:p>
    <w:p w:rsidR="00907DF0" w:rsidRDefault="00907DF0" w:rsidP="00B730D8">
      <w:pPr>
        <w:pStyle w:val="H23GR"/>
      </w:pPr>
      <w:r>
        <w:tab/>
      </w:r>
      <w:r>
        <w:tab/>
        <w:t>Сведения, отражаемые в ежегодном обзоре, посвященном жертвам преступлений</w:t>
      </w:r>
    </w:p>
    <w:p w:rsidR="00907DF0" w:rsidRDefault="00907DF0" w:rsidP="00907DF0">
      <w:pPr>
        <w:pStyle w:val="SingleTxtGR"/>
      </w:pPr>
      <w:r>
        <w:t>73.</w:t>
      </w:r>
      <w:r>
        <w:tab/>
        <w:t>С 1</w:t>
      </w:r>
      <w:r w:rsidR="00D3337A">
        <w:t> </w:t>
      </w:r>
      <w:r>
        <w:t>января 2008</w:t>
      </w:r>
      <w:r w:rsidR="00D3337A">
        <w:t> </w:t>
      </w:r>
      <w:r>
        <w:t>года в ежегодный обзор, посвященный жертвам престу</w:t>
      </w:r>
      <w:r>
        <w:t>п</w:t>
      </w:r>
      <w:r>
        <w:t>лений (подготавливается исследовательским отделом Министерства юстиции во</w:t>
      </w:r>
      <w:r w:rsidR="0067663A">
        <w:t> </w:t>
      </w:r>
      <w:r>
        <w:t>взаимодействии с Копенгагенским университетом), где оценивается вероя</w:t>
      </w:r>
      <w:r>
        <w:t>т</w:t>
      </w:r>
      <w:r>
        <w:t>ность оказаться жертвой некоторых, в частности насильственных, преступл</w:t>
      </w:r>
      <w:r>
        <w:t>е</w:t>
      </w:r>
      <w:r>
        <w:t>ний в Дании, включаются данные о том, считается ли тот или иной инцидент мотивированным р</w:t>
      </w:r>
      <w:r>
        <w:t>а</w:t>
      </w:r>
      <w:r>
        <w:t>систскими побуждениями. Данные наиболее свежего обзора (за 2011</w:t>
      </w:r>
      <w:r w:rsidR="00D3337A">
        <w:t> </w:t>
      </w:r>
      <w:r>
        <w:t>год) свидетельствуют о том, что в 8</w:t>
      </w:r>
      <w:r w:rsidR="00CF6CDE">
        <w:t>%</w:t>
      </w:r>
      <w:r>
        <w:t xml:space="preserve"> случаев жертвы насилия вполне уверены, что преступление совершено из расистских побуждений, а еще 8</w:t>
      </w:r>
      <w:r w:rsidR="00CF6CDE">
        <w:t>%</w:t>
      </w:r>
      <w:r w:rsidR="0067663A">
        <w:t> </w:t>
      </w:r>
      <w:r>
        <w:t>опрошенных считают это возможным; это статистически значимый прирост по сравнению с 2008 и 2009</w:t>
      </w:r>
      <w:r w:rsidR="00D3337A">
        <w:t> </w:t>
      </w:r>
      <w:r>
        <w:t>годами. Различий по гендерной линии с точки зр</w:t>
      </w:r>
      <w:r>
        <w:t>е</w:t>
      </w:r>
      <w:r>
        <w:t>ния вероятности оказаться жертвой насильственного акта, совершенного из р</w:t>
      </w:r>
      <w:r>
        <w:t>а</w:t>
      </w:r>
      <w:r>
        <w:t>систских побуждений, не выявлено.</w:t>
      </w:r>
    </w:p>
    <w:p w:rsidR="00907DF0" w:rsidRDefault="00907DF0" w:rsidP="00907DF0">
      <w:pPr>
        <w:pStyle w:val="SingleTxtGR"/>
      </w:pPr>
      <w:r>
        <w:t>74.</w:t>
      </w:r>
      <w:r>
        <w:tab/>
        <w:t xml:space="preserve">Что касается пострадавших от ограбления, то в </w:t>
      </w:r>
      <w:r w:rsidR="0081171D">
        <w:t>4</w:t>
      </w:r>
      <w:r w:rsidR="00CF6CDE">
        <w:t>%</w:t>
      </w:r>
      <w:r>
        <w:t xml:space="preserve"> случаев жертвы у</w:t>
      </w:r>
      <w:r>
        <w:t>т</w:t>
      </w:r>
      <w:r>
        <w:t>верждали, что преступление имело расистскую подоплеку, а</w:t>
      </w:r>
      <w:r w:rsidR="0081171D">
        <w:t xml:space="preserve"> 6</w:t>
      </w:r>
      <w:r w:rsidR="00CF6CDE">
        <w:t xml:space="preserve">% </w:t>
      </w:r>
      <w:r>
        <w:t>опрошенных считали такой вариант возможным. Значительных изменений в этих цифрах с</w:t>
      </w:r>
      <w:r w:rsidR="00D3337A">
        <w:t> </w:t>
      </w:r>
      <w:r>
        <w:t>годами не произошло.</w:t>
      </w:r>
    </w:p>
    <w:p w:rsidR="00907DF0" w:rsidRDefault="00907DF0" w:rsidP="00907DF0">
      <w:pPr>
        <w:pStyle w:val="SingleTxtGR"/>
      </w:pPr>
      <w:r>
        <w:t>75.</w:t>
      </w:r>
      <w:r>
        <w:tab/>
        <w:t>Жертвы преступлений на почве ненависти обращаются в полицию столь же часто, что и жертвы других преступлений.</w:t>
      </w:r>
    </w:p>
    <w:p w:rsidR="00907DF0" w:rsidRDefault="00907DF0" w:rsidP="00B730D8">
      <w:pPr>
        <w:pStyle w:val="H23GR"/>
      </w:pPr>
      <w:r>
        <w:tab/>
      </w:r>
      <w:r>
        <w:tab/>
        <w:t xml:space="preserve">Наблюдательная деятельность Службы безопасности и разведки </w:t>
      </w:r>
    </w:p>
    <w:p w:rsidR="00907DF0" w:rsidRDefault="00907DF0" w:rsidP="00907DF0">
      <w:pPr>
        <w:pStyle w:val="SingleTxtGR"/>
      </w:pPr>
      <w:r>
        <w:t>76.</w:t>
      </w:r>
      <w:r>
        <w:tab/>
        <w:t>Как указывается в пункте</w:t>
      </w:r>
      <w:r w:rsidR="00D3337A">
        <w:t> </w:t>
      </w:r>
      <w:r>
        <w:t>45 девятнадцатого периодического доклада, районные полицейские управления передают в Национальную службу безопа</w:t>
      </w:r>
      <w:r>
        <w:t>с</w:t>
      </w:r>
      <w:r>
        <w:t>ности и разведки Дании сообщения, в частности, о преступлениях с возможной экстремистской подоплекой.</w:t>
      </w:r>
    </w:p>
    <w:p w:rsidR="00907DF0" w:rsidRDefault="00907DF0" w:rsidP="00907DF0">
      <w:pPr>
        <w:pStyle w:val="SingleTxtGR"/>
      </w:pPr>
      <w:r>
        <w:t>77.</w:t>
      </w:r>
      <w:r>
        <w:tab/>
        <w:t>Последний из докладов, который был обнародован 10</w:t>
      </w:r>
      <w:r w:rsidR="00D3337A">
        <w:t> </w:t>
      </w:r>
      <w:r>
        <w:t>января 2013</w:t>
      </w:r>
      <w:r w:rsidR="00D3337A">
        <w:t> </w:t>
      </w:r>
      <w:r>
        <w:t>года, охватывает случаи, относящиеся к 2011</w:t>
      </w:r>
      <w:r w:rsidR="00D3337A">
        <w:t> </w:t>
      </w:r>
      <w:r>
        <w:t>году. В докладе задокументировано увеличение по сравнению с 2010</w:t>
      </w:r>
      <w:r w:rsidR="00D3337A">
        <w:t> </w:t>
      </w:r>
      <w:r>
        <w:t>годом числа инцидентов с расистской подо</w:t>
      </w:r>
      <w:r>
        <w:t>п</w:t>
      </w:r>
      <w:r>
        <w:t>лекой (с 62 до 70). В докладе также отмечается увеличение по сравнению с</w:t>
      </w:r>
      <w:r w:rsidR="00D3337A">
        <w:t> </w:t>
      </w:r>
      <w:r>
        <w:t>2010 годом числа инцидентов с религиозной подоплекой (с 10 до 24) и с пол</w:t>
      </w:r>
      <w:r>
        <w:t>и</w:t>
      </w:r>
      <w:r>
        <w:t>тической подоплекой (с 37 до 78), а также сокращение числа инцидентов на п</w:t>
      </w:r>
      <w:r>
        <w:t>о</w:t>
      </w:r>
      <w:r>
        <w:t>ловой почве (с 30 до 23).</w:t>
      </w:r>
    </w:p>
    <w:p w:rsidR="00907DF0" w:rsidRDefault="00907DF0" w:rsidP="00907DF0">
      <w:pPr>
        <w:pStyle w:val="SingleTxtGR"/>
      </w:pPr>
      <w:r>
        <w:t>78.</w:t>
      </w:r>
      <w:r>
        <w:tab/>
        <w:t>С докладом (только на датском я</w:t>
      </w:r>
      <w:r w:rsidR="00D3337A">
        <w:t>зыке) можно ознакомиться на веб</w:t>
      </w:r>
      <w:r w:rsidR="00D3337A">
        <w:noBreakHyphen/>
      </w:r>
      <w:r>
        <w:t>странице Службы безопасности и разведки Дании (www.pet.dk).</w:t>
      </w:r>
    </w:p>
    <w:p w:rsidR="00907DF0" w:rsidRDefault="00907DF0" w:rsidP="00B730D8">
      <w:pPr>
        <w:pStyle w:val="H1GR"/>
      </w:pPr>
      <w:r>
        <w:tab/>
      </w:r>
      <w:r>
        <w:tab/>
        <w:t>Статья 5</w:t>
      </w:r>
    </w:p>
    <w:p w:rsidR="00907DF0" w:rsidRDefault="00907DF0" w:rsidP="009D4ADF">
      <w:pPr>
        <w:pStyle w:val="H1GR"/>
      </w:pPr>
      <w:r>
        <w:tab/>
      </w:r>
      <w:r>
        <w:tab/>
        <w:t>Обеспечение равноправия каждого человека перед законом без различия расы, цвета кожи, национального или этнического происхождения</w:t>
      </w:r>
    </w:p>
    <w:p w:rsidR="00907DF0" w:rsidRDefault="00907DF0" w:rsidP="00B730D8">
      <w:pPr>
        <w:pStyle w:val="H1GR"/>
      </w:pPr>
      <w:r>
        <w:tab/>
      </w:r>
      <w:r>
        <w:tab/>
        <w:t>Статья 5, пункт "a"</w:t>
      </w:r>
    </w:p>
    <w:p w:rsidR="00907DF0" w:rsidRDefault="00907DF0" w:rsidP="00B730D8">
      <w:pPr>
        <w:pStyle w:val="H1GR"/>
      </w:pPr>
      <w:r>
        <w:tab/>
      </w:r>
      <w:r>
        <w:tab/>
        <w:t>Право на равенство перед судом</w:t>
      </w:r>
    </w:p>
    <w:p w:rsidR="00907DF0" w:rsidRDefault="00907DF0" w:rsidP="00B730D8">
      <w:pPr>
        <w:pStyle w:val="H23GR"/>
      </w:pPr>
      <w:r>
        <w:tab/>
      </w:r>
      <w:r>
        <w:tab/>
        <w:t>Статистические данные о решениях Апелляционной комиссии по делам беженцев</w:t>
      </w:r>
    </w:p>
    <w:p w:rsidR="00907DF0" w:rsidRDefault="00907DF0" w:rsidP="00907DF0">
      <w:pPr>
        <w:pStyle w:val="SingleTxtGR"/>
      </w:pPr>
      <w:r>
        <w:t>79.</w:t>
      </w:r>
      <w:r>
        <w:tab/>
        <w:t>В 2011</w:t>
      </w:r>
      <w:r w:rsidR="00D3337A">
        <w:t> </w:t>
      </w:r>
      <w:r>
        <w:t>году Апелляционная комиссия по делам беженцев, руководствуясь Конвенцией 1951</w:t>
      </w:r>
      <w:r w:rsidR="00CC0FD0">
        <w:t> </w:t>
      </w:r>
      <w:r>
        <w:t>года о статусе беженцев, предоставила статус беженца 222</w:t>
      </w:r>
      <w:r w:rsidR="00CC0FD0">
        <w:t> </w:t>
      </w:r>
      <w:r>
        <w:t>ходатаям, а в 200</w:t>
      </w:r>
      <w:r w:rsidR="00CC0FD0">
        <w:t> </w:t>
      </w:r>
      <w:r>
        <w:t>случаях ходатаям была предоставлена дополнительная защита, тогда как в 890</w:t>
      </w:r>
      <w:r w:rsidR="00CC0FD0">
        <w:t> </w:t>
      </w:r>
      <w:r>
        <w:t>случаях ходатайства были отклонены.</w:t>
      </w:r>
    </w:p>
    <w:p w:rsidR="00907DF0" w:rsidRDefault="00907DF0" w:rsidP="00907DF0">
      <w:pPr>
        <w:pStyle w:val="SingleTxtGR"/>
      </w:pPr>
      <w:r>
        <w:t>80.</w:t>
      </w:r>
      <w:r>
        <w:tab/>
        <w:t>В 2012</w:t>
      </w:r>
      <w:r w:rsidR="00D3337A">
        <w:t> </w:t>
      </w:r>
      <w:r>
        <w:t>году Апелляционная комиссия по делам беженцев, руководствуясь Конвенцией 1951</w:t>
      </w:r>
      <w:r w:rsidR="00D3337A">
        <w:t> </w:t>
      </w:r>
      <w:r>
        <w:t xml:space="preserve">года о статусе беженцев, </w:t>
      </w:r>
      <w:r w:rsidR="00CC0FD0">
        <w:t>предоставила статус беженца 230 </w:t>
      </w:r>
      <w:r>
        <w:t>ходатаям, а в 180</w:t>
      </w:r>
      <w:r w:rsidR="00D3337A">
        <w:t> </w:t>
      </w:r>
      <w:r>
        <w:t>случаях ходатаям была предоставлена дополнительная защита. В 1</w:t>
      </w:r>
      <w:r w:rsidR="00D3337A">
        <w:t> </w:t>
      </w:r>
      <w:r>
        <w:t>086</w:t>
      </w:r>
      <w:r w:rsidR="00D3337A">
        <w:t> </w:t>
      </w:r>
      <w:r>
        <w:t>случаях ходатайства были отклонены.</w:t>
      </w:r>
    </w:p>
    <w:p w:rsidR="00907DF0" w:rsidRDefault="00907DF0" w:rsidP="00B730D8">
      <w:pPr>
        <w:pStyle w:val="H23GR"/>
      </w:pPr>
      <w:r>
        <w:tab/>
      </w:r>
      <w:r>
        <w:tab/>
        <w:t>Этнический состав заключенных</w:t>
      </w:r>
    </w:p>
    <w:p w:rsidR="00907DF0" w:rsidRDefault="00907DF0" w:rsidP="00907DF0">
      <w:pPr>
        <w:pStyle w:val="SingleTxtGR"/>
      </w:pPr>
      <w:r>
        <w:t>81.</w:t>
      </w:r>
      <w:r>
        <w:tab/>
        <w:t>В пункте</w:t>
      </w:r>
      <w:r w:rsidR="00D3337A">
        <w:t> </w:t>
      </w:r>
      <w:r>
        <w:t>19 своих заключительных замечаний по сведенным воедино в</w:t>
      </w:r>
      <w:r>
        <w:t>о</w:t>
      </w:r>
      <w:r>
        <w:t>семнадцатому и девятнадцатому периодическим докладам Дании Комитет н</w:t>
      </w:r>
      <w:r>
        <w:t>а</w:t>
      </w:r>
      <w:r>
        <w:t>стоятельно призвал датское правительство осуществлять сбор данных о закл</w:t>
      </w:r>
      <w:r>
        <w:t>ю</w:t>
      </w:r>
      <w:r>
        <w:t>ченных в разбивке по этническому признаку.</w:t>
      </w:r>
    </w:p>
    <w:p w:rsidR="00907DF0" w:rsidRDefault="00907DF0" w:rsidP="00907DF0">
      <w:pPr>
        <w:pStyle w:val="SingleTxtGR"/>
      </w:pPr>
      <w:r>
        <w:t>82.</w:t>
      </w:r>
      <w:r>
        <w:tab/>
        <w:t>Департаментом тюрем и пробации была произведена подборка данных об этническом составе заключенных в датских тюрьмах (см. приложение</w:t>
      </w:r>
      <w:r w:rsidR="00D3337A">
        <w:t> </w:t>
      </w:r>
      <w:r>
        <w:t>III). Со</w:t>
      </w:r>
      <w:r>
        <w:t>б</w:t>
      </w:r>
      <w:r>
        <w:t>ранные данные как об иммигрантах, так и об их потомках, содержащихся в</w:t>
      </w:r>
      <w:r w:rsidR="00D3337A">
        <w:t> </w:t>
      </w:r>
      <w:r>
        <w:t>тюрьмах Дании, приведены в разбивке по странам происхождения и возрасту; они содержат информацию об этническом составе заключенных в различных заведениях (государственные тюрьмы строгого режима, государственные тюр</w:t>
      </w:r>
      <w:r>
        <w:t>ь</w:t>
      </w:r>
      <w:r>
        <w:t>мы общего режима, местные тюрьмы, адаптационные центры для бывших з</w:t>
      </w:r>
      <w:r>
        <w:t>а</w:t>
      </w:r>
      <w:r>
        <w:t>ключенных и пр.). Кроме того, собранные данные содержат сведения о составе заключенных в датских тюрьмах в разбивке по критерию гражданства.</w:t>
      </w:r>
    </w:p>
    <w:p w:rsidR="00907DF0" w:rsidRDefault="00907DF0" w:rsidP="00B730D8">
      <w:pPr>
        <w:pStyle w:val="H1GR"/>
      </w:pPr>
      <w:r>
        <w:tab/>
      </w:r>
      <w:r>
        <w:tab/>
        <w:t>Статья 5, пункт "b"</w:t>
      </w:r>
    </w:p>
    <w:p w:rsidR="00907DF0" w:rsidRDefault="00907DF0" w:rsidP="00B730D8">
      <w:pPr>
        <w:pStyle w:val="H1GR"/>
      </w:pPr>
      <w:r>
        <w:tab/>
      </w:r>
      <w:r>
        <w:tab/>
        <w:t>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907DF0" w:rsidRDefault="00907DF0" w:rsidP="00B730D8">
      <w:pPr>
        <w:pStyle w:val="H23GR"/>
      </w:pPr>
      <w:r>
        <w:tab/>
      </w:r>
      <w:r>
        <w:tab/>
        <w:t>Жертвы бытового насилия</w:t>
      </w:r>
    </w:p>
    <w:p w:rsidR="00907DF0" w:rsidRDefault="00907DF0" w:rsidP="00907DF0">
      <w:pPr>
        <w:pStyle w:val="SingleTxtGR"/>
      </w:pPr>
      <w:r>
        <w:t>83.</w:t>
      </w:r>
      <w:r>
        <w:tab/>
        <w:t>Касаясь пунктов</w:t>
      </w:r>
      <w:r w:rsidR="00D3337A">
        <w:t> </w:t>
      </w:r>
      <w:r>
        <w:t>65–71 девятнадцатого периодического доклада и озаб</w:t>
      </w:r>
      <w:r>
        <w:t>о</w:t>
      </w:r>
      <w:r>
        <w:t>ченности и рекомендаций, изложенных в пункте</w:t>
      </w:r>
      <w:r w:rsidR="00D3337A">
        <w:t> </w:t>
      </w:r>
      <w:r>
        <w:t>13 заключительных замечаний Комитета по девятнадцатому периодическому докладу Дании, следует отм</w:t>
      </w:r>
      <w:r>
        <w:t>е</w:t>
      </w:r>
      <w:r>
        <w:t>тить, что в русле разработанной платформы правительство внесло в январе 2013</w:t>
      </w:r>
      <w:r w:rsidR="00D3337A">
        <w:t> </w:t>
      </w:r>
      <w:r>
        <w:t>года поправку к закону об иностранцах, касающуюся правил аннулиров</w:t>
      </w:r>
      <w:r>
        <w:t>а</w:t>
      </w:r>
      <w:r>
        <w:t>ния вида на жительство, выданного по процедуре воссоединения супругов, в</w:t>
      </w:r>
      <w:r w:rsidR="00D3337A">
        <w:t> </w:t>
      </w:r>
      <w:r>
        <w:t>тех случаях, когда соответствующий иностранец или ребенок иностранца подвергся неподобающему обращ</w:t>
      </w:r>
      <w:r w:rsidR="00D3337A">
        <w:t>ению, например</w:t>
      </w:r>
      <w:r>
        <w:t xml:space="preserve"> со стороны супруга.</w:t>
      </w:r>
    </w:p>
    <w:p w:rsidR="00907DF0" w:rsidRDefault="00907DF0" w:rsidP="00907DF0">
      <w:pPr>
        <w:pStyle w:val="SingleTxtGR"/>
      </w:pPr>
      <w:r>
        <w:t>84.</w:t>
      </w:r>
      <w:r>
        <w:tab/>
        <w:t>Из этой поправки следует, что отныне продолжительность проживания иностранца в Дании не будет приниматься во внимание при вынесении реш</w:t>
      </w:r>
      <w:r>
        <w:t>е</w:t>
      </w:r>
      <w:r>
        <w:t>ния о сохранении иностранцем вида на жительство в оговоренной выше ситу</w:t>
      </w:r>
      <w:r>
        <w:t>а</w:t>
      </w:r>
      <w:r>
        <w:t>ции.</w:t>
      </w:r>
    </w:p>
    <w:p w:rsidR="00907DF0" w:rsidRDefault="00907DF0" w:rsidP="00907DF0">
      <w:pPr>
        <w:pStyle w:val="SingleTxtGR"/>
      </w:pPr>
      <w:r>
        <w:t>85.</w:t>
      </w:r>
      <w:r>
        <w:tab/>
        <w:t>Согласно предложенной поправке иностранец, имеющий вид на жител</w:t>
      </w:r>
      <w:r>
        <w:t>ь</w:t>
      </w:r>
      <w:r>
        <w:t>ство, выданный в связи со вступлением в брак, в случае оставления своего су</w:t>
      </w:r>
      <w:r>
        <w:t>п</w:t>
      </w:r>
      <w:r>
        <w:t xml:space="preserve">руга по причине бытового насилия и </w:t>
      </w:r>
      <w:r w:rsidR="00AC018F">
        <w:t>т.п.</w:t>
      </w:r>
      <w:r>
        <w:t xml:space="preserve"> сможет</w:t>
      </w:r>
      <w:r w:rsidR="00354888">
        <w:t>,</w:t>
      </w:r>
      <w:r>
        <w:t xml:space="preserve"> в зависимости от наличия у</w:t>
      </w:r>
      <w:r w:rsidR="00D3337A">
        <w:t> </w:t>
      </w:r>
      <w:r>
        <w:t>него связей с Данией</w:t>
      </w:r>
      <w:r w:rsidR="00354888">
        <w:t>,</w:t>
      </w:r>
      <w:r>
        <w:t xml:space="preserve"> сохранить свой вид на жительство независимо от пр</w:t>
      </w:r>
      <w:r>
        <w:t>о</w:t>
      </w:r>
      <w:r>
        <w:t>должительности его проживания в стране, если факт неподобающего обращ</w:t>
      </w:r>
      <w:r>
        <w:t>е</w:t>
      </w:r>
      <w:r>
        <w:t>ния документально подтвержден и признан фактическим основанием для пр</w:t>
      </w:r>
      <w:r>
        <w:t>е</w:t>
      </w:r>
      <w:r>
        <w:t>кращения совместного проживания.</w:t>
      </w:r>
    </w:p>
    <w:p w:rsidR="00907DF0" w:rsidRDefault="00907DF0" w:rsidP="00B730D8">
      <w:pPr>
        <w:pStyle w:val="H23GR"/>
      </w:pPr>
      <w:r>
        <w:tab/>
      </w:r>
      <w:r>
        <w:tab/>
        <w:t>Жертвы торговли людьми</w:t>
      </w:r>
    </w:p>
    <w:p w:rsidR="00907DF0" w:rsidRDefault="00907DF0" w:rsidP="00907DF0">
      <w:pPr>
        <w:pStyle w:val="SingleTxtGR"/>
      </w:pPr>
      <w:r>
        <w:t>86.</w:t>
      </w:r>
      <w:r>
        <w:tab/>
        <w:t>Дания стремится вести борьбу с торговлей людьми методами профила</w:t>
      </w:r>
      <w:r>
        <w:t>к</w:t>
      </w:r>
      <w:r>
        <w:t>тики и судебного преследования лиц, ответственных за торговлю людьми, а</w:t>
      </w:r>
      <w:r w:rsidR="00354888">
        <w:t> </w:t>
      </w:r>
      <w:r>
        <w:t>также посредством оказания целевой поддержки жертвам такой торговли. П</w:t>
      </w:r>
      <w:r>
        <w:t>о</w:t>
      </w:r>
      <w:r>
        <w:t>скольку считается, что жертвы торговли людьми принадлежат к категории уя</w:t>
      </w:r>
      <w:r>
        <w:t>з</w:t>
      </w:r>
      <w:r>
        <w:t>вимых лиц, в Дании создана эффективная организационная база и осуществл</w:t>
      </w:r>
      <w:r>
        <w:t>я</w:t>
      </w:r>
      <w:r>
        <w:t>ются многочисленные мероприятия по оказанию жертвам поддержки во время их пребывания в Дании.</w:t>
      </w:r>
    </w:p>
    <w:p w:rsidR="00907DF0" w:rsidRDefault="00907DF0" w:rsidP="00907DF0">
      <w:pPr>
        <w:pStyle w:val="SingleTxtGR"/>
      </w:pPr>
      <w:r>
        <w:t>87.</w:t>
      </w:r>
      <w:r>
        <w:tab/>
        <w:t>В период нахождения в Дании жертвы торговли людьми пользуются до</w:t>
      </w:r>
      <w:r>
        <w:t>с</w:t>
      </w:r>
      <w:r>
        <w:t>тупом к различным услугам по линии национального Плана действий по бор</w:t>
      </w:r>
      <w:r>
        <w:t>ь</w:t>
      </w:r>
      <w:r>
        <w:t>бе с торговлей людьми. К их числу относятся услуги системы здравоохранения, психологической помощи, консультационных служб и приютов для женщин, подвергшихся побоям, или специальных убежищ для женщин, ставших жертв</w:t>
      </w:r>
      <w:r>
        <w:t>а</w:t>
      </w:r>
      <w:r>
        <w:t>ми торговли люд</w:t>
      </w:r>
      <w:r>
        <w:t>ь</w:t>
      </w:r>
      <w:r>
        <w:t>ми. Предложения помощи и содействия распространяются на всех жертв, в том числе на просителей убежища и жертв, находящихся в Дании на незаконных основаниях. Просители убежища и иммигранты, находящиеся в</w:t>
      </w:r>
      <w:r w:rsidR="00354888">
        <w:t> </w:t>
      </w:r>
      <w:r>
        <w:t>стране в нарушение правил, получают поддержку со стороны Датской имм</w:t>
      </w:r>
      <w:r>
        <w:t>и</w:t>
      </w:r>
      <w:r>
        <w:t>грационной службы, а жертвам торговли людьми помимо обычной поддержки оказывается специальная помощь, которая предполагает, среди прочего, разм</w:t>
      </w:r>
      <w:r>
        <w:t>е</w:t>
      </w:r>
      <w:r>
        <w:t>щение, например, в центрах содержания просителей убежища, сотрудники к</w:t>
      </w:r>
      <w:r>
        <w:t>о</w:t>
      </w:r>
      <w:r>
        <w:t>торых обучены методике оказания помощи уязвимым лицам. Жертвы, прож</w:t>
      </w:r>
      <w:r>
        <w:t>и</w:t>
      </w:r>
      <w:r>
        <w:t>вающие в Дании на законных основаниях, пользуются поддержкой Датского центра по борьбе с торговлей людьми.</w:t>
      </w:r>
    </w:p>
    <w:p w:rsidR="00907DF0" w:rsidRDefault="00907DF0" w:rsidP="00907DF0">
      <w:pPr>
        <w:pStyle w:val="SingleTxtGR"/>
      </w:pPr>
      <w:r>
        <w:t>88.</w:t>
      </w:r>
      <w:r>
        <w:tab/>
        <w:t>Кроме того, датский закон об иностранцах предусматривает особые пр</w:t>
      </w:r>
      <w:r>
        <w:t>а</w:t>
      </w:r>
      <w:r>
        <w:t xml:space="preserve">вила для жертв торговли людьми, </w:t>
      </w:r>
      <w:r w:rsidR="00AC018F">
        <w:t>т.е.</w:t>
      </w:r>
      <w:r>
        <w:t xml:space="preserve"> для просителей убежища или иммигра</w:t>
      </w:r>
      <w:r>
        <w:t>н</w:t>
      </w:r>
      <w:r>
        <w:t>тов, находящихся в стране в нарушение правил, которые, как считается, п</w:t>
      </w:r>
      <w:r>
        <w:t>о</w:t>
      </w:r>
      <w:r>
        <w:t>страдали от такой торговли. Эти правила предназначены для оказания пом</w:t>
      </w:r>
      <w:r>
        <w:t>о</w:t>
      </w:r>
      <w:r>
        <w:t>щи и содействия жертвам, с тем чтобы помочь им вернуться к нормальной жизни, окрепнуть и тем самым выйти из-под влияния торговцев людьми и начать жизнь вне сетей такой торговли. Кроме того, тем жертвам торговли людьми, к</w:t>
      </w:r>
      <w:r>
        <w:t>о</w:t>
      </w:r>
      <w:r>
        <w:t>торые не располагают разрешением на пребывание в Дании и по этой причине обязаны покинуть страну, предоставляется 30</w:t>
      </w:r>
      <w:r w:rsidR="00354888">
        <w:noBreakHyphen/>
      </w:r>
      <w:r>
        <w:t>дневный срок на восстановление и размышление. Если это диктуется особыми соображениями, а также в случае</w:t>
      </w:r>
      <w:r w:rsidR="00E64CCF">
        <w:t>,</w:t>
      </w:r>
      <w:r>
        <w:t xml:space="preserve"> когда жертва соглашается на упорядоченное возвращение, срок, отводимый на размышление, может быть продлен (в соответствии с поправкой к закону об иностранцах, которая вступила в силу 3</w:t>
      </w:r>
      <w:r w:rsidR="00354888">
        <w:t> мая 2013 </w:t>
      </w:r>
      <w:r>
        <w:t>года) в общей сложности до 120</w:t>
      </w:r>
      <w:r w:rsidR="00354888">
        <w:t> </w:t>
      </w:r>
      <w:r>
        <w:t>суток. Упорядоченное возвращение – это индивидуализированная програ</w:t>
      </w:r>
      <w:r>
        <w:t>м</w:t>
      </w:r>
      <w:r>
        <w:t>ма репатриации, предлагаемая всем жертвам. В основе этой программы лежит договоренность между Датской иммиграционной службой и Международной организацией по вопросам миграции (МОМ). Такая программа предполагает участие в мероприятиях, проводимых как в Дании в течение отведенного на размышление периода (например, посещение курсов по приобретению спец</w:t>
      </w:r>
      <w:r>
        <w:t>и</w:t>
      </w:r>
      <w:r>
        <w:t>альности), так и после возвращения (например, школьное обучение, оказание помощи в создании малого предприятия, выплата денежного пособия). Эта пр</w:t>
      </w:r>
      <w:r>
        <w:t>о</w:t>
      </w:r>
      <w:r>
        <w:t>грамма призвана помочь жертвам обрести возможность содержать себя, с тем чтобы сделать их менее уязвимыми для повторного вовлечения в торговлю людьми. По условиям постановления о финансировании на 2013</w:t>
      </w:r>
      <w:r w:rsidR="00354888">
        <w:t> </w:t>
      </w:r>
      <w:r>
        <w:t>год срок, в т</w:t>
      </w:r>
      <w:r>
        <w:t>е</w:t>
      </w:r>
      <w:r>
        <w:t xml:space="preserve">чение которого жертвам оказывается помощь по возвращению на родину, был продлен с </w:t>
      </w:r>
      <w:r w:rsidR="00F2466A">
        <w:t xml:space="preserve">трех </w:t>
      </w:r>
      <w:r>
        <w:t xml:space="preserve">до </w:t>
      </w:r>
      <w:r w:rsidR="00F2466A">
        <w:t>шести</w:t>
      </w:r>
      <w:r>
        <w:t xml:space="preserve"> месяцев.</w:t>
      </w:r>
    </w:p>
    <w:p w:rsidR="00907DF0" w:rsidRDefault="00907DF0" w:rsidP="00B730D8">
      <w:pPr>
        <w:pStyle w:val="H1GR"/>
      </w:pPr>
      <w:r>
        <w:tab/>
      </w:r>
      <w:r>
        <w:tab/>
        <w:t>Статья 5, пункт "c"</w:t>
      </w:r>
    </w:p>
    <w:p w:rsidR="00907DF0" w:rsidRDefault="00907DF0" w:rsidP="0098028E">
      <w:pPr>
        <w:pStyle w:val="H1GR"/>
      </w:pPr>
      <w:r>
        <w:tab/>
      </w:r>
      <w:r>
        <w:tab/>
        <w:t>Политические права, в частности право участвовать в</w:t>
      </w:r>
      <w:r w:rsidR="00E64CCF">
        <w:t> </w:t>
      </w:r>
      <w:r>
        <w:t>выборах - голосовать и выставлять свою кандидатуру</w:t>
      </w:r>
    </w:p>
    <w:p w:rsidR="00907DF0" w:rsidRDefault="00907DF0" w:rsidP="00907DF0">
      <w:pPr>
        <w:pStyle w:val="SingleTxtGR"/>
      </w:pPr>
      <w:r>
        <w:t>89.</w:t>
      </w:r>
      <w:r>
        <w:tab/>
        <w:t>В соответствии со статьей</w:t>
      </w:r>
      <w:r w:rsidR="00354888">
        <w:t> </w:t>
      </w:r>
      <w:r>
        <w:t>29 Конституции Дании для участия в парл</w:t>
      </w:r>
      <w:r>
        <w:t>а</w:t>
      </w:r>
      <w:r>
        <w:t>ментских выборах избир</w:t>
      </w:r>
      <w:r>
        <w:t>а</w:t>
      </w:r>
      <w:r>
        <w:t>тели должны удовлетворять следующим требованиям: иметь датское гражданство, постоянно проживать в Королевстве и соответств</w:t>
      </w:r>
      <w:r>
        <w:t>о</w:t>
      </w:r>
      <w:r>
        <w:t>вать установленному законом возрастному критерию для участия в голос</w:t>
      </w:r>
      <w:r>
        <w:t>о</w:t>
      </w:r>
      <w:r>
        <w:t>вании (18</w:t>
      </w:r>
      <w:r w:rsidR="00354888">
        <w:t> </w:t>
      </w:r>
      <w:r>
        <w:t>лет). Согласно положениям статьи 6 датского закона об опекунстве лица, над которыми установлена опека и которые были лишены правоспособности, к</w:t>
      </w:r>
      <w:r w:rsidR="00354888">
        <w:t> </w:t>
      </w:r>
      <w:r>
        <w:t>голосованию не допускаются. Те же треб</w:t>
      </w:r>
      <w:r>
        <w:t>о</w:t>
      </w:r>
      <w:r>
        <w:t>вания предъявляются и для участия в общенациональных референдумах. Лицо, обладающее правом голосовать на парламентских выборах, вправе также баллотироваться в парламент страны, если только такое лицо не было признано виновным в преступлении, а значит не достойно в глазах общественности быть депутатом датского парламента.</w:t>
      </w:r>
    </w:p>
    <w:p w:rsidR="00907DF0" w:rsidRDefault="00907DF0" w:rsidP="00907DF0">
      <w:pPr>
        <w:pStyle w:val="SingleTxtGR"/>
      </w:pPr>
      <w:r>
        <w:t>90.</w:t>
      </w:r>
      <w:r>
        <w:tab/>
        <w:t>Любое лицо, достигшее 18-летнего возраста и проживающее в том или ином местном территориальном образовании, может участвовать в выборах в</w:t>
      </w:r>
      <w:r w:rsidR="00354888">
        <w:t> </w:t>
      </w:r>
      <w:r>
        <w:t>местные и региональные советы (см. статью</w:t>
      </w:r>
      <w:r w:rsidR="00354888">
        <w:t> </w:t>
      </w:r>
      <w:r>
        <w:t>1 датского закона о выборах в</w:t>
      </w:r>
      <w:r w:rsidR="00354888">
        <w:t> </w:t>
      </w:r>
      <w:r>
        <w:t>местные и региональные органы власти). Однако для участия в местных в</w:t>
      </w:r>
      <w:r>
        <w:t>ы</w:t>
      </w:r>
      <w:r>
        <w:t>борах лица, не являющиеся граждан</w:t>
      </w:r>
      <w:r w:rsidR="00354888">
        <w:t>ами Дании, другого государства –</w:t>
      </w:r>
      <w:r>
        <w:t xml:space="preserve"> члена ЕС, Исландии или Норвегии, к тому же обязаны проживать в Королевстве в т</w:t>
      </w:r>
      <w:r>
        <w:t>е</w:t>
      </w:r>
      <w:r>
        <w:t>чение трех лет до выборов. Лица, над которыми установлена опека и которые были лишены правоспособности, к голосованию не допускаются. Лицо, над</w:t>
      </w:r>
      <w:r>
        <w:t>е</w:t>
      </w:r>
      <w:r>
        <w:t>ленное правом голоса на выборах в местные и региональные советы, вправе также баллотироваться в такие советы, если только такое лицо не было призн</w:t>
      </w:r>
      <w:r>
        <w:t>а</w:t>
      </w:r>
      <w:r>
        <w:t>но виновным в преступлении, а значит не достойно в глазах общественности быть депутатом местного или регионального совета (см. статью</w:t>
      </w:r>
      <w:r w:rsidR="00354888">
        <w:t> </w:t>
      </w:r>
      <w:r>
        <w:t>4 датского з</w:t>
      </w:r>
      <w:r>
        <w:t>а</w:t>
      </w:r>
      <w:r>
        <w:t>кона о выб</w:t>
      </w:r>
      <w:r>
        <w:t>о</w:t>
      </w:r>
      <w:r>
        <w:t>рах в местные и региональные органы власти).</w:t>
      </w:r>
    </w:p>
    <w:p w:rsidR="00907DF0" w:rsidRDefault="00907DF0" w:rsidP="00907DF0">
      <w:pPr>
        <w:pStyle w:val="SingleTxtGR"/>
      </w:pPr>
      <w:r>
        <w:t>91.</w:t>
      </w:r>
      <w:r>
        <w:tab/>
        <w:t>Правом на участие в проводимых в Дании выборах в Европейский парл</w:t>
      </w:r>
      <w:r>
        <w:t>а</w:t>
      </w:r>
      <w:r>
        <w:t>мент наделены лица, которые на момент их проведения имеют право участв</w:t>
      </w:r>
      <w:r>
        <w:t>о</w:t>
      </w:r>
      <w:r>
        <w:t>вать в выборах в датский парламент и постоянно проживают в Дании (см. ра</w:t>
      </w:r>
      <w:r>
        <w:t>з</w:t>
      </w:r>
      <w:r>
        <w:t>дел</w:t>
      </w:r>
      <w:r w:rsidR="00354888">
        <w:t> </w:t>
      </w:r>
      <w:r>
        <w:t xml:space="preserve">2 закона о выборах депутатов Европейского парламента). Кроме того, </w:t>
      </w:r>
      <w:r w:rsidR="00354888">
        <w:br/>
      </w:r>
      <w:r>
        <w:t>правом участия в проводимых в Дании выборах в Европейский парламент н</w:t>
      </w:r>
      <w:r>
        <w:t>а</w:t>
      </w:r>
      <w:r>
        <w:t>деле</w:t>
      </w:r>
      <w:r w:rsidR="00354888">
        <w:t xml:space="preserve">ны граждане других государств – </w:t>
      </w:r>
      <w:r>
        <w:t>членов ЕС, которые постоянно прожив</w:t>
      </w:r>
      <w:r>
        <w:t>а</w:t>
      </w:r>
      <w:r>
        <w:t>ют в</w:t>
      </w:r>
      <w:r w:rsidR="006D3840">
        <w:t xml:space="preserve"> </w:t>
      </w:r>
      <w:r>
        <w:t>Дании, а также лица, зарегистрированные в протокольном отделе Мин</w:t>
      </w:r>
      <w:r>
        <w:t>и</w:t>
      </w:r>
      <w:r>
        <w:t>стерства иностранных дел Дании (находящиеся в Дании дипломаты гос</w:t>
      </w:r>
      <w:r>
        <w:t>у</w:t>
      </w:r>
      <w:r>
        <w:t>дарств</w:t>
      </w:r>
      <w:r w:rsidR="00354888">
        <w:t> </w:t>
      </w:r>
      <w:r>
        <w:t>– членов ЕС). Лица, над которыми установлена опека и которые были лишены правоспособн</w:t>
      </w:r>
      <w:r>
        <w:t>о</w:t>
      </w:r>
      <w:r>
        <w:t>сти</w:t>
      </w:r>
      <w:r w:rsidR="00E64CCF">
        <w:t>, к голосованию не допускаются.</w:t>
      </w:r>
    </w:p>
    <w:p w:rsidR="00907DF0" w:rsidRDefault="00907DF0" w:rsidP="00B730D8">
      <w:pPr>
        <w:pStyle w:val="H1GR"/>
      </w:pPr>
      <w:r>
        <w:tab/>
      </w:r>
      <w:r>
        <w:tab/>
        <w:t>Статья 5, пункт "d", "i"</w:t>
      </w:r>
    </w:p>
    <w:p w:rsidR="00907DF0" w:rsidRDefault="00907DF0" w:rsidP="00B730D8">
      <w:pPr>
        <w:pStyle w:val="H1GR"/>
      </w:pPr>
      <w:r>
        <w:tab/>
      </w:r>
      <w:r>
        <w:tab/>
        <w:t>Право на свободу передвижения и проживание в пределах государства</w:t>
      </w:r>
    </w:p>
    <w:p w:rsidR="00907DF0" w:rsidRDefault="00907DF0" w:rsidP="00907DF0">
      <w:pPr>
        <w:pStyle w:val="SingleTxtGR"/>
      </w:pPr>
      <w:r>
        <w:t>92.</w:t>
      </w:r>
      <w:r>
        <w:tab/>
        <w:t>Просьба ознакомиться с пунктами</w:t>
      </w:r>
      <w:r w:rsidR="00354888">
        <w:t> </w:t>
      </w:r>
      <w:r>
        <w:t>87</w:t>
      </w:r>
      <w:r w:rsidR="00354888">
        <w:t>–</w:t>
      </w:r>
      <w:r>
        <w:t>92 девятнадцатого периодического доклада.</w:t>
      </w:r>
    </w:p>
    <w:p w:rsidR="00907DF0" w:rsidRDefault="00907DF0" w:rsidP="00B730D8">
      <w:pPr>
        <w:pStyle w:val="H23GR"/>
      </w:pPr>
      <w:r>
        <w:tab/>
      </w:r>
      <w:r>
        <w:tab/>
        <w:t>Продолжительность пребывания в центрах содержания просителей убежища</w:t>
      </w:r>
    </w:p>
    <w:p w:rsidR="00907DF0" w:rsidRDefault="00907DF0" w:rsidP="00907DF0">
      <w:pPr>
        <w:pStyle w:val="SingleTxtGR"/>
      </w:pPr>
      <w:r>
        <w:t>93.</w:t>
      </w:r>
      <w:r>
        <w:tab/>
        <w:t>Просьба ознакомиться с пунктами</w:t>
      </w:r>
      <w:r w:rsidR="00354888">
        <w:t> </w:t>
      </w:r>
      <w:r>
        <w:t>73</w:t>
      </w:r>
      <w:r w:rsidR="00354888">
        <w:t>–</w:t>
      </w:r>
      <w:r>
        <w:t>78 девятнадцатого периодического доклада.</w:t>
      </w:r>
    </w:p>
    <w:p w:rsidR="00907DF0" w:rsidRDefault="00907DF0" w:rsidP="00907DF0">
      <w:pPr>
        <w:pStyle w:val="SingleTxtGR"/>
      </w:pPr>
      <w:r>
        <w:t>94.</w:t>
      </w:r>
      <w:r>
        <w:tab/>
        <w:t>В 2012</w:t>
      </w:r>
      <w:r w:rsidR="00354888">
        <w:t> </w:t>
      </w:r>
      <w:r>
        <w:t>году правительством во взаимодействии с двумя партиями (Ед</w:t>
      </w:r>
      <w:r>
        <w:t>и</w:t>
      </w:r>
      <w:r w:rsidR="00354888">
        <w:t>ный список–</w:t>
      </w:r>
      <w:r>
        <w:t>Красно-зел</w:t>
      </w:r>
      <w:r w:rsidR="00CC0FD0">
        <w:t>е</w:t>
      </w:r>
      <w:r>
        <w:t>ная коалиция и Либеральный Альянс) была достигнута политическая договоренность, которая, в случае ее выполнения в полном объ</w:t>
      </w:r>
      <w:r>
        <w:t>е</w:t>
      </w:r>
      <w:r>
        <w:t>ме, в некоторых отношениях облегчит положение просителей убежища, прож</w:t>
      </w:r>
      <w:r>
        <w:t>и</w:t>
      </w:r>
      <w:r>
        <w:t>вающих в предназначенных для них центрах содержания. Законодательство, о</w:t>
      </w:r>
      <w:r>
        <w:t>т</w:t>
      </w:r>
      <w:r>
        <w:t>ражающее эти послабления, было принято парламентом Дании и вступило в с</w:t>
      </w:r>
      <w:r>
        <w:t>и</w:t>
      </w:r>
      <w:r>
        <w:t>лу 2</w:t>
      </w:r>
      <w:r w:rsidR="00354888">
        <w:t> мая 2013 </w:t>
      </w:r>
      <w:r>
        <w:t>года.</w:t>
      </w:r>
    </w:p>
    <w:p w:rsidR="00907DF0" w:rsidRDefault="00907DF0" w:rsidP="00907DF0">
      <w:pPr>
        <w:pStyle w:val="SingleTxtGR"/>
      </w:pPr>
      <w:r>
        <w:t>95.</w:t>
      </w:r>
      <w:r>
        <w:tab/>
        <w:t>Среди других основных моментов в договоренности сделан упор на с</w:t>
      </w:r>
      <w:r>
        <w:t>о</w:t>
      </w:r>
      <w:r>
        <w:t>действие добровольной репатриации лиц, ищущих убежище, чьи ходатайства были отклонены, на условиях предоставления им средств, требуемых, чтобы начать новую жизнь у себя на родине.</w:t>
      </w:r>
    </w:p>
    <w:p w:rsidR="00907DF0" w:rsidRDefault="00907DF0" w:rsidP="00907DF0">
      <w:pPr>
        <w:pStyle w:val="SingleTxtGR"/>
      </w:pPr>
      <w:r>
        <w:t>96.</w:t>
      </w:r>
      <w:r>
        <w:tab/>
        <w:t>Нынешние усилия по оказанию поддержки просителям убежища, чьи х</w:t>
      </w:r>
      <w:r>
        <w:t>о</w:t>
      </w:r>
      <w:r>
        <w:t>датайства были отклон</w:t>
      </w:r>
      <w:r>
        <w:t>е</w:t>
      </w:r>
      <w:r>
        <w:t>ны, подкрепляются предложением просителям убежища помощи и поддержки в деле возвращения и к тому же более активными мерами, призванными побудить получивших отказ просителей убежища добровольно вернуться на родину либо, в качестве альтернативы, подвергнуться принуд</w:t>
      </w:r>
      <w:r>
        <w:t>и</w:t>
      </w:r>
      <w:r>
        <w:t>тельной репатри</w:t>
      </w:r>
      <w:r>
        <w:t>а</w:t>
      </w:r>
      <w:r>
        <w:t>ции. 18</w:t>
      </w:r>
      <w:r w:rsidR="00354888">
        <w:t> </w:t>
      </w:r>
      <w:r>
        <w:t>декабря 2012</w:t>
      </w:r>
      <w:r w:rsidR="00354888">
        <w:t> </w:t>
      </w:r>
      <w:r>
        <w:t>года началось осуществление временной программы оказания финансовой поддержки просителям убежища, вырази</w:t>
      </w:r>
      <w:r>
        <w:t>в</w:t>
      </w:r>
      <w:r>
        <w:t>шим готовность к добровольному возвращению в свою страну происхождения. Эта временная программа распространяется на граждан всех стран за исключ</w:t>
      </w:r>
      <w:r>
        <w:t>е</w:t>
      </w:r>
      <w:r>
        <w:t xml:space="preserve">нием просителей убежища из стран, условия в которых не дают веских </w:t>
      </w:r>
      <w:r w:rsidR="00354888">
        <w:br/>
      </w:r>
      <w:r>
        <w:t>оснований для подачи ходатайств о предоставлении убежища. Размер матер</w:t>
      </w:r>
      <w:r>
        <w:t>и</w:t>
      </w:r>
      <w:r>
        <w:t>альной помощи установлен в 20</w:t>
      </w:r>
      <w:r w:rsidR="00CF6CDE">
        <w:t> 000 </w:t>
      </w:r>
      <w:r>
        <w:t>датских крон на совершеннолетнего и</w:t>
      </w:r>
      <w:r w:rsidR="00354888">
        <w:t> </w:t>
      </w:r>
      <w:r>
        <w:t>10</w:t>
      </w:r>
      <w:r w:rsidR="00CF6CDE">
        <w:t> 000 </w:t>
      </w:r>
      <w:r>
        <w:t>датских крон на ребенка, если ходатайство было подано до 1</w:t>
      </w:r>
      <w:r w:rsidR="00354888">
        <w:t> </w:t>
      </w:r>
      <w:r>
        <w:t>апреля 2013 года. Если ходатайство поступило до 30 июня 2013 года, объем помощи составляет 15</w:t>
      </w:r>
      <w:r w:rsidR="00CF6CDE">
        <w:t> 000 </w:t>
      </w:r>
      <w:r>
        <w:t>датских крон на совершеннолетнего и 7000 датских крон на ребе</w:t>
      </w:r>
      <w:r>
        <w:t>н</w:t>
      </w:r>
      <w:r>
        <w:t>ка. Кроме того, совершеннолетние могут ходатайствовать о выделении им 10</w:t>
      </w:r>
      <w:r w:rsidR="00CF6CDE">
        <w:t> 000 </w:t>
      </w:r>
      <w:r>
        <w:t>датских крон на предпринимательские цели.</w:t>
      </w:r>
    </w:p>
    <w:p w:rsidR="00907DF0" w:rsidRDefault="00907DF0" w:rsidP="00907DF0">
      <w:pPr>
        <w:pStyle w:val="SingleTxtGR"/>
      </w:pPr>
      <w:r>
        <w:t>97.</w:t>
      </w:r>
      <w:r>
        <w:tab/>
        <w:t>В случае согласия на добровольное возвращение просителям убежища предоставляется возможность размещения и трудоустройства вне центров с</w:t>
      </w:r>
      <w:r>
        <w:t>о</w:t>
      </w:r>
      <w:r>
        <w:t>держания на время рассмотрения их ходатайства.</w:t>
      </w:r>
    </w:p>
    <w:p w:rsidR="00907DF0" w:rsidRDefault="00907DF0" w:rsidP="00907DF0">
      <w:pPr>
        <w:pStyle w:val="SingleTxtGR"/>
      </w:pPr>
      <w:r>
        <w:t>98.</w:t>
      </w:r>
      <w:r>
        <w:tab/>
        <w:t>Это предложение призвано облегчить процесс социальной интеграции в</w:t>
      </w:r>
      <w:r w:rsidR="00354888">
        <w:t> </w:t>
      </w:r>
      <w:r>
        <w:t>случае предоставления такому лицу убежища и расширить и упростить ему доступ к рабочим местам или другим источникам средств к существованию. Кроме того, если проситель убежища не отвечает критериям для предоставл</w:t>
      </w:r>
      <w:r>
        <w:t>е</w:t>
      </w:r>
      <w:r>
        <w:t>ния убежища, смысл в обеспечении ему доступа к обычной работе и жилью с</w:t>
      </w:r>
      <w:r>
        <w:t>о</w:t>
      </w:r>
      <w:r>
        <w:t>стоит в том, что это облегчит процесс возвращения и упростит его реинтегр</w:t>
      </w:r>
      <w:r>
        <w:t>а</w:t>
      </w:r>
      <w:r>
        <w:t>цию на родине.</w:t>
      </w:r>
    </w:p>
    <w:p w:rsidR="00907DF0" w:rsidRDefault="00907DF0" w:rsidP="00907DF0">
      <w:pPr>
        <w:pStyle w:val="SingleTxtGR"/>
      </w:pPr>
      <w:r>
        <w:t>99.</w:t>
      </w:r>
      <w:r>
        <w:tab/>
        <w:t>Первое послабление, а именно предоставление просителям убежища во</w:t>
      </w:r>
      <w:r>
        <w:t>з</w:t>
      </w:r>
      <w:r>
        <w:t>можности проживания вне центров содержания, уже действует, хотя и в весьма ограниченных масштабах. С достижением политической договоренности во</w:t>
      </w:r>
      <w:r>
        <w:t>з</w:t>
      </w:r>
      <w:r>
        <w:t>можностью найти жилье в частном порядке сможет воспользоваться значител</w:t>
      </w:r>
      <w:r>
        <w:t>ь</w:t>
      </w:r>
      <w:r>
        <w:t>но более широкая группа лиц, ищущих убежище. В эту группу входят просит</w:t>
      </w:r>
      <w:r>
        <w:t>е</w:t>
      </w:r>
      <w:r>
        <w:t>ли убежища, которые в состоянии обеспечить себя (и свою семью), а также те лица, для которых проживание вне центров будет признано особенно полезн</w:t>
      </w:r>
      <w:r w:rsidR="006D3840">
        <w:t>ым. В состав этой</w:t>
      </w:r>
      <w:r>
        <w:t xml:space="preserve"> последней группы входят прежде всего семьи с детьми. Возмо</w:t>
      </w:r>
      <w:r>
        <w:t>ж</w:t>
      </w:r>
      <w:r>
        <w:t>ность проживания вне центра уже открыта для семей с детьми, чье ходатайство о предоставлении убежища было отклонено, но срок, в течение которого допу</w:t>
      </w:r>
      <w:r>
        <w:t>с</w:t>
      </w:r>
      <w:r>
        <w:t>кается размещение в частном жилье, был сокращен с 18 до 12</w:t>
      </w:r>
      <w:r w:rsidR="00354888">
        <w:t> </w:t>
      </w:r>
      <w:r>
        <w:t>месяцев с моме</w:t>
      </w:r>
      <w:r>
        <w:t>н</w:t>
      </w:r>
      <w:r>
        <w:t>та вынесения решения об отклонении поданного семьей ходатайства. Эта п</w:t>
      </w:r>
      <w:r>
        <w:t>о</w:t>
      </w:r>
      <w:r>
        <w:t>правка уже вступила в силу.</w:t>
      </w:r>
    </w:p>
    <w:p w:rsidR="00907DF0" w:rsidRDefault="00907DF0" w:rsidP="00907DF0">
      <w:pPr>
        <w:pStyle w:val="SingleTxtGR"/>
      </w:pPr>
      <w:r>
        <w:t>100.</w:t>
      </w:r>
      <w:r>
        <w:tab/>
        <w:t>Что касается других лиц, ищущих убежище, то возможность такого ра</w:t>
      </w:r>
      <w:r>
        <w:t>з</w:t>
      </w:r>
      <w:r>
        <w:t xml:space="preserve">мещения предоставляется им в случае нахождения в Дании в течение </w:t>
      </w:r>
      <w:r w:rsidR="00354888">
        <w:t>шести</w:t>
      </w:r>
      <w:r>
        <w:t xml:space="preserve"> месяцев, начиная с даты подачи ходатайства о предоставлении убежища в да</w:t>
      </w:r>
      <w:r>
        <w:t>т</w:t>
      </w:r>
      <w:r>
        <w:t>скую иммиграционную службу. Таким образом, это предложение позволяет зн</w:t>
      </w:r>
      <w:r>
        <w:t>а</w:t>
      </w:r>
      <w:r>
        <w:t>чительно расширить круг просителей убежища, которые могут рассчитывать на размещение вне центра для содержания лиц, ищущих убежище.</w:t>
      </w:r>
    </w:p>
    <w:p w:rsidR="00907DF0" w:rsidRDefault="00907DF0" w:rsidP="00907DF0">
      <w:pPr>
        <w:pStyle w:val="SingleTxtGR"/>
      </w:pPr>
      <w:r>
        <w:t>101.</w:t>
      </w:r>
      <w:r>
        <w:tab/>
        <w:t>Вторым важным послаблением из предусмотренных новыми правилами является предоставление просителям убежища возможности поиска обычной работы за пределами центра, в котором они прож</w:t>
      </w:r>
      <w:r>
        <w:t>и</w:t>
      </w:r>
      <w:r>
        <w:t>вают. Эта возможность также предоставляется просителю убежища по истечении шести месяцев преб</w:t>
      </w:r>
      <w:r>
        <w:t>ы</w:t>
      </w:r>
      <w:r>
        <w:t>вания в Дании, начиная с даты подачи ходатайства о предоставлении убежища в да</w:t>
      </w:r>
      <w:r>
        <w:t>т</w:t>
      </w:r>
      <w:r>
        <w:t>скую иммиграцио</w:t>
      </w:r>
      <w:r>
        <w:t>н</w:t>
      </w:r>
      <w:r>
        <w:t>ную службу.</w:t>
      </w:r>
    </w:p>
    <w:p w:rsidR="00907DF0" w:rsidRDefault="00907DF0" w:rsidP="00907DF0">
      <w:pPr>
        <w:pStyle w:val="SingleTxtGR"/>
      </w:pPr>
      <w:r>
        <w:t>102.</w:t>
      </w:r>
      <w:r>
        <w:tab/>
        <w:t>Достигнутая договоренность распространяется также на несопровожда</w:t>
      </w:r>
      <w:r>
        <w:t>е</w:t>
      </w:r>
      <w:r>
        <w:t>мых несовершеннолетних просителей убежища, которым будет предоставлена возможность размещения вне центра содержания и поиска обычной работы на период рассмотрения их ходатайства при условии нахождении в Дании на пр</w:t>
      </w:r>
      <w:r>
        <w:t>о</w:t>
      </w:r>
      <w:r>
        <w:t>тяжении шести месяцев, начиная с даты подачи ходатайства о предоставлении убежища. До выдачи таким лицам разрешения на работу и проживание будет производиться оценка того, достиг ли несове</w:t>
      </w:r>
      <w:r>
        <w:t>р</w:t>
      </w:r>
      <w:r>
        <w:t>шеннолетний проситель убежища уровня зрелости, необходимого для поступления на работу и самост</w:t>
      </w:r>
      <w:r>
        <w:t>о</w:t>
      </w:r>
      <w:r>
        <w:t>ятельной жизни.</w:t>
      </w:r>
    </w:p>
    <w:p w:rsidR="00907DF0" w:rsidRDefault="00907DF0" w:rsidP="00907DF0">
      <w:pPr>
        <w:pStyle w:val="SingleTxtGR"/>
      </w:pPr>
      <w:r>
        <w:t>103.</w:t>
      </w:r>
      <w:r>
        <w:tab/>
        <w:t>В качестве общего правила, чтобы получить возможность самостоятел</w:t>
      </w:r>
      <w:r>
        <w:t>ь</w:t>
      </w:r>
      <w:r>
        <w:t>ного проживания и поиска работы вне центра содержания просителей убежища, проситель убежища обязан представить всю соответствующую информацию, необходимую для принятия решения по его ходатайству о предоставлении уб</w:t>
      </w:r>
      <w:r>
        <w:t>е</w:t>
      </w:r>
      <w:r>
        <w:t>жища. На семьи с детьми это требование не распространяется.</w:t>
      </w:r>
    </w:p>
    <w:p w:rsidR="00907DF0" w:rsidRDefault="00907DF0" w:rsidP="00B730D8">
      <w:pPr>
        <w:pStyle w:val="H23GR"/>
      </w:pPr>
      <w:r>
        <w:tab/>
      </w:r>
      <w:r>
        <w:tab/>
        <w:t>Право просителей убежища на участие в общественной, профессиональной, образовател</w:t>
      </w:r>
      <w:r>
        <w:t>ь</w:t>
      </w:r>
      <w:r>
        <w:t>ной и культурной деятельности</w:t>
      </w:r>
    </w:p>
    <w:p w:rsidR="00907DF0" w:rsidRDefault="00907DF0" w:rsidP="00907DF0">
      <w:pPr>
        <w:pStyle w:val="SingleTxtGR"/>
      </w:pPr>
      <w:r>
        <w:t>104.</w:t>
      </w:r>
      <w:r>
        <w:tab/>
      </w:r>
      <w:r w:rsidR="00354888">
        <w:t>Просьба ознакомиться с пунктами </w:t>
      </w:r>
      <w:r>
        <w:t>93</w:t>
      </w:r>
      <w:r w:rsidR="00354888">
        <w:t>–</w:t>
      </w:r>
      <w:r>
        <w:t>97 девятнадцатого периодического доклада.</w:t>
      </w:r>
    </w:p>
    <w:p w:rsidR="00907DF0" w:rsidRDefault="00907DF0" w:rsidP="00907DF0">
      <w:pPr>
        <w:pStyle w:val="SingleTxtGR"/>
      </w:pPr>
      <w:r>
        <w:t>105.</w:t>
      </w:r>
      <w:r>
        <w:tab/>
        <w:t xml:space="preserve">В рамках политической договоренности, достигнутой во взаимодействии с </w:t>
      </w:r>
      <w:r w:rsidR="00CC0FD0">
        <w:t>двумя партиями – Единым списком–Красно-зеле</w:t>
      </w:r>
      <w:r>
        <w:t>ной коалицией и Либерал</w:t>
      </w:r>
      <w:r>
        <w:t>ь</w:t>
      </w:r>
      <w:r>
        <w:t xml:space="preserve">ным Альянсом, </w:t>
      </w:r>
      <w:r w:rsidR="00CC0FD0">
        <w:t>–</w:t>
      </w:r>
      <w:r>
        <w:t xml:space="preserve"> правительство предложило также ряд мер, обеспечивающих просителям убежища более широкий доступ к участию в образовательных м</w:t>
      </w:r>
      <w:r>
        <w:t>е</w:t>
      </w:r>
      <w:r>
        <w:t>роприятиях и профессиональной деятельности.</w:t>
      </w:r>
    </w:p>
    <w:p w:rsidR="00907DF0" w:rsidRDefault="00907DF0" w:rsidP="00907DF0">
      <w:pPr>
        <w:pStyle w:val="SingleTxtGR"/>
      </w:pPr>
      <w:r>
        <w:t>106.</w:t>
      </w:r>
      <w:r>
        <w:tab/>
        <w:t>Правительство намерено уделять более пристальное внимание обеспеч</w:t>
      </w:r>
      <w:r>
        <w:t>е</w:t>
      </w:r>
      <w:r>
        <w:t>нию молодежи/подросткам из числа просителей убежища доступа к образов</w:t>
      </w:r>
      <w:r>
        <w:t>а</w:t>
      </w:r>
      <w:r>
        <w:t>нию, профессиональной деятельности и общественной жизни посредством ув</w:t>
      </w:r>
      <w:r>
        <w:t>е</w:t>
      </w:r>
      <w:r>
        <w:t>личения объема финансирования по линии уже осуществляемых программ.</w:t>
      </w:r>
    </w:p>
    <w:p w:rsidR="00907DF0" w:rsidRDefault="00907DF0" w:rsidP="00907DF0">
      <w:pPr>
        <w:pStyle w:val="SingleTxtGR"/>
      </w:pPr>
      <w:r>
        <w:t>107.</w:t>
      </w:r>
      <w:r>
        <w:tab/>
        <w:t>Правительство добилось также организации занятий по датскому языку для просителей убежища, проживающих в центрах содержания, с тем чтобы обеспечить их ускоренную интеграцию в случае предоставления им убежища. Тем просителям убежища, которые занимаются по программе обучения мол</w:t>
      </w:r>
      <w:r>
        <w:t>о</w:t>
      </w:r>
      <w:r>
        <w:t>дежи, будет предоставлена возможность пройти платную стажировку. Увелич</w:t>
      </w:r>
      <w:r>
        <w:t>е</w:t>
      </w:r>
      <w:r>
        <w:t>но число внешних образовательных программ для взрослых, что расширяет для просителей убежища доступ к образов</w:t>
      </w:r>
      <w:r>
        <w:t>а</w:t>
      </w:r>
      <w:r>
        <w:t>тельным услугам.</w:t>
      </w:r>
    </w:p>
    <w:p w:rsidR="00907DF0" w:rsidRDefault="00907DF0" w:rsidP="00907DF0">
      <w:pPr>
        <w:pStyle w:val="SingleTxtGR"/>
      </w:pPr>
      <w:r>
        <w:t>108.</w:t>
      </w:r>
      <w:r>
        <w:tab/>
        <w:t>Как было упомянуто выше, законодательные нормы, отражающие эти п</w:t>
      </w:r>
      <w:r>
        <w:t>о</w:t>
      </w:r>
      <w:r>
        <w:t>слабления, вступили в силу 2</w:t>
      </w:r>
      <w:r w:rsidR="00354888">
        <w:t> </w:t>
      </w:r>
      <w:r>
        <w:t>мая 2013</w:t>
      </w:r>
      <w:r w:rsidR="00354888">
        <w:t> </w:t>
      </w:r>
      <w:r>
        <w:t>года.</w:t>
      </w:r>
    </w:p>
    <w:p w:rsidR="00907DF0" w:rsidRDefault="00907DF0" w:rsidP="00B730D8">
      <w:pPr>
        <w:pStyle w:val="H1GR"/>
      </w:pPr>
      <w:r>
        <w:tab/>
      </w:r>
      <w:r>
        <w:tab/>
        <w:t>Статья 5, пункт "d", "iii"</w:t>
      </w:r>
    </w:p>
    <w:p w:rsidR="00907DF0" w:rsidRDefault="00907DF0" w:rsidP="00B730D8">
      <w:pPr>
        <w:pStyle w:val="H1GR"/>
      </w:pPr>
      <w:r>
        <w:tab/>
      </w:r>
      <w:r>
        <w:tab/>
        <w:t>Право на гражданство</w:t>
      </w:r>
    </w:p>
    <w:p w:rsidR="00907DF0" w:rsidRDefault="00907DF0" w:rsidP="00B730D8">
      <w:pPr>
        <w:pStyle w:val="H23GR"/>
      </w:pPr>
      <w:r>
        <w:tab/>
      </w:r>
      <w:r>
        <w:tab/>
        <w:t>Комиссия по вопросам безгражданства</w:t>
      </w:r>
    </w:p>
    <w:p w:rsidR="00907DF0" w:rsidRDefault="00907DF0" w:rsidP="00907DF0">
      <w:pPr>
        <w:pStyle w:val="SingleTxtGR"/>
      </w:pPr>
      <w:r>
        <w:t>109.</w:t>
      </w:r>
      <w:r>
        <w:tab/>
        <w:t>В августе 2011</w:t>
      </w:r>
      <w:r w:rsidR="00354888">
        <w:t> </w:t>
      </w:r>
      <w:r>
        <w:t>года правительством была учреждена независимая коми</w:t>
      </w:r>
      <w:r>
        <w:t>с</w:t>
      </w:r>
      <w:r>
        <w:t>сия по разбирательству и прояснению вопросов, связанных с обработкой ход</w:t>
      </w:r>
      <w:r>
        <w:t>а</w:t>
      </w:r>
      <w:r>
        <w:t>тайств, поданных в прошлом лицами, на которых распространяются меры з</w:t>
      </w:r>
      <w:r>
        <w:t>а</w:t>
      </w:r>
      <w:r>
        <w:t>щиты в соответствии с Конвенцией Организации Объединенных Наций о с</w:t>
      </w:r>
      <w:r>
        <w:t>о</w:t>
      </w:r>
      <w:r>
        <w:t>кращении безгражданства и Конвенцией Организации Объединенных Наций о</w:t>
      </w:r>
      <w:r w:rsidR="00354888">
        <w:t> </w:t>
      </w:r>
      <w:r>
        <w:t>правах ребенка. Ожидается, что эта комиссия подготовит свои выводы к ко</w:t>
      </w:r>
      <w:r>
        <w:t>н</w:t>
      </w:r>
      <w:r>
        <w:t>цу 2014</w:t>
      </w:r>
      <w:r w:rsidR="00354888">
        <w:t> </w:t>
      </w:r>
      <w:r>
        <w:t>года.</w:t>
      </w:r>
    </w:p>
    <w:p w:rsidR="00907DF0" w:rsidRDefault="00907DF0" w:rsidP="00B730D8">
      <w:pPr>
        <w:pStyle w:val="H23GR"/>
      </w:pPr>
      <w:r>
        <w:tab/>
      </w:r>
      <w:r>
        <w:tab/>
        <w:t>Новая политическая договоренность</w:t>
      </w:r>
    </w:p>
    <w:p w:rsidR="00907DF0" w:rsidRDefault="00907DF0" w:rsidP="00907DF0">
      <w:pPr>
        <w:pStyle w:val="SingleTxtGR"/>
      </w:pPr>
      <w:r>
        <w:t>110.</w:t>
      </w:r>
      <w:r>
        <w:tab/>
        <w:t>В мае 2013</w:t>
      </w:r>
      <w:r w:rsidR="00354888">
        <w:t> </w:t>
      </w:r>
      <w:r>
        <w:t>года была достигнута новая политическая договоренность об условиях приобретения датского гражданства. Эти новые правила предполаг</w:t>
      </w:r>
      <w:r>
        <w:t>а</w:t>
      </w:r>
      <w:r>
        <w:t>ют введение принципа равноправия при приобретении датского гражданства детьми, рожденными в браке, и внебрачными детьми. Эта поправка была вн</w:t>
      </w:r>
      <w:r>
        <w:t>е</w:t>
      </w:r>
      <w:r>
        <w:t>сена в свете недавнего постановления Европейского суда по правам человека, касавшегося принятых Мальтой правил предоставления гражданства. Кроме т</w:t>
      </w:r>
      <w:r>
        <w:t>о</w:t>
      </w:r>
      <w:r>
        <w:t>го, в новых правилах смягчены предъявляемые к лицам, ходатайствующим о</w:t>
      </w:r>
      <w:r w:rsidR="00354888">
        <w:t> </w:t>
      </w:r>
      <w:r>
        <w:t>предоставлении датского гражданства, требования, касающиеся владения да</w:t>
      </w:r>
      <w:r>
        <w:t>т</w:t>
      </w:r>
      <w:r>
        <w:t>ским языком, а также продолжительности периода, в течение которого ходата</w:t>
      </w:r>
      <w:r>
        <w:t>й</w:t>
      </w:r>
      <w:r>
        <w:t>ствующие лица обяз</w:t>
      </w:r>
      <w:r>
        <w:t>а</w:t>
      </w:r>
      <w:r>
        <w:t>ны выйти на уровень самообеспечения.</w:t>
      </w:r>
    </w:p>
    <w:p w:rsidR="00907DF0" w:rsidRDefault="00907DF0" w:rsidP="00B730D8">
      <w:pPr>
        <w:pStyle w:val="H1GR"/>
      </w:pPr>
      <w:r>
        <w:tab/>
      </w:r>
      <w:r>
        <w:tab/>
        <w:t>Статья 5, пункт "d", "iv"</w:t>
      </w:r>
    </w:p>
    <w:p w:rsidR="00907DF0" w:rsidRDefault="00907DF0" w:rsidP="00B730D8">
      <w:pPr>
        <w:pStyle w:val="H1GR"/>
      </w:pPr>
      <w:r>
        <w:tab/>
      </w:r>
      <w:r>
        <w:tab/>
        <w:t>Право на вступление в брак и на выбор супруга</w:t>
      </w:r>
    </w:p>
    <w:p w:rsidR="00907DF0" w:rsidRDefault="00907DF0" w:rsidP="00B730D8">
      <w:pPr>
        <w:pStyle w:val="H23GR"/>
      </w:pPr>
      <w:r>
        <w:tab/>
      </w:r>
      <w:r>
        <w:tab/>
        <w:t>Пересмотренные правила, касающиеся воссоединения семей</w:t>
      </w:r>
    </w:p>
    <w:p w:rsidR="00907DF0" w:rsidRDefault="00907DF0" w:rsidP="00907DF0">
      <w:pPr>
        <w:pStyle w:val="SingleTxtGR"/>
      </w:pPr>
      <w:r>
        <w:t>111.</w:t>
      </w:r>
      <w:r>
        <w:tab/>
        <w:t>В связи с положениями девятнадцатого периодического доклада, а также озабоченностями и рекомендациями, изложенными в пунктах</w:t>
      </w:r>
      <w:r w:rsidR="00354888">
        <w:t> </w:t>
      </w:r>
      <w:r>
        <w:t>12 и 14 заключ</w:t>
      </w:r>
      <w:r>
        <w:t>и</w:t>
      </w:r>
      <w:r>
        <w:t>тельных замечаний Комитета, следует отметить, что 15</w:t>
      </w:r>
      <w:r w:rsidR="00354888">
        <w:t> </w:t>
      </w:r>
      <w:r>
        <w:t>мая 2012</w:t>
      </w:r>
      <w:r w:rsidR="00354888">
        <w:t> </w:t>
      </w:r>
      <w:r>
        <w:t>года были вв</w:t>
      </w:r>
      <w:r>
        <w:t>е</w:t>
      </w:r>
      <w:r>
        <w:t>дены новые правила, касающиеся семейного воссоединения с супругом или партнером. С введением этих новых правил была отменена 100-балльная си</w:t>
      </w:r>
      <w:r>
        <w:t>с</w:t>
      </w:r>
      <w:r>
        <w:t>тема выдачи вида на жительство. Кроме того, прежние правила, касавшиеся воссоединения семей, включали требование о том, чтобы связи супругов с Д</w:t>
      </w:r>
      <w:r>
        <w:t>а</w:t>
      </w:r>
      <w:r>
        <w:t>нией были в целом сильнее, чем их связи с любой другой страной, за исключ</w:t>
      </w:r>
      <w:r>
        <w:t>е</w:t>
      </w:r>
      <w:r>
        <w:t>нием случаев, когда супруг, проживающий в Дании, являлся гражданином Д</w:t>
      </w:r>
      <w:r>
        <w:t>а</w:t>
      </w:r>
      <w:r>
        <w:t>нии или проживал в Дании не менее 28</w:t>
      </w:r>
      <w:r w:rsidR="00354888">
        <w:t> </w:t>
      </w:r>
      <w:r>
        <w:t>лет. Согласно новым правилам это тр</w:t>
      </w:r>
      <w:r>
        <w:t>е</w:t>
      </w:r>
      <w:r>
        <w:t>бование не применяется, если супруг или партнер, проживающий в Дании, с</w:t>
      </w:r>
      <w:r>
        <w:t>о</w:t>
      </w:r>
      <w:r>
        <w:t>стоял гражданином Дании более 26</w:t>
      </w:r>
      <w:r w:rsidR="00354888">
        <w:t> </w:t>
      </w:r>
      <w:r>
        <w:t>лет. Такое же правило действует и в том случае, если супруг или партнер из Дании въехал в Данию малым ребенком или родился и вырос в Дании и на законных основаниях проживал в ней более 26</w:t>
      </w:r>
      <w:r w:rsidR="00CC0FD0">
        <w:t> </w:t>
      </w:r>
      <w:r>
        <w:t>лет.</w:t>
      </w:r>
    </w:p>
    <w:p w:rsidR="00907DF0" w:rsidRDefault="00907DF0" w:rsidP="00B730D8">
      <w:pPr>
        <w:pStyle w:val="H23GR"/>
      </w:pPr>
      <w:r>
        <w:tab/>
      </w:r>
      <w:r>
        <w:tab/>
        <w:t>Воссоединение семей применительно к детям, не достигшим 15-летнего возраста</w:t>
      </w:r>
    </w:p>
    <w:p w:rsidR="00907DF0" w:rsidRDefault="00907DF0" w:rsidP="00907DF0">
      <w:pPr>
        <w:pStyle w:val="SingleTxtGR"/>
      </w:pPr>
      <w:r>
        <w:t>112.</w:t>
      </w:r>
      <w:r>
        <w:tab/>
        <w:t>20</w:t>
      </w:r>
      <w:r w:rsidR="00354888">
        <w:t> </w:t>
      </w:r>
      <w:r>
        <w:t>июня 2012</w:t>
      </w:r>
      <w:r w:rsidR="00354888">
        <w:t> </w:t>
      </w:r>
      <w:r>
        <w:t>года вступили в силу новые правила, касающиеся восс</w:t>
      </w:r>
      <w:r>
        <w:t>о</w:t>
      </w:r>
      <w:r>
        <w:t>единения семей применительно к детям, не достигшим 15-летнего возраста. Прежде действовало требование о том, чтобы ребенок считался потенциально способным к успешной интеграции. Это условие касалось всех детей, не до</w:t>
      </w:r>
      <w:r>
        <w:t>с</w:t>
      </w:r>
      <w:r>
        <w:t xml:space="preserve">тигших 15-летнего возраста. По новым правилам это условие применяется лишь к детям старше </w:t>
      </w:r>
      <w:r w:rsidR="0067663A">
        <w:t xml:space="preserve">восьми </w:t>
      </w:r>
      <w:r>
        <w:t>лет.</w:t>
      </w:r>
    </w:p>
    <w:p w:rsidR="00907DF0" w:rsidRDefault="00907DF0" w:rsidP="00B730D8">
      <w:pPr>
        <w:pStyle w:val="H1GR"/>
      </w:pPr>
      <w:r>
        <w:tab/>
      </w:r>
      <w:r>
        <w:tab/>
        <w:t>Статья 5, пункт "d", "vii"</w:t>
      </w:r>
    </w:p>
    <w:p w:rsidR="00907DF0" w:rsidRDefault="00907DF0" w:rsidP="00B730D8">
      <w:pPr>
        <w:pStyle w:val="H1GR"/>
      </w:pPr>
      <w:r>
        <w:tab/>
      </w:r>
      <w:r>
        <w:tab/>
        <w:t>Право на свободу мысли, совести и религии</w:t>
      </w:r>
    </w:p>
    <w:p w:rsidR="00907DF0" w:rsidRDefault="00907DF0" w:rsidP="00B730D8">
      <w:pPr>
        <w:pStyle w:val="H23GR"/>
      </w:pPr>
      <w:r>
        <w:tab/>
      </w:r>
      <w:r>
        <w:tab/>
        <w:t>Новый порядок регистрации новорожденных</w:t>
      </w:r>
    </w:p>
    <w:p w:rsidR="00907DF0" w:rsidRDefault="00907DF0" w:rsidP="00907DF0">
      <w:pPr>
        <w:pStyle w:val="SingleTxtGR"/>
      </w:pPr>
      <w:r>
        <w:t>113.</w:t>
      </w:r>
      <w:r>
        <w:tab/>
        <w:t>В 2010</w:t>
      </w:r>
      <w:r w:rsidR="00354888">
        <w:t> </w:t>
      </w:r>
      <w:r>
        <w:t>году вступил в силу новый закон, которым была отменена обяза</w:t>
      </w:r>
      <w:r>
        <w:t>н</w:t>
      </w:r>
      <w:r>
        <w:t>ность родителей ставить церковные регистрационные органы в известность о</w:t>
      </w:r>
      <w:r w:rsidR="00354888">
        <w:t> </w:t>
      </w:r>
      <w:r>
        <w:t>рождении ребенка. Соответственно, эта обязанность возложена теперь на акушерку, которая обеспечивает родовспоможение. Акушерка информирует церковный регистрационный орган, который в силу исторической традиции подведомствен Народной церкви.</w:t>
      </w:r>
    </w:p>
    <w:p w:rsidR="00907DF0" w:rsidRDefault="00907DF0" w:rsidP="00907DF0">
      <w:pPr>
        <w:pStyle w:val="SingleTxtGR"/>
      </w:pPr>
      <w:r>
        <w:t>114.</w:t>
      </w:r>
      <w:r>
        <w:tab/>
        <w:t>Родители не вступают в контакт с Евангелическо-лютеранской церковью Дании и не привлекаются к участию в каких-либо религиозных обрядах. В св</w:t>
      </w:r>
      <w:r>
        <w:t>я</w:t>
      </w:r>
      <w:r>
        <w:t>зи с регистрацией новорожденного никто не обязан представлять какой-либо информации о вероисповедании родителей ребенка. Свидетельства о рожд</w:t>
      </w:r>
      <w:r>
        <w:t>е</w:t>
      </w:r>
      <w:r>
        <w:t>нии, выдаваемые лицам, не являющимся приверженцами Народной церкви, офор</w:t>
      </w:r>
      <w:r>
        <w:t>м</w:t>
      </w:r>
      <w:r>
        <w:t>лены нейтрально и не содержат каких-либо ссылок на Народную церковь.</w:t>
      </w:r>
    </w:p>
    <w:p w:rsidR="00907DF0" w:rsidRDefault="00907DF0" w:rsidP="00907DF0">
      <w:pPr>
        <w:pStyle w:val="SingleTxtGR"/>
      </w:pPr>
      <w:r>
        <w:t>115.</w:t>
      </w:r>
      <w:r>
        <w:tab/>
        <w:t>Наречение имени в Дании производится отдельно от процедуры регис</w:t>
      </w:r>
      <w:r>
        <w:t>т</w:t>
      </w:r>
      <w:r>
        <w:t>рации новорожденного. Наречение может производиться признанными религ</w:t>
      </w:r>
      <w:r>
        <w:t>и</w:t>
      </w:r>
      <w:r>
        <w:t>озными организациями через крещение в Народной церкви либо путем извещ</w:t>
      </w:r>
      <w:r>
        <w:t>е</w:t>
      </w:r>
      <w:r>
        <w:t>ния религиозного регистрационного органа по Интернету или по почте. Свид</w:t>
      </w:r>
      <w:r>
        <w:t>е</w:t>
      </w:r>
      <w:r>
        <w:t>тельство о рождении может быть также выдано органом или признанной рел</w:t>
      </w:r>
      <w:r>
        <w:t>и</w:t>
      </w:r>
      <w:r>
        <w:t>гиозной организац</w:t>
      </w:r>
      <w:r>
        <w:t>и</w:t>
      </w:r>
      <w:r>
        <w:t>ей, которая производит наречение.</w:t>
      </w:r>
    </w:p>
    <w:p w:rsidR="00907DF0" w:rsidRDefault="00907DF0" w:rsidP="00B730D8">
      <w:pPr>
        <w:pStyle w:val="H1GR"/>
      </w:pPr>
      <w:r>
        <w:tab/>
      </w:r>
      <w:r>
        <w:tab/>
        <w:t>Статья 5, пункт "e", "i"</w:t>
      </w:r>
    </w:p>
    <w:p w:rsidR="00907DF0" w:rsidRDefault="00907DF0" w:rsidP="00B730D8">
      <w:pPr>
        <w:pStyle w:val="H1GR"/>
      </w:pPr>
      <w:r>
        <w:tab/>
      </w:r>
      <w:r>
        <w:tab/>
        <w:t>Право на труд, свободный выбор работы, справедливые и</w:t>
      </w:r>
      <w:r w:rsidR="00CC0FD0">
        <w:t> </w:t>
      </w:r>
      <w:r>
        <w:t>благоприятные условия труда, защиту от безработицы, равную плату за равный труд, справедливое и</w:t>
      </w:r>
      <w:r w:rsidR="00CC0FD0">
        <w:t> </w:t>
      </w:r>
      <w:r>
        <w:t>удовлетворительное вознагра</w:t>
      </w:r>
      <w:r>
        <w:t>ж</w:t>
      </w:r>
      <w:r>
        <w:t>дение</w:t>
      </w:r>
    </w:p>
    <w:p w:rsidR="00907DF0" w:rsidRDefault="00907DF0" w:rsidP="00907DF0">
      <w:pPr>
        <w:pStyle w:val="SingleTxtGR"/>
      </w:pPr>
      <w:r>
        <w:t>116.</w:t>
      </w:r>
      <w:r>
        <w:tab/>
        <w:t>Прос</w:t>
      </w:r>
      <w:r w:rsidR="00CC0FD0">
        <w:t>ьба ознакомиться с пунктами</w:t>
      </w:r>
      <w:r w:rsidR="00354888">
        <w:t> </w:t>
      </w:r>
      <w:r w:rsidR="00CC0FD0">
        <w:t>111–</w:t>
      </w:r>
      <w:r>
        <w:t>112 девятнадцатого периодическ</w:t>
      </w:r>
      <w:r>
        <w:t>о</w:t>
      </w:r>
      <w:r>
        <w:t>го доклада. С момента последнего представления сведений по пунктам статье</w:t>
      </w:r>
      <w:r w:rsidR="00354888">
        <w:t> </w:t>
      </w:r>
      <w:r>
        <w:t>5, пункт</w:t>
      </w:r>
      <w:r w:rsidR="00354888">
        <w:t> </w:t>
      </w:r>
      <w:r>
        <w:t>"e", подпункты</w:t>
      </w:r>
      <w:r w:rsidR="00354888">
        <w:t> </w:t>
      </w:r>
      <w:r>
        <w:t>"i" и "ii", никаких изменений в закон о запрещении ди</w:t>
      </w:r>
      <w:r>
        <w:t>с</w:t>
      </w:r>
      <w:r>
        <w:t>криминации на рынке труда, который запрещает дискриминацию по признаку расы или этнического происхождения в отношениях между нанимателем и р</w:t>
      </w:r>
      <w:r>
        <w:t>а</w:t>
      </w:r>
      <w:r>
        <w:t>ботником, внес</w:t>
      </w:r>
      <w:r>
        <w:t>е</w:t>
      </w:r>
      <w:r>
        <w:t>но не было.</w:t>
      </w:r>
    </w:p>
    <w:p w:rsidR="00907DF0" w:rsidRDefault="00907DF0" w:rsidP="00907DF0">
      <w:pPr>
        <w:pStyle w:val="SingleTxtGR"/>
      </w:pPr>
      <w:r>
        <w:t>117.</w:t>
      </w:r>
      <w:r>
        <w:tab/>
        <w:t>Министерство по делам занятости отслеживает изменение правовой практики судов страны по делам, касающимся запрета на неравное обращение в</w:t>
      </w:r>
      <w:r w:rsidR="00354888">
        <w:t> </w:t>
      </w:r>
      <w:r>
        <w:t>отношениях между нанимателем и работником. Официальные статистические данные о количестве рассматриваемых судами дел о дискриминации при найме отсутствуют, но решения судов обнародуются и размещаются в различных б</w:t>
      </w:r>
      <w:r>
        <w:t>а</w:t>
      </w:r>
      <w:r>
        <w:t>зах данных.</w:t>
      </w:r>
    </w:p>
    <w:p w:rsidR="00907DF0" w:rsidRDefault="00907DF0" w:rsidP="00907DF0">
      <w:pPr>
        <w:pStyle w:val="SingleTxtGR"/>
      </w:pPr>
      <w:r>
        <w:t>118.</w:t>
      </w:r>
      <w:r>
        <w:tab/>
        <w:t>Правительство не упускает из виду важности распространения информ</w:t>
      </w:r>
      <w:r>
        <w:t>а</w:t>
      </w:r>
      <w:r>
        <w:t>ции о передовом опыте в сфере вывода этнических меньшинств на рынок труда и вписывания передового опыта в государственную политику. В 2013</w:t>
      </w:r>
      <w:r w:rsidR="00354888">
        <w:t> </w:t>
      </w:r>
      <w:r>
        <w:t>году со</w:t>
      </w:r>
      <w:r>
        <w:t>з</w:t>
      </w:r>
      <w:r>
        <w:t>данная в стране целевая группа независимых исследователей и специал</w:t>
      </w:r>
      <w:r>
        <w:t>и</w:t>
      </w:r>
      <w:r>
        <w:t>стов-практиков займется выявлением примеров передового опыта, накопленного на местах, который будет использован для дальнейшей разработки политики.</w:t>
      </w:r>
    </w:p>
    <w:p w:rsidR="00907DF0" w:rsidRDefault="00907DF0" w:rsidP="00907DF0">
      <w:pPr>
        <w:pStyle w:val="SingleTxtGR"/>
      </w:pPr>
      <w:r>
        <w:t>119.</w:t>
      </w:r>
      <w:r>
        <w:tab/>
        <w:t>Правительство постоянно акцентирует задачу недопущения дискримин</w:t>
      </w:r>
      <w:r>
        <w:t>а</w:t>
      </w:r>
      <w:r>
        <w:t>ции и обеспечения права на труд, свободный выбор профессии, справедливых и</w:t>
      </w:r>
      <w:r w:rsidR="00354888">
        <w:t> </w:t>
      </w:r>
      <w:r>
        <w:t>благоприятных условий труда, защиты от безработицы, равной платы за ра</w:t>
      </w:r>
      <w:r>
        <w:t>в</w:t>
      </w:r>
      <w:r>
        <w:t>ный труд, а также справедливого и достойного вознаграждения. Когда имм</w:t>
      </w:r>
      <w:r>
        <w:t>и</w:t>
      </w:r>
      <w:r>
        <w:t>гранты селятся или размещаются в том или ином муниципальном образовании в Дании, все они принимают участие в трехлетней вводно-ознакомительной программе в зависимости от типа вида на ж</w:t>
      </w:r>
      <w:r>
        <w:t>и</w:t>
      </w:r>
      <w:r>
        <w:t>тельство, который им выдан.</w:t>
      </w:r>
    </w:p>
    <w:p w:rsidR="00907DF0" w:rsidRDefault="00907DF0" w:rsidP="00907DF0">
      <w:pPr>
        <w:pStyle w:val="SingleTxtGR"/>
      </w:pPr>
      <w:r>
        <w:t>120.</w:t>
      </w:r>
      <w:r>
        <w:tab/>
        <w:t>Правительство преследует цель увеличить к 2020</w:t>
      </w:r>
      <w:r w:rsidR="00354888">
        <w:t> </w:t>
      </w:r>
      <w:r>
        <w:t>году число работающих лиц недатской наци</w:t>
      </w:r>
      <w:r>
        <w:t>о</w:t>
      </w:r>
      <w:r>
        <w:t>нальности на 10</w:t>
      </w:r>
      <w:r w:rsidR="00354888">
        <w:t> </w:t>
      </w:r>
      <w:r>
        <w:t>000. Это нелегкая задача, которая требует принятия множества мер. Ее решению будет способствовать проведение шир</w:t>
      </w:r>
      <w:r>
        <w:t>о</w:t>
      </w:r>
      <w:r>
        <w:t>ких реформ в сфере профессиональной подготовки/образования и труда. С с</w:t>
      </w:r>
      <w:r>
        <w:t>е</w:t>
      </w:r>
      <w:r>
        <w:t>редины 1990</w:t>
      </w:r>
      <w:r w:rsidR="00354888">
        <w:noBreakHyphen/>
        <w:t>х </w:t>
      </w:r>
      <w:r>
        <w:t>годов и до начала финансового кризиса в 2008</w:t>
      </w:r>
      <w:r w:rsidR="00354888">
        <w:t> </w:t>
      </w:r>
      <w:r>
        <w:t>году разница в</w:t>
      </w:r>
      <w:r w:rsidR="00354888">
        <w:t> </w:t>
      </w:r>
      <w:r>
        <w:t>уровне безработицы по иммигрантам из незападных стран и их потомкам н</w:t>
      </w:r>
      <w:r>
        <w:t>е</w:t>
      </w:r>
      <w:r>
        <w:t>уклонно сокращалась. Финансовый кризис остро затронул и иммигрантов: п</w:t>
      </w:r>
      <w:r>
        <w:t>о</w:t>
      </w:r>
      <w:r>
        <w:t>казатели занятости по всем иммигрантам, являющимся выходцами из разв</w:t>
      </w:r>
      <w:r>
        <w:t>и</w:t>
      </w:r>
      <w:r>
        <w:t>вающихся стран, несколько снизились по сравнению с наивысшим уровнем, д</w:t>
      </w:r>
      <w:r>
        <w:t>о</w:t>
      </w:r>
      <w:r>
        <w:t>стигнутым в 2008</w:t>
      </w:r>
      <w:r w:rsidR="00354888">
        <w:t> </w:t>
      </w:r>
      <w:r>
        <w:t xml:space="preserve">году, когда трудоустроены были </w:t>
      </w:r>
      <w:r w:rsidR="00354888">
        <w:t>шесть</w:t>
      </w:r>
      <w:r>
        <w:t xml:space="preserve"> из 10</w:t>
      </w:r>
      <w:r w:rsidR="00354888">
        <w:t> </w:t>
      </w:r>
      <w:r>
        <w:t>человек. В</w:t>
      </w:r>
      <w:r w:rsidR="00354888">
        <w:t> </w:t>
      </w:r>
      <w:r>
        <w:t>настоящий момент уровень занятости среди иммигрантов из незападных стран и их потомков не достигает 50</w:t>
      </w:r>
      <w:r w:rsidR="00354888">
        <w:t>%</w:t>
      </w:r>
      <w:r>
        <w:t>, тогда как среди датчан он превышает 70</w:t>
      </w:r>
      <w:r w:rsidR="00354888">
        <w:t>%</w:t>
      </w:r>
      <w:r>
        <w:t>. К середине 2012</w:t>
      </w:r>
      <w:r w:rsidR="00354888">
        <w:t> </w:t>
      </w:r>
      <w:r>
        <w:t>года безработица среди иммигрантов из незападных стран и их потомков находилась на уровне 15,3</w:t>
      </w:r>
      <w:r w:rsidR="00CF6CDE">
        <w:t>%</w:t>
      </w:r>
      <w:r>
        <w:t>, тогда как среди датчан – на уровне 5,5</w:t>
      </w:r>
      <w:r w:rsidR="00CF6CDE">
        <w:t>%</w:t>
      </w:r>
      <w:r>
        <w:t>.</w:t>
      </w:r>
    </w:p>
    <w:p w:rsidR="00907DF0" w:rsidRDefault="00907DF0" w:rsidP="00907DF0">
      <w:pPr>
        <w:pStyle w:val="SingleTxtGR"/>
      </w:pPr>
      <w:r>
        <w:t>121.</w:t>
      </w:r>
      <w:r>
        <w:tab/>
        <w:t>Более низкий уровень занятости среди иммигрантов из незападных стран и их потомков соотносится с их числом среди получателей государственных пособий, таких, как страховые выплаты по безработице, выплаты по линии пр</w:t>
      </w:r>
      <w:r>
        <w:t>о</w:t>
      </w:r>
      <w:r>
        <w:t>грамм материальной помощи и выплаты в связи с досрочным выходом на пе</w:t>
      </w:r>
      <w:r>
        <w:t>н</w:t>
      </w:r>
      <w:r>
        <w:t>сию. Общее число лиц незападного происхождения, получающих государстве</w:t>
      </w:r>
      <w:r>
        <w:t>н</w:t>
      </w:r>
      <w:r>
        <w:t>ные пособия, увеличилось примерно с 67</w:t>
      </w:r>
      <w:r w:rsidR="00CF6CDE">
        <w:t> 000 </w:t>
      </w:r>
      <w:r>
        <w:t>в июле 2008</w:t>
      </w:r>
      <w:r w:rsidR="0067663A">
        <w:t> </w:t>
      </w:r>
      <w:r>
        <w:t>года до 87</w:t>
      </w:r>
      <w:r w:rsidR="00CF6CDE">
        <w:t> 000 </w:t>
      </w:r>
      <w:r>
        <w:t>в ко</w:t>
      </w:r>
      <w:r>
        <w:t>н</w:t>
      </w:r>
      <w:r>
        <w:t>це 2012</w:t>
      </w:r>
      <w:r w:rsidR="0067663A">
        <w:t> </w:t>
      </w:r>
      <w:r>
        <w:t>года. Довольно большая группа граждан, особенно женщины из нез</w:t>
      </w:r>
      <w:r>
        <w:t>а</w:t>
      </w:r>
      <w:r>
        <w:t>падных стран, не получающие дохода, находятся в материальной зависимости от своей семьи и родственников. Некоторые граждане, принадлежащие к этой группе, проживают в сегрегированных общинах, лишены доступа на рынок труда и потому находятся под угрозой изоляции от общества.</w:t>
      </w:r>
    </w:p>
    <w:p w:rsidR="00907DF0" w:rsidRDefault="00907DF0" w:rsidP="00907DF0">
      <w:pPr>
        <w:pStyle w:val="SingleTxtGR"/>
      </w:pPr>
      <w:r>
        <w:t>122.</w:t>
      </w:r>
      <w:r>
        <w:tab/>
        <w:t>Более низкий уровень занятости среди иммигрантов из незападных стран и их потомков объясняется, возможно, такими повсеместно наблюдаемыми я</w:t>
      </w:r>
      <w:r>
        <w:t>в</w:t>
      </w:r>
      <w:r>
        <w:t>лениями, как слабое владение датским языком, недостаточный уровень фо</w:t>
      </w:r>
      <w:r>
        <w:t>р</w:t>
      </w:r>
      <w:r>
        <w:t>мального образования, ограниченные профессионально-технические навыки, а</w:t>
      </w:r>
      <w:r w:rsidR="00354888">
        <w:t> </w:t>
      </w:r>
      <w:r>
        <w:t>также скудный опыт трудовой деятельности и узость личных контактов. Зн</w:t>
      </w:r>
      <w:r>
        <w:t>а</w:t>
      </w:r>
      <w:r>
        <w:t>чительная часть иммигрантов из незападных стран либо вообще не имеет пр</w:t>
      </w:r>
      <w:r>
        <w:t>о</w:t>
      </w:r>
      <w:r>
        <w:t>фессиональной подготовки/образования, либо полученный ими на родине ур</w:t>
      </w:r>
      <w:r>
        <w:t>о</w:t>
      </w:r>
      <w:r>
        <w:t>вень такой подготовки/образования крайне низок. Кроме того, повышенный уровень безработицы среди иммигрантов из незападных стран и их потомков, может быть в какой-то мере обусловлен их незнанием датского общества, си</w:t>
      </w:r>
      <w:r>
        <w:t>с</w:t>
      </w:r>
      <w:r>
        <w:t>темы образования и рынка труда. Данные самого недавнего анализа осущест</w:t>
      </w:r>
      <w:r>
        <w:t>в</w:t>
      </w:r>
      <w:r>
        <w:t>ляемых интеграционных программ для вновь прибывших иммигрантов – пол</w:t>
      </w:r>
      <w:r>
        <w:t>у</w:t>
      </w:r>
      <w:r w:rsidR="006D3840">
        <w:t>чателей материальной помощи по-</w:t>
      </w:r>
      <w:r>
        <w:t>прежнему свидетельствуют о том, что заве</w:t>
      </w:r>
      <w:r>
        <w:t>р</w:t>
      </w:r>
      <w:r>
        <w:t xml:space="preserve">шают интеграционную программу по истечении </w:t>
      </w:r>
      <w:r w:rsidR="00354888">
        <w:t>трех</w:t>
      </w:r>
      <w:r>
        <w:t xml:space="preserve"> лет и обеспечивают себя за счет оплачиваемого труда почти 54</w:t>
      </w:r>
      <w:r w:rsidR="00CF6CDE">
        <w:t>%</w:t>
      </w:r>
      <w:r>
        <w:t xml:space="preserve"> недавно прибывших иммигрантов (2010</w:t>
      </w:r>
      <w:r w:rsidR="00354888">
        <w:t> </w:t>
      </w:r>
      <w:r>
        <w:t>год). Такое положение может также складываться и под воздействием дискриминации по этническому признаку на рынке труда. Данные недавнего опроса (проведен в 2012</w:t>
      </w:r>
      <w:r w:rsidR="00354888">
        <w:t> </w:t>
      </w:r>
      <w:r>
        <w:t>году институтом CEM) свидетельствуют о том, что за период с 2006 по 2011</w:t>
      </w:r>
      <w:r w:rsidR="00354888">
        <w:t> </w:t>
      </w:r>
      <w:r>
        <w:t>год показатели воспринимаемой дискриминации среди иммигрантов возросли. Наиболее заметно возросли показатели воспринима</w:t>
      </w:r>
      <w:r>
        <w:t>е</w:t>
      </w:r>
      <w:r>
        <w:t>мой дискр</w:t>
      </w:r>
      <w:r>
        <w:t>и</w:t>
      </w:r>
      <w:r>
        <w:t>минации на рабочем месте со стороны коллег и клиентов, тогда как показатели воспринимаемой дискриминации в контексте поиска работы ост</w:t>
      </w:r>
      <w:r>
        <w:t>а</w:t>
      </w:r>
      <w:r>
        <w:t>лись почти неизменными. Согласно другому исследованию (Соотношение уровня квалиф</w:t>
      </w:r>
      <w:r>
        <w:t>и</w:t>
      </w:r>
      <w:r>
        <w:t>кации в стране происхождения и стране переезда и воздействие этого фактора на показатель занятости. Рабочий документ AKF, февраль 2012</w:t>
      </w:r>
      <w:r w:rsidR="00354888">
        <w:t> </w:t>
      </w:r>
      <w:r w:rsidR="00913D34">
        <w:t>года)</w:t>
      </w:r>
      <w:r>
        <w:t xml:space="preserve"> иммигранты с высоким образовательным уровнем испытывают трудности с нахождением работы, соответствующей уровню профессиональной подготовки/образования, полученных ими в стране происхожд</w:t>
      </w:r>
      <w:r>
        <w:t>е</w:t>
      </w:r>
      <w:r>
        <w:t>ния.</w:t>
      </w:r>
    </w:p>
    <w:p w:rsidR="00907DF0" w:rsidRDefault="00907DF0" w:rsidP="00907DF0">
      <w:pPr>
        <w:pStyle w:val="SingleTxtGR"/>
      </w:pPr>
      <w:r>
        <w:t>123.</w:t>
      </w:r>
      <w:r>
        <w:tab/>
        <w:t>Другие же исследования (проводились фондом "Роквул" и Конфедерацией датской промышленности) говорят о том, что иммигранты и их потомки, кот</w:t>
      </w:r>
      <w:r>
        <w:t>о</w:t>
      </w:r>
      <w:r>
        <w:t>рые оканчивают учебные заведения в Дании, з</w:t>
      </w:r>
      <w:r>
        <w:t>а</w:t>
      </w:r>
      <w:r>
        <w:t>рабатывают столько же, сколько и этнические датчане. В докладе</w:t>
      </w:r>
      <w:r w:rsidR="00354888">
        <w:t> </w:t>
      </w:r>
      <w:r>
        <w:t>№</w:t>
      </w:r>
      <w:r w:rsidR="00354888">
        <w:t> </w:t>
      </w:r>
      <w:r>
        <w:t>5632 Института по изучению пр</w:t>
      </w:r>
      <w:r>
        <w:t>о</w:t>
      </w:r>
      <w:r>
        <w:t>блем труда "Воздействие активных стратегий управления рынком труда на иммигрантов, получающих социальную помощь в Дании" (2011</w:t>
      </w:r>
      <w:r w:rsidR="00354888">
        <w:t> </w:t>
      </w:r>
      <w:r>
        <w:t>год) сделан вывод о позити</w:t>
      </w:r>
      <w:r>
        <w:t>в</w:t>
      </w:r>
      <w:r>
        <w:t>ных результатах, достигаемых по завершении большинства инициатив по управлению рынком труда и даже во время их осуществления. Наиболее ощ</w:t>
      </w:r>
      <w:r>
        <w:t>у</w:t>
      </w:r>
      <w:r>
        <w:t>тимыми являются последствия реализации программ выплаты субсидий в связи с трудоустройством, но значимые, весомые результаты дают и программы пр</w:t>
      </w:r>
      <w:r>
        <w:t>я</w:t>
      </w:r>
      <w:r>
        <w:t>мого стимулирования занятости, равно как и прочие программы.</w:t>
      </w:r>
    </w:p>
    <w:p w:rsidR="00907DF0" w:rsidRDefault="00907DF0" w:rsidP="00907DF0">
      <w:pPr>
        <w:pStyle w:val="SingleTxtGR"/>
      </w:pPr>
      <w:r>
        <w:t>124.</w:t>
      </w:r>
      <w:r>
        <w:tab/>
        <w:t>В настоящее время правительство проводит углубленный пересмотр п</w:t>
      </w:r>
      <w:r>
        <w:t>о</w:t>
      </w:r>
      <w:r>
        <w:t>литики в отношении рынка труда, имея в виду сократить число лиц, получа</w:t>
      </w:r>
      <w:r>
        <w:t>ю</w:t>
      </w:r>
      <w:r>
        <w:t>щих государственные пособия, за счет расширения возможностей для трудоус</w:t>
      </w:r>
      <w:r>
        <w:t>т</w:t>
      </w:r>
      <w:r>
        <w:t>ройства. Датское правительство делает общий акцент на наращивании скоорд</w:t>
      </w:r>
      <w:r>
        <w:t>и</w:t>
      </w:r>
      <w:r>
        <w:t>нированных межсекторальных усилий на местном уровне, ориентирова</w:t>
      </w:r>
      <w:r>
        <w:t>н</w:t>
      </w:r>
      <w:r>
        <w:t>ных на безработных, в стремлении расширить трудовые ресурсы, сократить число лиц, на постоянной основе получающих денежные пособия, например выплаты в связи с досрочным выходом на пенсию, и закрепить за всеми, и особенно за т</w:t>
      </w:r>
      <w:r>
        <w:t>е</w:t>
      </w:r>
      <w:r>
        <w:t>ми, кто не имеет работы, право на получение денежных выплат, позволяющих им по</w:t>
      </w:r>
      <w:r>
        <w:t>д</w:t>
      </w:r>
      <w:r>
        <w:t>держивать минимальный жизненный уровень.</w:t>
      </w:r>
    </w:p>
    <w:p w:rsidR="00907DF0" w:rsidRDefault="00907DF0" w:rsidP="00907DF0">
      <w:pPr>
        <w:pStyle w:val="SingleTxtGR"/>
      </w:pPr>
      <w:r>
        <w:t>125.</w:t>
      </w:r>
      <w:r>
        <w:tab/>
        <w:t>В декабре 2011 года минимальное материальное вспомоществование вновь прибывшим иммигрантам и другим лицам, которые проживали за пред</w:t>
      </w:r>
      <w:r>
        <w:t>е</w:t>
      </w:r>
      <w:r>
        <w:t>лами Дании в течени</w:t>
      </w:r>
      <w:r w:rsidR="006D3840">
        <w:t>е определенного периода времени</w:t>
      </w:r>
      <w:r>
        <w:t xml:space="preserve"> (известно в качестве "пособия на обустройство" и "стартовое пособие")</w:t>
      </w:r>
      <w:r w:rsidR="006D3840">
        <w:t>,</w:t>
      </w:r>
      <w:r>
        <w:t xml:space="preserve"> было упразднено и замен</w:t>
      </w:r>
      <w:r>
        <w:t>е</w:t>
      </w:r>
      <w:r>
        <w:t>но материальным пособием по обычной ставке, предназначенным для всех бе</w:t>
      </w:r>
      <w:r>
        <w:t>з</w:t>
      </w:r>
      <w:r>
        <w:t>работных, не охв</w:t>
      </w:r>
      <w:r>
        <w:t>а</w:t>
      </w:r>
      <w:r>
        <w:t>ченных системой страхования от безработицы.</w:t>
      </w:r>
    </w:p>
    <w:p w:rsidR="00907DF0" w:rsidRDefault="00907DF0" w:rsidP="00907DF0">
      <w:pPr>
        <w:pStyle w:val="SingleTxtGR"/>
      </w:pPr>
      <w:r>
        <w:t>126.</w:t>
      </w:r>
      <w:r>
        <w:tab/>
        <w:t>В июне 2012</w:t>
      </w:r>
      <w:r w:rsidR="0073006A">
        <w:rPr>
          <w:lang w:val="en-US"/>
        </w:rPr>
        <w:t> </w:t>
      </w:r>
      <w:r>
        <w:t>года правительство пришло к согласию по вопросу о рефо</w:t>
      </w:r>
      <w:r>
        <w:t>р</w:t>
      </w:r>
      <w:r>
        <w:t>мировании системы досрочного выхода на пенсию и работы по гибкому граф</w:t>
      </w:r>
      <w:r>
        <w:t>и</w:t>
      </w:r>
      <w:r>
        <w:t>ку, что позволит расширить предложение рабочих мест для иммигрантов и их потомков, на долю которых в настоящее время приходится порядка 20</w:t>
      </w:r>
      <w:r w:rsidR="00CF6CDE">
        <w:t xml:space="preserve">% </w:t>
      </w:r>
      <w:r>
        <w:t>кол</w:t>
      </w:r>
      <w:r>
        <w:t>и</w:t>
      </w:r>
      <w:r>
        <w:t>чественного состава целевых групп, на которые ориентирована эта реформа. Составной частью реформы является принятие законодательства, предусматр</w:t>
      </w:r>
      <w:r>
        <w:t>и</w:t>
      </w:r>
      <w:r>
        <w:t>вающего в качестве базовой нормы отход от досрочного выхода на пе</w:t>
      </w:r>
      <w:r>
        <w:t>н</w:t>
      </w:r>
      <w:r>
        <w:t>сию лиц моложе 40</w:t>
      </w:r>
      <w:r w:rsidR="0073006A">
        <w:rPr>
          <w:lang w:val="en-US"/>
        </w:rPr>
        <w:t> </w:t>
      </w:r>
      <w:r>
        <w:t>лет. Вместо этого им будет уже на раннем этапе оказываться ме</w:t>
      </w:r>
      <w:r>
        <w:t>ж</w:t>
      </w:r>
      <w:r>
        <w:t>дисциплинарная скоординированная поддержка, увязанная</w:t>
      </w:r>
      <w:r w:rsidR="00D3337A">
        <w:t xml:space="preserve"> </w:t>
      </w:r>
      <w:r>
        <w:t>с индивидуальными потребностями, с целью расширения открывающихся для них возможностей для выхода на рынок труда. Помимо этого вопрос о досрочном выходе на пе</w:t>
      </w:r>
      <w:r>
        <w:t>н</w:t>
      </w:r>
      <w:r>
        <w:t>сию любого лица, достигшего 40-летнего возраста, может рассматриваться только после оказания ему на раннем этапе междисциплинарной скоординир</w:t>
      </w:r>
      <w:r>
        <w:t>о</w:t>
      </w:r>
      <w:r>
        <w:t>ванной поддержки. В оказании такой поддержки будут задействованы специ</w:t>
      </w:r>
      <w:r>
        <w:t>а</w:t>
      </w:r>
      <w:r>
        <w:t>листы местных органов по трудоустройству, учреждений здравоохранения и с</w:t>
      </w:r>
      <w:r>
        <w:t>о</w:t>
      </w:r>
      <w:r>
        <w:t>циальные работники. Датское правительство считает важным, чтобы люди с</w:t>
      </w:r>
      <w:r>
        <w:t>о</w:t>
      </w:r>
      <w:r>
        <w:t>храняли свою активность до тех пор, пока они хоть в какой-то мере работосп</w:t>
      </w:r>
      <w:r>
        <w:t>о</w:t>
      </w:r>
      <w:r>
        <w:t>собны. Людям надо помочь продолжать трудовую деятельность, а тем, кто не обладает требуемым потенциалом, необходимо помочь приобрести квалифик</w:t>
      </w:r>
      <w:r>
        <w:t>а</w:t>
      </w:r>
      <w:r>
        <w:t>цию через систему профессиональной подготовки и образования.</w:t>
      </w:r>
    </w:p>
    <w:p w:rsidR="00907DF0" w:rsidRDefault="00907DF0" w:rsidP="00907DF0">
      <w:pPr>
        <w:pStyle w:val="SingleTxtGR"/>
      </w:pPr>
      <w:r>
        <w:t>127.</w:t>
      </w:r>
      <w:r>
        <w:tab/>
        <w:t>В ноябре 2012</w:t>
      </w:r>
      <w:r w:rsidR="000934A8">
        <w:t> </w:t>
      </w:r>
      <w:r>
        <w:t>года правительство обнародовало программный документ по вопросам интеграции под названием "Укрепление политики интеграции". Как следует из этой программы, задача оказания большему числу иммигрантов содействия в трудоустройстве должна решаться в первую очередь в рамках обычных мер в этой области, принимаемых по линии муниципалитетов. Опр</w:t>
      </w:r>
      <w:r>
        <w:t>е</w:t>
      </w:r>
      <w:r>
        <w:t>деленным подспорьем в достижении этой цели станут общие преобразования в</w:t>
      </w:r>
      <w:r w:rsidR="0067663A">
        <w:t> </w:t>
      </w:r>
      <w:r>
        <w:t>сфере профессиональной подгото</w:t>
      </w:r>
      <w:r>
        <w:t>в</w:t>
      </w:r>
      <w:r>
        <w:t>ки/образования и занятости.</w:t>
      </w:r>
    </w:p>
    <w:p w:rsidR="00907DF0" w:rsidRDefault="00907DF0" w:rsidP="00907DF0">
      <w:pPr>
        <w:pStyle w:val="SingleTxtGR"/>
      </w:pPr>
      <w:r>
        <w:t>128.</w:t>
      </w:r>
      <w:r>
        <w:tab/>
        <w:t>В апреле 2013</w:t>
      </w:r>
      <w:r w:rsidR="000934A8">
        <w:t> </w:t>
      </w:r>
      <w:r>
        <w:t>года правительство пришло к согласию о перестройке а</w:t>
      </w:r>
      <w:r>
        <w:t>к</w:t>
      </w:r>
      <w:r>
        <w:t>тивной программы выплаты денежных пособий, которая во многом затронет иммигрантов из незападных стран и их потомков, поскольку они составляют около 20</w:t>
      </w:r>
      <w:r w:rsidR="00CF6CDE">
        <w:t xml:space="preserve">% </w:t>
      </w:r>
      <w:r>
        <w:t>от общего числа лиц, получающих денежные пособия. Согласно оценкам, приведенным в документе с изложением общих контуров пер</w:t>
      </w:r>
      <w:r>
        <w:t>е</w:t>
      </w:r>
      <w:r>
        <w:t>стройки программы выплаты денежных пособий, в долгосрочном плане она позв</w:t>
      </w:r>
      <w:r>
        <w:t>о</w:t>
      </w:r>
      <w:r>
        <w:t>лит</w:t>
      </w:r>
      <w:r w:rsidR="00221FE4">
        <w:t> </w:t>
      </w:r>
      <w:r>
        <w:t>трудоустроить на новых местах 4</w:t>
      </w:r>
      <w:r w:rsidR="00CF6CDE">
        <w:t> 000 </w:t>
      </w:r>
      <w:r>
        <w:t>прежних реципиентов дене</w:t>
      </w:r>
      <w:r>
        <w:t>ж</w:t>
      </w:r>
      <w:r>
        <w:t xml:space="preserve">ных </w:t>
      </w:r>
      <w:r w:rsidR="00221FE4">
        <w:br/>
      </w:r>
      <w:r>
        <w:t>пособий, а еще 4</w:t>
      </w:r>
      <w:r w:rsidR="00221FE4">
        <w:t xml:space="preserve"> 000 </w:t>
      </w:r>
      <w:r w:rsidR="00CC0FD0">
        <w:t>–</w:t>
      </w:r>
      <w:r>
        <w:t xml:space="preserve"> охватить программами профессиональной подгото</w:t>
      </w:r>
      <w:r>
        <w:t>в</w:t>
      </w:r>
      <w:r>
        <w:t>ки/образования.</w:t>
      </w:r>
    </w:p>
    <w:p w:rsidR="00907DF0" w:rsidRDefault="00907DF0" w:rsidP="00907DF0">
      <w:pPr>
        <w:pStyle w:val="SingleTxtGR"/>
      </w:pPr>
      <w:r>
        <w:t>129.</w:t>
      </w:r>
      <w:r>
        <w:tab/>
        <w:t>Перестройка программы выплаты денежных пособий призвана, в частн</w:t>
      </w:r>
      <w:r>
        <w:t>о</w:t>
      </w:r>
      <w:r>
        <w:t>сти, решить задачу расширения масштабов профессионально-технической по</w:t>
      </w:r>
      <w:r>
        <w:t>д</w:t>
      </w:r>
      <w:r>
        <w:t>готовки и завершения среднего образования высшей ступени в среде иммигра</w:t>
      </w:r>
      <w:r>
        <w:t>н</w:t>
      </w:r>
      <w:r>
        <w:t>тов из незападных стран и их потомков в возрасте до 30</w:t>
      </w:r>
      <w:r w:rsidR="000934A8">
        <w:t> </w:t>
      </w:r>
      <w:r>
        <w:t>лет. В контексте пер</w:t>
      </w:r>
      <w:r>
        <w:t>е</w:t>
      </w:r>
      <w:r>
        <w:t>стройки программы выплаты денежных пособий акцентируется тот момент, что лица моложе 30</w:t>
      </w:r>
      <w:r w:rsidR="0073006A">
        <w:rPr>
          <w:lang w:val="en-US"/>
        </w:rPr>
        <w:t> </w:t>
      </w:r>
      <w:r>
        <w:t>лет должны пройти обучение по программе профессиональной подготовки или по общеобразовательной программе. Это особенно касается молодых людей – выходцев из незападных стран, поскольку вероятность заве</w:t>
      </w:r>
      <w:r>
        <w:t>р</w:t>
      </w:r>
      <w:r>
        <w:t>шения ими обучения по образовательной программе для молодежи ниже, чем среди их датских сверстников. В рамках перестройки программы выплаты д</w:t>
      </w:r>
      <w:r>
        <w:t>е</w:t>
      </w:r>
      <w:r>
        <w:t>нежных пособий будут приняты общие меры, включающие введение новых з</w:t>
      </w:r>
      <w:r>
        <w:t>а</w:t>
      </w:r>
      <w:r>
        <w:t>конодательных норм, предполагающих оказание молодым людям, не имеющим профессиональной подготовки и образования, содействия в приобретении зн</w:t>
      </w:r>
      <w:r>
        <w:t>а</w:t>
      </w:r>
      <w:r>
        <w:t>ний, требуемых для принятия в среднюю школу высшей ступени или в профе</w:t>
      </w:r>
      <w:r>
        <w:t>с</w:t>
      </w:r>
      <w:r>
        <w:t>сионально-техническое училище. Речь идет об инициативах и комплексных у</w:t>
      </w:r>
      <w:r>
        <w:t>с</w:t>
      </w:r>
      <w:r>
        <w:t>лугах, включающих привитие базовых навыков чтения и письма, оплату обуч</w:t>
      </w:r>
      <w:r>
        <w:t>е</w:t>
      </w:r>
      <w:r>
        <w:t>ния, наставнические услуги, социальную и медицинскую помощь, а также по</w:t>
      </w:r>
      <w:r>
        <w:t>д</w:t>
      </w:r>
      <w:r>
        <w:t>готовку без отрыва от производства.</w:t>
      </w:r>
    </w:p>
    <w:p w:rsidR="00907DF0" w:rsidRDefault="00907DF0" w:rsidP="00907DF0">
      <w:pPr>
        <w:pStyle w:val="SingleTxtGR"/>
      </w:pPr>
      <w:r>
        <w:t>130.</w:t>
      </w:r>
      <w:r>
        <w:tab/>
        <w:t>Кроме того, перестройка программы выплаты денежных пособий призв</w:t>
      </w:r>
      <w:r>
        <w:t>а</w:t>
      </w:r>
      <w:r>
        <w:t>на решить конкретную задачу адаптации и обучения наиболее уязвимой части беженцев и иммигрантов из незападных стран в возрасте старше 30</w:t>
      </w:r>
      <w:r w:rsidR="000934A8">
        <w:t> </w:t>
      </w:r>
      <w:r>
        <w:t>лет, их су</w:t>
      </w:r>
      <w:r>
        <w:t>п</w:t>
      </w:r>
      <w:r>
        <w:t>ругов и воссоединившихся с ними членов семьи. В рамках перестройки пр</w:t>
      </w:r>
      <w:r>
        <w:t>о</w:t>
      </w:r>
      <w:r>
        <w:t>граммы выплаты денежных пособий предполагается принятие мер общего х</w:t>
      </w:r>
      <w:r>
        <w:t>а</w:t>
      </w:r>
      <w:r>
        <w:t>рактера; кроме того, будут осуществляться конкретные программы развития с</w:t>
      </w:r>
      <w:r w:rsidR="000934A8">
        <w:t> </w:t>
      </w:r>
      <w:r>
        <w:t>целью определить и оценить результаты работы по оказанию комплексных у</w:t>
      </w:r>
      <w:r>
        <w:t>с</w:t>
      </w:r>
      <w:r>
        <w:t>луг, использованию наставничества и индивидуальных консультантов в ра</w:t>
      </w:r>
      <w:r>
        <w:t>м</w:t>
      </w:r>
      <w:r>
        <w:t>ках решения сложных проблем, с которыми сталкиваются безработные иммигра</w:t>
      </w:r>
      <w:r>
        <w:t>н</w:t>
      </w:r>
      <w:r>
        <w:t>ты, включая незн</w:t>
      </w:r>
      <w:r>
        <w:t>а</w:t>
      </w:r>
      <w:r>
        <w:t>ние языка, отсутствие профессиональной квалификации и специальных трудовых навыков в сочетании с социальной изоляцией и сл</w:t>
      </w:r>
      <w:r>
        <w:t>а</w:t>
      </w:r>
      <w:r>
        <w:t>бым здоровьем.</w:t>
      </w:r>
    </w:p>
    <w:p w:rsidR="00907DF0" w:rsidRDefault="00907DF0" w:rsidP="00907DF0">
      <w:pPr>
        <w:pStyle w:val="SingleTxtGR"/>
      </w:pPr>
      <w:r>
        <w:t>131.</w:t>
      </w:r>
      <w:r>
        <w:tab/>
        <w:t>Министерство по делам занятости продолжает проводить кампании и</w:t>
      </w:r>
      <w:r w:rsidR="000934A8">
        <w:t> </w:t>
      </w:r>
      <w:r>
        <w:t>программы и отслеживать воздействие мер, принимаемых по линии стратегии регулирования рынка труда, на наиболее уязвимые социальные группы. Сюда входит также изучение вопроса об образовательном уровне и показателях зан</w:t>
      </w:r>
      <w:r>
        <w:t>я</w:t>
      </w:r>
      <w:r>
        <w:t>тости среди иммигрантов и их взрослых потомков из развивающихся стран.</w:t>
      </w:r>
    </w:p>
    <w:p w:rsidR="00907DF0" w:rsidRDefault="00907DF0" w:rsidP="00907DF0">
      <w:pPr>
        <w:pStyle w:val="SingleTxtGR"/>
      </w:pPr>
      <w:r>
        <w:t>132.</w:t>
      </w:r>
      <w:r>
        <w:tab/>
        <w:t>В 2012 году правительство выделило 24,2</w:t>
      </w:r>
      <w:r w:rsidR="000934A8">
        <w:t> </w:t>
      </w:r>
      <w:r>
        <w:t>млн</w:t>
      </w:r>
      <w:r w:rsidR="00CC0FD0">
        <w:t>.</w:t>
      </w:r>
      <w:r w:rsidR="000934A8">
        <w:t> </w:t>
      </w:r>
      <w:r>
        <w:t>евро на кампанию под л</w:t>
      </w:r>
      <w:r>
        <w:t>о</w:t>
      </w:r>
      <w:r>
        <w:t>зунгом "Нам дорог каждый", которая предполагает опробование моделей оказ</w:t>
      </w:r>
      <w:r>
        <w:t>а</w:t>
      </w:r>
      <w:r>
        <w:t>ния комплексных услуг, нацеленных на решение сложных проблем, с которыми сталкиваются хронические получатели денежных пособий. На конец 2013</w:t>
      </w:r>
      <w:r w:rsidR="000934A8">
        <w:t> </w:t>
      </w:r>
      <w:r>
        <w:t>года намечена оценка итогов реализации этой программы, в том числе в части до</w:t>
      </w:r>
      <w:r>
        <w:t>с</w:t>
      </w:r>
      <w:r>
        <w:t>тижения намеченных в ней ближайших и долгосрочных целей. В состав цел</w:t>
      </w:r>
      <w:r>
        <w:t>е</w:t>
      </w:r>
      <w:r>
        <w:t>вой группы, охватываемой программой, входят иммигранты из незападных стран и их потомки: примерно 25</w:t>
      </w:r>
      <w:r w:rsidR="00CF6CDE">
        <w:t xml:space="preserve">% </w:t>
      </w:r>
      <w:r>
        <w:t>состава целевой группы общей численн</w:t>
      </w:r>
      <w:r>
        <w:t>о</w:t>
      </w:r>
      <w:r>
        <w:t>стью 29</w:t>
      </w:r>
      <w:r w:rsidR="00CC0FD0">
        <w:t> </w:t>
      </w:r>
      <w:r>
        <w:t>550</w:t>
      </w:r>
      <w:r w:rsidR="0073006A">
        <w:rPr>
          <w:lang w:val="en-US"/>
        </w:rPr>
        <w:t> </w:t>
      </w:r>
      <w:r>
        <w:t>человек – это выходцы из незападных стран. Среди поставленных задач – опробование во всех муниципалитетах Дании моделей межсекторал</w:t>
      </w:r>
      <w:r>
        <w:t>ь</w:t>
      </w:r>
      <w:r>
        <w:t>ной координации планов по оказанию комплексных услуг с целью добиться возвращения хронических получателей денежных пособий к активной трудовой деятельности. Итоги первого этапа (апрель 2013</w:t>
      </w:r>
      <w:r w:rsidR="0073006A">
        <w:rPr>
          <w:lang w:val="en-US"/>
        </w:rPr>
        <w:t> </w:t>
      </w:r>
      <w:r>
        <w:t>года): индивидуальные ко</w:t>
      </w:r>
      <w:r>
        <w:t>н</w:t>
      </w:r>
      <w:r>
        <w:t>сультанты провели собеседования примерно с 75</w:t>
      </w:r>
      <w:r w:rsidR="00CF6CDE">
        <w:t>%</w:t>
      </w:r>
      <w:r>
        <w:t xml:space="preserve"> от общего числа лиц, вх</w:t>
      </w:r>
      <w:r>
        <w:t>о</w:t>
      </w:r>
      <w:r>
        <w:t>дящих в состав целевой группы. Итоги второго этапа (апрель 2013</w:t>
      </w:r>
      <w:r w:rsidR="000934A8">
        <w:t> </w:t>
      </w:r>
      <w:r>
        <w:t>года): п</w:t>
      </w:r>
      <w:r>
        <w:t>о</w:t>
      </w:r>
      <w:r>
        <w:t>сле проведения консультаций с межсекторальной бригадой приблизительно 30</w:t>
      </w:r>
      <w:r w:rsidR="00CF6CDE">
        <w:t>%</w:t>
      </w:r>
      <w:r>
        <w:t xml:space="preserve"> от всех лиц, входящих в состав целевой группы, был предложен комплекс услуг, определенный на основе индивидуального плана.</w:t>
      </w:r>
    </w:p>
    <w:p w:rsidR="00907DF0" w:rsidRDefault="00907DF0" w:rsidP="00907DF0">
      <w:pPr>
        <w:pStyle w:val="SingleTxtGR"/>
      </w:pPr>
      <w:r>
        <w:t>133.</w:t>
      </w:r>
      <w:r>
        <w:tab/>
        <w:t>Кроме того, правительство выделило примерно 1,2</w:t>
      </w:r>
      <w:r w:rsidR="00CF6CDE">
        <w:t> млн. </w:t>
      </w:r>
      <w:r>
        <w:t>евро на реализ</w:t>
      </w:r>
      <w:r>
        <w:t>а</w:t>
      </w:r>
      <w:r>
        <w:t>цию инициативы, которая позволит повысить необходимую для выхода на р</w:t>
      </w:r>
      <w:r>
        <w:t>ы</w:t>
      </w:r>
      <w:r>
        <w:t>нок труда квалификацию тех иммигрантов, в особенности не имеющих зар</w:t>
      </w:r>
      <w:r>
        <w:t>а</w:t>
      </w:r>
      <w:r>
        <w:t>ботка женщин из незападных стран, которые находятся в материальной завис</w:t>
      </w:r>
      <w:r>
        <w:t>и</w:t>
      </w:r>
      <w:r>
        <w:t>мости от своих семей и родственников. Министерство по делам занятости в</w:t>
      </w:r>
      <w:r>
        <w:t>ы</w:t>
      </w:r>
      <w:r>
        <w:t>делило средства на ос</w:t>
      </w:r>
      <w:r>
        <w:t>у</w:t>
      </w:r>
      <w:r>
        <w:t>ществление ряда долгосроч</w:t>
      </w:r>
      <w:r w:rsidR="000934A8">
        <w:t xml:space="preserve">ных проектов, рассчитанных на </w:t>
      </w:r>
      <w:r w:rsidR="006D3840">
        <w:t>два-три</w:t>
      </w:r>
      <w:r w:rsidR="000934A8">
        <w:t> </w:t>
      </w:r>
      <w:r>
        <w:t xml:space="preserve">года, в </w:t>
      </w:r>
      <w:r w:rsidR="0073006A">
        <w:t xml:space="preserve">восьми </w:t>
      </w:r>
      <w:r>
        <w:t>муниципалитетах; эти проекты нацелены на преод</w:t>
      </w:r>
      <w:r>
        <w:t>о</w:t>
      </w:r>
      <w:r>
        <w:t>ление наблюдаемых на местах конкретных проблем, связанных с воссоединен</w:t>
      </w:r>
      <w:r>
        <w:t>и</w:t>
      </w:r>
      <w:r>
        <w:t>ем и</w:t>
      </w:r>
      <w:r w:rsidR="000934A8">
        <w:t> </w:t>
      </w:r>
      <w:r>
        <w:t>изоляцией супругов-иммигрантов из незападных стран, не имеющих опыта работы, для которых характерны слабые контакты с социальными службами. Супруги, прибывшие п</w:t>
      </w:r>
      <w:r w:rsidR="006D3840">
        <w:t>о постановлению о воссоединении</w:t>
      </w:r>
      <w:r>
        <w:t xml:space="preserve"> (в основном, женщ</w:t>
      </w:r>
      <w:r>
        <w:t>и</w:t>
      </w:r>
      <w:r>
        <w:t>ны)</w:t>
      </w:r>
      <w:r w:rsidR="006D3840">
        <w:t>,</w:t>
      </w:r>
      <w:r>
        <w:t xml:space="preserve"> зачастую оказываются в крайней зависимости от заработка мужа, пособия по безработице или денежного пособия. Программа рассчитана до 2016</w:t>
      </w:r>
      <w:r w:rsidR="000934A8">
        <w:t> </w:t>
      </w:r>
      <w:r>
        <w:t>года.</w:t>
      </w:r>
    </w:p>
    <w:p w:rsidR="00907DF0" w:rsidRDefault="00907DF0" w:rsidP="00907DF0">
      <w:pPr>
        <w:pStyle w:val="SingleTxtGR"/>
      </w:pPr>
      <w:r>
        <w:t>134.</w:t>
      </w:r>
      <w:r>
        <w:tab/>
        <w:t>Кроме того, Министерство по делам занятости принимает участие в пр</w:t>
      </w:r>
      <w:r>
        <w:t>о</w:t>
      </w:r>
      <w:r>
        <w:t>водимой центром по развитию предпринимательства в Дании работе среди представителей этнических групп; речь идет о пр</w:t>
      </w:r>
      <w:r>
        <w:t>о</w:t>
      </w:r>
      <w:r>
        <w:t>грамме, которая нацелена на формирование для лиц недатского происхождения более благоприятных усл</w:t>
      </w:r>
      <w:r>
        <w:t>о</w:t>
      </w:r>
      <w:r>
        <w:t>вий для создания, выживания и развития предприятий. Эта программа фина</w:t>
      </w:r>
      <w:r>
        <w:t>н</w:t>
      </w:r>
      <w:r>
        <w:t>сируется Европейской комиссией, а также из отечественных источников на н</w:t>
      </w:r>
      <w:r>
        <w:t>а</w:t>
      </w:r>
      <w:r>
        <w:t>чалах межсекторального сотрудничества с шестью муниципалитетами, реги</w:t>
      </w:r>
      <w:r>
        <w:t>о</w:t>
      </w:r>
      <w:r>
        <w:t>нальными администрациями страны и Министерством предпринимательства и</w:t>
      </w:r>
      <w:r w:rsidR="000934A8">
        <w:t> </w:t>
      </w:r>
      <w:r>
        <w:t>экономического роста Дании. Толчок для разработки этой инициативы был дан внесенным правительством в 2007</w:t>
      </w:r>
      <w:r w:rsidR="000934A8">
        <w:t> </w:t>
      </w:r>
      <w:r>
        <w:t>году законопроектом под названием "Общество широких возможностей". Завершение программы намечено на 2013</w:t>
      </w:r>
      <w:r w:rsidR="000934A8">
        <w:t> </w:t>
      </w:r>
      <w:r>
        <w:t>год.</w:t>
      </w:r>
    </w:p>
    <w:p w:rsidR="00907DF0" w:rsidRDefault="00907DF0" w:rsidP="00B730D8">
      <w:pPr>
        <w:pStyle w:val="H1GR"/>
      </w:pPr>
      <w:r>
        <w:tab/>
      </w:r>
      <w:r>
        <w:tab/>
        <w:t>Статья 5, пункт "e", "iii"</w:t>
      </w:r>
    </w:p>
    <w:p w:rsidR="00907DF0" w:rsidRDefault="00907DF0" w:rsidP="00B730D8">
      <w:pPr>
        <w:pStyle w:val="H1GR"/>
      </w:pPr>
      <w:r>
        <w:tab/>
      </w:r>
      <w:r>
        <w:tab/>
        <w:t>Право на жилище</w:t>
      </w:r>
    </w:p>
    <w:p w:rsidR="00907DF0" w:rsidRDefault="00907DF0" w:rsidP="00B730D8">
      <w:pPr>
        <w:pStyle w:val="H23GR"/>
      </w:pPr>
      <w:r>
        <w:tab/>
      </w:r>
      <w:r>
        <w:tab/>
        <w:t>Социальное жилье</w:t>
      </w:r>
    </w:p>
    <w:p w:rsidR="00907DF0" w:rsidRDefault="00907DF0" w:rsidP="00907DF0">
      <w:pPr>
        <w:pStyle w:val="SingleTxtGR"/>
      </w:pPr>
      <w:r>
        <w:t>135.</w:t>
      </w:r>
      <w:r>
        <w:tab/>
        <w:t>Сектор социального жилья является одним из краеугольных камней да</w:t>
      </w:r>
      <w:r>
        <w:t>т</w:t>
      </w:r>
      <w:r>
        <w:t>ской системы социального обеспечения, поскольку он позволяет обеспечить д</w:t>
      </w:r>
      <w:r>
        <w:t>о</w:t>
      </w:r>
      <w:r>
        <w:t>стойные условия проживания семьям с низким уровнем дохода, лицам из среды меньшинств, лицам, страдающим психическими заболеваниями, и другим уя</w:t>
      </w:r>
      <w:r>
        <w:t>з</w:t>
      </w:r>
      <w:r>
        <w:t>вимым группам населения. Социальное жилье доступно для всех людей незав</w:t>
      </w:r>
      <w:r>
        <w:t>и</w:t>
      </w:r>
      <w:r>
        <w:t>симо от их этнического происхождения или уровня дохода. Как правило, соц</w:t>
      </w:r>
      <w:r>
        <w:t>и</w:t>
      </w:r>
      <w:r>
        <w:t>альное жилье предоставляется в аренду квартиросъемщикам, занесенным в</w:t>
      </w:r>
      <w:r w:rsidR="000934A8">
        <w:t> </w:t>
      </w:r>
      <w:r>
        <w:t>список ожидания, в порядке очереди, причем правом претендовать на вкл</w:t>
      </w:r>
      <w:r>
        <w:t>ю</w:t>
      </w:r>
      <w:r>
        <w:t>чение в список ожидания обладает любое лицо. На 1</w:t>
      </w:r>
      <w:r w:rsidR="000934A8">
        <w:t> </w:t>
      </w:r>
      <w:r>
        <w:t>января 2012</w:t>
      </w:r>
      <w:r w:rsidR="000934A8">
        <w:t> </w:t>
      </w:r>
      <w:r>
        <w:t>года доля и</w:t>
      </w:r>
      <w:r>
        <w:t>м</w:t>
      </w:r>
      <w:r>
        <w:t>мигрантов из незападных стран и их потомков составляла 22</w:t>
      </w:r>
      <w:r w:rsidR="00CF6CDE">
        <w:t>%</w:t>
      </w:r>
      <w:r>
        <w:t xml:space="preserve"> от общей чи</w:t>
      </w:r>
      <w:r>
        <w:t>с</w:t>
      </w:r>
      <w:r>
        <w:t>ленности людей, проживавших в социальных объектах жилой недвижим</w:t>
      </w:r>
      <w:r>
        <w:t>о</w:t>
      </w:r>
      <w:r>
        <w:t>сти.</w:t>
      </w:r>
    </w:p>
    <w:p w:rsidR="00907DF0" w:rsidRDefault="00907DF0" w:rsidP="00907DF0">
      <w:pPr>
        <w:pStyle w:val="SingleTxtGR"/>
      </w:pPr>
      <w:r>
        <w:t>136.</w:t>
      </w:r>
      <w:r>
        <w:tab/>
        <w:t>С тем чтобы обеспечить все категории лиц, находящихся в уязвимом п</w:t>
      </w:r>
      <w:r>
        <w:t>о</w:t>
      </w:r>
      <w:r>
        <w:t>ложении, социальным жильем, местные власти наделены неограниченным пр</w:t>
      </w:r>
      <w:r>
        <w:t>а</w:t>
      </w:r>
      <w:r>
        <w:t>вом свободно распоряжаться 25</w:t>
      </w:r>
      <w:r w:rsidR="00CF6CDE">
        <w:t>%</w:t>
      </w:r>
      <w:r>
        <w:t xml:space="preserve"> всех свободных жилых помещений социал</w:t>
      </w:r>
      <w:r>
        <w:t>ь</w:t>
      </w:r>
      <w:r>
        <w:t>ного назначения для решения различных проблем, связанных с социальным жильем. Так, местные власти вправе обеспечить размещение любого нужда</w:t>
      </w:r>
      <w:r>
        <w:t>ю</w:t>
      </w:r>
      <w:r>
        <w:t>щегося в жилье лица или семьи в имеющихся у муниципальных властей св</w:t>
      </w:r>
      <w:r>
        <w:t>о</w:t>
      </w:r>
      <w:r>
        <w:t>бодных жилых помещениях социального назначения.</w:t>
      </w:r>
    </w:p>
    <w:p w:rsidR="00907DF0" w:rsidRDefault="00907DF0" w:rsidP="00907DF0">
      <w:pPr>
        <w:pStyle w:val="SingleTxtGR"/>
      </w:pPr>
      <w:r>
        <w:t>137.</w:t>
      </w:r>
      <w:r>
        <w:tab/>
        <w:t>Благодаря государственным субсидиям арендная плата за социальное ж</w:t>
      </w:r>
      <w:r>
        <w:t>и</w:t>
      </w:r>
      <w:r>
        <w:t>лье для семейного проживания относительно невысока. Кроме того, семьи с</w:t>
      </w:r>
      <w:r w:rsidR="000934A8">
        <w:t> </w:t>
      </w:r>
      <w:r>
        <w:t>низким уровнем дохода имеют право на получение индивидуальной жили</w:t>
      </w:r>
      <w:r>
        <w:t>щ</w:t>
      </w:r>
      <w:r>
        <w:t>ной субсидии. В 2008</w:t>
      </w:r>
      <w:r w:rsidR="000934A8">
        <w:t> </w:t>
      </w:r>
      <w:r>
        <w:t>году арендная плата примерно 50</w:t>
      </w:r>
      <w:r w:rsidR="00CF6CDE">
        <w:t> 000 </w:t>
      </w:r>
      <w:r>
        <w:t>семей с детьми, проживавших в социальных квартирах, на 42</w:t>
      </w:r>
      <w:r w:rsidR="00CF6CDE">
        <w:t>%</w:t>
      </w:r>
      <w:r>
        <w:t xml:space="preserve"> покрывалась за счет жилищных субс</w:t>
      </w:r>
      <w:r>
        <w:t>и</w:t>
      </w:r>
      <w:r>
        <w:t>дий.</w:t>
      </w:r>
    </w:p>
    <w:p w:rsidR="00907DF0" w:rsidRDefault="00907DF0" w:rsidP="00907DF0">
      <w:pPr>
        <w:pStyle w:val="SingleTxtGR"/>
      </w:pPr>
      <w:r>
        <w:t>138.</w:t>
      </w:r>
      <w:r>
        <w:tab/>
        <w:t>Объекты социального жилищного фонда управляются некоммерческими жилищными объедин</w:t>
      </w:r>
      <w:r>
        <w:t>е</w:t>
      </w:r>
      <w:r>
        <w:t>ниями, которые функционируют под контролем местных властей. Местные власти выделяют субсидии на цели строительства социальн</w:t>
      </w:r>
      <w:r>
        <w:t>о</w:t>
      </w:r>
      <w:r>
        <w:t>го жилья в привязке к местным потребностям и структурам. В Дании насчит</w:t>
      </w:r>
      <w:r>
        <w:t>ы</w:t>
      </w:r>
      <w:r>
        <w:t>вается в общей сложности примерно 590</w:t>
      </w:r>
      <w:r w:rsidR="00CF6CDE">
        <w:t> 000 </w:t>
      </w:r>
      <w:r>
        <w:t>социальных объектов жилой н</w:t>
      </w:r>
      <w:r>
        <w:t>е</w:t>
      </w:r>
      <w:r>
        <w:t>движимости, что составляет около 20</w:t>
      </w:r>
      <w:r w:rsidR="00CF6CDE">
        <w:t xml:space="preserve">% </w:t>
      </w:r>
      <w:r>
        <w:t>от общего числа объектов жилой н</w:t>
      </w:r>
      <w:r>
        <w:t>е</w:t>
      </w:r>
      <w:r>
        <w:t>движимости в стране. Примерно 490</w:t>
      </w:r>
      <w:r w:rsidR="00CF6CDE">
        <w:t xml:space="preserve"> 000 </w:t>
      </w:r>
      <w:r>
        <w:t>из них предназначены для пр</w:t>
      </w:r>
      <w:r>
        <w:t>о</w:t>
      </w:r>
      <w:r>
        <w:t>живания семей. В большинстве случаев социальный жилищный фонд состоит из выс</w:t>
      </w:r>
      <w:r>
        <w:t>о</w:t>
      </w:r>
      <w:r>
        <w:t>кокачественных объектов в крепких общинах с устоявшимися традициями м</w:t>
      </w:r>
      <w:r>
        <w:t>е</w:t>
      </w:r>
      <w:r>
        <w:t>стной демократии, что позволяет жителям влиять на условия жизни в своем квартале.</w:t>
      </w:r>
    </w:p>
    <w:p w:rsidR="00907DF0" w:rsidRDefault="00907DF0" w:rsidP="00B730D8">
      <w:pPr>
        <w:pStyle w:val="H23GR"/>
      </w:pPr>
      <w:r>
        <w:tab/>
      </w:r>
      <w:r>
        <w:tab/>
        <w:t>Неблагополучные кварталы</w:t>
      </w:r>
    </w:p>
    <w:p w:rsidR="00907DF0" w:rsidRDefault="00907DF0" w:rsidP="00907DF0">
      <w:pPr>
        <w:pStyle w:val="SingleTxtGR"/>
      </w:pPr>
      <w:r>
        <w:t>139.</w:t>
      </w:r>
      <w:r>
        <w:tab/>
        <w:t>К сожалению, некоторые обитатели социального жилья попадают в п</w:t>
      </w:r>
      <w:r>
        <w:t>о</w:t>
      </w:r>
      <w:r>
        <w:t xml:space="preserve">рочный круг социальных проблем, высокого уровня безработицы и </w:t>
      </w:r>
      <w:r w:rsidR="00AC018F">
        <w:t>т.п.</w:t>
      </w:r>
      <w:r>
        <w:t xml:space="preserve"> В п</w:t>
      </w:r>
      <w:r>
        <w:t>о</w:t>
      </w:r>
      <w:r>
        <w:t>следние годы на рынке жилья произошло расслоение по социальному, этнич</w:t>
      </w:r>
      <w:r>
        <w:t>е</w:t>
      </w:r>
      <w:r>
        <w:t>скому и территориальному признакам, вследствие чего сохраняются трудности в формировании оптимального состава обитателей социального жилья, вкл</w:t>
      </w:r>
      <w:r>
        <w:t>ю</w:t>
      </w:r>
      <w:r>
        <w:t>чающего как крепкие, так и уязвимые социальные ячейки. Тем не менее п</w:t>
      </w:r>
      <w:r>
        <w:t>о</w:t>
      </w:r>
      <w:r>
        <w:t>ставлена политическая задача добиться формирования такого смешанного с</w:t>
      </w:r>
      <w:r>
        <w:t>о</w:t>
      </w:r>
      <w:r>
        <w:t>става, поскольку его наличие считается предпосылкой для развития позитивных тенденций в проблемных социальных объектах жилой недвижимости. Хара</w:t>
      </w:r>
      <w:r>
        <w:t>к</w:t>
      </w:r>
      <w:r>
        <w:t>терной чертой таких кварталов является скопление семей с низким уровнем д</w:t>
      </w:r>
      <w:r>
        <w:t>о</w:t>
      </w:r>
      <w:r>
        <w:t>хода, зачастую обремененных социальными пр</w:t>
      </w:r>
      <w:r>
        <w:t>о</w:t>
      </w:r>
      <w:r>
        <w:t>блемами. Показатели занятости и образовательный уровень невысоки, а некоторые кварталы сталкиваются с</w:t>
      </w:r>
      <w:r w:rsidR="000934A8">
        <w:t> </w:t>
      </w:r>
      <w:r>
        <w:t>проблемами преступности и отсутствия безопасности.</w:t>
      </w:r>
    </w:p>
    <w:p w:rsidR="00907DF0" w:rsidRDefault="00907DF0" w:rsidP="00907DF0">
      <w:pPr>
        <w:pStyle w:val="SingleTxtGR"/>
      </w:pPr>
      <w:r>
        <w:t>140.</w:t>
      </w:r>
      <w:r>
        <w:tab/>
        <w:t>Эта проблема касается и детей, и взрослых. Некоторые дети не находят образца для подражания в учебе и работе, а взрослые впадают в изоляцию из-за отсутствия работы и связей за пределами своего квартала. В итоге людям, пр</w:t>
      </w:r>
      <w:r>
        <w:t>о</w:t>
      </w:r>
      <w:r>
        <w:t>живающим в таких кварталах, возможно, становится все труднее найти д</w:t>
      </w:r>
      <w:r>
        <w:t>о</w:t>
      </w:r>
      <w:r>
        <w:t>ступ к рабочим местам и образованию по сравнению с остальным населением.</w:t>
      </w:r>
    </w:p>
    <w:p w:rsidR="00907DF0" w:rsidRDefault="00907DF0" w:rsidP="00907DF0">
      <w:pPr>
        <w:pStyle w:val="SingleTxtGR"/>
      </w:pPr>
      <w:r>
        <w:t>141.</w:t>
      </w:r>
      <w:r>
        <w:tab/>
        <w:t>Правительство выявило 33</w:t>
      </w:r>
      <w:r w:rsidR="000934A8">
        <w:t> </w:t>
      </w:r>
      <w:r>
        <w:t>таких проблемных квартала. В законе о соц</w:t>
      </w:r>
      <w:r>
        <w:t>и</w:t>
      </w:r>
      <w:r>
        <w:t>альном жилье неблагоп</w:t>
      </w:r>
      <w:r>
        <w:t>о</w:t>
      </w:r>
      <w:r>
        <w:t>лучным кварталом считается застроенная социальным жильем территория с числом обитателей более 1</w:t>
      </w:r>
      <w:r w:rsidR="000934A8">
        <w:rPr>
          <w:lang w:val="en-US"/>
        </w:rPr>
        <w:t> </w:t>
      </w:r>
      <w:r w:rsidR="000934A8">
        <w:t>000</w:t>
      </w:r>
      <w:r w:rsidR="000934A8">
        <w:rPr>
          <w:lang w:val="en-US"/>
        </w:rPr>
        <w:t> </w:t>
      </w:r>
      <w:r>
        <w:t>человек, которая отвечает двум из трех следующих критериев: 1)</w:t>
      </w:r>
      <w:r w:rsidR="000934A8">
        <w:rPr>
          <w:lang w:val="en-US"/>
        </w:rPr>
        <w:t> </w:t>
      </w:r>
      <w:r>
        <w:t>более 40</w:t>
      </w:r>
      <w:r w:rsidR="00CF6CDE">
        <w:t xml:space="preserve">% </w:t>
      </w:r>
      <w:r>
        <w:t>обитателей не им</w:t>
      </w:r>
      <w:r>
        <w:t>е</w:t>
      </w:r>
      <w:r>
        <w:t>ют работы; 2)</w:t>
      </w:r>
      <w:r w:rsidR="000934A8">
        <w:rPr>
          <w:lang w:val="en-US"/>
        </w:rPr>
        <w:t> </w:t>
      </w:r>
      <w:r>
        <w:t>более 270</w:t>
      </w:r>
      <w:r w:rsidR="000934A8">
        <w:rPr>
          <w:lang w:val="en-US"/>
        </w:rPr>
        <w:t> </w:t>
      </w:r>
      <w:r>
        <w:t>человек на 10</w:t>
      </w:r>
      <w:r w:rsidR="00CF6CDE">
        <w:t> 000 </w:t>
      </w:r>
      <w:r>
        <w:t>жителей осуждены за то или иное преступление; а также 3)</w:t>
      </w:r>
      <w:r w:rsidR="000934A8">
        <w:rPr>
          <w:lang w:val="en-US"/>
        </w:rPr>
        <w:t> </w:t>
      </w:r>
      <w:r>
        <w:t>более 50</w:t>
      </w:r>
      <w:r w:rsidR="00CF6CDE">
        <w:t xml:space="preserve">% </w:t>
      </w:r>
      <w:r>
        <w:t>жителей являются выходцами из незападных стран.</w:t>
      </w:r>
    </w:p>
    <w:p w:rsidR="00907DF0" w:rsidRDefault="00907DF0" w:rsidP="00907DF0">
      <w:pPr>
        <w:pStyle w:val="SingleTxtGR"/>
      </w:pPr>
      <w:r>
        <w:t>142.</w:t>
      </w:r>
      <w:r>
        <w:tab/>
        <w:t>Муниципалитеты и квартальные органы располагают некоторыми во</w:t>
      </w:r>
      <w:r>
        <w:t>з</w:t>
      </w:r>
      <w:r>
        <w:t>можностями для решения стоящих проблем, среди которых – модернизация и</w:t>
      </w:r>
      <w:r>
        <w:t>н</w:t>
      </w:r>
      <w:r>
        <w:t>фраструктуры, снос, ремонт, предоставление социальных услуг и введение ал</w:t>
      </w:r>
      <w:r>
        <w:t>ь</w:t>
      </w:r>
      <w:r>
        <w:t>тернативных правил аренды (пояснения приводятся ниже). Правительство п</w:t>
      </w:r>
      <w:r>
        <w:t>о</w:t>
      </w:r>
      <w:r>
        <w:t>ставило задачу сократить число проблемных кварталов социального жилья и</w:t>
      </w:r>
      <w:r w:rsidR="000934A8">
        <w:rPr>
          <w:lang w:val="en-US"/>
        </w:rPr>
        <w:t> </w:t>
      </w:r>
      <w:r>
        <w:t>повысить привлекател</w:t>
      </w:r>
      <w:r>
        <w:t>ь</w:t>
      </w:r>
      <w:r>
        <w:t>ность неблагополучных объектов социального жилья.</w:t>
      </w:r>
    </w:p>
    <w:p w:rsidR="00907DF0" w:rsidRDefault="00907DF0" w:rsidP="00B730D8">
      <w:pPr>
        <w:pStyle w:val="H23GR"/>
      </w:pPr>
      <w:r>
        <w:tab/>
      </w:r>
      <w:r>
        <w:tab/>
        <w:t>Государственная политика борьбы со стигматизацией людей, проживающих в проблемных кварталах, застроенных социальным жильем</w:t>
      </w:r>
    </w:p>
    <w:p w:rsidR="00907DF0" w:rsidRDefault="00907DF0" w:rsidP="00907DF0">
      <w:pPr>
        <w:pStyle w:val="SingleTxtGR"/>
      </w:pPr>
      <w:r>
        <w:t>143.</w:t>
      </w:r>
      <w:r>
        <w:tab/>
        <w:t>Правительство привержено идее интеграции изолированных проблемных кварталов в жизнь общества. Цель отчасти состоит в недопущении маргинал</w:t>
      </w:r>
      <w:r>
        <w:t>и</w:t>
      </w:r>
      <w:r>
        <w:t>зации лиц, принадлежащих к меньшинствам, по причине их проживания в т</w:t>
      </w:r>
      <w:r>
        <w:t>а</w:t>
      </w:r>
      <w:r>
        <w:t>ких кварталах.</w:t>
      </w:r>
    </w:p>
    <w:p w:rsidR="00907DF0" w:rsidRDefault="00907DF0" w:rsidP="00907DF0">
      <w:pPr>
        <w:pStyle w:val="SingleTxtGR"/>
      </w:pPr>
      <w:r>
        <w:t>144.</w:t>
      </w:r>
      <w:r>
        <w:tab/>
        <w:t>В распоряжении правительства имеются различные средства преодоления сложных проблем – от физического вмешательства и формирования более о</w:t>
      </w:r>
      <w:r>
        <w:t>п</w:t>
      </w:r>
      <w:r>
        <w:t>тимального состава жильцов до повышения трудового потенциала жителей и</w:t>
      </w:r>
      <w:r w:rsidR="000934A8">
        <w:rPr>
          <w:lang w:val="en-US"/>
        </w:rPr>
        <w:t> </w:t>
      </w:r>
      <w:r>
        <w:t>принятия мер по борьбе с преступностью. В последние годы различными правительствами Дании реализовывались как общие стратегии, так и меры м</w:t>
      </w:r>
      <w:r>
        <w:t>е</w:t>
      </w:r>
      <w:r>
        <w:t>стного характера, призванные разорвать порочный круг, в котором на деле ок</w:t>
      </w:r>
      <w:r>
        <w:t>а</w:t>
      </w:r>
      <w:r>
        <w:t>зываются люди в отдельных проблемных кварталах. Ниже изложены нек</w:t>
      </w:r>
      <w:r>
        <w:t>о</w:t>
      </w:r>
      <w:r>
        <w:t>торые из таких мер:</w:t>
      </w:r>
    </w:p>
    <w:p w:rsidR="00907DF0" w:rsidRDefault="00907DF0" w:rsidP="004A15C8">
      <w:pPr>
        <w:pStyle w:val="SingleTxtGR"/>
        <w:tabs>
          <w:tab w:val="clear" w:pos="1701"/>
          <w:tab w:val="clear" w:pos="2268"/>
        </w:tabs>
        <w:ind w:left="1985" w:hanging="284"/>
      </w:pPr>
      <w:r>
        <w:t>-</w:t>
      </w:r>
      <w:r>
        <w:tab/>
        <w:t>введение альтернативных правил аренды с использованием критериев, отличных от традиционных списков ожидания;</w:t>
      </w:r>
    </w:p>
    <w:p w:rsidR="00907DF0" w:rsidRDefault="00907DF0" w:rsidP="004A15C8">
      <w:pPr>
        <w:pStyle w:val="SingleTxtGR"/>
        <w:tabs>
          <w:tab w:val="clear" w:pos="1701"/>
          <w:tab w:val="clear" w:pos="2268"/>
        </w:tabs>
        <w:ind w:left="1985" w:hanging="284"/>
      </w:pPr>
      <w:r>
        <w:t>-</w:t>
      </w:r>
      <w:r>
        <w:tab/>
        <w:t>охват неблагополучных районов социальной работой;</w:t>
      </w:r>
    </w:p>
    <w:p w:rsidR="00907DF0" w:rsidRDefault="00907DF0" w:rsidP="004A15C8">
      <w:pPr>
        <w:pStyle w:val="SingleTxtGR"/>
        <w:tabs>
          <w:tab w:val="clear" w:pos="1701"/>
          <w:tab w:val="clear" w:pos="2268"/>
        </w:tabs>
        <w:ind w:left="1985" w:hanging="284"/>
      </w:pPr>
      <w:r>
        <w:t>-</w:t>
      </w:r>
      <w:r>
        <w:tab/>
        <w:t>использование помещений в объектах жилой недвижимости по иному назначению/введение правил, регулирующих дополнительные виды деятельности (например, сдача помещений для ведения предприним</w:t>
      </w:r>
      <w:r>
        <w:t>а</w:t>
      </w:r>
      <w:r>
        <w:t>тельской деятельн</w:t>
      </w:r>
      <w:r>
        <w:t>о</w:t>
      </w:r>
      <w:r>
        <w:t>сти);</w:t>
      </w:r>
    </w:p>
    <w:p w:rsidR="00907DF0" w:rsidRDefault="00907DF0" w:rsidP="004A15C8">
      <w:pPr>
        <w:pStyle w:val="SingleTxtGR"/>
        <w:tabs>
          <w:tab w:val="clear" w:pos="1701"/>
          <w:tab w:val="clear" w:pos="2268"/>
        </w:tabs>
        <w:ind w:left="1985" w:hanging="284"/>
      </w:pPr>
      <w:r>
        <w:t>-</w:t>
      </w:r>
      <w:r>
        <w:tab/>
        <w:t>ремонт обветшалых зданий;</w:t>
      </w:r>
    </w:p>
    <w:p w:rsidR="00907DF0" w:rsidRDefault="00907DF0" w:rsidP="004A15C8">
      <w:pPr>
        <w:pStyle w:val="SingleTxtGR"/>
        <w:tabs>
          <w:tab w:val="clear" w:pos="1701"/>
          <w:tab w:val="clear" w:pos="2268"/>
        </w:tabs>
        <w:ind w:left="1985" w:hanging="284"/>
      </w:pPr>
      <w:r>
        <w:t>-</w:t>
      </w:r>
      <w:r>
        <w:tab/>
        <w:t>стратегический снос зданий;</w:t>
      </w:r>
    </w:p>
    <w:p w:rsidR="00907DF0" w:rsidRDefault="00907DF0" w:rsidP="004A15C8">
      <w:pPr>
        <w:pStyle w:val="SingleTxtGR"/>
        <w:tabs>
          <w:tab w:val="clear" w:pos="1701"/>
          <w:tab w:val="clear" w:pos="2268"/>
        </w:tabs>
        <w:ind w:left="1985" w:hanging="284"/>
      </w:pPr>
      <w:r>
        <w:t>-</w:t>
      </w:r>
      <w:r>
        <w:tab/>
        <w:t>инициативы по повышению качества местных школ;</w:t>
      </w:r>
    </w:p>
    <w:p w:rsidR="00907DF0" w:rsidRDefault="00907DF0" w:rsidP="004A15C8">
      <w:pPr>
        <w:pStyle w:val="SingleTxtGR"/>
        <w:tabs>
          <w:tab w:val="clear" w:pos="1701"/>
          <w:tab w:val="clear" w:pos="2268"/>
        </w:tabs>
        <w:ind w:left="1985" w:hanging="284"/>
      </w:pPr>
      <w:r>
        <w:t>-</w:t>
      </w:r>
      <w:r>
        <w:tab/>
        <w:t>укрепление профилактической работы силами как полицейских, так и с</w:t>
      </w:r>
      <w:r>
        <w:t>о</w:t>
      </w:r>
      <w:r>
        <w:t xml:space="preserve">циальных работников; и </w:t>
      </w:r>
      <w:r w:rsidR="00AC018F">
        <w:t>т.п.</w:t>
      </w:r>
    </w:p>
    <w:p w:rsidR="00907DF0" w:rsidRDefault="00907DF0" w:rsidP="00907DF0">
      <w:pPr>
        <w:pStyle w:val="SingleTxtGR"/>
      </w:pPr>
      <w:r>
        <w:t>Многие из инициатив были реализованы в последние годы.</w:t>
      </w:r>
    </w:p>
    <w:p w:rsidR="00907DF0" w:rsidRDefault="00907DF0" w:rsidP="00907DF0">
      <w:pPr>
        <w:pStyle w:val="SingleTxtGR"/>
      </w:pPr>
      <w:r>
        <w:t>145.</w:t>
      </w:r>
      <w:r>
        <w:tab/>
        <w:t>Одна из реализованных инициатив нацелена на противодействие сегрег</w:t>
      </w:r>
      <w:r>
        <w:t>а</w:t>
      </w:r>
      <w:r>
        <w:t>ции и тем самым на более эффективную интеграцию квартиросъемщиков-иммигрантов, которые испытывают особую нужду в социальном жилье. Мун</w:t>
      </w:r>
      <w:r>
        <w:t>и</w:t>
      </w:r>
      <w:r>
        <w:t>ципалитетам не разрешается размещать таких лиц в проблемных кварталах. Соответственно, муниципалитет обязан выделить им надлежащее жилье в ином месте, и только когда это не представляется возможным, особая потребность в</w:t>
      </w:r>
      <w:r w:rsidR="000934A8">
        <w:rPr>
          <w:lang w:val="en-US"/>
        </w:rPr>
        <w:t> </w:t>
      </w:r>
      <w:r>
        <w:t>социальном жилье может быть удовлетворена за счет выделения им жилья в</w:t>
      </w:r>
      <w:r w:rsidR="000934A8">
        <w:rPr>
          <w:lang w:val="en-US"/>
        </w:rPr>
        <w:t> </w:t>
      </w:r>
      <w:r>
        <w:t>проблемном квартале.</w:t>
      </w:r>
    </w:p>
    <w:p w:rsidR="00907DF0" w:rsidRDefault="00907DF0" w:rsidP="00907DF0">
      <w:pPr>
        <w:pStyle w:val="SingleTxtGR"/>
      </w:pPr>
      <w:r>
        <w:t>146.</w:t>
      </w:r>
      <w:r>
        <w:tab/>
        <w:t>Альтернативные правила аренды вводятся с той же целью – обеспечить более надежную интеграцию жителей кварталов и гарантировать им равные возможности. Эта мера призвана сформировать более оптимальный состав жильцов. Это достигается, например, следующим образом:</w:t>
      </w:r>
    </w:p>
    <w:p w:rsidR="00907DF0" w:rsidRDefault="00907DF0" w:rsidP="003F51E3">
      <w:pPr>
        <w:pStyle w:val="SingleTxtGR"/>
        <w:ind w:left="1985" w:hanging="284"/>
      </w:pPr>
      <w:r>
        <w:t>-</w:t>
      </w:r>
      <w:r>
        <w:tab/>
        <w:t>"</w:t>
      </w:r>
      <w:r w:rsidRPr="00B730D8">
        <w:rPr>
          <w:i/>
        </w:rPr>
        <w:t>гибкие правила аренды</w:t>
      </w:r>
      <w:r>
        <w:t>": муниципалитеты могут позволить объед</w:t>
      </w:r>
      <w:r>
        <w:t>и</w:t>
      </w:r>
      <w:r>
        <w:t>нениям по управлению социальным жильем сдавать квартиры, рук</w:t>
      </w:r>
      <w:r>
        <w:t>о</w:t>
      </w:r>
      <w:r>
        <w:t>водствуясь определенными критериями, а не в порядке сущ</w:t>
      </w:r>
      <w:r>
        <w:t>е</w:t>
      </w:r>
      <w:r>
        <w:t>ствующей очереди. Это означает, что, например, студентам или работающим л</w:t>
      </w:r>
      <w:r>
        <w:t>ю</w:t>
      </w:r>
      <w:r>
        <w:t>дям, ищущим жилье, квартира будет выделена вне очереди;</w:t>
      </w:r>
    </w:p>
    <w:p w:rsidR="00907DF0" w:rsidRDefault="00907DF0" w:rsidP="003F51E3">
      <w:pPr>
        <w:pStyle w:val="SingleTxtGR"/>
        <w:ind w:left="1985" w:hanging="284"/>
      </w:pPr>
      <w:r>
        <w:t>-</w:t>
      </w:r>
      <w:r>
        <w:tab/>
        <w:t>"</w:t>
      </w:r>
      <w:r w:rsidRPr="00B730D8">
        <w:rPr>
          <w:i/>
        </w:rPr>
        <w:t>смешанная аренда</w:t>
      </w:r>
      <w:r>
        <w:t>": если в районе, где расположено социальное ж</w:t>
      </w:r>
      <w:r>
        <w:t>и</w:t>
      </w:r>
      <w:r>
        <w:t>лье, сосредоточено большое количество безработных, муниципалитет может применить правило "смешанной аренды". Муниципальные вл</w:t>
      </w:r>
      <w:r>
        <w:t>а</w:t>
      </w:r>
      <w:r>
        <w:t>сти могут воспрепятствовать переселению в семейное жилище в соо</w:t>
      </w:r>
      <w:r>
        <w:t>т</w:t>
      </w:r>
      <w:r>
        <w:t>ветствующем районе лиц, живущих на социальное пособие, даже если они стоят пе</w:t>
      </w:r>
      <w:r>
        <w:t>р</w:t>
      </w:r>
      <w:r>
        <w:t>выми в списке ожидания. Вместо них жилье будет сдано в аренду жильцам, ведущим активную трудовую деятельность. Отка</w:t>
      </w:r>
      <w:r>
        <w:t>з</w:t>
      </w:r>
      <w:r>
        <w:t>нику будет предложено аналогичное жилье в другом районе социал</w:t>
      </w:r>
      <w:r>
        <w:t>ь</w:t>
      </w:r>
      <w:r>
        <w:t>ной застройки, где процентная доля работающих жильцов выше.</w:t>
      </w:r>
    </w:p>
    <w:p w:rsidR="00907DF0" w:rsidRDefault="00907DF0" w:rsidP="00907DF0">
      <w:pPr>
        <w:pStyle w:val="SingleTxtGR"/>
      </w:pPr>
      <w:r>
        <w:t>147.</w:t>
      </w:r>
      <w:r>
        <w:tab/>
        <w:t>В законодательстве прописано важное требование о недопущении полной утери соответствующим претендентом на социальное жилье возможности п</w:t>
      </w:r>
      <w:r>
        <w:t>о</w:t>
      </w:r>
      <w:r>
        <w:t>лучения государственного жилья. Поэтому в некоторых случаях муниципал</w:t>
      </w:r>
      <w:r>
        <w:t>ь</w:t>
      </w:r>
      <w:r>
        <w:t>ные власти обязаны выделить претенденту на социальное жилье в качестве з</w:t>
      </w:r>
      <w:r>
        <w:t>а</w:t>
      </w:r>
      <w:r>
        <w:t>мены другое надлежащее жилище.</w:t>
      </w:r>
    </w:p>
    <w:p w:rsidR="00907DF0" w:rsidRDefault="00907DF0" w:rsidP="00B730D8">
      <w:pPr>
        <w:pStyle w:val="H1GR"/>
      </w:pPr>
      <w:r>
        <w:tab/>
      </w:r>
      <w:r>
        <w:tab/>
        <w:t>Статья 5, пункт "e", "iv"</w:t>
      </w:r>
    </w:p>
    <w:p w:rsidR="00907DF0" w:rsidRDefault="00907DF0" w:rsidP="00B730D8">
      <w:pPr>
        <w:pStyle w:val="H1GR"/>
      </w:pPr>
      <w:r>
        <w:tab/>
      </w:r>
      <w:r>
        <w:tab/>
        <w:t>Право на здравоохранение, медицинскую помощь, социальное обеспечение и социальное обслуживание</w:t>
      </w:r>
    </w:p>
    <w:p w:rsidR="00907DF0" w:rsidRDefault="00907DF0" w:rsidP="00907DF0">
      <w:pPr>
        <w:pStyle w:val="SingleTxtGR"/>
      </w:pPr>
      <w:r>
        <w:t>148.</w:t>
      </w:r>
      <w:r>
        <w:tab/>
        <w:t>Все жители Дании имеют право на бесплатное государственное медици</w:t>
      </w:r>
      <w:r>
        <w:t>н</w:t>
      </w:r>
      <w:r>
        <w:t>ское обслуживание, в том числе право на госпитализацию и лечение у терапе</w:t>
      </w:r>
      <w:r>
        <w:t>в</w:t>
      </w:r>
      <w:r>
        <w:t>та или врача-специалиста.</w:t>
      </w:r>
    </w:p>
    <w:p w:rsidR="00907DF0" w:rsidRDefault="00907DF0" w:rsidP="00B730D8">
      <w:pPr>
        <w:pStyle w:val="H23GR"/>
      </w:pPr>
      <w:r>
        <w:tab/>
      </w:r>
      <w:r>
        <w:tab/>
        <w:t>Право на привлечение переводчика при пользовании услугами с</w:t>
      </w:r>
      <w:r>
        <w:t>и</w:t>
      </w:r>
      <w:r>
        <w:t>стемы здравоохранения</w:t>
      </w:r>
    </w:p>
    <w:p w:rsidR="00907DF0" w:rsidRDefault="00907DF0" w:rsidP="00907DF0">
      <w:pPr>
        <w:pStyle w:val="SingleTxtGR"/>
      </w:pPr>
      <w:r>
        <w:t>149.</w:t>
      </w:r>
      <w:r>
        <w:tab/>
        <w:t>Согласно статье</w:t>
      </w:r>
      <w:r w:rsidR="000934A8">
        <w:rPr>
          <w:lang w:val="en-US"/>
        </w:rPr>
        <w:t> </w:t>
      </w:r>
      <w:r>
        <w:t>50 датского закона об охране здоровья все жители стр</w:t>
      </w:r>
      <w:r>
        <w:t>а</w:t>
      </w:r>
      <w:r>
        <w:t>ны, обладающие правом на бесплатное лечение в больницах, у терапевтов или врачей-специалистов, имеют право на бесплатные услуги переводчиков в тех случаях, когда врач считает перевод необходимым для лечения. Во всех сл</w:t>
      </w:r>
      <w:r>
        <w:t>у</w:t>
      </w:r>
      <w:r>
        <w:t>чаях решение о целесообразности привлечения переводчика для назначения лечения принимается врачом. Врачи обязаны проинформировать пациента о его боле</w:t>
      </w:r>
      <w:r>
        <w:t>з</w:t>
      </w:r>
      <w:r>
        <w:t>ни, возможном лечении, побочных эффектах и пр., после чего пациент дает с</w:t>
      </w:r>
      <w:r>
        <w:t>о</w:t>
      </w:r>
      <w:r>
        <w:t>гласие на лечение; это принцип так называемого "осознанного согласия". П</w:t>
      </w:r>
      <w:r>
        <w:t>о</w:t>
      </w:r>
      <w:r>
        <w:t>этому врач должен во всех случаях убедиться в том, что пациент понимает д</w:t>
      </w:r>
      <w:r>
        <w:t>а</w:t>
      </w:r>
      <w:r>
        <w:t>ваемые ему пояснения. Если перевод признан необходимым, врач обязан в</w:t>
      </w:r>
      <w:r>
        <w:t>ы</w:t>
      </w:r>
      <w:r>
        <w:t>звать переводчика.</w:t>
      </w:r>
    </w:p>
    <w:p w:rsidR="00907DF0" w:rsidRDefault="00907DF0" w:rsidP="00907DF0">
      <w:pPr>
        <w:pStyle w:val="SingleTxtGR"/>
      </w:pPr>
      <w:r>
        <w:t>150.</w:t>
      </w:r>
      <w:r>
        <w:tab/>
        <w:t>Не допускается использование детей в качестве переводчиков, например, для своих родителей в ситуациях, когда это противоречит интересам ребенка или нарушает право взрослого на неприкосновенность частной жизни в конте</w:t>
      </w:r>
      <w:r>
        <w:t>к</w:t>
      </w:r>
      <w:r>
        <w:t>сте общения с врачом.</w:t>
      </w:r>
    </w:p>
    <w:p w:rsidR="00907DF0" w:rsidRDefault="00907DF0" w:rsidP="00B730D8">
      <w:pPr>
        <w:pStyle w:val="H23GR"/>
      </w:pPr>
      <w:r>
        <w:tab/>
      </w:r>
      <w:r>
        <w:tab/>
        <w:t>Дети и подростки со специальными потребностями</w:t>
      </w:r>
    </w:p>
    <w:p w:rsidR="00907DF0" w:rsidRDefault="00907DF0" w:rsidP="00907DF0">
      <w:pPr>
        <w:pStyle w:val="SingleTxtGR"/>
      </w:pPr>
      <w:r>
        <w:t>151.</w:t>
      </w:r>
      <w:r>
        <w:tab/>
        <w:t>В соответствии с датским закон</w:t>
      </w:r>
      <w:r w:rsidR="006D3840">
        <w:t>одательством об охране здоровья</w:t>
      </w:r>
      <w:r>
        <w:t xml:space="preserve"> все ме</w:t>
      </w:r>
      <w:r>
        <w:t>д</w:t>
      </w:r>
      <w:r>
        <w:t>сестры первичной системы медицинского обслуживания обязаны со всем вн</w:t>
      </w:r>
      <w:r>
        <w:t>и</w:t>
      </w:r>
      <w:r>
        <w:t>манием относиться к детям и подросткам со специальными потребностями, в</w:t>
      </w:r>
      <w:r w:rsidR="006D3840">
        <w:t> </w:t>
      </w:r>
      <w:r>
        <w:t>том числе из семей недатской национальности, при наличии признаков отст</w:t>
      </w:r>
      <w:r>
        <w:t>а</w:t>
      </w:r>
      <w:r>
        <w:t>вания в развитии (этот термин по-датски включает помимо показателей здор</w:t>
      </w:r>
      <w:r>
        <w:t>о</w:t>
      </w:r>
      <w:r>
        <w:t>вья и роста социальные и личностные моменты). Медсестры выезжают на дом ко всем детям в возрасте до одного года, производят дополнительные надомные осмотры, если у ребенка имеются проблемы со здоровьем и ра</w:t>
      </w:r>
      <w:r>
        <w:t>з</w:t>
      </w:r>
      <w:r>
        <w:t>витием или если дети нуждаются в дополнительном внимании по причине обстановки в семье. Сестры в системе первичного медицинского обслуживания работают во вза</w:t>
      </w:r>
      <w:r>
        <w:t>и</w:t>
      </w:r>
      <w:r>
        <w:t>модействии с терапевтами и отделом социального обслуживания. В период об</w:t>
      </w:r>
      <w:r>
        <w:t>у</w:t>
      </w:r>
      <w:r>
        <w:t>чения в школе сестры системы первичного медицинского обслуживания рег</w:t>
      </w:r>
      <w:r>
        <w:t>у</w:t>
      </w:r>
      <w:r>
        <w:t>лярно проводят беседы о здоровье со всеми детьми, уделяя дополнительное внимание детям с особыми потребностями.</w:t>
      </w:r>
    </w:p>
    <w:p w:rsidR="00907DF0" w:rsidRDefault="00907DF0" w:rsidP="00B730D8">
      <w:pPr>
        <w:pStyle w:val="H23GR"/>
      </w:pPr>
      <w:r>
        <w:tab/>
      </w:r>
      <w:r>
        <w:tab/>
        <w:t>Этнические меньшинства и ВИЧ/СПИД</w:t>
      </w:r>
    </w:p>
    <w:p w:rsidR="00907DF0" w:rsidRDefault="00907DF0" w:rsidP="00907DF0">
      <w:pPr>
        <w:pStyle w:val="SingleTxtGR"/>
      </w:pPr>
      <w:r>
        <w:t>152.</w:t>
      </w:r>
      <w:r>
        <w:tab/>
        <w:t>В Дании всем жителям обеспечен равный доступ к услугам по профила</w:t>
      </w:r>
      <w:r>
        <w:t>к</w:t>
      </w:r>
      <w:r>
        <w:t>тике, лечению, уходу и сопровождению в связи с ВИЧ/СПИДом. Важным эл</w:t>
      </w:r>
      <w:r>
        <w:t>е</w:t>
      </w:r>
      <w:r>
        <w:t>ментом проводимой Данией политики в отношении СПИДа является недоп</w:t>
      </w:r>
      <w:r>
        <w:t>у</w:t>
      </w:r>
      <w:r>
        <w:t>щение дискриминации в любой форме. Важнейшими элементами политики в</w:t>
      </w:r>
      <w:r w:rsidR="000934A8">
        <w:rPr>
          <w:lang w:val="en-US"/>
        </w:rPr>
        <w:t> </w:t>
      </w:r>
      <w:r>
        <w:t>отношении СПИДа являются информация и мотивация. Последние годы чи</w:t>
      </w:r>
      <w:r>
        <w:t>с</w:t>
      </w:r>
      <w:r>
        <w:t>ло вновь выявленных случаев ВИЧ-инфекции в Дании стабилизировалось и</w:t>
      </w:r>
      <w:r w:rsidR="000934A8">
        <w:rPr>
          <w:lang w:val="en-US"/>
        </w:rPr>
        <w:t> </w:t>
      </w:r>
      <w:r>
        <w:t>в</w:t>
      </w:r>
      <w:r w:rsidR="000934A8">
        <w:rPr>
          <w:lang w:val="en-US"/>
        </w:rPr>
        <w:t> </w:t>
      </w:r>
      <w:r>
        <w:t>настоящее время находится на уровне примерно в 250</w:t>
      </w:r>
      <w:r w:rsidR="000934A8">
        <w:rPr>
          <w:lang w:val="en-US"/>
        </w:rPr>
        <w:t> </w:t>
      </w:r>
      <w:r>
        <w:t>случаев в год. В</w:t>
      </w:r>
      <w:r w:rsidR="000934A8">
        <w:rPr>
          <w:lang w:val="en-US"/>
        </w:rPr>
        <w:t> </w:t>
      </w:r>
      <w:r>
        <w:t>2011</w:t>
      </w:r>
      <w:r w:rsidR="000934A8">
        <w:rPr>
          <w:lang w:val="en-US"/>
        </w:rPr>
        <w:t> </w:t>
      </w:r>
      <w:r>
        <w:t>году было выявлено 267</w:t>
      </w:r>
      <w:r w:rsidR="000934A8">
        <w:rPr>
          <w:lang w:val="en-US"/>
        </w:rPr>
        <w:t> </w:t>
      </w:r>
      <w:r>
        <w:t>новых случаев инфекции, 89 из которых прих</w:t>
      </w:r>
      <w:r>
        <w:t>о</w:t>
      </w:r>
      <w:r>
        <w:t>дились на долю иммигрантов.</w:t>
      </w:r>
    </w:p>
    <w:p w:rsidR="00907DF0" w:rsidRDefault="00907DF0" w:rsidP="00907DF0">
      <w:pPr>
        <w:pStyle w:val="SingleTxtGR"/>
      </w:pPr>
      <w:r>
        <w:t>153.</w:t>
      </w:r>
      <w:r>
        <w:tab/>
        <w:t>Проектно-информационному отделу Датского фонда борьбы со СПИДом поручено вести диалог с различными объединениями иммигрантов общинного уровня и на началах партнерства определять, разрабатывать и осуществлять мероприятия, касающиеся ВИЧ/СПИДа. Отдел оказывает своим партнерам по сотрудничеству поддержку в вопросах охраны здоровья и профессиональной деятельности, а также финансовую помощь, а организации общинного уровня вносят свой вклад в виде знания конкретики, культурных и языковых аспектов на всех этапах осуществления соответствующих мероприятий. Благ</w:t>
      </w:r>
      <w:r>
        <w:t>о</w:t>
      </w:r>
      <w:r>
        <w:t>даря этому совместному подходу удалось значительно активизировать профилактические мероприятия по ВИЧ/СПИДу среди членов этнических общин. Организации и</w:t>
      </w:r>
      <w:r w:rsidR="000934A8">
        <w:rPr>
          <w:lang w:val="en-US"/>
        </w:rPr>
        <w:t> </w:t>
      </w:r>
      <w:r>
        <w:t>объединения этнических меньшинств в целом положительно откликнулись на идею о вынесении проблем ВИЧ/СПИДа в повестку дня работы общин и тем самым внесли немалый вклад в усилия по внедрению ориентированного на расширение взаимодействия подхода в профилактическую работу на всех уро</w:t>
      </w:r>
      <w:r>
        <w:t>в</w:t>
      </w:r>
      <w:r>
        <w:t>нях.</w:t>
      </w:r>
    </w:p>
    <w:p w:rsidR="00907DF0" w:rsidRDefault="00907DF0" w:rsidP="00907DF0">
      <w:pPr>
        <w:pStyle w:val="SingleTxtGR"/>
      </w:pPr>
      <w:r>
        <w:t>154.</w:t>
      </w:r>
      <w:r>
        <w:tab/>
        <w:t>В целом в рамках системы здравоохранения все более акцентируется з</w:t>
      </w:r>
      <w:r>
        <w:t>а</w:t>
      </w:r>
      <w:r>
        <w:t xml:space="preserve">дача наращивания усилий, ориентированных на этнические меньшинства. </w:t>
      </w:r>
      <w:r w:rsidR="000934A8" w:rsidRPr="000934A8">
        <w:br/>
      </w:r>
      <w:r>
        <w:t>Так, в 2005</w:t>
      </w:r>
      <w:r w:rsidR="000934A8">
        <w:rPr>
          <w:lang w:val="en-US"/>
        </w:rPr>
        <w:t> </w:t>
      </w:r>
      <w:r>
        <w:t>году было создано сетевое объединение медиков и представителей различных НПО, ведущих работу среди этнических меньшинств. Последние три</w:t>
      </w:r>
      <w:r w:rsidR="000934A8">
        <w:rPr>
          <w:lang w:val="en-US"/>
        </w:rPr>
        <w:t> </w:t>
      </w:r>
      <w:r>
        <w:t>года особое внимание уд</w:t>
      </w:r>
      <w:r w:rsidR="000934A8">
        <w:t>елялось проживающим в Дании ВИЧ</w:t>
      </w:r>
      <w:r w:rsidR="000934A8" w:rsidRPr="000934A8">
        <w:noBreakHyphen/>
      </w:r>
      <w:r>
        <w:t>инфицированным, включая иммигрантов, которые находятся в неведении относительно своего диагноза, поскольку никогда не сдавали анализа. В кру</w:t>
      </w:r>
      <w:r>
        <w:t>п</w:t>
      </w:r>
      <w:r>
        <w:t>ных городах были созд</w:t>
      </w:r>
      <w:r>
        <w:t>а</w:t>
      </w:r>
      <w:r>
        <w:t>ны пункты, где иммигранты могут сдать анализ на ВИЧ и проконсультир</w:t>
      </w:r>
      <w:r>
        <w:t>о</w:t>
      </w:r>
      <w:r>
        <w:t>ваться у неспециалистов в неврачебной обстановке.</w:t>
      </w:r>
    </w:p>
    <w:p w:rsidR="00907DF0" w:rsidRDefault="00907DF0" w:rsidP="00B730D8">
      <w:pPr>
        <w:pStyle w:val="H23GR"/>
      </w:pPr>
      <w:r>
        <w:tab/>
      </w:r>
      <w:r>
        <w:tab/>
        <w:t>Социальное обеспечение и социальное обслуживание</w:t>
      </w:r>
    </w:p>
    <w:p w:rsidR="00907DF0" w:rsidRDefault="00907DF0" w:rsidP="00907DF0">
      <w:pPr>
        <w:pStyle w:val="SingleTxtGR"/>
      </w:pPr>
      <w:r>
        <w:t>155.</w:t>
      </w:r>
      <w:r>
        <w:tab/>
        <w:t>Датская система социального обеспечения обслуживает всех жителей страны и финансируется из налоговых поступлений. Некоторые льготы, такие, как социальные пенсии и семейные пособия, отчасти привязаны к гражданству, но приоритет критерия гражданства может быть преодолен международными соглашениями. Право на социальное обслуживание, например на уход за пр</w:t>
      </w:r>
      <w:r>
        <w:t>е</w:t>
      </w:r>
      <w:r>
        <w:t>старелыми и получение помощи и льгот инвалидами, обусловлено проживан</w:t>
      </w:r>
      <w:r>
        <w:t>и</w:t>
      </w:r>
      <w:r>
        <w:t xml:space="preserve">ем в Дании на законных основаниях и не привязано к гражданству. Это </w:t>
      </w:r>
      <w:r w:rsidR="000934A8" w:rsidRPr="000934A8">
        <w:br/>
      </w:r>
      <w:r>
        <w:t>также означает, что с точки зрения права на пособия лица, на которых распр</w:t>
      </w:r>
      <w:r>
        <w:t>о</w:t>
      </w:r>
      <w:r>
        <w:t>страняется датское законодательство, во время их проживания в другом гос</w:t>
      </w:r>
      <w:r>
        <w:t>у</w:t>
      </w:r>
      <w:r>
        <w:t>дарстве</w:t>
      </w:r>
      <w:r w:rsidR="000934A8">
        <w:rPr>
          <w:lang w:val="en-US"/>
        </w:rPr>
        <w:t> </w:t>
      </w:r>
      <w:r>
        <w:t>– члене ЕС по-прежнему рассматриваются в качестве законно прож</w:t>
      </w:r>
      <w:r>
        <w:t>и</w:t>
      </w:r>
      <w:r>
        <w:t>вающих в Дании.</w:t>
      </w:r>
    </w:p>
    <w:p w:rsidR="00907DF0" w:rsidRDefault="00907DF0" w:rsidP="00B730D8">
      <w:pPr>
        <w:pStyle w:val="H1GR"/>
      </w:pPr>
      <w:r>
        <w:tab/>
      </w:r>
      <w:r>
        <w:tab/>
        <w:t>Статья 5, пункт "e", "v"</w:t>
      </w:r>
    </w:p>
    <w:p w:rsidR="00907DF0" w:rsidRDefault="00907DF0" w:rsidP="00B730D8">
      <w:pPr>
        <w:pStyle w:val="H1GR"/>
      </w:pPr>
      <w:r>
        <w:tab/>
      </w:r>
      <w:r>
        <w:tab/>
        <w:t>Право на образование и профессиональную подготовку</w:t>
      </w:r>
    </w:p>
    <w:p w:rsidR="00907DF0" w:rsidRDefault="00907DF0" w:rsidP="00B730D8">
      <w:pPr>
        <w:pStyle w:val="H23GR"/>
      </w:pPr>
      <w:r>
        <w:tab/>
      </w:r>
      <w:r>
        <w:tab/>
        <w:t>Начальные школы и средние школы низшей ступени (Folkeskolen)</w:t>
      </w:r>
    </w:p>
    <w:p w:rsidR="00907DF0" w:rsidRDefault="00907DF0" w:rsidP="00907DF0">
      <w:pPr>
        <w:pStyle w:val="SingleTxtGR"/>
      </w:pPr>
      <w:r>
        <w:t>156.</w:t>
      </w:r>
      <w:r>
        <w:tab/>
        <w:t>Одной из ключевых задач системы образования остается обеспечение равных возможностей всем детям независимо от их этнического происхожд</w:t>
      </w:r>
      <w:r>
        <w:t>е</w:t>
      </w:r>
      <w:r>
        <w:t>ния. С тем чтобы помочь детям из среды этнических меньшинств достичь этой цели и успешно получить образование, Данией предпринимается ряд мер, и</w:t>
      </w:r>
      <w:r>
        <w:t>н</w:t>
      </w:r>
      <w:r>
        <w:t>формация о которых приводится в пунктах</w:t>
      </w:r>
      <w:r w:rsidR="000934A8">
        <w:rPr>
          <w:lang w:val="en-US"/>
        </w:rPr>
        <w:t> </w:t>
      </w:r>
      <w:r>
        <w:t>152</w:t>
      </w:r>
      <w:r w:rsidR="0067663A">
        <w:t>–</w:t>
      </w:r>
      <w:r>
        <w:t>158 и 179</w:t>
      </w:r>
      <w:r w:rsidR="0067663A">
        <w:t>–</w:t>
      </w:r>
      <w:r>
        <w:t>190 девятнадцатого периодического докл</w:t>
      </w:r>
      <w:r>
        <w:t>а</w:t>
      </w:r>
      <w:r>
        <w:t>да.</w:t>
      </w:r>
    </w:p>
    <w:p w:rsidR="00907DF0" w:rsidRDefault="00907DF0" w:rsidP="00907DF0">
      <w:pPr>
        <w:pStyle w:val="SingleTxtGR"/>
      </w:pPr>
      <w:r>
        <w:t>157.</w:t>
      </w:r>
      <w:r>
        <w:tab/>
        <w:t>Эти усилия нацелены на оказание адекватной поддержки двуязычным ученикам по части преодоления языкового барьера, препятствующего их по</w:t>
      </w:r>
      <w:r>
        <w:t>л</w:t>
      </w:r>
      <w:r>
        <w:t xml:space="preserve">ному и равноправному участию в учебном процессе. Детям в возрасте от </w:t>
      </w:r>
      <w:r w:rsidR="000934A8">
        <w:t>трех</w:t>
      </w:r>
      <w:r>
        <w:t xml:space="preserve"> до примерно </w:t>
      </w:r>
      <w:r w:rsidR="000934A8">
        <w:t>шести</w:t>
      </w:r>
      <w:r>
        <w:t xml:space="preserve"> лет, нуждающимся в поддержке по части овладения да</w:t>
      </w:r>
      <w:r>
        <w:t>т</w:t>
      </w:r>
      <w:r>
        <w:t>ским языком, предоставляется возможность поучаствовать в целенаправленных мероприятиях по углублению знания языка. В начальных школах и средних школах низшей ступени двуязычные дети, нуждающиеся в языковой помощи, вправе изучать датский как второй язык по отдельной программе, в контексте изучения других предметов или обучаться по смешанной методике.</w:t>
      </w:r>
      <w:r>
        <w:tab/>
      </w:r>
    </w:p>
    <w:p w:rsidR="00907DF0" w:rsidRDefault="00907DF0" w:rsidP="00907DF0">
      <w:pPr>
        <w:pStyle w:val="SingleTxtGR"/>
      </w:pPr>
      <w:r>
        <w:t>158.</w:t>
      </w:r>
      <w:r>
        <w:tab/>
        <w:t>Несмотря на эти усилия, у детей из среды этнических меньшинств по-прежнему наблюдается в среднем более низкая успеваемость, чем у их сверс</w:t>
      </w:r>
      <w:r>
        <w:t>т</w:t>
      </w:r>
      <w:r>
        <w:t>ников, принадлежащих к титульной национальн</w:t>
      </w:r>
      <w:r>
        <w:t>о</w:t>
      </w:r>
      <w:r>
        <w:t>сти. Так, например, по данным Программы международной оценки учащихся (ПМОУ) ОЭСР за 2009</w:t>
      </w:r>
      <w:r w:rsidR="000934A8">
        <w:t> </w:t>
      </w:r>
      <w:r>
        <w:t>год, ак</w:t>
      </w:r>
      <w:r>
        <w:t>а</w:t>
      </w:r>
      <w:r>
        <w:t>демические успехи детей из иммигрантской среды оценивались в среднем на 70</w:t>
      </w:r>
      <w:r w:rsidR="000934A8">
        <w:t> </w:t>
      </w:r>
      <w:r>
        <w:t>пунктов ниже, чем у детей титульной национальности, причем по чтению 38</w:t>
      </w:r>
      <w:r w:rsidR="00CF6CDE">
        <w:t xml:space="preserve">% </w:t>
      </w:r>
      <w:r>
        <w:t>детей из иммигрантской среды не дотягивали до второго уровня. Это гов</w:t>
      </w:r>
      <w:r>
        <w:t>о</w:t>
      </w:r>
      <w:r>
        <w:t>рит о том, что им будет нелегко завершить образование в молодом возрасте. А</w:t>
      </w:r>
      <w:r w:rsidR="000934A8">
        <w:t> </w:t>
      </w:r>
      <w:r>
        <w:t>результаты исследований по линии ПМОУ говорят о серьезном воздействии социально-экономической среды на академические успехи детей: разница в</w:t>
      </w:r>
      <w:r w:rsidR="000934A8">
        <w:t> </w:t>
      </w:r>
      <w:r>
        <w:t>успеваемости между этими двумя группами на 1/3–1/2 можно отнести на счет этого фактора. Как представляется, прилагаемые школами усилия по преодол</w:t>
      </w:r>
      <w:r>
        <w:t>е</w:t>
      </w:r>
      <w:r>
        <w:t>нию сложностей, с которыми сталкиваются дети из иммигрантской среды, пр</w:t>
      </w:r>
      <w:r>
        <w:t>и</w:t>
      </w:r>
      <w:r>
        <w:t>носят позитивные результаты, поскольку иммигранты второго поколения и и</w:t>
      </w:r>
      <w:r>
        <w:t>м</w:t>
      </w:r>
      <w:r>
        <w:t xml:space="preserve">мигранты первого поколения, въехавшие в Данию в возрасте до </w:t>
      </w:r>
      <w:r w:rsidR="000934A8">
        <w:t>шести</w:t>
      </w:r>
      <w:r>
        <w:t xml:space="preserve"> лет, п</w:t>
      </w:r>
      <w:r>
        <w:t>о</w:t>
      </w:r>
      <w:r>
        <w:t xml:space="preserve">казывают значительно более высокие результаты, чем иммигранты, прибывшие в страну в возрасте от </w:t>
      </w:r>
      <w:r w:rsidR="000934A8">
        <w:t>шести</w:t>
      </w:r>
      <w:r>
        <w:t xml:space="preserve"> лет.</w:t>
      </w:r>
    </w:p>
    <w:p w:rsidR="00907DF0" w:rsidRDefault="00907DF0" w:rsidP="00907DF0">
      <w:pPr>
        <w:pStyle w:val="SingleTxtGR"/>
      </w:pPr>
      <w:r>
        <w:t>159.</w:t>
      </w:r>
      <w:r>
        <w:tab/>
        <w:t>И все же эти результаты дают повод для беспокойства, и Министерство по делам детей и образования постоянно стремится выявить те области, где н</w:t>
      </w:r>
      <w:r>
        <w:t>е</w:t>
      </w:r>
      <w:r>
        <w:t>обходимо дальнейшее наращивание усилий. Так, например, по итогам провед</w:t>
      </w:r>
      <w:r>
        <w:t>е</w:t>
      </w:r>
      <w:r>
        <w:t>ния на общенациональном уровне ряда оценок проделанной работы правител</w:t>
      </w:r>
      <w:r>
        <w:t>ь</w:t>
      </w:r>
      <w:r>
        <w:t>ством было принято решение об участии в проводимом ОЭСР тематическом о</w:t>
      </w:r>
      <w:r>
        <w:t>б</w:t>
      </w:r>
      <w:r>
        <w:t>зоре, посвященном постановке образования для мигрантов. Этот проект пред</w:t>
      </w:r>
      <w:r>
        <w:t>у</w:t>
      </w:r>
      <w:r>
        <w:t>сматривал подготовку Данией странового доклада с анализом работы, прод</w:t>
      </w:r>
      <w:r>
        <w:t>е</w:t>
      </w:r>
      <w:r>
        <w:t>ланной системой школьного образования Дании, и предложениями о соверше</w:t>
      </w:r>
      <w:r>
        <w:t>н</w:t>
      </w:r>
      <w:r>
        <w:t>ствовании работы с целью более полного удовлетворения нужд учащи</w:t>
      </w:r>
      <w:r>
        <w:t>х</w:t>
      </w:r>
      <w:r>
        <w:t>ся из среды меньшинств.</w:t>
      </w:r>
    </w:p>
    <w:p w:rsidR="00907DF0" w:rsidRDefault="00907DF0" w:rsidP="00B730D8">
      <w:pPr>
        <w:pStyle w:val="H23GR"/>
      </w:pPr>
      <w:r>
        <w:tab/>
      </w:r>
      <w:r>
        <w:tab/>
        <w:t>Общие меры по повышению качества образования</w:t>
      </w:r>
    </w:p>
    <w:p w:rsidR="00907DF0" w:rsidRDefault="00907DF0" w:rsidP="00907DF0">
      <w:pPr>
        <w:pStyle w:val="SingleTxtGR"/>
      </w:pPr>
      <w:r>
        <w:t>160.</w:t>
      </w:r>
      <w:r>
        <w:tab/>
        <w:t>Проводимые аналитические исследования позволяют выявлять трудности и направления, по которым требуется предпринять дополнительные усилия; речь идет, в частности, о наращивании содействия в создании условий для из</w:t>
      </w:r>
      <w:r>
        <w:t>у</w:t>
      </w:r>
      <w:r>
        <w:t>чения языка, более эффективном использовании ресурсов, которыми распол</w:t>
      </w:r>
      <w:r>
        <w:t>а</w:t>
      </w:r>
      <w:r>
        <w:t>гают родители из среды этнических меньшинств, консолидации усилий по ок</w:t>
      </w:r>
      <w:r>
        <w:t>а</w:t>
      </w:r>
      <w:r>
        <w:t>занию поддержки учащимся из среды меньшинств и воспитании более поз</w:t>
      </w:r>
      <w:r>
        <w:t>и</w:t>
      </w:r>
      <w:r>
        <w:t>тивного отношения к многообразию. Для решения этих задач был выдвинут ряд инициативных предложений.</w:t>
      </w:r>
    </w:p>
    <w:p w:rsidR="00907DF0" w:rsidRDefault="00907DF0" w:rsidP="00907DF0">
      <w:pPr>
        <w:pStyle w:val="SingleTxtGR"/>
      </w:pPr>
      <w:r>
        <w:t>161.</w:t>
      </w:r>
      <w:r>
        <w:tab/>
        <w:t>Наиболее важной предпосылкой повышения успеваемости детей из среды этнических меньшинств является общее качество школьного образования. В</w:t>
      </w:r>
      <w:r w:rsidR="000934A8">
        <w:t> </w:t>
      </w:r>
      <w:r>
        <w:t>стремлении укрепить этот важнейший институт общества правительство н</w:t>
      </w:r>
      <w:r>
        <w:t>е</w:t>
      </w:r>
      <w:r>
        <w:t>давно внесло предложение о перестройке системы начального образования и</w:t>
      </w:r>
      <w:r w:rsidR="000934A8">
        <w:t> </w:t>
      </w:r>
      <w:r>
        <w:t>среднего образования низшей ступени. Основная цель заключается, в частн</w:t>
      </w:r>
      <w:r>
        <w:t>о</w:t>
      </w:r>
      <w:r>
        <w:t>сти, в придании школе способности помочь всем учащимся в полной мере ра</w:t>
      </w:r>
      <w:r>
        <w:t>с</w:t>
      </w:r>
      <w:r>
        <w:t>крыть свой потенциал и смягчить воздействие социальной среды на успева</w:t>
      </w:r>
      <w:r>
        <w:t>е</w:t>
      </w:r>
      <w:r>
        <w:t>мость. Кроме того, осуществляемая реформа акцентирует задачу формирования более широкой по составу школы, открытой для всех, включая детей из среды этнических меньшинств. Что касается консультирования в вопросах выбора в</w:t>
      </w:r>
      <w:r>
        <w:t>и</w:t>
      </w:r>
      <w:r>
        <w:t>да образования, профессиональной подготовки и специализации, то осущест</w:t>
      </w:r>
      <w:r>
        <w:t>в</w:t>
      </w:r>
      <w:r>
        <w:t>ляемая с 2009</w:t>
      </w:r>
      <w:r w:rsidR="000934A8">
        <w:t> </w:t>
      </w:r>
      <w:r>
        <w:t>года реформа предполагает фокусирование ресурсов системы консультирования на молодых людях, которые могут испытывать трудности с</w:t>
      </w:r>
      <w:r w:rsidR="000934A8">
        <w:t> </w:t>
      </w:r>
      <w:r>
        <w:t>выбором специализации, поступлением в учебные заведения для молодежи и</w:t>
      </w:r>
      <w:r w:rsidR="000934A8">
        <w:t> </w:t>
      </w:r>
      <w:r>
        <w:t>их окончанием. Благодаря этому наибольшую отдачу от системы консульт</w:t>
      </w:r>
      <w:r>
        <w:t>и</w:t>
      </w:r>
      <w:r>
        <w:t>рования получают молодые люди, которые больше других нуждаются в таких услугах, в том числе дети из среды уязвимых этнических меньшинств.</w:t>
      </w:r>
    </w:p>
    <w:p w:rsidR="00907DF0" w:rsidRDefault="00907DF0" w:rsidP="00B730D8">
      <w:pPr>
        <w:pStyle w:val="H23GR"/>
      </w:pPr>
      <w:r>
        <w:tab/>
      </w:r>
      <w:r>
        <w:tab/>
        <w:t>Конкретные меры в интересах этнических меньшинств</w:t>
      </w:r>
    </w:p>
    <w:p w:rsidR="00907DF0" w:rsidRDefault="00907DF0" w:rsidP="00907DF0">
      <w:pPr>
        <w:pStyle w:val="SingleTxtGR"/>
      </w:pPr>
      <w:r>
        <w:t>162.</w:t>
      </w:r>
      <w:r>
        <w:tab/>
        <w:t>Помимо общих мер по совершенствованию системы школьного образ</w:t>
      </w:r>
      <w:r>
        <w:t>о</w:t>
      </w:r>
      <w:r>
        <w:t>вания был выдвинут ряд инициатив, конкретно нацеленных на преодоление трудностей, с которыми сталкиваются дети из среды этнических меньшинств.</w:t>
      </w:r>
    </w:p>
    <w:p w:rsidR="00907DF0" w:rsidRDefault="00907DF0" w:rsidP="00907DF0">
      <w:pPr>
        <w:pStyle w:val="SingleTxtGR"/>
      </w:pPr>
      <w:r>
        <w:t>163.</w:t>
      </w:r>
      <w:r>
        <w:tab/>
        <w:t>С 2008</w:t>
      </w:r>
      <w:r w:rsidR="000934A8">
        <w:t> </w:t>
      </w:r>
      <w:r>
        <w:t>года целевая группа по вопросам обучения двуязычных учащихся добивается во взаимодействии со школами и муниципальными властями пов</w:t>
      </w:r>
      <w:r>
        <w:t>ы</w:t>
      </w:r>
      <w:r>
        <w:t>шения потенциала школ по удовлетворению нужд двуязычных учеников. Цел</w:t>
      </w:r>
      <w:r>
        <w:t>е</w:t>
      </w:r>
      <w:r>
        <w:t>вая группа дает рекомендации и распространяет информацию о передовом оп</w:t>
      </w:r>
      <w:r>
        <w:t>ы</w:t>
      </w:r>
      <w:r>
        <w:t>те среди всех школ и муниципалитетов, в частности, в рамках кампании, пров</w:t>
      </w:r>
      <w:r>
        <w:t>о</w:t>
      </w:r>
      <w:r>
        <w:t>димой во взаимодействии с общенациональной телевизионной компанией. Кроме того, она оказывает пяти муниципалитетам адресную поддержку по л</w:t>
      </w:r>
      <w:r>
        <w:t>и</w:t>
      </w:r>
      <w:r>
        <w:t>нии комплексных программ повышения успеваемости двуязычных учеников, в</w:t>
      </w:r>
      <w:r w:rsidR="000934A8">
        <w:t> </w:t>
      </w:r>
      <w:r>
        <w:t>частности, в форме разработки местных стратегий, создания сетевых объед</w:t>
      </w:r>
      <w:r>
        <w:t>и</w:t>
      </w:r>
      <w:r>
        <w:t>нений, наработки передового опыта, обмена опытом и подключения родителей к учебному процессу. В 2012</w:t>
      </w:r>
      <w:r w:rsidR="000934A8">
        <w:t> </w:t>
      </w:r>
      <w:r>
        <w:t>году было решено продлить деятельность группы до конца 2015</w:t>
      </w:r>
      <w:r w:rsidR="000934A8">
        <w:t> </w:t>
      </w:r>
      <w:r>
        <w:t>года, укрепить ее потенциал и расширить сферу ее деятельности за счет охвата ею заведений дневного содержания и других заведений по пр</w:t>
      </w:r>
      <w:r>
        <w:t>и</w:t>
      </w:r>
      <w:r>
        <w:t>смотру за детьми. Помимо расширения консультационной деятельности цел</w:t>
      </w:r>
      <w:r>
        <w:t>е</w:t>
      </w:r>
      <w:r>
        <w:t>вой группы по части распространения информации о конкретных инструментах и передовом опыте было заключено глобальное соглашение, благодаря котор</w:t>
      </w:r>
      <w:r>
        <w:t>о</w:t>
      </w:r>
      <w:r>
        <w:t>му поддержку со стороны целевой группой теперь смогут получить 20</w:t>
      </w:r>
      <w:r w:rsidR="000934A8">
        <w:t> </w:t>
      </w:r>
      <w:r>
        <w:t>муниципалитетов. Целевая группа функционирует при централизованной структуре, которая занимается сбором научной информации, разработкой пол</w:t>
      </w:r>
      <w:r>
        <w:t>и</w:t>
      </w:r>
      <w:r>
        <w:t>тики и оказанием консультационных услуг по обучению дв</w:t>
      </w:r>
      <w:r>
        <w:t>у</w:t>
      </w:r>
      <w:r>
        <w:t>язычных учащихся.</w:t>
      </w:r>
    </w:p>
    <w:p w:rsidR="00907DF0" w:rsidRDefault="00907DF0" w:rsidP="00B730D8">
      <w:pPr>
        <w:pStyle w:val="H23GR"/>
      </w:pPr>
      <w:r>
        <w:tab/>
      </w:r>
      <w:r>
        <w:tab/>
        <w:t>Занятия языком с детьми дошкольного возраста</w:t>
      </w:r>
    </w:p>
    <w:p w:rsidR="00907DF0" w:rsidRDefault="00907DF0" w:rsidP="00907DF0">
      <w:pPr>
        <w:pStyle w:val="SingleTxtGR"/>
      </w:pPr>
      <w:r>
        <w:t>164.</w:t>
      </w:r>
      <w:r>
        <w:tab/>
        <w:t>Что касается обучения и присмотра за детьми младшего возраста, то в</w:t>
      </w:r>
      <w:r w:rsidR="000934A8">
        <w:t> </w:t>
      </w:r>
      <w:r>
        <w:t>2010</w:t>
      </w:r>
      <w:r w:rsidR="000934A8">
        <w:t> </w:t>
      </w:r>
      <w:r>
        <w:t>году была проведена рационализация законодательной базы, касающейся обучения языку: были определены общие правила оценки владения языком и</w:t>
      </w:r>
      <w:r w:rsidR="000934A8">
        <w:t> </w:t>
      </w:r>
      <w:r>
        <w:t>оказания помощи в его изучении всем детям, как двуязычным, так и другим. Кроме того, был предпринят ряд инициатив по повышению качества препод</w:t>
      </w:r>
      <w:r>
        <w:t>а</w:t>
      </w:r>
      <w:r>
        <w:t>вания языка детям д</w:t>
      </w:r>
      <w:r>
        <w:t>о</w:t>
      </w:r>
      <w:r>
        <w:t>школьного возраста; речь идет, в частности, о:</w:t>
      </w:r>
    </w:p>
    <w:p w:rsidR="00907DF0" w:rsidRDefault="00B730D8" w:rsidP="003F51E3">
      <w:pPr>
        <w:pStyle w:val="SingleTxtGR"/>
        <w:ind w:left="1985" w:hanging="284"/>
      </w:pPr>
      <w:r w:rsidRPr="00B730D8">
        <w:t>-</w:t>
      </w:r>
      <w:r w:rsidR="00907DF0">
        <w:tab/>
        <w:t>инструменте для оценки вла</w:t>
      </w:r>
      <w:r w:rsidR="000934A8">
        <w:t xml:space="preserve">дения языком детьми в возрасте трех, пяти </w:t>
      </w:r>
      <w:r w:rsidR="00907DF0">
        <w:t>с</w:t>
      </w:r>
      <w:r w:rsidR="006D3840">
        <w:t> </w:t>
      </w:r>
      <w:r w:rsidR="00907DF0">
        <w:t xml:space="preserve">половиной и </w:t>
      </w:r>
      <w:r w:rsidR="000934A8">
        <w:t>шести</w:t>
      </w:r>
      <w:r w:rsidR="00907DF0">
        <w:t xml:space="preserve"> лет, который был разработан совместными ус</w:t>
      </w:r>
      <w:r w:rsidR="00907DF0">
        <w:t>и</w:t>
      </w:r>
      <w:r w:rsidR="00907DF0">
        <w:t>лиями нескольких министерств и ассоциацией датских муниципалит</w:t>
      </w:r>
      <w:r w:rsidR="00907DF0">
        <w:t>е</w:t>
      </w:r>
      <w:r w:rsidR="00907DF0">
        <w:t>тов под названием "Местные органы управления Дании". Этот инс</w:t>
      </w:r>
      <w:r w:rsidR="00907DF0">
        <w:t>т</w:t>
      </w:r>
      <w:r w:rsidR="00907DF0">
        <w:t>румент используется для создания профиля языковых навыков ребе</w:t>
      </w:r>
      <w:r w:rsidR="00907DF0">
        <w:t>н</w:t>
      </w:r>
      <w:r w:rsidR="00907DF0">
        <w:t>ка, позволяющего специалистам определять адресные учебные мер</w:t>
      </w:r>
      <w:r w:rsidR="00907DF0">
        <w:t>о</w:t>
      </w:r>
      <w:r w:rsidR="00907DF0">
        <w:t>приятия и обсуждать с родителями пути совершенствования язык</w:t>
      </w:r>
      <w:r w:rsidR="00907DF0">
        <w:t>о</w:t>
      </w:r>
      <w:r w:rsidR="00907DF0">
        <w:t>вой подготовки их р</w:t>
      </w:r>
      <w:r w:rsidR="00907DF0">
        <w:t>е</w:t>
      </w:r>
      <w:r w:rsidR="00907DF0">
        <w:t>бенка;</w:t>
      </w:r>
    </w:p>
    <w:p w:rsidR="00907DF0" w:rsidRDefault="00B730D8" w:rsidP="003F51E3">
      <w:pPr>
        <w:pStyle w:val="SingleTxtGR"/>
        <w:ind w:left="1985" w:hanging="284"/>
      </w:pPr>
      <w:r w:rsidRPr="00B730D8">
        <w:t>-</w:t>
      </w:r>
      <w:r w:rsidR="00907DF0">
        <w:tab/>
        <w:t>масштабной программе подготовки кадров без отрыва от производс</w:t>
      </w:r>
      <w:r w:rsidR="00907DF0">
        <w:t>т</w:t>
      </w:r>
      <w:r w:rsidR="00907DF0">
        <w:t>ва, в</w:t>
      </w:r>
      <w:r w:rsidR="004063F4">
        <w:t> </w:t>
      </w:r>
      <w:r w:rsidR="00907DF0">
        <w:t>рамках которой 6</w:t>
      </w:r>
      <w:r w:rsidR="000934A8">
        <w:t> 000 </w:t>
      </w:r>
      <w:r w:rsidR="00907DF0">
        <w:t>педагогов и ключевых сотрудников мун</w:t>
      </w:r>
      <w:r w:rsidR="00907DF0">
        <w:t>и</w:t>
      </w:r>
      <w:r w:rsidR="00907DF0">
        <w:t>ципальных администраций, занимающихся вопросами языковой по</w:t>
      </w:r>
      <w:r w:rsidR="00907DF0">
        <w:t>д</w:t>
      </w:r>
      <w:r w:rsidR="00907DF0">
        <w:t>готовки, проходили углубленную научную подготовку, обучаясь на</w:t>
      </w:r>
      <w:r w:rsidR="00907DF0">
        <w:t>и</w:t>
      </w:r>
      <w:r w:rsidR="00907DF0">
        <w:t>более совершенной методике работы с детьми и родителями в интер</w:t>
      </w:r>
      <w:r w:rsidR="00907DF0">
        <w:t>е</w:t>
      </w:r>
      <w:r w:rsidR="00907DF0">
        <w:t>сах развития их языковых навыков. На этот проект было выделено 34,5</w:t>
      </w:r>
      <w:r w:rsidR="00CF6CDE">
        <w:t> млн. </w:t>
      </w:r>
      <w:r w:rsidR="00907DF0">
        <w:t>датских крон; в нем принимают участие 96 из 98 муниц</w:t>
      </w:r>
      <w:r w:rsidR="00907DF0">
        <w:t>и</w:t>
      </w:r>
      <w:r w:rsidR="00907DF0">
        <w:t>пальных образований;</w:t>
      </w:r>
    </w:p>
    <w:p w:rsidR="00907DF0" w:rsidRDefault="00B730D8" w:rsidP="003F51E3">
      <w:pPr>
        <w:pStyle w:val="SingleTxtGR"/>
        <w:ind w:left="1985" w:hanging="284"/>
      </w:pPr>
      <w:r w:rsidRPr="00B730D8">
        <w:t>-</w:t>
      </w:r>
      <w:r w:rsidR="00907DF0">
        <w:tab/>
        <w:t>начало реализации Министерством по делам детей и образования и</w:t>
      </w:r>
      <w:r w:rsidR="00907DF0">
        <w:t>с</w:t>
      </w:r>
      <w:r w:rsidR="00907DF0">
        <w:t xml:space="preserve">следовательского проекта по расширению научной базы для программ языковой подготовки детей дошкольного возраста – от </w:t>
      </w:r>
      <w:r w:rsidR="000934A8">
        <w:t>трех</w:t>
      </w:r>
      <w:r w:rsidR="00907DF0">
        <w:t xml:space="preserve"> до </w:t>
      </w:r>
      <w:r w:rsidR="000934A8">
        <w:t>пяти</w:t>
      </w:r>
      <w:r w:rsidR="00907DF0">
        <w:t xml:space="preserve"> лет. На этот проект, рассчитанный на период 2012–2015</w:t>
      </w:r>
      <w:r w:rsidR="000934A8">
        <w:t> </w:t>
      </w:r>
      <w:r w:rsidR="00907DF0">
        <w:t>годов, выд</w:t>
      </w:r>
      <w:r w:rsidR="00907DF0">
        <w:t>е</w:t>
      </w:r>
      <w:r w:rsidR="00907DF0">
        <w:t>лено 8</w:t>
      </w:r>
      <w:r w:rsidR="00CF6CDE">
        <w:t> млн. </w:t>
      </w:r>
      <w:r w:rsidR="00907DF0">
        <w:t>датских крон. Им охвачено 7</w:t>
      </w:r>
      <w:r w:rsidR="00E60BA9">
        <w:t> </w:t>
      </w:r>
      <w:r w:rsidR="00907DF0">
        <w:t>680</w:t>
      </w:r>
      <w:r w:rsidR="00E60BA9">
        <w:t> </w:t>
      </w:r>
      <w:r w:rsidR="00907DF0">
        <w:t>детей;</w:t>
      </w:r>
    </w:p>
    <w:p w:rsidR="00907DF0" w:rsidRDefault="00B730D8" w:rsidP="003F51E3">
      <w:pPr>
        <w:pStyle w:val="SingleTxtGR"/>
        <w:ind w:left="1985" w:hanging="284"/>
      </w:pPr>
      <w:r w:rsidRPr="00B730D8">
        <w:t>-</w:t>
      </w:r>
      <w:r w:rsidR="00907DF0">
        <w:tab/>
        <w:t>исследовательском проекте, который ставит целью разработку пр</w:t>
      </w:r>
      <w:r w:rsidR="00907DF0">
        <w:t>о</w:t>
      </w:r>
      <w:r w:rsidR="00907DF0">
        <w:t>граммы интерактивного чтения, которая могла бы использоваться п</w:t>
      </w:r>
      <w:r w:rsidR="00907DF0">
        <w:t>е</w:t>
      </w:r>
      <w:r w:rsidR="00907DF0">
        <w:t>дагогами в</w:t>
      </w:r>
      <w:r w:rsidR="006D3840">
        <w:t> </w:t>
      </w:r>
      <w:r w:rsidR="00907DF0">
        <w:t>заведениях дневного содержания для совершенствования языковой под</w:t>
      </w:r>
      <w:r w:rsidR="006D3840">
        <w:t>готовки детей,</w:t>
      </w:r>
      <w:r w:rsidR="00907DF0">
        <w:t xml:space="preserve"> с особым акцентом на одноязычных и двуязычных детях из уязвимых социальных групп. На этот проект, рассчитанный на период 2012–2015</w:t>
      </w:r>
      <w:r w:rsidR="00E60BA9">
        <w:t> </w:t>
      </w:r>
      <w:r w:rsidR="00907DF0">
        <w:t>годов, выделено 16</w:t>
      </w:r>
      <w:r w:rsidR="00CF6CDE">
        <w:t> млн. </w:t>
      </w:r>
      <w:r w:rsidR="00907DF0">
        <w:t>датских крон. Им охвачено около 7</w:t>
      </w:r>
      <w:r w:rsidR="00E60BA9">
        <w:t> 500 </w:t>
      </w:r>
      <w:r w:rsidR="00907DF0">
        <w:t>детей.</w:t>
      </w:r>
    </w:p>
    <w:p w:rsidR="00907DF0" w:rsidRDefault="00907DF0" w:rsidP="00B730D8">
      <w:pPr>
        <w:pStyle w:val="H23GR"/>
      </w:pPr>
      <w:r>
        <w:tab/>
      </w:r>
      <w:r>
        <w:tab/>
        <w:t>Начальные школы и средние школы низшей ступени</w:t>
      </w:r>
    </w:p>
    <w:p w:rsidR="00907DF0" w:rsidRDefault="00907DF0" w:rsidP="00907DF0">
      <w:pPr>
        <w:pStyle w:val="SingleTxtGR"/>
      </w:pPr>
      <w:r>
        <w:t>165.</w:t>
      </w:r>
      <w:r>
        <w:tab/>
        <w:t>В 2012</w:t>
      </w:r>
      <w:r w:rsidR="00E60BA9">
        <w:t> </w:t>
      </w:r>
      <w:r>
        <w:t>году правительство приступило к осуществлению далекоидущей программы развития, нацеленной на повышение успеваемости двуязычных учащихся. Эта программа рассчитана на три года. В этот период 14</w:t>
      </w:r>
      <w:r w:rsidR="00E60BA9">
        <w:t> </w:t>
      </w:r>
      <w:r>
        <w:t>школ в ше</w:t>
      </w:r>
      <w:r>
        <w:t>с</w:t>
      </w:r>
      <w:r>
        <w:t>ти муниципальных образованиях будут активно прорабатывать вопрос о закр</w:t>
      </w:r>
      <w:r>
        <w:t>е</w:t>
      </w:r>
      <w:r>
        <w:t>плении за языком приоритетного места в системе образования. На этот проект выделено 42</w:t>
      </w:r>
      <w:r w:rsidR="00CF6CDE">
        <w:t> млн. </w:t>
      </w:r>
      <w:r>
        <w:t>датских крон. Надзор за его осуществлением поручен цел</w:t>
      </w:r>
      <w:r>
        <w:t>е</w:t>
      </w:r>
      <w:r>
        <w:t>вой группе по вопросам обучения двуязы</w:t>
      </w:r>
      <w:r>
        <w:t>ч</w:t>
      </w:r>
      <w:r>
        <w:t>ных учащихся.</w:t>
      </w:r>
    </w:p>
    <w:p w:rsidR="00907DF0" w:rsidRDefault="00907DF0" w:rsidP="00907DF0">
      <w:pPr>
        <w:pStyle w:val="SingleTxtGR"/>
      </w:pPr>
      <w:r>
        <w:t>166.</w:t>
      </w:r>
      <w:r>
        <w:tab/>
        <w:t>Просьба ознакомиться с пунктом</w:t>
      </w:r>
      <w:r w:rsidR="00E60BA9">
        <w:t> </w:t>
      </w:r>
      <w:r>
        <w:t>16 заключительных замечаний, в кот</w:t>
      </w:r>
      <w:r>
        <w:t>о</w:t>
      </w:r>
      <w:r>
        <w:t>ром Комитет рекомендует Дании проводить общую политику в области образ</w:t>
      </w:r>
      <w:r>
        <w:t>о</w:t>
      </w:r>
      <w:r>
        <w:t>вания по вопросу об обучении на родном языке и принять надлежащие меры по оценке того, нуждаются ли лица из других этнических групп в обучении на родном языке.</w:t>
      </w:r>
    </w:p>
    <w:p w:rsidR="00907DF0" w:rsidRDefault="00907DF0" w:rsidP="00907DF0">
      <w:pPr>
        <w:pStyle w:val="SingleTxtGR"/>
      </w:pPr>
      <w:r>
        <w:t>167.</w:t>
      </w:r>
      <w:r>
        <w:tab/>
        <w:t>В принятом правительством программном документе указывается, что оно будет отдавать приоритет обучению на родном языке. В ходе недавнего и</w:t>
      </w:r>
      <w:r>
        <w:t>с</w:t>
      </w:r>
      <w:r>
        <w:t xml:space="preserve">следования, проведенного по поручению Школьного совета, который выполняет консультативные функции при </w:t>
      </w:r>
      <w:r w:rsidR="0081171D">
        <w:t xml:space="preserve">Министре </w:t>
      </w:r>
      <w:r>
        <w:t>по делам детей и образования, были изучены академические успехи двуязычных учащихся в Дании и Швеции с ц</w:t>
      </w:r>
      <w:r>
        <w:t>е</w:t>
      </w:r>
      <w:r>
        <w:t>лью определить, в частности, результаты применения этими странами разных подходов к обучению на родном языке. Исследователи обнаружили хотя и н</w:t>
      </w:r>
      <w:r>
        <w:t>е</w:t>
      </w:r>
      <w:r>
        <w:t>большую, но статистически значимую позитивную корреляцию между обуч</w:t>
      </w:r>
      <w:r>
        <w:t>е</w:t>
      </w:r>
      <w:r>
        <w:t>нием на родном языке и академическими успехами по некоторым предметам, но ввиду разницы подходов, применяемых в обеих странах, и неопределенностей в</w:t>
      </w:r>
      <w:r w:rsidR="00E60BA9">
        <w:t> </w:t>
      </w:r>
      <w:r>
        <w:t>полученных данных сделать какие-либо твердые выводы относительно во</w:t>
      </w:r>
      <w:r>
        <w:t>з</w:t>
      </w:r>
      <w:r>
        <w:t>действия преподавания на родном языке на академические успехи не удалось.</w:t>
      </w:r>
    </w:p>
    <w:p w:rsidR="00907DF0" w:rsidRDefault="00907DF0" w:rsidP="00907DF0">
      <w:pPr>
        <w:pStyle w:val="SingleTxtGR"/>
      </w:pPr>
      <w:r>
        <w:t>168.</w:t>
      </w:r>
      <w:r>
        <w:tab/>
        <w:t>В развитие результатов указанного выше исследования (п</w:t>
      </w:r>
      <w:r w:rsidR="00E60BA9">
        <w:t>ункт </w:t>
      </w:r>
      <w:r>
        <w:t>36) прав</w:t>
      </w:r>
      <w:r>
        <w:t>и</w:t>
      </w:r>
      <w:r>
        <w:t>тельство недавно приняло решение о выделении 29,5</w:t>
      </w:r>
      <w:r w:rsidR="00CF6CDE">
        <w:t> млн. </w:t>
      </w:r>
      <w:r>
        <w:t>датских крон на о</w:t>
      </w:r>
      <w:r>
        <w:t>б</w:t>
      </w:r>
      <w:r>
        <w:t>ширную экспериментальную программу, предназначенную для изучения р</w:t>
      </w:r>
      <w:r>
        <w:t>е</w:t>
      </w:r>
      <w:r>
        <w:t>зультатов применения различных учебных модулей, которые предназначены для изучения родного языка студентами из среды меньшинств или совершенствов</w:t>
      </w:r>
      <w:r>
        <w:t>а</w:t>
      </w:r>
      <w:r>
        <w:t>ния ими таких языковых знаний. Среди этих мер:</w:t>
      </w:r>
    </w:p>
    <w:p w:rsidR="00907DF0" w:rsidRDefault="00907DF0" w:rsidP="003F51E3">
      <w:pPr>
        <w:pStyle w:val="SingleTxtGR"/>
        <w:ind w:left="1985" w:hanging="284"/>
      </w:pPr>
      <w:r>
        <w:t>-</w:t>
      </w:r>
      <w:r>
        <w:tab/>
        <w:t>применение более традиционных методов обучения родному языку;</w:t>
      </w:r>
    </w:p>
    <w:p w:rsidR="00907DF0" w:rsidRDefault="00907DF0" w:rsidP="003F51E3">
      <w:pPr>
        <w:pStyle w:val="SingleTxtGR"/>
        <w:ind w:left="1985" w:hanging="284"/>
      </w:pPr>
      <w:r>
        <w:t>-</w:t>
      </w:r>
      <w:r>
        <w:tab/>
        <w:t>новый подход к обучению, призванный совершенствовать знание яз</w:t>
      </w:r>
      <w:r>
        <w:t>ы</w:t>
      </w:r>
      <w:r>
        <w:t>ков меньшинств и стимулировать пользование ими в тесном сочетании с преподаванием других предметов с целью повысить усвоение уч</w:t>
      </w:r>
      <w:r>
        <w:t>а</w:t>
      </w:r>
      <w:r>
        <w:t>щимися всех предм</w:t>
      </w:r>
      <w:r>
        <w:t>е</w:t>
      </w:r>
      <w:r>
        <w:t>тов; и</w:t>
      </w:r>
    </w:p>
    <w:p w:rsidR="00907DF0" w:rsidRDefault="00907DF0" w:rsidP="003F51E3">
      <w:pPr>
        <w:pStyle w:val="SingleTxtGR"/>
        <w:ind w:left="1985" w:hanging="284"/>
      </w:pPr>
      <w:r>
        <w:t>-</w:t>
      </w:r>
      <w:r>
        <w:tab/>
        <w:t>прочие нацеленные на углубление лингвистических знаний и успева</w:t>
      </w:r>
      <w:r>
        <w:t>е</w:t>
      </w:r>
      <w:r>
        <w:t>мости учащихся, в особенности из среды меньшинств, меры, которые не содержат элементов преподавания на языках мен</w:t>
      </w:r>
      <w:r>
        <w:t>ь</w:t>
      </w:r>
      <w:r>
        <w:t>шинств.</w:t>
      </w:r>
    </w:p>
    <w:p w:rsidR="00907DF0" w:rsidRDefault="00907DF0" w:rsidP="00907DF0">
      <w:pPr>
        <w:pStyle w:val="SingleTxtGR"/>
      </w:pPr>
      <w:r>
        <w:t>169.</w:t>
      </w:r>
      <w:r>
        <w:tab/>
        <w:t>По линии этой программы будет проводиться отслеживание и сопоста</w:t>
      </w:r>
      <w:r>
        <w:t>в</w:t>
      </w:r>
      <w:r>
        <w:t>ление результатов применения различных мер с точки зрения академической успеваемости и общего благополучия учащихся с целью определить последс</w:t>
      </w:r>
      <w:r>
        <w:t>т</w:t>
      </w:r>
      <w:r>
        <w:t>вия применения различных подходов к повышению успеваемости и благопол</w:t>
      </w:r>
      <w:r>
        <w:t>у</w:t>
      </w:r>
      <w:r>
        <w:t>чия учащихся из среды меньшинств. Этой программой будут охвачены приме</w:t>
      </w:r>
      <w:r>
        <w:t>р</w:t>
      </w:r>
      <w:r>
        <w:t>но 3</w:t>
      </w:r>
      <w:r w:rsidR="00E60BA9">
        <w:t> 500 учащихся из 210 </w:t>
      </w:r>
      <w:r>
        <w:t>школ.</w:t>
      </w:r>
    </w:p>
    <w:p w:rsidR="00907DF0" w:rsidRDefault="00907DF0" w:rsidP="00907DF0">
      <w:pPr>
        <w:pStyle w:val="SingleTxtGR"/>
      </w:pPr>
      <w:r>
        <w:t>170.</w:t>
      </w:r>
      <w:r>
        <w:tab/>
        <w:t>Министерство по делам детей и образования недавно завершило разр</w:t>
      </w:r>
      <w:r>
        <w:t>а</w:t>
      </w:r>
      <w:r>
        <w:t>ботку общенационального стандарта для экзаменов по датскому как второму языку. Цель этой работы – изучить и проанализировать успехи и потенциал двуязычных учеников в зависимости от уровня владения датским языком, имея в виду помочь преподавателям обеспечивать развитие языковых навыков ребе</w:t>
      </w:r>
      <w:r>
        <w:t>н</w:t>
      </w:r>
      <w:r>
        <w:t>ка при преподавании всех предметов. Экзамены проводятся с применением компьютерных методов и адаптированы к уровню, достигнутому каждым о</w:t>
      </w:r>
      <w:r>
        <w:t>т</w:t>
      </w:r>
      <w:r>
        <w:t>дельным учеником.</w:t>
      </w:r>
    </w:p>
    <w:p w:rsidR="00907DF0" w:rsidRDefault="00907DF0" w:rsidP="00907DF0">
      <w:pPr>
        <w:pStyle w:val="SingleTxtGR"/>
      </w:pPr>
      <w:r>
        <w:t>171.</w:t>
      </w:r>
      <w:r>
        <w:tab/>
        <w:t>Законодательство Дании во многих случаях обязывает государственные органы и учреждения прибегать к помощи переводчиков при общении с лиц</w:t>
      </w:r>
      <w:r>
        <w:t>а</w:t>
      </w:r>
      <w:r>
        <w:t>ми, плохо владеющими датским языком. Министерство по делам детей и обр</w:t>
      </w:r>
      <w:r>
        <w:t>а</w:t>
      </w:r>
      <w:r>
        <w:t>зования распространяет информацию о надлежащем порядке привлечения п</w:t>
      </w:r>
      <w:r>
        <w:t>е</w:t>
      </w:r>
      <w:r>
        <w:t>реводчиков в форме официальных инструкций и через целевую группу по в</w:t>
      </w:r>
      <w:r>
        <w:t>о</w:t>
      </w:r>
      <w:r>
        <w:t>просам обучения двуязычных учащихся. Его политическая установка состоит в</w:t>
      </w:r>
      <w:r w:rsidR="00E60BA9">
        <w:t> </w:t>
      </w:r>
      <w:r>
        <w:t>том, что дети ни при каких обстоятельствах не должны привлекаться в кач</w:t>
      </w:r>
      <w:r>
        <w:t>е</w:t>
      </w:r>
      <w:r>
        <w:t>стве переводчиков.</w:t>
      </w:r>
    </w:p>
    <w:p w:rsidR="00907DF0" w:rsidRDefault="00907DF0" w:rsidP="00B730D8">
      <w:pPr>
        <w:pStyle w:val="H23GR"/>
      </w:pPr>
      <w:r>
        <w:tab/>
      </w:r>
      <w:r>
        <w:tab/>
        <w:t>Подготовка преподавательского состава</w:t>
      </w:r>
    </w:p>
    <w:p w:rsidR="00907DF0" w:rsidRDefault="00907DF0" w:rsidP="00907DF0">
      <w:pPr>
        <w:pStyle w:val="SingleTxtGR"/>
      </w:pPr>
      <w:r>
        <w:t>172.</w:t>
      </w:r>
      <w:r>
        <w:tab/>
        <w:t>В 2012</w:t>
      </w:r>
      <w:r w:rsidR="00E60BA9">
        <w:t> </w:t>
      </w:r>
      <w:r>
        <w:t>году была достигнута политическая договоренность о перестро</w:t>
      </w:r>
      <w:r>
        <w:t>й</w:t>
      </w:r>
      <w:r>
        <w:t>ке системы подготовки преподавательского состава. Эта реформа позволит улучшить подготовку преподавателей по всем предметам в части учета потре</w:t>
      </w:r>
      <w:r>
        <w:t>б</w:t>
      </w:r>
      <w:r>
        <w:t>ностей двуязычных учеников. Соответственно, методика обучения двуязы</w:t>
      </w:r>
      <w:r>
        <w:t>ч</w:t>
      </w:r>
      <w:r>
        <w:t>ных учеников, в том числе овладение навыками преподавания датского как второго языка, включается в качестве одной из четырех тем в обязательную педагогич</w:t>
      </w:r>
      <w:r>
        <w:t>е</w:t>
      </w:r>
      <w:r>
        <w:t>скую программу, причем на экзаменах будет отдельно проверяться овладение этими навыками. Тема преподавания двуязычным детям будет затрагиваться и</w:t>
      </w:r>
      <w:r w:rsidR="00E60BA9">
        <w:t> </w:t>
      </w:r>
      <w:r>
        <w:t>при изучении других предметов. Кроме того, в педагогических вузах будут созданы условия для приобретения студентами специальных навыков препод</w:t>
      </w:r>
      <w:r>
        <w:t>а</w:t>
      </w:r>
      <w:r>
        <w:t>вания датского как второго языка.</w:t>
      </w:r>
    </w:p>
    <w:p w:rsidR="00907DF0" w:rsidRDefault="00907DF0" w:rsidP="002F77D6">
      <w:pPr>
        <w:pStyle w:val="H23GR"/>
      </w:pPr>
      <w:r>
        <w:tab/>
      </w:r>
      <w:r>
        <w:tab/>
        <w:t>"Противоотсевный караван"</w:t>
      </w:r>
    </w:p>
    <w:p w:rsidR="00907DF0" w:rsidRDefault="00907DF0" w:rsidP="00907DF0">
      <w:pPr>
        <w:pStyle w:val="SingleTxtGR"/>
      </w:pPr>
      <w:r>
        <w:t>173.</w:t>
      </w:r>
      <w:r>
        <w:tab/>
        <w:t>В проекте "Противоотсевный караван" акцент сделан на этапе перехода от начального образования и среднего образования низшей ступени к профе</w:t>
      </w:r>
      <w:r>
        <w:t>с</w:t>
      </w:r>
      <w:r>
        <w:t>сионально-техническому образованию, а также на трудностях, с которыми сталкиваются консультационные центры, профессионально-технические уч</w:t>
      </w:r>
      <w:r>
        <w:t>и</w:t>
      </w:r>
      <w:r>
        <w:t>лища и производственные училища в плане повышения качества работы и</w:t>
      </w:r>
      <w:r w:rsidR="00E60BA9">
        <w:t> </w:t>
      </w:r>
      <w:r>
        <w:t>улучшения показателей отсева. Общая задача заключается в противодействии отсеву учащихся из среды этнических меньшинств посредством обеспечения равных образовательных возможностей всем молодым людям.</w:t>
      </w:r>
    </w:p>
    <w:p w:rsidR="00907DF0" w:rsidRDefault="00907DF0" w:rsidP="00907DF0">
      <w:pPr>
        <w:pStyle w:val="SingleTxtGR"/>
      </w:pPr>
      <w:r>
        <w:t>174.</w:t>
      </w:r>
      <w:r>
        <w:tab/>
        <w:t>Проведенные в последнее время аналитические исследования говорят о</w:t>
      </w:r>
      <w:r w:rsidR="00E60BA9">
        <w:t> </w:t>
      </w:r>
      <w:r>
        <w:t>неплохих результатах с точки зрения снижения показателей отсева в учас</w:t>
      </w:r>
      <w:r>
        <w:t>т</w:t>
      </w:r>
      <w:r>
        <w:t>вующих в проекте школах. Данные этих исследований говорят о том, что эти положительные результаты можно отнести, в частности, на счет следующих трех подходов к противодействию отсеву:</w:t>
      </w:r>
    </w:p>
    <w:p w:rsidR="00907DF0" w:rsidRDefault="00907DF0" w:rsidP="003F51E3">
      <w:pPr>
        <w:pStyle w:val="SingleTxtGR"/>
        <w:ind w:left="1985" w:hanging="284"/>
      </w:pPr>
      <w:r>
        <w:t>-</w:t>
      </w:r>
      <w:r>
        <w:tab/>
        <w:t>постоянное уделение пристального внимания совершенствованию э</w:t>
      </w:r>
      <w:r>
        <w:t>ф</w:t>
      </w:r>
      <w:r>
        <w:t>фективных методов преподавания с особым акцентом на подкрепле</w:t>
      </w:r>
      <w:r>
        <w:t>н</w:t>
      </w:r>
      <w:r>
        <w:t>ной ресурсами мотивационной педагогической методике и</w:t>
      </w:r>
      <w:r w:rsidR="004063F4">
        <w:t xml:space="preserve"> </w:t>
      </w:r>
      <w:r>
        <w:t>на изуч</w:t>
      </w:r>
      <w:r>
        <w:t>е</w:t>
      </w:r>
      <w:r>
        <w:t>нии языка в</w:t>
      </w:r>
      <w:r w:rsidR="0098534D">
        <w:t> </w:t>
      </w:r>
      <w:r>
        <w:t>качестве магистрального пути к овладению знаниями;</w:t>
      </w:r>
    </w:p>
    <w:p w:rsidR="00907DF0" w:rsidRDefault="00907DF0" w:rsidP="003F51E3">
      <w:pPr>
        <w:pStyle w:val="SingleTxtGR"/>
        <w:ind w:left="1985" w:hanging="284"/>
      </w:pPr>
      <w:r>
        <w:t>-</w:t>
      </w:r>
      <w:r>
        <w:tab/>
        <w:t>приложение усилий к введению транспарентной практики беспрепя</w:t>
      </w:r>
      <w:r>
        <w:t>т</w:t>
      </w:r>
      <w:r>
        <w:t>ственного взаимодействия между школой, родителями, консультант</w:t>
      </w:r>
      <w:r>
        <w:t>а</w:t>
      </w:r>
      <w:r>
        <w:t>ми, горо</w:t>
      </w:r>
      <w:r>
        <w:t>д</w:t>
      </w:r>
      <w:r>
        <w:t>скими властями и местными предприятиями;</w:t>
      </w:r>
    </w:p>
    <w:p w:rsidR="00907DF0" w:rsidRDefault="00907DF0" w:rsidP="003F51E3">
      <w:pPr>
        <w:pStyle w:val="SingleTxtGR"/>
        <w:ind w:left="1985" w:hanging="284"/>
      </w:pPr>
      <w:r>
        <w:t>-</w:t>
      </w:r>
      <w:r>
        <w:tab/>
        <w:t>привлечение линейных консультантов для содействия внедрению о</w:t>
      </w:r>
      <w:r>
        <w:t>б</w:t>
      </w:r>
      <w:r>
        <w:t>щего курса на всеохватность и совершенствование работы школ п</w:t>
      </w:r>
      <w:r>
        <w:t>о</w:t>
      </w:r>
      <w:r>
        <w:t>средством налаживания подкрепленного практическими примерами диалога по вопросам стратегического руководства образовательным процессом и систематической подготовки специал</w:t>
      </w:r>
      <w:r>
        <w:t>и</w:t>
      </w:r>
      <w:r>
        <w:t>стов.</w:t>
      </w:r>
    </w:p>
    <w:p w:rsidR="00907DF0" w:rsidRDefault="00907DF0" w:rsidP="00907DF0">
      <w:pPr>
        <w:pStyle w:val="SingleTxtGR"/>
      </w:pPr>
      <w:r>
        <w:t>175.</w:t>
      </w:r>
      <w:r>
        <w:tab/>
        <w:t>Учитывая вдохновляющие результаты осуществления проекта "Против</w:t>
      </w:r>
      <w:r>
        <w:t>о</w:t>
      </w:r>
      <w:r>
        <w:t>отсевный караван", было выделено 43</w:t>
      </w:r>
      <w:r w:rsidR="00CF6CDE">
        <w:t> млн. </w:t>
      </w:r>
      <w:r>
        <w:t>датских крон на дальнейшую работу целевой группы по внедрению вышеуказанной модели консультационной де</w:t>
      </w:r>
      <w:r>
        <w:t>я</w:t>
      </w:r>
      <w:r>
        <w:t>тельности с общим акцентом на профессионально-технических училищах. Эту работу предполагается подкрепить аналитическими исследованиями. Задача с</w:t>
      </w:r>
      <w:r>
        <w:t>о</w:t>
      </w:r>
      <w:r>
        <w:t>стоит в недопущении отсева учащихся посредством уделения первоочередного внимания молодым людям из семей без образования или с низким образов</w:t>
      </w:r>
      <w:r>
        <w:t>а</w:t>
      </w:r>
      <w:r>
        <w:t>тельным уровнем и из среды меньшинств, включая принадлежащих к меньши</w:t>
      </w:r>
      <w:r>
        <w:t>н</w:t>
      </w:r>
      <w:r>
        <w:t>ствам юношей из семей с нулевым или низким уровнем образования, не упу</w:t>
      </w:r>
      <w:r>
        <w:t>с</w:t>
      </w:r>
      <w:r>
        <w:t>кая при этом из виду задач подготовки преподавателей и укрепления руков</w:t>
      </w:r>
      <w:r>
        <w:t>о</w:t>
      </w:r>
      <w:r>
        <w:t>дства образовательным процессом.</w:t>
      </w:r>
    </w:p>
    <w:p w:rsidR="00907DF0" w:rsidRDefault="00907DF0" w:rsidP="002F77D6">
      <w:pPr>
        <w:pStyle w:val="H23GR"/>
      </w:pPr>
      <w:r>
        <w:tab/>
      </w:r>
      <w:r>
        <w:tab/>
        <w:t>"Молодежный пакет 2" (2009 год)</w:t>
      </w:r>
    </w:p>
    <w:p w:rsidR="00907DF0" w:rsidRDefault="00907DF0" w:rsidP="00907DF0">
      <w:pPr>
        <w:pStyle w:val="SingleTxtGR"/>
      </w:pPr>
      <w:r>
        <w:t>176.</w:t>
      </w:r>
      <w:r>
        <w:tab/>
        <w:t>По линии разработанной правительством молодежной программы под н</w:t>
      </w:r>
      <w:r>
        <w:t>а</w:t>
      </w:r>
      <w:r>
        <w:t>званием "Молодежный пакет</w:t>
      </w:r>
      <w:r w:rsidR="00E60BA9">
        <w:t> </w:t>
      </w:r>
      <w:r>
        <w:t>2" были активизированы усилия с целью д</w:t>
      </w:r>
      <w:r>
        <w:t>о</w:t>
      </w:r>
      <w:r>
        <w:t>биться сокращения числа молодых людей, бросающих работу и производстве</w:t>
      </w:r>
      <w:r>
        <w:t>н</w:t>
      </w:r>
      <w:r>
        <w:t>ную подготовку, и в конечном итоге повышения уровня подготовленности тр</w:t>
      </w:r>
      <w:r>
        <w:t>у</w:t>
      </w:r>
      <w:r>
        <w:t>довых ресурсов за счет таких молодых людей. Акцент в этой инициативе сд</w:t>
      </w:r>
      <w:r>
        <w:t>е</w:t>
      </w:r>
      <w:r>
        <w:t>лан на следующих трех моментах: начальная школа, переходный период и</w:t>
      </w:r>
      <w:r w:rsidR="00E60BA9">
        <w:t> </w:t>
      </w:r>
      <w:r>
        <w:t>среднее о</w:t>
      </w:r>
      <w:r>
        <w:t>б</w:t>
      </w:r>
      <w:r>
        <w:t>разование.</w:t>
      </w:r>
    </w:p>
    <w:p w:rsidR="00907DF0" w:rsidRDefault="00907DF0" w:rsidP="00907DF0">
      <w:pPr>
        <w:pStyle w:val="SingleTxtGR"/>
      </w:pPr>
      <w:r>
        <w:t>177.</w:t>
      </w:r>
      <w:r>
        <w:tab/>
        <w:t>В ходе недавно проведенной оценки проекта "Молодежный пакет</w:t>
      </w:r>
      <w:r w:rsidR="00E60BA9">
        <w:t> </w:t>
      </w:r>
      <w:r>
        <w:t>2" сд</w:t>
      </w:r>
      <w:r>
        <w:t>е</w:t>
      </w:r>
      <w:r>
        <w:t>лан вывод о том, что предусмотренные им инициативы позволили значительно снизить число молодых людей, не охваченных ни учебой, ни работой, ни др</w:t>
      </w:r>
      <w:r>
        <w:t>у</w:t>
      </w:r>
      <w:r>
        <w:t>гими видами деятельности.</w:t>
      </w:r>
    </w:p>
    <w:p w:rsidR="00907DF0" w:rsidRDefault="00907DF0" w:rsidP="002F77D6">
      <w:pPr>
        <w:pStyle w:val="H1GR"/>
      </w:pPr>
      <w:r>
        <w:tab/>
      </w:r>
      <w:r>
        <w:tab/>
        <w:t>Статья 5, пункт "e", "vi"</w:t>
      </w:r>
    </w:p>
    <w:p w:rsidR="00907DF0" w:rsidRDefault="00907DF0" w:rsidP="002F77D6">
      <w:pPr>
        <w:pStyle w:val="H1GR"/>
      </w:pPr>
      <w:r>
        <w:tab/>
      </w:r>
      <w:r>
        <w:tab/>
        <w:t>Право на равное участие в культурной жизни</w:t>
      </w:r>
    </w:p>
    <w:p w:rsidR="00907DF0" w:rsidRDefault="00907DF0" w:rsidP="00907DF0">
      <w:pPr>
        <w:pStyle w:val="SingleTxtGR"/>
      </w:pPr>
      <w:r>
        <w:t>178.</w:t>
      </w:r>
      <w:r>
        <w:tab/>
        <w:t>Законодательные и организационные основы сферы культуры и общие цели политики Дании в этой области зиждутся на принципе свободы выраж</w:t>
      </w:r>
      <w:r>
        <w:t>е</w:t>
      </w:r>
      <w:r>
        <w:t>ния, который предполагает обеспечение всем жит</w:t>
      </w:r>
      <w:r>
        <w:t>е</w:t>
      </w:r>
      <w:r>
        <w:t>лям Дании или посещающим ее лицам возможности активно участвовать в культурной жизни в самом шир</w:t>
      </w:r>
      <w:r>
        <w:t>о</w:t>
      </w:r>
      <w:r>
        <w:t>ком смысле и побуждение их к такому участию.</w:t>
      </w:r>
    </w:p>
    <w:p w:rsidR="00907DF0" w:rsidRDefault="00907DF0" w:rsidP="00907DF0">
      <w:pPr>
        <w:pStyle w:val="SingleTxtGR"/>
      </w:pPr>
      <w:r>
        <w:t>179.</w:t>
      </w:r>
      <w:r>
        <w:tab/>
        <w:t>Предпринимаются различные политические меры по обеспечению всем жителям Дании равного доступа к культурной жизни и равного права на уч</w:t>
      </w:r>
      <w:r>
        <w:t>а</w:t>
      </w:r>
      <w:r>
        <w:t>стие в ней.</w:t>
      </w:r>
    </w:p>
    <w:p w:rsidR="00907DF0" w:rsidRDefault="00907DF0" w:rsidP="00907DF0">
      <w:pPr>
        <w:pStyle w:val="SingleTxtGR"/>
      </w:pPr>
      <w:r>
        <w:t>180.</w:t>
      </w:r>
      <w:r>
        <w:tab/>
        <w:t>К числу мер общего характера относятся: децентрализация, бесплатный вход или скидки на билеты, применение информационных технологий и оци</w:t>
      </w:r>
      <w:r>
        <w:t>ф</w:t>
      </w:r>
      <w:r>
        <w:t>ровывания, защита авторского права и коллективные лицензии, а также расш</w:t>
      </w:r>
      <w:r>
        <w:t>и</w:t>
      </w:r>
      <w:r>
        <w:t>рение аудитории. Благодаря государственной системе финансирования уд</w:t>
      </w:r>
      <w:r>
        <w:t>а</w:t>
      </w:r>
      <w:r>
        <w:t>лось обеспечить покрытие территории Дании услугами самых разнообразных учр</w:t>
      </w:r>
      <w:r>
        <w:t>е</w:t>
      </w:r>
      <w:r>
        <w:t>ждений культуры, таких, как музеи, театры, оркестры, залы, библиотеки, муз</w:t>
      </w:r>
      <w:r>
        <w:t>ы</w:t>
      </w:r>
      <w:r>
        <w:t>кальные школы для детей и молодежи, что облегчает всеобщий доступ к кул</w:t>
      </w:r>
      <w:r>
        <w:t>ь</w:t>
      </w:r>
      <w:r>
        <w:t>турным ценностям.</w:t>
      </w:r>
    </w:p>
    <w:p w:rsidR="00907DF0" w:rsidRDefault="00CF6CDE" w:rsidP="002F77D6">
      <w:pPr>
        <w:pStyle w:val="H23GR"/>
      </w:pPr>
      <w:r>
        <w:tab/>
      </w:r>
      <w:r>
        <w:tab/>
        <w:t>Меры культурной</w:t>
      </w:r>
      <w:r w:rsidR="00907DF0">
        <w:t xml:space="preserve"> политики охватывают всех жителей Дании независимо от их этнического происхождения, вероисповедания, языка или</w:t>
      </w:r>
      <w:r>
        <w:t xml:space="preserve"> </w:t>
      </w:r>
      <w:r w:rsidR="00907DF0">
        <w:t>прочих обстоятельств</w:t>
      </w:r>
    </w:p>
    <w:p w:rsidR="00907DF0" w:rsidRDefault="00907DF0" w:rsidP="00907DF0">
      <w:pPr>
        <w:pStyle w:val="SingleTxtGR"/>
      </w:pPr>
      <w:r>
        <w:t>181.</w:t>
      </w:r>
      <w:r>
        <w:tab/>
        <w:t>Помимо указанных мер общего характера осуществляется также ряд инициатив, ориентированных на отдельные группы и призванных обеспечить им доступ к культурным мероприятиям и участие в них; к их числу относятся, в</w:t>
      </w:r>
      <w:r w:rsidR="00E60BA9">
        <w:t> </w:t>
      </w:r>
      <w:r>
        <w:t>первую очередь, дети и молодежь, немецкое меньшинство и творческие р</w:t>
      </w:r>
      <w:r>
        <w:t>а</w:t>
      </w:r>
      <w:r>
        <w:t>ботники из иммигрантской или поликультурной среды. Национальным советом по искусству приняты меры, ориентированные на творческих работников из иммигрантской или поликультурной среды; они направлены на ознакомление этих деятелей и спонсоров художественных проектов, разрабатываемых имм</w:t>
      </w:r>
      <w:r>
        <w:t>и</w:t>
      </w:r>
      <w:r>
        <w:t>грантами, с возможностями получения в Дании государственных субсидий на художественно-культурные мероприятия.</w:t>
      </w:r>
    </w:p>
    <w:p w:rsidR="00907DF0" w:rsidRDefault="00907DF0" w:rsidP="00907DF0">
      <w:pPr>
        <w:pStyle w:val="SingleTxtGR"/>
      </w:pPr>
      <w:r>
        <w:t>182.</w:t>
      </w:r>
      <w:r>
        <w:tab/>
        <w:t>В плане действий Национального совета по искусству на 2011–2015</w:t>
      </w:r>
      <w:r w:rsidR="00E60BA9">
        <w:t> </w:t>
      </w:r>
      <w:r>
        <w:t>годы обозначены принципы, определяющие деятельность Совета в вопросах кул</w:t>
      </w:r>
      <w:r>
        <w:t>ь</w:t>
      </w:r>
      <w:r>
        <w:t>турного многообразия. В нем, в частности, отмечается, что "культурное и худ</w:t>
      </w:r>
      <w:r>
        <w:t>о</w:t>
      </w:r>
      <w:r>
        <w:t>жественное многообразие – это собирательный термин, обозначающий шир</w:t>
      </w:r>
      <w:r>
        <w:t>о</w:t>
      </w:r>
      <w:r>
        <w:t>кий круг позитивных принципов, важных для работы Национального совета по искусству; это устойчивость культурной деятельности, свобода выражения и</w:t>
      </w:r>
      <w:r w:rsidR="00E60BA9">
        <w:t> </w:t>
      </w:r>
      <w:r>
        <w:t>взаимное уважение, равные возможности для всех независимо от их пола, р</w:t>
      </w:r>
      <w:r>
        <w:t>а</w:t>
      </w:r>
      <w:r>
        <w:t>сового или этнического происхождения, вероисповедания или убеждений, а</w:t>
      </w:r>
      <w:r w:rsidR="00E60BA9">
        <w:t> </w:t>
      </w:r>
      <w:r>
        <w:t>также социального происхождения".</w:t>
      </w:r>
    </w:p>
    <w:p w:rsidR="00907DF0" w:rsidRDefault="00907DF0" w:rsidP="00907DF0">
      <w:pPr>
        <w:pStyle w:val="SingleTxtGR"/>
      </w:pPr>
      <w:r>
        <w:t>183.</w:t>
      </w:r>
      <w:r>
        <w:tab/>
        <w:t>Национальный совет по искусству нацеливает свою деятельность на в</w:t>
      </w:r>
      <w:r>
        <w:t>ы</w:t>
      </w:r>
      <w:r>
        <w:t>явление и преодоление социокультурных препятствий, с которыми сталкиваю</w:t>
      </w:r>
      <w:r>
        <w:t>т</w:t>
      </w:r>
      <w:r>
        <w:t>ся обращающиеся в него лица, например, п</w:t>
      </w:r>
      <w:r>
        <w:t>о</w:t>
      </w:r>
      <w:r>
        <w:t>средством расширения и развития программы наставничества, введенной в экспериментальном порядке прежним советом по искусству. Совет по искусству и его комитеты намерены рассмо</w:t>
      </w:r>
      <w:r>
        <w:t>т</w:t>
      </w:r>
      <w:r>
        <w:t>реть и уточнить принятые ими принципы обеспечения многообразия и побу</w:t>
      </w:r>
      <w:r>
        <w:t>ж</w:t>
      </w:r>
      <w:r>
        <w:t>дать конкурсантов проверять на прочность установленные Советом эстетич</w:t>
      </w:r>
      <w:r>
        <w:t>е</w:t>
      </w:r>
      <w:r>
        <w:t>ские критерии, выдвигая проекты, идущие в новых направлениях.</w:t>
      </w:r>
    </w:p>
    <w:p w:rsidR="00907DF0" w:rsidRDefault="00907DF0" w:rsidP="00907DF0">
      <w:pPr>
        <w:pStyle w:val="SingleTxtGR"/>
      </w:pPr>
      <w:r>
        <w:t>184.</w:t>
      </w:r>
      <w:r>
        <w:tab/>
        <w:t>Программа наставничества была разработана в рамках принятого Сов</w:t>
      </w:r>
      <w:r>
        <w:t>е</w:t>
      </w:r>
      <w:r>
        <w:t>том на период 2007–2011</w:t>
      </w:r>
      <w:r w:rsidR="00E60BA9">
        <w:t> </w:t>
      </w:r>
      <w:r>
        <w:t>годов поликультурного проекта. Эта программа пр</w:t>
      </w:r>
      <w:r>
        <w:t>и</w:t>
      </w:r>
      <w:r>
        <w:t>звана выдвинуть на видное место в культурной жи</w:t>
      </w:r>
      <w:r>
        <w:t>з</w:t>
      </w:r>
      <w:r>
        <w:t>ни Дании группу творческих работников, которые по тем или иным причинам не смогли закрепиться на х</w:t>
      </w:r>
      <w:r>
        <w:t>у</w:t>
      </w:r>
      <w:r>
        <w:t>дожественной сцене Дании. В ее основу положена классическая схема наста</w:t>
      </w:r>
      <w:r>
        <w:t>в</w:t>
      </w:r>
      <w:r>
        <w:t>ничества, задача которой – помочь подопечному реализовать и развивать свои способности и таланты. Наставник предоставляет свой опыт, знания и видение в распоряжение подопечного и тем самым выступает в роли ресурса, с пом</w:t>
      </w:r>
      <w:r>
        <w:t>о</w:t>
      </w:r>
      <w:r>
        <w:t>щью которого подопечный может упрочить свое положение; он дает профе</w:t>
      </w:r>
      <w:r>
        <w:t>с</w:t>
      </w:r>
      <w:r>
        <w:t>сиональную оценку и, что немаловажно, делится своим опытом, связями и ко</w:t>
      </w:r>
      <w:r>
        <w:t>н</w:t>
      </w:r>
      <w:r>
        <w:t>тактами. К настоящему времени между поликультурными творческими рабо</w:t>
      </w:r>
      <w:r>
        <w:t>т</w:t>
      </w:r>
      <w:r>
        <w:t>никами и известными мастерами заключено от 20 до 25</w:t>
      </w:r>
      <w:r w:rsidR="00E60BA9">
        <w:t> </w:t>
      </w:r>
      <w:r>
        <w:t>соглашений о наста</w:t>
      </w:r>
      <w:r>
        <w:t>в</w:t>
      </w:r>
      <w:r>
        <w:t>ничестве. Программа наставничества предусматривает также организацию и</w:t>
      </w:r>
      <w:r>
        <w:t>н</w:t>
      </w:r>
      <w:r>
        <w:t>формационных брифингов для поликультурных творческих работников и сем</w:t>
      </w:r>
      <w:r>
        <w:t>и</w:t>
      </w:r>
      <w:r>
        <w:t>наров для работников художественных и культурных учреждений. Эти мер</w:t>
      </w:r>
      <w:r>
        <w:t>о</w:t>
      </w:r>
      <w:r>
        <w:t>приятия проводятся с целью распространения информации и утверждения принципа поликультурности в качестве важного стимула для развития культу</w:t>
      </w:r>
      <w:r>
        <w:t>р</w:t>
      </w:r>
      <w:r>
        <w:t>ной жизни Дании.</w:t>
      </w:r>
    </w:p>
    <w:p w:rsidR="00907DF0" w:rsidRDefault="00907DF0" w:rsidP="00907DF0">
      <w:pPr>
        <w:pStyle w:val="SingleTxtGR"/>
      </w:pPr>
      <w:r>
        <w:t>185.</w:t>
      </w:r>
      <w:r>
        <w:tab/>
        <w:t>Помимо деятельности Национального совета по искусству на постоянной основе ведется упорная, целенаправленная работа в объединениях, занима</w:t>
      </w:r>
      <w:r>
        <w:t>ю</w:t>
      </w:r>
      <w:r>
        <w:t>щихся общеобразовательными вопросами, спорти</w:t>
      </w:r>
      <w:r>
        <w:t>в</w:t>
      </w:r>
      <w:r>
        <w:t>ных обществах, библиотеках и многих других учреждениях культуры с целью создания площадок для вза</w:t>
      </w:r>
      <w:r>
        <w:t>и</w:t>
      </w:r>
      <w:r>
        <w:t>модействия различных культур, существующих на всех уровнях датского общ</w:t>
      </w:r>
      <w:r>
        <w:t>е</w:t>
      </w:r>
      <w:r>
        <w:t>ства.</w:t>
      </w:r>
    </w:p>
    <w:p w:rsidR="00907DF0" w:rsidRDefault="00907DF0" w:rsidP="002F77D6">
      <w:pPr>
        <w:pStyle w:val="H1GR"/>
      </w:pPr>
      <w:r>
        <w:tab/>
      </w:r>
      <w:r>
        <w:tab/>
        <w:t>Статья 5, пункт "f"</w:t>
      </w:r>
    </w:p>
    <w:p w:rsidR="00907DF0" w:rsidRDefault="00907DF0" w:rsidP="002F77D6">
      <w:pPr>
        <w:pStyle w:val="H1GR"/>
      </w:pPr>
      <w:r>
        <w:tab/>
      </w:r>
      <w:r>
        <w:tab/>
        <w:t>Право на доступ к любому месту или любому виду обслуживания</w:t>
      </w:r>
    </w:p>
    <w:p w:rsidR="00907DF0" w:rsidRDefault="00907DF0" w:rsidP="00907DF0">
      <w:pPr>
        <w:pStyle w:val="SingleTxtGR"/>
      </w:pPr>
      <w:r>
        <w:t>186.</w:t>
      </w:r>
      <w:r>
        <w:tab/>
        <w:t>В отношении закона о запрещении дискриминации по признаку расы просьба ознакомиться с и</w:t>
      </w:r>
      <w:r>
        <w:t>н</w:t>
      </w:r>
      <w:r>
        <w:t>формацией, представленной в настоящем докладе по статье</w:t>
      </w:r>
      <w:r w:rsidR="00E60BA9">
        <w:t> </w:t>
      </w:r>
      <w:r>
        <w:t>4.</w:t>
      </w:r>
    </w:p>
    <w:p w:rsidR="00907DF0" w:rsidRDefault="00907DF0" w:rsidP="00CF6CDE">
      <w:pPr>
        <w:pStyle w:val="H1GR"/>
      </w:pPr>
      <w:r>
        <w:tab/>
      </w:r>
      <w:r>
        <w:tab/>
        <w:t>Статья 6</w:t>
      </w:r>
    </w:p>
    <w:p w:rsidR="00907DF0" w:rsidRDefault="00907DF0" w:rsidP="002F77D6">
      <w:pPr>
        <w:pStyle w:val="H1GR"/>
      </w:pPr>
      <w:r>
        <w:tab/>
      </w:r>
      <w:r>
        <w:tab/>
        <w:t>Эффективная защита и средства защиты</w:t>
      </w:r>
    </w:p>
    <w:p w:rsidR="00907DF0" w:rsidRPr="00CF6CDE" w:rsidRDefault="00907DF0" w:rsidP="00CF6CDE">
      <w:pPr>
        <w:pStyle w:val="SingleTxtGR"/>
      </w:pPr>
      <w:r w:rsidRPr="00CF6CDE">
        <w:t>187.</w:t>
      </w:r>
      <w:r w:rsidRPr="00CF6CDE">
        <w:tab/>
        <w:t>Просьба ознакомиться с соображениями по статье</w:t>
      </w:r>
      <w:r w:rsidR="00E60BA9">
        <w:t> </w:t>
      </w:r>
      <w:r w:rsidRPr="00CF6CDE">
        <w:t>4, изложенными в</w:t>
      </w:r>
      <w:r w:rsidR="00CF6CDE">
        <w:t> </w:t>
      </w:r>
      <w:r w:rsidRPr="00CF6CDE">
        <w:t>настоящем докладе.</w:t>
      </w:r>
    </w:p>
    <w:p w:rsidR="00907DF0" w:rsidRDefault="00907DF0" w:rsidP="002F77D6">
      <w:pPr>
        <w:pStyle w:val="H23GR"/>
      </w:pPr>
      <w:r>
        <w:tab/>
      </w:r>
      <w:r>
        <w:tab/>
        <w:t>Учреждение органа, ответственного за посредничество и рассмотрение жалоб, в целях во</w:t>
      </w:r>
      <w:r>
        <w:t>с</w:t>
      </w:r>
      <w:r>
        <w:t>питания ответственности в деловой сфере</w:t>
      </w:r>
    </w:p>
    <w:p w:rsidR="00907DF0" w:rsidRDefault="00907DF0" w:rsidP="00907DF0">
      <w:pPr>
        <w:pStyle w:val="SingleTxtGR"/>
      </w:pPr>
      <w:r>
        <w:t>188.</w:t>
      </w:r>
      <w:r>
        <w:tab/>
        <w:t>В ноябре 2012</w:t>
      </w:r>
      <w:r w:rsidR="00E60BA9">
        <w:t> </w:t>
      </w:r>
      <w:r>
        <w:t>года в соответствии с нормами действующего законод</w:t>
      </w:r>
      <w:r>
        <w:t>а</w:t>
      </w:r>
      <w:r>
        <w:t>тельства был учрежден орган, ответственный за посредничество и рассмотр</w:t>
      </w:r>
      <w:r>
        <w:t>е</w:t>
      </w:r>
      <w:r>
        <w:t>ние жалоб, в целях воспитания ответственности в деловой сфере. Этот орган будет заниматься случаями возможного нарушения международных руковод</w:t>
      </w:r>
      <w:r>
        <w:t>я</w:t>
      </w:r>
      <w:r>
        <w:t>щих принципов КСО, в том числе прав человека, датскими частными или гос</w:t>
      </w:r>
      <w:r>
        <w:t>у</w:t>
      </w:r>
      <w:r>
        <w:t>дарственными компан</w:t>
      </w:r>
      <w:r>
        <w:t>и</w:t>
      </w:r>
      <w:r>
        <w:t>ями, властями страны, частными или государственными организациями и их деловыми партнерами. Этот орган наделен независимым статусом в составе государственной администрации. Учреждение эт</w:t>
      </w:r>
      <w:r>
        <w:t>о</w:t>
      </w:r>
      <w:r>
        <w:t>го органа означало, что Дания в соответствии со своими международными обязательс</w:t>
      </w:r>
      <w:r>
        <w:t>т</w:t>
      </w:r>
      <w:r>
        <w:t>вами обзавелась национальным координационным пунктом, который уполном</w:t>
      </w:r>
      <w:r>
        <w:t>о</w:t>
      </w:r>
      <w:r>
        <w:t>чен заниматься случаями нарушения Руководящих принципов ОЭСР для мн</w:t>
      </w:r>
      <w:r>
        <w:t>о</w:t>
      </w:r>
      <w:r>
        <w:t>гонациональных предприятий.</w:t>
      </w:r>
    </w:p>
    <w:p w:rsidR="00907DF0" w:rsidRDefault="00907DF0" w:rsidP="00907DF0">
      <w:pPr>
        <w:pStyle w:val="SingleTxtGR"/>
      </w:pPr>
      <w:r>
        <w:t>189.</w:t>
      </w:r>
      <w:r>
        <w:tab/>
        <w:t>Жалоба может быть подана в орган, ответственный за посредничество и</w:t>
      </w:r>
      <w:r w:rsidR="00E60BA9">
        <w:t> </w:t>
      </w:r>
      <w:r>
        <w:t>рассмотрение жалоб, любым лицом от себя лично или от имени третьей ст</w:t>
      </w:r>
      <w:r>
        <w:t>о</w:t>
      </w:r>
      <w:r>
        <w:t>роны. По случаям, связанным с нарушением международных руководящих принципов, касающихся КСО, этот орган может инициировать диалог между вовлеченными сторонами с целью поиска приемлемого решения. Если стороны не в состоянии прийти к удовлетворительному решению по случаю нарушения, этот орган может предложить свои посреднические услуги. Он наделен правом проводить свое собственное расследование, если это будет сочтено необход</w:t>
      </w:r>
      <w:r>
        <w:t>и</w:t>
      </w:r>
      <w:r>
        <w:t>мым.</w:t>
      </w:r>
    </w:p>
    <w:p w:rsidR="00907DF0" w:rsidRDefault="00907DF0" w:rsidP="00907DF0">
      <w:pPr>
        <w:pStyle w:val="SingleTxtGR"/>
      </w:pPr>
      <w:r>
        <w:t>190.</w:t>
      </w:r>
      <w:r>
        <w:tab/>
        <w:t>Кроме того, орган будет оказывать помощь датским компаниям в их ус</w:t>
      </w:r>
      <w:r>
        <w:t>и</w:t>
      </w:r>
      <w:r>
        <w:t>лиях по соблюдению международных руководящих принципов, касающихся КСО, вынося свои заключения и рекомендации.</w:t>
      </w:r>
    </w:p>
    <w:p w:rsidR="00907DF0" w:rsidRDefault="00907DF0" w:rsidP="002F77D6">
      <w:pPr>
        <w:pStyle w:val="H23GR"/>
      </w:pPr>
      <w:r>
        <w:tab/>
      </w:r>
      <w:r>
        <w:tab/>
        <w:t>Комиссия по равному обращению</w:t>
      </w:r>
    </w:p>
    <w:p w:rsidR="00907DF0" w:rsidRDefault="00907DF0" w:rsidP="00907DF0">
      <w:pPr>
        <w:pStyle w:val="SingleTxtGR"/>
      </w:pPr>
      <w:r>
        <w:t>191.</w:t>
      </w:r>
      <w:r>
        <w:tab/>
        <w:t>Комиссия по равному обращению, которая была учреждена 1</w:t>
      </w:r>
      <w:r w:rsidR="00E60BA9">
        <w:t> января 2009 </w:t>
      </w:r>
      <w:r>
        <w:t>года, рассматривает случаи дискриминации по всем признакам, оговоре</w:t>
      </w:r>
      <w:r>
        <w:t>н</w:t>
      </w:r>
      <w:r>
        <w:t>ным в антидискриминационном законодательстве страны. Просьба ознакомит</w:t>
      </w:r>
      <w:r>
        <w:t>ь</w:t>
      </w:r>
      <w:r>
        <w:t>ся с пунктами</w:t>
      </w:r>
      <w:r w:rsidR="00E60BA9">
        <w:t> 167–</w:t>
      </w:r>
      <w:r>
        <w:t>172 девятнадцатого периодического доклада.</w:t>
      </w:r>
    </w:p>
    <w:p w:rsidR="00907DF0" w:rsidRDefault="00907DF0" w:rsidP="00907DF0">
      <w:pPr>
        <w:pStyle w:val="SingleTxtGR"/>
      </w:pPr>
      <w:r>
        <w:t>192.</w:t>
      </w:r>
      <w:r>
        <w:tab/>
        <w:t>Комиссия ведет обширную работу по повышению осведомленности в в</w:t>
      </w:r>
      <w:r>
        <w:t>о</w:t>
      </w:r>
      <w:r>
        <w:t>просах борьбы с дискриминацией в целом. Следует отметить, что секретариат Комиссии по равному обращению регулярно контактирует с организациями и</w:t>
      </w:r>
      <w:r w:rsidR="00E60BA9">
        <w:t> </w:t>
      </w:r>
      <w:r>
        <w:t>другими заинтересованными лицами, которые специализируются по вопросам равноправия или проявляют к ним особый интерес. Такие совещания проводя</w:t>
      </w:r>
      <w:r>
        <w:t>т</w:t>
      </w:r>
      <w:r>
        <w:t>ся с целью поиска путей наиболее оптимального взаимодействия Комиссии с</w:t>
      </w:r>
      <w:r w:rsidR="00E60BA9">
        <w:t> </w:t>
      </w:r>
      <w:r>
        <w:t>гражданами, желающими обсудить проблемы равного обращения. Кроме того, секретариат проводит просветительские мероприятия для организаций и про</w:t>
      </w:r>
      <w:r>
        <w:t>ф</w:t>
      </w:r>
      <w:r>
        <w:t>союзов.</w:t>
      </w:r>
    </w:p>
    <w:p w:rsidR="00907DF0" w:rsidRDefault="00907DF0" w:rsidP="00907DF0">
      <w:pPr>
        <w:pStyle w:val="SingleTxtGR"/>
      </w:pPr>
      <w:r>
        <w:t>193.</w:t>
      </w:r>
      <w:r>
        <w:tab/>
        <w:t>За период 2009–2012</w:t>
      </w:r>
      <w:r w:rsidR="00E60BA9">
        <w:t> </w:t>
      </w:r>
      <w:r>
        <w:t>годов Комиссией по равному обращению было ра</w:t>
      </w:r>
      <w:r>
        <w:t>с</w:t>
      </w:r>
      <w:r>
        <w:t>смотрено в общей сложности 109</w:t>
      </w:r>
      <w:r w:rsidR="00E60BA9">
        <w:t> </w:t>
      </w:r>
      <w:r>
        <w:t>дел, касающихся дискриминации на почве р</w:t>
      </w:r>
      <w:r>
        <w:t>а</w:t>
      </w:r>
      <w:r>
        <w:t>сового или этнического происхождения (2009</w:t>
      </w:r>
      <w:r w:rsidR="00E60BA9">
        <w:t> </w:t>
      </w:r>
      <w:r>
        <w:t>год – 22</w:t>
      </w:r>
      <w:r w:rsidR="00E60BA9">
        <w:t> </w:t>
      </w:r>
      <w:r>
        <w:t>дела; 2010</w:t>
      </w:r>
      <w:r w:rsidR="00E60BA9">
        <w:t> </w:t>
      </w:r>
      <w:r>
        <w:t>год – 26</w:t>
      </w:r>
      <w:r w:rsidR="00E60BA9">
        <w:t> </w:t>
      </w:r>
      <w:r>
        <w:t>дел; 2011</w:t>
      </w:r>
      <w:r w:rsidR="00E60BA9">
        <w:t> </w:t>
      </w:r>
      <w:r>
        <w:t>год – 43</w:t>
      </w:r>
      <w:r w:rsidR="00E60BA9">
        <w:t> </w:t>
      </w:r>
      <w:r>
        <w:t>дела; 2012</w:t>
      </w:r>
      <w:r w:rsidR="00E60BA9">
        <w:t> </w:t>
      </w:r>
      <w:r>
        <w:t>год – 18</w:t>
      </w:r>
      <w:r w:rsidR="00E60BA9">
        <w:t> </w:t>
      </w:r>
      <w:r>
        <w:t>дел). За этот период Комиссия вынесла реш</w:t>
      </w:r>
      <w:r>
        <w:t>е</w:t>
      </w:r>
      <w:r>
        <w:t xml:space="preserve">ния в пользу заявителей в </w:t>
      </w:r>
      <w:r w:rsidR="00E60BA9">
        <w:t>девяти</w:t>
      </w:r>
      <w:r>
        <w:t xml:space="preserve"> из 109</w:t>
      </w:r>
      <w:r w:rsidR="00E60BA9">
        <w:t> </w:t>
      </w:r>
      <w:r>
        <w:t>случаев.</w:t>
      </w:r>
    </w:p>
    <w:p w:rsidR="00907DF0" w:rsidRDefault="00907DF0" w:rsidP="00907DF0">
      <w:pPr>
        <w:pStyle w:val="SingleTxtGR"/>
      </w:pPr>
      <w:r>
        <w:t>194.</w:t>
      </w:r>
      <w:r>
        <w:tab/>
        <w:t>Что касается рекомендации, содержащейся в пункте</w:t>
      </w:r>
      <w:r w:rsidR="00CF6CDE">
        <w:t> </w:t>
      </w:r>
      <w:r>
        <w:t>18 заключительных замечаний, то просьба ознакомиться с информацией, представленной прав</w:t>
      </w:r>
      <w:r>
        <w:t>и</w:t>
      </w:r>
      <w:r>
        <w:t>тельством 24</w:t>
      </w:r>
      <w:r w:rsidR="00E60BA9">
        <w:t> </w:t>
      </w:r>
      <w:r>
        <w:t>августа 2011</w:t>
      </w:r>
      <w:r w:rsidR="00E60BA9">
        <w:t> </w:t>
      </w:r>
      <w:r>
        <w:t>года (CERD/C/DNK/CO/18-19/Add.1, п</w:t>
      </w:r>
      <w:r w:rsidR="00CF6CDE">
        <w:t>ункты 14–</w:t>
      </w:r>
      <w:r>
        <w:t>15).</w:t>
      </w:r>
    </w:p>
    <w:p w:rsidR="00907DF0" w:rsidRDefault="00907DF0" w:rsidP="002F77D6">
      <w:pPr>
        <w:pStyle w:val="H1GR"/>
      </w:pPr>
      <w:r>
        <w:tab/>
      </w:r>
      <w:r>
        <w:tab/>
        <w:t>Статья 7</w:t>
      </w:r>
    </w:p>
    <w:p w:rsidR="00907DF0" w:rsidRDefault="00907DF0" w:rsidP="002F77D6">
      <w:pPr>
        <w:pStyle w:val="H1GR"/>
      </w:pPr>
      <w:r>
        <w:tab/>
      </w:r>
      <w:r>
        <w:tab/>
        <w:t>Борьба с предрассудками, ведущими к расовой дискриминации</w:t>
      </w:r>
    </w:p>
    <w:p w:rsidR="00907DF0" w:rsidRDefault="00907DF0" w:rsidP="002F77D6">
      <w:pPr>
        <w:pStyle w:val="H23GR"/>
      </w:pPr>
      <w:r>
        <w:tab/>
      </w:r>
      <w:r>
        <w:tab/>
        <w:t>Изучение гражданских дисциплин</w:t>
      </w:r>
    </w:p>
    <w:p w:rsidR="00907DF0" w:rsidRDefault="00907DF0" w:rsidP="00907DF0">
      <w:pPr>
        <w:pStyle w:val="SingleTxtGR"/>
      </w:pPr>
      <w:r>
        <w:t>195.</w:t>
      </w:r>
      <w:r>
        <w:tab/>
        <w:t>Главной задачей обучения учащихся начальных школ и средних школ низшей ступени системы обязательного образования является борьба с</w:t>
      </w:r>
      <w:r w:rsidR="00E60BA9">
        <w:t> </w:t>
      </w:r>
      <w:r>
        <w:t>предубеждениями и воспитание терпимости. Занятия по обществоведению призваны помочь ученикам усвоить, что они, как и другие, являются частицей общества, и побудить их к осознанному и ангажированному участию в жизни общества на демократических принципах. Одной из трех основных тематич</w:t>
      </w:r>
      <w:r>
        <w:t>е</w:t>
      </w:r>
      <w:r>
        <w:t>ских областей, охватываемых этим предметом, являются "социокультурные в</w:t>
      </w:r>
      <w:r>
        <w:t>о</w:t>
      </w:r>
      <w:r>
        <w:t>просы". Одна из ключевых задач в этой области состоит в том, чтобы побудить учеников к размышлению о значении их собственных и чужих стереотипных представлений о различных группах и осознать важность социокультурного многообразия с точки зрения сосуществования в глобальном масштабе.</w:t>
      </w:r>
    </w:p>
    <w:p w:rsidR="00907DF0" w:rsidRDefault="00907DF0" w:rsidP="00907DF0">
      <w:pPr>
        <w:pStyle w:val="SingleTxtGR"/>
      </w:pPr>
      <w:r>
        <w:t>196.</w:t>
      </w:r>
      <w:r>
        <w:tab/>
        <w:t>Данные международного сравнительного анализа (Международное и</w:t>
      </w:r>
      <w:r>
        <w:t>с</w:t>
      </w:r>
      <w:r>
        <w:t>следование по программам воспитания гражданственности), проведенного в</w:t>
      </w:r>
      <w:r w:rsidR="00E60BA9">
        <w:t> </w:t>
      </w:r>
      <w:r>
        <w:t>2009</w:t>
      </w:r>
      <w:r w:rsidR="00E60BA9">
        <w:t> </w:t>
      </w:r>
      <w:r>
        <w:t>году, свидетельствуют о том, что датские, а также финские ученики восьмого класса лучше других понимают суть основанной на всеобщем участии демократии и гражданственности, имеющиеся межкультурные проблемы, выя</w:t>
      </w:r>
      <w:r>
        <w:t>в</w:t>
      </w:r>
      <w:r>
        <w:t>ляют проблемы и предлагают пути урегулирования конфликтов.</w:t>
      </w:r>
    </w:p>
    <w:p w:rsidR="00907DF0" w:rsidRDefault="00907DF0" w:rsidP="00907DF0">
      <w:pPr>
        <w:pStyle w:val="SingleTxtGR"/>
      </w:pPr>
      <w:r>
        <w:t>197.</w:t>
      </w:r>
      <w:r>
        <w:tab/>
        <w:t>Министерство по делам детей и образования намерено опубликовать предназначенный для составления образовательной программы документ с и</w:t>
      </w:r>
      <w:r>
        <w:t>з</w:t>
      </w:r>
      <w:r>
        <w:t>ложением руководящих принципов, регулирующих затрагивающее различные сферы международное измерение образования, включая темы терпимости, гр</w:t>
      </w:r>
      <w:r>
        <w:t>а</w:t>
      </w:r>
      <w:r>
        <w:t>жданственности, прав человека и другие аспекты, касающиеся борьбы с раси</w:t>
      </w:r>
      <w:r>
        <w:t>з</w:t>
      </w:r>
      <w:r>
        <w:t>мом и стереотипными представлениями, воспитания способности к сопереж</w:t>
      </w:r>
      <w:r>
        <w:t>и</w:t>
      </w:r>
      <w:r>
        <w:t>ванию и умения урегулировать конфликты.</w:t>
      </w:r>
    </w:p>
    <w:p w:rsidR="00907DF0" w:rsidRDefault="00907DF0" w:rsidP="002F77D6">
      <w:pPr>
        <w:pStyle w:val="H23GR"/>
      </w:pPr>
      <w:r>
        <w:tab/>
      </w:r>
      <w:r>
        <w:tab/>
        <w:t>Стратегия набора представителей этнических меньшинств в</w:t>
      </w:r>
      <w:r w:rsidR="00CF6CDE">
        <w:t> </w:t>
      </w:r>
      <w:r>
        <w:t>государственные администр</w:t>
      </w:r>
      <w:r>
        <w:t>а</w:t>
      </w:r>
      <w:r>
        <w:t>тивные органы</w:t>
      </w:r>
    </w:p>
    <w:p w:rsidR="00907DF0" w:rsidRDefault="00907DF0" w:rsidP="00907DF0">
      <w:pPr>
        <w:pStyle w:val="SingleTxtGR"/>
      </w:pPr>
      <w:r>
        <w:t>198.</w:t>
      </w:r>
      <w:r>
        <w:tab/>
        <w:t>В государственных административных органах делается особый упор на то, чтобы сделать поступление на работу в них привлекательным для лиц ра</w:t>
      </w:r>
      <w:r>
        <w:t>з</w:t>
      </w:r>
      <w:r>
        <w:t>личного происхождения. В 2005</w:t>
      </w:r>
      <w:r w:rsidR="00E60BA9">
        <w:t> </w:t>
      </w:r>
      <w:r>
        <w:t>году была поставлена цель довести число с</w:t>
      </w:r>
      <w:r>
        <w:t>о</w:t>
      </w:r>
      <w:r>
        <w:t>трудников недатского происхождения в составе государственных администр</w:t>
      </w:r>
      <w:r>
        <w:t>а</w:t>
      </w:r>
      <w:r w:rsidR="006D3840">
        <w:t>тивных органов как минимум</w:t>
      </w:r>
      <w:r>
        <w:t xml:space="preserve"> до 4</w:t>
      </w:r>
      <w:r w:rsidR="00E60BA9">
        <w:t>%</w:t>
      </w:r>
      <w:r>
        <w:t>.</w:t>
      </w:r>
    </w:p>
    <w:p w:rsidR="00907DF0" w:rsidRDefault="00907DF0" w:rsidP="00907DF0">
      <w:pPr>
        <w:pStyle w:val="SingleTxtGR"/>
      </w:pPr>
      <w:r>
        <w:t>199.</w:t>
      </w:r>
      <w:r>
        <w:tab/>
        <w:t>Агентство по модернизации системы государственной администрации о</w:t>
      </w:r>
      <w:r>
        <w:t>т</w:t>
      </w:r>
      <w:r>
        <w:t>слеживает ход набора лиц недатского происхождения в государственные орг</w:t>
      </w:r>
      <w:r>
        <w:t>а</w:t>
      </w:r>
      <w:r>
        <w:t>ны. С 2005 по 2012</w:t>
      </w:r>
      <w:r w:rsidR="00E60BA9">
        <w:t> </w:t>
      </w:r>
      <w:r>
        <w:t>год доля иммигрантов из незападных стран и их потомков в</w:t>
      </w:r>
      <w:r w:rsidR="00E60BA9">
        <w:t> </w:t>
      </w:r>
      <w:r>
        <w:t>государственных административных органах возросла с 2</w:t>
      </w:r>
      <w:r w:rsidR="0081171D">
        <w:t>%</w:t>
      </w:r>
      <w:r>
        <w:t xml:space="preserve"> до 3,2</w:t>
      </w:r>
      <w:r w:rsidR="00CF6CDE">
        <w:t>%</w:t>
      </w:r>
      <w:r>
        <w:t xml:space="preserve"> от общей численности работников. В 2012</w:t>
      </w:r>
      <w:r w:rsidR="00E60BA9">
        <w:t> </w:t>
      </w:r>
      <w:r>
        <w:t>году доля иммигрантов из незападных стран и</w:t>
      </w:r>
      <w:r w:rsidR="00E60BA9">
        <w:t> </w:t>
      </w:r>
      <w:r>
        <w:t>их потомков среди вновь набранных работников достигла приблизител</w:t>
      </w:r>
      <w:r>
        <w:t>ь</w:t>
      </w:r>
      <w:r>
        <w:t>но</w:t>
      </w:r>
      <w:r w:rsidR="00E60BA9">
        <w:t> </w:t>
      </w:r>
      <w:r>
        <w:t>6</w:t>
      </w:r>
      <w:r w:rsidR="00E60BA9">
        <w:t>%</w:t>
      </w:r>
      <w:r>
        <w:t>.</w:t>
      </w:r>
    </w:p>
    <w:p w:rsidR="00907DF0" w:rsidRDefault="00907DF0" w:rsidP="002F77D6">
      <w:pPr>
        <w:pStyle w:val="H23GR"/>
      </w:pPr>
      <w:r>
        <w:tab/>
      </w:r>
      <w:r>
        <w:tab/>
        <w:t>Набор представителей этнических меньшинств в полицейскую службу</w:t>
      </w:r>
    </w:p>
    <w:p w:rsidR="00907DF0" w:rsidRDefault="00907DF0" w:rsidP="00907DF0">
      <w:pPr>
        <w:pStyle w:val="SingleTxtGR"/>
      </w:pPr>
      <w:r>
        <w:t>200.</w:t>
      </w:r>
      <w:r>
        <w:tab/>
        <w:t>За время, истекшее с момента представления Данией своего девятнадц</w:t>
      </w:r>
      <w:r>
        <w:t>а</w:t>
      </w:r>
      <w:r>
        <w:t>того периодического доклада, полицейская служба страны продолжала вести активную работу по набору лиц недатского происхождения. Среди недавних инициатив – выпуск рекламного листка "Работа в полиции – будущее ваших д</w:t>
      </w:r>
      <w:r>
        <w:t>е</w:t>
      </w:r>
      <w:r>
        <w:t>тей?" на восьми различных языках с целью ускорить набор полицейских из ср</w:t>
      </w:r>
      <w:r>
        <w:t>е</w:t>
      </w:r>
      <w:r>
        <w:t>ды меньшинств. Выпуск этого рекламного листка, который был ориентирован на старшее поколение, представлял собой попытку устранить некоторые кул</w:t>
      </w:r>
      <w:r>
        <w:t>ь</w:t>
      </w:r>
      <w:r>
        <w:t>турные барьеры, препятствующие поступлению на службу в полицию.</w:t>
      </w:r>
    </w:p>
    <w:p w:rsidR="00907DF0" w:rsidRDefault="00907DF0" w:rsidP="00907DF0">
      <w:pPr>
        <w:pStyle w:val="SingleTxtGR"/>
      </w:pPr>
      <w:r>
        <w:t>201.</w:t>
      </w:r>
      <w:r>
        <w:tab/>
        <w:t>В пункте</w:t>
      </w:r>
      <w:r w:rsidR="00E60BA9">
        <w:t> </w:t>
      </w:r>
      <w:r>
        <w:t>11 своих заключительных замечаний по докладу Дании Комитет настоятельно призвал правительство принять конкретные меры по определению основных причин того, почему заявители из иных этнических групп, чем да</w:t>
      </w:r>
      <w:r>
        <w:t>т</w:t>
      </w:r>
      <w:r>
        <w:t>чане, не проходят тест для найма в полицию и бросают учебу в полицейских училищах.</w:t>
      </w:r>
    </w:p>
    <w:p w:rsidR="00907DF0" w:rsidRDefault="00907DF0" w:rsidP="00907DF0">
      <w:pPr>
        <w:pStyle w:val="SingleTxtGR"/>
      </w:pPr>
      <w:r>
        <w:t>202.</w:t>
      </w:r>
      <w:r>
        <w:tab/>
        <w:t>Со всеми курсантами, бросающими Национальное полицейское училище, независимо от их этнического происхождения проводится собеседование. Чи</w:t>
      </w:r>
      <w:r>
        <w:t>с</w:t>
      </w:r>
      <w:r>
        <w:t>ло курсантов недатского этнического происхождения настолько невелико, что выявить четкую тенденцию или установить причины отсева не представилось возможным. Развитие событий на этом направлении будет пристально отслеж</w:t>
      </w:r>
      <w:r>
        <w:t>и</w:t>
      </w:r>
      <w:r>
        <w:t>ваться.</w:t>
      </w:r>
    </w:p>
    <w:tbl>
      <w:tblPr>
        <w:tblW w:w="0" w:type="auto"/>
        <w:tblInd w:w="1134" w:type="dxa"/>
        <w:tblBorders>
          <w:top w:val="single" w:sz="4" w:space="0" w:color="auto"/>
        </w:tblBorders>
        <w:tblLayout w:type="fixed"/>
        <w:tblCellMar>
          <w:left w:w="0" w:type="dxa"/>
          <w:right w:w="0" w:type="dxa"/>
        </w:tblCellMar>
        <w:tblLook w:val="04A0"/>
      </w:tblPr>
      <w:tblGrid>
        <w:gridCol w:w="3360"/>
        <w:gridCol w:w="1002"/>
        <w:gridCol w:w="1003"/>
        <w:gridCol w:w="1003"/>
        <w:gridCol w:w="1003"/>
      </w:tblGrid>
      <w:tr w:rsidR="00F2466A" w:rsidRPr="00F2466A" w:rsidTr="001D4AE0">
        <w:trPr>
          <w:tblHeader/>
        </w:trPr>
        <w:tc>
          <w:tcPr>
            <w:tcW w:w="3360" w:type="dxa"/>
            <w:tcBorders>
              <w:top w:val="single" w:sz="4" w:space="0" w:color="auto"/>
              <w:bottom w:val="single" w:sz="12" w:space="0" w:color="auto"/>
            </w:tcBorders>
            <w:shd w:val="clear" w:color="auto" w:fill="auto"/>
            <w:noWrap/>
            <w:vAlign w:val="bottom"/>
          </w:tcPr>
          <w:p w:rsidR="00F2466A" w:rsidRPr="00F2466A" w:rsidRDefault="00F2466A" w:rsidP="00F2466A">
            <w:pPr>
              <w:spacing w:before="80" w:after="80" w:line="200" w:lineRule="exact"/>
              <w:rPr>
                <w:i/>
                <w:sz w:val="16"/>
                <w:szCs w:val="16"/>
              </w:rPr>
            </w:pPr>
            <w:r w:rsidRPr="00F2466A">
              <w:rPr>
                <w:i/>
                <w:sz w:val="16"/>
                <w:szCs w:val="16"/>
              </w:rPr>
              <w:t>Число заявлений</w:t>
            </w:r>
          </w:p>
        </w:tc>
        <w:tc>
          <w:tcPr>
            <w:tcW w:w="1002" w:type="dxa"/>
            <w:tcBorders>
              <w:top w:val="single" w:sz="4" w:space="0" w:color="auto"/>
              <w:bottom w:val="single" w:sz="12" w:space="0" w:color="auto"/>
            </w:tcBorders>
            <w:shd w:val="clear" w:color="auto" w:fill="auto"/>
            <w:vAlign w:val="bottom"/>
          </w:tcPr>
          <w:p w:rsidR="00F2466A" w:rsidRPr="00F2466A" w:rsidRDefault="00F2466A" w:rsidP="00F2466A">
            <w:pPr>
              <w:spacing w:before="80" w:after="80" w:line="200" w:lineRule="exact"/>
              <w:jc w:val="right"/>
              <w:rPr>
                <w:i/>
                <w:sz w:val="16"/>
                <w:szCs w:val="16"/>
              </w:rPr>
            </w:pPr>
            <w:r w:rsidRPr="00F2466A">
              <w:rPr>
                <w:i/>
                <w:sz w:val="16"/>
                <w:szCs w:val="16"/>
              </w:rPr>
              <w:t>2009 г.</w:t>
            </w:r>
          </w:p>
        </w:tc>
        <w:tc>
          <w:tcPr>
            <w:tcW w:w="1003" w:type="dxa"/>
            <w:tcBorders>
              <w:top w:val="single" w:sz="4" w:space="0" w:color="auto"/>
              <w:bottom w:val="single" w:sz="12" w:space="0" w:color="auto"/>
            </w:tcBorders>
            <w:shd w:val="clear" w:color="auto" w:fill="auto"/>
            <w:noWrap/>
            <w:vAlign w:val="bottom"/>
          </w:tcPr>
          <w:p w:rsidR="00F2466A" w:rsidRPr="00F2466A" w:rsidRDefault="00F2466A" w:rsidP="00F2466A">
            <w:pPr>
              <w:spacing w:before="80" w:after="80" w:line="200" w:lineRule="exact"/>
              <w:jc w:val="right"/>
              <w:rPr>
                <w:i/>
                <w:sz w:val="16"/>
                <w:szCs w:val="16"/>
              </w:rPr>
            </w:pPr>
            <w:r w:rsidRPr="00F2466A">
              <w:rPr>
                <w:i/>
                <w:sz w:val="16"/>
                <w:szCs w:val="16"/>
              </w:rPr>
              <w:t>2010 г.</w:t>
            </w:r>
          </w:p>
        </w:tc>
        <w:tc>
          <w:tcPr>
            <w:tcW w:w="1003" w:type="dxa"/>
            <w:tcBorders>
              <w:top w:val="single" w:sz="4" w:space="0" w:color="auto"/>
              <w:bottom w:val="single" w:sz="12" w:space="0" w:color="auto"/>
            </w:tcBorders>
            <w:shd w:val="clear" w:color="auto" w:fill="auto"/>
            <w:noWrap/>
            <w:vAlign w:val="bottom"/>
          </w:tcPr>
          <w:p w:rsidR="00F2466A" w:rsidRPr="00F2466A" w:rsidRDefault="00F2466A" w:rsidP="00F2466A">
            <w:pPr>
              <w:spacing w:before="80" w:after="80" w:line="200" w:lineRule="exact"/>
              <w:jc w:val="right"/>
              <w:rPr>
                <w:i/>
                <w:sz w:val="16"/>
                <w:szCs w:val="16"/>
              </w:rPr>
            </w:pPr>
            <w:r w:rsidRPr="00F2466A">
              <w:rPr>
                <w:i/>
                <w:sz w:val="16"/>
                <w:szCs w:val="16"/>
              </w:rPr>
              <w:t>2011 г.</w:t>
            </w:r>
          </w:p>
        </w:tc>
        <w:tc>
          <w:tcPr>
            <w:tcW w:w="1003" w:type="dxa"/>
            <w:tcBorders>
              <w:top w:val="single" w:sz="4" w:space="0" w:color="auto"/>
              <w:bottom w:val="single" w:sz="12" w:space="0" w:color="auto"/>
            </w:tcBorders>
            <w:shd w:val="clear" w:color="auto" w:fill="auto"/>
            <w:noWrap/>
            <w:vAlign w:val="bottom"/>
          </w:tcPr>
          <w:p w:rsidR="00F2466A" w:rsidRPr="00F2466A" w:rsidRDefault="00F2466A" w:rsidP="00F2466A">
            <w:pPr>
              <w:spacing w:before="80" w:after="80" w:line="200" w:lineRule="exact"/>
              <w:jc w:val="right"/>
              <w:rPr>
                <w:i/>
                <w:sz w:val="16"/>
                <w:szCs w:val="16"/>
              </w:rPr>
            </w:pPr>
            <w:r w:rsidRPr="00F2466A">
              <w:rPr>
                <w:i/>
                <w:sz w:val="16"/>
                <w:szCs w:val="16"/>
              </w:rPr>
              <w:t>2012 г.</w:t>
            </w:r>
            <w:r w:rsidRPr="00400F3D">
              <w:rPr>
                <w:sz w:val="18"/>
                <w:szCs w:val="18"/>
                <w:vertAlign w:val="superscript"/>
              </w:rPr>
              <w:t>*</w:t>
            </w:r>
          </w:p>
        </w:tc>
      </w:tr>
      <w:tr w:rsidR="00F2466A" w:rsidRPr="00377575" w:rsidTr="001D4AE0">
        <w:tc>
          <w:tcPr>
            <w:tcW w:w="3360" w:type="dxa"/>
            <w:tcBorders>
              <w:top w:val="single" w:sz="12" w:space="0" w:color="auto"/>
              <w:bottom w:val="single" w:sz="4" w:space="0" w:color="auto"/>
            </w:tcBorders>
            <w:shd w:val="clear" w:color="auto" w:fill="auto"/>
            <w:noWrap/>
          </w:tcPr>
          <w:p w:rsidR="00F2466A" w:rsidRPr="00377575" w:rsidRDefault="00F2466A" w:rsidP="00377575">
            <w:pPr>
              <w:spacing w:before="80" w:after="80" w:line="220" w:lineRule="exact"/>
              <w:ind w:left="284"/>
              <w:rPr>
                <w:b/>
                <w:sz w:val="18"/>
                <w:szCs w:val="18"/>
              </w:rPr>
            </w:pPr>
            <w:r w:rsidRPr="00377575">
              <w:rPr>
                <w:b/>
                <w:sz w:val="18"/>
                <w:szCs w:val="18"/>
              </w:rPr>
              <w:t>Всего</w:t>
            </w:r>
          </w:p>
        </w:tc>
        <w:tc>
          <w:tcPr>
            <w:tcW w:w="1002" w:type="dxa"/>
            <w:tcBorders>
              <w:top w:val="single" w:sz="12" w:space="0" w:color="auto"/>
              <w:bottom w:val="single" w:sz="4" w:space="0" w:color="auto"/>
            </w:tcBorders>
            <w:shd w:val="clear" w:color="auto" w:fill="auto"/>
            <w:vAlign w:val="bottom"/>
          </w:tcPr>
          <w:p w:rsidR="00F2466A" w:rsidRPr="00377575" w:rsidRDefault="00F2466A" w:rsidP="00377575">
            <w:pPr>
              <w:spacing w:before="80" w:after="80" w:line="220" w:lineRule="exact"/>
              <w:jc w:val="right"/>
              <w:rPr>
                <w:b/>
                <w:sz w:val="18"/>
                <w:szCs w:val="18"/>
              </w:rPr>
            </w:pPr>
            <w:r w:rsidRPr="00377575">
              <w:rPr>
                <w:b/>
                <w:sz w:val="18"/>
                <w:szCs w:val="18"/>
              </w:rPr>
              <w:t>2</w:t>
            </w:r>
            <w:r w:rsidR="00E60BA9">
              <w:rPr>
                <w:b/>
                <w:sz w:val="18"/>
                <w:szCs w:val="18"/>
              </w:rPr>
              <w:t> </w:t>
            </w:r>
            <w:r w:rsidRPr="00377575">
              <w:rPr>
                <w:b/>
                <w:sz w:val="18"/>
                <w:szCs w:val="18"/>
              </w:rPr>
              <w:t>479</w:t>
            </w:r>
          </w:p>
        </w:tc>
        <w:tc>
          <w:tcPr>
            <w:tcW w:w="1003" w:type="dxa"/>
            <w:tcBorders>
              <w:top w:val="single" w:sz="12" w:space="0" w:color="auto"/>
              <w:bottom w:val="single" w:sz="4" w:space="0" w:color="auto"/>
            </w:tcBorders>
            <w:shd w:val="clear" w:color="auto" w:fill="auto"/>
            <w:noWrap/>
            <w:vAlign w:val="bottom"/>
          </w:tcPr>
          <w:p w:rsidR="00F2466A" w:rsidRPr="00377575" w:rsidRDefault="00F2466A" w:rsidP="00377575">
            <w:pPr>
              <w:spacing w:before="80" w:after="80" w:line="220" w:lineRule="exact"/>
              <w:jc w:val="right"/>
              <w:rPr>
                <w:b/>
                <w:sz w:val="18"/>
                <w:szCs w:val="18"/>
              </w:rPr>
            </w:pPr>
            <w:r w:rsidRPr="00377575">
              <w:rPr>
                <w:b/>
                <w:sz w:val="18"/>
                <w:szCs w:val="18"/>
              </w:rPr>
              <w:t>1</w:t>
            </w:r>
            <w:r w:rsidR="00E60BA9">
              <w:rPr>
                <w:b/>
                <w:sz w:val="18"/>
                <w:szCs w:val="18"/>
              </w:rPr>
              <w:t> </w:t>
            </w:r>
            <w:r w:rsidRPr="00377575">
              <w:rPr>
                <w:b/>
                <w:sz w:val="18"/>
                <w:szCs w:val="18"/>
              </w:rPr>
              <w:t>633</w:t>
            </w:r>
          </w:p>
        </w:tc>
        <w:tc>
          <w:tcPr>
            <w:tcW w:w="1003" w:type="dxa"/>
            <w:tcBorders>
              <w:top w:val="single" w:sz="12" w:space="0" w:color="auto"/>
              <w:bottom w:val="single" w:sz="4" w:space="0" w:color="auto"/>
            </w:tcBorders>
            <w:shd w:val="clear" w:color="auto" w:fill="auto"/>
            <w:noWrap/>
            <w:vAlign w:val="bottom"/>
          </w:tcPr>
          <w:p w:rsidR="00F2466A" w:rsidRPr="00377575" w:rsidRDefault="00F2466A" w:rsidP="00377575">
            <w:pPr>
              <w:spacing w:before="80" w:after="80" w:line="220" w:lineRule="exact"/>
              <w:jc w:val="right"/>
              <w:rPr>
                <w:b/>
                <w:sz w:val="18"/>
                <w:szCs w:val="18"/>
              </w:rPr>
            </w:pPr>
            <w:r w:rsidRPr="00377575">
              <w:rPr>
                <w:b/>
                <w:sz w:val="18"/>
                <w:szCs w:val="18"/>
              </w:rPr>
              <w:t>1</w:t>
            </w:r>
            <w:r w:rsidR="00E60BA9">
              <w:rPr>
                <w:b/>
                <w:sz w:val="18"/>
                <w:szCs w:val="18"/>
              </w:rPr>
              <w:t> </w:t>
            </w:r>
            <w:r w:rsidRPr="00377575">
              <w:rPr>
                <w:b/>
                <w:sz w:val="18"/>
                <w:szCs w:val="18"/>
              </w:rPr>
              <w:t>038</w:t>
            </w:r>
          </w:p>
        </w:tc>
        <w:tc>
          <w:tcPr>
            <w:tcW w:w="1003" w:type="dxa"/>
            <w:tcBorders>
              <w:top w:val="single" w:sz="12" w:space="0" w:color="auto"/>
              <w:bottom w:val="single" w:sz="4" w:space="0" w:color="auto"/>
            </w:tcBorders>
            <w:shd w:val="clear" w:color="auto" w:fill="auto"/>
            <w:noWrap/>
            <w:vAlign w:val="bottom"/>
          </w:tcPr>
          <w:p w:rsidR="00F2466A" w:rsidRPr="00377575" w:rsidRDefault="00F2466A" w:rsidP="00377575">
            <w:pPr>
              <w:spacing w:before="80" w:after="80" w:line="220" w:lineRule="exact"/>
              <w:jc w:val="right"/>
              <w:rPr>
                <w:b/>
                <w:sz w:val="18"/>
                <w:szCs w:val="18"/>
              </w:rPr>
            </w:pPr>
            <w:r w:rsidRPr="00377575">
              <w:rPr>
                <w:b/>
                <w:sz w:val="18"/>
                <w:szCs w:val="18"/>
              </w:rPr>
              <w:t>952</w:t>
            </w:r>
          </w:p>
        </w:tc>
      </w:tr>
      <w:tr w:rsidR="00F2466A" w:rsidRPr="00377575" w:rsidTr="001D4AE0">
        <w:tc>
          <w:tcPr>
            <w:tcW w:w="3360" w:type="dxa"/>
            <w:tcBorders>
              <w:top w:val="single" w:sz="4" w:space="0" w:color="auto"/>
              <w:left w:val="nil"/>
              <w:bottom w:val="nil"/>
              <w:right w:val="nil"/>
            </w:tcBorders>
            <w:shd w:val="clear" w:color="auto" w:fill="auto"/>
            <w:noWrap/>
          </w:tcPr>
          <w:p w:rsidR="00F2466A" w:rsidRPr="00377575" w:rsidRDefault="00F2466A" w:rsidP="00377575">
            <w:pPr>
              <w:spacing w:before="40" w:after="40" w:line="220" w:lineRule="exact"/>
              <w:rPr>
                <w:sz w:val="18"/>
                <w:szCs w:val="18"/>
              </w:rPr>
            </w:pPr>
            <w:r w:rsidRPr="00377575">
              <w:rPr>
                <w:sz w:val="18"/>
                <w:szCs w:val="18"/>
              </w:rPr>
              <w:t xml:space="preserve">Лица незападного происхождения </w:t>
            </w:r>
            <w:r w:rsidR="00E60BA9">
              <w:rPr>
                <w:sz w:val="18"/>
                <w:szCs w:val="18"/>
              </w:rPr>
              <w:br/>
            </w:r>
            <w:r w:rsidRPr="00377575">
              <w:rPr>
                <w:sz w:val="18"/>
                <w:szCs w:val="18"/>
              </w:rPr>
              <w:t>(оц</w:t>
            </w:r>
            <w:r w:rsidRPr="00377575">
              <w:rPr>
                <w:sz w:val="18"/>
                <w:szCs w:val="18"/>
              </w:rPr>
              <w:t>е</w:t>
            </w:r>
            <w:r w:rsidRPr="00377575">
              <w:rPr>
                <w:sz w:val="18"/>
                <w:szCs w:val="18"/>
              </w:rPr>
              <w:t>ночная цифра)</w:t>
            </w:r>
          </w:p>
        </w:tc>
        <w:tc>
          <w:tcPr>
            <w:tcW w:w="1002" w:type="dxa"/>
            <w:tcBorders>
              <w:top w:val="single" w:sz="4" w:space="0" w:color="auto"/>
              <w:left w:val="nil"/>
              <w:bottom w:val="nil"/>
              <w:right w:val="nil"/>
            </w:tcBorders>
            <w:shd w:val="clear" w:color="auto" w:fill="auto"/>
            <w:vAlign w:val="bottom"/>
          </w:tcPr>
          <w:p w:rsidR="00F2466A" w:rsidRPr="00377575" w:rsidRDefault="00F2466A" w:rsidP="00377575">
            <w:pPr>
              <w:spacing w:before="40" w:after="40" w:line="220" w:lineRule="exact"/>
              <w:jc w:val="right"/>
              <w:rPr>
                <w:sz w:val="18"/>
                <w:szCs w:val="18"/>
              </w:rPr>
            </w:pPr>
            <w:r w:rsidRPr="00377575">
              <w:rPr>
                <w:sz w:val="18"/>
                <w:szCs w:val="18"/>
              </w:rPr>
              <w:t>164</w:t>
            </w:r>
          </w:p>
        </w:tc>
        <w:tc>
          <w:tcPr>
            <w:tcW w:w="1003" w:type="dxa"/>
            <w:tcBorders>
              <w:top w:val="single" w:sz="4" w:space="0" w:color="auto"/>
              <w:left w:val="nil"/>
              <w:bottom w:val="nil"/>
              <w:right w:val="nil"/>
            </w:tcBorders>
            <w:shd w:val="clear" w:color="auto" w:fill="auto"/>
            <w:noWrap/>
            <w:vAlign w:val="bottom"/>
          </w:tcPr>
          <w:p w:rsidR="00F2466A" w:rsidRPr="00377575" w:rsidRDefault="00F2466A" w:rsidP="00377575">
            <w:pPr>
              <w:spacing w:before="40" w:after="40" w:line="220" w:lineRule="exact"/>
              <w:jc w:val="right"/>
              <w:rPr>
                <w:sz w:val="18"/>
                <w:szCs w:val="18"/>
              </w:rPr>
            </w:pPr>
            <w:r w:rsidRPr="00377575">
              <w:rPr>
                <w:sz w:val="18"/>
                <w:szCs w:val="18"/>
              </w:rPr>
              <w:t>89</w:t>
            </w:r>
          </w:p>
        </w:tc>
        <w:tc>
          <w:tcPr>
            <w:tcW w:w="1003" w:type="dxa"/>
            <w:tcBorders>
              <w:top w:val="single" w:sz="4" w:space="0" w:color="auto"/>
              <w:left w:val="nil"/>
              <w:bottom w:val="nil"/>
              <w:right w:val="nil"/>
            </w:tcBorders>
            <w:shd w:val="clear" w:color="auto" w:fill="auto"/>
            <w:noWrap/>
            <w:vAlign w:val="bottom"/>
          </w:tcPr>
          <w:p w:rsidR="00F2466A" w:rsidRPr="00377575" w:rsidRDefault="00F2466A" w:rsidP="00377575">
            <w:pPr>
              <w:spacing w:before="40" w:after="40" w:line="220" w:lineRule="exact"/>
              <w:jc w:val="right"/>
              <w:rPr>
                <w:sz w:val="18"/>
                <w:szCs w:val="18"/>
              </w:rPr>
            </w:pPr>
            <w:r w:rsidRPr="00377575">
              <w:rPr>
                <w:sz w:val="18"/>
                <w:szCs w:val="18"/>
              </w:rPr>
              <w:t>74</w:t>
            </w:r>
          </w:p>
        </w:tc>
        <w:tc>
          <w:tcPr>
            <w:tcW w:w="1003" w:type="dxa"/>
            <w:tcBorders>
              <w:top w:val="single" w:sz="4" w:space="0" w:color="auto"/>
              <w:left w:val="nil"/>
              <w:bottom w:val="nil"/>
              <w:right w:val="nil"/>
            </w:tcBorders>
            <w:shd w:val="clear" w:color="auto" w:fill="auto"/>
            <w:noWrap/>
            <w:vAlign w:val="bottom"/>
          </w:tcPr>
          <w:p w:rsidR="00F2466A" w:rsidRPr="00377575" w:rsidRDefault="00F2466A" w:rsidP="00377575">
            <w:pPr>
              <w:spacing w:before="40" w:after="40" w:line="220" w:lineRule="exact"/>
              <w:jc w:val="right"/>
              <w:rPr>
                <w:sz w:val="18"/>
                <w:szCs w:val="18"/>
              </w:rPr>
            </w:pPr>
            <w:r w:rsidRPr="00377575">
              <w:rPr>
                <w:sz w:val="18"/>
                <w:szCs w:val="18"/>
              </w:rPr>
              <w:t>59</w:t>
            </w:r>
          </w:p>
        </w:tc>
      </w:tr>
      <w:tr w:rsidR="00F2466A" w:rsidRPr="00377575" w:rsidTr="001D4AE0">
        <w:tc>
          <w:tcPr>
            <w:tcW w:w="3360" w:type="dxa"/>
            <w:tcBorders>
              <w:top w:val="nil"/>
              <w:bottom w:val="single" w:sz="12" w:space="0" w:color="auto"/>
            </w:tcBorders>
            <w:shd w:val="clear" w:color="auto" w:fill="auto"/>
            <w:noWrap/>
          </w:tcPr>
          <w:p w:rsidR="00F2466A" w:rsidRPr="00377575" w:rsidRDefault="00F2466A" w:rsidP="00377575">
            <w:pPr>
              <w:spacing w:before="40" w:after="40" w:line="220" w:lineRule="exact"/>
              <w:rPr>
                <w:sz w:val="18"/>
                <w:szCs w:val="18"/>
              </w:rPr>
            </w:pPr>
            <w:r w:rsidRPr="00377575">
              <w:rPr>
                <w:sz w:val="18"/>
                <w:szCs w:val="18"/>
              </w:rPr>
              <w:t>Лица незападного происхожд</w:t>
            </w:r>
            <w:r w:rsidRPr="00377575">
              <w:rPr>
                <w:sz w:val="18"/>
                <w:szCs w:val="18"/>
              </w:rPr>
              <w:t>е</w:t>
            </w:r>
            <w:r w:rsidRPr="00377575">
              <w:rPr>
                <w:sz w:val="18"/>
                <w:szCs w:val="18"/>
              </w:rPr>
              <w:t>ния (в %)</w:t>
            </w:r>
          </w:p>
        </w:tc>
        <w:tc>
          <w:tcPr>
            <w:tcW w:w="1002" w:type="dxa"/>
            <w:tcBorders>
              <w:top w:val="nil"/>
              <w:bottom w:val="single" w:sz="12" w:space="0" w:color="auto"/>
            </w:tcBorders>
            <w:shd w:val="clear" w:color="auto" w:fill="auto"/>
            <w:vAlign w:val="bottom"/>
          </w:tcPr>
          <w:p w:rsidR="00F2466A" w:rsidRPr="00377575" w:rsidRDefault="00F2466A" w:rsidP="00377575">
            <w:pPr>
              <w:spacing w:before="40" w:after="40" w:line="220" w:lineRule="exact"/>
              <w:jc w:val="right"/>
              <w:rPr>
                <w:sz w:val="18"/>
                <w:szCs w:val="18"/>
              </w:rPr>
            </w:pPr>
            <w:r w:rsidRPr="00377575">
              <w:rPr>
                <w:sz w:val="18"/>
                <w:szCs w:val="18"/>
              </w:rPr>
              <w:t>6,6</w:t>
            </w:r>
          </w:p>
        </w:tc>
        <w:tc>
          <w:tcPr>
            <w:tcW w:w="1003" w:type="dxa"/>
            <w:tcBorders>
              <w:top w:val="nil"/>
              <w:bottom w:val="single" w:sz="12" w:space="0" w:color="auto"/>
            </w:tcBorders>
            <w:shd w:val="clear" w:color="auto" w:fill="auto"/>
            <w:noWrap/>
            <w:vAlign w:val="bottom"/>
          </w:tcPr>
          <w:p w:rsidR="00F2466A" w:rsidRPr="00377575" w:rsidRDefault="00F2466A" w:rsidP="00377575">
            <w:pPr>
              <w:spacing w:before="40" w:after="40" w:line="220" w:lineRule="exact"/>
              <w:jc w:val="right"/>
              <w:rPr>
                <w:sz w:val="18"/>
                <w:szCs w:val="18"/>
              </w:rPr>
            </w:pPr>
            <w:r w:rsidRPr="00377575">
              <w:rPr>
                <w:sz w:val="18"/>
                <w:szCs w:val="18"/>
              </w:rPr>
              <w:t>5,5</w:t>
            </w:r>
          </w:p>
        </w:tc>
        <w:tc>
          <w:tcPr>
            <w:tcW w:w="1003" w:type="dxa"/>
            <w:tcBorders>
              <w:top w:val="nil"/>
              <w:bottom w:val="single" w:sz="12" w:space="0" w:color="auto"/>
            </w:tcBorders>
            <w:shd w:val="clear" w:color="auto" w:fill="auto"/>
            <w:noWrap/>
            <w:vAlign w:val="bottom"/>
          </w:tcPr>
          <w:p w:rsidR="00F2466A" w:rsidRPr="00377575" w:rsidRDefault="00F2466A" w:rsidP="00377575">
            <w:pPr>
              <w:spacing w:before="40" w:after="40" w:line="220" w:lineRule="exact"/>
              <w:jc w:val="right"/>
              <w:rPr>
                <w:sz w:val="18"/>
                <w:szCs w:val="18"/>
              </w:rPr>
            </w:pPr>
            <w:r w:rsidRPr="00377575">
              <w:rPr>
                <w:sz w:val="18"/>
                <w:szCs w:val="18"/>
              </w:rPr>
              <w:t>7,1</w:t>
            </w:r>
          </w:p>
        </w:tc>
        <w:tc>
          <w:tcPr>
            <w:tcW w:w="1003" w:type="dxa"/>
            <w:tcBorders>
              <w:top w:val="nil"/>
              <w:bottom w:val="single" w:sz="12" w:space="0" w:color="auto"/>
            </w:tcBorders>
            <w:shd w:val="clear" w:color="auto" w:fill="auto"/>
            <w:noWrap/>
            <w:vAlign w:val="bottom"/>
          </w:tcPr>
          <w:p w:rsidR="00F2466A" w:rsidRPr="00377575" w:rsidRDefault="00F2466A" w:rsidP="00377575">
            <w:pPr>
              <w:spacing w:before="40" w:after="40" w:line="220" w:lineRule="exact"/>
              <w:jc w:val="right"/>
              <w:rPr>
                <w:sz w:val="18"/>
                <w:szCs w:val="18"/>
              </w:rPr>
            </w:pPr>
            <w:r w:rsidRPr="00377575">
              <w:rPr>
                <w:sz w:val="18"/>
                <w:szCs w:val="18"/>
              </w:rPr>
              <w:t>6,2</w:t>
            </w:r>
          </w:p>
        </w:tc>
      </w:tr>
    </w:tbl>
    <w:p w:rsidR="00F2466A" w:rsidRPr="00377575" w:rsidRDefault="00F2466A" w:rsidP="001D4AE0">
      <w:pPr>
        <w:pStyle w:val="SingleTxtGR"/>
        <w:spacing w:before="120" w:line="220" w:lineRule="exact"/>
        <w:ind w:firstLine="170"/>
        <w:jc w:val="left"/>
        <w:rPr>
          <w:sz w:val="18"/>
          <w:szCs w:val="18"/>
        </w:rPr>
      </w:pPr>
      <w:r w:rsidRPr="00400F3D">
        <w:rPr>
          <w:sz w:val="18"/>
          <w:szCs w:val="18"/>
          <w:vertAlign w:val="superscript"/>
        </w:rPr>
        <w:sym w:font="Symbol" w:char="F02A"/>
      </w:r>
      <w:r w:rsidR="00D3337A">
        <w:rPr>
          <w:sz w:val="18"/>
          <w:szCs w:val="18"/>
          <w:vertAlign w:val="superscript"/>
        </w:rPr>
        <w:t xml:space="preserve"> </w:t>
      </w:r>
      <w:r w:rsidR="00E60BA9">
        <w:rPr>
          <w:sz w:val="18"/>
          <w:szCs w:val="18"/>
          <w:vertAlign w:val="superscript"/>
        </w:rPr>
        <w:t xml:space="preserve"> </w:t>
      </w:r>
      <w:r w:rsidRPr="00377575">
        <w:rPr>
          <w:sz w:val="18"/>
          <w:szCs w:val="18"/>
        </w:rPr>
        <w:t>Данные за 2012 </w:t>
      </w:r>
      <w:r w:rsidR="00E60BA9">
        <w:rPr>
          <w:sz w:val="18"/>
          <w:szCs w:val="18"/>
        </w:rPr>
        <w:t>год охватывают период до 30.10.</w:t>
      </w:r>
      <w:r w:rsidRPr="00377575">
        <w:rPr>
          <w:sz w:val="18"/>
          <w:szCs w:val="18"/>
        </w:rPr>
        <w:t>2012.</w:t>
      </w:r>
    </w:p>
    <w:tbl>
      <w:tblPr>
        <w:tblW w:w="7371" w:type="dxa"/>
        <w:tblInd w:w="1134" w:type="dxa"/>
        <w:tblBorders>
          <w:top w:val="single" w:sz="4" w:space="0" w:color="auto"/>
        </w:tblBorders>
        <w:tblLayout w:type="fixed"/>
        <w:tblCellMar>
          <w:left w:w="0" w:type="dxa"/>
          <w:right w:w="0" w:type="dxa"/>
        </w:tblCellMar>
        <w:tblLook w:val="04A0"/>
      </w:tblPr>
      <w:tblGrid>
        <w:gridCol w:w="3360"/>
        <w:gridCol w:w="1002"/>
        <w:gridCol w:w="1003"/>
        <w:gridCol w:w="1003"/>
        <w:gridCol w:w="1003"/>
      </w:tblGrid>
      <w:tr w:rsidR="00F2466A" w:rsidRPr="00377575" w:rsidTr="001D4AE0">
        <w:trPr>
          <w:tblHeader/>
        </w:trPr>
        <w:tc>
          <w:tcPr>
            <w:tcW w:w="3360" w:type="dxa"/>
            <w:tcBorders>
              <w:top w:val="single" w:sz="4" w:space="0" w:color="auto"/>
              <w:bottom w:val="single" w:sz="12" w:space="0" w:color="auto"/>
            </w:tcBorders>
            <w:shd w:val="clear" w:color="auto" w:fill="auto"/>
            <w:noWrap/>
            <w:vAlign w:val="bottom"/>
          </w:tcPr>
          <w:p w:rsidR="00F2466A" w:rsidRPr="00377575" w:rsidRDefault="00F2466A" w:rsidP="00E64CCF">
            <w:pPr>
              <w:keepNext/>
              <w:spacing w:before="80" w:after="80" w:line="200" w:lineRule="exact"/>
              <w:rPr>
                <w:i/>
                <w:sz w:val="16"/>
                <w:szCs w:val="16"/>
              </w:rPr>
            </w:pPr>
            <w:r w:rsidRPr="00377575">
              <w:rPr>
                <w:i/>
                <w:sz w:val="16"/>
                <w:szCs w:val="16"/>
              </w:rPr>
              <w:t>Свеженабранные сотрудники</w:t>
            </w:r>
          </w:p>
        </w:tc>
        <w:tc>
          <w:tcPr>
            <w:tcW w:w="1002" w:type="dxa"/>
            <w:tcBorders>
              <w:top w:val="single" w:sz="4" w:space="0" w:color="auto"/>
              <w:bottom w:val="single" w:sz="12" w:space="0" w:color="auto"/>
            </w:tcBorders>
            <w:shd w:val="clear" w:color="auto" w:fill="auto"/>
            <w:vAlign w:val="bottom"/>
          </w:tcPr>
          <w:p w:rsidR="00F2466A" w:rsidRPr="00377575" w:rsidRDefault="00F2466A" w:rsidP="00E64CCF">
            <w:pPr>
              <w:keepNext/>
              <w:spacing w:before="80" w:after="80" w:line="200" w:lineRule="exact"/>
              <w:jc w:val="right"/>
              <w:rPr>
                <w:i/>
                <w:sz w:val="16"/>
                <w:szCs w:val="16"/>
              </w:rPr>
            </w:pPr>
            <w:r w:rsidRPr="00377575">
              <w:rPr>
                <w:i/>
                <w:sz w:val="16"/>
                <w:szCs w:val="16"/>
              </w:rPr>
              <w:t>2009 г.</w:t>
            </w:r>
          </w:p>
        </w:tc>
        <w:tc>
          <w:tcPr>
            <w:tcW w:w="1003" w:type="dxa"/>
            <w:tcBorders>
              <w:top w:val="single" w:sz="4" w:space="0" w:color="auto"/>
              <w:bottom w:val="single" w:sz="12" w:space="0" w:color="auto"/>
            </w:tcBorders>
            <w:shd w:val="clear" w:color="auto" w:fill="auto"/>
            <w:noWrap/>
            <w:vAlign w:val="bottom"/>
          </w:tcPr>
          <w:p w:rsidR="00F2466A" w:rsidRPr="00377575" w:rsidRDefault="00F2466A" w:rsidP="00E64CCF">
            <w:pPr>
              <w:keepNext/>
              <w:spacing w:before="80" w:after="80" w:line="200" w:lineRule="exact"/>
              <w:jc w:val="right"/>
              <w:rPr>
                <w:i/>
                <w:sz w:val="16"/>
                <w:szCs w:val="16"/>
              </w:rPr>
            </w:pPr>
            <w:r w:rsidRPr="00377575">
              <w:rPr>
                <w:i/>
                <w:sz w:val="16"/>
                <w:szCs w:val="16"/>
              </w:rPr>
              <w:t>2010 г.</w:t>
            </w:r>
          </w:p>
        </w:tc>
        <w:tc>
          <w:tcPr>
            <w:tcW w:w="1003" w:type="dxa"/>
            <w:tcBorders>
              <w:top w:val="single" w:sz="4" w:space="0" w:color="auto"/>
              <w:bottom w:val="single" w:sz="12" w:space="0" w:color="auto"/>
            </w:tcBorders>
            <w:shd w:val="clear" w:color="auto" w:fill="auto"/>
            <w:noWrap/>
            <w:vAlign w:val="bottom"/>
          </w:tcPr>
          <w:p w:rsidR="00F2466A" w:rsidRPr="00377575" w:rsidRDefault="00F2466A" w:rsidP="00E64CCF">
            <w:pPr>
              <w:keepNext/>
              <w:spacing w:before="80" w:after="80" w:line="200" w:lineRule="exact"/>
              <w:jc w:val="right"/>
              <w:rPr>
                <w:i/>
                <w:sz w:val="16"/>
                <w:szCs w:val="16"/>
              </w:rPr>
            </w:pPr>
            <w:r w:rsidRPr="00377575">
              <w:rPr>
                <w:i/>
                <w:sz w:val="16"/>
                <w:szCs w:val="16"/>
              </w:rPr>
              <w:t>2011 г.</w:t>
            </w:r>
          </w:p>
        </w:tc>
        <w:tc>
          <w:tcPr>
            <w:tcW w:w="1003" w:type="dxa"/>
            <w:tcBorders>
              <w:top w:val="single" w:sz="4" w:space="0" w:color="auto"/>
              <w:bottom w:val="single" w:sz="12" w:space="0" w:color="auto"/>
            </w:tcBorders>
            <w:shd w:val="clear" w:color="auto" w:fill="auto"/>
            <w:noWrap/>
            <w:vAlign w:val="bottom"/>
          </w:tcPr>
          <w:p w:rsidR="00F2466A" w:rsidRPr="00377575" w:rsidRDefault="00F2466A" w:rsidP="00E64CCF">
            <w:pPr>
              <w:keepNext/>
              <w:spacing w:before="80" w:after="80" w:line="200" w:lineRule="exact"/>
              <w:jc w:val="right"/>
              <w:rPr>
                <w:i/>
                <w:sz w:val="16"/>
                <w:szCs w:val="16"/>
              </w:rPr>
            </w:pPr>
            <w:r w:rsidRPr="00377575">
              <w:rPr>
                <w:i/>
                <w:sz w:val="16"/>
                <w:szCs w:val="16"/>
              </w:rPr>
              <w:t>2012 г.</w:t>
            </w:r>
          </w:p>
        </w:tc>
      </w:tr>
      <w:tr w:rsidR="00F2466A" w:rsidRPr="00377575" w:rsidTr="001D4AE0">
        <w:tc>
          <w:tcPr>
            <w:tcW w:w="3360" w:type="dxa"/>
            <w:tcBorders>
              <w:top w:val="single" w:sz="12" w:space="0" w:color="auto"/>
              <w:bottom w:val="single" w:sz="4" w:space="0" w:color="auto"/>
            </w:tcBorders>
            <w:shd w:val="clear" w:color="auto" w:fill="auto"/>
            <w:noWrap/>
          </w:tcPr>
          <w:p w:rsidR="00F2466A" w:rsidRPr="00377575" w:rsidRDefault="00F2466A" w:rsidP="00E64CCF">
            <w:pPr>
              <w:keepNext/>
              <w:spacing w:before="80" w:after="80" w:line="220" w:lineRule="exact"/>
              <w:ind w:left="284"/>
              <w:rPr>
                <w:b/>
                <w:sz w:val="18"/>
                <w:szCs w:val="18"/>
              </w:rPr>
            </w:pPr>
            <w:r w:rsidRPr="00377575">
              <w:rPr>
                <w:b/>
                <w:sz w:val="18"/>
                <w:szCs w:val="18"/>
              </w:rPr>
              <w:t>Всего</w:t>
            </w:r>
          </w:p>
        </w:tc>
        <w:tc>
          <w:tcPr>
            <w:tcW w:w="1002" w:type="dxa"/>
            <w:tcBorders>
              <w:top w:val="single" w:sz="12" w:space="0" w:color="auto"/>
              <w:bottom w:val="single" w:sz="4" w:space="0" w:color="auto"/>
            </w:tcBorders>
            <w:shd w:val="clear" w:color="auto" w:fill="auto"/>
            <w:vAlign w:val="bottom"/>
          </w:tcPr>
          <w:p w:rsidR="00F2466A" w:rsidRPr="00377575" w:rsidRDefault="00F2466A" w:rsidP="00E64CCF">
            <w:pPr>
              <w:keepNext/>
              <w:spacing w:before="80" w:after="80" w:line="220" w:lineRule="exact"/>
              <w:jc w:val="right"/>
              <w:rPr>
                <w:b/>
                <w:sz w:val="18"/>
                <w:szCs w:val="18"/>
              </w:rPr>
            </w:pPr>
            <w:r w:rsidRPr="00377575">
              <w:rPr>
                <w:b/>
                <w:sz w:val="18"/>
                <w:szCs w:val="18"/>
              </w:rPr>
              <w:t>400</w:t>
            </w:r>
          </w:p>
        </w:tc>
        <w:tc>
          <w:tcPr>
            <w:tcW w:w="1003" w:type="dxa"/>
            <w:tcBorders>
              <w:top w:val="single" w:sz="12" w:space="0" w:color="auto"/>
              <w:bottom w:val="single" w:sz="4" w:space="0" w:color="auto"/>
            </w:tcBorders>
            <w:shd w:val="clear" w:color="auto" w:fill="auto"/>
            <w:noWrap/>
            <w:vAlign w:val="bottom"/>
          </w:tcPr>
          <w:p w:rsidR="00F2466A" w:rsidRPr="00377575" w:rsidRDefault="00F2466A" w:rsidP="00E64CCF">
            <w:pPr>
              <w:keepNext/>
              <w:spacing w:before="80" w:after="80" w:line="220" w:lineRule="exact"/>
              <w:jc w:val="right"/>
              <w:rPr>
                <w:b/>
                <w:sz w:val="18"/>
                <w:szCs w:val="18"/>
              </w:rPr>
            </w:pPr>
            <w:r w:rsidRPr="00377575">
              <w:rPr>
                <w:b/>
                <w:sz w:val="18"/>
                <w:szCs w:val="18"/>
              </w:rPr>
              <w:t>556</w:t>
            </w:r>
          </w:p>
        </w:tc>
        <w:tc>
          <w:tcPr>
            <w:tcW w:w="1003" w:type="dxa"/>
            <w:tcBorders>
              <w:top w:val="single" w:sz="12" w:space="0" w:color="auto"/>
              <w:bottom w:val="single" w:sz="4" w:space="0" w:color="auto"/>
            </w:tcBorders>
            <w:shd w:val="clear" w:color="auto" w:fill="auto"/>
            <w:noWrap/>
            <w:vAlign w:val="bottom"/>
          </w:tcPr>
          <w:p w:rsidR="00F2466A" w:rsidRPr="00377575" w:rsidRDefault="00F2466A" w:rsidP="00E64CCF">
            <w:pPr>
              <w:keepNext/>
              <w:spacing w:before="80" w:after="80" w:line="220" w:lineRule="exact"/>
              <w:jc w:val="right"/>
              <w:rPr>
                <w:b/>
                <w:sz w:val="18"/>
                <w:szCs w:val="18"/>
              </w:rPr>
            </w:pPr>
            <w:r w:rsidRPr="00377575">
              <w:rPr>
                <w:b/>
                <w:sz w:val="18"/>
                <w:szCs w:val="18"/>
              </w:rPr>
              <w:t>95</w:t>
            </w:r>
          </w:p>
        </w:tc>
        <w:tc>
          <w:tcPr>
            <w:tcW w:w="1003" w:type="dxa"/>
            <w:tcBorders>
              <w:top w:val="single" w:sz="12" w:space="0" w:color="auto"/>
              <w:bottom w:val="single" w:sz="4" w:space="0" w:color="auto"/>
            </w:tcBorders>
            <w:shd w:val="clear" w:color="auto" w:fill="auto"/>
            <w:noWrap/>
            <w:vAlign w:val="bottom"/>
          </w:tcPr>
          <w:p w:rsidR="00F2466A" w:rsidRPr="00377575" w:rsidRDefault="00F2466A" w:rsidP="00E64CCF">
            <w:pPr>
              <w:keepNext/>
              <w:spacing w:before="80" w:after="80" w:line="220" w:lineRule="exact"/>
              <w:jc w:val="right"/>
              <w:rPr>
                <w:b/>
                <w:sz w:val="18"/>
                <w:szCs w:val="18"/>
              </w:rPr>
            </w:pPr>
            <w:r w:rsidRPr="00377575">
              <w:rPr>
                <w:b/>
                <w:sz w:val="18"/>
                <w:szCs w:val="18"/>
              </w:rPr>
              <w:t>192</w:t>
            </w:r>
          </w:p>
        </w:tc>
      </w:tr>
      <w:tr w:rsidR="00F2466A" w:rsidRPr="00377575" w:rsidTr="001D4AE0">
        <w:tc>
          <w:tcPr>
            <w:tcW w:w="3360" w:type="dxa"/>
            <w:tcBorders>
              <w:top w:val="single" w:sz="4" w:space="0" w:color="auto"/>
              <w:left w:val="nil"/>
              <w:bottom w:val="nil"/>
              <w:right w:val="nil"/>
            </w:tcBorders>
            <w:shd w:val="clear" w:color="auto" w:fill="auto"/>
            <w:noWrap/>
          </w:tcPr>
          <w:p w:rsidR="00F2466A" w:rsidRPr="00377575" w:rsidRDefault="00F2466A" w:rsidP="00E64CCF">
            <w:pPr>
              <w:keepNext/>
              <w:spacing w:before="40" w:after="40" w:line="220" w:lineRule="exact"/>
              <w:rPr>
                <w:sz w:val="18"/>
                <w:szCs w:val="18"/>
              </w:rPr>
            </w:pPr>
            <w:r w:rsidRPr="00377575">
              <w:rPr>
                <w:sz w:val="18"/>
                <w:szCs w:val="18"/>
              </w:rPr>
              <w:t xml:space="preserve">Лица незападного происхождения </w:t>
            </w:r>
            <w:r w:rsidR="001D4AE0">
              <w:rPr>
                <w:sz w:val="18"/>
                <w:szCs w:val="18"/>
              </w:rPr>
              <w:br/>
            </w:r>
            <w:r w:rsidRPr="00377575">
              <w:rPr>
                <w:sz w:val="18"/>
                <w:szCs w:val="18"/>
              </w:rPr>
              <w:t>(оц</w:t>
            </w:r>
            <w:r w:rsidRPr="00377575">
              <w:rPr>
                <w:sz w:val="18"/>
                <w:szCs w:val="18"/>
              </w:rPr>
              <w:t>е</w:t>
            </w:r>
            <w:r w:rsidRPr="00377575">
              <w:rPr>
                <w:sz w:val="18"/>
                <w:szCs w:val="18"/>
              </w:rPr>
              <w:t>ночная цифра)</w:t>
            </w:r>
          </w:p>
        </w:tc>
        <w:tc>
          <w:tcPr>
            <w:tcW w:w="1002" w:type="dxa"/>
            <w:tcBorders>
              <w:top w:val="single" w:sz="4" w:space="0" w:color="auto"/>
              <w:left w:val="nil"/>
              <w:bottom w:val="nil"/>
              <w:right w:val="nil"/>
            </w:tcBorders>
            <w:shd w:val="clear" w:color="auto" w:fill="auto"/>
            <w:vAlign w:val="bottom"/>
          </w:tcPr>
          <w:p w:rsidR="00F2466A" w:rsidRPr="00377575" w:rsidRDefault="00F2466A" w:rsidP="00E64CCF">
            <w:pPr>
              <w:keepNext/>
              <w:spacing w:before="40" w:after="40" w:line="220" w:lineRule="exact"/>
              <w:jc w:val="right"/>
              <w:rPr>
                <w:sz w:val="18"/>
                <w:szCs w:val="18"/>
              </w:rPr>
            </w:pPr>
            <w:r w:rsidRPr="00377575">
              <w:rPr>
                <w:sz w:val="18"/>
                <w:szCs w:val="18"/>
              </w:rPr>
              <w:t>20</w:t>
            </w:r>
          </w:p>
        </w:tc>
        <w:tc>
          <w:tcPr>
            <w:tcW w:w="1003" w:type="dxa"/>
            <w:tcBorders>
              <w:top w:val="single" w:sz="4" w:space="0" w:color="auto"/>
              <w:left w:val="nil"/>
              <w:bottom w:val="nil"/>
              <w:right w:val="nil"/>
            </w:tcBorders>
            <w:shd w:val="clear" w:color="auto" w:fill="auto"/>
            <w:noWrap/>
            <w:vAlign w:val="bottom"/>
          </w:tcPr>
          <w:p w:rsidR="00F2466A" w:rsidRPr="00377575" w:rsidRDefault="00F2466A" w:rsidP="00E64CCF">
            <w:pPr>
              <w:keepNext/>
              <w:spacing w:before="40" w:after="40" w:line="220" w:lineRule="exact"/>
              <w:jc w:val="right"/>
              <w:rPr>
                <w:sz w:val="18"/>
                <w:szCs w:val="18"/>
              </w:rPr>
            </w:pPr>
            <w:r w:rsidRPr="00377575">
              <w:rPr>
                <w:sz w:val="18"/>
                <w:szCs w:val="18"/>
              </w:rPr>
              <w:t>19</w:t>
            </w:r>
          </w:p>
        </w:tc>
        <w:tc>
          <w:tcPr>
            <w:tcW w:w="1003" w:type="dxa"/>
            <w:tcBorders>
              <w:top w:val="single" w:sz="4" w:space="0" w:color="auto"/>
              <w:left w:val="nil"/>
              <w:bottom w:val="nil"/>
              <w:right w:val="nil"/>
            </w:tcBorders>
            <w:shd w:val="clear" w:color="auto" w:fill="auto"/>
            <w:noWrap/>
            <w:vAlign w:val="bottom"/>
          </w:tcPr>
          <w:p w:rsidR="00F2466A" w:rsidRPr="00377575" w:rsidRDefault="00F2466A" w:rsidP="00E64CCF">
            <w:pPr>
              <w:keepNext/>
              <w:spacing w:before="40" w:after="40" w:line="220" w:lineRule="exact"/>
              <w:jc w:val="right"/>
              <w:rPr>
                <w:sz w:val="18"/>
                <w:szCs w:val="18"/>
              </w:rPr>
            </w:pPr>
            <w:r w:rsidRPr="00377575">
              <w:rPr>
                <w:sz w:val="18"/>
                <w:szCs w:val="18"/>
              </w:rPr>
              <w:t>2</w:t>
            </w:r>
          </w:p>
        </w:tc>
        <w:tc>
          <w:tcPr>
            <w:tcW w:w="1003" w:type="dxa"/>
            <w:tcBorders>
              <w:top w:val="single" w:sz="4" w:space="0" w:color="auto"/>
              <w:left w:val="nil"/>
              <w:bottom w:val="nil"/>
              <w:right w:val="nil"/>
            </w:tcBorders>
            <w:shd w:val="clear" w:color="auto" w:fill="auto"/>
            <w:noWrap/>
            <w:vAlign w:val="bottom"/>
          </w:tcPr>
          <w:p w:rsidR="00F2466A" w:rsidRPr="00377575" w:rsidRDefault="00F2466A" w:rsidP="00E64CCF">
            <w:pPr>
              <w:keepNext/>
              <w:spacing w:before="40" w:after="40" w:line="220" w:lineRule="exact"/>
              <w:jc w:val="right"/>
              <w:rPr>
                <w:sz w:val="18"/>
                <w:szCs w:val="18"/>
              </w:rPr>
            </w:pPr>
            <w:r w:rsidRPr="00377575">
              <w:rPr>
                <w:sz w:val="18"/>
                <w:szCs w:val="18"/>
              </w:rPr>
              <w:t>5</w:t>
            </w:r>
          </w:p>
        </w:tc>
      </w:tr>
      <w:tr w:rsidR="00F2466A" w:rsidRPr="00377575" w:rsidTr="001D4AE0">
        <w:tc>
          <w:tcPr>
            <w:tcW w:w="3360" w:type="dxa"/>
            <w:tcBorders>
              <w:top w:val="nil"/>
              <w:bottom w:val="single" w:sz="12" w:space="0" w:color="auto"/>
            </w:tcBorders>
            <w:shd w:val="clear" w:color="auto" w:fill="auto"/>
            <w:noWrap/>
          </w:tcPr>
          <w:p w:rsidR="00F2466A" w:rsidRPr="00377575" w:rsidRDefault="00F2466A" w:rsidP="00E64CCF">
            <w:pPr>
              <w:keepNext/>
              <w:spacing w:before="40" w:after="40" w:line="220" w:lineRule="exact"/>
              <w:rPr>
                <w:sz w:val="18"/>
                <w:szCs w:val="18"/>
              </w:rPr>
            </w:pPr>
            <w:r w:rsidRPr="00377575">
              <w:rPr>
                <w:sz w:val="18"/>
                <w:szCs w:val="18"/>
              </w:rPr>
              <w:t>Лица незападного происхожд</w:t>
            </w:r>
            <w:r w:rsidRPr="00377575">
              <w:rPr>
                <w:sz w:val="18"/>
                <w:szCs w:val="18"/>
              </w:rPr>
              <w:t>е</w:t>
            </w:r>
            <w:r w:rsidRPr="00377575">
              <w:rPr>
                <w:sz w:val="18"/>
                <w:szCs w:val="18"/>
              </w:rPr>
              <w:t>ния (в %)</w:t>
            </w:r>
          </w:p>
        </w:tc>
        <w:tc>
          <w:tcPr>
            <w:tcW w:w="1002" w:type="dxa"/>
            <w:tcBorders>
              <w:top w:val="nil"/>
              <w:bottom w:val="single" w:sz="12" w:space="0" w:color="auto"/>
            </w:tcBorders>
            <w:shd w:val="clear" w:color="auto" w:fill="auto"/>
            <w:vAlign w:val="bottom"/>
          </w:tcPr>
          <w:p w:rsidR="00F2466A" w:rsidRPr="00377575" w:rsidRDefault="00F2466A" w:rsidP="00E64CCF">
            <w:pPr>
              <w:keepNext/>
              <w:spacing w:before="40" w:after="40" w:line="220" w:lineRule="exact"/>
              <w:jc w:val="right"/>
              <w:rPr>
                <w:sz w:val="18"/>
                <w:szCs w:val="18"/>
              </w:rPr>
            </w:pPr>
            <w:r w:rsidRPr="00377575">
              <w:rPr>
                <w:sz w:val="18"/>
                <w:szCs w:val="18"/>
              </w:rPr>
              <w:t>5</w:t>
            </w:r>
          </w:p>
        </w:tc>
        <w:tc>
          <w:tcPr>
            <w:tcW w:w="1003" w:type="dxa"/>
            <w:tcBorders>
              <w:top w:val="nil"/>
              <w:bottom w:val="single" w:sz="12" w:space="0" w:color="auto"/>
            </w:tcBorders>
            <w:shd w:val="clear" w:color="auto" w:fill="auto"/>
            <w:noWrap/>
            <w:vAlign w:val="bottom"/>
          </w:tcPr>
          <w:p w:rsidR="00F2466A" w:rsidRPr="00377575" w:rsidRDefault="00F2466A" w:rsidP="00E64CCF">
            <w:pPr>
              <w:keepNext/>
              <w:spacing w:before="40" w:after="40" w:line="220" w:lineRule="exact"/>
              <w:jc w:val="right"/>
              <w:rPr>
                <w:sz w:val="18"/>
                <w:szCs w:val="18"/>
              </w:rPr>
            </w:pPr>
            <w:r w:rsidRPr="00377575">
              <w:rPr>
                <w:sz w:val="18"/>
                <w:szCs w:val="18"/>
              </w:rPr>
              <w:t>3,4</w:t>
            </w:r>
          </w:p>
        </w:tc>
        <w:tc>
          <w:tcPr>
            <w:tcW w:w="1003" w:type="dxa"/>
            <w:tcBorders>
              <w:top w:val="nil"/>
              <w:bottom w:val="single" w:sz="12" w:space="0" w:color="auto"/>
            </w:tcBorders>
            <w:shd w:val="clear" w:color="auto" w:fill="auto"/>
            <w:noWrap/>
            <w:vAlign w:val="bottom"/>
          </w:tcPr>
          <w:p w:rsidR="00F2466A" w:rsidRPr="00377575" w:rsidRDefault="00F2466A" w:rsidP="00E64CCF">
            <w:pPr>
              <w:keepNext/>
              <w:spacing w:before="40" w:after="40" w:line="220" w:lineRule="exact"/>
              <w:jc w:val="right"/>
              <w:rPr>
                <w:sz w:val="18"/>
                <w:szCs w:val="18"/>
              </w:rPr>
            </w:pPr>
            <w:r w:rsidRPr="00377575">
              <w:rPr>
                <w:sz w:val="18"/>
                <w:szCs w:val="18"/>
              </w:rPr>
              <w:t>2,1</w:t>
            </w:r>
          </w:p>
        </w:tc>
        <w:tc>
          <w:tcPr>
            <w:tcW w:w="1003" w:type="dxa"/>
            <w:tcBorders>
              <w:top w:val="nil"/>
              <w:bottom w:val="single" w:sz="12" w:space="0" w:color="auto"/>
            </w:tcBorders>
            <w:shd w:val="clear" w:color="auto" w:fill="auto"/>
            <w:noWrap/>
            <w:vAlign w:val="bottom"/>
          </w:tcPr>
          <w:p w:rsidR="00F2466A" w:rsidRPr="00377575" w:rsidRDefault="00F2466A" w:rsidP="00E64CCF">
            <w:pPr>
              <w:keepNext/>
              <w:spacing w:before="40" w:after="40" w:line="220" w:lineRule="exact"/>
              <w:jc w:val="right"/>
              <w:rPr>
                <w:sz w:val="18"/>
                <w:szCs w:val="18"/>
              </w:rPr>
            </w:pPr>
            <w:r w:rsidRPr="00377575">
              <w:rPr>
                <w:sz w:val="18"/>
                <w:szCs w:val="18"/>
              </w:rPr>
              <w:t>2,6</w:t>
            </w:r>
          </w:p>
        </w:tc>
      </w:tr>
    </w:tbl>
    <w:p w:rsidR="00F2466A" w:rsidRPr="00E64CCF" w:rsidRDefault="00F2466A" w:rsidP="00E64CCF">
      <w:pPr>
        <w:pStyle w:val="SingleTxtGR"/>
      </w:pPr>
    </w:p>
    <w:tbl>
      <w:tblPr>
        <w:tblW w:w="7371" w:type="dxa"/>
        <w:tblInd w:w="1134" w:type="dxa"/>
        <w:tblBorders>
          <w:top w:val="single" w:sz="4" w:space="0" w:color="auto"/>
        </w:tblBorders>
        <w:tblLayout w:type="fixed"/>
        <w:tblCellMar>
          <w:left w:w="0" w:type="dxa"/>
          <w:right w:w="0" w:type="dxa"/>
        </w:tblCellMar>
        <w:tblLook w:val="04A0"/>
      </w:tblPr>
      <w:tblGrid>
        <w:gridCol w:w="3360"/>
        <w:gridCol w:w="1002"/>
        <w:gridCol w:w="1003"/>
        <w:gridCol w:w="1003"/>
        <w:gridCol w:w="1003"/>
      </w:tblGrid>
      <w:tr w:rsidR="00F2466A" w:rsidRPr="00377575" w:rsidTr="001D4AE0">
        <w:trPr>
          <w:tblHeader/>
        </w:trPr>
        <w:tc>
          <w:tcPr>
            <w:tcW w:w="3360" w:type="dxa"/>
            <w:tcBorders>
              <w:top w:val="single" w:sz="4" w:space="0" w:color="auto"/>
              <w:bottom w:val="single" w:sz="12" w:space="0" w:color="auto"/>
            </w:tcBorders>
            <w:shd w:val="clear" w:color="auto" w:fill="auto"/>
            <w:noWrap/>
            <w:vAlign w:val="bottom"/>
          </w:tcPr>
          <w:p w:rsidR="00F2466A" w:rsidRPr="00377575" w:rsidRDefault="00F2466A" w:rsidP="00377575">
            <w:pPr>
              <w:spacing w:before="80" w:after="80" w:line="200" w:lineRule="exact"/>
              <w:rPr>
                <w:i/>
                <w:sz w:val="16"/>
                <w:szCs w:val="16"/>
              </w:rPr>
            </w:pPr>
            <w:r w:rsidRPr="00377575">
              <w:rPr>
                <w:i/>
                <w:sz w:val="16"/>
                <w:szCs w:val="16"/>
              </w:rPr>
              <w:t xml:space="preserve">Отсев из Национального полицейского </w:t>
            </w:r>
            <w:r w:rsidR="001D4AE0">
              <w:rPr>
                <w:i/>
                <w:sz w:val="16"/>
                <w:szCs w:val="16"/>
              </w:rPr>
              <w:br/>
            </w:r>
            <w:r w:rsidRPr="00377575">
              <w:rPr>
                <w:i/>
                <w:sz w:val="16"/>
                <w:szCs w:val="16"/>
              </w:rPr>
              <w:t>уч</w:t>
            </w:r>
            <w:r w:rsidRPr="00377575">
              <w:rPr>
                <w:i/>
                <w:sz w:val="16"/>
                <w:szCs w:val="16"/>
              </w:rPr>
              <w:t>и</w:t>
            </w:r>
            <w:r w:rsidRPr="00377575">
              <w:rPr>
                <w:i/>
                <w:sz w:val="16"/>
                <w:szCs w:val="16"/>
              </w:rPr>
              <w:t>лища</w:t>
            </w:r>
          </w:p>
        </w:tc>
        <w:tc>
          <w:tcPr>
            <w:tcW w:w="1002" w:type="dxa"/>
            <w:tcBorders>
              <w:top w:val="single" w:sz="4" w:space="0" w:color="auto"/>
              <w:bottom w:val="single" w:sz="12" w:space="0" w:color="auto"/>
            </w:tcBorders>
            <w:shd w:val="clear" w:color="auto" w:fill="auto"/>
            <w:noWrap/>
            <w:vAlign w:val="bottom"/>
          </w:tcPr>
          <w:p w:rsidR="00F2466A" w:rsidRPr="00377575" w:rsidRDefault="00F2466A" w:rsidP="00377575">
            <w:pPr>
              <w:spacing w:before="80" w:after="80" w:line="200" w:lineRule="exact"/>
              <w:rPr>
                <w:i/>
                <w:sz w:val="16"/>
                <w:szCs w:val="16"/>
              </w:rPr>
            </w:pPr>
          </w:p>
        </w:tc>
        <w:tc>
          <w:tcPr>
            <w:tcW w:w="1003" w:type="dxa"/>
            <w:tcBorders>
              <w:top w:val="single" w:sz="4" w:space="0" w:color="auto"/>
              <w:bottom w:val="single" w:sz="12" w:space="0" w:color="auto"/>
            </w:tcBorders>
            <w:shd w:val="clear" w:color="auto" w:fill="auto"/>
            <w:noWrap/>
            <w:vAlign w:val="bottom"/>
          </w:tcPr>
          <w:p w:rsidR="00F2466A" w:rsidRPr="00377575" w:rsidRDefault="00F2466A" w:rsidP="00377575">
            <w:pPr>
              <w:spacing w:before="80" w:after="80" w:line="200" w:lineRule="exact"/>
              <w:rPr>
                <w:i/>
                <w:sz w:val="16"/>
                <w:szCs w:val="16"/>
              </w:rPr>
            </w:pPr>
          </w:p>
        </w:tc>
        <w:tc>
          <w:tcPr>
            <w:tcW w:w="1003" w:type="dxa"/>
            <w:tcBorders>
              <w:top w:val="single" w:sz="4" w:space="0" w:color="auto"/>
              <w:bottom w:val="single" w:sz="12" w:space="0" w:color="auto"/>
            </w:tcBorders>
            <w:shd w:val="clear" w:color="auto" w:fill="auto"/>
            <w:noWrap/>
            <w:vAlign w:val="bottom"/>
          </w:tcPr>
          <w:p w:rsidR="00F2466A" w:rsidRPr="00377575" w:rsidRDefault="00F2466A" w:rsidP="00377575">
            <w:pPr>
              <w:spacing w:before="80" w:after="80" w:line="200" w:lineRule="exact"/>
              <w:rPr>
                <w:i/>
                <w:sz w:val="16"/>
                <w:szCs w:val="16"/>
              </w:rPr>
            </w:pPr>
            <w:r w:rsidRPr="00377575">
              <w:rPr>
                <w:i/>
                <w:sz w:val="16"/>
                <w:szCs w:val="16"/>
              </w:rPr>
              <w:t xml:space="preserve"> </w:t>
            </w:r>
          </w:p>
        </w:tc>
        <w:tc>
          <w:tcPr>
            <w:tcW w:w="1003" w:type="dxa"/>
            <w:tcBorders>
              <w:top w:val="single" w:sz="4" w:space="0" w:color="auto"/>
              <w:bottom w:val="single" w:sz="12" w:space="0" w:color="auto"/>
            </w:tcBorders>
            <w:shd w:val="clear" w:color="auto" w:fill="auto"/>
            <w:vAlign w:val="bottom"/>
          </w:tcPr>
          <w:p w:rsidR="00F2466A" w:rsidRPr="00377575" w:rsidRDefault="00F2466A" w:rsidP="00377575">
            <w:pPr>
              <w:spacing w:before="80" w:after="80" w:line="200" w:lineRule="exact"/>
              <w:rPr>
                <w:i/>
                <w:sz w:val="16"/>
                <w:szCs w:val="16"/>
              </w:rPr>
            </w:pPr>
          </w:p>
        </w:tc>
      </w:tr>
      <w:tr w:rsidR="00F2466A" w:rsidRPr="005E6D7C" w:rsidTr="001D4AE0">
        <w:tc>
          <w:tcPr>
            <w:tcW w:w="3360" w:type="dxa"/>
            <w:tcBorders>
              <w:top w:val="single" w:sz="12" w:space="0" w:color="auto"/>
              <w:left w:val="nil"/>
              <w:bottom w:val="nil"/>
              <w:right w:val="nil"/>
            </w:tcBorders>
            <w:shd w:val="clear" w:color="auto" w:fill="auto"/>
            <w:noWrap/>
          </w:tcPr>
          <w:p w:rsidR="00F2466A" w:rsidRPr="005E6D7C" w:rsidRDefault="00F2466A" w:rsidP="005E6D7C">
            <w:pPr>
              <w:spacing w:before="40" w:after="40" w:line="220" w:lineRule="exact"/>
              <w:rPr>
                <w:sz w:val="18"/>
                <w:szCs w:val="18"/>
              </w:rPr>
            </w:pPr>
            <w:r w:rsidRPr="005E6D7C">
              <w:rPr>
                <w:sz w:val="18"/>
                <w:szCs w:val="18"/>
              </w:rPr>
              <w:t>Год приема на работу</w:t>
            </w:r>
          </w:p>
        </w:tc>
        <w:tc>
          <w:tcPr>
            <w:tcW w:w="1002" w:type="dxa"/>
            <w:tcBorders>
              <w:top w:val="single" w:sz="12" w:space="0" w:color="auto"/>
              <w:left w:val="nil"/>
              <w:bottom w:val="nil"/>
              <w:right w:val="nil"/>
            </w:tcBorders>
            <w:shd w:val="clear" w:color="auto" w:fill="auto"/>
            <w:noWrap/>
            <w:vAlign w:val="bottom"/>
          </w:tcPr>
          <w:p w:rsidR="00F2466A" w:rsidRPr="005E6D7C" w:rsidRDefault="00F2466A" w:rsidP="005E6D7C">
            <w:pPr>
              <w:spacing w:before="40" w:after="40" w:line="220" w:lineRule="exact"/>
              <w:jc w:val="right"/>
              <w:rPr>
                <w:sz w:val="18"/>
                <w:szCs w:val="18"/>
              </w:rPr>
            </w:pPr>
            <w:r w:rsidRPr="005E6D7C">
              <w:rPr>
                <w:sz w:val="18"/>
                <w:szCs w:val="18"/>
              </w:rPr>
              <w:t>2009 г.</w:t>
            </w:r>
          </w:p>
        </w:tc>
        <w:tc>
          <w:tcPr>
            <w:tcW w:w="1003" w:type="dxa"/>
            <w:tcBorders>
              <w:top w:val="single" w:sz="12" w:space="0" w:color="auto"/>
              <w:left w:val="nil"/>
              <w:bottom w:val="nil"/>
              <w:right w:val="nil"/>
            </w:tcBorders>
            <w:shd w:val="clear" w:color="auto" w:fill="auto"/>
            <w:noWrap/>
            <w:vAlign w:val="bottom"/>
          </w:tcPr>
          <w:p w:rsidR="00F2466A" w:rsidRPr="005E6D7C" w:rsidRDefault="00F2466A" w:rsidP="005E6D7C">
            <w:pPr>
              <w:spacing w:before="40" w:after="40" w:line="220" w:lineRule="exact"/>
              <w:jc w:val="right"/>
              <w:rPr>
                <w:sz w:val="18"/>
                <w:szCs w:val="18"/>
              </w:rPr>
            </w:pPr>
            <w:r w:rsidRPr="005E6D7C">
              <w:rPr>
                <w:sz w:val="18"/>
                <w:szCs w:val="18"/>
              </w:rPr>
              <w:t>2010 г.</w:t>
            </w:r>
          </w:p>
        </w:tc>
        <w:tc>
          <w:tcPr>
            <w:tcW w:w="1003" w:type="dxa"/>
            <w:tcBorders>
              <w:top w:val="single" w:sz="12" w:space="0" w:color="auto"/>
              <w:left w:val="nil"/>
              <w:bottom w:val="nil"/>
              <w:right w:val="nil"/>
            </w:tcBorders>
            <w:shd w:val="clear" w:color="auto" w:fill="auto"/>
            <w:noWrap/>
            <w:vAlign w:val="bottom"/>
          </w:tcPr>
          <w:p w:rsidR="00F2466A" w:rsidRPr="005E6D7C" w:rsidRDefault="00F2466A" w:rsidP="005E6D7C">
            <w:pPr>
              <w:spacing w:before="40" w:after="40" w:line="220" w:lineRule="exact"/>
              <w:jc w:val="right"/>
              <w:rPr>
                <w:sz w:val="18"/>
                <w:szCs w:val="18"/>
              </w:rPr>
            </w:pPr>
            <w:r w:rsidRPr="005E6D7C">
              <w:rPr>
                <w:sz w:val="18"/>
                <w:szCs w:val="18"/>
              </w:rPr>
              <w:t>2011 г.</w:t>
            </w:r>
          </w:p>
        </w:tc>
        <w:tc>
          <w:tcPr>
            <w:tcW w:w="1003" w:type="dxa"/>
            <w:tcBorders>
              <w:top w:val="single" w:sz="12" w:space="0" w:color="auto"/>
              <w:left w:val="nil"/>
              <w:bottom w:val="nil"/>
              <w:right w:val="nil"/>
            </w:tcBorders>
            <w:shd w:val="clear" w:color="auto" w:fill="auto"/>
            <w:vAlign w:val="bottom"/>
          </w:tcPr>
          <w:p w:rsidR="00F2466A" w:rsidRPr="005E6D7C" w:rsidRDefault="00F2466A" w:rsidP="005E6D7C">
            <w:pPr>
              <w:spacing w:before="40" w:after="40" w:line="220" w:lineRule="exact"/>
              <w:jc w:val="right"/>
              <w:rPr>
                <w:sz w:val="18"/>
                <w:szCs w:val="18"/>
              </w:rPr>
            </w:pPr>
            <w:r w:rsidRPr="005E6D7C">
              <w:rPr>
                <w:sz w:val="18"/>
                <w:szCs w:val="18"/>
              </w:rPr>
              <w:t>2012 г.</w:t>
            </w:r>
          </w:p>
        </w:tc>
      </w:tr>
      <w:tr w:rsidR="00F2466A" w:rsidRPr="005E6D7C" w:rsidTr="001D4AE0">
        <w:tc>
          <w:tcPr>
            <w:tcW w:w="3360" w:type="dxa"/>
            <w:tcBorders>
              <w:top w:val="nil"/>
              <w:bottom w:val="single" w:sz="12" w:space="0" w:color="auto"/>
            </w:tcBorders>
            <w:shd w:val="clear" w:color="auto" w:fill="auto"/>
            <w:noWrap/>
          </w:tcPr>
          <w:p w:rsidR="00F2466A" w:rsidRPr="005E6D7C" w:rsidRDefault="00F2466A" w:rsidP="005E6D7C">
            <w:pPr>
              <w:spacing w:before="40" w:after="40" w:line="220" w:lineRule="exact"/>
              <w:rPr>
                <w:sz w:val="18"/>
                <w:szCs w:val="18"/>
              </w:rPr>
            </w:pPr>
            <w:r w:rsidRPr="005E6D7C">
              <w:rPr>
                <w:sz w:val="18"/>
                <w:szCs w:val="18"/>
              </w:rPr>
              <w:t>Общее число бросивших учебу</w:t>
            </w:r>
          </w:p>
        </w:tc>
        <w:tc>
          <w:tcPr>
            <w:tcW w:w="1002" w:type="dxa"/>
            <w:tcBorders>
              <w:top w:val="nil"/>
              <w:bottom w:val="single" w:sz="12" w:space="0" w:color="auto"/>
            </w:tcBorders>
            <w:shd w:val="clear" w:color="auto" w:fill="auto"/>
            <w:noWrap/>
            <w:vAlign w:val="bottom"/>
          </w:tcPr>
          <w:p w:rsidR="00F2466A" w:rsidRPr="005E6D7C" w:rsidRDefault="00F2466A" w:rsidP="005E6D7C">
            <w:pPr>
              <w:spacing w:before="40" w:after="40" w:line="220" w:lineRule="exact"/>
              <w:jc w:val="right"/>
              <w:rPr>
                <w:sz w:val="18"/>
                <w:szCs w:val="18"/>
              </w:rPr>
            </w:pPr>
            <w:r w:rsidRPr="005E6D7C">
              <w:rPr>
                <w:sz w:val="18"/>
                <w:szCs w:val="18"/>
              </w:rPr>
              <w:t>10</w:t>
            </w:r>
          </w:p>
        </w:tc>
        <w:tc>
          <w:tcPr>
            <w:tcW w:w="1003" w:type="dxa"/>
            <w:tcBorders>
              <w:top w:val="nil"/>
              <w:bottom w:val="single" w:sz="12" w:space="0" w:color="auto"/>
            </w:tcBorders>
            <w:shd w:val="clear" w:color="auto" w:fill="auto"/>
            <w:noWrap/>
            <w:vAlign w:val="bottom"/>
          </w:tcPr>
          <w:p w:rsidR="00F2466A" w:rsidRPr="005E6D7C" w:rsidRDefault="00F2466A" w:rsidP="005E6D7C">
            <w:pPr>
              <w:spacing w:before="40" w:after="40" w:line="220" w:lineRule="exact"/>
              <w:jc w:val="right"/>
              <w:rPr>
                <w:sz w:val="18"/>
                <w:szCs w:val="18"/>
              </w:rPr>
            </w:pPr>
            <w:r w:rsidRPr="005E6D7C">
              <w:rPr>
                <w:sz w:val="18"/>
                <w:szCs w:val="18"/>
              </w:rPr>
              <w:t>9</w:t>
            </w:r>
          </w:p>
        </w:tc>
        <w:tc>
          <w:tcPr>
            <w:tcW w:w="1003" w:type="dxa"/>
            <w:tcBorders>
              <w:top w:val="nil"/>
              <w:bottom w:val="single" w:sz="12" w:space="0" w:color="auto"/>
            </w:tcBorders>
            <w:shd w:val="clear" w:color="auto" w:fill="auto"/>
            <w:noWrap/>
            <w:vAlign w:val="bottom"/>
          </w:tcPr>
          <w:p w:rsidR="00F2466A" w:rsidRPr="005E6D7C" w:rsidRDefault="00F2466A" w:rsidP="005E6D7C">
            <w:pPr>
              <w:spacing w:before="40" w:after="40" w:line="220" w:lineRule="exact"/>
              <w:jc w:val="right"/>
              <w:rPr>
                <w:sz w:val="18"/>
                <w:szCs w:val="18"/>
              </w:rPr>
            </w:pPr>
            <w:r w:rsidRPr="005E6D7C">
              <w:rPr>
                <w:sz w:val="18"/>
                <w:szCs w:val="18"/>
              </w:rPr>
              <w:t>3</w:t>
            </w:r>
          </w:p>
        </w:tc>
        <w:tc>
          <w:tcPr>
            <w:tcW w:w="1003" w:type="dxa"/>
            <w:tcBorders>
              <w:top w:val="nil"/>
              <w:bottom w:val="single" w:sz="12" w:space="0" w:color="auto"/>
            </w:tcBorders>
            <w:shd w:val="clear" w:color="auto" w:fill="auto"/>
            <w:vAlign w:val="bottom"/>
          </w:tcPr>
          <w:p w:rsidR="00F2466A" w:rsidRPr="005E6D7C" w:rsidRDefault="00F2466A" w:rsidP="005E6D7C">
            <w:pPr>
              <w:spacing w:before="40" w:after="40" w:line="220" w:lineRule="exact"/>
              <w:jc w:val="right"/>
              <w:rPr>
                <w:sz w:val="18"/>
                <w:szCs w:val="18"/>
              </w:rPr>
            </w:pPr>
            <w:r w:rsidRPr="005E6D7C">
              <w:rPr>
                <w:sz w:val="18"/>
                <w:szCs w:val="18"/>
              </w:rPr>
              <w:t>2</w:t>
            </w:r>
          </w:p>
        </w:tc>
      </w:tr>
    </w:tbl>
    <w:p w:rsidR="00907DF0" w:rsidRDefault="00907DF0" w:rsidP="005E6D7C">
      <w:pPr>
        <w:pStyle w:val="SingleTxtGR"/>
        <w:spacing w:before="240"/>
      </w:pPr>
      <w:r>
        <w:t>203.</w:t>
      </w:r>
      <w:r>
        <w:tab/>
        <w:t>Недавно управление Национального комиссара приняло участие в иссл</w:t>
      </w:r>
      <w:r>
        <w:t>е</w:t>
      </w:r>
      <w:r>
        <w:t>довании, проведенном Датским институтом по правам человека, в ходе которого выявлялись, в частности, возможные причины, по которым абитуриенты неда</w:t>
      </w:r>
      <w:r>
        <w:t>т</w:t>
      </w:r>
      <w:r>
        <w:t>ского происхождения относительно чаще, чем этнические датчане, провалив</w:t>
      </w:r>
      <w:r>
        <w:t>а</w:t>
      </w:r>
      <w:r>
        <w:t>ются на экзаменах при приеме в полицейскую службу. Управление Национал</w:t>
      </w:r>
      <w:r>
        <w:t>ь</w:t>
      </w:r>
      <w:r>
        <w:t>ного комиссара намерено учесть выводы, сделанные в этом исследовании, при корректировке процедуры приемных э</w:t>
      </w:r>
      <w:r>
        <w:t>к</w:t>
      </w:r>
      <w:r>
        <w:t>заменов в 2013</w:t>
      </w:r>
      <w:r w:rsidR="001D4AE0">
        <w:t> </w:t>
      </w:r>
      <w:r>
        <w:t>году.</w:t>
      </w:r>
    </w:p>
    <w:p w:rsidR="00907DF0" w:rsidRDefault="00907DF0" w:rsidP="002F77D6">
      <w:pPr>
        <w:pStyle w:val="H23GR"/>
      </w:pPr>
      <w:r>
        <w:tab/>
      </w:r>
      <w:r>
        <w:tab/>
        <w:t>Набор представителей этнических меньшинств в состав работников тюрем</w:t>
      </w:r>
    </w:p>
    <w:p w:rsidR="00907DF0" w:rsidRDefault="00907DF0" w:rsidP="00907DF0">
      <w:pPr>
        <w:pStyle w:val="SingleTxtGR"/>
      </w:pPr>
      <w:r>
        <w:t>204.</w:t>
      </w:r>
      <w:r>
        <w:tab/>
        <w:t>Как указано в пунктах</w:t>
      </w:r>
      <w:r w:rsidR="001D4AE0">
        <w:t> </w:t>
      </w:r>
      <w:r>
        <w:t>203–205 семнадцатого периодического доклада и</w:t>
      </w:r>
      <w:r w:rsidR="001D4AE0">
        <w:t> </w:t>
      </w:r>
      <w:r>
        <w:t>пунктах</w:t>
      </w:r>
      <w:r w:rsidR="001D4AE0">
        <w:t> </w:t>
      </w:r>
      <w:r>
        <w:t>201–203 девятнадцатого периодического доклада, правительством были организованы подготовительные учебные курсы для лиц недатского этн</w:t>
      </w:r>
      <w:r>
        <w:t>и</w:t>
      </w:r>
      <w:r>
        <w:t>ческого происхождения, желающих поступить на работу в пенитенциарные з</w:t>
      </w:r>
      <w:r>
        <w:t>а</w:t>
      </w:r>
      <w:r>
        <w:t>ведения. В период после девятнадцатого периодического доклада осуществл</w:t>
      </w:r>
      <w:r>
        <w:t>е</w:t>
      </w:r>
      <w:r>
        <w:t>ние этой программы было прекращено, поскольку она оказалась более нену</w:t>
      </w:r>
      <w:r>
        <w:t>ж</w:t>
      </w:r>
      <w:r>
        <w:t>ной для привлечения достаточно квалифицированных кандидатов недатского этнического происхождения.</w:t>
      </w:r>
    </w:p>
    <w:p w:rsidR="00907DF0" w:rsidRDefault="00907DF0" w:rsidP="002F77D6">
      <w:pPr>
        <w:pStyle w:val="H23GR"/>
      </w:pPr>
      <w:r>
        <w:tab/>
      </w:r>
      <w:r>
        <w:tab/>
        <w:t>Набор представителей этнических меньшинств для службы в в</w:t>
      </w:r>
      <w:r>
        <w:t>о</w:t>
      </w:r>
      <w:r>
        <w:t>оруженных силах</w:t>
      </w:r>
    </w:p>
    <w:p w:rsidR="00907DF0" w:rsidRDefault="00907DF0" w:rsidP="00907DF0">
      <w:pPr>
        <w:pStyle w:val="SingleTxtGR"/>
      </w:pPr>
      <w:r>
        <w:t>205.</w:t>
      </w:r>
      <w:r>
        <w:tab/>
        <w:t>В апреле 2011</w:t>
      </w:r>
      <w:r w:rsidR="001D4AE0">
        <w:t> </w:t>
      </w:r>
      <w:r>
        <w:t>года Министерство обороны обнародовало программный документ, посвященный многообразию, хотя он и не был продиктован конкре</w:t>
      </w:r>
      <w:r>
        <w:t>т</w:t>
      </w:r>
      <w:r>
        <w:t>но задачами борьбы с расовой дискриминацией. Цель этого программного д</w:t>
      </w:r>
      <w:r>
        <w:t>о</w:t>
      </w:r>
      <w:r>
        <w:t>кумента – расширить многообразие в рядах военнослужащих Министерства обороны с точки зрения половой и этнической принадлежности. В документе намечены 14</w:t>
      </w:r>
      <w:r w:rsidR="001D4AE0">
        <w:t> </w:t>
      </w:r>
      <w:r>
        <w:t>инициатив, направле</w:t>
      </w:r>
      <w:r w:rsidR="006D3840">
        <w:t>нных на расширение многообразия</w:t>
      </w:r>
      <w:r>
        <w:t xml:space="preserve"> и</w:t>
      </w:r>
      <w:r w:rsidR="006D3840">
        <w:t>,</w:t>
      </w:r>
      <w:r>
        <w:t xml:space="preserve"> в час</w:t>
      </w:r>
      <w:r>
        <w:t>т</w:t>
      </w:r>
      <w:r>
        <w:t>ности</w:t>
      </w:r>
      <w:r w:rsidR="006D3840">
        <w:t>,</w:t>
      </w:r>
      <w:r>
        <w:t xml:space="preserve"> на повышение информированности на эту тему среди работников упра</w:t>
      </w:r>
      <w:r>
        <w:t>в</w:t>
      </w:r>
      <w:r>
        <w:t>ленческого звена, составление планов действий на организационном уровне, углубление сотрудничества с районными советами в связи с набором предст</w:t>
      </w:r>
      <w:r>
        <w:t>а</w:t>
      </w:r>
      <w:r>
        <w:t>вителей этнических меньшинств и использование специально назначенных представителей оборонного ведомства для расширения набора представителей этнических меньшинств и женщин. Оценка реализации этой программы нам</w:t>
      </w:r>
      <w:r>
        <w:t>е</w:t>
      </w:r>
      <w:r>
        <w:t>чена на конец 2014</w:t>
      </w:r>
      <w:r w:rsidR="001D4AE0">
        <w:t> </w:t>
      </w:r>
      <w:r>
        <w:t>года.</w:t>
      </w:r>
    </w:p>
    <w:p w:rsidR="00907DF0" w:rsidRDefault="00907DF0" w:rsidP="00E64CCF">
      <w:pPr>
        <w:pStyle w:val="H23GR"/>
      </w:pPr>
      <w:r>
        <w:tab/>
      </w:r>
      <w:r>
        <w:tab/>
        <w:t>Набор представителей этнических меньшинств в состав судебных органов</w:t>
      </w:r>
    </w:p>
    <w:p w:rsidR="00907DF0" w:rsidRDefault="00907DF0" w:rsidP="00E64CCF">
      <w:pPr>
        <w:pStyle w:val="SingleTxtGR"/>
        <w:keepNext/>
        <w:keepLines/>
      </w:pPr>
      <w:r>
        <w:t>206.</w:t>
      </w:r>
      <w:r>
        <w:tab/>
        <w:t>При наборе своего собственного персонала, а также в своих инструкциях судам страны, Судебная администрация исходит из общих инструкций и рук</w:t>
      </w:r>
      <w:r>
        <w:t>о</w:t>
      </w:r>
      <w:r>
        <w:t>водящих принципов Агентства по модернизации системы государственной а</w:t>
      </w:r>
      <w:r>
        <w:t>д</w:t>
      </w:r>
      <w:r>
        <w:t>министрации, касающихся инициатив, нацеленных на активизацию набора представителей этнических меньшинств в состав государственных администр</w:t>
      </w:r>
      <w:r>
        <w:t>а</w:t>
      </w:r>
      <w:r>
        <w:t>тивных органов. Кроме того, Судебная администрация внимательно следит за тем, чтобы начальники административной службы датских судов со всем вн</w:t>
      </w:r>
      <w:r>
        <w:t>и</w:t>
      </w:r>
      <w:r>
        <w:t>манием относились к набору лиц недатского этнического происхождения.</w:t>
      </w:r>
    </w:p>
    <w:p w:rsidR="00907DF0" w:rsidRDefault="002F77D6" w:rsidP="002F77D6">
      <w:pPr>
        <w:pStyle w:val="HChGR"/>
      </w:pPr>
      <w:r>
        <w:br w:type="page"/>
      </w:r>
      <w:r w:rsidR="00907DF0">
        <w:t>Приложения</w:t>
      </w:r>
    </w:p>
    <w:p w:rsidR="00907DF0" w:rsidRDefault="00907DF0" w:rsidP="002F77D6">
      <w:pPr>
        <w:pStyle w:val="HChGR"/>
      </w:pPr>
      <w:r>
        <w:tab/>
      </w:r>
      <w:r>
        <w:tab/>
        <w:t>Приложение I</w:t>
      </w:r>
      <w:r w:rsidR="002F77D6" w:rsidRPr="002F77D6">
        <w:br/>
      </w:r>
      <w:r>
        <w:t>Информация по Гренландии</w:t>
      </w:r>
    </w:p>
    <w:p w:rsidR="00907DF0" w:rsidRDefault="00907DF0" w:rsidP="002F77D6">
      <w:pPr>
        <w:pStyle w:val="HChGR"/>
      </w:pPr>
      <w:r>
        <w:tab/>
      </w:r>
      <w:r>
        <w:tab/>
        <w:t>Часть I</w:t>
      </w:r>
    </w:p>
    <w:p w:rsidR="00907DF0" w:rsidRDefault="00907DF0" w:rsidP="00907DF0">
      <w:pPr>
        <w:pStyle w:val="SingleTxtGR"/>
      </w:pPr>
      <w:r>
        <w:t>1.</w:t>
      </w:r>
      <w:r>
        <w:tab/>
        <w:t>Просьба ознакомиться с приложением</w:t>
      </w:r>
      <w:r w:rsidR="001D4AE0">
        <w:t> </w:t>
      </w:r>
      <w:r>
        <w:t xml:space="preserve">1 </w:t>
      </w:r>
      <w:r w:rsidR="001D4AE0">
        <w:t>"</w:t>
      </w:r>
      <w:r>
        <w:t>Информация по Гренландии</w:t>
      </w:r>
      <w:r w:rsidR="001D4AE0">
        <w:t>"</w:t>
      </w:r>
      <w:r>
        <w:t xml:space="preserve"> к</w:t>
      </w:r>
      <w:r w:rsidR="00CF6CDE">
        <w:t> </w:t>
      </w:r>
      <w:r>
        <w:t>сводному докладу, объединяющему восемнадцатый и девятнадцатый пери</w:t>
      </w:r>
      <w:r>
        <w:t>о</w:t>
      </w:r>
      <w:r>
        <w:t>дические доклады (CERD/C/DNK/18-19).</w:t>
      </w:r>
    </w:p>
    <w:p w:rsidR="00907DF0" w:rsidRDefault="00907DF0" w:rsidP="002F77D6">
      <w:pPr>
        <w:pStyle w:val="HChGR"/>
      </w:pPr>
      <w:r>
        <w:tab/>
      </w:r>
      <w:r>
        <w:tab/>
        <w:t>Часть II</w:t>
      </w:r>
    </w:p>
    <w:p w:rsidR="00907DF0" w:rsidRDefault="00907DF0" w:rsidP="002F77D6">
      <w:pPr>
        <w:pStyle w:val="H1GR"/>
      </w:pPr>
      <w:r>
        <w:tab/>
      </w:r>
      <w:r>
        <w:tab/>
        <w:t>Статья 1</w:t>
      </w:r>
    </w:p>
    <w:p w:rsidR="00907DF0" w:rsidRDefault="00907DF0" w:rsidP="00907DF0">
      <w:pPr>
        <w:pStyle w:val="SingleTxtGR"/>
      </w:pPr>
      <w:r>
        <w:t>2.</w:t>
      </w:r>
      <w:r>
        <w:tab/>
        <w:t>Пр</w:t>
      </w:r>
      <w:r w:rsidR="00CF6CDE">
        <w:t>осьба ознакомиться с пунктами</w:t>
      </w:r>
      <w:r w:rsidR="001D4AE0">
        <w:t> </w:t>
      </w:r>
      <w:r w:rsidR="0073006A">
        <w:t>6–</w:t>
      </w:r>
      <w:r>
        <w:t>21 девятнадцатого периодического доклада. Новая система самоуправления в предложенном варианте функцион</w:t>
      </w:r>
      <w:r>
        <w:t>и</w:t>
      </w:r>
      <w:r>
        <w:t>рует с 21</w:t>
      </w:r>
      <w:r w:rsidR="001D4AE0">
        <w:t> </w:t>
      </w:r>
      <w:r>
        <w:t>июня 2009</w:t>
      </w:r>
      <w:r w:rsidR="001D4AE0">
        <w:t> </w:t>
      </w:r>
      <w:r>
        <w:t>года на основе закона</w:t>
      </w:r>
      <w:r w:rsidR="001D4AE0">
        <w:t> </w:t>
      </w:r>
      <w:r>
        <w:t>№</w:t>
      </w:r>
      <w:r w:rsidR="001D4AE0">
        <w:t> </w:t>
      </w:r>
      <w:r>
        <w:t>473 от 12</w:t>
      </w:r>
      <w:r w:rsidR="001D4AE0">
        <w:t> </w:t>
      </w:r>
      <w:r>
        <w:t>июня 2009</w:t>
      </w:r>
      <w:r w:rsidR="001D4AE0">
        <w:t> </w:t>
      </w:r>
      <w:r>
        <w:t>года о сам</w:t>
      </w:r>
      <w:r>
        <w:t>о</w:t>
      </w:r>
      <w:r>
        <w:t>управлении Гренландии.</w:t>
      </w:r>
    </w:p>
    <w:p w:rsidR="00907DF0" w:rsidRDefault="00907DF0" w:rsidP="00907DF0">
      <w:pPr>
        <w:pStyle w:val="SingleTxtGR"/>
      </w:pPr>
      <w:r>
        <w:t>3.</w:t>
      </w:r>
      <w:r>
        <w:tab/>
        <w:t>В пункте</w:t>
      </w:r>
      <w:r w:rsidR="001D4AE0">
        <w:t> </w:t>
      </w:r>
      <w:r>
        <w:t>20 своих заключительных замечаний по семнадцатому период</w:t>
      </w:r>
      <w:r>
        <w:t>и</w:t>
      </w:r>
      <w:r>
        <w:t>ческому докладу Дании и пункте</w:t>
      </w:r>
      <w:r w:rsidR="001D4AE0">
        <w:t> </w:t>
      </w:r>
      <w:r>
        <w:t>17 своих заключительных замечаний по д</w:t>
      </w:r>
      <w:r>
        <w:t>е</w:t>
      </w:r>
      <w:r>
        <w:t>вятнадцатому периодическому докладу Комитет рек</w:t>
      </w:r>
      <w:r>
        <w:t>о</w:t>
      </w:r>
      <w:r>
        <w:t>мендовал государству-участнику уделять особое внимание способам самоидентификации коренных народов. И правительство Дании, и самоуправляющаяся администрация Гре</w:t>
      </w:r>
      <w:r>
        <w:t>н</w:t>
      </w:r>
      <w:r>
        <w:t>ландии ссылаются на заявление, с которым выступило датское правительство и</w:t>
      </w:r>
      <w:r w:rsidR="001D4AE0">
        <w:t> </w:t>
      </w:r>
      <w:r>
        <w:t>к которому присоединилось автономное правительство Гренландии, в связи с</w:t>
      </w:r>
      <w:r w:rsidR="001D4AE0">
        <w:t> </w:t>
      </w:r>
      <w:r>
        <w:t>ратификацией Данией Конвенции</w:t>
      </w:r>
      <w:r w:rsidR="001D4AE0">
        <w:t> </w:t>
      </w:r>
      <w:r>
        <w:t>№</w:t>
      </w:r>
      <w:r w:rsidR="001D4AE0">
        <w:t> </w:t>
      </w:r>
      <w:r>
        <w:t>169 МОТ 1989</w:t>
      </w:r>
      <w:r w:rsidR="001D4AE0">
        <w:t> </w:t>
      </w:r>
      <w:r>
        <w:t>года о коренных народах и</w:t>
      </w:r>
      <w:r w:rsidR="001D4AE0">
        <w:t> </w:t>
      </w:r>
      <w:r>
        <w:t>народах, ведущих племенной образ жизни, в независимых странах. Согласно разделу</w:t>
      </w:r>
      <w:r w:rsidR="0073006A">
        <w:t> </w:t>
      </w:r>
      <w:r>
        <w:t>1 этого заявления, единственным коренным народом Дании по смыслу Конвенции является коренное население Гренландии, или инуиты. Кроме того, руководствуясь указанным заявлением, Верховный суд Дании вынес определ</w:t>
      </w:r>
      <w:r>
        <w:t>е</w:t>
      </w:r>
      <w:r>
        <w:t>ние о том, что племя туле не является племенной народностью или самосто</w:t>
      </w:r>
      <w:r>
        <w:t>я</w:t>
      </w:r>
      <w:r>
        <w:t>тельной коренной народностью в составе гренландского народа в целом или с</w:t>
      </w:r>
      <w:r>
        <w:t>о</w:t>
      </w:r>
      <w:r>
        <w:t>существующей с ним (решение Верховного суда от 28</w:t>
      </w:r>
      <w:r w:rsidR="001D4AE0">
        <w:t> </w:t>
      </w:r>
      <w:r>
        <w:t>ноября 2003</w:t>
      </w:r>
      <w:r w:rsidR="001D4AE0">
        <w:t> </w:t>
      </w:r>
      <w:r>
        <w:t>года по д</w:t>
      </w:r>
      <w:r>
        <w:t>е</w:t>
      </w:r>
      <w:r>
        <w:t>лу</w:t>
      </w:r>
      <w:r w:rsidR="001D4AE0">
        <w:t> </w:t>
      </w:r>
      <w:r>
        <w:t>№</w:t>
      </w:r>
      <w:r w:rsidR="001D4AE0">
        <w:t> </w:t>
      </w:r>
      <w:r>
        <w:t xml:space="preserve">489/1999 и 490/1999 </w:t>
      </w:r>
      <w:r w:rsidRPr="004063F4">
        <w:rPr>
          <w:i/>
        </w:rPr>
        <w:t>"Племя Туле против премьер-министра Дании"</w:t>
      </w:r>
      <w:r>
        <w:t>; см.</w:t>
      </w:r>
      <w:r w:rsidR="001D4AE0">
        <w:t> </w:t>
      </w:r>
      <w:r>
        <w:t>также пункты</w:t>
      </w:r>
      <w:r w:rsidR="001D4AE0">
        <w:t> </w:t>
      </w:r>
      <w:r>
        <w:t>"a" и "b" части</w:t>
      </w:r>
      <w:r w:rsidR="001D4AE0">
        <w:t> </w:t>
      </w:r>
      <w:r>
        <w:t>1 статьи</w:t>
      </w:r>
      <w:r w:rsidR="001D4AE0">
        <w:t> </w:t>
      </w:r>
      <w:r>
        <w:t>1 Конвенции</w:t>
      </w:r>
      <w:r w:rsidR="001D4AE0">
        <w:t> </w:t>
      </w:r>
      <w:r w:rsidR="00987F86">
        <w:t>№</w:t>
      </w:r>
      <w:r w:rsidR="001D4AE0">
        <w:t> </w:t>
      </w:r>
      <w:r>
        <w:t xml:space="preserve">169 МОТ о коренных народах и народах, </w:t>
      </w:r>
      <w:r w:rsidR="001D4AE0">
        <w:t>ведущих племенной образ жизни).</w:t>
      </w:r>
    </w:p>
    <w:p w:rsidR="00907DF0" w:rsidRDefault="00907DF0" w:rsidP="00907DF0">
      <w:pPr>
        <w:pStyle w:val="SingleTxtGR"/>
      </w:pPr>
      <w:r>
        <w:t>4.</w:t>
      </w:r>
      <w:r>
        <w:tab/>
        <w:t>На 1</w:t>
      </w:r>
      <w:r w:rsidR="001D4AE0">
        <w:t> </w:t>
      </w:r>
      <w:r>
        <w:t>января 2013</w:t>
      </w:r>
      <w:r w:rsidR="001D4AE0">
        <w:t> </w:t>
      </w:r>
      <w:r>
        <w:t>года общая численность населения Гренландии соста</w:t>
      </w:r>
      <w:r>
        <w:t>в</w:t>
      </w:r>
      <w:r>
        <w:t>ляла 56</w:t>
      </w:r>
      <w:r w:rsidR="00CF6CDE">
        <w:t> </w:t>
      </w:r>
      <w:r>
        <w:t>370</w:t>
      </w:r>
      <w:r w:rsidR="001D4AE0">
        <w:t> </w:t>
      </w:r>
      <w:r>
        <w:t>человек, из которых 89</w:t>
      </w:r>
      <w:r w:rsidR="00CF6CDE">
        <w:t xml:space="preserve">% </w:t>
      </w:r>
      <w:r>
        <w:t>родились в Гренландии, а 11</w:t>
      </w:r>
      <w:r w:rsidR="00CF6CDE">
        <w:t xml:space="preserve">% </w:t>
      </w:r>
      <w:r>
        <w:t>– в осно</w:t>
      </w:r>
      <w:r>
        <w:t>в</w:t>
      </w:r>
      <w:r>
        <w:t>ном датчане – родились за пр</w:t>
      </w:r>
      <w:r>
        <w:t>е</w:t>
      </w:r>
      <w:r>
        <w:t xml:space="preserve">делами Гренландии. </w:t>
      </w:r>
    </w:p>
    <w:p w:rsidR="00907DF0" w:rsidRDefault="00907DF0" w:rsidP="002F77D6">
      <w:pPr>
        <w:pStyle w:val="H1GR"/>
      </w:pPr>
      <w:r>
        <w:tab/>
      </w:r>
      <w:r>
        <w:tab/>
        <w:t>Статья 2</w:t>
      </w:r>
    </w:p>
    <w:p w:rsidR="00907DF0" w:rsidRDefault="00907DF0" w:rsidP="00907DF0">
      <w:pPr>
        <w:pStyle w:val="SingleTxtGR"/>
      </w:pPr>
      <w:r>
        <w:t>5.</w:t>
      </w:r>
      <w:r>
        <w:tab/>
        <w:t>Дискриминация по признаку расы и пр. наказуема в соответствии со ст</w:t>
      </w:r>
      <w:r>
        <w:t>а</w:t>
      </w:r>
      <w:r>
        <w:t>тьей</w:t>
      </w:r>
      <w:r w:rsidR="001D4AE0">
        <w:t> </w:t>
      </w:r>
      <w:r>
        <w:t>100 Уголовного к</w:t>
      </w:r>
      <w:r>
        <w:t>о</w:t>
      </w:r>
      <w:r>
        <w:t>декса Гренландии (закон</w:t>
      </w:r>
      <w:r w:rsidR="001D4AE0">
        <w:t> </w:t>
      </w:r>
      <w:r>
        <w:t>№</w:t>
      </w:r>
      <w:r w:rsidR="001D4AE0">
        <w:t> </w:t>
      </w:r>
      <w:r>
        <w:t>306 от 30</w:t>
      </w:r>
      <w:r w:rsidR="001D4AE0">
        <w:t> </w:t>
      </w:r>
      <w:r>
        <w:t>апреля 2008</w:t>
      </w:r>
      <w:r w:rsidR="001D4AE0">
        <w:t> </w:t>
      </w:r>
      <w:r>
        <w:t>года), который вступил в силу 1</w:t>
      </w:r>
      <w:r w:rsidR="001D4AE0">
        <w:t> </w:t>
      </w:r>
      <w:r>
        <w:t>января 2010</w:t>
      </w:r>
      <w:r w:rsidR="001D4AE0">
        <w:t> </w:t>
      </w:r>
      <w:r>
        <w:t>года.</w:t>
      </w:r>
    </w:p>
    <w:p w:rsidR="00907DF0" w:rsidRDefault="00907DF0" w:rsidP="00907DF0">
      <w:pPr>
        <w:pStyle w:val="SingleTxtGR"/>
      </w:pPr>
      <w:r>
        <w:t>6.</w:t>
      </w:r>
      <w:r>
        <w:tab/>
        <w:t>3</w:t>
      </w:r>
      <w:r w:rsidR="001D4AE0">
        <w:t> </w:t>
      </w:r>
      <w:r>
        <w:t>декабря 2012</w:t>
      </w:r>
      <w:r w:rsidR="001D4AE0">
        <w:t> </w:t>
      </w:r>
      <w:r>
        <w:t>года парламентом Гренландии был принят парламентский закон</w:t>
      </w:r>
      <w:r w:rsidR="001D4AE0">
        <w:t> </w:t>
      </w:r>
      <w:r>
        <w:t>№</w:t>
      </w:r>
      <w:r w:rsidR="001D4AE0">
        <w:t> </w:t>
      </w:r>
      <w:r>
        <w:t>23 относител</w:t>
      </w:r>
      <w:r>
        <w:t>ь</w:t>
      </w:r>
      <w:r>
        <w:t>но учреждения Совета по правам человека Гренландии. Сам Совет был учрежден 4</w:t>
      </w:r>
      <w:r w:rsidR="001D4AE0">
        <w:t> </w:t>
      </w:r>
      <w:r>
        <w:t>марта. Совет во взаимодействии с национал</w:t>
      </w:r>
      <w:r w:rsidR="00CF6CDE">
        <w:t>ьным правозащитным учреждением –</w:t>
      </w:r>
      <w:r>
        <w:t xml:space="preserve"> Датским</w:t>
      </w:r>
      <w:r w:rsidR="00CF6CDE">
        <w:t xml:space="preserve"> институтом по правам человека –</w:t>
      </w:r>
      <w:r>
        <w:t xml:space="preserve"> за</w:t>
      </w:r>
      <w:r>
        <w:t>й</w:t>
      </w:r>
      <w:r>
        <w:t>мется, в частности, наработкой научной информации и укреплением правоз</w:t>
      </w:r>
      <w:r>
        <w:t>а</w:t>
      </w:r>
      <w:r>
        <w:t>щитного потенциала (например, утверждением принципов недискриминации по признаку расы).</w:t>
      </w:r>
    </w:p>
    <w:p w:rsidR="00907DF0" w:rsidRDefault="00907DF0" w:rsidP="002F77D6">
      <w:pPr>
        <w:pStyle w:val="H1GR"/>
      </w:pPr>
      <w:r>
        <w:tab/>
      </w:r>
      <w:r>
        <w:tab/>
        <w:t>Статья 3</w:t>
      </w:r>
    </w:p>
    <w:p w:rsidR="00907DF0" w:rsidRDefault="00907DF0" w:rsidP="00907DF0">
      <w:pPr>
        <w:pStyle w:val="SingleTxtGR"/>
      </w:pPr>
      <w:r>
        <w:t>7.</w:t>
      </w:r>
      <w:r>
        <w:tab/>
        <w:t>В соответствии с королевским указом</w:t>
      </w:r>
      <w:r w:rsidR="001D4AE0">
        <w:t> </w:t>
      </w:r>
      <w:r>
        <w:t>№</w:t>
      </w:r>
      <w:r w:rsidR="001D4AE0">
        <w:t> </w:t>
      </w:r>
      <w:r>
        <w:t>27 от 4</w:t>
      </w:r>
      <w:r w:rsidR="001D4AE0">
        <w:t> </w:t>
      </w:r>
      <w:r>
        <w:t>февраля 1972</w:t>
      </w:r>
      <w:r w:rsidR="001D4AE0">
        <w:t> </w:t>
      </w:r>
      <w:r>
        <w:t>года да</w:t>
      </w:r>
      <w:r>
        <w:t>т</w:t>
      </w:r>
      <w:r>
        <w:t>ский закон</w:t>
      </w:r>
      <w:r w:rsidR="001D4AE0">
        <w:t> </w:t>
      </w:r>
      <w:r>
        <w:t>№</w:t>
      </w:r>
      <w:r w:rsidR="001D4AE0">
        <w:t> </w:t>
      </w:r>
      <w:r>
        <w:t>289 от 9</w:t>
      </w:r>
      <w:r w:rsidR="001D4AE0">
        <w:t> </w:t>
      </w:r>
      <w:r>
        <w:t>июня 1971</w:t>
      </w:r>
      <w:r w:rsidR="001D4AE0">
        <w:t> </w:t>
      </w:r>
      <w:r>
        <w:t>года о запрещении дискриминации по призн</w:t>
      </w:r>
      <w:r>
        <w:t>а</w:t>
      </w:r>
      <w:r>
        <w:t>ку расы применяется в отнош</w:t>
      </w:r>
      <w:r w:rsidR="001D4AE0">
        <w:t>ении Гренландии. За период 2009–</w:t>
      </w:r>
      <w:r>
        <w:t>2012</w:t>
      </w:r>
      <w:r w:rsidR="001D4AE0">
        <w:t> </w:t>
      </w:r>
      <w:r>
        <w:t>годов сл</w:t>
      </w:r>
      <w:r>
        <w:t>у</w:t>
      </w:r>
      <w:r>
        <w:t>чаев нарушения этого закона зарегистрировано не было.</w:t>
      </w:r>
    </w:p>
    <w:p w:rsidR="00907DF0" w:rsidRDefault="00907DF0" w:rsidP="00907DF0">
      <w:pPr>
        <w:pStyle w:val="SingleTxtGR"/>
      </w:pPr>
      <w:r>
        <w:t>8.</w:t>
      </w:r>
      <w:r>
        <w:tab/>
        <w:t>Главный констебль Гренландии руководствуется принципами и руков</w:t>
      </w:r>
      <w:r>
        <w:t>о</w:t>
      </w:r>
      <w:r>
        <w:t>дящими положениями, сформулированными Государственным обвинителем в</w:t>
      </w:r>
      <w:r w:rsidR="001D4AE0">
        <w:t> </w:t>
      </w:r>
      <w:r>
        <w:t>инструкции</w:t>
      </w:r>
      <w:r w:rsidR="001D4AE0">
        <w:t> </w:t>
      </w:r>
      <w:r>
        <w:t>№</w:t>
      </w:r>
      <w:r w:rsidR="001D4AE0">
        <w:t> </w:t>
      </w:r>
      <w:r>
        <w:t>2/2011, о которой говорится выше в настоящем докладе в ко</w:t>
      </w:r>
      <w:r>
        <w:t>н</w:t>
      </w:r>
      <w:r>
        <w:t>тексте статьи</w:t>
      </w:r>
      <w:r w:rsidR="001D4AE0">
        <w:t> 4. За период 2009–</w:t>
      </w:r>
      <w:r>
        <w:t>2012</w:t>
      </w:r>
      <w:r w:rsidR="001D4AE0">
        <w:t> </w:t>
      </w:r>
      <w:r>
        <w:t>годов случаев нарушения зарегистриров</w:t>
      </w:r>
      <w:r>
        <w:t>а</w:t>
      </w:r>
      <w:r>
        <w:t>но не было.</w:t>
      </w:r>
    </w:p>
    <w:p w:rsidR="00907DF0" w:rsidRDefault="00907DF0" w:rsidP="002F77D6">
      <w:pPr>
        <w:pStyle w:val="H1GR"/>
      </w:pPr>
      <w:r>
        <w:tab/>
      </w:r>
      <w:r>
        <w:tab/>
        <w:t>Статья 5</w:t>
      </w:r>
    </w:p>
    <w:p w:rsidR="00907DF0" w:rsidRDefault="00907DF0" w:rsidP="00907DF0">
      <w:pPr>
        <w:pStyle w:val="SingleTxtGR"/>
      </w:pPr>
      <w:r>
        <w:t>9.</w:t>
      </w:r>
      <w:r>
        <w:tab/>
        <w:t>Положения Конституции Дании о гражданских правах применяются и на Гренландии.</w:t>
      </w:r>
    </w:p>
    <w:p w:rsidR="00907DF0" w:rsidRDefault="00907DF0" w:rsidP="00907DF0">
      <w:pPr>
        <w:pStyle w:val="SingleTxtGR"/>
      </w:pPr>
      <w:r>
        <w:t>10.</w:t>
      </w:r>
      <w:r>
        <w:tab/>
        <w:t>Согласно статье</w:t>
      </w:r>
      <w:r w:rsidR="001D4AE0">
        <w:t> </w:t>
      </w:r>
      <w:r>
        <w:t>20 закона о самоуправлении Гренландии ее официал</w:t>
      </w:r>
      <w:r>
        <w:t>ь</w:t>
      </w:r>
      <w:r>
        <w:t>ным языком является гренландский. 19</w:t>
      </w:r>
      <w:r w:rsidR="001D4AE0">
        <w:t> </w:t>
      </w:r>
      <w:r>
        <w:t>мая 2010</w:t>
      </w:r>
      <w:r w:rsidR="001D4AE0">
        <w:t> </w:t>
      </w:r>
      <w:r>
        <w:t>года гренландским парламе</w:t>
      </w:r>
      <w:r>
        <w:t>н</w:t>
      </w:r>
      <w:r>
        <w:t>том был утвержден закон</w:t>
      </w:r>
      <w:r w:rsidR="001D4AE0">
        <w:t> </w:t>
      </w:r>
      <w:r>
        <w:t>№</w:t>
      </w:r>
      <w:r w:rsidR="001D4AE0">
        <w:t> </w:t>
      </w:r>
      <w:r>
        <w:t>7 о языковой политике. Этот закон призван зал</w:t>
      </w:r>
      <w:r>
        <w:t>о</w:t>
      </w:r>
      <w:r>
        <w:t>жить четкую базу, определяющую языковую политику страны, и в частности мероприятия по интеграции в языковой области.</w:t>
      </w:r>
    </w:p>
    <w:p w:rsidR="00907DF0" w:rsidRDefault="00907DF0" w:rsidP="00907DF0">
      <w:pPr>
        <w:pStyle w:val="SingleTxtGR"/>
      </w:pPr>
      <w:r>
        <w:t>11.</w:t>
      </w:r>
      <w:r>
        <w:tab/>
        <w:t>В пункте</w:t>
      </w:r>
      <w:r w:rsidR="001D4AE0">
        <w:t> </w:t>
      </w:r>
      <w:r>
        <w:t>17 своих заключительных замечаний Комитет настоятельно призвал правительство принять меры по решению проблем, с которыми сталк</w:t>
      </w:r>
      <w:r>
        <w:t>и</w:t>
      </w:r>
      <w:r>
        <w:t>ваются дети, родившиеся в Гренландии в 1950-х и 1960-х</w:t>
      </w:r>
      <w:r w:rsidR="001D4AE0">
        <w:t> </w:t>
      </w:r>
      <w:r>
        <w:t>годах вне брака от датчан, которые считаются в правовом смысле безотчими и в силу этого нег</w:t>
      </w:r>
      <w:r>
        <w:t>а</w:t>
      </w:r>
      <w:r>
        <w:t>тивно затронуты различными положениями законодательства, включая полож</w:t>
      </w:r>
      <w:r>
        <w:t>е</w:t>
      </w:r>
      <w:r>
        <w:t>ния, регулирующие с</w:t>
      </w:r>
      <w:r>
        <w:t>е</w:t>
      </w:r>
      <w:r>
        <w:t>мейную жизнь, право собственности на землю и порядок наследования.</w:t>
      </w:r>
    </w:p>
    <w:p w:rsidR="00907DF0" w:rsidRDefault="00907DF0" w:rsidP="00907DF0">
      <w:pPr>
        <w:pStyle w:val="SingleTxtGR"/>
      </w:pPr>
      <w:r>
        <w:t>12.</w:t>
      </w:r>
      <w:r>
        <w:tab/>
        <w:t>15</w:t>
      </w:r>
      <w:r w:rsidR="00C90995">
        <w:t> </w:t>
      </w:r>
      <w:r>
        <w:t>ноября 2012</w:t>
      </w:r>
      <w:r w:rsidR="00C90995">
        <w:t> </w:t>
      </w:r>
      <w:r>
        <w:t>года Министерство социального обеспечения и интегр</w:t>
      </w:r>
      <w:r>
        <w:t>а</w:t>
      </w:r>
      <w:r>
        <w:t>ции Дании инициировало консультации по законопроекту, нацеленному на уп</w:t>
      </w:r>
      <w:r>
        <w:t>о</w:t>
      </w:r>
      <w:r>
        <w:t>рядочение правового статуса внебрачных детей, родившихся в Гренландии до 1963</w:t>
      </w:r>
      <w:r w:rsidR="00C90995">
        <w:t> </w:t>
      </w:r>
      <w:r>
        <w:t>года, позволив этим лицам добиться признания отцовства через суд. В</w:t>
      </w:r>
      <w:r w:rsidR="00C90995">
        <w:t> </w:t>
      </w:r>
      <w:r w:rsidR="00147CA1">
        <w:t>принципе</w:t>
      </w:r>
      <w:r>
        <w:t xml:space="preserve"> фактом признания отцовства они</w:t>
      </w:r>
      <w:r w:rsidR="00147CA1">
        <w:t>,</w:t>
      </w:r>
      <w:r>
        <w:t xml:space="preserve"> с точки зрения правовых после</w:t>
      </w:r>
      <w:r>
        <w:t>д</w:t>
      </w:r>
      <w:r>
        <w:t>ствий</w:t>
      </w:r>
      <w:r w:rsidR="00147CA1">
        <w:t>,</w:t>
      </w:r>
      <w:r>
        <w:t xml:space="preserve"> были бы приравнены к внебрачным детям, рожденным после 1963</w:t>
      </w:r>
      <w:r w:rsidR="00C90995">
        <w:t> </w:t>
      </w:r>
      <w:r>
        <w:t>года. После проведения выборов в парламент Гренландии в марте 2013</w:t>
      </w:r>
      <w:r w:rsidR="00C90995">
        <w:t> </w:t>
      </w:r>
      <w:r>
        <w:t>года Мин</w:t>
      </w:r>
      <w:r>
        <w:t>и</w:t>
      </w:r>
      <w:r>
        <w:t>стерство социального обеспечения и интеграции Дании обратилось к новому правительству Гренландии с просьбой одобрить этот законопроект с прицелом на введение его в де</w:t>
      </w:r>
      <w:r>
        <w:t>й</w:t>
      </w:r>
      <w:r>
        <w:t>ствие с 1</w:t>
      </w:r>
      <w:r w:rsidR="00C90995">
        <w:t> </w:t>
      </w:r>
      <w:r>
        <w:t>января 2014</w:t>
      </w:r>
      <w:r w:rsidR="00C90995">
        <w:t> </w:t>
      </w:r>
      <w:r>
        <w:t>года.</w:t>
      </w:r>
    </w:p>
    <w:p w:rsidR="00907DF0" w:rsidRDefault="00907DF0" w:rsidP="002F77D6">
      <w:pPr>
        <w:pStyle w:val="H1GR"/>
      </w:pPr>
      <w:r>
        <w:tab/>
      </w:r>
      <w:r>
        <w:tab/>
        <w:t>Статья 7</w:t>
      </w:r>
    </w:p>
    <w:p w:rsidR="00907DF0" w:rsidRDefault="00907DF0" w:rsidP="00907DF0">
      <w:pPr>
        <w:pStyle w:val="SingleTxtGR"/>
      </w:pPr>
      <w:r>
        <w:t>13.</w:t>
      </w:r>
      <w:r>
        <w:tab/>
        <w:t>Принятый парламентом Гренландии 21</w:t>
      </w:r>
      <w:r w:rsidR="00C90995">
        <w:t> </w:t>
      </w:r>
      <w:r>
        <w:t>мая 2002</w:t>
      </w:r>
      <w:r w:rsidR="00C90995">
        <w:t> </w:t>
      </w:r>
      <w:r>
        <w:t>года закон</w:t>
      </w:r>
      <w:r w:rsidR="00C90995">
        <w:t> </w:t>
      </w:r>
      <w:r>
        <w:t>№</w:t>
      </w:r>
      <w:r w:rsidR="00C90995">
        <w:t> </w:t>
      </w:r>
      <w:r>
        <w:t>8 о</w:t>
      </w:r>
      <w:r w:rsidR="00C90995">
        <w:t> </w:t>
      </w:r>
      <w:r>
        <w:t>начальном образовании и среднем образовании низшей ступени зиждется на принципе интеграции учащихся, говорящих на гренлан</w:t>
      </w:r>
      <w:r>
        <w:t>д</w:t>
      </w:r>
      <w:r>
        <w:t>ском и датском языках. В учебной программе отражен принцип недискриминации по признаку расы и</w:t>
      </w:r>
      <w:r w:rsidR="00C90995">
        <w:t> </w:t>
      </w:r>
      <w:r w:rsidR="00AC018F">
        <w:t>т.п.</w:t>
      </w:r>
    </w:p>
    <w:p w:rsidR="00907DF0" w:rsidRDefault="00907DF0" w:rsidP="00907DF0">
      <w:pPr>
        <w:pStyle w:val="SingleTxtGR"/>
      </w:pPr>
      <w:r>
        <w:t>14.</w:t>
      </w:r>
      <w:r>
        <w:tab/>
        <w:t>В последние пару лет правительство Гренландии и Датский институт по правам человека проводят информационные мероприятия (семинары, распр</w:t>
      </w:r>
      <w:r>
        <w:t>о</w:t>
      </w:r>
      <w:r>
        <w:t xml:space="preserve">странение информационных материалов и </w:t>
      </w:r>
      <w:r w:rsidR="00AC018F">
        <w:t>т.п.</w:t>
      </w:r>
      <w:r>
        <w:t>) по вопросам прав человека, включая принципы недискриминации по признаку расы.</w:t>
      </w:r>
    </w:p>
    <w:p w:rsidR="00907DF0" w:rsidRDefault="002F77D6" w:rsidP="002F77D6">
      <w:pPr>
        <w:pStyle w:val="HChGR"/>
      </w:pPr>
      <w:r>
        <w:br w:type="page"/>
      </w:r>
      <w:r w:rsidR="00907DF0">
        <w:tab/>
      </w:r>
      <w:r w:rsidR="00907DF0">
        <w:tab/>
        <w:t>Приложение II</w:t>
      </w:r>
      <w:r w:rsidRPr="002F77D6">
        <w:br/>
      </w:r>
      <w:r w:rsidR="00907DF0">
        <w:t>Информация по Фарерским островам</w:t>
      </w:r>
    </w:p>
    <w:p w:rsidR="00907DF0" w:rsidRDefault="00907DF0" w:rsidP="002F77D6">
      <w:pPr>
        <w:pStyle w:val="HChGR"/>
      </w:pPr>
      <w:r>
        <w:tab/>
      </w:r>
      <w:r>
        <w:tab/>
        <w:t>Часть I</w:t>
      </w:r>
    </w:p>
    <w:p w:rsidR="00907DF0" w:rsidRDefault="00907DF0" w:rsidP="00907DF0">
      <w:pPr>
        <w:pStyle w:val="SingleTxtGR"/>
      </w:pPr>
      <w:r>
        <w:t>1.</w:t>
      </w:r>
      <w:r>
        <w:tab/>
        <w:t xml:space="preserve">Просьба ознакомиться с касающимися Фарерских островов </w:t>
      </w:r>
      <w:r w:rsidR="00C90995">
        <w:br/>
      </w:r>
      <w:r>
        <w:t>пунктами</w:t>
      </w:r>
      <w:r w:rsidR="00C90995">
        <w:t> 366–</w:t>
      </w:r>
      <w:r>
        <w:t>383 четырнадцатого периодического доклада Дании (CERD/C/362/Add.1).</w:t>
      </w:r>
    </w:p>
    <w:p w:rsidR="00907DF0" w:rsidRDefault="00907DF0" w:rsidP="00907DF0">
      <w:pPr>
        <w:pStyle w:val="SingleTxtGR"/>
      </w:pPr>
      <w:r>
        <w:t>2.</w:t>
      </w:r>
      <w:r>
        <w:tab/>
        <w:t>При подготовке настоящего доклада правительство Фарерских островов стремилось действовать открыто и транспарентно с привлечением государс</w:t>
      </w:r>
      <w:r>
        <w:t>т</w:t>
      </w:r>
      <w:r>
        <w:t>венных ведомств, гражданского общества и других заинтересованных сторон.</w:t>
      </w:r>
    </w:p>
    <w:p w:rsidR="00907DF0" w:rsidRDefault="00907DF0" w:rsidP="002F77D6">
      <w:pPr>
        <w:pStyle w:val="HChGR"/>
      </w:pPr>
      <w:r>
        <w:tab/>
      </w:r>
      <w:r>
        <w:tab/>
        <w:t>Часть II</w:t>
      </w:r>
    </w:p>
    <w:p w:rsidR="00907DF0" w:rsidRDefault="00907DF0" w:rsidP="002F77D6">
      <w:pPr>
        <w:pStyle w:val="H1GR"/>
      </w:pPr>
      <w:r>
        <w:tab/>
      </w:r>
      <w:r>
        <w:tab/>
        <w:t>Статья 1</w:t>
      </w:r>
    </w:p>
    <w:p w:rsidR="00907DF0" w:rsidRDefault="00907DF0" w:rsidP="00907DF0">
      <w:pPr>
        <w:pStyle w:val="SingleTxtGR"/>
      </w:pPr>
      <w:r>
        <w:t>3.</w:t>
      </w:r>
      <w:r>
        <w:tab/>
        <w:t>В 2013</w:t>
      </w:r>
      <w:r w:rsidR="00C90995">
        <w:t> </w:t>
      </w:r>
      <w:r>
        <w:t>году общая численность населения Фарерских островов составл</w:t>
      </w:r>
      <w:r>
        <w:t>я</w:t>
      </w:r>
      <w:r>
        <w:t>ла 48</w:t>
      </w:r>
      <w:r w:rsidR="007674AE">
        <w:t> </w:t>
      </w:r>
      <w:r>
        <w:t>197 человек</w:t>
      </w:r>
      <w:r w:rsidR="00DB1820" w:rsidRPr="00DB1820">
        <w:rPr>
          <w:rStyle w:val="FootnoteReference"/>
          <w:rFonts w:eastAsia="Malgun Gothic"/>
        </w:rPr>
        <w:footnoteReference w:id="3"/>
      </w:r>
      <w:r>
        <w:t>. В национальных статистических данных различие между датскими гражданами (датчане, фарерцы и гре</w:t>
      </w:r>
      <w:r>
        <w:t>н</w:t>
      </w:r>
      <w:r>
        <w:t>ландцы) не проводится; поэтому из всех жителей Фарерских островов 47</w:t>
      </w:r>
      <w:r w:rsidR="00CF6CDE">
        <w:t> </w:t>
      </w:r>
      <w:r>
        <w:t>098, или 97,4</w:t>
      </w:r>
      <w:r w:rsidR="00CF6CDE">
        <w:t>%</w:t>
      </w:r>
      <w:r>
        <w:t>, были зарегистриров</w:t>
      </w:r>
      <w:r>
        <w:t>а</w:t>
      </w:r>
      <w:r>
        <w:t>ны в качестве граждан Дании. Кроме того, 324</w:t>
      </w:r>
      <w:r w:rsidR="00C90995">
        <w:t> </w:t>
      </w:r>
      <w:r>
        <w:t>человека были выходцами из других северных стран (Исландия, Норвегия, Финляндия и Швеция), 434 – из других европейских стран, 246 – из азиатских стран, 72 – из стран Северной и</w:t>
      </w:r>
      <w:r w:rsidR="00C90995">
        <w:t> </w:t>
      </w:r>
      <w:r>
        <w:t xml:space="preserve">Южной Америки, 91 – из африканских стран, а </w:t>
      </w:r>
      <w:r w:rsidR="00C90995">
        <w:t>восемь</w:t>
      </w:r>
      <w:r>
        <w:t xml:space="preserve"> были гражданами т</w:t>
      </w:r>
      <w:r>
        <w:t>и</w:t>
      </w:r>
      <w:r>
        <w:t>хоокеанских островов.</w:t>
      </w:r>
    </w:p>
    <w:p w:rsidR="00907DF0" w:rsidRDefault="00C90995" w:rsidP="00907DF0">
      <w:pPr>
        <w:pStyle w:val="SingleTxtGR"/>
      </w:pPr>
      <w:r>
        <w:t>4.</w:t>
      </w:r>
      <w:r>
        <w:tab/>
        <w:t>В 2005 </w:t>
      </w:r>
      <w:r w:rsidR="00907DF0">
        <w:t>году правительства Дании и Фарерских островов согласились о</w:t>
      </w:r>
      <w:r>
        <w:t> </w:t>
      </w:r>
      <w:r w:rsidR="00907DF0">
        <w:t>необходимости модернизации законодательства, касающегося системы сам</w:t>
      </w:r>
      <w:r w:rsidR="00907DF0">
        <w:t>о</w:t>
      </w:r>
      <w:r w:rsidR="00907DF0">
        <w:t>управления на Фарерских островах. Более подро</w:t>
      </w:r>
      <w:r w:rsidR="00907DF0">
        <w:t>б</w:t>
      </w:r>
      <w:r w:rsidR="00907DF0">
        <w:t>ные сведения о модернизации см. в пятом периодическом докладе Дании в соответствии с Международным пактом о гражданских и политических правах (CCPR/C/DNK/5).</w:t>
      </w:r>
    </w:p>
    <w:p w:rsidR="00907DF0" w:rsidRDefault="00907DF0" w:rsidP="002F77D6">
      <w:pPr>
        <w:pStyle w:val="H1GR"/>
      </w:pPr>
      <w:r>
        <w:tab/>
      </w:r>
      <w:r>
        <w:tab/>
        <w:t>Статья 2</w:t>
      </w:r>
    </w:p>
    <w:p w:rsidR="00907DF0" w:rsidRDefault="00907DF0" w:rsidP="00907DF0">
      <w:pPr>
        <w:pStyle w:val="SingleTxtGR"/>
      </w:pPr>
      <w:r>
        <w:t>5.</w:t>
      </w:r>
      <w:r>
        <w:tab/>
        <w:t>Дискриминация по признаку расы и пр. наказуема в соответствии со ст</w:t>
      </w:r>
      <w:r>
        <w:t>а</w:t>
      </w:r>
      <w:r>
        <w:t>тьей</w:t>
      </w:r>
      <w:r w:rsidR="00C90995">
        <w:t> </w:t>
      </w:r>
      <w:r>
        <w:t>266</w:t>
      </w:r>
      <w:r w:rsidR="00221FE4">
        <w:rPr>
          <w:lang w:val="en-US"/>
        </w:rPr>
        <w:t> b</w:t>
      </w:r>
      <w:r w:rsidR="00221FE4" w:rsidRPr="00221FE4">
        <w:t>)</w:t>
      </w:r>
      <w:r>
        <w:t xml:space="preserve"> Уголовного кодекса Фарерских островов, который схож с Уголо</w:t>
      </w:r>
      <w:r>
        <w:t>в</w:t>
      </w:r>
      <w:r>
        <w:t>ным кодексом Дании. Прос</w:t>
      </w:r>
      <w:r w:rsidR="007674AE">
        <w:t>ьба ознакомиться с пунктами</w:t>
      </w:r>
      <w:r w:rsidR="00C90995">
        <w:t> </w:t>
      </w:r>
      <w:r w:rsidR="007674AE">
        <w:t>377–</w:t>
      </w:r>
      <w:r>
        <w:t>378 четырнадц</w:t>
      </w:r>
      <w:r>
        <w:t>а</w:t>
      </w:r>
      <w:r>
        <w:t>того периодического доклада.</w:t>
      </w:r>
    </w:p>
    <w:p w:rsidR="00907DF0" w:rsidRDefault="00907DF0" w:rsidP="00907DF0">
      <w:pPr>
        <w:pStyle w:val="SingleTxtGR"/>
      </w:pPr>
      <w:r>
        <w:t>6.</w:t>
      </w:r>
      <w:r>
        <w:tab/>
        <w:t>В 2011</w:t>
      </w:r>
      <w:r w:rsidR="00C90995">
        <w:t> </w:t>
      </w:r>
      <w:r>
        <w:t>году правительством Фарерских островов был принят план дейс</w:t>
      </w:r>
      <w:r>
        <w:t>т</w:t>
      </w:r>
      <w:r>
        <w:t>вий по борьбе с бытовым насилием. Этот план действий включает 18</w:t>
      </w:r>
      <w:r w:rsidR="00C90995">
        <w:t> </w:t>
      </w:r>
      <w:r>
        <w:t>конкретных мероприятий, нацеленных на недопущение бытового насилия и</w:t>
      </w:r>
      <w:r w:rsidR="00C90995">
        <w:t> </w:t>
      </w:r>
      <w:r>
        <w:t>борьбу с ним. Правительство Фарерских островов выделило бюджетные сре</w:t>
      </w:r>
      <w:r>
        <w:t>д</w:t>
      </w:r>
      <w:r>
        <w:t>ства на выполнение этого плана действий. Был назначен штатный координатор проектов, который приступил к работе по реализации плана действий; этот план будет осуществляться поэтапно с 2012</w:t>
      </w:r>
      <w:r w:rsidR="00C90995">
        <w:t> </w:t>
      </w:r>
      <w:r>
        <w:t>года в течение последующих пяти лет.</w:t>
      </w:r>
    </w:p>
    <w:p w:rsidR="00907DF0" w:rsidRDefault="00907DF0" w:rsidP="00907DF0">
      <w:pPr>
        <w:pStyle w:val="SingleTxtGR"/>
      </w:pPr>
      <w:r>
        <w:t>7.</w:t>
      </w:r>
      <w:r>
        <w:tab/>
        <w:t>По одному из направлений план действий предусматривает инициативы, ориентированные на иностранок, проживающих на Фарерских островах. Сч</w:t>
      </w:r>
      <w:r>
        <w:t>и</w:t>
      </w:r>
      <w:r>
        <w:t>тается, что эти женщины относятся к особенно уязвимой категории из-за отсу</w:t>
      </w:r>
      <w:r>
        <w:t>т</w:t>
      </w:r>
      <w:r>
        <w:t>ствия у них социальных связей и слабого знакомства с фарерским общ</w:t>
      </w:r>
      <w:r>
        <w:t>е</w:t>
      </w:r>
      <w:r>
        <w:t>ством.</w:t>
      </w:r>
    </w:p>
    <w:p w:rsidR="00907DF0" w:rsidRDefault="00907DF0" w:rsidP="00907DF0">
      <w:pPr>
        <w:pStyle w:val="SingleTxtGR"/>
      </w:pPr>
      <w:r>
        <w:t>8.</w:t>
      </w:r>
      <w:r>
        <w:tab/>
        <w:t>Кризисным центром Торсхавна было отмечено, что число обращающихся в него за помощью иностранок относительно велико. В плане предусмотрено, что среди иностранок, переезжающих на Фарерские острова, будут распростр</w:t>
      </w:r>
      <w:r>
        <w:t>а</w:t>
      </w:r>
      <w:r>
        <w:t>няться материалы, информирующие их об их правах и обязанностях, закре</w:t>
      </w:r>
      <w:r>
        <w:t>п</w:t>
      </w:r>
      <w:r>
        <w:t>ленных за ними фарерским законодательством, с указанием того, куда они м</w:t>
      </w:r>
      <w:r>
        <w:t>о</w:t>
      </w:r>
      <w:r>
        <w:t>гут обращаться в том случае, если они подвергнутся бытовому насилию. Таким образом, иностранки будут получать информацию на различных языках об их основных правах в фарерском обществе. Кроме того, выделены средства на о</w:t>
      </w:r>
      <w:r>
        <w:t>п</w:t>
      </w:r>
      <w:r>
        <w:t>лату услуг переводчиков на случай обращения иностранок за помощью в</w:t>
      </w:r>
      <w:r w:rsidR="00C90995">
        <w:t> </w:t>
      </w:r>
      <w:r>
        <w:t>кризисный центр. По линии плана действий выделяются средства и на оплату психологической помощи, а также питания и на другие нужды всех женщин, обращающихся за помощью в этот центр. Деятельность кризисного центра ф</w:t>
      </w:r>
      <w:r>
        <w:t>и</w:t>
      </w:r>
      <w:r>
        <w:t>нансируется в основном из госбюджета.</w:t>
      </w:r>
    </w:p>
    <w:p w:rsidR="00907DF0" w:rsidRDefault="00907DF0" w:rsidP="00907DF0">
      <w:pPr>
        <w:pStyle w:val="SingleTxtGR"/>
      </w:pPr>
      <w:r>
        <w:t>9.</w:t>
      </w:r>
      <w:r>
        <w:tab/>
        <w:t>В 2011</w:t>
      </w:r>
      <w:r w:rsidR="00C90995">
        <w:t> </w:t>
      </w:r>
      <w:r>
        <w:t xml:space="preserve">году рабочей группой, сформированной </w:t>
      </w:r>
      <w:r w:rsidR="0081171D">
        <w:t xml:space="preserve">Министром </w:t>
      </w:r>
      <w:r>
        <w:t>внутренних дел, был опубликован доклад об интеграции иностранцев на Фарерских остр</w:t>
      </w:r>
      <w:r>
        <w:t>о</w:t>
      </w:r>
      <w:r>
        <w:t>вах. Перед авторами доклада была поставлена задача определить наилучший способ интеграции иностранцев, приобретающих вид на жительство или ра</w:t>
      </w:r>
      <w:r>
        <w:t>з</w:t>
      </w:r>
      <w:r>
        <w:t>решение на работу, с тем чтобы они смогли в максимально короткие сроки вп</w:t>
      </w:r>
      <w:r>
        <w:t>и</w:t>
      </w:r>
      <w:r>
        <w:t>саться в фарерское общество наравне с коренными фарерцами. Для достижения этой цели необходимо в возможно кратчайшие сроки обеспечить им возмо</w:t>
      </w:r>
      <w:r>
        <w:t>ж</w:t>
      </w:r>
      <w:r>
        <w:t>ность овладеть языком и пройти интенсивный курс ознакомления с фарерским обществом, историей и культурой.</w:t>
      </w:r>
    </w:p>
    <w:p w:rsidR="00907DF0" w:rsidRDefault="00907DF0" w:rsidP="002F77D6">
      <w:pPr>
        <w:pStyle w:val="H1GR"/>
      </w:pPr>
      <w:r>
        <w:tab/>
      </w:r>
      <w:r>
        <w:tab/>
        <w:t>Статья 3</w:t>
      </w:r>
    </w:p>
    <w:p w:rsidR="00907DF0" w:rsidRDefault="00907DF0" w:rsidP="00907DF0">
      <w:pPr>
        <w:pStyle w:val="SingleTxtGR"/>
      </w:pPr>
      <w:r>
        <w:t>10.</w:t>
      </w:r>
      <w:r>
        <w:tab/>
        <w:t>В соответствии с королевским указом</w:t>
      </w:r>
      <w:r w:rsidR="00C90995">
        <w:t> </w:t>
      </w:r>
      <w:r>
        <w:t>№</w:t>
      </w:r>
      <w:r w:rsidR="00C90995">
        <w:t> </w:t>
      </w:r>
      <w:r>
        <w:t>382 от 12</w:t>
      </w:r>
      <w:r w:rsidR="00C90995">
        <w:t> </w:t>
      </w:r>
      <w:r>
        <w:t>августа 1972</w:t>
      </w:r>
      <w:r w:rsidR="00C90995">
        <w:t> </w:t>
      </w:r>
      <w:r>
        <w:t>года да</w:t>
      </w:r>
      <w:r>
        <w:t>т</w:t>
      </w:r>
      <w:r>
        <w:t>ский закон</w:t>
      </w:r>
      <w:r w:rsidR="00C90995">
        <w:t> </w:t>
      </w:r>
      <w:r>
        <w:t>№</w:t>
      </w:r>
      <w:r w:rsidR="00C90995">
        <w:t> </w:t>
      </w:r>
      <w:r>
        <w:t>289 от 9</w:t>
      </w:r>
      <w:r w:rsidR="00C90995">
        <w:t> </w:t>
      </w:r>
      <w:r>
        <w:t>июня 1971</w:t>
      </w:r>
      <w:r w:rsidR="00C90995">
        <w:t> </w:t>
      </w:r>
      <w:r>
        <w:t>года о запрещении дискриминации по призн</w:t>
      </w:r>
      <w:r>
        <w:t>а</w:t>
      </w:r>
      <w:r>
        <w:t>ку расы применяется также в отношении Ф</w:t>
      </w:r>
      <w:r>
        <w:t>а</w:t>
      </w:r>
      <w:r>
        <w:t>рерских островов.</w:t>
      </w:r>
    </w:p>
    <w:p w:rsidR="00907DF0" w:rsidRDefault="00907DF0" w:rsidP="002F77D6">
      <w:pPr>
        <w:pStyle w:val="H1GR"/>
      </w:pPr>
      <w:r>
        <w:tab/>
      </w:r>
      <w:r>
        <w:tab/>
        <w:t>Статья 4</w:t>
      </w:r>
    </w:p>
    <w:p w:rsidR="00907DF0" w:rsidRDefault="00907DF0" w:rsidP="00907DF0">
      <w:pPr>
        <w:pStyle w:val="SingleTxtGR"/>
      </w:pPr>
      <w:r>
        <w:t>11.</w:t>
      </w:r>
      <w:r>
        <w:tab/>
        <w:t>Главный констебль Фарерских островов руководствуется принципами и</w:t>
      </w:r>
      <w:r w:rsidR="00C90995">
        <w:t> </w:t>
      </w:r>
      <w:r>
        <w:t>руководящими положениями, сформулированными Государственным обвин</w:t>
      </w:r>
      <w:r>
        <w:t>и</w:t>
      </w:r>
      <w:r>
        <w:t>телем в инструкции</w:t>
      </w:r>
      <w:r w:rsidR="00C90995">
        <w:t> </w:t>
      </w:r>
      <w:r>
        <w:t>№</w:t>
      </w:r>
      <w:r w:rsidR="00C90995">
        <w:t> </w:t>
      </w:r>
      <w:r>
        <w:t>2/2011, о которой говорится выше в контексте статьи</w:t>
      </w:r>
      <w:r w:rsidR="00C90995">
        <w:t> </w:t>
      </w:r>
      <w:r>
        <w:t>4. Соответственно, дела о нарушении статьи</w:t>
      </w:r>
      <w:r w:rsidR="00C90995">
        <w:t> </w:t>
      </w:r>
      <w:r>
        <w:t>226В Уголовного кодекса Фаре</w:t>
      </w:r>
      <w:r>
        <w:t>р</w:t>
      </w:r>
      <w:r>
        <w:t>ских островов, который схож с Уголовным кодексом Дании, а также закона о запр</w:t>
      </w:r>
      <w:r>
        <w:t>е</w:t>
      </w:r>
      <w:r>
        <w:t>щении дискриминации по признаку расы будут доводиться до сведения Гос</w:t>
      </w:r>
      <w:r>
        <w:t>у</w:t>
      </w:r>
      <w:r>
        <w:t>дарствен</w:t>
      </w:r>
      <w:r w:rsidR="00C90995">
        <w:t>ного обвинителя. За период 2009–</w:t>
      </w:r>
      <w:r>
        <w:t>2012</w:t>
      </w:r>
      <w:r w:rsidR="00C90995">
        <w:t> </w:t>
      </w:r>
      <w:r>
        <w:t>годов таких дел зарегистрир</w:t>
      </w:r>
      <w:r>
        <w:t>о</w:t>
      </w:r>
      <w:r>
        <w:t>вано не было.</w:t>
      </w:r>
    </w:p>
    <w:p w:rsidR="00907DF0" w:rsidRDefault="00907DF0" w:rsidP="002F77D6">
      <w:pPr>
        <w:pStyle w:val="H1GR"/>
      </w:pPr>
      <w:r>
        <w:tab/>
      </w:r>
      <w:r>
        <w:tab/>
        <w:t>Статья 7</w:t>
      </w:r>
    </w:p>
    <w:p w:rsidR="00907DF0" w:rsidRDefault="00907DF0" w:rsidP="00907DF0">
      <w:pPr>
        <w:pStyle w:val="SingleTxtGR"/>
      </w:pPr>
      <w:r>
        <w:t>12.</w:t>
      </w:r>
      <w:r>
        <w:tab/>
        <w:t>В образовательной программе государственных начальных школ, средних школ низшей ступени и средних школ верхней ступени зафиксировано, что о</w:t>
      </w:r>
      <w:r>
        <w:t>д</w:t>
      </w:r>
      <w:r>
        <w:t>на из важнейших задач образовательного процесса во всех его аспектах состоит в том, чтобы привить ученикам способность уважать каждого человека незав</w:t>
      </w:r>
      <w:r>
        <w:t>и</w:t>
      </w:r>
      <w:r>
        <w:t>симо от его возраста, пола, этнической принадлежности, вероисповедания и пр. Учащимся прививают уважение и понимание обязанностей и прав, на которых зиждется демократия. Кроме того, учащимся прививают уважение к другим культурам и обществам, которые основаны на ценностях, отличных от тех, к</w:t>
      </w:r>
      <w:r>
        <w:t>о</w:t>
      </w:r>
      <w:r>
        <w:t>торые исповедуют ученики; они обязаны научиться уважать и понимать взгляды и нужды других людей, отличных от них. Эти цели ставятся перед учениками и</w:t>
      </w:r>
      <w:r w:rsidR="00C90995">
        <w:t> </w:t>
      </w:r>
      <w:r>
        <w:t>отражаются в индивидуальных учебных планах, а это, в свою очередь, озн</w:t>
      </w:r>
      <w:r>
        <w:t>а</w:t>
      </w:r>
      <w:r>
        <w:t>чает, что эти моменты будут приниматься во внимание среди прочих при оценке успеваемости каждого ученика.</w:t>
      </w:r>
    </w:p>
    <w:p w:rsidR="00907DF0" w:rsidRDefault="002F77D6" w:rsidP="002F77D6">
      <w:pPr>
        <w:pStyle w:val="HChGR"/>
      </w:pPr>
      <w:r>
        <w:br w:type="page"/>
      </w:r>
      <w:r w:rsidR="00907DF0">
        <w:tab/>
      </w:r>
      <w:r w:rsidR="00907DF0">
        <w:tab/>
        <w:t>Приложение III</w:t>
      </w:r>
      <w:r w:rsidRPr="002F77D6">
        <w:br/>
      </w:r>
      <w:r w:rsidR="00907DF0">
        <w:t>Данные о заключенных в разбивке по этническому признаку</w:t>
      </w:r>
    </w:p>
    <w:p w:rsidR="00907DF0" w:rsidRDefault="00907DF0" w:rsidP="002F77D6">
      <w:pPr>
        <w:pStyle w:val="SingleTxtGR"/>
        <w:jc w:val="left"/>
        <w:rPr>
          <w:b/>
        </w:rPr>
      </w:pPr>
      <w:r>
        <w:t>Таблица</w:t>
      </w:r>
      <w:r w:rsidR="002F77D6">
        <w:rPr>
          <w:lang w:val="en-US"/>
        </w:rPr>
        <w:t> </w:t>
      </w:r>
      <w:r>
        <w:t>3.13</w:t>
      </w:r>
      <w:r w:rsidR="002F77D6" w:rsidRPr="002F77D6">
        <w:br/>
      </w:r>
      <w:r w:rsidRPr="002F77D6">
        <w:rPr>
          <w:b/>
        </w:rPr>
        <w:t xml:space="preserve">Численность заключенных в государственных и местных тюрьмах </w:t>
      </w:r>
      <w:r w:rsidR="00C90995">
        <w:rPr>
          <w:b/>
        </w:rPr>
        <w:br/>
      </w:r>
      <w:r w:rsidRPr="002F77D6">
        <w:rPr>
          <w:b/>
        </w:rPr>
        <w:t xml:space="preserve">и адаптационных центрах для бывших заключенных в разбивке </w:t>
      </w:r>
      <w:r w:rsidR="00C90995">
        <w:rPr>
          <w:b/>
        </w:rPr>
        <w:br/>
      </w:r>
      <w:r w:rsidRPr="002F77D6">
        <w:rPr>
          <w:b/>
        </w:rPr>
        <w:t>по гражданству (на 13 д</w:t>
      </w:r>
      <w:r w:rsidRPr="002F77D6">
        <w:rPr>
          <w:b/>
        </w:rPr>
        <w:t>е</w:t>
      </w:r>
      <w:r w:rsidRPr="002F77D6">
        <w:rPr>
          <w:b/>
        </w:rPr>
        <w:t>кабря 2011 года)</w:t>
      </w:r>
    </w:p>
    <w:tbl>
      <w:tblPr>
        <w:tblW w:w="7371" w:type="dxa"/>
        <w:tblInd w:w="1134" w:type="dxa"/>
        <w:tblBorders>
          <w:top w:val="single" w:sz="4" w:space="0" w:color="auto"/>
        </w:tblBorders>
        <w:tblLayout w:type="fixed"/>
        <w:tblCellMar>
          <w:left w:w="0" w:type="dxa"/>
          <w:right w:w="0" w:type="dxa"/>
        </w:tblCellMar>
        <w:tblLook w:val="00A0"/>
      </w:tblPr>
      <w:tblGrid>
        <w:gridCol w:w="3034"/>
        <w:gridCol w:w="2232"/>
        <w:gridCol w:w="2105"/>
      </w:tblGrid>
      <w:tr w:rsidR="005E6D7C" w:rsidRPr="005E6D7C" w:rsidTr="005E6D7C">
        <w:trPr>
          <w:tblHeader/>
        </w:trPr>
        <w:tc>
          <w:tcPr>
            <w:tcW w:w="3034" w:type="dxa"/>
            <w:tcBorders>
              <w:top w:val="single" w:sz="4" w:space="0" w:color="auto"/>
              <w:bottom w:val="single" w:sz="12" w:space="0" w:color="auto"/>
            </w:tcBorders>
            <w:shd w:val="clear" w:color="auto" w:fill="auto"/>
            <w:noWrap/>
            <w:vAlign w:val="bottom"/>
          </w:tcPr>
          <w:p w:rsidR="005E6D7C" w:rsidRPr="005E6D7C" w:rsidRDefault="005E6D7C" w:rsidP="005E6D7C">
            <w:pPr>
              <w:spacing w:before="80" w:after="80" w:line="200" w:lineRule="exact"/>
              <w:rPr>
                <w:i/>
                <w:sz w:val="16"/>
                <w:szCs w:val="16"/>
              </w:rPr>
            </w:pPr>
            <w:r w:rsidRPr="005E6D7C">
              <w:rPr>
                <w:i/>
                <w:sz w:val="16"/>
                <w:szCs w:val="16"/>
              </w:rPr>
              <w:t>Страна</w:t>
            </w:r>
          </w:p>
        </w:tc>
        <w:tc>
          <w:tcPr>
            <w:tcW w:w="2232" w:type="dxa"/>
            <w:tcBorders>
              <w:top w:val="single" w:sz="4" w:space="0" w:color="auto"/>
              <w:bottom w:val="single" w:sz="12" w:space="0" w:color="auto"/>
            </w:tcBorders>
            <w:shd w:val="clear" w:color="auto" w:fill="auto"/>
            <w:noWrap/>
            <w:vAlign w:val="bottom"/>
          </w:tcPr>
          <w:p w:rsidR="005E6D7C" w:rsidRPr="005E6D7C" w:rsidRDefault="005E6D7C" w:rsidP="005E6D7C">
            <w:pPr>
              <w:spacing w:before="80" w:after="80" w:line="200" w:lineRule="exact"/>
              <w:jc w:val="right"/>
              <w:rPr>
                <w:i/>
                <w:sz w:val="16"/>
                <w:szCs w:val="16"/>
              </w:rPr>
            </w:pPr>
            <w:r w:rsidRPr="005E6D7C">
              <w:rPr>
                <w:i/>
                <w:sz w:val="16"/>
                <w:szCs w:val="16"/>
              </w:rPr>
              <w:t>Число заключенных</w:t>
            </w:r>
          </w:p>
        </w:tc>
        <w:tc>
          <w:tcPr>
            <w:tcW w:w="2105" w:type="dxa"/>
            <w:tcBorders>
              <w:top w:val="single" w:sz="4" w:space="0" w:color="auto"/>
              <w:bottom w:val="single" w:sz="12" w:space="0" w:color="auto"/>
            </w:tcBorders>
            <w:shd w:val="clear" w:color="auto" w:fill="auto"/>
            <w:noWrap/>
            <w:vAlign w:val="bottom"/>
          </w:tcPr>
          <w:p w:rsidR="005E6D7C" w:rsidRPr="005E6D7C" w:rsidRDefault="005E6D7C" w:rsidP="005E6D7C">
            <w:pPr>
              <w:spacing w:before="80" w:after="80" w:line="200" w:lineRule="exact"/>
              <w:jc w:val="right"/>
              <w:rPr>
                <w:i/>
                <w:sz w:val="16"/>
                <w:szCs w:val="16"/>
              </w:rPr>
            </w:pPr>
            <w:r w:rsidRPr="005E6D7C">
              <w:rPr>
                <w:i/>
                <w:sz w:val="16"/>
                <w:szCs w:val="16"/>
              </w:rPr>
              <w:t>В %</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Албания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tcBorders>
              <w:bottom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Алжир</w:t>
            </w:r>
          </w:p>
        </w:tc>
        <w:tc>
          <w:tcPr>
            <w:tcW w:w="2232" w:type="dxa"/>
            <w:tcBorders>
              <w:bottom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15</w:t>
            </w:r>
          </w:p>
        </w:tc>
        <w:tc>
          <w:tcPr>
            <w:tcW w:w="2105" w:type="dxa"/>
            <w:tcBorders>
              <w:bottom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0,4</w:t>
            </w:r>
          </w:p>
        </w:tc>
      </w:tr>
      <w:tr w:rsidR="005E6D7C" w:rsidRPr="005E6D7C" w:rsidTr="005E6D7C">
        <w:tc>
          <w:tcPr>
            <w:tcW w:w="3034" w:type="dxa"/>
            <w:tcBorders>
              <w:top w:val="nil"/>
              <w:bottom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Апатриды</w:t>
            </w:r>
          </w:p>
        </w:tc>
        <w:tc>
          <w:tcPr>
            <w:tcW w:w="2232" w:type="dxa"/>
            <w:tcBorders>
              <w:top w:val="nil"/>
              <w:bottom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31</w:t>
            </w:r>
          </w:p>
        </w:tc>
        <w:tc>
          <w:tcPr>
            <w:tcW w:w="2105" w:type="dxa"/>
            <w:tcBorders>
              <w:top w:val="nil"/>
              <w:bottom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0,8</w:t>
            </w:r>
          </w:p>
        </w:tc>
      </w:tr>
      <w:tr w:rsidR="005E6D7C" w:rsidRPr="005E6D7C" w:rsidTr="005E6D7C">
        <w:tc>
          <w:tcPr>
            <w:tcW w:w="3034" w:type="dxa"/>
            <w:tcBorders>
              <w:top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Афганистан</w:t>
            </w:r>
          </w:p>
        </w:tc>
        <w:tc>
          <w:tcPr>
            <w:tcW w:w="2232" w:type="dxa"/>
            <w:tcBorders>
              <w:top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26</w:t>
            </w:r>
          </w:p>
        </w:tc>
        <w:tc>
          <w:tcPr>
            <w:tcW w:w="2105" w:type="dxa"/>
            <w:tcBorders>
              <w:top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0,6</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Болгария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6</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0,1</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Босния и Герцеговина</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23</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0,6</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Вьетнам</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Гамбия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9</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Гвинея-Биссау</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6</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0,1</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Германия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Гражданство неизвестно</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Дания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w:t>
            </w:r>
            <w:r>
              <w:rPr>
                <w:sz w:val="18"/>
                <w:szCs w:val="18"/>
              </w:rPr>
              <w:t> </w:t>
            </w:r>
            <w:r w:rsidRPr="005E6D7C">
              <w:rPr>
                <w:sz w:val="18"/>
                <w:szCs w:val="18"/>
              </w:rPr>
              <w:t>062</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75,9</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Ирак</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47</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Иран</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31</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0,8</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Ливан</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15</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0,4</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Литва</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56</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Марокко</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21</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0,5</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Нигерия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9</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Нидерланды</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24</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0,6</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Норвегия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11</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0,3</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Пакистан</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24</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0,6</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Палестинцы без гражданства</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15</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0,4</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Польша</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52</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1,3</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Россия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6</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0,1</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Румыния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103</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2,6</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Сенегал</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0,3</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Сербия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25</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0,6</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Соединенное королевство</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13</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0,3</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Сомали</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73</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1,8</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Тунис</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9</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Турция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56</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Франция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9</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Черногория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Чили</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Швеция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20</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0,5</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Шри-Ланка</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Югославия (бывшая)</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33</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0,8</w:t>
            </w:r>
          </w:p>
        </w:tc>
      </w:tr>
      <w:tr w:rsidR="005E6D7C" w:rsidRPr="005E6D7C" w:rsidTr="005E6D7C">
        <w:tc>
          <w:tcPr>
            <w:tcW w:w="3034" w:type="dxa"/>
            <w:shd w:val="clear" w:color="auto" w:fill="auto"/>
            <w:noWrap/>
          </w:tcPr>
          <w:p w:rsidR="005E6D7C" w:rsidRPr="005E6D7C" w:rsidRDefault="005E6D7C" w:rsidP="005E6D7C">
            <w:pPr>
              <w:spacing w:before="40" w:after="40" w:line="220" w:lineRule="exact"/>
              <w:rPr>
                <w:sz w:val="18"/>
                <w:szCs w:val="18"/>
              </w:rPr>
            </w:pPr>
            <w:r w:rsidRPr="005E6D7C">
              <w:rPr>
                <w:sz w:val="18"/>
                <w:szCs w:val="18"/>
              </w:rPr>
              <w:t>Прочие страны</w:t>
            </w:r>
          </w:p>
        </w:tc>
        <w:tc>
          <w:tcPr>
            <w:tcW w:w="2232"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137</w:t>
            </w:r>
          </w:p>
        </w:tc>
        <w:tc>
          <w:tcPr>
            <w:tcW w:w="2105" w:type="dxa"/>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3,4</w:t>
            </w:r>
          </w:p>
        </w:tc>
      </w:tr>
      <w:tr w:rsidR="005E6D7C" w:rsidRPr="005E6D7C" w:rsidTr="005E6D7C">
        <w:tc>
          <w:tcPr>
            <w:tcW w:w="3034" w:type="dxa"/>
            <w:tcBorders>
              <w:top w:val="single" w:sz="4" w:space="0" w:color="auto"/>
              <w:bottom w:val="single" w:sz="12" w:space="0" w:color="auto"/>
            </w:tcBorders>
            <w:shd w:val="clear" w:color="auto" w:fill="auto"/>
            <w:noWrap/>
          </w:tcPr>
          <w:p w:rsidR="005E6D7C" w:rsidRPr="005E6D7C" w:rsidRDefault="005E6D7C" w:rsidP="00470A7C">
            <w:pPr>
              <w:spacing w:before="80" w:after="80" w:line="220" w:lineRule="exact"/>
              <w:ind w:left="284"/>
              <w:rPr>
                <w:b/>
                <w:sz w:val="18"/>
                <w:szCs w:val="18"/>
              </w:rPr>
            </w:pPr>
            <w:r w:rsidRPr="005E6D7C">
              <w:rPr>
                <w:b/>
                <w:sz w:val="18"/>
                <w:szCs w:val="18"/>
              </w:rPr>
              <w:t>Всего</w:t>
            </w:r>
          </w:p>
        </w:tc>
        <w:tc>
          <w:tcPr>
            <w:tcW w:w="2232" w:type="dxa"/>
            <w:tcBorders>
              <w:top w:val="single" w:sz="4" w:space="0" w:color="auto"/>
              <w:bottom w:val="single" w:sz="12" w:space="0" w:color="auto"/>
            </w:tcBorders>
            <w:shd w:val="clear" w:color="auto" w:fill="auto"/>
            <w:noWrap/>
            <w:vAlign w:val="bottom"/>
          </w:tcPr>
          <w:p w:rsidR="005E6D7C" w:rsidRPr="005E6D7C" w:rsidRDefault="005E6D7C" w:rsidP="00470A7C">
            <w:pPr>
              <w:spacing w:before="80" w:after="80" w:line="220" w:lineRule="exact"/>
              <w:jc w:val="right"/>
              <w:rPr>
                <w:b/>
                <w:sz w:val="18"/>
                <w:szCs w:val="18"/>
              </w:rPr>
            </w:pPr>
            <w:r w:rsidRPr="005E6D7C">
              <w:rPr>
                <w:b/>
                <w:sz w:val="18"/>
                <w:szCs w:val="18"/>
              </w:rPr>
              <w:t>4</w:t>
            </w:r>
            <w:r>
              <w:rPr>
                <w:b/>
                <w:sz w:val="18"/>
                <w:szCs w:val="18"/>
              </w:rPr>
              <w:t> </w:t>
            </w:r>
            <w:r w:rsidRPr="005E6D7C">
              <w:rPr>
                <w:b/>
                <w:sz w:val="18"/>
                <w:szCs w:val="18"/>
              </w:rPr>
              <w:t>033</w:t>
            </w:r>
          </w:p>
        </w:tc>
        <w:tc>
          <w:tcPr>
            <w:tcW w:w="2105" w:type="dxa"/>
            <w:tcBorders>
              <w:top w:val="single" w:sz="4" w:space="0" w:color="auto"/>
              <w:bottom w:val="single" w:sz="12" w:space="0" w:color="auto"/>
            </w:tcBorders>
            <w:shd w:val="clear" w:color="auto" w:fill="auto"/>
            <w:noWrap/>
            <w:vAlign w:val="bottom"/>
          </w:tcPr>
          <w:p w:rsidR="005E6D7C" w:rsidRPr="005E6D7C" w:rsidRDefault="005E6D7C" w:rsidP="00470A7C">
            <w:pPr>
              <w:spacing w:before="80" w:after="80" w:line="220" w:lineRule="exact"/>
              <w:jc w:val="right"/>
              <w:rPr>
                <w:b/>
                <w:sz w:val="18"/>
                <w:szCs w:val="18"/>
              </w:rPr>
            </w:pPr>
            <w:r w:rsidRPr="005E6D7C">
              <w:rPr>
                <w:b/>
                <w:sz w:val="18"/>
                <w:szCs w:val="18"/>
              </w:rPr>
              <w:t>100,0</w:t>
            </w:r>
          </w:p>
        </w:tc>
      </w:tr>
    </w:tbl>
    <w:p w:rsidR="00907DF0" w:rsidRPr="005E6D7C" w:rsidRDefault="00907DF0" w:rsidP="00470A7C">
      <w:pPr>
        <w:pStyle w:val="SingleTxtGR"/>
        <w:spacing w:before="120" w:line="220" w:lineRule="exact"/>
        <w:ind w:firstLine="170"/>
        <w:jc w:val="left"/>
        <w:rPr>
          <w:sz w:val="18"/>
          <w:szCs w:val="18"/>
        </w:rPr>
      </w:pPr>
      <w:r w:rsidRPr="005E6D7C">
        <w:rPr>
          <w:i/>
          <w:sz w:val="18"/>
          <w:szCs w:val="18"/>
        </w:rPr>
        <w:t>Примечание</w:t>
      </w:r>
      <w:r w:rsidRPr="005E6D7C">
        <w:rPr>
          <w:sz w:val="18"/>
          <w:szCs w:val="18"/>
        </w:rPr>
        <w:t>. "Прочие страны" – это страны, число граждан которых, содержащихся под стражей в да</w:t>
      </w:r>
      <w:r w:rsidRPr="005E6D7C">
        <w:rPr>
          <w:sz w:val="18"/>
          <w:szCs w:val="18"/>
        </w:rPr>
        <w:t>т</w:t>
      </w:r>
      <w:r w:rsidRPr="005E6D7C">
        <w:rPr>
          <w:sz w:val="18"/>
          <w:szCs w:val="18"/>
        </w:rPr>
        <w:t>ских учреждениях, меньше шести.</w:t>
      </w:r>
    </w:p>
    <w:p w:rsidR="00907DF0" w:rsidRDefault="00907DF0" w:rsidP="005E6D7C">
      <w:pPr>
        <w:pStyle w:val="SingleTxtGR"/>
        <w:jc w:val="left"/>
        <w:rPr>
          <w:b/>
        </w:rPr>
      </w:pPr>
      <w:r>
        <w:t>Таблица 3.20</w:t>
      </w:r>
      <w:r w:rsidR="005E6D7C">
        <w:br/>
      </w:r>
      <w:r w:rsidRPr="005E6D7C">
        <w:rPr>
          <w:b/>
        </w:rPr>
        <w:t>Заключенные и поднадзорные в разбивке по этническому признаку</w:t>
      </w:r>
    </w:p>
    <w:tbl>
      <w:tblPr>
        <w:tblW w:w="7371" w:type="dxa"/>
        <w:tblInd w:w="1134" w:type="dxa"/>
        <w:tblBorders>
          <w:top w:val="single" w:sz="4" w:space="0" w:color="auto"/>
        </w:tblBorders>
        <w:tblLayout w:type="fixed"/>
        <w:tblCellMar>
          <w:left w:w="0" w:type="dxa"/>
          <w:right w:w="0" w:type="dxa"/>
        </w:tblCellMar>
        <w:tblLook w:val="00A0"/>
      </w:tblPr>
      <w:tblGrid>
        <w:gridCol w:w="2352"/>
        <w:gridCol w:w="1022"/>
        <w:gridCol w:w="868"/>
        <w:gridCol w:w="713"/>
        <w:gridCol w:w="994"/>
        <w:gridCol w:w="572"/>
        <w:gridCol w:w="850"/>
      </w:tblGrid>
      <w:tr w:rsidR="005E6D7C" w:rsidRPr="005E6D7C" w:rsidTr="00470A7C">
        <w:trPr>
          <w:tblHeader/>
        </w:trPr>
        <w:tc>
          <w:tcPr>
            <w:tcW w:w="2352" w:type="dxa"/>
            <w:tcBorders>
              <w:top w:val="single" w:sz="4" w:space="0" w:color="auto"/>
              <w:bottom w:val="single" w:sz="12" w:space="0" w:color="auto"/>
            </w:tcBorders>
            <w:shd w:val="clear" w:color="auto" w:fill="auto"/>
            <w:vAlign w:val="bottom"/>
          </w:tcPr>
          <w:p w:rsidR="005E6D7C" w:rsidRPr="005E6D7C" w:rsidRDefault="005E6D7C" w:rsidP="005E6D7C">
            <w:pPr>
              <w:spacing w:before="80" w:after="80" w:line="200" w:lineRule="exact"/>
              <w:jc w:val="right"/>
              <w:rPr>
                <w:i/>
                <w:sz w:val="16"/>
                <w:szCs w:val="16"/>
              </w:rPr>
            </w:pPr>
          </w:p>
        </w:tc>
        <w:tc>
          <w:tcPr>
            <w:tcW w:w="1022" w:type="dxa"/>
            <w:tcBorders>
              <w:top w:val="single" w:sz="4" w:space="0" w:color="auto"/>
              <w:bottom w:val="single" w:sz="12" w:space="0" w:color="auto"/>
            </w:tcBorders>
            <w:shd w:val="clear" w:color="auto" w:fill="auto"/>
            <w:noWrap/>
            <w:vAlign w:val="bottom"/>
          </w:tcPr>
          <w:p w:rsidR="005E6D7C" w:rsidRPr="005E6D7C" w:rsidRDefault="005E6D7C" w:rsidP="005E6D7C">
            <w:pPr>
              <w:spacing w:before="80" w:after="80" w:line="200" w:lineRule="exact"/>
              <w:jc w:val="right"/>
              <w:rPr>
                <w:i/>
                <w:sz w:val="16"/>
                <w:szCs w:val="16"/>
              </w:rPr>
            </w:pPr>
            <w:r w:rsidRPr="005E6D7C">
              <w:rPr>
                <w:i/>
                <w:sz w:val="16"/>
                <w:szCs w:val="16"/>
              </w:rPr>
              <w:t>Иммигра</w:t>
            </w:r>
            <w:r w:rsidRPr="005E6D7C">
              <w:rPr>
                <w:i/>
                <w:sz w:val="16"/>
                <w:szCs w:val="16"/>
              </w:rPr>
              <w:t>н</w:t>
            </w:r>
            <w:r w:rsidRPr="005E6D7C">
              <w:rPr>
                <w:i/>
                <w:sz w:val="16"/>
                <w:szCs w:val="16"/>
              </w:rPr>
              <w:t>ты</w:t>
            </w:r>
            <w:r w:rsidR="00D3337A">
              <w:rPr>
                <w:i/>
                <w:sz w:val="16"/>
                <w:szCs w:val="16"/>
              </w:rPr>
              <w:t xml:space="preserve"> </w:t>
            </w:r>
            <w:r w:rsidRPr="005E6D7C">
              <w:rPr>
                <w:i/>
                <w:sz w:val="16"/>
                <w:szCs w:val="16"/>
              </w:rPr>
              <w:br/>
              <w:t>(в %)</w:t>
            </w:r>
          </w:p>
        </w:tc>
        <w:tc>
          <w:tcPr>
            <w:tcW w:w="868" w:type="dxa"/>
            <w:tcBorders>
              <w:top w:val="single" w:sz="4" w:space="0" w:color="auto"/>
              <w:bottom w:val="single" w:sz="12" w:space="0" w:color="auto"/>
            </w:tcBorders>
            <w:shd w:val="clear" w:color="auto" w:fill="auto"/>
            <w:noWrap/>
            <w:vAlign w:val="bottom"/>
          </w:tcPr>
          <w:p w:rsidR="005E6D7C" w:rsidRPr="005E6D7C" w:rsidRDefault="005E6D7C" w:rsidP="005E6D7C">
            <w:pPr>
              <w:spacing w:before="80" w:after="80" w:line="200" w:lineRule="exact"/>
              <w:jc w:val="right"/>
              <w:rPr>
                <w:i/>
                <w:sz w:val="16"/>
                <w:szCs w:val="16"/>
              </w:rPr>
            </w:pPr>
            <w:r w:rsidRPr="005E6D7C">
              <w:rPr>
                <w:i/>
                <w:sz w:val="16"/>
                <w:szCs w:val="16"/>
              </w:rPr>
              <w:t xml:space="preserve">Потомки </w:t>
            </w:r>
            <w:r w:rsidRPr="005E6D7C">
              <w:rPr>
                <w:i/>
                <w:sz w:val="16"/>
                <w:szCs w:val="16"/>
              </w:rPr>
              <w:br/>
              <w:t>(в %)</w:t>
            </w:r>
          </w:p>
        </w:tc>
        <w:tc>
          <w:tcPr>
            <w:tcW w:w="713" w:type="dxa"/>
            <w:tcBorders>
              <w:top w:val="single" w:sz="4" w:space="0" w:color="auto"/>
              <w:bottom w:val="single" w:sz="12" w:space="0" w:color="auto"/>
            </w:tcBorders>
            <w:shd w:val="clear" w:color="auto" w:fill="auto"/>
            <w:noWrap/>
            <w:vAlign w:val="bottom"/>
          </w:tcPr>
          <w:p w:rsidR="005E6D7C" w:rsidRPr="005E6D7C" w:rsidRDefault="005E6D7C" w:rsidP="005E6D7C">
            <w:pPr>
              <w:spacing w:before="80" w:after="80" w:line="200" w:lineRule="exact"/>
              <w:jc w:val="right"/>
              <w:rPr>
                <w:i/>
                <w:sz w:val="16"/>
                <w:szCs w:val="16"/>
              </w:rPr>
            </w:pPr>
            <w:r w:rsidRPr="005E6D7C">
              <w:rPr>
                <w:i/>
                <w:sz w:val="16"/>
                <w:szCs w:val="16"/>
              </w:rPr>
              <w:t xml:space="preserve">Датчане </w:t>
            </w:r>
            <w:r w:rsidRPr="005E6D7C">
              <w:rPr>
                <w:i/>
                <w:sz w:val="16"/>
                <w:szCs w:val="16"/>
              </w:rPr>
              <w:br/>
              <w:t>(в %)</w:t>
            </w:r>
          </w:p>
        </w:tc>
        <w:tc>
          <w:tcPr>
            <w:tcW w:w="994" w:type="dxa"/>
            <w:tcBorders>
              <w:top w:val="single" w:sz="4" w:space="0" w:color="auto"/>
              <w:bottom w:val="single" w:sz="12" w:space="0" w:color="auto"/>
            </w:tcBorders>
            <w:shd w:val="clear" w:color="auto" w:fill="auto"/>
            <w:noWrap/>
            <w:vAlign w:val="bottom"/>
          </w:tcPr>
          <w:p w:rsidR="005E6D7C" w:rsidRPr="005E6D7C" w:rsidRDefault="005E6D7C" w:rsidP="005E6D7C">
            <w:pPr>
              <w:spacing w:before="80" w:after="80" w:line="200" w:lineRule="exact"/>
              <w:jc w:val="right"/>
              <w:rPr>
                <w:i/>
                <w:sz w:val="16"/>
                <w:szCs w:val="16"/>
              </w:rPr>
            </w:pPr>
            <w:r w:rsidRPr="005E6D7C">
              <w:rPr>
                <w:i/>
                <w:sz w:val="16"/>
                <w:szCs w:val="16"/>
              </w:rPr>
              <w:t>Иностра</w:t>
            </w:r>
            <w:r w:rsidRPr="005E6D7C">
              <w:rPr>
                <w:i/>
                <w:sz w:val="16"/>
                <w:szCs w:val="16"/>
              </w:rPr>
              <w:t>н</w:t>
            </w:r>
            <w:r w:rsidRPr="005E6D7C">
              <w:rPr>
                <w:i/>
                <w:sz w:val="16"/>
                <w:szCs w:val="16"/>
              </w:rPr>
              <w:t xml:space="preserve">цы </w:t>
            </w:r>
            <w:r w:rsidRPr="005E6D7C">
              <w:rPr>
                <w:i/>
                <w:sz w:val="16"/>
                <w:szCs w:val="16"/>
              </w:rPr>
              <w:br/>
              <w:t>(в %)</w:t>
            </w:r>
          </w:p>
        </w:tc>
        <w:tc>
          <w:tcPr>
            <w:tcW w:w="572" w:type="dxa"/>
            <w:tcBorders>
              <w:top w:val="single" w:sz="4" w:space="0" w:color="auto"/>
              <w:bottom w:val="single" w:sz="12" w:space="0" w:color="auto"/>
            </w:tcBorders>
            <w:shd w:val="clear" w:color="auto" w:fill="auto"/>
            <w:noWrap/>
            <w:vAlign w:val="bottom"/>
          </w:tcPr>
          <w:p w:rsidR="005E6D7C" w:rsidRPr="00470A7C" w:rsidRDefault="005E6D7C" w:rsidP="005E6D7C">
            <w:pPr>
              <w:spacing w:before="80" w:after="80" w:line="200" w:lineRule="exact"/>
              <w:jc w:val="right"/>
              <w:rPr>
                <w:b/>
                <w:i/>
                <w:sz w:val="16"/>
                <w:szCs w:val="16"/>
              </w:rPr>
            </w:pPr>
            <w:r w:rsidRPr="00470A7C">
              <w:rPr>
                <w:b/>
                <w:i/>
                <w:sz w:val="16"/>
                <w:szCs w:val="16"/>
              </w:rPr>
              <w:t xml:space="preserve">Итого </w:t>
            </w:r>
            <w:r w:rsidRPr="00470A7C">
              <w:rPr>
                <w:b/>
                <w:i/>
                <w:sz w:val="16"/>
                <w:szCs w:val="16"/>
              </w:rPr>
              <w:br/>
              <w:t>(в %)</w:t>
            </w:r>
          </w:p>
        </w:tc>
        <w:tc>
          <w:tcPr>
            <w:tcW w:w="850" w:type="dxa"/>
            <w:tcBorders>
              <w:top w:val="single" w:sz="4" w:space="0" w:color="auto"/>
              <w:bottom w:val="single" w:sz="12" w:space="0" w:color="auto"/>
            </w:tcBorders>
            <w:shd w:val="clear" w:color="auto" w:fill="auto"/>
            <w:noWrap/>
            <w:vAlign w:val="bottom"/>
          </w:tcPr>
          <w:p w:rsidR="005E6D7C" w:rsidRPr="00470A7C" w:rsidRDefault="005E6D7C" w:rsidP="005E6D7C">
            <w:pPr>
              <w:spacing w:before="80" w:after="80" w:line="200" w:lineRule="exact"/>
              <w:jc w:val="right"/>
              <w:rPr>
                <w:b/>
                <w:i/>
                <w:sz w:val="16"/>
                <w:szCs w:val="16"/>
              </w:rPr>
            </w:pPr>
            <w:r w:rsidRPr="00470A7C">
              <w:rPr>
                <w:b/>
                <w:i/>
                <w:sz w:val="16"/>
                <w:szCs w:val="16"/>
              </w:rPr>
              <w:t>Общее число лиц</w:t>
            </w:r>
          </w:p>
        </w:tc>
      </w:tr>
      <w:tr w:rsidR="005E6D7C" w:rsidRPr="00B02044" w:rsidTr="00470A7C">
        <w:tc>
          <w:tcPr>
            <w:tcW w:w="2352" w:type="dxa"/>
            <w:tcBorders>
              <w:top w:val="single" w:sz="12" w:space="0" w:color="auto"/>
              <w:left w:val="nil"/>
              <w:bottom w:val="nil"/>
              <w:right w:val="nil"/>
            </w:tcBorders>
            <w:shd w:val="clear" w:color="auto" w:fill="auto"/>
            <w:noWrap/>
          </w:tcPr>
          <w:p w:rsidR="005E6D7C" w:rsidRPr="005E6D7C" w:rsidRDefault="005E6D7C" w:rsidP="00C90995">
            <w:pPr>
              <w:spacing w:before="40" w:after="40" w:line="220" w:lineRule="exact"/>
              <w:rPr>
                <w:sz w:val="18"/>
                <w:szCs w:val="18"/>
              </w:rPr>
            </w:pPr>
            <w:r w:rsidRPr="005E6D7C">
              <w:rPr>
                <w:sz w:val="18"/>
                <w:szCs w:val="18"/>
              </w:rPr>
              <w:t>Государственные тюрьмы строгого р</w:t>
            </w:r>
            <w:r w:rsidRPr="005E6D7C">
              <w:rPr>
                <w:sz w:val="18"/>
                <w:szCs w:val="18"/>
              </w:rPr>
              <w:t>е</w:t>
            </w:r>
            <w:r w:rsidRPr="005E6D7C">
              <w:rPr>
                <w:sz w:val="18"/>
                <w:szCs w:val="18"/>
              </w:rPr>
              <w:t>жима</w:t>
            </w:r>
          </w:p>
        </w:tc>
        <w:tc>
          <w:tcPr>
            <w:tcW w:w="1022" w:type="dxa"/>
            <w:tcBorders>
              <w:top w:val="single" w:sz="12" w:space="0" w:color="auto"/>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19,2</w:t>
            </w:r>
          </w:p>
        </w:tc>
        <w:tc>
          <w:tcPr>
            <w:tcW w:w="868" w:type="dxa"/>
            <w:tcBorders>
              <w:top w:val="single" w:sz="12" w:space="0" w:color="auto"/>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7,6</w:t>
            </w:r>
          </w:p>
        </w:tc>
        <w:tc>
          <w:tcPr>
            <w:tcW w:w="713" w:type="dxa"/>
            <w:tcBorders>
              <w:top w:val="single" w:sz="12" w:space="0" w:color="auto"/>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62,5</w:t>
            </w:r>
          </w:p>
        </w:tc>
        <w:tc>
          <w:tcPr>
            <w:tcW w:w="994" w:type="dxa"/>
            <w:tcBorders>
              <w:top w:val="single" w:sz="12" w:space="0" w:color="auto"/>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10,7</w:t>
            </w:r>
          </w:p>
        </w:tc>
        <w:tc>
          <w:tcPr>
            <w:tcW w:w="572" w:type="dxa"/>
            <w:tcBorders>
              <w:top w:val="single" w:sz="12" w:space="0" w:color="auto"/>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single" w:sz="12" w:space="0" w:color="auto"/>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896</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Государственные тюр</w:t>
            </w:r>
            <w:r w:rsidRPr="005E6D7C">
              <w:rPr>
                <w:sz w:val="18"/>
                <w:szCs w:val="18"/>
              </w:rPr>
              <w:t>ь</w:t>
            </w:r>
            <w:r w:rsidRPr="005E6D7C">
              <w:rPr>
                <w:sz w:val="18"/>
                <w:szCs w:val="18"/>
              </w:rPr>
              <w:t>мы общего реж</w:t>
            </w:r>
            <w:r w:rsidRPr="005E6D7C">
              <w:rPr>
                <w:sz w:val="18"/>
                <w:szCs w:val="18"/>
              </w:rPr>
              <w:t>и</w:t>
            </w:r>
            <w:r w:rsidRPr="005E6D7C">
              <w:rPr>
                <w:sz w:val="18"/>
                <w:szCs w:val="18"/>
              </w:rPr>
              <w:t>ма</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13,9</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5,7</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79,3</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1,1</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1 500</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Местные тюрьмы</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14,0</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3,2</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60,7</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22,2</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1 142</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Тюрьмы в Копенг</w:t>
            </w:r>
            <w:r w:rsidRPr="005E6D7C">
              <w:rPr>
                <w:sz w:val="18"/>
                <w:szCs w:val="18"/>
              </w:rPr>
              <w:t>а</w:t>
            </w:r>
            <w:r w:rsidRPr="005E6D7C">
              <w:rPr>
                <w:sz w:val="18"/>
                <w:szCs w:val="18"/>
              </w:rPr>
              <w:t>гене</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20,6</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11,5</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38,4</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29,4</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557</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Адаптационные це</w:t>
            </w:r>
            <w:r w:rsidRPr="005E6D7C">
              <w:rPr>
                <w:sz w:val="18"/>
                <w:szCs w:val="18"/>
              </w:rPr>
              <w:t>н</w:t>
            </w:r>
            <w:r w:rsidRPr="005E6D7C">
              <w:rPr>
                <w:sz w:val="18"/>
                <w:szCs w:val="18"/>
              </w:rPr>
              <w:t>тры</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11,7</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4,3</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84,0</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162</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C90995">
            <w:pPr>
              <w:spacing w:before="40" w:after="40" w:line="220" w:lineRule="exact"/>
              <w:rPr>
                <w:sz w:val="18"/>
                <w:szCs w:val="18"/>
              </w:rPr>
            </w:pPr>
            <w:r w:rsidRPr="005E6D7C">
              <w:rPr>
                <w:sz w:val="18"/>
                <w:szCs w:val="18"/>
              </w:rPr>
              <w:t>На пробации</w:t>
            </w:r>
            <w:r w:rsidR="00C90995">
              <w:rPr>
                <w:sz w:val="18"/>
                <w:szCs w:val="18"/>
              </w:rPr>
              <w:t xml:space="preserve"> </w:t>
            </w:r>
            <w:r w:rsidR="00C90995">
              <w:rPr>
                <w:sz w:val="18"/>
                <w:szCs w:val="18"/>
              </w:rPr>
              <w:br/>
            </w:r>
            <w:r w:rsidRPr="005E6D7C">
              <w:rPr>
                <w:sz w:val="18"/>
                <w:szCs w:val="18"/>
              </w:rPr>
              <w:t>(поднадзо</w:t>
            </w:r>
            <w:r w:rsidRPr="005E6D7C">
              <w:rPr>
                <w:sz w:val="18"/>
                <w:szCs w:val="18"/>
              </w:rPr>
              <w:t>р</w:t>
            </w:r>
            <w:r w:rsidRPr="005E6D7C">
              <w:rPr>
                <w:sz w:val="18"/>
                <w:szCs w:val="18"/>
              </w:rPr>
              <w:t>ные)</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14,1</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5,2</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80,6</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0,2</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9 391</w:t>
            </w:r>
          </w:p>
        </w:tc>
      </w:tr>
      <w:tr w:rsidR="005E6D7C" w:rsidRPr="005E6D7C"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b/>
                <w:sz w:val="18"/>
                <w:szCs w:val="18"/>
              </w:rPr>
            </w:pPr>
            <w:r w:rsidRPr="005E6D7C">
              <w:rPr>
                <w:b/>
                <w:sz w:val="18"/>
                <w:szCs w:val="18"/>
              </w:rPr>
              <w:t>29 ноября 2011 </w:t>
            </w:r>
            <w:r w:rsidR="00470A7C">
              <w:rPr>
                <w:b/>
                <w:sz w:val="18"/>
                <w:szCs w:val="18"/>
              </w:rPr>
              <w:t>года</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b/>
                <w:sz w:val="18"/>
                <w:szCs w:val="18"/>
              </w:rPr>
            </w:pPr>
            <w:r w:rsidRPr="005E6D7C">
              <w:rPr>
                <w:b/>
                <w:sz w:val="18"/>
                <w:szCs w:val="18"/>
              </w:rPr>
              <w:t>14,7</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b/>
                <w:sz w:val="18"/>
                <w:szCs w:val="18"/>
              </w:rPr>
            </w:pPr>
            <w:r w:rsidRPr="005E6D7C">
              <w:rPr>
                <w:b/>
                <w:sz w:val="18"/>
                <w:szCs w:val="18"/>
              </w:rPr>
              <w:t>5,5</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b/>
                <w:sz w:val="18"/>
                <w:szCs w:val="18"/>
              </w:rPr>
            </w:pPr>
            <w:r w:rsidRPr="005E6D7C">
              <w:rPr>
                <w:b/>
                <w:sz w:val="18"/>
                <w:szCs w:val="18"/>
              </w:rPr>
              <w:t>75,9</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b/>
                <w:sz w:val="18"/>
                <w:szCs w:val="18"/>
              </w:rPr>
            </w:pPr>
            <w:r w:rsidRPr="005E6D7C">
              <w:rPr>
                <w:b/>
                <w:sz w:val="18"/>
                <w:szCs w:val="18"/>
              </w:rPr>
              <w:t>4,0</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13 648</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2 ноября 2010 </w:t>
            </w:r>
            <w:r w:rsidR="00470A7C">
              <w:rPr>
                <w:sz w:val="18"/>
                <w:szCs w:val="18"/>
              </w:rPr>
              <w:t>года</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14,5</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4,8</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77,4</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3,2</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13 273</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10 ноября 2009 </w:t>
            </w:r>
            <w:r w:rsidR="00470A7C">
              <w:rPr>
                <w:sz w:val="18"/>
                <w:szCs w:val="18"/>
              </w:rPr>
              <w:t>года</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14,5</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5,0</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77,2</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3,4</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12 293</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4 ноября 2008 </w:t>
            </w:r>
            <w:r w:rsidR="00470A7C">
              <w:rPr>
                <w:sz w:val="18"/>
                <w:szCs w:val="18"/>
              </w:rPr>
              <w:t>года</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14,6</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3,9</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78,3</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3,1</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11 572</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6 ноября 2007 </w:t>
            </w:r>
            <w:r w:rsidR="00470A7C">
              <w:rPr>
                <w:sz w:val="18"/>
                <w:szCs w:val="18"/>
              </w:rPr>
              <w:t>года</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14,3</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3,5</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80,0</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2,2</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11 184</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7 ноября 2006 </w:t>
            </w:r>
            <w:r w:rsidR="00470A7C">
              <w:rPr>
                <w:sz w:val="18"/>
                <w:szCs w:val="18"/>
              </w:rPr>
              <w:t>года</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13,2</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3,2</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80,9</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2,6</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12 573</w:t>
            </w:r>
          </w:p>
        </w:tc>
      </w:tr>
      <w:tr w:rsidR="005E6D7C" w:rsidRPr="00B02044" w:rsidTr="00470A7C">
        <w:tc>
          <w:tcPr>
            <w:tcW w:w="2352" w:type="dxa"/>
            <w:tcBorders>
              <w:top w:val="nil"/>
              <w:left w:val="nil"/>
              <w:bottom w:val="nil"/>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4 ноября 2005 </w:t>
            </w:r>
            <w:r w:rsidR="00470A7C">
              <w:rPr>
                <w:sz w:val="18"/>
                <w:szCs w:val="18"/>
              </w:rPr>
              <w:t>года</w:t>
            </w:r>
          </w:p>
        </w:tc>
        <w:tc>
          <w:tcPr>
            <w:tcW w:w="1022"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12,9</w:t>
            </w:r>
          </w:p>
        </w:tc>
        <w:tc>
          <w:tcPr>
            <w:tcW w:w="868"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3,1</w:t>
            </w:r>
          </w:p>
        </w:tc>
        <w:tc>
          <w:tcPr>
            <w:tcW w:w="713"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82,2</w:t>
            </w:r>
          </w:p>
        </w:tc>
        <w:tc>
          <w:tcPr>
            <w:tcW w:w="994" w:type="dxa"/>
            <w:tcBorders>
              <w:top w:val="nil"/>
              <w:left w:val="nil"/>
              <w:bottom w:val="nil"/>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1,8</w:t>
            </w:r>
          </w:p>
        </w:tc>
        <w:tc>
          <w:tcPr>
            <w:tcW w:w="572"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nil"/>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12 906</w:t>
            </w:r>
          </w:p>
        </w:tc>
      </w:tr>
      <w:tr w:rsidR="005E6D7C" w:rsidRPr="00B02044" w:rsidTr="00470A7C">
        <w:tc>
          <w:tcPr>
            <w:tcW w:w="2352" w:type="dxa"/>
            <w:tcBorders>
              <w:top w:val="nil"/>
              <w:left w:val="nil"/>
              <w:bottom w:val="single" w:sz="12" w:space="0" w:color="auto"/>
              <w:right w:val="nil"/>
            </w:tcBorders>
            <w:shd w:val="clear" w:color="auto" w:fill="auto"/>
            <w:noWrap/>
          </w:tcPr>
          <w:p w:rsidR="005E6D7C" w:rsidRPr="005E6D7C" w:rsidRDefault="005E6D7C" w:rsidP="005E6D7C">
            <w:pPr>
              <w:spacing w:before="40" w:after="40" w:line="220" w:lineRule="exact"/>
              <w:rPr>
                <w:sz w:val="18"/>
                <w:szCs w:val="18"/>
              </w:rPr>
            </w:pPr>
            <w:r w:rsidRPr="005E6D7C">
              <w:rPr>
                <w:sz w:val="18"/>
                <w:szCs w:val="18"/>
              </w:rPr>
              <w:t>4 мая 2004 </w:t>
            </w:r>
            <w:r w:rsidR="00470A7C">
              <w:rPr>
                <w:sz w:val="18"/>
                <w:szCs w:val="18"/>
              </w:rPr>
              <w:t>года</w:t>
            </w:r>
          </w:p>
        </w:tc>
        <w:tc>
          <w:tcPr>
            <w:tcW w:w="1022" w:type="dxa"/>
            <w:tcBorders>
              <w:top w:val="nil"/>
              <w:left w:val="nil"/>
              <w:bottom w:val="single" w:sz="12" w:space="0" w:color="auto"/>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12,3</w:t>
            </w:r>
          </w:p>
        </w:tc>
        <w:tc>
          <w:tcPr>
            <w:tcW w:w="868" w:type="dxa"/>
            <w:tcBorders>
              <w:top w:val="nil"/>
              <w:left w:val="nil"/>
              <w:bottom w:val="single" w:sz="12" w:space="0" w:color="auto"/>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3,3</w:t>
            </w:r>
          </w:p>
        </w:tc>
        <w:tc>
          <w:tcPr>
            <w:tcW w:w="713" w:type="dxa"/>
            <w:tcBorders>
              <w:top w:val="nil"/>
              <w:left w:val="nil"/>
              <w:bottom w:val="single" w:sz="12" w:space="0" w:color="auto"/>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82,6</w:t>
            </w:r>
          </w:p>
        </w:tc>
        <w:tc>
          <w:tcPr>
            <w:tcW w:w="994" w:type="dxa"/>
            <w:tcBorders>
              <w:top w:val="nil"/>
              <w:left w:val="nil"/>
              <w:bottom w:val="single" w:sz="12" w:space="0" w:color="auto"/>
              <w:right w:val="nil"/>
            </w:tcBorders>
            <w:shd w:val="clear" w:color="auto" w:fill="auto"/>
            <w:noWrap/>
            <w:vAlign w:val="bottom"/>
          </w:tcPr>
          <w:p w:rsidR="005E6D7C" w:rsidRPr="005E6D7C" w:rsidRDefault="005E6D7C" w:rsidP="005E6D7C">
            <w:pPr>
              <w:spacing w:before="40" w:after="40" w:line="220" w:lineRule="exact"/>
              <w:jc w:val="right"/>
              <w:rPr>
                <w:sz w:val="18"/>
                <w:szCs w:val="18"/>
              </w:rPr>
            </w:pPr>
            <w:r w:rsidRPr="005E6D7C">
              <w:rPr>
                <w:sz w:val="18"/>
                <w:szCs w:val="18"/>
              </w:rPr>
              <w:t>1,8</w:t>
            </w:r>
          </w:p>
        </w:tc>
        <w:tc>
          <w:tcPr>
            <w:tcW w:w="572" w:type="dxa"/>
            <w:tcBorders>
              <w:top w:val="nil"/>
              <w:left w:val="nil"/>
              <w:bottom w:val="single" w:sz="12" w:space="0" w:color="auto"/>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100</w:t>
            </w:r>
          </w:p>
        </w:tc>
        <w:tc>
          <w:tcPr>
            <w:tcW w:w="850" w:type="dxa"/>
            <w:tcBorders>
              <w:top w:val="nil"/>
              <w:left w:val="nil"/>
              <w:bottom w:val="single" w:sz="12" w:space="0" w:color="auto"/>
              <w:right w:val="nil"/>
            </w:tcBorders>
            <w:shd w:val="clear" w:color="auto" w:fill="auto"/>
            <w:noWrap/>
            <w:vAlign w:val="bottom"/>
          </w:tcPr>
          <w:p w:rsidR="005E6D7C" w:rsidRPr="00470A7C" w:rsidRDefault="005E6D7C" w:rsidP="005E6D7C">
            <w:pPr>
              <w:spacing w:before="40" w:after="40" w:line="220" w:lineRule="exact"/>
              <w:jc w:val="right"/>
              <w:rPr>
                <w:b/>
                <w:sz w:val="18"/>
                <w:szCs w:val="18"/>
              </w:rPr>
            </w:pPr>
            <w:r w:rsidRPr="00470A7C">
              <w:rPr>
                <w:b/>
                <w:sz w:val="18"/>
                <w:szCs w:val="18"/>
              </w:rPr>
              <w:t>12 148</w:t>
            </w:r>
          </w:p>
        </w:tc>
      </w:tr>
    </w:tbl>
    <w:p w:rsidR="005E6D7C" w:rsidRPr="005E21BC" w:rsidRDefault="005E6D7C" w:rsidP="00C90995">
      <w:pPr>
        <w:pStyle w:val="SingleTxtGR"/>
        <w:spacing w:before="120" w:line="220" w:lineRule="exact"/>
        <w:ind w:firstLine="170"/>
        <w:jc w:val="left"/>
        <w:rPr>
          <w:sz w:val="18"/>
          <w:szCs w:val="18"/>
        </w:rPr>
      </w:pPr>
      <w:r w:rsidRPr="005E21BC">
        <w:rPr>
          <w:i/>
          <w:sz w:val="18"/>
          <w:szCs w:val="18"/>
        </w:rPr>
        <w:t>Примечание</w:t>
      </w:r>
      <w:r w:rsidRPr="005E21BC">
        <w:rPr>
          <w:sz w:val="18"/>
          <w:szCs w:val="18"/>
        </w:rPr>
        <w:t xml:space="preserve">. </w:t>
      </w:r>
      <w:r w:rsidRPr="005E21BC">
        <w:rPr>
          <w:i/>
          <w:sz w:val="18"/>
          <w:szCs w:val="18"/>
        </w:rPr>
        <w:t>Иммигранты</w:t>
      </w:r>
      <w:r w:rsidRPr="005E21BC">
        <w:rPr>
          <w:sz w:val="18"/>
          <w:szCs w:val="18"/>
        </w:rPr>
        <w:t> – это люди, родившиеся за рубежом. Никто из родителей не является датским гражданином, рожденным в Дании.</w:t>
      </w:r>
    </w:p>
    <w:p w:rsidR="005E6D7C" w:rsidRPr="005E21BC" w:rsidRDefault="005E6D7C" w:rsidP="0032458D">
      <w:pPr>
        <w:pStyle w:val="SingleTxtGR"/>
        <w:spacing w:line="220" w:lineRule="exact"/>
        <w:ind w:firstLine="170"/>
        <w:jc w:val="left"/>
        <w:rPr>
          <w:sz w:val="18"/>
          <w:szCs w:val="18"/>
        </w:rPr>
      </w:pPr>
      <w:r w:rsidRPr="005E21BC">
        <w:rPr>
          <w:sz w:val="18"/>
          <w:szCs w:val="18"/>
        </w:rPr>
        <w:t>Если то или иное лицо родилось за рубежом, а данные по обоим родителям отсутс</w:t>
      </w:r>
      <w:r w:rsidRPr="005E21BC">
        <w:rPr>
          <w:sz w:val="18"/>
          <w:szCs w:val="18"/>
        </w:rPr>
        <w:t>т</w:t>
      </w:r>
      <w:r w:rsidRPr="005E21BC">
        <w:rPr>
          <w:sz w:val="18"/>
          <w:szCs w:val="18"/>
        </w:rPr>
        <w:t>вуют, это лицо счит</w:t>
      </w:r>
      <w:r w:rsidRPr="005E21BC">
        <w:rPr>
          <w:sz w:val="18"/>
          <w:szCs w:val="18"/>
        </w:rPr>
        <w:t>а</w:t>
      </w:r>
      <w:r w:rsidRPr="005E21BC">
        <w:rPr>
          <w:sz w:val="18"/>
          <w:szCs w:val="18"/>
        </w:rPr>
        <w:t>ется иммигрантом.</w:t>
      </w:r>
    </w:p>
    <w:p w:rsidR="005E6D7C" w:rsidRPr="005E21BC" w:rsidRDefault="005E6D7C" w:rsidP="0032458D">
      <w:pPr>
        <w:pStyle w:val="SingleTxtGR"/>
        <w:spacing w:line="220" w:lineRule="exact"/>
        <w:ind w:firstLine="170"/>
        <w:jc w:val="left"/>
        <w:rPr>
          <w:sz w:val="18"/>
          <w:szCs w:val="18"/>
        </w:rPr>
      </w:pPr>
      <w:r w:rsidRPr="005E21BC">
        <w:rPr>
          <w:i/>
          <w:sz w:val="18"/>
          <w:szCs w:val="18"/>
        </w:rPr>
        <w:t>Потомки</w:t>
      </w:r>
      <w:r w:rsidRPr="005E21BC">
        <w:rPr>
          <w:sz w:val="18"/>
          <w:szCs w:val="18"/>
        </w:rPr>
        <w:t> – это люди, рожденные в Дании. Ни один из родителей не является датским гражданином, рожденным в Дании. Если то или иное лицо является иностранным гра</w:t>
      </w:r>
      <w:r w:rsidRPr="005E21BC">
        <w:rPr>
          <w:sz w:val="18"/>
          <w:szCs w:val="18"/>
        </w:rPr>
        <w:t>ж</w:t>
      </w:r>
      <w:r w:rsidRPr="005E21BC">
        <w:rPr>
          <w:sz w:val="18"/>
          <w:szCs w:val="18"/>
        </w:rPr>
        <w:t>данином, а данные по обоим родителям отсутствуют, такое лицо считается потомком.</w:t>
      </w:r>
    </w:p>
    <w:p w:rsidR="005E6D7C" w:rsidRPr="005E21BC" w:rsidRDefault="005E6D7C" w:rsidP="00470A7C">
      <w:pPr>
        <w:pStyle w:val="SingleTxtGR"/>
        <w:spacing w:line="220" w:lineRule="exact"/>
        <w:ind w:firstLine="170"/>
        <w:jc w:val="left"/>
        <w:rPr>
          <w:sz w:val="18"/>
          <w:szCs w:val="18"/>
        </w:rPr>
      </w:pPr>
      <w:r w:rsidRPr="005E21BC">
        <w:rPr>
          <w:sz w:val="18"/>
          <w:szCs w:val="18"/>
        </w:rPr>
        <w:t>Если один или оба родителя, рожденные в Дании, получают датское гражданство, их дети более не рассматриваю</w:t>
      </w:r>
      <w:r w:rsidR="0098534D">
        <w:rPr>
          <w:sz w:val="18"/>
          <w:szCs w:val="18"/>
        </w:rPr>
        <w:t>тся в качестве потомков. Однако</w:t>
      </w:r>
      <w:r w:rsidRPr="005E21BC">
        <w:rPr>
          <w:sz w:val="18"/>
          <w:szCs w:val="18"/>
        </w:rPr>
        <w:t xml:space="preserve"> если р</w:t>
      </w:r>
      <w:r w:rsidRPr="005E21BC">
        <w:rPr>
          <w:sz w:val="18"/>
          <w:szCs w:val="18"/>
        </w:rPr>
        <w:t>о</w:t>
      </w:r>
      <w:r w:rsidRPr="005E21BC">
        <w:rPr>
          <w:sz w:val="18"/>
          <w:szCs w:val="18"/>
        </w:rPr>
        <w:t>дители, рожденные в Дании, сохраняют свое иностранное гражданство, их дети относятся к категории п</w:t>
      </w:r>
      <w:r w:rsidRPr="005E21BC">
        <w:rPr>
          <w:sz w:val="18"/>
          <w:szCs w:val="18"/>
        </w:rPr>
        <w:t>о</w:t>
      </w:r>
      <w:r w:rsidRPr="005E21BC">
        <w:rPr>
          <w:sz w:val="18"/>
          <w:szCs w:val="18"/>
        </w:rPr>
        <w:t>томков.</w:t>
      </w:r>
    </w:p>
    <w:p w:rsidR="005E6D7C" w:rsidRPr="005E21BC" w:rsidRDefault="005E6D7C" w:rsidP="0032458D">
      <w:pPr>
        <w:pStyle w:val="SingleTxtGR"/>
        <w:spacing w:line="220" w:lineRule="exact"/>
        <w:ind w:firstLine="170"/>
        <w:jc w:val="left"/>
        <w:rPr>
          <w:sz w:val="18"/>
          <w:szCs w:val="18"/>
        </w:rPr>
      </w:pPr>
      <w:r w:rsidRPr="005E21BC">
        <w:rPr>
          <w:sz w:val="18"/>
          <w:szCs w:val="18"/>
        </w:rPr>
        <w:t>Лица датского происхождения независимо от места рождения – это лица, у которых по меньшей мере один из родителей является датским гражданином, рожденным в Дании.</w:t>
      </w:r>
    </w:p>
    <w:p w:rsidR="005E6D7C" w:rsidRPr="005E6D7C" w:rsidRDefault="005E6D7C" w:rsidP="0032458D">
      <w:pPr>
        <w:pStyle w:val="SingleTxtGR"/>
        <w:spacing w:line="220" w:lineRule="exact"/>
        <w:ind w:firstLine="170"/>
        <w:jc w:val="left"/>
        <w:rPr>
          <w:sz w:val="18"/>
          <w:szCs w:val="18"/>
        </w:rPr>
      </w:pPr>
      <w:r w:rsidRPr="005E21BC">
        <w:rPr>
          <w:i/>
          <w:sz w:val="18"/>
          <w:szCs w:val="18"/>
        </w:rPr>
        <w:t>Иностранцы</w:t>
      </w:r>
      <w:r w:rsidRPr="005E21BC">
        <w:rPr>
          <w:sz w:val="18"/>
          <w:szCs w:val="18"/>
        </w:rPr>
        <w:t> – это лица, которым не присвоен гражданский регистрационный номер</w:t>
      </w:r>
      <w:r w:rsidRPr="005E6D7C">
        <w:rPr>
          <w:sz w:val="18"/>
          <w:szCs w:val="18"/>
        </w:rPr>
        <w:t xml:space="preserve"> или которые не имеют связей с Данией в том смысле, что они не являлись постоянными жителями страны на момент помещения под стражу. Это могут быть туристы, просит</w:t>
      </w:r>
      <w:r w:rsidRPr="005E6D7C">
        <w:rPr>
          <w:sz w:val="18"/>
          <w:szCs w:val="18"/>
        </w:rPr>
        <w:t>е</w:t>
      </w:r>
      <w:r w:rsidRPr="005E6D7C">
        <w:rPr>
          <w:sz w:val="18"/>
          <w:szCs w:val="18"/>
        </w:rPr>
        <w:t>ли убежища или лица, пребывавшие в Дании незаконно, которым предъявлено обвин</w:t>
      </w:r>
      <w:r w:rsidRPr="005E6D7C">
        <w:rPr>
          <w:sz w:val="18"/>
          <w:szCs w:val="18"/>
        </w:rPr>
        <w:t>е</w:t>
      </w:r>
      <w:r w:rsidRPr="005E6D7C">
        <w:rPr>
          <w:sz w:val="18"/>
          <w:szCs w:val="18"/>
        </w:rPr>
        <w:t>ние или которые осуждены за нарушение Уголовного кодекса.</w:t>
      </w:r>
    </w:p>
    <w:p w:rsidR="00907DF0" w:rsidRDefault="00907DF0" w:rsidP="002F77D6">
      <w:pPr>
        <w:pStyle w:val="SingleTxtGR"/>
        <w:jc w:val="left"/>
      </w:pPr>
      <w:r>
        <w:t>Таблица 3.21</w:t>
      </w:r>
      <w:r w:rsidR="002F77D6" w:rsidRPr="002F77D6">
        <w:br/>
      </w:r>
      <w:r w:rsidRPr="002F77D6">
        <w:rPr>
          <w:b/>
        </w:rPr>
        <w:t xml:space="preserve">Данные о заключенных и поднадзорных в разбивке по этническому </w:t>
      </w:r>
      <w:r w:rsidR="00C90995">
        <w:rPr>
          <w:b/>
        </w:rPr>
        <w:br/>
      </w:r>
      <w:r w:rsidRPr="002F77D6">
        <w:rPr>
          <w:b/>
        </w:rPr>
        <w:t xml:space="preserve">признаку и возрасту (по состоянию на определенный день 2010 </w:t>
      </w:r>
      <w:r w:rsidR="00C90995">
        <w:rPr>
          <w:b/>
        </w:rPr>
        <w:br/>
      </w:r>
      <w:r w:rsidRPr="002F77D6">
        <w:rPr>
          <w:b/>
        </w:rPr>
        <w:t>и 2011 г</w:t>
      </w:r>
      <w:r w:rsidRPr="002F77D6">
        <w:rPr>
          <w:b/>
        </w:rPr>
        <w:t>о</w:t>
      </w:r>
      <w:r w:rsidRPr="002F77D6">
        <w:rPr>
          <w:b/>
        </w:rPr>
        <w:t>дов)</w:t>
      </w:r>
    </w:p>
    <w:tbl>
      <w:tblPr>
        <w:tblW w:w="7373" w:type="dxa"/>
        <w:tblInd w:w="1134" w:type="dxa"/>
        <w:tblBorders>
          <w:top w:val="single" w:sz="4" w:space="0" w:color="auto"/>
        </w:tblBorders>
        <w:tblLayout w:type="fixed"/>
        <w:tblCellMar>
          <w:left w:w="0" w:type="dxa"/>
          <w:right w:w="0" w:type="dxa"/>
        </w:tblCellMar>
        <w:tblLook w:val="00A0"/>
      </w:tblPr>
      <w:tblGrid>
        <w:gridCol w:w="1330"/>
        <w:gridCol w:w="655"/>
        <w:gridCol w:w="709"/>
        <w:gridCol w:w="708"/>
        <w:gridCol w:w="709"/>
        <w:gridCol w:w="243"/>
        <w:gridCol w:w="608"/>
        <w:gridCol w:w="937"/>
        <w:gridCol w:w="859"/>
        <w:gridCol w:w="615"/>
      </w:tblGrid>
      <w:tr w:rsidR="0032458D" w:rsidRPr="0032458D" w:rsidTr="00716199">
        <w:trPr>
          <w:tblHeader/>
        </w:trPr>
        <w:tc>
          <w:tcPr>
            <w:tcW w:w="1330" w:type="dxa"/>
            <w:vMerge w:val="restart"/>
            <w:tcBorders>
              <w:top w:val="single" w:sz="4" w:space="0" w:color="auto"/>
              <w:left w:val="nil"/>
              <w:bottom w:val="nil"/>
              <w:right w:val="nil"/>
            </w:tcBorders>
            <w:shd w:val="clear" w:color="auto" w:fill="auto"/>
            <w:vAlign w:val="bottom"/>
          </w:tcPr>
          <w:p w:rsidR="0032458D" w:rsidRPr="0032458D" w:rsidRDefault="0032458D" w:rsidP="0032458D">
            <w:pPr>
              <w:spacing w:before="80" w:after="80" w:line="200" w:lineRule="exact"/>
              <w:rPr>
                <w:i/>
                <w:sz w:val="16"/>
                <w:szCs w:val="16"/>
              </w:rPr>
            </w:pPr>
          </w:p>
        </w:tc>
        <w:tc>
          <w:tcPr>
            <w:tcW w:w="3024" w:type="dxa"/>
            <w:gridSpan w:val="5"/>
            <w:tcBorders>
              <w:top w:val="single" w:sz="4" w:space="0" w:color="auto"/>
              <w:left w:val="nil"/>
              <w:bottom w:val="single" w:sz="4" w:space="0" w:color="auto"/>
              <w:right w:val="nil"/>
            </w:tcBorders>
            <w:shd w:val="clear" w:color="auto" w:fill="auto"/>
            <w:noWrap/>
            <w:vAlign w:val="bottom"/>
          </w:tcPr>
          <w:p w:rsidR="0032458D" w:rsidRPr="0032458D" w:rsidRDefault="00470A7C" w:rsidP="0032458D">
            <w:pPr>
              <w:spacing w:before="80" w:after="80" w:line="200" w:lineRule="exact"/>
              <w:jc w:val="center"/>
              <w:rPr>
                <w:i/>
                <w:sz w:val="16"/>
                <w:szCs w:val="16"/>
              </w:rPr>
            </w:pPr>
            <w:r>
              <w:rPr>
                <w:i/>
                <w:sz w:val="16"/>
                <w:szCs w:val="16"/>
              </w:rPr>
              <w:t>2 ноября 2010 года</w:t>
            </w:r>
          </w:p>
        </w:tc>
        <w:tc>
          <w:tcPr>
            <w:tcW w:w="3019" w:type="dxa"/>
            <w:gridSpan w:val="4"/>
            <w:tcBorders>
              <w:top w:val="single" w:sz="4" w:space="0" w:color="auto"/>
              <w:left w:val="nil"/>
              <w:bottom w:val="single" w:sz="4" w:space="0" w:color="auto"/>
              <w:right w:val="nil"/>
            </w:tcBorders>
            <w:shd w:val="clear" w:color="auto" w:fill="auto"/>
            <w:vAlign w:val="bottom"/>
          </w:tcPr>
          <w:p w:rsidR="0032458D" w:rsidRPr="0032458D" w:rsidRDefault="00470A7C" w:rsidP="0032458D">
            <w:pPr>
              <w:spacing w:before="80" w:after="80" w:line="200" w:lineRule="exact"/>
              <w:jc w:val="center"/>
              <w:rPr>
                <w:i/>
                <w:sz w:val="16"/>
                <w:szCs w:val="16"/>
              </w:rPr>
            </w:pPr>
            <w:r>
              <w:rPr>
                <w:i/>
                <w:sz w:val="16"/>
                <w:szCs w:val="16"/>
              </w:rPr>
              <w:t>29 ноября 2011 года</w:t>
            </w:r>
          </w:p>
        </w:tc>
      </w:tr>
      <w:tr w:rsidR="00716199" w:rsidRPr="0032458D" w:rsidTr="00716199">
        <w:tc>
          <w:tcPr>
            <w:tcW w:w="1330" w:type="dxa"/>
            <w:vMerge/>
            <w:tcBorders>
              <w:top w:val="nil"/>
              <w:left w:val="nil"/>
              <w:bottom w:val="single" w:sz="12" w:space="0" w:color="auto"/>
              <w:right w:val="nil"/>
            </w:tcBorders>
            <w:shd w:val="clear" w:color="auto" w:fill="auto"/>
          </w:tcPr>
          <w:p w:rsidR="0032458D" w:rsidRPr="0032458D" w:rsidRDefault="0032458D" w:rsidP="0032458D">
            <w:pPr>
              <w:spacing w:before="80" w:after="80" w:line="200" w:lineRule="exact"/>
              <w:rPr>
                <w:i/>
                <w:sz w:val="16"/>
                <w:szCs w:val="16"/>
              </w:rPr>
            </w:pPr>
          </w:p>
        </w:tc>
        <w:tc>
          <w:tcPr>
            <w:tcW w:w="655" w:type="dxa"/>
            <w:tcBorders>
              <w:top w:val="single" w:sz="4" w:space="0" w:color="auto"/>
              <w:left w:val="nil"/>
              <w:bottom w:val="single" w:sz="12" w:space="0" w:color="auto"/>
              <w:right w:val="nil"/>
            </w:tcBorders>
            <w:shd w:val="clear" w:color="auto" w:fill="auto"/>
            <w:noWrap/>
            <w:vAlign w:val="bottom"/>
          </w:tcPr>
          <w:p w:rsidR="0032458D" w:rsidRPr="0032458D" w:rsidRDefault="0032458D" w:rsidP="0032458D">
            <w:pPr>
              <w:spacing w:before="80" w:after="80" w:line="200" w:lineRule="exact"/>
              <w:jc w:val="right"/>
              <w:rPr>
                <w:i/>
                <w:sz w:val="16"/>
                <w:szCs w:val="16"/>
              </w:rPr>
            </w:pPr>
            <w:r w:rsidRPr="0032458D">
              <w:rPr>
                <w:i/>
                <w:sz w:val="16"/>
                <w:szCs w:val="16"/>
              </w:rPr>
              <w:t>Имми</w:t>
            </w:r>
            <w:r w:rsidR="00716199">
              <w:rPr>
                <w:i/>
                <w:sz w:val="16"/>
                <w:szCs w:val="16"/>
              </w:rPr>
              <w:t>-</w:t>
            </w:r>
            <w:r w:rsidRPr="0032458D">
              <w:rPr>
                <w:i/>
                <w:sz w:val="16"/>
                <w:szCs w:val="16"/>
              </w:rPr>
              <w:t>гра</w:t>
            </w:r>
            <w:r w:rsidRPr="0032458D">
              <w:rPr>
                <w:i/>
                <w:sz w:val="16"/>
                <w:szCs w:val="16"/>
              </w:rPr>
              <w:t>н</w:t>
            </w:r>
            <w:r w:rsidRPr="0032458D">
              <w:rPr>
                <w:i/>
                <w:sz w:val="16"/>
                <w:szCs w:val="16"/>
              </w:rPr>
              <w:t>ты</w:t>
            </w:r>
            <w:r w:rsidRPr="0032458D">
              <w:rPr>
                <w:i/>
                <w:sz w:val="16"/>
                <w:szCs w:val="16"/>
              </w:rPr>
              <w:br/>
              <w:t>(в %)</w:t>
            </w:r>
          </w:p>
        </w:tc>
        <w:tc>
          <w:tcPr>
            <w:tcW w:w="709" w:type="dxa"/>
            <w:tcBorders>
              <w:top w:val="single" w:sz="4" w:space="0" w:color="auto"/>
              <w:left w:val="nil"/>
              <w:bottom w:val="single" w:sz="12" w:space="0" w:color="auto"/>
              <w:right w:val="nil"/>
            </w:tcBorders>
            <w:shd w:val="clear" w:color="auto" w:fill="auto"/>
            <w:noWrap/>
            <w:vAlign w:val="bottom"/>
          </w:tcPr>
          <w:p w:rsidR="0032458D" w:rsidRPr="0032458D" w:rsidRDefault="0032458D" w:rsidP="0032458D">
            <w:pPr>
              <w:spacing w:before="80" w:after="80" w:line="200" w:lineRule="exact"/>
              <w:jc w:val="right"/>
              <w:rPr>
                <w:i/>
                <w:sz w:val="16"/>
                <w:szCs w:val="16"/>
              </w:rPr>
            </w:pPr>
            <w:r w:rsidRPr="0032458D">
              <w:rPr>
                <w:i/>
                <w:sz w:val="16"/>
                <w:szCs w:val="16"/>
              </w:rPr>
              <w:t>Пото</w:t>
            </w:r>
            <w:r w:rsidRPr="0032458D">
              <w:rPr>
                <w:i/>
                <w:sz w:val="16"/>
                <w:szCs w:val="16"/>
              </w:rPr>
              <w:t>м</w:t>
            </w:r>
            <w:r w:rsidRPr="0032458D">
              <w:rPr>
                <w:i/>
                <w:sz w:val="16"/>
                <w:szCs w:val="16"/>
              </w:rPr>
              <w:t>ки</w:t>
            </w:r>
            <w:r w:rsidRPr="0032458D">
              <w:rPr>
                <w:i/>
                <w:sz w:val="16"/>
                <w:szCs w:val="16"/>
              </w:rPr>
              <w:br/>
              <w:t>(в %)</w:t>
            </w:r>
          </w:p>
        </w:tc>
        <w:tc>
          <w:tcPr>
            <w:tcW w:w="708" w:type="dxa"/>
            <w:tcBorders>
              <w:top w:val="single" w:sz="4" w:space="0" w:color="auto"/>
              <w:left w:val="nil"/>
              <w:bottom w:val="single" w:sz="12" w:space="0" w:color="auto"/>
              <w:right w:val="nil"/>
            </w:tcBorders>
            <w:shd w:val="clear" w:color="auto" w:fill="auto"/>
            <w:noWrap/>
            <w:vAlign w:val="bottom"/>
          </w:tcPr>
          <w:p w:rsidR="0032458D" w:rsidRPr="0032458D" w:rsidRDefault="0032458D" w:rsidP="0032458D">
            <w:pPr>
              <w:spacing w:before="80" w:after="80" w:line="200" w:lineRule="exact"/>
              <w:jc w:val="right"/>
              <w:rPr>
                <w:i/>
                <w:sz w:val="16"/>
                <w:szCs w:val="16"/>
              </w:rPr>
            </w:pPr>
            <w:r w:rsidRPr="0032458D">
              <w:rPr>
                <w:i/>
                <w:sz w:val="16"/>
                <w:szCs w:val="16"/>
              </w:rPr>
              <w:t>Датчане</w:t>
            </w:r>
            <w:r w:rsidRPr="0032458D">
              <w:rPr>
                <w:i/>
                <w:sz w:val="16"/>
                <w:szCs w:val="16"/>
              </w:rPr>
              <w:br/>
              <w:t>(в %)</w:t>
            </w:r>
          </w:p>
        </w:tc>
        <w:tc>
          <w:tcPr>
            <w:tcW w:w="709" w:type="dxa"/>
            <w:tcBorders>
              <w:top w:val="single" w:sz="4" w:space="0" w:color="auto"/>
              <w:left w:val="nil"/>
              <w:bottom w:val="single" w:sz="12" w:space="0" w:color="auto"/>
              <w:right w:val="nil"/>
            </w:tcBorders>
            <w:shd w:val="clear" w:color="auto" w:fill="auto"/>
            <w:noWrap/>
            <w:vAlign w:val="bottom"/>
          </w:tcPr>
          <w:p w:rsidR="0032458D" w:rsidRPr="0032458D" w:rsidRDefault="0032458D" w:rsidP="0032458D">
            <w:pPr>
              <w:spacing w:before="80" w:after="80" w:line="200" w:lineRule="exact"/>
              <w:jc w:val="right"/>
              <w:rPr>
                <w:i/>
                <w:sz w:val="16"/>
                <w:szCs w:val="16"/>
              </w:rPr>
            </w:pPr>
            <w:r w:rsidRPr="0032458D">
              <w:rPr>
                <w:i/>
                <w:sz w:val="16"/>
                <w:szCs w:val="16"/>
              </w:rPr>
              <w:t>Итого</w:t>
            </w:r>
            <w:r w:rsidRPr="0032458D">
              <w:rPr>
                <w:i/>
                <w:sz w:val="16"/>
                <w:szCs w:val="16"/>
              </w:rPr>
              <w:br/>
              <w:t>(в %)</w:t>
            </w:r>
          </w:p>
        </w:tc>
        <w:tc>
          <w:tcPr>
            <w:tcW w:w="851" w:type="dxa"/>
            <w:gridSpan w:val="2"/>
            <w:tcBorders>
              <w:top w:val="single" w:sz="4" w:space="0" w:color="auto"/>
              <w:left w:val="nil"/>
              <w:bottom w:val="single" w:sz="12" w:space="0" w:color="auto"/>
              <w:right w:val="nil"/>
            </w:tcBorders>
            <w:shd w:val="clear" w:color="auto" w:fill="auto"/>
            <w:vAlign w:val="bottom"/>
          </w:tcPr>
          <w:p w:rsidR="0032458D" w:rsidRPr="0032458D" w:rsidRDefault="0032458D" w:rsidP="0032458D">
            <w:pPr>
              <w:spacing w:before="80" w:after="80" w:line="200" w:lineRule="exact"/>
              <w:jc w:val="right"/>
              <w:rPr>
                <w:i/>
                <w:sz w:val="16"/>
                <w:szCs w:val="16"/>
              </w:rPr>
            </w:pPr>
            <w:r w:rsidRPr="0032458D">
              <w:rPr>
                <w:i/>
                <w:sz w:val="16"/>
                <w:szCs w:val="16"/>
              </w:rPr>
              <w:t>Имми</w:t>
            </w:r>
            <w:r w:rsidR="00716199">
              <w:rPr>
                <w:i/>
                <w:sz w:val="16"/>
                <w:szCs w:val="16"/>
              </w:rPr>
              <w:t>-</w:t>
            </w:r>
            <w:r w:rsidR="00716199">
              <w:rPr>
                <w:i/>
                <w:sz w:val="16"/>
                <w:szCs w:val="16"/>
              </w:rPr>
              <w:br/>
            </w:r>
            <w:r w:rsidRPr="0032458D">
              <w:rPr>
                <w:i/>
                <w:sz w:val="16"/>
                <w:szCs w:val="16"/>
              </w:rPr>
              <w:t>гра</w:t>
            </w:r>
            <w:r w:rsidRPr="0032458D">
              <w:rPr>
                <w:i/>
                <w:sz w:val="16"/>
                <w:szCs w:val="16"/>
              </w:rPr>
              <w:t>н</w:t>
            </w:r>
            <w:r w:rsidRPr="0032458D">
              <w:rPr>
                <w:i/>
                <w:sz w:val="16"/>
                <w:szCs w:val="16"/>
              </w:rPr>
              <w:t>ты</w:t>
            </w:r>
            <w:r w:rsidRPr="0032458D">
              <w:rPr>
                <w:i/>
                <w:sz w:val="16"/>
                <w:szCs w:val="16"/>
              </w:rPr>
              <w:br/>
              <w:t>(в %)</w:t>
            </w:r>
          </w:p>
        </w:tc>
        <w:tc>
          <w:tcPr>
            <w:tcW w:w="937" w:type="dxa"/>
            <w:tcBorders>
              <w:top w:val="single" w:sz="4" w:space="0" w:color="auto"/>
              <w:left w:val="nil"/>
              <w:bottom w:val="single" w:sz="12" w:space="0" w:color="auto"/>
              <w:right w:val="nil"/>
            </w:tcBorders>
            <w:shd w:val="clear" w:color="auto" w:fill="auto"/>
            <w:vAlign w:val="bottom"/>
          </w:tcPr>
          <w:p w:rsidR="0032458D" w:rsidRPr="0032458D" w:rsidRDefault="0032458D" w:rsidP="0032458D">
            <w:pPr>
              <w:spacing w:before="80" w:after="80" w:line="200" w:lineRule="exact"/>
              <w:jc w:val="right"/>
              <w:rPr>
                <w:i/>
                <w:sz w:val="16"/>
                <w:szCs w:val="16"/>
              </w:rPr>
            </w:pPr>
            <w:r w:rsidRPr="0032458D">
              <w:rPr>
                <w:i/>
                <w:sz w:val="16"/>
                <w:szCs w:val="16"/>
              </w:rPr>
              <w:t>Пото</w:t>
            </w:r>
            <w:r w:rsidRPr="0032458D">
              <w:rPr>
                <w:i/>
                <w:sz w:val="16"/>
                <w:szCs w:val="16"/>
              </w:rPr>
              <w:t>м</w:t>
            </w:r>
            <w:r w:rsidRPr="0032458D">
              <w:rPr>
                <w:i/>
                <w:sz w:val="16"/>
                <w:szCs w:val="16"/>
              </w:rPr>
              <w:t>ки</w:t>
            </w:r>
            <w:r w:rsidRPr="0032458D">
              <w:rPr>
                <w:i/>
                <w:sz w:val="16"/>
                <w:szCs w:val="16"/>
              </w:rPr>
              <w:br/>
              <w:t>(в %)</w:t>
            </w:r>
          </w:p>
        </w:tc>
        <w:tc>
          <w:tcPr>
            <w:tcW w:w="859" w:type="dxa"/>
            <w:tcBorders>
              <w:top w:val="single" w:sz="4" w:space="0" w:color="auto"/>
              <w:left w:val="nil"/>
              <w:bottom w:val="single" w:sz="12" w:space="0" w:color="auto"/>
              <w:right w:val="nil"/>
            </w:tcBorders>
            <w:shd w:val="clear" w:color="auto" w:fill="auto"/>
            <w:vAlign w:val="bottom"/>
          </w:tcPr>
          <w:p w:rsidR="0032458D" w:rsidRPr="0032458D" w:rsidRDefault="0032458D" w:rsidP="0032458D">
            <w:pPr>
              <w:spacing w:before="80" w:after="80" w:line="200" w:lineRule="exact"/>
              <w:jc w:val="right"/>
              <w:rPr>
                <w:i/>
                <w:sz w:val="16"/>
                <w:szCs w:val="16"/>
              </w:rPr>
            </w:pPr>
            <w:r w:rsidRPr="0032458D">
              <w:rPr>
                <w:i/>
                <w:sz w:val="16"/>
                <w:szCs w:val="16"/>
              </w:rPr>
              <w:t>Датчане</w:t>
            </w:r>
            <w:r w:rsidRPr="0032458D">
              <w:rPr>
                <w:i/>
                <w:sz w:val="16"/>
                <w:szCs w:val="16"/>
              </w:rPr>
              <w:br/>
              <w:t>(в %)</w:t>
            </w:r>
          </w:p>
        </w:tc>
        <w:tc>
          <w:tcPr>
            <w:tcW w:w="615" w:type="dxa"/>
            <w:tcBorders>
              <w:top w:val="single" w:sz="4" w:space="0" w:color="auto"/>
              <w:left w:val="nil"/>
              <w:bottom w:val="single" w:sz="12" w:space="0" w:color="auto"/>
              <w:right w:val="nil"/>
            </w:tcBorders>
            <w:shd w:val="clear" w:color="auto" w:fill="auto"/>
            <w:vAlign w:val="bottom"/>
          </w:tcPr>
          <w:p w:rsidR="0032458D" w:rsidRPr="0032458D" w:rsidRDefault="0032458D" w:rsidP="0032458D">
            <w:pPr>
              <w:spacing w:before="80" w:after="80" w:line="200" w:lineRule="exact"/>
              <w:jc w:val="right"/>
              <w:rPr>
                <w:i/>
                <w:sz w:val="16"/>
                <w:szCs w:val="16"/>
              </w:rPr>
            </w:pPr>
            <w:r w:rsidRPr="0032458D">
              <w:rPr>
                <w:i/>
                <w:sz w:val="16"/>
                <w:szCs w:val="16"/>
              </w:rPr>
              <w:t>Итого</w:t>
            </w:r>
            <w:r w:rsidRPr="0032458D">
              <w:rPr>
                <w:i/>
                <w:sz w:val="16"/>
                <w:szCs w:val="16"/>
              </w:rPr>
              <w:br/>
              <w:t>(в %)</w:t>
            </w:r>
          </w:p>
        </w:tc>
      </w:tr>
      <w:tr w:rsidR="00716199" w:rsidRPr="00527FE7" w:rsidTr="00716199">
        <w:tc>
          <w:tcPr>
            <w:tcW w:w="1330" w:type="dxa"/>
            <w:tcBorders>
              <w:top w:val="single" w:sz="12" w:space="0" w:color="auto"/>
              <w:left w:val="nil"/>
              <w:bottom w:val="nil"/>
              <w:right w:val="nil"/>
            </w:tcBorders>
            <w:shd w:val="clear" w:color="auto" w:fill="auto"/>
            <w:noWrap/>
          </w:tcPr>
          <w:p w:rsidR="0032458D" w:rsidRPr="0032458D" w:rsidRDefault="00C90995" w:rsidP="0032458D">
            <w:pPr>
              <w:spacing w:before="40" w:after="40" w:line="220" w:lineRule="exact"/>
              <w:rPr>
                <w:sz w:val="18"/>
                <w:szCs w:val="18"/>
              </w:rPr>
            </w:pPr>
            <w:r>
              <w:rPr>
                <w:sz w:val="18"/>
                <w:szCs w:val="18"/>
              </w:rPr>
              <w:t>14–</w:t>
            </w:r>
            <w:r w:rsidR="0032458D" w:rsidRPr="0032458D">
              <w:rPr>
                <w:sz w:val="18"/>
                <w:szCs w:val="18"/>
              </w:rPr>
              <w:t>19</w:t>
            </w:r>
          </w:p>
        </w:tc>
        <w:tc>
          <w:tcPr>
            <w:tcW w:w="655" w:type="dxa"/>
            <w:tcBorders>
              <w:top w:val="single" w:sz="12" w:space="0" w:color="auto"/>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8</w:t>
            </w:r>
          </w:p>
        </w:tc>
        <w:tc>
          <w:tcPr>
            <w:tcW w:w="709" w:type="dxa"/>
            <w:tcBorders>
              <w:top w:val="single" w:sz="12" w:space="0" w:color="auto"/>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33</w:t>
            </w:r>
          </w:p>
        </w:tc>
        <w:tc>
          <w:tcPr>
            <w:tcW w:w="708" w:type="dxa"/>
            <w:tcBorders>
              <w:top w:val="single" w:sz="12" w:space="0" w:color="auto"/>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9</w:t>
            </w:r>
          </w:p>
        </w:tc>
        <w:tc>
          <w:tcPr>
            <w:tcW w:w="709" w:type="dxa"/>
            <w:tcBorders>
              <w:top w:val="single" w:sz="12" w:space="0" w:color="auto"/>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c>
          <w:tcPr>
            <w:tcW w:w="851" w:type="dxa"/>
            <w:gridSpan w:val="2"/>
            <w:tcBorders>
              <w:top w:val="single" w:sz="12" w:space="0" w:color="auto"/>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6</w:t>
            </w:r>
          </w:p>
        </w:tc>
        <w:tc>
          <w:tcPr>
            <w:tcW w:w="937" w:type="dxa"/>
            <w:tcBorders>
              <w:top w:val="single" w:sz="12" w:space="0" w:color="auto"/>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28</w:t>
            </w:r>
          </w:p>
        </w:tc>
        <w:tc>
          <w:tcPr>
            <w:tcW w:w="859" w:type="dxa"/>
            <w:tcBorders>
              <w:top w:val="single" w:sz="12" w:space="0" w:color="auto"/>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8</w:t>
            </w:r>
          </w:p>
        </w:tc>
        <w:tc>
          <w:tcPr>
            <w:tcW w:w="615" w:type="dxa"/>
            <w:tcBorders>
              <w:top w:val="single" w:sz="12" w:space="0" w:color="auto"/>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9</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C90995" w:rsidP="0032458D">
            <w:pPr>
              <w:spacing w:before="40" w:after="40" w:line="220" w:lineRule="exact"/>
              <w:rPr>
                <w:sz w:val="18"/>
                <w:szCs w:val="18"/>
              </w:rPr>
            </w:pPr>
            <w:r>
              <w:rPr>
                <w:sz w:val="18"/>
                <w:szCs w:val="18"/>
              </w:rPr>
              <w:t>20–</w:t>
            </w:r>
            <w:r w:rsidR="0032458D" w:rsidRPr="0032458D">
              <w:rPr>
                <w:sz w:val="18"/>
                <w:szCs w:val="18"/>
              </w:rPr>
              <w:t>24</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21</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34</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19</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20</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21</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37</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20</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21</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C90995" w:rsidP="0032458D">
            <w:pPr>
              <w:spacing w:before="40" w:after="40" w:line="220" w:lineRule="exact"/>
              <w:rPr>
                <w:sz w:val="18"/>
                <w:szCs w:val="18"/>
              </w:rPr>
            </w:pPr>
            <w:r>
              <w:rPr>
                <w:sz w:val="18"/>
                <w:szCs w:val="18"/>
              </w:rPr>
              <w:t>25–</w:t>
            </w:r>
            <w:r w:rsidR="0032458D" w:rsidRPr="0032458D">
              <w:rPr>
                <w:sz w:val="18"/>
                <w:szCs w:val="18"/>
              </w:rPr>
              <w:t>29</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17</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15</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14</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14</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17</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17</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14</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14</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32458D" w:rsidP="00C90995">
            <w:pPr>
              <w:spacing w:before="40" w:after="40" w:line="220" w:lineRule="exact"/>
              <w:rPr>
                <w:sz w:val="18"/>
                <w:szCs w:val="18"/>
              </w:rPr>
            </w:pPr>
            <w:r w:rsidRPr="0032458D">
              <w:rPr>
                <w:sz w:val="18"/>
                <w:szCs w:val="18"/>
              </w:rPr>
              <w:t>30</w:t>
            </w:r>
            <w:r w:rsidR="00C90995">
              <w:rPr>
                <w:sz w:val="18"/>
                <w:szCs w:val="18"/>
              </w:rPr>
              <w:t>–</w:t>
            </w:r>
            <w:r w:rsidRPr="0032458D">
              <w:rPr>
                <w:sz w:val="18"/>
                <w:szCs w:val="18"/>
              </w:rPr>
              <w:t>34</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13</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11</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13</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13</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13</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11</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12</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12</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32458D" w:rsidP="00C90995">
            <w:pPr>
              <w:spacing w:before="40" w:after="40" w:line="220" w:lineRule="exact"/>
              <w:rPr>
                <w:sz w:val="18"/>
                <w:szCs w:val="18"/>
              </w:rPr>
            </w:pPr>
            <w:r w:rsidRPr="0032458D">
              <w:rPr>
                <w:sz w:val="18"/>
                <w:szCs w:val="18"/>
              </w:rPr>
              <w:t>35</w:t>
            </w:r>
            <w:r w:rsidR="00C90995">
              <w:rPr>
                <w:sz w:val="18"/>
                <w:szCs w:val="18"/>
              </w:rPr>
              <w:t>–</w:t>
            </w:r>
            <w:r w:rsidRPr="0032458D">
              <w:rPr>
                <w:sz w:val="18"/>
                <w:szCs w:val="18"/>
              </w:rPr>
              <w:t>39</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6</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12</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12</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11</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5</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12</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12</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32458D" w:rsidP="00C90995">
            <w:pPr>
              <w:spacing w:before="40" w:after="40" w:line="220" w:lineRule="exact"/>
              <w:rPr>
                <w:sz w:val="18"/>
                <w:szCs w:val="18"/>
              </w:rPr>
            </w:pPr>
            <w:r w:rsidRPr="0032458D">
              <w:rPr>
                <w:sz w:val="18"/>
                <w:szCs w:val="18"/>
              </w:rPr>
              <w:t>40</w:t>
            </w:r>
            <w:r w:rsidR="00C90995">
              <w:rPr>
                <w:sz w:val="18"/>
                <w:szCs w:val="18"/>
              </w:rPr>
              <w:t>–</w:t>
            </w:r>
            <w:r w:rsidRPr="0032458D">
              <w:rPr>
                <w:sz w:val="18"/>
                <w:szCs w:val="18"/>
              </w:rPr>
              <w:t>44</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11</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11</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11</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32458D" w:rsidP="00C90995">
            <w:pPr>
              <w:spacing w:before="40" w:after="40" w:line="220" w:lineRule="exact"/>
              <w:rPr>
                <w:sz w:val="18"/>
                <w:szCs w:val="18"/>
              </w:rPr>
            </w:pPr>
            <w:r w:rsidRPr="0032458D">
              <w:rPr>
                <w:sz w:val="18"/>
                <w:szCs w:val="18"/>
              </w:rPr>
              <w:t>45</w:t>
            </w:r>
            <w:r w:rsidR="00C90995">
              <w:rPr>
                <w:sz w:val="18"/>
                <w:szCs w:val="18"/>
              </w:rPr>
              <w:t>–</w:t>
            </w:r>
            <w:r w:rsidRPr="0032458D">
              <w:rPr>
                <w:sz w:val="18"/>
                <w:szCs w:val="18"/>
              </w:rPr>
              <w:t>49</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0</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9</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9</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0</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10</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32458D" w:rsidP="00C90995">
            <w:pPr>
              <w:spacing w:before="40" w:after="40" w:line="220" w:lineRule="exact"/>
              <w:rPr>
                <w:sz w:val="18"/>
                <w:szCs w:val="18"/>
              </w:rPr>
            </w:pPr>
            <w:r w:rsidRPr="0032458D">
              <w:rPr>
                <w:sz w:val="18"/>
                <w:szCs w:val="18"/>
              </w:rPr>
              <w:t>50</w:t>
            </w:r>
            <w:r w:rsidR="00C90995">
              <w:rPr>
                <w:sz w:val="18"/>
                <w:szCs w:val="18"/>
              </w:rPr>
              <w:t>–</w:t>
            </w:r>
            <w:r w:rsidRPr="0032458D">
              <w:rPr>
                <w:sz w:val="18"/>
                <w:szCs w:val="18"/>
              </w:rPr>
              <w:t>54</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5</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0</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5</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5</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6</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6</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5</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32458D" w:rsidP="00C90995">
            <w:pPr>
              <w:spacing w:before="40" w:after="40" w:line="220" w:lineRule="exact"/>
              <w:rPr>
                <w:sz w:val="18"/>
                <w:szCs w:val="18"/>
              </w:rPr>
            </w:pPr>
            <w:r w:rsidRPr="0032458D">
              <w:rPr>
                <w:sz w:val="18"/>
                <w:szCs w:val="18"/>
              </w:rPr>
              <w:t>55</w:t>
            </w:r>
            <w:r w:rsidR="00C90995">
              <w:rPr>
                <w:sz w:val="18"/>
                <w:szCs w:val="18"/>
              </w:rPr>
              <w:t>–</w:t>
            </w:r>
            <w:r w:rsidRPr="0032458D">
              <w:rPr>
                <w:sz w:val="18"/>
                <w:szCs w:val="18"/>
              </w:rPr>
              <w:t>59</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2</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0</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3</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3</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2</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0</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4</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3</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32458D" w:rsidP="0032458D">
            <w:pPr>
              <w:spacing w:before="40" w:after="40" w:line="220" w:lineRule="exact"/>
              <w:rPr>
                <w:sz w:val="18"/>
                <w:szCs w:val="18"/>
              </w:rPr>
            </w:pPr>
            <w:r w:rsidRPr="0032458D">
              <w:rPr>
                <w:sz w:val="18"/>
                <w:szCs w:val="18"/>
              </w:rPr>
              <w:t>60+</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2</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0</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4</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sz w:val="18"/>
                <w:szCs w:val="18"/>
              </w:rPr>
            </w:pPr>
            <w:r w:rsidRPr="0032458D">
              <w:rPr>
                <w:sz w:val="18"/>
                <w:szCs w:val="18"/>
              </w:rPr>
              <w:t>3</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2</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0</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4</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sz w:val="18"/>
                <w:szCs w:val="18"/>
              </w:rPr>
            </w:pPr>
            <w:r w:rsidRPr="0032458D">
              <w:rPr>
                <w:sz w:val="18"/>
                <w:szCs w:val="18"/>
              </w:rPr>
              <w:t>3</w:t>
            </w:r>
          </w:p>
        </w:tc>
      </w:tr>
      <w:tr w:rsidR="00716199" w:rsidRPr="00527FE7" w:rsidTr="00716199">
        <w:tc>
          <w:tcPr>
            <w:tcW w:w="1330" w:type="dxa"/>
            <w:tcBorders>
              <w:top w:val="nil"/>
              <w:left w:val="nil"/>
              <w:bottom w:val="nil"/>
              <w:right w:val="nil"/>
            </w:tcBorders>
            <w:shd w:val="clear" w:color="auto" w:fill="auto"/>
            <w:noWrap/>
          </w:tcPr>
          <w:p w:rsidR="0032458D" w:rsidRPr="0032458D" w:rsidRDefault="0032458D" w:rsidP="0032458D">
            <w:pPr>
              <w:spacing w:before="40" w:after="40" w:line="220" w:lineRule="exact"/>
              <w:ind w:firstLine="284"/>
              <w:rPr>
                <w:b/>
                <w:sz w:val="18"/>
                <w:szCs w:val="18"/>
              </w:rPr>
            </w:pPr>
            <w:r w:rsidRPr="0032458D">
              <w:rPr>
                <w:b/>
                <w:sz w:val="18"/>
                <w:szCs w:val="18"/>
              </w:rPr>
              <w:t>Всего (в %)</w:t>
            </w:r>
          </w:p>
        </w:tc>
        <w:tc>
          <w:tcPr>
            <w:tcW w:w="655"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b/>
                <w:sz w:val="18"/>
                <w:szCs w:val="18"/>
              </w:rPr>
            </w:pPr>
            <w:r w:rsidRPr="0032458D">
              <w:rPr>
                <w:b/>
                <w:sz w:val="18"/>
                <w:szCs w:val="18"/>
              </w:rPr>
              <w:t>100</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b/>
                <w:sz w:val="18"/>
                <w:szCs w:val="18"/>
              </w:rPr>
            </w:pPr>
            <w:r w:rsidRPr="0032458D">
              <w:rPr>
                <w:b/>
                <w:sz w:val="18"/>
                <w:szCs w:val="18"/>
              </w:rPr>
              <w:t>100</w:t>
            </w:r>
          </w:p>
        </w:tc>
        <w:tc>
          <w:tcPr>
            <w:tcW w:w="708"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b/>
                <w:sz w:val="18"/>
                <w:szCs w:val="18"/>
              </w:rPr>
            </w:pPr>
            <w:r w:rsidRPr="0032458D">
              <w:rPr>
                <w:b/>
                <w:sz w:val="18"/>
                <w:szCs w:val="18"/>
              </w:rPr>
              <w:t>100</w:t>
            </w:r>
          </w:p>
        </w:tc>
        <w:tc>
          <w:tcPr>
            <w:tcW w:w="709" w:type="dxa"/>
            <w:tcBorders>
              <w:top w:val="nil"/>
              <w:left w:val="nil"/>
              <w:bottom w:val="nil"/>
              <w:right w:val="nil"/>
            </w:tcBorders>
            <w:shd w:val="clear" w:color="auto" w:fill="auto"/>
            <w:noWrap/>
            <w:vAlign w:val="bottom"/>
          </w:tcPr>
          <w:p w:rsidR="0032458D" w:rsidRPr="0032458D" w:rsidRDefault="0032458D" w:rsidP="0032458D">
            <w:pPr>
              <w:spacing w:before="40" w:after="40" w:line="220" w:lineRule="exact"/>
              <w:jc w:val="right"/>
              <w:rPr>
                <w:b/>
                <w:sz w:val="18"/>
                <w:szCs w:val="18"/>
              </w:rPr>
            </w:pPr>
            <w:r w:rsidRPr="0032458D">
              <w:rPr>
                <w:b/>
                <w:sz w:val="18"/>
                <w:szCs w:val="18"/>
              </w:rPr>
              <w:t>100</w:t>
            </w:r>
          </w:p>
        </w:tc>
        <w:tc>
          <w:tcPr>
            <w:tcW w:w="851" w:type="dxa"/>
            <w:gridSpan w:val="2"/>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b/>
                <w:sz w:val="18"/>
                <w:szCs w:val="18"/>
              </w:rPr>
            </w:pPr>
            <w:r w:rsidRPr="0032458D">
              <w:rPr>
                <w:b/>
                <w:sz w:val="18"/>
                <w:szCs w:val="18"/>
              </w:rPr>
              <w:t>100</w:t>
            </w:r>
          </w:p>
        </w:tc>
        <w:tc>
          <w:tcPr>
            <w:tcW w:w="937"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b/>
                <w:sz w:val="18"/>
                <w:szCs w:val="18"/>
              </w:rPr>
            </w:pPr>
            <w:r w:rsidRPr="0032458D">
              <w:rPr>
                <w:b/>
                <w:sz w:val="18"/>
                <w:szCs w:val="18"/>
              </w:rPr>
              <w:t>100</w:t>
            </w:r>
          </w:p>
        </w:tc>
        <w:tc>
          <w:tcPr>
            <w:tcW w:w="859"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b/>
                <w:sz w:val="18"/>
                <w:szCs w:val="18"/>
              </w:rPr>
            </w:pPr>
            <w:r w:rsidRPr="0032458D">
              <w:rPr>
                <w:b/>
                <w:sz w:val="18"/>
                <w:szCs w:val="18"/>
              </w:rPr>
              <w:t>100</w:t>
            </w:r>
          </w:p>
        </w:tc>
        <w:tc>
          <w:tcPr>
            <w:tcW w:w="615" w:type="dxa"/>
            <w:tcBorders>
              <w:top w:val="nil"/>
              <w:left w:val="nil"/>
              <w:bottom w:val="nil"/>
              <w:right w:val="nil"/>
            </w:tcBorders>
            <w:shd w:val="clear" w:color="auto" w:fill="auto"/>
            <w:vAlign w:val="bottom"/>
          </w:tcPr>
          <w:p w:rsidR="0032458D" w:rsidRPr="0032458D" w:rsidRDefault="0032458D" w:rsidP="0032458D">
            <w:pPr>
              <w:spacing w:before="40" w:after="40" w:line="220" w:lineRule="exact"/>
              <w:jc w:val="right"/>
              <w:rPr>
                <w:b/>
                <w:sz w:val="18"/>
                <w:szCs w:val="18"/>
              </w:rPr>
            </w:pPr>
            <w:r w:rsidRPr="0032458D">
              <w:rPr>
                <w:b/>
                <w:sz w:val="18"/>
                <w:szCs w:val="18"/>
              </w:rPr>
              <w:t>100</w:t>
            </w:r>
          </w:p>
        </w:tc>
      </w:tr>
      <w:tr w:rsidR="00716199" w:rsidRPr="00527FE7" w:rsidTr="00716199">
        <w:tc>
          <w:tcPr>
            <w:tcW w:w="1330" w:type="dxa"/>
            <w:tcBorders>
              <w:top w:val="nil"/>
              <w:left w:val="nil"/>
              <w:bottom w:val="single" w:sz="12" w:space="0" w:color="auto"/>
              <w:right w:val="nil"/>
            </w:tcBorders>
            <w:shd w:val="clear" w:color="auto" w:fill="auto"/>
            <w:noWrap/>
          </w:tcPr>
          <w:p w:rsidR="0032458D" w:rsidRPr="0032458D" w:rsidRDefault="0032458D" w:rsidP="0032458D">
            <w:pPr>
              <w:spacing w:before="40" w:after="40" w:line="220" w:lineRule="exact"/>
              <w:ind w:left="284"/>
              <w:rPr>
                <w:b/>
                <w:sz w:val="18"/>
                <w:szCs w:val="18"/>
              </w:rPr>
            </w:pPr>
            <w:r w:rsidRPr="0032458D">
              <w:rPr>
                <w:b/>
                <w:sz w:val="18"/>
                <w:szCs w:val="18"/>
              </w:rPr>
              <w:t xml:space="preserve">Всего </w:t>
            </w:r>
            <w:r>
              <w:rPr>
                <w:b/>
                <w:sz w:val="18"/>
                <w:szCs w:val="18"/>
              </w:rPr>
              <w:br/>
            </w:r>
            <w:r w:rsidRPr="0032458D">
              <w:rPr>
                <w:b/>
                <w:sz w:val="18"/>
                <w:szCs w:val="18"/>
              </w:rPr>
              <w:t>(число лиц)</w:t>
            </w:r>
          </w:p>
        </w:tc>
        <w:tc>
          <w:tcPr>
            <w:tcW w:w="655" w:type="dxa"/>
            <w:tcBorders>
              <w:top w:val="nil"/>
              <w:left w:val="nil"/>
              <w:bottom w:val="single" w:sz="12" w:space="0" w:color="auto"/>
              <w:right w:val="nil"/>
            </w:tcBorders>
            <w:shd w:val="clear" w:color="auto" w:fill="auto"/>
            <w:noWrap/>
            <w:vAlign w:val="bottom"/>
          </w:tcPr>
          <w:p w:rsidR="0032458D" w:rsidRPr="0032458D" w:rsidRDefault="0032458D" w:rsidP="0032458D">
            <w:pPr>
              <w:spacing w:before="40" w:after="40" w:line="220" w:lineRule="exact"/>
              <w:jc w:val="right"/>
              <w:rPr>
                <w:b/>
                <w:sz w:val="18"/>
                <w:szCs w:val="18"/>
              </w:rPr>
            </w:pPr>
            <w:r w:rsidRPr="0032458D">
              <w:rPr>
                <w:b/>
                <w:sz w:val="18"/>
                <w:szCs w:val="18"/>
              </w:rPr>
              <w:t>1</w:t>
            </w:r>
            <w:r w:rsidR="00AC018F">
              <w:rPr>
                <w:b/>
                <w:sz w:val="18"/>
                <w:szCs w:val="18"/>
              </w:rPr>
              <w:t> </w:t>
            </w:r>
            <w:r w:rsidRPr="0032458D">
              <w:rPr>
                <w:b/>
                <w:sz w:val="18"/>
                <w:szCs w:val="18"/>
              </w:rPr>
              <w:t>931</w:t>
            </w:r>
          </w:p>
        </w:tc>
        <w:tc>
          <w:tcPr>
            <w:tcW w:w="709" w:type="dxa"/>
            <w:tcBorders>
              <w:top w:val="nil"/>
              <w:left w:val="nil"/>
              <w:bottom w:val="single" w:sz="12" w:space="0" w:color="auto"/>
              <w:right w:val="nil"/>
            </w:tcBorders>
            <w:shd w:val="clear" w:color="auto" w:fill="auto"/>
            <w:noWrap/>
            <w:vAlign w:val="bottom"/>
          </w:tcPr>
          <w:p w:rsidR="0032458D" w:rsidRPr="0032458D" w:rsidRDefault="0032458D" w:rsidP="0032458D">
            <w:pPr>
              <w:spacing w:before="40" w:after="40" w:line="220" w:lineRule="exact"/>
              <w:jc w:val="right"/>
              <w:rPr>
                <w:b/>
                <w:sz w:val="18"/>
                <w:szCs w:val="18"/>
              </w:rPr>
            </w:pPr>
            <w:r w:rsidRPr="0032458D">
              <w:rPr>
                <w:b/>
                <w:sz w:val="18"/>
                <w:szCs w:val="18"/>
              </w:rPr>
              <w:t>640</w:t>
            </w:r>
          </w:p>
        </w:tc>
        <w:tc>
          <w:tcPr>
            <w:tcW w:w="708" w:type="dxa"/>
            <w:tcBorders>
              <w:top w:val="nil"/>
              <w:left w:val="nil"/>
              <w:bottom w:val="single" w:sz="12" w:space="0" w:color="auto"/>
              <w:right w:val="nil"/>
            </w:tcBorders>
            <w:shd w:val="clear" w:color="auto" w:fill="auto"/>
            <w:noWrap/>
            <w:vAlign w:val="bottom"/>
          </w:tcPr>
          <w:p w:rsidR="0032458D" w:rsidRPr="0032458D" w:rsidRDefault="0032458D" w:rsidP="0032458D">
            <w:pPr>
              <w:spacing w:before="40" w:after="40" w:line="220" w:lineRule="exact"/>
              <w:jc w:val="right"/>
              <w:rPr>
                <w:b/>
                <w:sz w:val="18"/>
                <w:szCs w:val="18"/>
              </w:rPr>
            </w:pPr>
            <w:r w:rsidRPr="0032458D">
              <w:rPr>
                <w:b/>
                <w:sz w:val="18"/>
                <w:szCs w:val="18"/>
              </w:rPr>
              <w:t>10 278</w:t>
            </w:r>
          </w:p>
        </w:tc>
        <w:tc>
          <w:tcPr>
            <w:tcW w:w="709" w:type="dxa"/>
            <w:tcBorders>
              <w:top w:val="nil"/>
              <w:left w:val="nil"/>
              <w:bottom w:val="single" w:sz="12" w:space="0" w:color="auto"/>
              <w:right w:val="nil"/>
            </w:tcBorders>
            <w:shd w:val="clear" w:color="auto" w:fill="auto"/>
            <w:noWrap/>
            <w:vAlign w:val="bottom"/>
          </w:tcPr>
          <w:p w:rsidR="0032458D" w:rsidRPr="0032458D" w:rsidRDefault="0032458D" w:rsidP="0032458D">
            <w:pPr>
              <w:spacing w:before="40" w:after="40" w:line="220" w:lineRule="exact"/>
              <w:jc w:val="right"/>
              <w:rPr>
                <w:b/>
                <w:sz w:val="18"/>
                <w:szCs w:val="18"/>
              </w:rPr>
            </w:pPr>
            <w:r w:rsidRPr="0032458D">
              <w:rPr>
                <w:b/>
                <w:sz w:val="18"/>
                <w:szCs w:val="18"/>
              </w:rPr>
              <w:t>12 849</w:t>
            </w:r>
          </w:p>
        </w:tc>
        <w:tc>
          <w:tcPr>
            <w:tcW w:w="851" w:type="dxa"/>
            <w:gridSpan w:val="2"/>
            <w:tcBorders>
              <w:top w:val="nil"/>
              <w:left w:val="nil"/>
              <w:bottom w:val="single" w:sz="12" w:space="0" w:color="auto"/>
              <w:right w:val="nil"/>
            </w:tcBorders>
            <w:shd w:val="clear" w:color="auto" w:fill="auto"/>
            <w:vAlign w:val="bottom"/>
          </w:tcPr>
          <w:p w:rsidR="0032458D" w:rsidRPr="0032458D" w:rsidRDefault="0032458D" w:rsidP="0032458D">
            <w:pPr>
              <w:spacing w:before="40" w:after="40" w:line="220" w:lineRule="exact"/>
              <w:jc w:val="right"/>
              <w:rPr>
                <w:b/>
                <w:sz w:val="18"/>
                <w:szCs w:val="18"/>
              </w:rPr>
            </w:pPr>
            <w:r w:rsidRPr="0032458D">
              <w:rPr>
                <w:b/>
                <w:sz w:val="18"/>
                <w:szCs w:val="18"/>
              </w:rPr>
              <w:t>2001</w:t>
            </w:r>
          </w:p>
        </w:tc>
        <w:tc>
          <w:tcPr>
            <w:tcW w:w="937" w:type="dxa"/>
            <w:tcBorders>
              <w:top w:val="nil"/>
              <w:left w:val="nil"/>
              <w:bottom w:val="single" w:sz="12" w:space="0" w:color="auto"/>
              <w:right w:val="nil"/>
            </w:tcBorders>
            <w:shd w:val="clear" w:color="auto" w:fill="auto"/>
            <w:vAlign w:val="bottom"/>
          </w:tcPr>
          <w:p w:rsidR="0032458D" w:rsidRPr="0032458D" w:rsidRDefault="0032458D" w:rsidP="0032458D">
            <w:pPr>
              <w:spacing w:before="40" w:after="40" w:line="220" w:lineRule="exact"/>
              <w:jc w:val="right"/>
              <w:rPr>
                <w:b/>
                <w:sz w:val="18"/>
                <w:szCs w:val="18"/>
              </w:rPr>
            </w:pPr>
            <w:r w:rsidRPr="0032458D">
              <w:rPr>
                <w:b/>
                <w:sz w:val="18"/>
                <w:szCs w:val="18"/>
              </w:rPr>
              <w:t>745</w:t>
            </w:r>
          </w:p>
        </w:tc>
        <w:tc>
          <w:tcPr>
            <w:tcW w:w="859" w:type="dxa"/>
            <w:tcBorders>
              <w:top w:val="nil"/>
              <w:left w:val="nil"/>
              <w:bottom w:val="single" w:sz="12" w:space="0" w:color="auto"/>
              <w:right w:val="nil"/>
            </w:tcBorders>
            <w:shd w:val="clear" w:color="auto" w:fill="auto"/>
            <w:vAlign w:val="bottom"/>
          </w:tcPr>
          <w:p w:rsidR="0032458D" w:rsidRPr="0032458D" w:rsidRDefault="0032458D" w:rsidP="0032458D">
            <w:pPr>
              <w:spacing w:before="40" w:after="40" w:line="220" w:lineRule="exact"/>
              <w:jc w:val="right"/>
              <w:rPr>
                <w:b/>
                <w:sz w:val="18"/>
                <w:szCs w:val="18"/>
              </w:rPr>
            </w:pPr>
            <w:r w:rsidRPr="0032458D">
              <w:rPr>
                <w:b/>
                <w:sz w:val="18"/>
                <w:szCs w:val="18"/>
              </w:rPr>
              <w:t>10 357</w:t>
            </w:r>
          </w:p>
        </w:tc>
        <w:tc>
          <w:tcPr>
            <w:tcW w:w="615" w:type="dxa"/>
            <w:tcBorders>
              <w:top w:val="nil"/>
              <w:left w:val="nil"/>
              <w:bottom w:val="single" w:sz="12" w:space="0" w:color="auto"/>
              <w:right w:val="nil"/>
            </w:tcBorders>
            <w:shd w:val="clear" w:color="auto" w:fill="auto"/>
            <w:vAlign w:val="bottom"/>
          </w:tcPr>
          <w:p w:rsidR="0032458D" w:rsidRPr="0032458D" w:rsidRDefault="0032458D" w:rsidP="0032458D">
            <w:pPr>
              <w:spacing w:before="40" w:after="40" w:line="220" w:lineRule="exact"/>
              <w:jc w:val="right"/>
              <w:rPr>
                <w:b/>
                <w:sz w:val="18"/>
                <w:szCs w:val="18"/>
              </w:rPr>
            </w:pPr>
            <w:r w:rsidRPr="0032458D">
              <w:rPr>
                <w:b/>
                <w:sz w:val="18"/>
                <w:szCs w:val="18"/>
              </w:rPr>
              <w:t>13 103</w:t>
            </w:r>
          </w:p>
        </w:tc>
      </w:tr>
    </w:tbl>
    <w:p w:rsidR="00907DF0" w:rsidRPr="0032458D" w:rsidRDefault="00907DF0" w:rsidP="00AC018F">
      <w:pPr>
        <w:pStyle w:val="SingleTxtGR"/>
        <w:spacing w:before="120" w:line="220" w:lineRule="exact"/>
        <w:ind w:firstLine="170"/>
        <w:jc w:val="left"/>
        <w:rPr>
          <w:sz w:val="18"/>
          <w:szCs w:val="18"/>
        </w:rPr>
      </w:pPr>
      <w:r w:rsidRPr="0032458D">
        <w:rPr>
          <w:i/>
          <w:sz w:val="18"/>
          <w:szCs w:val="18"/>
        </w:rPr>
        <w:t>Примечание</w:t>
      </w:r>
      <w:r w:rsidRPr="0032458D">
        <w:rPr>
          <w:sz w:val="18"/>
          <w:szCs w:val="18"/>
        </w:rPr>
        <w:t>. Данные об иностранцах не приводятся, и, соответственно, суммарные цифры будут отл</w:t>
      </w:r>
      <w:r w:rsidRPr="0032458D">
        <w:rPr>
          <w:sz w:val="18"/>
          <w:szCs w:val="18"/>
        </w:rPr>
        <w:t>и</w:t>
      </w:r>
      <w:r w:rsidRPr="0032458D">
        <w:rPr>
          <w:sz w:val="18"/>
          <w:szCs w:val="18"/>
        </w:rPr>
        <w:t>чаться от приведенных в таблице</w:t>
      </w:r>
      <w:r w:rsidR="00BA03D1">
        <w:rPr>
          <w:sz w:val="18"/>
          <w:szCs w:val="18"/>
        </w:rPr>
        <w:t> </w:t>
      </w:r>
      <w:r w:rsidRPr="0032458D">
        <w:rPr>
          <w:sz w:val="18"/>
          <w:szCs w:val="18"/>
        </w:rPr>
        <w:t>3.20.</w:t>
      </w:r>
    </w:p>
    <w:p w:rsidR="00907DF0" w:rsidRPr="002F77D6" w:rsidRDefault="00907DF0" w:rsidP="002F77D6">
      <w:pPr>
        <w:pStyle w:val="SingleTxtGR"/>
        <w:jc w:val="left"/>
        <w:rPr>
          <w:b/>
        </w:rPr>
      </w:pPr>
      <w:r>
        <w:t>Таблица 3.22</w:t>
      </w:r>
      <w:r w:rsidR="002F77D6" w:rsidRPr="002F77D6">
        <w:br/>
      </w:r>
      <w:r w:rsidRPr="002F77D6">
        <w:rPr>
          <w:b/>
        </w:rPr>
        <w:t>Данные об этнической принадлежности заключенных и поднадзорных в</w:t>
      </w:r>
      <w:r w:rsidR="00C90995">
        <w:rPr>
          <w:b/>
        </w:rPr>
        <w:t> </w:t>
      </w:r>
      <w:r w:rsidRPr="002F77D6">
        <w:rPr>
          <w:b/>
        </w:rPr>
        <w:t xml:space="preserve">разбивке по странам происхождения (по состоянию на 29 ноября </w:t>
      </w:r>
      <w:r w:rsidR="00C90995">
        <w:rPr>
          <w:b/>
        </w:rPr>
        <w:br/>
      </w:r>
      <w:r w:rsidRPr="002F77D6">
        <w:rPr>
          <w:b/>
        </w:rPr>
        <w:t>2011 г</w:t>
      </w:r>
      <w:r w:rsidRPr="002F77D6">
        <w:rPr>
          <w:b/>
        </w:rPr>
        <w:t>о</w:t>
      </w:r>
      <w:r w:rsidRPr="002F77D6">
        <w:rPr>
          <w:b/>
        </w:rPr>
        <w:t>да)</w:t>
      </w:r>
    </w:p>
    <w:tbl>
      <w:tblPr>
        <w:tblW w:w="7555" w:type="dxa"/>
        <w:tblInd w:w="1134" w:type="dxa"/>
        <w:tblBorders>
          <w:top w:val="single" w:sz="4" w:space="0" w:color="auto"/>
        </w:tblBorders>
        <w:tblLayout w:type="fixed"/>
        <w:tblCellMar>
          <w:left w:w="0" w:type="dxa"/>
          <w:right w:w="0" w:type="dxa"/>
        </w:tblCellMar>
        <w:tblLook w:val="00A0"/>
      </w:tblPr>
      <w:tblGrid>
        <w:gridCol w:w="3444"/>
        <w:gridCol w:w="1064"/>
        <w:gridCol w:w="923"/>
        <w:gridCol w:w="994"/>
        <w:gridCol w:w="1130"/>
      </w:tblGrid>
      <w:tr w:rsidR="00AC018F" w:rsidRPr="00716199" w:rsidTr="00AC018F">
        <w:trPr>
          <w:trHeight w:val="240"/>
          <w:tblHeader/>
        </w:trPr>
        <w:tc>
          <w:tcPr>
            <w:tcW w:w="2279" w:type="pct"/>
            <w:tcBorders>
              <w:top w:val="single" w:sz="4" w:space="0" w:color="auto"/>
              <w:bottom w:val="single" w:sz="12" w:space="0" w:color="auto"/>
            </w:tcBorders>
            <w:shd w:val="clear" w:color="auto" w:fill="auto"/>
            <w:noWrap/>
            <w:vAlign w:val="bottom"/>
          </w:tcPr>
          <w:p w:rsidR="00716199" w:rsidRPr="00716199" w:rsidRDefault="00716199" w:rsidP="00716199">
            <w:pPr>
              <w:spacing w:before="80" w:after="80" w:line="200" w:lineRule="exact"/>
              <w:rPr>
                <w:i/>
                <w:sz w:val="16"/>
                <w:szCs w:val="16"/>
              </w:rPr>
            </w:pPr>
            <w:r w:rsidRPr="00716199">
              <w:rPr>
                <w:i/>
                <w:sz w:val="16"/>
                <w:szCs w:val="16"/>
              </w:rPr>
              <w:t>Страна происхождения</w:t>
            </w:r>
          </w:p>
        </w:tc>
        <w:tc>
          <w:tcPr>
            <w:tcW w:w="704" w:type="pct"/>
            <w:tcBorders>
              <w:top w:val="single" w:sz="4" w:space="0" w:color="auto"/>
              <w:bottom w:val="single" w:sz="12" w:space="0" w:color="auto"/>
            </w:tcBorders>
            <w:shd w:val="clear" w:color="auto" w:fill="auto"/>
            <w:noWrap/>
            <w:vAlign w:val="bottom"/>
          </w:tcPr>
          <w:p w:rsidR="00716199" w:rsidRPr="00716199" w:rsidRDefault="00716199" w:rsidP="00716199">
            <w:pPr>
              <w:spacing w:before="80" w:after="80" w:line="200" w:lineRule="exact"/>
              <w:jc w:val="right"/>
              <w:rPr>
                <w:i/>
                <w:sz w:val="16"/>
                <w:szCs w:val="16"/>
              </w:rPr>
            </w:pPr>
            <w:r w:rsidRPr="00716199">
              <w:rPr>
                <w:i/>
                <w:sz w:val="16"/>
                <w:szCs w:val="16"/>
              </w:rPr>
              <w:t>Иммигранты</w:t>
            </w:r>
          </w:p>
        </w:tc>
        <w:tc>
          <w:tcPr>
            <w:tcW w:w="611" w:type="pct"/>
            <w:tcBorders>
              <w:top w:val="single" w:sz="4" w:space="0" w:color="auto"/>
              <w:bottom w:val="single" w:sz="12" w:space="0" w:color="auto"/>
            </w:tcBorders>
            <w:shd w:val="clear" w:color="auto" w:fill="auto"/>
            <w:noWrap/>
            <w:vAlign w:val="bottom"/>
          </w:tcPr>
          <w:p w:rsidR="00716199" w:rsidRPr="00716199" w:rsidRDefault="00716199" w:rsidP="00716199">
            <w:pPr>
              <w:spacing w:before="80" w:after="80" w:line="200" w:lineRule="exact"/>
              <w:jc w:val="right"/>
              <w:rPr>
                <w:i/>
                <w:sz w:val="16"/>
                <w:szCs w:val="16"/>
              </w:rPr>
            </w:pPr>
            <w:r w:rsidRPr="00716199">
              <w:rPr>
                <w:i/>
                <w:sz w:val="16"/>
                <w:szCs w:val="16"/>
              </w:rPr>
              <w:t>Пото</w:t>
            </w:r>
            <w:r w:rsidRPr="00716199">
              <w:rPr>
                <w:i/>
                <w:sz w:val="16"/>
                <w:szCs w:val="16"/>
              </w:rPr>
              <w:t>м</w:t>
            </w:r>
            <w:r w:rsidRPr="00716199">
              <w:rPr>
                <w:i/>
                <w:sz w:val="16"/>
                <w:szCs w:val="16"/>
              </w:rPr>
              <w:t>ки</w:t>
            </w:r>
          </w:p>
        </w:tc>
        <w:tc>
          <w:tcPr>
            <w:tcW w:w="658" w:type="pct"/>
            <w:tcBorders>
              <w:top w:val="single" w:sz="4" w:space="0" w:color="auto"/>
              <w:bottom w:val="single" w:sz="12" w:space="0" w:color="auto"/>
            </w:tcBorders>
            <w:shd w:val="clear" w:color="auto" w:fill="auto"/>
            <w:noWrap/>
            <w:vAlign w:val="bottom"/>
          </w:tcPr>
          <w:p w:rsidR="00716199" w:rsidRPr="00716199" w:rsidRDefault="00716199" w:rsidP="00716199">
            <w:pPr>
              <w:spacing w:before="80" w:after="80" w:line="200" w:lineRule="exact"/>
              <w:jc w:val="right"/>
              <w:rPr>
                <w:i/>
                <w:sz w:val="16"/>
                <w:szCs w:val="16"/>
              </w:rPr>
            </w:pPr>
            <w:r w:rsidRPr="00716199">
              <w:rPr>
                <w:i/>
                <w:sz w:val="16"/>
                <w:szCs w:val="16"/>
              </w:rPr>
              <w:t>Датчане</w:t>
            </w:r>
          </w:p>
        </w:tc>
        <w:tc>
          <w:tcPr>
            <w:tcW w:w="748" w:type="pct"/>
            <w:tcBorders>
              <w:top w:val="single" w:sz="4" w:space="0" w:color="auto"/>
              <w:bottom w:val="single" w:sz="12" w:space="0" w:color="auto"/>
            </w:tcBorders>
            <w:shd w:val="clear" w:color="auto" w:fill="auto"/>
            <w:noWrap/>
            <w:vAlign w:val="bottom"/>
          </w:tcPr>
          <w:p w:rsidR="00716199" w:rsidRPr="00716199" w:rsidRDefault="00716199" w:rsidP="00716199">
            <w:pPr>
              <w:spacing w:before="80" w:after="80" w:line="200" w:lineRule="exact"/>
              <w:jc w:val="right"/>
              <w:rPr>
                <w:i/>
                <w:sz w:val="16"/>
                <w:szCs w:val="16"/>
              </w:rPr>
            </w:pPr>
            <w:r w:rsidRPr="00716199">
              <w:rPr>
                <w:i/>
                <w:sz w:val="16"/>
                <w:szCs w:val="16"/>
              </w:rPr>
              <w:t>Итого</w:t>
            </w:r>
          </w:p>
        </w:tc>
      </w:tr>
      <w:tr w:rsidR="00AC018F" w:rsidRPr="003830B1" w:rsidTr="00AC018F">
        <w:trPr>
          <w:trHeight w:val="240"/>
        </w:trPr>
        <w:tc>
          <w:tcPr>
            <w:tcW w:w="2279" w:type="pct"/>
            <w:tcBorders>
              <w:top w:val="single" w:sz="12" w:space="0" w:color="auto"/>
              <w:bottom w:val="single" w:sz="4" w:space="0" w:color="auto"/>
            </w:tcBorders>
            <w:shd w:val="clear" w:color="auto" w:fill="auto"/>
            <w:noWrap/>
          </w:tcPr>
          <w:p w:rsidR="00716199" w:rsidRPr="00716199" w:rsidRDefault="00716199" w:rsidP="00716199">
            <w:pPr>
              <w:spacing w:before="40" w:after="40" w:line="220" w:lineRule="exact"/>
              <w:rPr>
                <w:sz w:val="18"/>
                <w:szCs w:val="18"/>
              </w:rPr>
            </w:pPr>
            <w:r w:rsidRPr="00716199">
              <w:rPr>
                <w:sz w:val="18"/>
                <w:szCs w:val="18"/>
              </w:rPr>
              <w:t>Дания</w:t>
            </w:r>
          </w:p>
        </w:tc>
        <w:tc>
          <w:tcPr>
            <w:tcW w:w="704" w:type="pct"/>
            <w:tcBorders>
              <w:top w:val="single" w:sz="12"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611" w:type="pct"/>
            <w:tcBorders>
              <w:top w:val="single" w:sz="12"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658" w:type="pct"/>
            <w:tcBorders>
              <w:top w:val="single" w:sz="12"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10 357</w:t>
            </w:r>
          </w:p>
        </w:tc>
        <w:tc>
          <w:tcPr>
            <w:tcW w:w="748" w:type="pct"/>
            <w:tcBorders>
              <w:top w:val="single" w:sz="12"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10 357</w:t>
            </w:r>
          </w:p>
        </w:tc>
      </w:tr>
      <w:tr w:rsidR="00AC018F" w:rsidRPr="003830B1" w:rsidTr="00AC018F">
        <w:trPr>
          <w:trHeight w:val="240"/>
        </w:trPr>
        <w:tc>
          <w:tcPr>
            <w:tcW w:w="2279" w:type="pct"/>
            <w:tcBorders>
              <w:top w:val="single" w:sz="4" w:space="0" w:color="auto"/>
              <w:bottom w:val="single" w:sz="4" w:space="0" w:color="auto"/>
            </w:tcBorders>
            <w:shd w:val="clear" w:color="auto" w:fill="auto"/>
            <w:noWrap/>
          </w:tcPr>
          <w:p w:rsidR="00716199" w:rsidRPr="00716199" w:rsidRDefault="00716199" w:rsidP="00716199">
            <w:pPr>
              <w:spacing w:before="40" w:after="40" w:line="220" w:lineRule="exact"/>
              <w:rPr>
                <w:sz w:val="18"/>
                <w:szCs w:val="18"/>
              </w:rPr>
            </w:pPr>
            <w:r w:rsidRPr="00716199">
              <w:rPr>
                <w:sz w:val="18"/>
                <w:szCs w:val="18"/>
              </w:rPr>
              <w:t>Государства – члены ЕС</w:t>
            </w:r>
          </w:p>
        </w:tc>
        <w:tc>
          <w:tcPr>
            <w:tcW w:w="704" w:type="pct"/>
            <w:tcBorders>
              <w:top w:val="single" w:sz="4"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182</w:t>
            </w:r>
          </w:p>
        </w:tc>
        <w:tc>
          <w:tcPr>
            <w:tcW w:w="611" w:type="pct"/>
            <w:tcBorders>
              <w:top w:val="single" w:sz="4"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30</w:t>
            </w:r>
          </w:p>
        </w:tc>
        <w:tc>
          <w:tcPr>
            <w:tcW w:w="658" w:type="pct"/>
            <w:tcBorders>
              <w:top w:val="single" w:sz="4"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top w:val="single" w:sz="4"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212</w:t>
            </w:r>
          </w:p>
        </w:tc>
      </w:tr>
      <w:tr w:rsidR="00AC018F" w:rsidRPr="003830B1" w:rsidTr="00AC018F">
        <w:trPr>
          <w:trHeight w:val="240"/>
        </w:trPr>
        <w:tc>
          <w:tcPr>
            <w:tcW w:w="2279" w:type="pct"/>
            <w:tcBorders>
              <w:top w:val="single" w:sz="4" w:space="0" w:color="auto"/>
            </w:tcBorders>
            <w:shd w:val="clear" w:color="auto" w:fill="auto"/>
            <w:noWrap/>
          </w:tcPr>
          <w:p w:rsidR="00716199" w:rsidRPr="00716199" w:rsidRDefault="00716199" w:rsidP="005D5DE9">
            <w:pPr>
              <w:spacing w:before="40" w:after="40" w:line="220" w:lineRule="exact"/>
              <w:ind w:left="284"/>
              <w:rPr>
                <w:sz w:val="18"/>
                <w:szCs w:val="18"/>
              </w:rPr>
            </w:pPr>
            <w:r w:rsidRPr="00716199">
              <w:rPr>
                <w:sz w:val="18"/>
                <w:szCs w:val="18"/>
              </w:rPr>
              <w:t>В том числе Польша</w:t>
            </w:r>
          </w:p>
        </w:tc>
        <w:tc>
          <w:tcPr>
            <w:tcW w:w="704" w:type="pct"/>
            <w:tcBorders>
              <w:top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49</w:t>
            </w:r>
          </w:p>
        </w:tc>
        <w:tc>
          <w:tcPr>
            <w:tcW w:w="611" w:type="pct"/>
            <w:tcBorders>
              <w:top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c>
          <w:tcPr>
            <w:tcW w:w="658" w:type="pct"/>
            <w:tcBorders>
              <w:top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top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54</w:t>
            </w:r>
          </w:p>
        </w:tc>
      </w:tr>
      <w:tr w:rsidR="00AC018F" w:rsidRPr="003830B1" w:rsidTr="00AC018F">
        <w:trPr>
          <w:trHeight w:val="240"/>
        </w:trPr>
        <w:tc>
          <w:tcPr>
            <w:tcW w:w="2279" w:type="pct"/>
            <w:tcBorders>
              <w:bottom w:val="nil"/>
            </w:tcBorders>
            <w:shd w:val="clear" w:color="auto" w:fill="auto"/>
            <w:noWrap/>
          </w:tcPr>
          <w:p w:rsidR="00716199" w:rsidRPr="00716199" w:rsidRDefault="00716199" w:rsidP="005D5DE9">
            <w:pPr>
              <w:spacing w:before="40" w:after="40" w:line="220" w:lineRule="exact"/>
              <w:ind w:left="284"/>
              <w:rPr>
                <w:sz w:val="18"/>
                <w:szCs w:val="18"/>
              </w:rPr>
            </w:pPr>
            <w:r>
              <w:rPr>
                <w:sz w:val="18"/>
                <w:szCs w:val="18"/>
              </w:rPr>
              <w:sym w:font="Symbol" w:char="F0B7"/>
            </w:r>
            <w:r w:rsidR="00C41FF0">
              <w:rPr>
                <w:sz w:val="18"/>
                <w:szCs w:val="18"/>
              </w:rPr>
              <w:tab/>
            </w:r>
            <w:r w:rsidRPr="00716199">
              <w:rPr>
                <w:sz w:val="18"/>
                <w:szCs w:val="18"/>
              </w:rPr>
              <w:t>Германия</w:t>
            </w:r>
          </w:p>
        </w:tc>
        <w:tc>
          <w:tcPr>
            <w:tcW w:w="704" w:type="pct"/>
            <w:tcBorders>
              <w:bottom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35</w:t>
            </w:r>
          </w:p>
        </w:tc>
        <w:tc>
          <w:tcPr>
            <w:tcW w:w="611" w:type="pct"/>
            <w:tcBorders>
              <w:bottom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c>
          <w:tcPr>
            <w:tcW w:w="658" w:type="pct"/>
            <w:tcBorders>
              <w:bottom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bottom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40</w:t>
            </w:r>
          </w:p>
        </w:tc>
      </w:tr>
      <w:tr w:rsidR="00AC018F" w:rsidRPr="003830B1" w:rsidTr="00AC018F">
        <w:trPr>
          <w:trHeight w:val="240"/>
        </w:trPr>
        <w:tc>
          <w:tcPr>
            <w:tcW w:w="2279" w:type="pct"/>
            <w:tcBorders>
              <w:top w:val="nil"/>
              <w:left w:val="nil"/>
              <w:bottom w:val="nil"/>
              <w:right w:val="nil"/>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Соединенное Королевство</w:t>
            </w:r>
          </w:p>
        </w:tc>
        <w:tc>
          <w:tcPr>
            <w:tcW w:w="704"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17</w:t>
            </w:r>
          </w:p>
        </w:tc>
        <w:tc>
          <w:tcPr>
            <w:tcW w:w="611"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6</w:t>
            </w:r>
          </w:p>
        </w:tc>
        <w:tc>
          <w:tcPr>
            <w:tcW w:w="658"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23</w:t>
            </w:r>
          </w:p>
        </w:tc>
      </w:tr>
      <w:tr w:rsidR="00AC018F" w:rsidRPr="003830B1" w:rsidTr="00AC018F">
        <w:trPr>
          <w:trHeight w:val="240"/>
        </w:trPr>
        <w:tc>
          <w:tcPr>
            <w:tcW w:w="2279" w:type="pct"/>
            <w:tcBorders>
              <w:top w:val="nil"/>
              <w:left w:val="nil"/>
              <w:bottom w:val="nil"/>
              <w:right w:val="nil"/>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Швеция</w:t>
            </w:r>
          </w:p>
        </w:tc>
        <w:tc>
          <w:tcPr>
            <w:tcW w:w="704"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17</w:t>
            </w:r>
          </w:p>
        </w:tc>
        <w:tc>
          <w:tcPr>
            <w:tcW w:w="611"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c>
          <w:tcPr>
            <w:tcW w:w="658"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22</w:t>
            </w:r>
          </w:p>
        </w:tc>
      </w:tr>
      <w:tr w:rsidR="00AC018F" w:rsidRPr="003830B1" w:rsidTr="00AC018F">
        <w:trPr>
          <w:trHeight w:val="240"/>
        </w:trPr>
        <w:tc>
          <w:tcPr>
            <w:tcW w:w="2279" w:type="pct"/>
            <w:tcBorders>
              <w:top w:val="nil"/>
              <w:left w:val="nil"/>
              <w:bottom w:val="nil"/>
              <w:right w:val="nil"/>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Румыния</w:t>
            </w:r>
          </w:p>
        </w:tc>
        <w:tc>
          <w:tcPr>
            <w:tcW w:w="704"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12</w:t>
            </w:r>
          </w:p>
        </w:tc>
        <w:tc>
          <w:tcPr>
            <w:tcW w:w="611"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w:t>
            </w:r>
          </w:p>
        </w:tc>
        <w:tc>
          <w:tcPr>
            <w:tcW w:w="658"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top w:val="nil"/>
              <w:left w:val="nil"/>
              <w:bottom w:val="nil"/>
              <w:right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13</w:t>
            </w:r>
          </w:p>
        </w:tc>
      </w:tr>
      <w:tr w:rsidR="00AC018F" w:rsidRPr="003830B1" w:rsidTr="00AC018F">
        <w:trPr>
          <w:trHeight w:val="240"/>
        </w:trPr>
        <w:tc>
          <w:tcPr>
            <w:tcW w:w="2279" w:type="pct"/>
            <w:tcBorders>
              <w:top w:val="nil"/>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Литва</w:t>
            </w:r>
          </w:p>
        </w:tc>
        <w:tc>
          <w:tcPr>
            <w:tcW w:w="704" w:type="pct"/>
            <w:tcBorders>
              <w:top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9</w:t>
            </w:r>
          </w:p>
        </w:tc>
        <w:tc>
          <w:tcPr>
            <w:tcW w:w="611" w:type="pct"/>
            <w:tcBorders>
              <w:top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658" w:type="pct"/>
            <w:tcBorders>
              <w:top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top w:val="nil"/>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9</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Финляндия</w:t>
            </w:r>
          </w:p>
        </w:tc>
        <w:tc>
          <w:tcPr>
            <w:tcW w:w="704"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3</w:t>
            </w:r>
          </w:p>
        </w:tc>
        <w:tc>
          <w:tcPr>
            <w:tcW w:w="611"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4</w:t>
            </w:r>
          </w:p>
        </w:tc>
        <w:tc>
          <w:tcPr>
            <w:tcW w:w="65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7</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Латвия</w:t>
            </w:r>
          </w:p>
        </w:tc>
        <w:tc>
          <w:tcPr>
            <w:tcW w:w="704"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6</w:t>
            </w:r>
          </w:p>
        </w:tc>
        <w:tc>
          <w:tcPr>
            <w:tcW w:w="611"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6</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Франция</w:t>
            </w:r>
          </w:p>
        </w:tc>
        <w:tc>
          <w:tcPr>
            <w:tcW w:w="704"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Италия</w:t>
            </w:r>
          </w:p>
        </w:tc>
        <w:tc>
          <w:tcPr>
            <w:tcW w:w="704"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Нидерланды</w:t>
            </w:r>
          </w:p>
        </w:tc>
        <w:tc>
          <w:tcPr>
            <w:tcW w:w="704"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Испания</w:t>
            </w:r>
          </w:p>
        </w:tc>
        <w:tc>
          <w:tcPr>
            <w:tcW w:w="704"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w:t>
            </w:r>
          </w:p>
        </w:tc>
      </w:tr>
      <w:tr w:rsidR="00AC018F" w:rsidRPr="003830B1" w:rsidTr="00AC018F">
        <w:trPr>
          <w:trHeight w:val="240"/>
        </w:trPr>
        <w:tc>
          <w:tcPr>
            <w:tcW w:w="2279" w:type="pct"/>
            <w:tcBorders>
              <w:bottom w:val="single" w:sz="4" w:space="0" w:color="auto"/>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Прочие государства – члены ЕС</w:t>
            </w:r>
          </w:p>
        </w:tc>
        <w:tc>
          <w:tcPr>
            <w:tcW w:w="704" w:type="pct"/>
            <w:tcBorders>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14</w:t>
            </w:r>
          </w:p>
        </w:tc>
        <w:tc>
          <w:tcPr>
            <w:tcW w:w="611" w:type="pct"/>
            <w:tcBorders>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4</w:t>
            </w:r>
          </w:p>
        </w:tc>
        <w:tc>
          <w:tcPr>
            <w:tcW w:w="658" w:type="pct"/>
            <w:tcBorders>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18</w:t>
            </w:r>
          </w:p>
        </w:tc>
      </w:tr>
      <w:tr w:rsidR="00AC018F" w:rsidRPr="003830B1" w:rsidTr="00AC018F">
        <w:trPr>
          <w:trHeight w:val="240"/>
        </w:trPr>
        <w:tc>
          <w:tcPr>
            <w:tcW w:w="2279" w:type="pct"/>
            <w:tcBorders>
              <w:top w:val="single" w:sz="4" w:space="0" w:color="auto"/>
              <w:bottom w:val="single" w:sz="4" w:space="0" w:color="auto"/>
            </w:tcBorders>
            <w:shd w:val="clear" w:color="auto" w:fill="auto"/>
            <w:noWrap/>
          </w:tcPr>
          <w:p w:rsidR="00716199" w:rsidRPr="00716199" w:rsidRDefault="00716199" w:rsidP="00C41FF0">
            <w:pPr>
              <w:spacing w:before="40" w:after="40" w:line="220" w:lineRule="exact"/>
              <w:rPr>
                <w:sz w:val="18"/>
                <w:szCs w:val="18"/>
              </w:rPr>
            </w:pPr>
            <w:r w:rsidRPr="00716199">
              <w:rPr>
                <w:sz w:val="18"/>
                <w:szCs w:val="18"/>
              </w:rPr>
              <w:t>Прочие европейские страны</w:t>
            </w:r>
          </w:p>
        </w:tc>
        <w:tc>
          <w:tcPr>
            <w:tcW w:w="704"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495</w:t>
            </w:r>
          </w:p>
        </w:tc>
        <w:tc>
          <w:tcPr>
            <w:tcW w:w="611"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282</w:t>
            </w:r>
          </w:p>
        </w:tc>
        <w:tc>
          <w:tcPr>
            <w:tcW w:w="658"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777</w:t>
            </w:r>
          </w:p>
        </w:tc>
      </w:tr>
      <w:tr w:rsidR="00AC018F" w:rsidRPr="003830B1" w:rsidTr="00AC018F">
        <w:trPr>
          <w:trHeight w:val="240"/>
        </w:trPr>
        <w:tc>
          <w:tcPr>
            <w:tcW w:w="2279" w:type="pct"/>
            <w:tcBorders>
              <w:top w:val="single" w:sz="4" w:space="0" w:color="auto"/>
            </w:tcBorders>
            <w:shd w:val="clear" w:color="auto" w:fill="auto"/>
            <w:noWrap/>
          </w:tcPr>
          <w:p w:rsidR="00716199" w:rsidRPr="00716199" w:rsidRDefault="00716199" w:rsidP="005D5DE9">
            <w:pPr>
              <w:spacing w:before="40" w:after="40" w:line="220" w:lineRule="exact"/>
              <w:ind w:left="284"/>
              <w:rPr>
                <w:sz w:val="18"/>
                <w:szCs w:val="18"/>
              </w:rPr>
            </w:pPr>
            <w:r w:rsidRPr="00716199">
              <w:rPr>
                <w:sz w:val="18"/>
                <w:szCs w:val="18"/>
              </w:rPr>
              <w:t>В том числе Турция</w:t>
            </w:r>
          </w:p>
        </w:tc>
        <w:tc>
          <w:tcPr>
            <w:tcW w:w="704" w:type="pct"/>
            <w:tcBorders>
              <w:top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157</w:t>
            </w:r>
          </w:p>
        </w:tc>
        <w:tc>
          <w:tcPr>
            <w:tcW w:w="611" w:type="pct"/>
            <w:tcBorders>
              <w:top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217</w:t>
            </w:r>
          </w:p>
        </w:tc>
        <w:tc>
          <w:tcPr>
            <w:tcW w:w="658" w:type="pct"/>
            <w:tcBorders>
              <w:top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tcBorders>
              <w:top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374</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Югославия (бывшая)</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109</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54</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163</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Босния и Герцеговина</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106</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107</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Норвегия</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19</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5</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24</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Исландия</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17</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17</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Россия</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17</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17</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Югославия (бывшая)</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15</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15</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Македония (БЮРМ)</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12</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3</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15</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Армения</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7</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7</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Советский Союз (бывший)</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6</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7</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Украина</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6</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7</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Косово</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5</w:t>
            </w:r>
          </w:p>
        </w:tc>
      </w:tr>
      <w:tr w:rsidR="00AC018F" w:rsidRPr="003830B1"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Сербия и Черногория</w:t>
            </w:r>
          </w:p>
        </w:tc>
        <w:tc>
          <w:tcPr>
            <w:tcW w:w="704"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5</w:t>
            </w:r>
          </w:p>
        </w:tc>
      </w:tr>
      <w:tr w:rsidR="00AC018F" w:rsidRPr="00C41FF0" w:rsidTr="00AC018F">
        <w:trPr>
          <w:trHeight w:val="240"/>
        </w:trPr>
        <w:tc>
          <w:tcPr>
            <w:tcW w:w="2279" w:type="pct"/>
            <w:tcBorders>
              <w:bottom w:val="single" w:sz="4" w:space="0" w:color="auto"/>
            </w:tcBorders>
            <w:shd w:val="clear" w:color="auto" w:fill="auto"/>
            <w:noWrap/>
          </w:tcPr>
          <w:p w:rsidR="00716199" w:rsidRPr="00716199" w:rsidRDefault="00C41FF0" w:rsidP="005D5DE9">
            <w:pPr>
              <w:spacing w:before="40" w:after="40" w:line="220" w:lineRule="exact"/>
              <w:ind w:left="567" w:hanging="283"/>
              <w:rPr>
                <w:sz w:val="18"/>
                <w:szCs w:val="18"/>
              </w:rPr>
            </w:pPr>
            <w:r>
              <w:rPr>
                <w:sz w:val="18"/>
                <w:szCs w:val="18"/>
              </w:rPr>
              <w:sym w:font="Symbol" w:char="F0B7"/>
            </w:r>
            <w:r>
              <w:rPr>
                <w:sz w:val="18"/>
                <w:szCs w:val="18"/>
              </w:rPr>
              <w:tab/>
            </w:r>
            <w:r w:rsidR="00716199" w:rsidRPr="00716199">
              <w:rPr>
                <w:sz w:val="18"/>
                <w:szCs w:val="18"/>
              </w:rPr>
              <w:t>Другие, не указанные в</w:t>
            </w:r>
            <w:r w:rsidR="00716199" w:rsidRPr="00716199">
              <w:rPr>
                <w:sz w:val="18"/>
                <w:szCs w:val="18"/>
              </w:rPr>
              <w:t>ы</w:t>
            </w:r>
            <w:r w:rsidR="00716199" w:rsidRPr="00716199">
              <w:rPr>
                <w:sz w:val="18"/>
                <w:szCs w:val="18"/>
              </w:rPr>
              <w:t xml:space="preserve">ше, </w:t>
            </w:r>
            <w:r w:rsidR="00AC018F">
              <w:rPr>
                <w:sz w:val="18"/>
                <w:szCs w:val="18"/>
              </w:rPr>
              <w:br/>
            </w:r>
            <w:r w:rsidR="00716199" w:rsidRPr="00716199">
              <w:rPr>
                <w:sz w:val="18"/>
                <w:szCs w:val="18"/>
              </w:rPr>
              <w:t>евр</w:t>
            </w:r>
            <w:r w:rsidR="00716199" w:rsidRPr="00716199">
              <w:rPr>
                <w:sz w:val="18"/>
                <w:szCs w:val="18"/>
              </w:rPr>
              <w:t>о</w:t>
            </w:r>
            <w:r w:rsidR="00716199" w:rsidRPr="00716199">
              <w:rPr>
                <w:sz w:val="18"/>
                <w:szCs w:val="18"/>
              </w:rPr>
              <w:t>пейские страны</w:t>
            </w:r>
          </w:p>
        </w:tc>
        <w:tc>
          <w:tcPr>
            <w:tcW w:w="704"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w:t>
            </w:r>
          </w:p>
        </w:tc>
        <w:tc>
          <w:tcPr>
            <w:tcW w:w="611"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658"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w:t>
            </w:r>
          </w:p>
        </w:tc>
      </w:tr>
      <w:tr w:rsidR="00AC018F" w:rsidRPr="003830B1" w:rsidTr="00AC018F">
        <w:trPr>
          <w:trHeight w:val="240"/>
        </w:trPr>
        <w:tc>
          <w:tcPr>
            <w:tcW w:w="2279" w:type="pct"/>
            <w:tcBorders>
              <w:top w:val="single" w:sz="4" w:space="0" w:color="auto"/>
              <w:bottom w:val="single" w:sz="4" w:space="0" w:color="auto"/>
            </w:tcBorders>
            <w:shd w:val="clear" w:color="auto" w:fill="auto"/>
            <w:noWrap/>
          </w:tcPr>
          <w:p w:rsidR="00716199" w:rsidRPr="00716199" w:rsidRDefault="00716199" w:rsidP="00716199">
            <w:pPr>
              <w:spacing w:before="40" w:after="40" w:line="220" w:lineRule="exact"/>
              <w:rPr>
                <w:sz w:val="18"/>
                <w:szCs w:val="18"/>
              </w:rPr>
            </w:pPr>
            <w:r w:rsidRPr="00716199">
              <w:rPr>
                <w:sz w:val="18"/>
                <w:szCs w:val="18"/>
              </w:rPr>
              <w:t>Африка</w:t>
            </w:r>
          </w:p>
        </w:tc>
        <w:tc>
          <w:tcPr>
            <w:tcW w:w="704" w:type="pct"/>
            <w:tcBorders>
              <w:top w:val="single" w:sz="4"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416</w:t>
            </w:r>
          </w:p>
        </w:tc>
        <w:tc>
          <w:tcPr>
            <w:tcW w:w="611" w:type="pct"/>
            <w:tcBorders>
              <w:top w:val="single" w:sz="4"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107</w:t>
            </w:r>
          </w:p>
        </w:tc>
        <w:tc>
          <w:tcPr>
            <w:tcW w:w="658" w:type="pct"/>
            <w:tcBorders>
              <w:top w:val="single" w:sz="4"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w:t>
            </w:r>
          </w:p>
        </w:tc>
        <w:tc>
          <w:tcPr>
            <w:tcW w:w="748" w:type="pct"/>
            <w:tcBorders>
              <w:top w:val="single" w:sz="4" w:space="0" w:color="auto"/>
              <w:bottom w:val="single" w:sz="4" w:space="0" w:color="auto"/>
            </w:tcBorders>
            <w:shd w:val="clear" w:color="auto" w:fill="auto"/>
            <w:noWrap/>
            <w:vAlign w:val="bottom"/>
          </w:tcPr>
          <w:p w:rsidR="00716199" w:rsidRPr="00716199" w:rsidRDefault="00716199" w:rsidP="00716199">
            <w:pPr>
              <w:spacing w:before="40" w:after="40" w:line="220" w:lineRule="exact"/>
              <w:jc w:val="right"/>
              <w:rPr>
                <w:sz w:val="18"/>
                <w:szCs w:val="18"/>
              </w:rPr>
            </w:pPr>
            <w:r w:rsidRPr="00716199">
              <w:rPr>
                <w:sz w:val="18"/>
                <w:szCs w:val="18"/>
              </w:rPr>
              <w:t>523</w:t>
            </w:r>
          </w:p>
        </w:tc>
      </w:tr>
      <w:tr w:rsidR="00AC018F" w:rsidRPr="00C41FF0" w:rsidTr="00AC018F">
        <w:trPr>
          <w:trHeight w:val="240"/>
        </w:trPr>
        <w:tc>
          <w:tcPr>
            <w:tcW w:w="2279" w:type="pct"/>
            <w:tcBorders>
              <w:top w:val="single" w:sz="4" w:space="0" w:color="auto"/>
            </w:tcBorders>
            <w:shd w:val="clear" w:color="auto" w:fill="auto"/>
            <w:noWrap/>
          </w:tcPr>
          <w:p w:rsidR="00716199" w:rsidRPr="00716199" w:rsidRDefault="00716199" w:rsidP="005D5DE9">
            <w:pPr>
              <w:spacing w:before="40" w:after="40" w:line="220" w:lineRule="exact"/>
              <w:ind w:left="284"/>
              <w:rPr>
                <w:sz w:val="18"/>
                <w:szCs w:val="18"/>
              </w:rPr>
            </w:pPr>
            <w:r w:rsidRPr="00716199">
              <w:rPr>
                <w:sz w:val="18"/>
                <w:szCs w:val="18"/>
              </w:rPr>
              <w:t>В том числе Сомали</w:t>
            </w:r>
          </w:p>
        </w:tc>
        <w:tc>
          <w:tcPr>
            <w:tcW w:w="704"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228</w:t>
            </w:r>
          </w:p>
        </w:tc>
        <w:tc>
          <w:tcPr>
            <w:tcW w:w="611"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58"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233</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Марокко</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36</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72</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108</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Уганда</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17</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4</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21</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Тунис</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15</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20</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Гамбия</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15</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15</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Египет</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13</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Эфиопия</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10</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Танзания</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10</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Судан</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9</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Алжир</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 xml:space="preserve">Бурунди </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Нигерия</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6</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Гана</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Кения</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r>
      <w:tr w:rsidR="00AC018F" w:rsidRPr="00C41FF0" w:rsidTr="00221FE4">
        <w:trPr>
          <w:trHeight w:val="240"/>
        </w:trPr>
        <w:tc>
          <w:tcPr>
            <w:tcW w:w="2279" w:type="pct"/>
            <w:tcBorders>
              <w:bottom w:val="nil"/>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Сьерра-Леоне</w:t>
            </w:r>
          </w:p>
        </w:tc>
        <w:tc>
          <w:tcPr>
            <w:tcW w:w="704" w:type="pct"/>
            <w:tcBorders>
              <w:bottom w:val="nil"/>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11" w:type="pct"/>
            <w:tcBorders>
              <w:bottom w:val="nil"/>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658" w:type="pct"/>
            <w:tcBorders>
              <w:bottom w:val="nil"/>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tcBorders>
              <w:bottom w:val="nil"/>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r>
      <w:tr w:rsidR="00AC018F" w:rsidRPr="00C41FF0" w:rsidTr="00221FE4">
        <w:trPr>
          <w:trHeight w:val="240"/>
        </w:trPr>
        <w:tc>
          <w:tcPr>
            <w:tcW w:w="2279" w:type="pct"/>
            <w:tcBorders>
              <w:top w:val="nil"/>
              <w:bottom w:val="nil"/>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Прочие африканские страны</w:t>
            </w:r>
          </w:p>
        </w:tc>
        <w:tc>
          <w:tcPr>
            <w:tcW w:w="704" w:type="pct"/>
            <w:tcBorders>
              <w:top w:val="nil"/>
              <w:bottom w:val="nil"/>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38</w:t>
            </w:r>
          </w:p>
        </w:tc>
        <w:tc>
          <w:tcPr>
            <w:tcW w:w="611" w:type="pct"/>
            <w:tcBorders>
              <w:top w:val="nil"/>
              <w:bottom w:val="nil"/>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58" w:type="pct"/>
            <w:tcBorders>
              <w:top w:val="nil"/>
              <w:bottom w:val="nil"/>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tcBorders>
              <w:top w:val="nil"/>
              <w:bottom w:val="nil"/>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43</w:t>
            </w:r>
          </w:p>
        </w:tc>
      </w:tr>
      <w:tr w:rsidR="00AC018F" w:rsidRPr="003830B1" w:rsidTr="00221FE4">
        <w:trPr>
          <w:trHeight w:val="240"/>
        </w:trPr>
        <w:tc>
          <w:tcPr>
            <w:tcW w:w="2279" w:type="pct"/>
            <w:tcBorders>
              <w:top w:val="nil"/>
              <w:bottom w:val="single" w:sz="4" w:space="0" w:color="auto"/>
            </w:tcBorders>
            <w:shd w:val="clear" w:color="auto" w:fill="auto"/>
            <w:noWrap/>
          </w:tcPr>
          <w:p w:rsidR="00716199" w:rsidRPr="00716199" w:rsidRDefault="00716199" w:rsidP="005D5DE9">
            <w:pPr>
              <w:keepNext/>
              <w:keepLines/>
              <w:pageBreakBefore/>
              <w:spacing w:before="40" w:after="40" w:line="220" w:lineRule="exact"/>
              <w:rPr>
                <w:sz w:val="18"/>
                <w:szCs w:val="18"/>
              </w:rPr>
            </w:pPr>
            <w:r w:rsidRPr="00716199">
              <w:rPr>
                <w:sz w:val="18"/>
                <w:szCs w:val="18"/>
              </w:rPr>
              <w:t>Южная и Центральная Америка</w:t>
            </w:r>
          </w:p>
        </w:tc>
        <w:tc>
          <w:tcPr>
            <w:tcW w:w="704" w:type="pct"/>
            <w:tcBorders>
              <w:top w:val="nil"/>
              <w:bottom w:val="single" w:sz="4" w:space="0" w:color="auto"/>
            </w:tcBorders>
            <w:shd w:val="clear" w:color="auto" w:fill="auto"/>
            <w:noWrap/>
            <w:vAlign w:val="bottom"/>
          </w:tcPr>
          <w:p w:rsidR="00716199" w:rsidRPr="00716199" w:rsidRDefault="00716199" w:rsidP="005D5DE9">
            <w:pPr>
              <w:keepNext/>
              <w:keepLines/>
              <w:pageBreakBefore/>
              <w:spacing w:before="40" w:after="40" w:line="220" w:lineRule="exact"/>
              <w:jc w:val="right"/>
              <w:rPr>
                <w:sz w:val="18"/>
                <w:szCs w:val="18"/>
              </w:rPr>
            </w:pPr>
            <w:r w:rsidRPr="00716199">
              <w:rPr>
                <w:sz w:val="18"/>
                <w:szCs w:val="18"/>
              </w:rPr>
              <w:t>47</w:t>
            </w:r>
          </w:p>
        </w:tc>
        <w:tc>
          <w:tcPr>
            <w:tcW w:w="611" w:type="pct"/>
            <w:tcBorders>
              <w:top w:val="nil"/>
              <w:bottom w:val="single" w:sz="4" w:space="0" w:color="auto"/>
            </w:tcBorders>
            <w:shd w:val="clear" w:color="auto" w:fill="auto"/>
            <w:noWrap/>
            <w:vAlign w:val="bottom"/>
          </w:tcPr>
          <w:p w:rsidR="00716199" w:rsidRPr="00716199" w:rsidRDefault="00716199" w:rsidP="005D5DE9">
            <w:pPr>
              <w:keepNext/>
              <w:keepLines/>
              <w:pageBreakBefore/>
              <w:spacing w:before="40" w:after="40" w:line="220" w:lineRule="exact"/>
              <w:jc w:val="right"/>
              <w:rPr>
                <w:sz w:val="18"/>
                <w:szCs w:val="18"/>
              </w:rPr>
            </w:pPr>
            <w:r w:rsidRPr="00716199">
              <w:rPr>
                <w:sz w:val="18"/>
                <w:szCs w:val="18"/>
              </w:rPr>
              <w:t>4</w:t>
            </w:r>
          </w:p>
        </w:tc>
        <w:tc>
          <w:tcPr>
            <w:tcW w:w="658" w:type="pct"/>
            <w:tcBorders>
              <w:top w:val="nil"/>
              <w:bottom w:val="single" w:sz="4" w:space="0" w:color="auto"/>
            </w:tcBorders>
            <w:shd w:val="clear" w:color="auto" w:fill="auto"/>
            <w:noWrap/>
            <w:vAlign w:val="bottom"/>
          </w:tcPr>
          <w:p w:rsidR="00716199" w:rsidRPr="00716199" w:rsidRDefault="00716199" w:rsidP="005D5DE9">
            <w:pPr>
              <w:keepNext/>
              <w:keepLines/>
              <w:pageBreakBefore/>
              <w:spacing w:before="40" w:after="40" w:line="220" w:lineRule="exact"/>
              <w:jc w:val="right"/>
              <w:rPr>
                <w:sz w:val="18"/>
                <w:szCs w:val="18"/>
              </w:rPr>
            </w:pPr>
            <w:r w:rsidRPr="00716199">
              <w:rPr>
                <w:sz w:val="18"/>
                <w:szCs w:val="18"/>
              </w:rPr>
              <w:t>-</w:t>
            </w:r>
          </w:p>
        </w:tc>
        <w:tc>
          <w:tcPr>
            <w:tcW w:w="748" w:type="pct"/>
            <w:tcBorders>
              <w:top w:val="nil"/>
              <w:bottom w:val="single" w:sz="4" w:space="0" w:color="auto"/>
            </w:tcBorders>
            <w:shd w:val="clear" w:color="auto" w:fill="auto"/>
            <w:noWrap/>
            <w:vAlign w:val="bottom"/>
          </w:tcPr>
          <w:p w:rsidR="00716199" w:rsidRPr="00716199" w:rsidRDefault="00716199" w:rsidP="005D5DE9">
            <w:pPr>
              <w:keepNext/>
              <w:keepLines/>
              <w:pageBreakBefore/>
              <w:spacing w:before="40" w:after="40" w:line="220" w:lineRule="exact"/>
              <w:jc w:val="right"/>
              <w:rPr>
                <w:sz w:val="18"/>
                <w:szCs w:val="18"/>
              </w:rPr>
            </w:pPr>
            <w:r w:rsidRPr="00716199">
              <w:rPr>
                <w:sz w:val="18"/>
                <w:szCs w:val="18"/>
              </w:rPr>
              <w:t>51</w:t>
            </w:r>
          </w:p>
        </w:tc>
      </w:tr>
      <w:tr w:rsidR="00AC018F" w:rsidRPr="00C41FF0" w:rsidTr="00AC018F">
        <w:trPr>
          <w:trHeight w:val="240"/>
        </w:trPr>
        <w:tc>
          <w:tcPr>
            <w:tcW w:w="2279" w:type="pct"/>
            <w:tcBorders>
              <w:top w:val="single" w:sz="4" w:space="0" w:color="auto"/>
            </w:tcBorders>
            <w:shd w:val="clear" w:color="auto" w:fill="auto"/>
            <w:noWrap/>
          </w:tcPr>
          <w:p w:rsidR="00716199" w:rsidRPr="00716199" w:rsidRDefault="00716199" w:rsidP="005D5DE9">
            <w:pPr>
              <w:spacing w:before="40" w:after="40" w:line="220" w:lineRule="exact"/>
              <w:ind w:left="284"/>
              <w:rPr>
                <w:sz w:val="18"/>
                <w:szCs w:val="18"/>
              </w:rPr>
            </w:pPr>
            <w:r w:rsidRPr="00716199">
              <w:rPr>
                <w:sz w:val="18"/>
                <w:szCs w:val="18"/>
              </w:rPr>
              <w:t>В том числе Бразилия</w:t>
            </w:r>
          </w:p>
        </w:tc>
        <w:tc>
          <w:tcPr>
            <w:tcW w:w="704" w:type="pct"/>
            <w:tcBorders>
              <w:top w:val="single" w:sz="4" w:space="0" w:color="auto"/>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10</w:t>
            </w:r>
          </w:p>
        </w:tc>
        <w:tc>
          <w:tcPr>
            <w:tcW w:w="611" w:type="pct"/>
            <w:tcBorders>
              <w:top w:val="single" w:sz="4" w:space="0" w:color="auto"/>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w:t>
            </w:r>
          </w:p>
        </w:tc>
        <w:tc>
          <w:tcPr>
            <w:tcW w:w="658" w:type="pct"/>
            <w:tcBorders>
              <w:top w:val="single" w:sz="4" w:space="0" w:color="auto"/>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w:t>
            </w:r>
          </w:p>
        </w:tc>
        <w:tc>
          <w:tcPr>
            <w:tcW w:w="748" w:type="pct"/>
            <w:tcBorders>
              <w:top w:val="single" w:sz="4" w:space="0" w:color="auto"/>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10</w:t>
            </w:r>
          </w:p>
        </w:tc>
      </w:tr>
      <w:tr w:rsidR="00AC018F" w:rsidRPr="00C41FF0" w:rsidTr="00AC018F">
        <w:trPr>
          <w:trHeight w:val="240"/>
        </w:trPr>
        <w:tc>
          <w:tcPr>
            <w:tcW w:w="2279" w:type="pct"/>
            <w:tcBorders>
              <w:bottom w:val="nil"/>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Куба</w:t>
            </w:r>
          </w:p>
        </w:tc>
        <w:tc>
          <w:tcPr>
            <w:tcW w:w="704" w:type="pct"/>
            <w:tcBorders>
              <w:bottom w:val="nil"/>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7</w:t>
            </w:r>
          </w:p>
        </w:tc>
        <w:tc>
          <w:tcPr>
            <w:tcW w:w="611" w:type="pct"/>
            <w:tcBorders>
              <w:bottom w:val="nil"/>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1</w:t>
            </w:r>
          </w:p>
        </w:tc>
        <w:tc>
          <w:tcPr>
            <w:tcW w:w="658" w:type="pct"/>
            <w:tcBorders>
              <w:bottom w:val="nil"/>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w:t>
            </w:r>
          </w:p>
        </w:tc>
        <w:tc>
          <w:tcPr>
            <w:tcW w:w="748" w:type="pct"/>
            <w:tcBorders>
              <w:bottom w:val="nil"/>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8</w:t>
            </w:r>
          </w:p>
        </w:tc>
      </w:tr>
      <w:tr w:rsidR="00AC018F" w:rsidRPr="00C41FF0" w:rsidTr="00AC018F">
        <w:trPr>
          <w:trHeight w:val="240"/>
        </w:trPr>
        <w:tc>
          <w:tcPr>
            <w:tcW w:w="2279" w:type="pct"/>
            <w:tcBorders>
              <w:top w:val="nil"/>
              <w:bottom w:val="single" w:sz="4" w:space="0" w:color="auto"/>
            </w:tcBorders>
            <w:shd w:val="clear" w:color="auto" w:fill="auto"/>
            <w:noWrap/>
          </w:tcPr>
          <w:p w:rsidR="00716199" w:rsidRPr="00716199" w:rsidRDefault="00C41FF0" w:rsidP="005D5DE9">
            <w:pPr>
              <w:spacing w:before="40" w:after="40" w:line="220" w:lineRule="exact"/>
              <w:ind w:left="567" w:hanging="283"/>
              <w:rPr>
                <w:sz w:val="18"/>
                <w:szCs w:val="18"/>
              </w:rPr>
            </w:pPr>
            <w:r>
              <w:rPr>
                <w:sz w:val="18"/>
                <w:szCs w:val="18"/>
              </w:rPr>
              <w:sym w:font="Symbol" w:char="F0B7"/>
            </w:r>
            <w:r>
              <w:rPr>
                <w:sz w:val="18"/>
                <w:szCs w:val="18"/>
              </w:rPr>
              <w:tab/>
            </w:r>
            <w:r w:rsidR="00716199" w:rsidRPr="00716199">
              <w:rPr>
                <w:sz w:val="18"/>
                <w:szCs w:val="18"/>
              </w:rPr>
              <w:t xml:space="preserve">Прочие страны Южной </w:t>
            </w:r>
            <w:r w:rsidR="00AC018F">
              <w:rPr>
                <w:sz w:val="18"/>
                <w:szCs w:val="18"/>
              </w:rPr>
              <w:br/>
            </w:r>
            <w:r w:rsidR="00716199" w:rsidRPr="00716199">
              <w:rPr>
                <w:sz w:val="18"/>
                <w:szCs w:val="18"/>
              </w:rPr>
              <w:t>и Це</w:t>
            </w:r>
            <w:r w:rsidR="00716199" w:rsidRPr="00716199">
              <w:rPr>
                <w:sz w:val="18"/>
                <w:szCs w:val="18"/>
              </w:rPr>
              <w:t>н</w:t>
            </w:r>
            <w:r w:rsidR="00716199" w:rsidRPr="00716199">
              <w:rPr>
                <w:sz w:val="18"/>
                <w:szCs w:val="18"/>
              </w:rPr>
              <w:t>тральной Америки</w:t>
            </w:r>
          </w:p>
        </w:tc>
        <w:tc>
          <w:tcPr>
            <w:tcW w:w="704" w:type="pct"/>
            <w:tcBorders>
              <w:top w:val="nil"/>
              <w:bottom w:val="single" w:sz="4" w:space="0" w:color="auto"/>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18</w:t>
            </w:r>
          </w:p>
        </w:tc>
        <w:tc>
          <w:tcPr>
            <w:tcW w:w="611" w:type="pct"/>
            <w:tcBorders>
              <w:top w:val="nil"/>
              <w:bottom w:val="single" w:sz="4" w:space="0" w:color="auto"/>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1</w:t>
            </w:r>
          </w:p>
        </w:tc>
        <w:tc>
          <w:tcPr>
            <w:tcW w:w="658" w:type="pct"/>
            <w:tcBorders>
              <w:top w:val="nil"/>
              <w:bottom w:val="single" w:sz="4" w:space="0" w:color="auto"/>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w:t>
            </w:r>
          </w:p>
        </w:tc>
        <w:tc>
          <w:tcPr>
            <w:tcW w:w="748" w:type="pct"/>
            <w:tcBorders>
              <w:top w:val="nil"/>
              <w:bottom w:val="single" w:sz="4" w:space="0" w:color="auto"/>
            </w:tcBorders>
            <w:shd w:val="clear" w:color="auto" w:fill="auto"/>
            <w:noWrap/>
            <w:vAlign w:val="bottom"/>
          </w:tcPr>
          <w:p w:rsidR="00716199" w:rsidRPr="00716199" w:rsidRDefault="00716199" w:rsidP="00943BBB">
            <w:pPr>
              <w:keepNext/>
              <w:keepLines/>
              <w:spacing w:before="40" w:after="40" w:line="220" w:lineRule="exact"/>
              <w:ind w:left="454" w:hanging="284"/>
              <w:jc w:val="right"/>
              <w:rPr>
                <w:sz w:val="18"/>
                <w:szCs w:val="18"/>
              </w:rPr>
            </w:pPr>
            <w:r w:rsidRPr="00716199">
              <w:rPr>
                <w:sz w:val="18"/>
                <w:szCs w:val="18"/>
              </w:rPr>
              <w:t>19</w:t>
            </w:r>
          </w:p>
        </w:tc>
      </w:tr>
      <w:tr w:rsidR="00AC018F" w:rsidRPr="003830B1" w:rsidTr="00AC018F">
        <w:trPr>
          <w:trHeight w:val="240"/>
        </w:trPr>
        <w:tc>
          <w:tcPr>
            <w:tcW w:w="2279" w:type="pct"/>
            <w:tcBorders>
              <w:top w:val="single" w:sz="4" w:space="0" w:color="auto"/>
              <w:bottom w:val="single" w:sz="4" w:space="0" w:color="auto"/>
            </w:tcBorders>
            <w:shd w:val="clear" w:color="auto" w:fill="auto"/>
            <w:noWrap/>
          </w:tcPr>
          <w:p w:rsidR="00716199" w:rsidRPr="00716199" w:rsidRDefault="00716199" w:rsidP="00716199">
            <w:pPr>
              <w:spacing w:before="40" w:after="40" w:line="220" w:lineRule="exact"/>
              <w:rPr>
                <w:sz w:val="18"/>
                <w:szCs w:val="18"/>
              </w:rPr>
            </w:pPr>
            <w:r w:rsidRPr="00716199">
              <w:rPr>
                <w:sz w:val="18"/>
                <w:szCs w:val="18"/>
              </w:rPr>
              <w:t>Азия</w:t>
            </w:r>
          </w:p>
        </w:tc>
        <w:tc>
          <w:tcPr>
            <w:tcW w:w="704"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842</w:t>
            </w:r>
          </w:p>
        </w:tc>
        <w:tc>
          <w:tcPr>
            <w:tcW w:w="611"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316</w:t>
            </w:r>
          </w:p>
        </w:tc>
        <w:tc>
          <w:tcPr>
            <w:tcW w:w="658"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w:t>
            </w:r>
            <w:r w:rsidR="00AC018F">
              <w:rPr>
                <w:sz w:val="18"/>
                <w:szCs w:val="18"/>
              </w:rPr>
              <w:t> </w:t>
            </w:r>
            <w:r w:rsidRPr="00716199">
              <w:rPr>
                <w:sz w:val="18"/>
                <w:szCs w:val="18"/>
              </w:rPr>
              <w:t>158</w:t>
            </w:r>
          </w:p>
        </w:tc>
      </w:tr>
      <w:tr w:rsidR="00AC018F" w:rsidRPr="00C41FF0" w:rsidTr="00AC018F">
        <w:trPr>
          <w:trHeight w:val="240"/>
        </w:trPr>
        <w:tc>
          <w:tcPr>
            <w:tcW w:w="2279" w:type="pct"/>
            <w:tcBorders>
              <w:top w:val="single" w:sz="4" w:space="0" w:color="auto"/>
            </w:tcBorders>
            <w:shd w:val="clear" w:color="auto" w:fill="auto"/>
            <w:noWrap/>
          </w:tcPr>
          <w:p w:rsidR="00716199" w:rsidRPr="00716199" w:rsidRDefault="00716199" w:rsidP="005D5DE9">
            <w:pPr>
              <w:spacing w:before="40" w:after="40" w:line="220" w:lineRule="exact"/>
              <w:ind w:left="284"/>
              <w:rPr>
                <w:sz w:val="18"/>
                <w:szCs w:val="18"/>
              </w:rPr>
            </w:pPr>
            <w:r w:rsidRPr="00716199">
              <w:rPr>
                <w:sz w:val="18"/>
                <w:szCs w:val="18"/>
              </w:rPr>
              <w:t>В том числе Ливан</w:t>
            </w:r>
          </w:p>
        </w:tc>
        <w:tc>
          <w:tcPr>
            <w:tcW w:w="704"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199</w:t>
            </w:r>
          </w:p>
        </w:tc>
        <w:tc>
          <w:tcPr>
            <w:tcW w:w="611"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140</w:t>
            </w:r>
          </w:p>
        </w:tc>
        <w:tc>
          <w:tcPr>
            <w:tcW w:w="658"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339</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Ирак</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193</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207</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Иран</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137</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18</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155</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Пакистан</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63</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81</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144</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Афганистан</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75</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78</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Вьетнам</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39</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42</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Шри-Ланка</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28</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10</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38</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Сирия</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24</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13</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37</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Иордания</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13</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18</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31</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Кувейт</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4</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18</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Индия</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9</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Таиланд</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14</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Филиппины</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6</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9</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Израиль</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6</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567" w:hanging="283"/>
              <w:rPr>
                <w:sz w:val="18"/>
                <w:szCs w:val="18"/>
              </w:rPr>
            </w:pPr>
            <w:r>
              <w:rPr>
                <w:sz w:val="18"/>
                <w:szCs w:val="18"/>
              </w:rPr>
              <w:sym w:font="Symbol" w:char="F0B7"/>
            </w:r>
            <w:r>
              <w:rPr>
                <w:sz w:val="18"/>
                <w:szCs w:val="18"/>
              </w:rPr>
              <w:tab/>
            </w:r>
            <w:r w:rsidR="00716199" w:rsidRPr="00716199">
              <w:rPr>
                <w:sz w:val="18"/>
                <w:szCs w:val="18"/>
              </w:rPr>
              <w:t xml:space="preserve">Ближний Восток </w:t>
            </w:r>
            <w:r w:rsidR="005D5DE9">
              <w:rPr>
                <w:sz w:val="18"/>
                <w:szCs w:val="18"/>
              </w:rPr>
              <w:br/>
            </w:r>
            <w:r w:rsidR="00716199" w:rsidRPr="00716199">
              <w:rPr>
                <w:sz w:val="18"/>
                <w:szCs w:val="18"/>
              </w:rPr>
              <w:t>(без указания страны)</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w:t>
            </w:r>
          </w:p>
        </w:tc>
      </w:tr>
      <w:tr w:rsidR="00AC018F" w:rsidRPr="00C41FF0" w:rsidTr="00AC018F">
        <w:trPr>
          <w:trHeight w:val="240"/>
        </w:trPr>
        <w:tc>
          <w:tcPr>
            <w:tcW w:w="2279" w:type="pct"/>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Китай</w:t>
            </w:r>
          </w:p>
        </w:tc>
        <w:tc>
          <w:tcPr>
            <w:tcW w:w="704"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11"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65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r>
      <w:tr w:rsidR="00AC018F" w:rsidRPr="00C41FF0" w:rsidTr="00AC018F">
        <w:trPr>
          <w:trHeight w:val="240"/>
        </w:trPr>
        <w:tc>
          <w:tcPr>
            <w:tcW w:w="2279" w:type="pct"/>
            <w:tcBorders>
              <w:bottom w:val="single" w:sz="4" w:space="0" w:color="auto"/>
            </w:tcBorders>
            <w:shd w:val="clear" w:color="auto" w:fill="auto"/>
            <w:noWrap/>
          </w:tcPr>
          <w:p w:rsidR="00716199" w:rsidRPr="00716199" w:rsidRDefault="00C41FF0" w:rsidP="005D5DE9">
            <w:pPr>
              <w:spacing w:before="40" w:after="40" w:line="220" w:lineRule="exact"/>
              <w:ind w:left="284"/>
              <w:rPr>
                <w:sz w:val="18"/>
                <w:szCs w:val="18"/>
              </w:rPr>
            </w:pPr>
            <w:r>
              <w:rPr>
                <w:sz w:val="18"/>
                <w:szCs w:val="18"/>
              </w:rPr>
              <w:sym w:font="Symbol" w:char="F0B7"/>
            </w:r>
            <w:r>
              <w:rPr>
                <w:sz w:val="18"/>
                <w:szCs w:val="18"/>
              </w:rPr>
              <w:tab/>
            </w:r>
            <w:r w:rsidR="00716199" w:rsidRPr="00716199">
              <w:rPr>
                <w:sz w:val="18"/>
                <w:szCs w:val="18"/>
              </w:rPr>
              <w:t>Прочие азиатские страны</w:t>
            </w:r>
          </w:p>
        </w:tc>
        <w:tc>
          <w:tcPr>
            <w:tcW w:w="704"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12</w:t>
            </w:r>
          </w:p>
        </w:tc>
        <w:tc>
          <w:tcPr>
            <w:tcW w:w="611"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w:t>
            </w:r>
          </w:p>
        </w:tc>
        <w:tc>
          <w:tcPr>
            <w:tcW w:w="658"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13</w:t>
            </w:r>
          </w:p>
        </w:tc>
      </w:tr>
      <w:tr w:rsidR="00AC018F" w:rsidRPr="003830B1" w:rsidTr="00AC018F">
        <w:trPr>
          <w:trHeight w:val="240"/>
        </w:trPr>
        <w:tc>
          <w:tcPr>
            <w:tcW w:w="2279" w:type="pct"/>
            <w:tcBorders>
              <w:top w:val="single" w:sz="4" w:space="0" w:color="auto"/>
              <w:bottom w:val="single" w:sz="4" w:space="0" w:color="auto"/>
            </w:tcBorders>
            <w:shd w:val="clear" w:color="auto" w:fill="auto"/>
            <w:noWrap/>
          </w:tcPr>
          <w:p w:rsidR="00716199" w:rsidRPr="00716199" w:rsidRDefault="00716199" w:rsidP="00716199">
            <w:pPr>
              <w:spacing w:before="40" w:after="40" w:line="220" w:lineRule="exact"/>
              <w:rPr>
                <w:sz w:val="18"/>
                <w:szCs w:val="18"/>
              </w:rPr>
            </w:pPr>
            <w:r w:rsidRPr="00716199">
              <w:rPr>
                <w:sz w:val="18"/>
                <w:szCs w:val="18"/>
              </w:rPr>
              <w:t>Океания</w:t>
            </w:r>
          </w:p>
        </w:tc>
        <w:tc>
          <w:tcPr>
            <w:tcW w:w="704"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611"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w:t>
            </w:r>
          </w:p>
        </w:tc>
        <w:tc>
          <w:tcPr>
            <w:tcW w:w="658"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w:t>
            </w:r>
          </w:p>
        </w:tc>
        <w:tc>
          <w:tcPr>
            <w:tcW w:w="748" w:type="pct"/>
            <w:tcBorders>
              <w:top w:val="single" w:sz="4" w:space="0" w:color="auto"/>
              <w:bottom w:val="single" w:sz="4" w:space="0" w:color="auto"/>
            </w:tcBorders>
            <w:shd w:val="clear" w:color="auto" w:fill="auto"/>
            <w:noWrap/>
            <w:vAlign w:val="bottom"/>
          </w:tcPr>
          <w:p w:rsidR="00716199" w:rsidRPr="00716199" w:rsidRDefault="00716199" w:rsidP="00C41FF0">
            <w:pPr>
              <w:spacing w:before="40" w:after="40" w:line="220" w:lineRule="exact"/>
              <w:jc w:val="right"/>
              <w:rPr>
                <w:sz w:val="18"/>
                <w:szCs w:val="18"/>
              </w:rPr>
            </w:pPr>
            <w:r w:rsidRPr="00716199">
              <w:rPr>
                <w:sz w:val="18"/>
                <w:szCs w:val="18"/>
              </w:rPr>
              <w:t>1</w:t>
            </w:r>
          </w:p>
        </w:tc>
      </w:tr>
      <w:tr w:rsidR="00AC018F" w:rsidRPr="00C41FF0" w:rsidTr="00AC018F">
        <w:trPr>
          <w:trHeight w:val="240"/>
        </w:trPr>
        <w:tc>
          <w:tcPr>
            <w:tcW w:w="2279" w:type="pct"/>
            <w:tcBorders>
              <w:top w:val="single" w:sz="4" w:space="0" w:color="auto"/>
            </w:tcBorders>
            <w:shd w:val="clear" w:color="auto" w:fill="auto"/>
            <w:noWrap/>
          </w:tcPr>
          <w:p w:rsidR="00716199" w:rsidRPr="00716199" w:rsidRDefault="00716199" w:rsidP="00C41FF0">
            <w:pPr>
              <w:spacing w:before="40" w:after="40" w:line="220" w:lineRule="exact"/>
              <w:rPr>
                <w:sz w:val="18"/>
                <w:szCs w:val="18"/>
              </w:rPr>
            </w:pPr>
            <w:r w:rsidRPr="00716199">
              <w:rPr>
                <w:sz w:val="18"/>
                <w:szCs w:val="18"/>
              </w:rPr>
              <w:t>Зарубежное государство (не указано)</w:t>
            </w:r>
          </w:p>
        </w:tc>
        <w:tc>
          <w:tcPr>
            <w:tcW w:w="704"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8</w:t>
            </w:r>
          </w:p>
        </w:tc>
        <w:tc>
          <w:tcPr>
            <w:tcW w:w="611"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3</w:t>
            </w:r>
          </w:p>
        </w:tc>
        <w:tc>
          <w:tcPr>
            <w:tcW w:w="658"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tcBorders>
              <w:top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11</w:t>
            </w:r>
          </w:p>
        </w:tc>
      </w:tr>
      <w:tr w:rsidR="00AC018F" w:rsidRPr="00C41FF0" w:rsidTr="00AC018F">
        <w:trPr>
          <w:trHeight w:val="240"/>
        </w:trPr>
        <w:tc>
          <w:tcPr>
            <w:tcW w:w="2279" w:type="pct"/>
            <w:tcBorders>
              <w:bottom w:val="single" w:sz="4" w:space="0" w:color="auto"/>
            </w:tcBorders>
            <w:shd w:val="clear" w:color="auto" w:fill="auto"/>
            <w:noWrap/>
          </w:tcPr>
          <w:p w:rsidR="00716199" w:rsidRPr="00716199" w:rsidRDefault="00716199" w:rsidP="00C41FF0">
            <w:pPr>
              <w:spacing w:before="40" w:after="40" w:line="220" w:lineRule="exact"/>
              <w:rPr>
                <w:sz w:val="18"/>
                <w:szCs w:val="18"/>
              </w:rPr>
            </w:pPr>
            <w:r w:rsidRPr="00716199">
              <w:rPr>
                <w:sz w:val="18"/>
                <w:szCs w:val="18"/>
              </w:rPr>
              <w:t>Апатриды</w:t>
            </w:r>
          </w:p>
        </w:tc>
        <w:tc>
          <w:tcPr>
            <w:tcW w:w="704"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5</w:t>
            </w:r>
          </w:p>
        </w:tc>
        <w:tc>
          <w:tcPr>
            <w:tcW w:w="611"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2</w:t>
            </w:r>
          </w:p>
        </w:tc>
        <w:tc>
          <w:tcPr>
            <w:tcW w:w="658"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w:t>
            </w:r>
          </w:p>
        </w:tc>
        <w:tc>
          <w:tcPr>
            <w:tcW w:w="748" w:type="pct"/>
            <w:tcBorders>
              <w:bottom w:val="single" w:sz="4" w:space="0" w:color="auto"/>
            </w:tcBorders>
            <w:shd w:val="clear" w:color="auto" w:fill="auto"/>
            <w:noWrap/>
            <w:vAlign w:val="bottom"/>
          </w:tcPr>
          <w:p w:rsidR="00716199" w:rsidRPr="00716199" w:rsidRDefault="00716199" w:rsidP="00C41FF0">
            <w:pPr>
              <w:spacing w:before="40" w:after="40" w:line="220" w:lineRule="exact"/>
              <w:ind w:left="454" w:hanging="284"/>
              <w:jc w:val="right"/>
              <w:rPr>
                <w:sz w:val="18"/>
                <w:szCs w:val="18"/>
              </w:rPr>
            </w:pPr>
            <w:r w:rsidRPr="00716199">
              <w:rPr>
                <w:sz w:val="18"/>
                <w:szCs w:val="18"/>
              </w:rPr>
              <w:t>7</w:t>
            </w:r>
          </w:p>
        </w:tc>
      </w:tr>
      <w:tr w:rsidR="00AC018F" w:rsidRPr="00C41FF0" w:rsidTr="00AC018F">
        <w:trPr>
          <w:trHeight w:val="240"/>
        </w:trPr>
        <w:tc>
          <w:tcPr>
            <w:tcW w:w="2279" w:type="pct"/>
            <w:tcBorders>
              <w:top w:val="single" w:sz="4" w:space="0" w:color="auto"/>
              <w:bottom w:val="single" w:sz="12" w:space="0" w:color="auto"/>
            </w:tcBorders>
            <w:shd w:val="clear" w:color="auto" w:fill="auto"/>
            <w:noWrap/>
          </w:tcPr>
          <w:p w:rsidR="00716199" w:rsidRPr="00C41FF0" w:rsidRDefault="00716199" w:rsidP="00C41FF0">
            <w:pPr>
              <w:spacing w:before="80" w:after="80" w:line="220" w:lineRule="exact"/>
              <w:ind w:firstLine="284"/>
              <w:rPr>
                <w:b/>
                <w:sz w:val="18"/>
                <w:szCs w:val="18"/>
              </w:rPr>
            </w:pPr>
            <w:r w:rsidRPr="00C41FF0">
              <w:rPr>
                <w:b/>
                <w:sz w:val="18"/>
                <w:szCs w:val="18"/>
              </w:rPr>
              <w:t>Всего</w:t>
            </w:r>
          </w:p>
        </w:tc>
        <w:tc>
          <w:tcPr>
            <w:tcW w:w="704" w:type="pct"/>
            <w:tcBorders>
              <w:top w:val="single" w:sz="4" w:space="0" w:color="auto"/>
              <w:bottom w:val="single" w:sz="12" w:space="0" w:color="auto"/>
            </w:tcBorders>
            <w:shd w:val="clear" w:color="auto" w:fill="auto"/>
            <w:noWrap/>
            <w:vAlign w:val="bottom"/>
          </w:tcPr>
          <w:p w:rsidR="00716199" w:rsidRPr="00C41FF0" w:rsidRDefault="00716199" w:rsidP="00C41FF0">
            <w:pPr>
              <w:spacing w:before="80" w:after="80" w:line="220" w:lineRule="exact"/>
              <w:jc w:val="right"/>
              <w:rPr>
                <w:b/>
                <w:sz w:val="18"/>
                <w:szCs w:val="18"/>
              </w:rPr>
            </w:pPr>
            <w:r w:rsidRPr="00C41FF0">
              <w:rPr>
                <w:b/>
                <w:sz w:val="18"/>
                <w:szCs w:val="18"/>
              </w:rPr>
              <w:t>2</w:t>
            </w:r>
            <w:r w:rsidR="00AC018F">
              <w:rPr>
                <w:b/>
                <w:sz w:val="18"/>
                <w:szCs w:val="18"/>
              </w:rPr>
              <w:t> </w:t>
            </w:r>
            <w:r w:rsidRPr="00C41FF0">
              <w:rPr>
                <w:b/>
                <w:sz w:val="18"/>
                <w:szCs w:val="18"/>
              </w:rPr>
              <w:t>001</w:t>
            </w:r>
          </w:p>
        </w:tc>
        <w:tc>
          <w:tcPr>
            <w:tcW w:w="611" w:type="pct"/>
            <w:tcBorders>
              <w:top w:val="single" w:sz="4" w:space="0" w:color="auto"/>
              <w:bottom w:val="single" w:sz="12" w:space="0" w:color="auto"/>
            </w:tcBorders>
            <w:shd w:val="clear" w:color="auto" w:fill="auto"/>
            <w:noWrap/>
            <w:vAlign w:val="bottom"/>
          </w:tcPr>
          <w:p w:rsidR="00716199" w:rsidRPr="00C41FF0" w:rsidRDefault="00716199" w:rsidP="00C41FF0">
            <w:pPr>
              <w:spacing w:before="80" w:after="80" w:line="220" w:lineRule="exact"/>
              <w:jc w:val="right"/>
              <w:rPr>
                <w:b/>
                <w:sz w:val="18"/>
                <w:szCs w:val="18"/>
              </w:rPr>
            </w:pPr>
            <w:r w:rsidRPr="00C41FF0">
              <w:rPr>
                <w:b/>
                <w:sz w:val="18"/>
                <w:szCs w:val="18"/>
              </w:rPr>
              <w:t>745</w:t>
            </w:r>
          </w:p>
        </w:tc>
        <w:tc>
          <w:tcPr>
            <w:tcW w:w="658" w:type="pct"/>
            <w:tcBorders>
              <w:top w:val="single" w:sz="4" w:space="0" w:color="auto"/>
              <w:bottom w:val="single" w:sz="12" w:space="0" w:color="auto"/>
            </w:tcBorders>
            <w:shd w:val="clear" w:color="auto" w:fill="auto"/>
            <w:noWrap/>
            <w:vAlign w:val="bottom"/>
          </w:tcPr>
          <w:p w:rsidR="00716199" w:rsidRPr="00C41FF0" w:rsidRDefault="00716199" w:rsidP="00C41FF0">
            <w:pPr>
              <w:spacing w:before="80" w:after="80" w:line="220" w:lineRule="exact"/>
              <w:jc w:val="right"/>
              <w:rPr>
                <w:b/>
                <w:sz w:val="18"/>
                <w:szCs w:val="18"/>
              </w:rPr>
            </w:pPr>
            <w:r w:rsidRPr="00C41FF0">
              <w:rPr>
                <w:b/>
                <w:sz w:val="18"/>
                <w:szCs w:val="18"/>
              </w:rPr>
              <w:t>10 357</w:t>
            </w:r>
          </w:p>
        </w:tc>
        <w:tc>
          <w:tcPr>
            <w:tcW w:w="748" w:type="pct"/>
            <w:tcBorders>
              <w:top w:val="single" w:sz="4" w:space="0" w:color="auto"/>
              <w:bottom w:val="single" w:sz="12" w:space="0" w:color="auto"/>
            </w:tcBorders>
            <w:shd w:val="clear" w:color="auto" w:fill="auto"/>
            <w:noWrap/>
            <w:vAlign w:val="bottom"/>
          </w:tcPr>
          <w:p w:rsidR="00716199" w:rsidRPr="00C41FF0" w:rsidRDefault="00716199" w:rsidP="00C41FF0">
            <w:pPr>
              <w:spacing w:before="80" w:after="80" w:line="220" w:lineRule="exact"/>
              <w:jc w:val="right"/>
              <w:rPr>
                <w:b/>
                <w:sz w:val="18"/>
                <w:szCs w:val="18"/>
              </w:rPr>
            </w:pPr>
            <w:r w:rsidRPr="00C41FF0">
              <w:rPr>
                <w:b/>
                <w:sz w:val="18"/>
                <w:szCs w:val="18"/>
              </w:rPr>
              <w:t>13 103</w:t>
            </w:r>
          </w:p>
        </w:tc>
      </w:tr>
    </w:tbl>
    <w:p w:rsidR="00907DF0" w:rsidRPr="00C41FF0" w:rsidRDefault="00907DF0" w:rsidP="004141B2">
      <w:pPr>
        <w:pStyle w:val="SingleTxtGR"/>
        <w:spacing w:before="120" w:after="0" w:line="220" w:lineRule="exact"/>
        <w:ind w:firstLine="170"/>
        <w:jc w:val="left"/>
        <w:rPr>
          <w:sz w:val="18"/>
          <w:szCs w:val="18"/>
        </w:rPr>
      </w:pPr>
      <w:r w:rsidRPr="00C41FF0">
        <w:rPr>
          <w:i/>
          <w:sz w:val="18"/>
          <w:szCs w:val="18"/>
        </w:rPr>
        <w:t>Примечание</w:t>
      </w:r>
      <w:r w:rsidRPr="00C41FF0">
        <w:rPr>
          <w:sz w:val="18"/>
          <w:szCs w:val="18"/>
        </w:rPr>
        <w:t>. К категории "прочие" относятся страны, число граждан которых среди заключенных или поднадзорных составляет менее пяти.</w:t>
      </w:r>
    </w:p>
    <w:p w:rsidR="00907DF0" w:rsidRDefault="002F77D6" w:rsidP="002F77D6">
      <w:pPr>
        <w:pStyle w:val="HChGR"/>
      </w:pPr>
      <w:r>
        <w:br w:type="page"/>
      </w:r>
      <w:r w:rsidR="00907DF0">
        <w:tab/>
      </w:r>
      <w:r w:rsidR="00907DF0">
        <w:tab/>
        <w:t>Приложение IV</w:t>
      </w:r>
      <w:r w:rsidRPr="002F77D6">
        <w:br/>
      </w:r>
      <w:r w:rsidR="00907DF0">
        <w:t>Датская национальная стратегия интеграции рома</w:t>
      </w:r>
    </w:p>
    <w:p w:rsidR="00907DF0" w:rsidRPr="002F77D6" w:rsidRDefault="00907DF0" w:rsidP="002F77D6">
      <w:pPr>
        <w:pStyle w:val="SingleTxtGR"/>
        <w:jc w:val="right"/>
        <w:rPr>
          <w:b/>
        </w:rPr>
      </w:pPr>
      <w:r w:rsidRPr="002F77D6">
        <w:rPr>
          <w:b/>
        </w:rPr>
        <w:t>Министерство социального обеспечения и интеграции</w:t>
      </w:r>
      <w:r w:rsidR="002F77D6" w:rsidRPr="002F77D6">
        <w:rPr>
          <w:b/>
        </w:rPr>
        <w:br/>
      </w:r>
      <w:r w:rsidRPr="002F77D6">
        <w:rPr>
          <w:b/>
        </w:rPr>
        <w:t>Копенгаген, декабрь 2011 года</w:t>
      </w:r>
    </w:p>
    <w:p w:rsidR="00907DF0" w:rsidRPr="00DB1820" w:rsidRDefault="00907DF0" w:rsidP="002F77D6">
      <w:pPr>
        <w:pStyle w:val="H1GR"/>
      </w:pPr>
      <w:r>
        <w:tab/>
      </w:r>
      <w:r>
        <w:tab/>
        <w:t>Сообщение о датской национальной стратегии интеграции рома, направленное в Европе</w:t>
      </w:r>
      <w:r>
        <w:t>й</w:t>
      </w:r>
      <w:r>
        <w:t>скую комиссию</w:t>
      </w:r>
      <w:r w:rsidR="00DB1820" w:rsidRPr="00DB1820">
        <w:rPr>
          <w:rStyle w:val="FootnoteReference"/>
          <w:b w:val="0"/>
        </w:rPr>
        <w:footnoteReference w:id="4"/>
      </w:r>
    </w:p>
    <w:p w:rsidR="00907DF0" w:rsidRDefault="00907DF0" w:rsidP="002F77D6">
      <w:pPr>
        <w:pStyle w:val="H23GR"/>
      </w:pPr>
      <w:r>
        <w:tab/>
      </w:r>
      <w:r>
        <w:tab/>
        <w:t>Цель сообщения</w:t>
      </w:r>
    </w:p>
    <w:p w:rsidR="00907DF0" w:rsidRDefault="00907DF0" w:rsidP="00907DF0">
      <w:pPr>
        <w:pStyle w:val="SingleTxtGR"/>
      </w:pPr>
      <w:r>
        <w:t>Данное сообщение ставит целью проинформировать Европейскую комиссию о</w:t>
      </w:r>
      <w:r w:rsidR="00BA03D1">
        <w:t> </w:t>
      </w:r>
      <w:r>
        <w:t>подходе Дании к пробл</w:t>
      </w:r>
      <w:r>
        <w:t>е</w:t>
      </w:r>
      <w:r>
        <w:t>ме интеграции цыган.</w:t>
      </w:r>
    </w:p>
    <w:p w:rsidR="00907DF0" w:rsidRDefault="00907DF0" w:rsidP="00907DF0">
      <w:pPr>
        <w:pStyle w:val="SingleTxtGR"/>
      </w:pPr>
      <w:r>
        <w:t>5</w:t>
      </w:r>
      <w:r w:rsidR="00BA03D1">
        <w:t> </w:t>
      </w:r>
      <w:r>
        <w:t>апреля 2011</w:t>
      </w:r>
      <w:r w:rsidR="00BA03D1">
        <w:t> </w:t>
      </w:r>
      <w:r>
        <w:t>года Комиссия распространила сообщение с изложением Рамо</w:t>
      </w:r>
      <w:r>
        <w:t>ч</w:t>
      </w:r>
      <w:r>
        <w:t>ного документа ЕС, касающегося разработки национальных стратегий интегр</w:t>
      </w:r>
      <w:r>
        <w:t>а</w:t>
      </w:r>
      <w:r>
        <w:t>ции рома на период до 2020</w:t>
      </w:r>
      <w:r w:rsidR="00BA03D1">
        <w:t> </w:t>
      </w:r>
      <w:r>
        <w:t>года, и обратилась к государствам-членам с приз</w:t>
      </w:r>
      <w:r>
        <w:t>ы</w:t>
      </w:r>
      <w:r>
        <w:t>вом разработать или пересмотреть национальные стратегии интеграции цыган. Комиссия призвала рассматривать в качестве приоритетных четыре направл</w:t>
      </w:r>
      <w:r>
        <w:t>е</w:t>
      </w:r>
      <w:r>
        <w:t>ния деятельности: образование, занятость, здравоохранение и обеспечение ж</w:t>
      </w:r>
      <w:r>
        <w:t>и</w:t>
      </w:r>
      <w:r>
        <w:t>льем.</w:t>
      </w:r>
    </w:p>
    <w:p w:rsidR="00907DF0" w:rsidRDefault="00907DF0" w:rsidP="00907DF0">
      <w:pPr>
        <w:pStyle w:val="SingleTxtGR"/>
      </w:pPr>
      <w:r>
        <w:t>19</w:t>
      </w:r>
      <w:r w:rsidR="00BA03D1">
        <w:t> </w:t>
      </w:r>
      <w:r>
        <w:t>мая 2011</w:t>
      </w:r>
      <w:r w:rsidR="00BA03D1">
        <w:t> </w:t>
      </w:r>
      <w:r>
        <w:t>года СЗСПЗП согласовал блок выводов по указанному сообщению Комиссии. Государства-члены высказали твердое намерение осуществлять Р</w:t>
      </w:r>
      <w:r>
        <w:t>а</w:t>
      </w:r>
      <w:r>
        <w:t>мочный документ ЕС по интеграции рома и договорились либо разработать н</w:t>
      </w:r>
      <w:r>
        <w:t>о</w:t>
      </w:r>
      <w:r>
        <w:t>вые национальные стратегии интеграции цыган, либо обновить или пересмо</w:t>
      </w:r>
      <w:r>
        <w:t>т</w:t>
      </w:r>
      <w:r>
        <w:t>реть уже существующие комплексные политические меры.</w:t>
      </w:r>
    </w:p>
    <w:p w:rsidR="00907DF0" w:rsidRDefault="00907DF0" w:rsidP="00907DF0">
      <w:pPr>
        <w:pStyle w:val="SingleTxtGR"/>
      </w:pPr>
      <w:r>
        <w:t>Было подчеркнуто, что по своему охвату подход каждого из государств-членов должен быть соразмерен численности и конкретному положению проживающих в нем цыган.</w:t>
      </w:r>
    </w:p>
    <w:p w:rsidR="00907DF0" w:rsidRDefault="00907DF0" w:rsidP="00907DF0">
      <w:pPr>
        <w:pStyle w:val="SingleTxtGR"/>
      </w:pPr>
      <w:r>
        <w:t>С учетом вышеизложенного далее излагается подход Дании к проблеме инт</w:t>
      </w:r>
      <w:r>
        <w:t>е</w:t>
      </w:r>
      <w:r>
        <w:t>грации цыган.</w:t>
      </w:r>
    </w:p>
    <w:p w:rsidR="00907DF0" w:rsidRDefault="00907DF0" w:rsidP="002F77D6">
      <w:pPr>
        <w:pStyle w:val="H23GR"/>
      </w:pPr>
      <w:r>
        <w:tab/>
        <w:t>1)</w:t>
      </w:r>
      <w:r>
        <w:tab/>
        <w:t>Информация о нынешнем положении цыган в Дании</w:t>
      </w:r>
    </w:p>
    <w:p w:rsidR="00907DF0" w:rsidRDefault="00907DF0" w:rsidP="00907DF0">
      <w:pPr>
        <w:pStyle w:val="SingleTxtGR"/>
      </w:pPr>
      <w:r>
        <w:t>Дания, как и весь Европейский союз в целом, придерживается таких ключевых ценностей, как уважение человеческого достоинства, свобода, демократия, ра</w:t>
      </w:r>
      <w:r>
        <w:t>в</w:t>
      </w:r>
      <w:r>
        <w:t>ноправие, верховенство права и уважение прав человека, включая права лиц, принадлежащих к меньшинствам.</w:t>
      </w:r>
    </w:p>
    <w:p w:rsidR="00907DF0" w:rsidRDefault="00907DF0" w:rsidP="00907DF0">
      <w:pPr>
        <w:pStyle w:val="SingleTxtGR"/>
      </w:pPr>
      <w:r>
        <w:t>Далее, система социального обеспечения Дании основана на принципах всео</w:t>
      </w:r>
      <w:r>
        <w:t>б</w:t>
      </w:r>
      <w:r>
        <w:t>щего и равного доступа к услугам по охране здоровья, образованию, обеспеч</w:t>
      </w:r>
      <w:r>
        <w:t>е</w:t>
      </w:r>
      <w:r>
        <w:t>нию жильем, трудоустройству и к социальным службам для всех лиц, законно проживающих в Дании, независимо от их национального или этнического пр</w:t>
      </w:r>
      <w:r>
        <w:t>о</w:t>
      </w:r>
      <w:r>
        <w:t>исхождения.</w:t>
      </w:r>
    </w:p>
    <w:p w:rsidR="00907DF0" w:rsidRDefault="00907DF0" w:rsidP="00907DF0">
      <w:pPr>
        <w:pStyle w:val="SingleTxtGR"/>
      </w:pPr>
      <w:r>
        <w:t>Эти принципы положены в основу датской стратегии интеграции рома.</w:t>
      </w:r>
    </w:p>
    <w:p w:rsidR="00907DF0" w:rsidRPr="00A07033" w:rsidRDefault="00907DF0" w:rsidP="00A07033">
      <w:pPr>
        <w:pStyle w:val="H4GR"/>
        <w:spacing w:before="240" w:line="240" w:lineRule="exact"/>
        <w:rPr>
          <w:lang w:val="en-US"/>
        </w:rPr>
      </w:pPr>
      <w:r>
        <w:tab/>
      </w:r>
      <w:r>
        <w:tab/>
        <w:t>Численность цыган в Дании</w:t>
      </w:r>
    </w:p>
    <w:p w:rsidR="00907DF0" w:rsidRDefault="00907DF0" w:rsidP="00907DF0">
      <w:pPr>
        <w:pStyle w:val="SingleTxtGR"/>
      </w:pPr>
      <w:r>
        <w:t>Статистических данных о цыганах в Дании не имеется по той причине, что р</w:t>
      </w:r>
      <w:r>
        <w:t>е</w:t>
      </w:r>
      <w:r>
        <w:t>гистрация этнического происхождения жителей страны в Дании не производи</w:t>
      </w:r>
      <w:r>
        <w:t>т</w:t>
      </w:r>
      <w:r>
        <w:t>ся. Так, например, в датской национальной системе регистрации актов гра</w:t>
      </w:r>
      <w:r>
        <w:t>ж</w:t>
      </w:r>
      <w:r>
        <w:t>данского состояния (СРАГС) фиксируются лишь основные персональные да</w:t>
      </w:r>
      <w:r>
        <w:t>н</w:t>
      </w:r>
      <w:r>
        <w:t>ные (ФИО, адрес, семейное положение, гражданство и пр.) каждого лица, з</w:t>
      </w:r>
      <w:r>
        <w:t>а</w:t>
      </w:r>
      <w:r>
        <w:t>конно проживающего в Дании. Сведения, содержащиеся в СРАГС, не включают данные об этнической принадлежности. Фиксировать в СРАГС данные об этн</w:t>
      </w:r>
      <w:r>
        <w:t>и</w:t>
      </w:r>
      <w:r>
        <w:t>ческой принадлежности не планируется, поскольку регистрация этнической принадлежности считается не соответствующей задачам СРАГС.</w:t>
      </w:r>
    </w:p>
    <w:p w:rsidR="00907DF0" w:rsidRDefault="00907DF0" w:rsidP="00907DF0">
      <w:pPr>
        <w:pStyle w:val="SingleTxtGR"/>
      </w:pPr>
      <w:r>
        <w:t>По оценкам Совета Европы, численность лиц цыганского происхождения в Д</w:t>
      </w:r>
      <w:r>
        <w:t>а</w:t>
      </w:r>
      <w:r>
        <w:t>нии составляет от 1</w:t>
      </w:r>
      <w:r w:rsidR="007674AE">
        <w:t> </w:t>
      </w:r>
      <w:r>
        <w:t>500 до 10</w:t>
      </w:r>
      <w:r w:rsidR="00CF6CDE">
        <w:t> 000 </w:t>
      </w:r>
      <w:r>
        <w:t>человек. По оценкам одного источника (НПО Датский совет по делам беженцев), в Дании проживает 2</w:t>
      </w:r>
      <w:r w:rsidR="007674AE">
        <w:t> </w:t>
      </w:r>
      <w:r>
        <w:t>000 цыган. По да</w:t>
      </w:r>
      <w:r>
        <w:t>н</w:t>
      </w:r>
      <w:r>
        <w:t>ным, приводимым в сообщении Комиссии по вопросу об интеграции рома, их численность в Дании составляет менее 0,1</w:t>
      </w:r>
      <w:r w:rsidR="00CF6CDE">
        <w:t>%</w:t>
      </w:r>
      <w:r>
        <w:t xml:space="preserve"> от общей численности нас</w:t>
      </w:r>
      <w:r>
        <w:t>е</w:t>
      </w:r>
      <w:r>
        <w:t>ления.</w:t>
      </w:r>
    </w:p>
    <w:p w:rsidR="00907DF0" w:rsidRDefault="00907DF0" w:rsidP="00907DF0">
      <w:pPr>
        <w:pStyle w:val="SingleTxtGR"/>
      </w:pPr>
      <w:r>
        <w:t>Большинство лиц цыганского происхождения прибыли в Данию в 1960-х и</w:t>
      </w:r>
      <w:r w:rsidR="00BA03D1">
        <w:t> </w:t>
      </w:r>
      <w:r>
        <w:t>1970-х годах в качестве трудящихся-мигрантов. В результате войны на Балк</w:t>
      </w:r>
      <w:r>
        <w:t>а</w:t>
      </w:r>
      <w:r>
        <w:t>нах в 1990-х годах Дания приняла еще примерно 21</w:t>
      </w:r>
      <w:r w:rsidR="00CF6CDE">
        <w:t> 000 </w:t>
      </w:r>
      <w:r>
        <w:t xml:space="preserve">беженцев из бывшей Югославии, в том числе неопределенное число лиц цыганского происхождения. Время от времени наблюдается имеющее сезонный характер прибытие </w:t>
      </w:r>
      <w:r w:rsidR="00BA03D1">
        <w:br/>
      </w:r>
      <w:r>
        <w:t>в Данию на временное пребывание небольшого количества цыган из других г</w:t>
      </w:r>
      <w:r>
        <w:t>о</w:t>
      </w:r>
      <w:r>
        <w:t>сударств</w:t>
      </w:r>
      <w:r w:rsidR="00BA03D1">
        <w:t> </w:t>
      </w:r>
      <w:r>
        <w:t>– членов ЕС, но, согласно имеющимся оценкам, число лиц цыга</w:t>
      </w:r>
      <w:r>
        <w:t>н</w:t>
      </w:r>
      <w:r>
        <w:t>ского происхождения в Дании последние 10</w:t>
      </w:r>
      <w:r w:rsidR="00BA03D1">
        <w:t> </w:t>
      </w:r>
      <w:r>
        <w:t>лет оставалось в целом относительно н</w:t>
      </w:r>
      <w:r>
        <w:t>е</w:t>
      </w:r>
      <w:r>
        <w:t>изменным.</w:t>
      </w:r>
    </w:p>
    <w:p w:rsidR="00907DF0" w:rsidRDefault="00907DF0" w:rsidP="00907DF0">
      <w:pPr>
        <w:pStyle w:val="SingleTxtGR"/>
      </w:pPr>
      <w:r>
        <w:t>В Дании цыгане не имеют статуса национального меньшинства. Это объясняе</w:t>
      </w:r>
      <w:r>
        <w:t>т</w:t>
      </w:r>
      <w:r>
        <w:t>ся в основном тем, что исторически лица цыганского происхождения не прож</w:t>
      </w:r>
      <w:r>
        <w:t>и</w:t>
      </w:r>
      <w:r>
        <w:t>вали в Дании на постоянной основе. В исторических архивах можно найти упоминания лишь об их эпизодическом присутствии. До 1950-х годов иммигр</w:t>
      </w:r>
      <w:r>
        <w:t>а</w:t>
      </w:r>
      <w:r>
        <w:t>ционное законодательство Дании предусматривало запрет на обоснование ц</w:t>
      </w:r>
      <w:r>
        <w:t>ы</w:t>
      </w:r>
      <w:r>
        <w:t>ган в стране.</w:t>
      </w:r>
    </w:p>
    <w:p w:rsidR="00907DF0" w:rsidRDefault="00907DF0" w:rsidP="00907DF0">
      <w:pPr>
        <w:pStyle w:val="SingleTxtGR"/>
      </w:pPr>
      <w:r>
        <w:t>По данным цыганского сетевого ресурса www.romnet.dk, зарегистрированного в</w:t>
      </w:r>
      <w:r w:rsidR="00BA03D1">
        <w:t> </w:t>
      </w:r>
      <w:r>
        <w:t>Дании, местами сосредоточения цыган являются Эльсиноре (Хельсинг</w:t>
      </w:r>
      <w:r w:rsidR="00CC0FD0">
        <w:t>е</w:t>
      </w:r>
      <w:r>
        <w:t>р) и</w:t>
      </w:r>
      <w:r w:rsidR="00BA03D1">
        <w:t> </w:t>
      </w:r>
      <w:r>
        <w:t>Копенгаген, однако цыгане небольшими группами проживают и в других г</w:t>
      </w:r>
      <w:r>
        <w:t>о</w:t>
      </w:r>
      <w:r>
        <w:t>родах по всей Дании.</w:t>
      </w:r>
    </w:p>
    <w:p w:rsidR="00907DF0" w:rsidRDefault="00907DF0" w:rsidP="00907DF0">
      <w:pPr>
        <w:pStyle w:val="SingleTxtGR"/>
      </w:pPr>
      <w:r>
        <w:t>С 1960-х годов муниципалитет Эльсиноре к северу от Копенгагена обеспечил расселение относительно многочисленной группы граждан цыганского прои</w:t>
      </w:r>
      <w:r>
        <w:t>с</w:t>
      </w:r>
      <w:r>
        <w:t>хождения. Выявить эту группу можно, главным образом, опираясь на профе</w:t>
      </w:r>
      <w:r>
        <w:t>с</w:t>
      </w:r>
      <w:r>
        <w:t>сиональные знания, которыми обладают работники городских служб. По оце</w:t>
      </w:r>
      <w:r>
        <w:t>н</w:t>
      </w:r>
      <w:r>
        <w:t>кам городских властей Эльсиноре, в этом муниципальном образовании прож</w:t>
      </w:r>
      <w:r>
        <w:t>и</w:t>
      </w:r>
      <w:r>
        <w:t>вает примерно 1</w:t>
      </w:r>
      <w:r w:rsidR="007674AE">
        <w:t> 000 </w:t>
      </w:r>
      <w:r>
        <w:t>человек цыганского происхождения. Эти люди обоснов</w:t>
      </w:r>
      <w:r>
        <w:t>а</w:t>
      </w:r>
      <w:r>
        <w:t>лись в Эльсиноре на постоянное проживание и по большей части натурализов</w:t>
      </w:r>
      <w:r>
        <w:t>а</w:t>
      </w:r>
      <w:r>
        <w:t>лись.</w:t>
      </w:r>
    </w:p>
    <w:p w:rsidR="00907DF0" w:rsidRDefault="00907DF0" w:rsidP="00907DF0">
      <w:pPr>
        <w:pStyle w:val="SingleTxtGR"/>
      </w:pPr>
      <w:r>
        <w:t>Датское правительство не считает, что наличие более точных сведений о цыг</w:t>
      </w:r>
      <w:r>
        <w:t>а</w:t>
      </w:r>
      <w:r>
        <w:t>нах (а также других этнических группах в Дании) сможет упростить задачу принятия адресных мер по улучшению положения той или иной этнической группы или оценки их результативности. Впрочем, в конечном итоге, учит</w:t>
      </w:r>
      <w:r>
        <w:t>ы</w:t>
      </w:r>
      <w:r>
        <w:t>вая, что цыганская община в Дании, как принято считать, относительно малочи</w:t>
      </w:r>
      <w:r>
        <w:t>с</w:t>
      </w:r>
      <w:r>
        <w:t>ленна и сосредоточена в немногих местах, Дания по-прежнему не усматривает необходимости в централизованной регистрации данных об этнической пр</w:t>
      </w:r>
      <w:r>
        <w:t>и</w:t>
      </w:r>
      <w:r>
        <w:t>надлежности. Международное право не запрещает регистрации данных об э</w:t>
      </w:r>
      <w:r>
        <w:t>т</w:t>
      </w:r>
      <w:r>
        <w:t>ничности с ясно выраженного согласия соответствующих лиц. Это означает, что регистрация данных об этничности может производиться в связи с осуществл</w:t>
      </w:r>
      <w:r>
        <w:t>е</w:t>
      </w:r>
      <w:r>
        <w:t>нием различных проектов на местном уровне, что позволяет надлежащим обр</w:t>
      </w:r>
      <w:r>
        <w:t>а</w:t>
      </w:r>
      <w:r>
        <w:t>зом заниматься конкретно, но не исключительно, проблемами цыган</w:t>
      </w:r>
      <w:r w:rsidR="00DB1820" w:rsidRPr="00DB1820">
        <w:rPr>
          <w:rStyle w:val="FootnoteReference"/>
        </w:rPr>
        <w:footnoteReference w:id="5"/>
      </w:r>
      <w:r>
        <w:t>.</w:t>
      </w:r>
    </w:p>
    <w:p w:rsidR="00907DF0" w:rsidRDefault="00907DF0" w:rsidP="00A07033">
      <w:pPr>
        <w:pStyle w:val="H4GR"/>
        <w:spacing w:before="240" w:line="240" w:lineRule="exact"/>
      </w:pPr>
      <w:r>
        <w:tab/>
      </w:r>
      <w:r>
        <w:tab/>
        <w:t>Социальное положение цыган в Дании</w:t>
      </w:r>
    </w:p>
    <w:p w:rsidR="00907DF0" w:rsidRDefault="00907DF0" w:rsidP="00907DF0">
      <w:pPr>
        <w:pStyle w:val="SingleTxtGR"/>
      </w:pPr>
      <w:r>
        <w:t>Цыгане в Дании происходят из разной среды: многие вполне интегрированы в</w:t>
      </w:r>
      <w:r w:rsidR="00BA03D1">
        <w:t> </w:t>
      </w:r>
      <w:r>
        <w:t>жизнь общества, а другие, в том числе те, кто пережил травматический опыт войны в бывшей Югославии и прибыл в последнее время, испытывают трудн</w:t>
      </w:r>
      <w:r>
        <w:t>о</w:t>
      </w:r>
      <w:r>
        <w:t>сти с получением образования и выходом на рынок труда. В Дании есть группа цыган, которые живут на субсидии или эпизодически заняты черной работой в</w:t>
      </w:r>
      <w:r w:rsidR="00BA03D1">
        <w:t> </w:t>
      </w:r>
      <w:r>
        <w:t>качестве, напр</w:t>
      </w:r>
      <w:r>
        <w:t>и</w:t>
      </w:r>
      <w:r>
        <w:t>мер, уборщиков.</w:t>
      </w:r>
    </w:p>
    <w:p w:rsidR="00907DF0" w:rsidRDefault="00907DF0" w:rsidP="00907DF0">
      <w:pPr>
        <w:pStyle w:val="SingleTxtGR"/>
      </w:pPr>
      <w:r>
        <w:t>Трудящиеся-мигранты из Восточной Европы нередко заняты в "зеленом" (сел</w:t>
      </w:r>
      <w:r>
        <w:t>ь</w:t>
      </w:r>
      <w:r>
        <w:t>ское хозяйство и садоводство) и строительном секторах. Среди этих групп м</w:t>
      </w:r>
      <w:r>
        <w:t>о</w:t>
      </w:r>
      <w:r>
        <w:t>гут быть и цыгане.</w:t>
      </w:r>
    </w:p>
    <w:p w:rsidR="00907DF0" w:rsidRDefault="00907DF0" w:rsidP="00907DF0">
      <w:pPr>
        <w:pStyle w:val="SingleTxtGR"/>
      </w:pPr>
      <w:r>
        <w:t>Цыгане в Дании живут по-разному. В некоторых семьях люди нескольких пок</w:t>
      </w:r>
      <w:r>
        <w:t>о</w:t>
      </w:r>
      <w:r>
        <w:t>лений живут под одной крышей, но многие живут в одиночку или в нуклеарной семье. Среди лиц цыганского происхождения существует традиция ранних бр</w:t>
      </w:r>
      <w:r>
        <w:t>а</w:t>
      </w:r>
      <w:r>
        <w:t>ков, но в Дании многие из них отошли от этой традиции, возможно, из-за ее о</w:t>
      </w:r>
      <w:r>
        <w:t>т</w:t>
      </w:r>
      <w:r>
        <w:t>рицательных последствий, в особенности по части перспектив получения обр</w:t>
      </w:r>
      <w:r>
        <w:t>а</w:t>
      </w:r>
      <w:r>
        <w:t>зования девочками</w:t>
      </w:r>
      <w:r w:rsidR="00DB1820" w:rsidRPr="00DB1820">
        <w:rPr>
          <w:rStyle w:val="FootnoteReference"/>
        </w:rPr>
        <w:footnoteReference w:id="6"/>
      </w:r>
      <w:r>
        <w:t>.</w:t>
      </w:r>
    </w:p>
    <w:p w:rsidR="00907DF0" w:rsidRDefault="00907DF0" w:rsidP="00907DF0">
      <w:pPr>
        <w:pStyle w:val="SingleTxtGR"/>
      </w:pPr>
      <w:r>
        <w:t>Муниципальные власти Эльсиноре выявили ряд социальных проблем, с кот</w:t>
      </w:r>
      <w:r>
        <w:t>о</w:t>
      </w:r>
      <w:r>
        <w:t>рыми сталкиваются цыгане, проживающие в этом муниципальном образовании, хотя статистических данных на этот счет не имеется. Так, например, согласно оценкам муниципальных властей, взрослые цыгане, как правило, имеют более низкий образовательный уровень, чем другие жители муниципалитета. Другим примером являются относительно более частые прогулы среди цыганских д</w:t>
      </w:r>
      <w:r>
        <w:t>е</w:t>
      </w:r>
      <w:r>
        <w:t>тей, худшее состояние зубов и нежелание польз</w:t>
      </w:r>
      <w:r>
        <w:t>о</w:t>
      </w:r>
      <w:r>
        <w:t>ваться услугами стоматологов по линии школы. Кроме того, по наблюдениям сотрудников муниципальных о</w:t>
      </w:r>
      <w:r>
        <w:t>р</w:t>
      </w:r>
      <w:r>
        <w:t>ганов, люди, принадлежащие к этой группе, слабо пользуются предлагаемыми муниципалитетом услугами по уходу за престарелыми, а информация о ней по рубрикам психиатрии и инвалидности явл</w:t>
      </w:r>
      <w:r>
        <w:t>я</w:t>
      </w:r>
      <w:r>
        <w:t>ется скудной.</w:t>
      </w:r>
    </w:p>
    <w:p w:rsidR="00907DF0" w:rsidRDefault="00907DF0" w:rsidP="00907DF0">
      <w:pPr>
        <w:pStyle w:val="SingleTxtGR"/>
      </w:pPr>
      <w:r>
        <w:t>В течение ряда лет муниципальные власти предпринимали попытки подст</w:t>
      </w:r>
      <w:r>
        <w:t>у</w:t>
      </w:r>
      <w:r>
        <w:t>питься к решению этих проблем с разных сторон; некоторые из предпринима</w:t>
      </w:r>
      <w:r>
        <w:t>в</w:t>
      </w:r>
      <w:r>
        <w:t>шихся мер были ориентированы исключительно на цыган (например, отдельные классы для цыган в начальной школе и цыганская секция в бюро по трудоус</w:t>
      </w:r>
      <w:r>
        <w:t>т</w:t>
      </w:r>
      <w:r>
        <w:t>ройству). Позднее от такого рода узко ориентированных мер отказались, п</w:t>
      </w:r>
      <w:r>
        <w:t>о</w:t>
      </w:r>
      <w:r>
        <w:t>скольку, при всем желании добиться более полной интеграции цыган, было признано, что такие программы лишь углубляют стигматизацию и снижают степень интеграции.</w:t>
      </w:r>
    </w:p>
    <w:p w:rsidR="00907DF0" w:rsidRDefault="00907DF0" w:rsidP="00907DF0">
      <w:pPr>
        <w:pStyle w:val="SingleTxtGR"/>
      </w:pPr>
      <w:r>
        <w:t>В докладе Совета Европы за 2010</w:t>
      </w:r>
      <w:r w:rsidR="00BA03D1">
        <w:t> </w:t>
      </w:r>
      <w:r>
        <w:t>год положение цыган в Дании описывается следующим образом: "Согласно закону о государственных школах с 2004</w:t>
      </w:r>
      <w:r w:rsidR="00BA03D1">
        <w:t> </w:t>
      </w:r>
      <w:r>
        <w:t>года практика организации классов, состоящих исключительно из цыган, в г. Эльс</w:t>
      </w:r>
      <w:r>
        <w:t>и</w:t>
      </w:r>
      <w:r>
        <w:t>норе (где проживает самая многочисленная в стране община цыган – приблиз</w:t>
      </w:r>
      <w:r>
        <w:t>и</w:t>
      </w:r>
      <w:r>
        <w:t>тельно 200</w:t>
      </w:r>
      <w:r w:rsidR="00BA03D1">
        <w:t> </w:t>
      </w:r>
      <w:r>
        <w:t>цыганских семей) была признана в Дании незаконной. Хотя</w:t>
      </w:r>
      <w:r w:rsidR="00BA03D1">
        <w:t>,</w:t>
      </w:r>
      <w:r>
        <w:t xml:space="preserve"> начиная с</w:t>
      </w:r>
      <w:r w:rsidR="00147CA1">
        <w:t> </w:t>
      </w:r>
      <w:r>
        <w:t>2005</w:t>
      </w:r>
      <w:r w:rsidR="00147CA1">
        <w:t> </w:t>
      </w:r>
      <w:r>
        <w:t>года</w:t>
      </w:r>
      <w:r w:rsidR="00BA03D1">
        <w:t>,</w:t>
      </w:r>
      <w:r>
        <w:t xml:space="preserve"> такие классы были расформированы, представители НПО сообщ</w:t>
      </w:r>
      <w:r>
        <w:t>а</w:t>
      </w:r>
      <w:r>
        <w:t>ют, что на деле сегрегация сохраняется. В Эльсиноре местные власти решили сократить размер материального пособия в тех случаях, когда дети не посещ</w:t>
      </w:r>
      <w:r>
        <w:t>а</w:t>
      </w:r>
      <w:r>
        <w:t>ют школу. После того как городской совет своим решением признал эту практ</w:t>
      </w:r>
      <w:r>
        <w:t>и</w:t>
      </w:r>
      <w:r>
        <w:t>ку незаконной, в законодательство были внесены поправки, которыми такая практика была легализована при условии соблюдения некоторых, весьма узких критериев. Преподаватели теперь проходят обучение навыкам преподавания датского как второго языка. Местные власти используют "утренних помощниц" (нанимаемые городским советом консультанты, в чьи обязанности входит пр</w:t>
      </w:r>
      <w:r>
        <w:t>и</w:t>
      </w:r>
      <w:r>
        <w:t>вод из дома детей, не появившихся в школе), надеясь тем самым повысить п</w:t>
      </w:r>
      <w:r>
        <w:t>о</w:t>
      </w:r>
      <w:r>
        <w:t>сещаемость школ цыганскими детьми. Местные власти сообщили докладчику об отсутствии на данный момент проектов по сохранению языка рома"</w:t>
      </w:r>
      <w:r w:rsidR="00DB1820" w:rsidRPr="00DB1820">
        <w:rPr>
          <w:rStyle w:val="FootnoteReference"/>
        </w:rPr>
        <w:footnoteReference w:id="7"/>
      </w:r>
      <w:r>
        <w:t>.</w:t>
      </w:r>
    </w:p>
    <w:p w:rsidR="00907DF0" w:rsidRDefault="00907DF0" w:rsidP="00907DF0">
      <w:pPr>
        <w:pStyle w:val="SingleTxtGR"/>
      </w:pPr>
      <w:r>
        <w:t>Далее в докладе приводится цитата из документа ЕКРН, касающаяся положения с трудоустройством цыган в Дании: "ЕКРН, отмечая широкие масштабы ди</w:t>
      </w:r>
      <w:r>
        <w:t>с</w:t>
      </w:r>
      <w:r>
        <w:t>криминации в отношении цыган в Дании в секторе трудоустройства, приходит к</w:t>
      </w:r>
      <w:r w:rsidR="00BA03D1">
        <w:t> </w:t>
      </w:r>
      <w:r>
        <w:t>выводу о том, что многим из них отводится черная работа. В Эльсиноре отдел занятости выделил двух социальных работников, которым было поручено зан</w:t>
      </w:r>
      <w:r>
        <w:t>и</w:t>
      </w:r>
      <w:r>
        <w:t>маться конкретно цыганами. Цыган всегда направляют к ним независимо от ц</w:t>
      </w:r>
      <w:r>
        <w:t>е</w:t>
      </w:r>
      <w:r>
        <w:t>ли обращения. Такой порядок, который якобы был призван более эффективно удовлетворять потребности цыган, не был факультативным: цыгане были об</w:t>
      </w:r>
      <w:r>
        <w:t>я</w:t>
      </w:r>
      <w:r>
        <w:t>заны обращаться только к этим двум лицам. Поэтому эта мера была признана дискр</w:t>
      </w:r>
      <w:r>
        <w:t>и</w:t>
      </w:r>
      <w:r>
        <w:t>минационной".</w:t>
      </w:r>
    </w:p>
    <w:p w:rsidR="00907DF0" w:rsidRDefault="00907DF0" w:rsidP="00907DF0">
      <w:pPr>
        <w:pStyle w:val="SingleTxtGR"/>
      </w:pPr>
      <w:r>
        <w:t>Как было отмечено выше, озабоченность по поводу дискриминационного х</w:t>
      </w:r>
      <w:r>
        <w:t>а</w:t>
      </w:r>
      <w:r>
        <w:t>рактера мер, ориентированных исключительно на цыган, была учтена, и горо</w:t>
      </w:r>
      <w:r>
        <w:t>д</w:t>
      </w:r>
      <w:r>
        <w:t>ские власти отошли от практики ориентации мер в сфере образования и соц</w:t>
      </w:r>
      <w:r>
        <w:t>и</w:t>
      </w:r>
      <w:r>
        <w:t>альных услуг исключительно на цыган.</w:t>
      </w:r>
    </w:p>
    <w:p w:rsidR="00907DF0" w:rsidRDefault="00907DF0" w:rsidP="00A07033">
      <w:pPr>
        <w:pStyle w:val="H4GR"/>
        <w:spacing w:before="240" w:line="240" w:lineRule="exact"/>
      </w:pPr>
      <w:r>
        <w:tab/>
      </w:r>
      <w:r>
        <w:tab/>
        <w:t>Торговля людьми применительно к цыганам</w:t>
      </w:r>
    </w:p>
    <w:p w:rsidR="00907DF0" w:rsidRDefault="00907DF0" w:rsidP="00907DF0">
      <w:pPr>
        <w:pStyle w:val="SingleTxtGR"/>
      </w:pPr>
      <w:r>
        <w:t>Датский центр по борьбе с торговлей людьми ведет сбор данных о жертвах то</w:t>
      </w:r>
      <w:r>
        <w:t>р</w:t>
      </w:r>
      <w:r>
        <w:t>говли людьми в разбивке не по этнической принадлежности, а лишь по гра</w:t>
      </w:r>
      <w:r>
        <w:t>ж</w:t>
      </w:r>
      <w:r>
        <w:t>данству. Согласно оценкам этого центра, основанным на опросах, проводи</w:t>
      </w:r>
      <w:r>
        <w:t>в</w:t>
      </w:r>
      <w:r>
        <w:t>шихся в 2007–2010</w:t>
      </w:r>
      <w:r w:rsidR="00BA03D1">
        <w:t> </w:t>
      </w:r>
      <w:r>
        <w:t>годах, половина про</w:t>
      </w:r>
      <w:r w:rsidR="007674AE">
        <w:t>ституток на улицах Копенгагена –</w:t>
      </w:r>
      <w:r>
        <w:t xml:space="preserve"> это румынки цыганского происхождения. Проституток цыганского происхождения можно также найти в массажных салонах за пределами Копенгагена. Было в</w:t>
      </w:r>
      <w:r>
        <w:t>ы</w:t>
      </w:r>
      <w:r>
        <w:t>явлено 19</w:t>
      </w:r>
      <w:r w:rsidR="00BA03D1">
        <w:t> </w:t>
      </w:r>
      <w:r>
        <w:t>женщин из Румынии, Словакии и Чешской Республики, которые ст</w:t>
      </w:r>
      <w:r>
        <w:t>а</w:t>
      </w:r>
      <w:r>
        <w:t>ли жертвами торговли людьми. Датскому центру по борьбе с торговлей людьми известно, что некоторые из этих женщин – цыганки. В 10</w:t>
      </w:r>
      <w:r w:rsidR="00BA03D1">
        <w:t> </w:t>
      </w:r>
      <w:r>
        <w:t>случаях обследования совершеннолетних цыганского происхождения из Румынии, Болгарии и Слов</w:t>
      </w:r>
      <w:r>
        <w:t>а</w:t>
      </w:r>
      <w:r>
        <w:t>кии социальные работники обнаруж</w:t>
      </w:r>
      <w:r>
        <w:t>и</w:t>
      </w:r>
      <w:r>
        <w:t>ли более или менее явные признаки того, что они стали жертвами торговли людьми.</w:t>
      </w:r>
    </w:p>
    <w:p w:rsidR="00907DF0" w:rsidRDefault="00907DF0" w:rsidP="00A07033">
      <w:pPr>
        <w:pStyle w:val="H23GR"/>
      </w:pPr>
      <w:r>
        <w:tab/>
        <w:t>2)</w:t>
      </w:r>
      <w:r>
        <w:tab/>
        <w:t>Национальные цели</w:t>
      </w:r>
    </w:p>
    <w:p w:rsidR="00907DF0" w:rsidRDefault="00907DF0" w:rsidP="00907DF0">
      <w:pPr>
        <w:pStyle w:val="SingleTxtGR"/>
      </w:pPr>
      <w:r>
        <w:t>Согласно имеющимся оценкам, число цыган в Дании составляет менее 0,1</w:t>
      </w:r>
      <w:r w:rsidR="00CF6CDE">
        <w:t>%</w:t>
      </w:r>
      <w:r>
        <w:t xml:space="preserve"> от общей численн</w:t>
      </w:r>
      <w:r>
        <w:t>о</w:t>
      </w:r>
      <w:r>
        <w:t>сти населения; по этой причине датское правительство считает правильным заниматься проблемами интеграции цыган в рамках комплекса взаимосвязанных политических мер, характерных для датского общества вс</w:t>
      </w:r>
      <w:r>
        <w:t>е</w:t>
      </w:r>
      <w:r>
        <w:t>общего благоденствия. Цели активной интеграции, повышения образовательн</w:t>
      </w:r>
      <w:r>
        <w:t>о</w:t>
      </w:r>
      <w:r>
        <w:t>го уровня, уровня занятости и здоровья в Дании распространяются на цыган в</w:t>
      </w:r>
      <w:r w:rsidR="00BA03D1">
        <w:t> </w:t>
      </w:r>
      <w:r>
        <w:t>той же мере, что и на другие проживающие в Дании этнические группы, с</w:t>
      </w:r>
      <w:r>
        <w:t>о</w:t>
      </w:r>
      <w:r>
        <w:t>ставляющие меньшинства.</w:t>
      </w:r>
    </w:p>
    <w:p w:rsidR="00907DF0" w:rsidRDefault="00907DF0" w:rsidP="00907DF0">
      <w:pPr>
        <w:pStyle w:val="SingleTxtGR"/>
      </w:pPr>
      <w:r>
        <w:t>Правительство страны считает обеспечение равных возможностей основопол</w:t>
      </w:r>
      <w:r>
        <w:t>а</w:t>
      </w:r>
      <w:r>
        <w:t>гающим принципом датского общества. Интеграционная политика Дании осн</w:t>
      </w:r>
      <w:r>
        <w:t>о</w:t>
      </w:r>
      <w:r>
        <w:t>вана на идее о том, что все лица, законно проживающие в Дании, должны пол</w:t>
      </w:r>
      <w:r>
        <w:t>ь</w:t>
      </w:r>
      <w:r>
        <w:t>зоваться равными правами и основными свободами без какой-либо дискрим</w:t>
      </w:r>
      <w:r>
        <w:t>и</w:t>
      </w:r>
      <w:r>
        <w:t>нации в области образования, занятости, обеспечения жильем и медицинского обслуживания.</w:t>
      </w:r>
    </w:p>
    <w:p w:rsidR="00907DF0" w:rsidRDefault="00907DF0" w:rsidP="00907DF0">
      <w:pPr>
        <w:pStyle w:val="SingleTxtGR"/>
      </w:pPr>
      <w:r>
        <w:t>В датском законе об интеграции конкретно прописано, что этот закон ставит целью помочь иммигрантам в полной мере раскрыть свои способности и и</w:t>
      </w:r>
      <w:r>
        <w:t>с</w:t>
      </w:r>
      <w:r>
        <w:t>пользовать свои ресурсы и стать активными, экономически самостоятельными гражданами наравне с другими гражданами, составляющими датское общ</w:t>
      </w:r>
      <w:r>
        <w:t>е</w:t>
      </w:r>
      <w:r>
        <w:t>ство.</w:t>
      </w:r>
    </w:p>
    <w:p w:rsidR="00907DF0" w:rsidRDefault="00907DF0" w:rsidP="00907DF0">
      <w:pPr>
        <w:pStyle w:val="SingleTxtGR"/>
      </w:pPr>
      <w:r>
        <w:t>Ответственность за определение содержания услуг и их оказание передана на муниципальный уровень. В прошлом возникали некоторые трудности с разр</w:t>
      </w:r>
      <w:r>
        <w:t>а</w:t>
      </w:r>
      <w:r>
        <w:t>боткой надлежащих мер, напрямую, но не исключительно, нацеленных на р</w:t>
      </w:r>
      <w:r>
        <w:t>е</w:t>
      </w:r>
      <w:r>
        <w:t>шение проблем рома. Поэтому датское правительство намерено поставить в к</w:t>
      </w:r>
      <w:r>
        <w:t>а</w:t>
      </w:r>
      <w:r>
        <w:t>честве одной из задач содействие распространению информации об уроках, и</w:t>
      </w:r>
      <w:r>
        <w:t>з</w:t>
      </w:r>
      <w:r>
        <w:t>влеченных другими государствами – членами ЕС, а также ознакомление всех муниципалитетов с "10 общими основополагающими принципами интеграции рома" и разработанной Комиссией стратегией интеграции рома.</w:t>
      </w:r>
    </w:p>
    <w:p w:rsidR="00907DF0" w:rsidRDefault="00907DF0" w:rsidP="00A07033">
      <w:pPr>
        <w:pStyle w:val="H23GR"/>
      </w:pPr>
      <w:r>
        <w:tab/>
        <w:t>3)</w:t>
      </w:r>
      <w:r>
        <w:tab/>
        <w:t>План действий</w:t>
      </w:r>
    </w:p>
    <w:p w:rsidR="00907DF0" w:rsidRDefault="00907DF0" w:rsidP="00907DF0">
      <w:pPr>
        <w:pStyle w:val="SingleTxtGR"/>
      </w:pPr>
      <w:r>
        <w:t>Датский план действий по интеграции рома включает три следующих комп</w:t>
      </w:r>
      <w:r>
        <w:t>о</w:t>
      </w:r>
      <w:r>
        <w:t>нента:</w:t>
      </w:r>
    </w:p>
    <w:p w:rsidR="00907DF0" w:rsidRPr="00115667" w:rsidRDefault="00907DF0" w:rsidP="004141B2">
      <w:pPr>
        <w:pStyle w:val="SingleTxtGR"/>
        <w:tabs>
          <w:tab w:val="clear" w:pos="1701"/>
        </w:tabs>
        <w:ind w:left="1701" w:hanging="170"/>
      </w:pPr>
      <w:r w:rsidRPr="00115667">
        <w:t>•</w:t>
      </w:r>
      <w:r w:rsidRPr="00115667">
        <w:tab/>
        <w:t>полномасштабное задействование имеющихся интеграционных инстр</w:t>
      </w:r>
      <w:r w:rsidRPr="00115667">
        <w:t>у</w:t>
      </w:r>
      <w:r w:rsidRPr="00115667">
        <w:t>ментов в интересах инт</w:t>
      </w:r>
      <w:r w:rsidRPr="00115667">
        <w:t>е</w:t>
      </w:r>
      <w:r w:rsidRPr="00115667">
        <w:t>грации цыган;</w:t>
      </w:r>
    </w:p>
    <w:p w:rsidR="00907DF0" w:rsidRPr="00115667" w:rsidRDefault="00907DF0" w:rsidP="004141B2">
      <w:pPr>
        <w:pStyle w:val="SingleTxtGR"/>
        <w:tabs>
          <w:tab w:val="clear" w:pos="1701"/>
        </w:tabs>
        <w:ind w:left="1701" w:hanging="170"/>
      </w:pPr>
      <w:r w:rsidRPr="00115667">
        <w:t>•</w:t>
      </w:r>
      <w:r w:rsidRPr="00115667">
        <w:tab/>
        <w:t>продолжение и наращивание усилий по борьбе с бедностью и соц</w:t>
      </w:r>
      <w:r w:rsidRPr="00115667">
        <w:t>и</w:t>
      </w:r>
      <w:r w:rsidRPr="00115667">
        <w:t>альной изоляцией в целом;</w:t>
      </w:r>
    </w:p>
    <w:p w:rsidR="00907DF0" w:rsidRDefault="00907DF0" w:rsidP="004141B2">
      <w:pPr>
        <w:pStyle w:val="SingleTxtGR"/>
        <w:tabs>
          <w:tab w:val="clear" w:pos="1701"/>
        </w:tabs>
        <w:ind w:left="1701" w:hanging="170"/>
      </w:pPr>
      <w:r w:rsidRPr="00115667">
        <w:t>•</w:t>
      </w:r>
      <w:r w:rsidRPr="00115667">
        <w:tab/>
        <w:t>распространение информации о передовом опыте и согласованных при</w:t>
      </w:r>
      <w:r w:rsidRPr="00115667">
        <w:t>н</w:t>
      </w:r>
      <w:r w:rsidRPr="00115667">
        <w:t>ципах интеграции цыган на муниципальном уровне.</w:t>
      </w:r>
    </w:p>
    <w:p w:rsidR="00907DF0" w:rsidRDefault="00907DF0" w:rsidP="00A07033">
      <w:pPr>
        <w:pStyle w:val="H4GR"/>
        <w:spacing w:before="240" w:line="240" w:lineRule="exact"/>
        <w:ind w:left="1134"/>
      </w:pPr>
      <w:r>
        <w:t xml:space="preserve">Полномасштабное задействование имеющихся интеграционных инструментов </w:t>
      </w:r>
      <w:r w:rsidR="00A07033" w:rsidRPr="00A07033">
        <w:br/>
      </w:r>
      <w:r>
        <w:t>для целей активной интеграции</w:t>
      </w:r>
    </w:p>
    <w:p w:rsidR="00907DF0" w:rsidRDefault="00907DF0" w:rsidP="00907DF0">
      <w:pPr>
        <w:pStyle w:val="SingleTxtGR"/>
      </w:pPr>
      <w:r>
        <w:t>Дани</w:t>
      </w:r>
      <w:r w:rsidR="00221FE4">
        <w:t>я</w:t>
      </w:r>
      <w:r>
        <w:t xml:space="preserve"> осуществляет широкие меры по интеграции, которые охватывают, в</w:t>
      </w:r>
      <w:r w:rsidR="007674AE">
        <w:t> частности</w:t>
      </w:r>
      <w:r w:rsidR="00221FE4">
        <w:t>,</w:t>
      </w:r>
      <w:r>
        <w:t xml:space="preserve"> и цыган.</w:t>
      </w:r>
    </w:p>
    <w:p w:rsidR="00907DF0" w:rsidRDefault="00907DF0" w:rsidP="00907DF0">
      <w:pPr>
        <w:pStyle w:val="SingleTxtGR"/>
      </w:pPr>
      <w:r>
        <w:t>Согласно закону об интеграции вновь прибывшим беженцам и воссоединя</w:t>
      </w:r>
      <w:r>
        <w:t>ю</w:t>
      </w:r>
      <w:r>
        <w:t>щимся с членом семьи вновь прибывшим иммигрантам в возрасте от 18</w:t>
      </w:r>
      <w:r w:rsidR="00BA03D1">
        <w:t> </w:t>
      </w:r>
      <w:r>
        <w:t>лет, к</w:t>
      </w:r>
      <w:r>
        <w:t>о</w:t>
      </w:r>
      <w:r>
        <w:t>торые охватываются положениями закона об интеграции, предлагается пройти обучение по разработанной компетентным местным органом программе инт</w:t>
      </w:r>
      <w:r>
        <w:t>е</w:t>
      </w:r>
      <w:r>
        <w:t>грации. Такая программа рассчитана на срок в три года. Охват и содержание программы интеграции, разработанной для каждого отдельного иммигранта, фиксируются в договоре об интеграции. Условия такого договора действуют до момента выдачи иммигранту постоянного вида на жительство.</w:t>
      </w:r>
    </w:p>
    <w:p w:rsidR="00907DF0" w:rsidRDefault="00907DF0" w:rsidP="00907DF0">
      <w:pPr>
        <w:pStyle w:val="SingleTxtGR"/>
      </w:pPr>
      <w:r>
        <w:t>Договор об интеграции составляется местным органом власти во взаимодейс</w:t>
      </w:r>
      <w:r>
        <w:t>т</w:t>
      </w:r>
      <w:r>
        <w:t>вии с конкретным иммигрантом или беженцем в месячный срок с даты перед</w:t>
      </w:r>
      <w:r>
        <w:t>а</w:t>
      </w:r>
      <w:r>
        <w:t>чи местному органу власти ответственности за интеграцию данного лица. Д</w:t>
      </w:r>
      <w:r>
        <w:t>о</w:t>
      </w:r>
      <w:r>
        <w:t>говор должен быть составлен на основе оценки способностей лица и его жи</w:t>
      </w:r>
      <w:r>
        <w:t>з</w:t>
      </w:r>
      <w:r>
        <w:t>ненного багажа с прицелом на его выход на рынок труда или получение соо</w:t>
      </w:r>
      <w:r>
        <w:t>т</w:t>
      </w:r>
      <w:r>
        <w:t>ветствующего образ</w:t>
      </w:r>
      <w:r>
        <w:t>о</w:t>
      </w:r>
      <w:r>
        <w:t>вания.</w:t>
      </w:r>
    </w:p>
    <w:p w:rsidR="00907DF0" w:rsidRDefault="00907DF0" w:rsidP="00907DF0">
      <w:pPr>
        <w:pStyle w:val="SingleTxtGR"/>
      </w:pPr>
      <w:r>
        <w:t>Местный орган обязан в месячный срок после передачи ему ответственности за интеграцию соответствующего лица предложить ему пройти обучение на ку</w:t>
      </w:r>
      <w:r>
        <w:t>р</w:t>
      </w:r>
      <w:r>
        <w:t>сах датского языка. Взрослые иностранцы имеют право изучать датский язык в</w:t>
      </w:r>
      <w:r w:rsidR="00BA03D1">
        <w:t> </w:t>
      </w:r>
      <w:r>
        <w:t>течение периода продолжительностью до трех лет. Языковые курсы поделены на модули, каждый из которых имеет конкретное предназначение.</w:t>
      </w:r>
    </w:p>
    <w:p w:rsidR="00907DF0" w:rsidRDefault="00907DF0" w:rsidP="00907DF0">
      <w:pPr>
        <w:pStyle w:val="SingleTxtGR"/>
      </w:pPr>
      <w:r>
        <w:t>В мае 2010</w:t>
      </w:r>
      <w:r w:rsidR="00BA03D1">
        <w:t> </w:t>
      </w:r>
      <w:r>
        <w:t>года парламент принял поправку к закону об интеграции, пред</w:t>
      </w:r>
      <w:r>
        <w:t>у</w:t>
      </w:r>
      <w:r>
        <w:t>сматривающую, в частности, следующие моменты:</w:t>
      </w:r>
    </w:p>
    <w:p w:rsidR="00907DF0" w:rsidRDefault="00907DF0" w:rsidP="004141B2">
      <w:pPr>
        <w:pStyle w:val="SingleTxtGR"/>
        <w:tabs>
          <w:tab w:val="clear" w:pos="1701"/>
        </w:tabs>
        <w:ind w:left="1701" w:hanging="170"/>
      </w:pPr>
      <w:r>
        <w:t>•</w:t>
      </w:r>
      <w:r>
        <w:tab/>
        <w:t>расширение целевой группы, на которую ориентирован закон об интегр</w:t>
      </w:r>
      <w:r>
        <w:t>а</w:t>
      </w:r>
      <w:r>
        <w:t>ции, и охвата государственных мероприятий по интеграции. С 1</w:t>
      </w:r>
      <w:r w:rsidR="00BA03D1">
        <w:t> </w:t>
      </w:r>
      <w:r>
        <w:t>августа 2010</w:t>
      </w:r>
      <w:r w:rsidR="00BA03D1">
        <w:t> </w:t>
      </w:r>
      <w:r>
        <w:t>года закон об интеграции распространяется на всех иммигрантов, имеющих вид на жительство, а также граждан других северных стран, стран – членов ЕС и ЕЭП, которые подпадают под действие правил о св</w:t>
      </w:r>
      <w:r>
        <w:t>о</w:t>
      </w:r>
      <w:r>
        <w:t>боде передвижения граждан в ра</w:t>
      </w:r>
      <w:r>
        <w:t>м</w:t>
      </w:r>
      <w:r>
        <w:t>ках ЕС;</w:t>
      </w:r>
    </w:p>
    <w:p w:rsidR="00907DF0" w:rsidRDefault="00907DF0" w:rsidP="004141B2">
      <w:pPr>
        <w:pStyle w:val="SingleTxtGR"/>
        <w:tabs>
          <w:tab w:val="clear" w:pos="1701"/>
        </w:tabs>
        <w:ind w:left="1701" w:hanging="170"/>
      </w:pPr>
      <w:r>
        <w:t>•</w:t>
      </w:r>
      <w:r>
        <w:tab/>
        <w:t>введение нового базового курса по ознакомлению с датским обществом, культурой и историей страны;</w:t>
      </w:r>
    </w:p>
    <w:p w:rsidR="00907DF0" w:rsidRDefault="00907DF0" w:rsidP="004141B2">
      <w:pPr>
        <w:pStyle w:val="SingleTxtGR"/>
        <w:tabs>
          <w:tab w:val="clear" w:pos="1701"/>
        </w:tabs>
        <w:ind w:left="1701" w:hanging="170"/>
      </w:pPr>
      <w:r>
        <w:t>•</w:t>
      </w:r>
      <w:r>
        <w:tab/>
        <w:t>введение вводно-ознакомительного курса (упрощенный вариант вводно-ознакомительной программы), ориентированного на трудящихся мигра</w:t>
      </w:r>
      <w:r>
        <w:t>н</w:t>
      </w:r>
      <w:r>
        <w:t>тов, граждан стран ЕС и др.</w:t>
      </w:r>
    </w:p>
    <w:p w:rsidR="00907DF0" w:rsidRDefault="00907DF0" w:rsidP="00907DF0">
      <w:pPr>
        <w:pStyle w:val="SingleTxtGR"/>
      </w:pPr>
      <w:r>
        <w:t>В рамках интеграционной политики было начато осуществление ряда иници</w:t>
      </w:r>
      <w:r>
        <w:t>а</w:t>
      </w:r>
      <w:r>
        <w:t>тив, нацеленных на интеграцию и вовлечение в жизнь общества всех, кто пр</w:t>
      </w:r>
      <w:r>
        <w:t>о</w:t>
      </w:r>
      <w:r>
        <w:t>живает в Дании. В качестве примера можно сослаться на пропагандистскую кампанию "Нам дорог каждый подросток" (софинансирование по линии Евр</w:t>
      </w:r>
      <w:r>
        <w:t>о</w:t>
      </w:r>
      <w:r>
        <w:t>пейского социального фонда), в рамках которой оказывается содействие фо</w:t>
      </w:r>
      <w:r>
        <w:t>р</w:t>
      </w:r>
      <w:r>
        <w:t>мированию групп лиц, способных служить образцом для подражания, из числа молодых людей и родителей, принадлежащих к этническим меньшинствам, с</w:t>
      </w:r>
      <w:r w:rsidR="00BA03D1">
        <w:t> </w:t>
      </w:r>
      <w:r>
        <w:t>целью побудить молодежь к поступлению в учебные заведения и прохожд</w:t>
      </w:r>
      <w:r>
        <w:t>е</w:t>
      </w:r>
      <w:r>
        <w:t>нию полного курса обучения. Местные группы такого рода уже учреждены в</w:t>
      </w:r>
      <w:r w:rsidR="00BA03D1">
        <w:t> </w:t>
      </w:r>
      <w:r>
        <w:t>нескольких муниципальных образованиях Дании, в том числе в Эльсиноре и</w:t>
      </w:r>
      <w:r w:rsidR="00BA03D1">
        <w:t> </w:t>
      </w:r>
      <w:r>
        <w:t>Копенгагене – двух городах, где проживает большинство находящихся в Д</w:t>
      </w:r>
      <w:r>
        <w:t>а</w:t>
      </w:r>
      <w:r>
        <w:t>нии цыган.</w:t>
      </w:r>
    </w:p>
    <w:p w:rsidR="00907DF0" w:rsidRDefault="00907DF0" w:rsidP="00907DF0">
      <w:pPr>
        <w:pStyle w:val="SingleTxtGR"/>
      </w:pPr>
      <w:r>
        <w:t>Кроме того, в принятом правительством в октябре 2011</w:t>
      </w:r>
      <w:r w:rsidR="00BA03D1">
        <w:t> </w:t>
      </w:r>
      <w:r>
        <w:t>года новом програм</w:t>
      </w:r>
      <w:r>
        <w:t>м</w:t>
      </w:r>
      <w:r>
        <w:t>ном документе "За единство датского народа" выражено намерение правител</w:t>
      </w:r>
      <w:r>
        <w:t>ь</w:t>
      </w:r>
      <w:r>
        <w:t>ства прилагать всесторонние усилия к обеспечению более полной интеграции всех иммигрантов в датское общество. В эти усилия вписана пересмотренная стратегия по борьбе с дискриминацией. Правительство планирует проводить пропагандистские кампании и оказывать муниципалитетам и частным компан</w:t>
      </w:r>
      <w:r>
        <w:t>и</w:t>
      </w:r>
      <w:r>
        <w:t>ям помощь в их усилиях по борьбе с дискриминацией во всех формах. На пер</w:t>
      </w:r>
      <w:r>
        <w:t>и</w:t>
      </w:r>
      <w:r>
        <w:t>од 2012–2016</w:t>
      </w:r>
      <w:r w:rsidR="00BA03D1">
        <w:t> </w:t>
      </w:r>
      <w:r>
        <w:t>годов было выделено в общей сложности 20</w:t>
      </w:r>
      <w:r w:rsidR="00CF6CDE">
        <w:t> млн. </w:t>
      </w:r>
      <w:r>
        <w:t>датских крон (приблизительно 2,7</w:t>
      </w:r>
      <w:r w:rsidR="00CF6CDE">
        <w:t> млн. </w:t>
      </w:r>
      <w:r>
        <w:t>евро) на финансирование инициатив, нацеленных на воспитание гражданственности и борьбу с дискриминацией.</w:t>
      </w:r>
    </w:p>
    <w:p w:rsidR="00907DF0" w:rsidRDefault="00907DF0" w:rsidP="00907DF0">
      <w:pPr>
        <w:pStyle w:val="SingleTxtGR"/>
      </w:pPr>
      <w:r>
        <w:t>Правительство считает, что этот общий подход к интеграции применим также к</w:t>
      </w:r>
      <w:r w:rsidR="00BA03D1">
        <w:t> </w:t>
      </w:r>
      <w:r>
        <w:t>интеграции прожива</w:t>
      </w:r>
      <w:r>
        <w:t>ю</w:t>
      </w:r>
      <w:r>
        <w:t>щих в Дании лиц цыганского происхождения.</w:t>
      </w:r>
    </w:p>
    <w:p w:rsidR="00907DF0" w:rsidRDefault="00907DF0" w:rsidP="00A07033">
      <w:pPr>
        <w:pStyle w:val="H4GR"/>
        <w:spacing w:before="240" w:line="240" w:lineRule="exact"/>
        <w:ind w:left="1134"/>
      </w:pPr>
      <w:r>
        <w:t xml:space="preserve">Продолжение и наращивание усилий по борьбе с бедностью и социальной </w:t>
      </w:r>
      <w:r w:rsidR="00AC018F">
        <w:br/>
      </w:r>
      <w:r>
        <w:t>изоляцией в ц</w:t>
      </w:r>
      <w:r>
        <w:t>е</w:t>
      </w:r>
      <w:r>
        <w:t>лом</w:t>
      </w:r>
    </w:p>
    <w:p w:rsidR="00907DF0" w:rsidRDefault="00907DF0" w:rsidP="00907DF0">
      <w:pPr>
        <w:pStyle w:val="SingleTxtGR"/>
      </w:pPr>
      <w:r>
        <w:t>Основным инструментом борьбы с социальной изоляцией в Дании является с</w:t>
      </w:r>
      <w:r>
        <w:t>и</w:t>
      </w:r>
      <w:r>
        <w:t>стема социального обеспечения, полностью финансируемая из налоговых п</w:t>
      </w:r>
      <w:r>
        <w:t>о</w:t>
      </w:r>
      <w:r>
        <w:t>ступлений. Соответственно, датский подход изначально включает в себя шир</w:t>
      </w:r>
      <w:r>
        <w:t>о</w:t>
      </w:r>
      <w:r>
        <w:t>кий круг инициатив и программ, которые систематически подвергаются адапт</w:t>
      </w:r>
      <w:r>
        <w:t>а</w:t>
      </w:r>
      <w:r>
        <w:t>ции и корректировке для сведения к минимуму опасности попадания граждан в</w:t>
      </w:r>
      <w:r w:rsidR="00BA03D1">
        <w:t> </w:t>
      </w:r>
      <w:r>
        <w:t>положение соц</w:t>
      </w:r>
      <w:r>
        <w:t>и</w:t>
      </w:r>
      <w:r>
        <w:t>альной изоляции.</w:t>
      </w:r>
    </w:p>
    <w:p w:rsidR="00907DF0" w:rsidRDefault="00907DF0" w:rsidP="00907DF0">
      <w:pPr>
        <w:pStyle w:val="SingleTxtGR"/>
      </w:pPr>
      <w:r>
        <w:t>Все граждане, законно проживающие на территории Дании, имеют право на п</w:t>
      </w:r>
      <w:r>
        <w:t>о</w:t>
      </w:r>
      <w:r>
        <w:t>лучение льгот по линии системы социального обеспечения, а также на польз</w:t>
      </w:r>
      <w:r>
        <w:t>о</w:t>
      </w:r>
      <w:r>
        <w:t>вание услугами системы социального обслуживания, здравоохранения и обр</w:t>
      </w:r>
      <w:r>
        <w:t>а</w:t>
      </w:r>
      <w:r>
        <w:t>зования независимо от различий в их социальном положении и этнической принадлежности. Ниже, в разделе</w:t>
      </w:r>
      <w:r w:rsidR="00BA03D1">
        <w:t> </w:t>
      </w:r>
      <w:r>
        <w:t>4 "Горизонтальные аспекты" разъясняется, каким образом проводимая Данией общая политика социальной интеграции с</w:t>
      </w:r>
      <w:r>
        <w:t>о</w:t>
      </w:r>
      <w:r>
        <w:t>действует более полной интеграции цыган.</w:t>
      </w:r>
    </w:p>
    <w:p w:rsidR="00907DF0" w:rsidRDefault="00907DF0" w:rsidP="00907DF0">
      <w:pPr>
        <w:pStyle w:val="SingleTxtGR"/>
      </w:pPr>
      <w:r>
        <w:t>Помимо средств на цели социальной интеграции, выделяемых из государстве</w:t>
      </w:r>
      <w:r>
        <w:t>н</w:t>
      </w:r>
      <w:r>
        <w:t>ного бюджета, финансирование предоставляется и по линии Европейского со</w:t>
      </w:r>
      <w:r>
        <w:t>ю</w:t>
      </w:r>
      <w:r>
        <w:t>за. Цель ЕС – содействовать общему гармоничному развитию, укрепляя соц</w:t>
      </w:r>
      <w:r>
        <w:t>и</w:t>
      </w:r>
      <w:r>
        <w:t>ально-экономическую сплоченность посредством сокращения неравенства в</w:t>
      </w:r>
      <w:r w:rsidR="00BA03D1">
        <w:t> </w:t>
      </w:r>
      <w:r>
        <w:t>уровне развития между различными регионами (ст. 158–162 Договора о ЕС). В этой связи Европейской комиссией учреждены два финансовых инструме</w:t>
      </w:r>
      <w:r>
        <w:t>н</w:t>
      </w:r>
      <w:r>
        <w:t>та</w:t>
      </w:r>
      <w:r w:rsidR="00BA03D1">
        <w:t> </w:t>
      </w:r>
      <w:r>
        <w:t>– структурные фонды и Фонд сплочения. Из этих фондов осуществляется ч</w:t>
      </w:r>
      <w:r>
        <w:t>а</w:t>
      </w:r>
      <w:r>
        <w:t>стичное финансирование региональных и горизонтальных мероприятий в гос</w:t>
      </w:r>
      <w:r>
        <w:t>у</w:t>
      </w:r>
      <w:r>
        <w:t>дарствах-членах (для этого используются отдельные отраслевые фонды). По линии программ на 2007–2013 годы, финансируемых из структурных фондов ЕС, оказывается содействие в ускорении экономического роста и повышении занятости во всех регионах и городах Европейского союза по трем приорите</w:t>
      </w:r>
      <w:r>
        <w:t>т</w:t>
      </w:r>
      <w:r>
        <w:t>ным направлениям:</w:t>
      </w:r>
    </w:p>
    <w:p w:rsidR="00907DF0" w:rsidRDefault="00F2412B" w:rsidP="004141B2">
      <w:pPr>
        <w:pStyle w:val="SingleTxtGR"/>
        <w:tabs>
          <w:tab w:val="clear" w:pos="1701"/>
        </w:tabs>
        <w:ind w:left="1701" w:hanging="170"/>
      </w:pPr>
      <w:r w:rsidRPr="00D33638">
        <w:rPr>
          <w:cs/>
        </w:rPr>
        <w:t>•</w:t>
      </w:r>
      <w:r w:rsidR="00907DF0">
        <w:tab/>
        <w:t>преодоление разрыва;</w:t>
      </w:r>
    </w:p>
    <w:p w:rsidR="00907DF0" w:rsidRDefault="00907DF0" w:rsidP="004141B2">
      <w:pPr>
        <w:pStyle w:val="SingleTxtGR"/>
        <w:tabs>
          <w:tab w:val="clear" w:pos="1701"/>
        </w:tabs>
        <w:ind w:left="1701" w:hanging="170"/>
      </w:pPr>
      <w:r>
        <w:t>•</w:t>
      </w:r>
      <w:r>
        <w:tab/>
        <w:t>региональная конкурентоспособность и занятость;</w:t>
      </w:r>
    </w:p>
    <w:p w:rsidR="00907DF0" w:rsidRDefault="00907DF0" w:rsidP="004141B2">
      <w:pPr>
        <w:pStyle w:val="SingleTxtGR"/>
        <w:tabs>
          <w:tab w:val="clear" w:pos="1701"/>
        </w:tabs>
        <w:ind w:left="1701" w:hanging="170"/>
      </w:pPr>
      <w:r>
        <w:t>•</w:t>
      </w:r>
      <w:r>
        <w:tab/>
        <w:t>европейское территориальное сотрудничество.</w:t>
      </w:r>
    </w:p>
    <w:p w:rsidR="00907DF0" w:rsidRDefault="00907DF0" w:rsidP="00907DF0">
      <w:pPr>
        <w:pStyle w:val="SingleTxtGR"/>
      </w:pPr>
      <w:r>
        <w:t>Усилия по достижению этих целей подкреплены финансовыми инструментами сплочения в объеме 308</w:t>
      </w:r>
      <w:r w:rsidR="007674AE">
        <w:t> млрд. </w:t>
      </w:r>
      <w:r>
        <w:t>евро. Поскольку правила, определяющие крит</w:t>
      </w:r>
      <w:r>
        <w:t>е</w:t>
      </w:r>
      <w:r>
        <w:t>рии для выделения средств, теперь устанавливаю</w:t>
      </w:r>
      <w:r>
        <w:t>т</w:t>
      </w:r>
      <w:r>
        <w:t>ся национальными властями, а не Сообществом, государства-члены располагают значительно более ш</w:t>
      </w:r>
      <w:r>
        <w:t>и</w:t>
      </w:r>
      <w:r>
        <w:t>рокой свободой маневра при реализации оперативных программ, призванных соде</w:t>
      </w:r>
      <w:r>
        <w:t>й</w:t>
      </w:r>
      <w:r>
        <w:t>ствовать региональному экономическому росту и созданию новых рабочих мест.</w:t>
      </w:r>
    </w:p>
    <w:p w:rsidR="00907DF0" w:rsidRDefault="00907DF0" w:rsidP="00907DF0">
      <w:pPr>
        <w:pStyle w:val="SingleTxtGR"/>
      </w:pPr>
      <w:r>
        <w:t>Дания пользуется этой возросшей самостоятельностью в связи с реализацией датских программ по л</w:t>
      </w:r>
      <w:r>
        <w:t>и</w:t>
      </w:r>
      <w:r>
        <w:t>нии структурных фондов на 2007–2013</w:t>
      </w:r>
      <w:r w:rsidR="006F0F19">
        <w:t> </w:t>
      </w:r>
      <w:r>
        <w:t>годы. Ее усилия в этой связи направлены на достижение поставленных ЕС целей посредством поддержки мероприятий по четырем основным направлениям обеспечения ро</w:t>
      </w:r>
      <w:r>
        <w:t>с</w:t>
      </w:r>
      <w:r>
        <w:t>та:</w:t>
      </w:r>
    </w:p>
    <w:p w:rsidR="00907DF0" w:rsidRDefault="00907DF0" w:rsidP="004141B2">
      <w:pPr>
        <w:pStyle w:val="SingleTxtGR"/>
        <w:tabs>
          <w:tab w:val="clear" w:pos="1701"/>
        </w:tabs>
        <w:ind w:left="1701" w:hanging="170"/>
      </w:pPr>
      <w:r>
        <w:t>•</w:t>
      </w:r>
      <w:r>
        <w:tab/>
        <w:t>развитие человеческого потенциала;</w:t>
      </w:r>
    </w:p>
    <w:p w:rsidR="00907DF0" w:rsidRDefault="00907DF0" w:rsidP="004141B2">
      <w:pPr>
        <w:pStyle w:val="SingleTxtGR"/>
        <w:tabs>
          <w:tab w:val="clear" w:pos="1701"/>
        </w:tabs>
        <w:ind w:left="1701" w:hanging="170"/>
      </w:pPr>
      <w:r>
        <w:t>•</w:t>
      </w:r>
      <w:r>
        <w:tab/>
        <w:t>использование новых технологий;</w:t>
      </w:r>
    </w:p>
    <w:p w:rsidR="00907DF0" w:rsidRDefault="00907DF0" w:rsidP="004141B2">
      <w:pPr>
        <w:pStyle w:val="SingleTxtGR"/>
        <w:tabs>
          <w:tab w:val="clear" w:pos="1701"/>
        </w:tabs>
        <w:ind w:left="1701" w:hanging="170"/>
      </w:pPr>
      <w:r>
        <w:t>•</w:t>
      </w:r>
      <w:r>
        <w:tab/>
        <w:t>создание и развитие новых предприятий и инновационные пр</w:t>
      </w:r>
      <w:r>
        <w:t>о</w:t>
      </w:r>
      <w:r>
        <w:t>граммы;</w:t>
      </w:r>
    </w:p>
    <w:p w:rsidR="00907DF0" w:rsidRDefault="00AC018F" w:rsidP="004141B2">
      <w:pPr>
        <w:pStyle w:val="SingleTxtGR"/>
        <w:tabs>
          <w:tab w:val="clear" w:pos="1701"/>
        </w:tabs>
        <w:ind w:left="1701" w:hanging="170"/>
      </w:pPr>
      <w:r>
        <w:t>•</w:t>
      </w:r>
      <w:r>
        <w:tab/>
      </w:r>
      <w:r w:rsidR="00907DF0">
        <w:t>накопление знаний и обмен ими.</w:t>
      </w:r>
    </w:p>
    <w:p w:rsidR="00907DF0" w:rsidRDefault="00907DF0" w:rsidP="00907DF0">
      <w:pPr>
        <w:pStyle w:val="SingleTxtGR"/>
      </w:pPr>
      <w:r>
        <w:t>На получение финансовой поддержки могут претендовать инициаторы любых проектов, направленных на достижение этих целей</w:t>
      </w:r>
      <w:r w:rsidR="00DB1820" w:rsidRPr="00DB1820">
        <w:rPr>
          <w:rStyle w:val="FootnoteReference"/>
        </w:rPr>
        <w:footnoteReference w:id="8"/>
      </w:r>
      <w:r>
        <w:t>. Конкретно на проекты по интеграции цыган средства заложены не были, но инициаторы проектов, вп</w:t>
      </w:r>
      <w:r>
        <w:t>и</w:t>
      </w:r>
      <w:r>
        <w:t>сывающихся в вышеназванные направления, могут претендовать на получ</w:t>
      </w:r>
      <w:r>
        <w:t>е</w:t>
      </w:r>
      <w:r>
        <w:t>ние поддержки.</w:t>
      </w:r>
    </w:p>
    <w:p w:rsidR="00907DF0" w:rsidRDefault="00907DF0" w:rsidP="00A07033">
      <w:pPr>
        <w:pStyle w:val="H23GR"/>
      </w:pPr>
      <w:r>
        <w:tab/>
        <w:t>4)</w:t>
      </w:r>
      <w:r>
        <w:tab/>
        <w:t>Горизонтальные аспекты</w:t>
      </w:r>
    </w:p>
    <w:p w:rsidR="00907DF0" w:rsidRDefault="00907DF0" w:rsidP="00907DF0">
      <w:pPr>
        <w:pStyle w:val="SingleTxtGR"/>
      </w:pPr>
      <w:r>
        <w:t>В Дании социальные программы осуществляются, а социальные услуги оказ</w:t>
      </w:r>
      <w:r>
        <w:t>ы</w:t>
      </w:r>
      <w:r>
        <w:t>ваются безотносительно к этнической принадлежности бенефициаров. П</w:t>
      </w:r>
      <w:r>
        <w:t>о</w:t>
      </w:r>
      <w:r>
        <w:t>скольку Дания проводит курс на содействие интеграции цыган по линии общей стратегии интеграции, в данном разделе освещается вопрос о том, как ко</w:t>
      </w:r>
      <w:r>
        <w:t>м</w:t>
      </w:r>
      <w:r>
        <w:t>плексные политические меры могут служить интересам цыганской общины в</w:t>
      </w:r>
      <w:r w:rsidR="006F0F19">
        <w:t> </w:t>
      </w:r>
      <w:r>
        <w:t>Дании. В соответствии с приоритетными направлениями, выделенными в с</w:t>
      </w:r>
      <w:r>
        <w:t>о</w:t>
      </w:r>
      <w:r>
        <w:t>общении Комиссии, приводится информация по следующим областям: образ</w:t>
      </w:r>
      <w:r>
        <w:t>о</w:t>
      </w:r>
      <w:r>
        <w:t>вание, занятность, здравоохранение и обеспечение жильем.</w:t>
      </w:r>
    </w:p>
    <w:p w:rsidR="00907DF0" w:rsidRPr="00A07033" w:rsidRDefault="00907DF0" w:rsidP="00A07033">
      <w:pPr>
        <w:pStyle w:val="H4GR"/>
        <w:spacing w:before="240" w:line="240" w:lineRule="exact"/>
        <w:ind w:left="1134"/>
      </w:pPr>
      <w:r w:rsidRPr="00A07033">
        <w:t>Политика в сфере образования</w:t>
      </w:r>
    </w:p>
    <w:p w:rsidR="00907DF0" w:rsidRDefault="00907DF0" w:rsidP="00907DF0">
      <w:pPr>
        <w:pStyle w:val="SingleTxtGR"/>
      </w:pPr>
      <w:r>
        <w:t>В соответствии с политической установкой датского правительства, при зачи</w:t>
      </w:r>
      <w:r>
        <w:t>с</w:t>
      </w:r>
      <w:r>
        <w:t>лении в школу дети должны распределяться преимущественно по обычным классам. Обучение должно вестись с учетом потребностей и уровня развития конкретных учеников. Для этого могут использоваться различные виды дифф</w:t>
      </w:r>
      <w:r>
        <w:t>е</w:t>
      </w:r>
      <w:r>
        <w:t>ренцированного обучения. Соответственно, цели обеспечения интеграции на уровне начальных школ распространяются на учеников цыганского происхо</w:t>
      </w:r>
      <w:r>
        <w:t>ж</w:t>
      </w:r>
      <w:r>
        <w:t>дения.</w:t>
      </w:r>
    </w:p>
    <w:p w:rsidR="00907DF0" w:rsidRDefault="00907DF0" w:rsidP="00907DF0">
      <w:pPr>
        <w:pStyle w:val="SingleTxtGR"/>
      </w:pPr>
      <w:r>
        <w:t>Трудности, связанные с интеграцией цыган в системе образования, преодол</w:t>
      </w:r>
      <w:r>
        <w:t>е</w:t>
      </w:r>
      <w:r>
        <w:t>ваются в рамках существующих программ, ориентированных на уязвимые группы, то есть на двуязычных учеников. Данные исследований свидетельс</w:t>
      </w:r>
      <w:r>
        <w:t>т</w:t>
      </w:r>
      <w:r>
        <w:t>вуют о том, что успеваемость у двуязычных учеников относительно ниже, чем у этнических датчан (данные, приведенные в докладе ПМОУ, посвященном этн</w:t>
      </w:r>
      <w:r>
        <w:t>и</w:t>
      </w:r>
      <w:r>
        <w:t>ческим проблемам, за 2009</w:t>
      </w:r>
      <w:r w:rsidR="006F0F19">
        <w:t> </w:t>
      </w:r>
      <w:r>
        <w:t>год, свидетельствуют о том, что успеваемость дв</w:t>
      </w:r>
      <w:r>
        <w:t>у</w:t>
      </w:r>
      <w:r>
        <w:t>язычных учеников все еще ниже, чем у этнических датчан. Так, по чтению ра</w:t>
      </w:r>
      <w:r>
        <w:t>з</w:t>
      </w:r>
      <w:r>
        <w:t>ница между учениками из среды иммигрантов и этническими датчанами с</w:t>
      </w:r>
      <w:r>
        <w:t>о</w:t>
      </w:r>
      <w:r>
        <w:t>ставляет примерно 70</w:t>
      </w:r>
      <w:r w:rsidR="006F0F19">
        <w:t> </w:t>
      </w:r>
      <w:r>
        <w:t>пунктов ПМОУ). Требуется приложить особые усилия к</w:t>
      </w:r>
      <w:r w:rsidR="006F0F19">
        <w:t> </w:t>
      </w:r>
      <w:r>
        <w:t>тому, чтобы стимулировать двуязычных учеников начальных школ на продо</w:t>
      </w:r>
      <w:r>
        <w:t>л</w:t>
      </w:r>
      <w:r>
        <w:t>жение обучения в средней школе. Поэтому пр</w:t>
      </w:r>
      <w:r>
        <w:t>а</w:t>
      </w:r>
      <w:r>
        <w:t>вительство выдвинуло ряд новых инициатив по наращиванию мер, ориентированных на двуязычных учеников.</w:t>
      </w:r>
    </w:p>
    <w:p w:rsidR="00907DF0" w:rsidRPr="00A07033" w:rsidRDefault="00A07033" w:rsidP="00A07033">
      <w:pPr>
        <w:pStyle w:val="H56GR"/>
      </w:pPr>
      <w:r>
        <w:rPr>
          <w:lang w:val="en-US"/>
        </w:rPr>
        <w:tab/>
      </w:r>
      <w:r>
        <w:rPr>
          <w:lang w:val="en-US"/>
        </w:rPr>
        <w:tab/>
      </w:r>
      <w:r w:rsidR="00907DF0" w:rsidRPr="00A07033">
        <w:t>Задачи, поставленные перед государственными начальными школами и</w:t>
      </w:r>
      <w:r w:rsidR="006F0F19">
        <w:t> </w:t>
      </w:r>
      <w:r w:rsidR="00907DF0" w:rsidRPr="00A07033">
        <w:t>средними школами низшей ступени</w:t>
      </w:r>
    </w:p>
    <w:p w:rsidR="00907DF0" w:rsidRDefault="00907DF0" w:rsidP="00907DF0">
      <w:pPr>
        <w:pStyle w:val="SingleTxtGR"/>
      </w:pPr>
      <w:r>
        <w:t>Образование в начальных школах и средних школах низшей ступени построено на демократических началах. Это явствует из того, как сформулированы задачи государственных начальных школ: "Следовательно, для работы начальной шк</w:t>
      </w:r>
      <w:r>
        <w:t>о</w:t>
      </w:r>
      <w:r>
        <w:t>лы должны быть характеры интеллектуальная свобода, равноправие и демокр</w:t>
      </w:r>
      <w:r>
        <w:t>а</w:t>
      </w:r>
      <w:r>
        <w:t>тия". В государственной начальной школе детей учат участвовать в жизни о</w:t>
      </w:r>
      <w:r>
        <w:t>б</w:t>
      </w:r>
      <w:r>
        <w:t>щества и брать на себя ответственность за жизнь общества, реализуя свои права и обязанности.</w:t>
      </w:r>
    </w:p>
    <w:p w:rsidR="00907DF0" w:rsidRDefault="00907DF0" w:rsidP="00907DF0">
      <w:pPr>
        <w:pStyle w:val="SingleTxtGR"/>
      </w:pPr>
      <w:r>
        <w:t>Указанная формулировка находит свое отражение в изучаемых в школе предм</w:t>
      </w:r>
      <w:r>
        <w:t>е</w:t>
      </w:r>
      <w:r>
        <w:t>тах. Это особенно касается общественных дисциплин, которые являются обяз</w:t>
      </w:r>
      <w:r>
        <w:t>а</w:t>
      </w:r>
      <w:r>
        <w:t>тельными для учеников старших классов, и подтверждается содержанием уче</w:t>
      </w:r>
      <w:r>
        <w:t>б</w:t>
      </w:r>
      <w:r>
        <w:t>ных планов по соответствующему предмету: одна из ключевых задач препод</w:t>
      </w:r>
      <w:r>
        <w:t>а</w:t>
      </w:r>
      <w:r>
        <w:t>вателя – заострять внимание на роли граждан в демократическом политическом устройстве общества, в том числе на правах и обязанностях граждан Дании и</w:t>
      </w:r>
      <w:r w:rsidR="006F0F19">
        <w:t> </w:t>
      </w:r>
      <w:r>
        <w:t>значении юридических прав граждан в демократическом обществе. Соотве</w:t>
      </w:r>
      <w:r>
        <w:t>т</w:t>
      </w:r>
      <w:r>
        <w:t>ственно, ученикам прививается представление о различных экономических, с</w:t>
      </w:r>
      <w:r>
        <w:t>о</w:t>
      </w:r>
      <w:r>
        <w:t>циальных, культурных и образовательных требованиях, которым должны отв</w:t>
      </w:r>
      <w:r>
        <w:t>е</w:t>
      </w:r>
      <w:r>
        <w:t>чать люди, чтобы стать активными гражданами своей страны.</w:t>
      </w:r>
    </w:p>
    <w:p w:rsidR="00907DF0" w:rsidRPr="00A07033" w:rsidRDefault="00907DF0" w:rsidP="00A07033">
      <w:pPr>
        <w:pStyle w:val="H56GR"/>
        <w:rPr>
          <w:lang w:val="en-US"/>
        </w:rPr>
      </w:pPr>
      <w:r w:rsidRPr="00A07033">
        <w:rPr>
          <w:lang w:val="en-US"/>
        </w:rPr>
        <w:tab/>
      </w:r>
      <w:r w:rsidRPr="00A07033">
        <w:rPr>
          <w:lang w:val="en-US"/>
        </w:rPr>
        <w:tab/>
        <w:t>Подход, применяемый в Эльсиноре</w:t>
      </w:r>
    </w:p>
    <w:p w:rsidR="00907DF0" w:rsidRDefault="00907DF0" w:rsidP="00907DF0">
      <w:pPr>
        <w:pStyle w:val="SingleTxtGR"/>
      </w:pPr>
      <w:r>
        <w:t>В свое время в муниципальном образовании Эльсиноре в начальных школах были сформированы специальные предвыпускные классы для учеников цыга</w:t>
      </w:r>
      <w:r>
        <w:t>н</w:t>
      </w:r>
      <w:r>
        <w:t>ского происхождения. Однако к настоящему моменту от этой практики отказ</w:t>
      </w:r>
      <w:r>
        <w:t>а</w:t>
      </w:r>
      <w:r>
        <w:t>лись, и теперь в начальных школах муниципального образования Эльсиноре ученики цыганского происхождения учатся в обычных классах. Это отвечает политическим установкам датского правительства.</w:t>
      </w:r>
    </w:p>
    <w:p w:rsidR="00907DF0" w:rsidRDefault="00907DF0" w:rsidP="00907DF0">
      <w:pPr>
        <w:pStyle w:val="SingleTxtGR"/>
      </w:pPr>
      <w:r>
        <w:t>В муниципальном образовании Эльсиноре основные трудности в связи с ц</w:t>
      </w:r>
      <w:r>
        <w:t>ы</w:t>
      </w:r>
      <w:r>
        <w:t>ганскими учениками проявляются в выпускных классах начальной школы. Т</w:t>
      </w:r>
      <w:r>
        <w:t>а</w:t>
      </w:r>
      <w:r>
        <w:t>кие ученики нередко прогуливают занятия, несмотря на осуществляемую г</w:t>
      </w:r>
      <w:r>
        <w:t>о</w:t>
      </w:r>
      <w:r>
        <w:t>родскими властями специальную программу, нацеленную на удержание учен</w:t>
      </w:r>
      <w:r>
        <w:t>и</w:t>
      </w:r>
      <w:r>
        <w:t>ков в школе. Так, например, каждый ученик работает по индивидуальному пл</w:t>
      </w:r>
      <w:r>
        <w:t>а</w:t>
      </w:r>
      <w:r>
        <w:t>ну.</w:t>
      </w:r>
    </w:p>
    <w:p w:rsidR="00907DF0" w:rsidRDefault="00907DF0" w:rsidP="00907DF0">
      <w:pPr>
        <w:pStyle w:val="SingleTxtGR"/>
      </w:pPr>
      <w:r>
        <w:t>Однако школы по-прежнему сталкиваются с трудностями по части интеграции учеников в обычные классы. В необходимых случаях ученикам цыганского происхождения предлагаются дополнительные занятия из расчета 10</w:t>
      </w:r>
      <w:r w:rsidR="006F0F19">
        <w:t> часов в </w:t>
      </w:r>
      <w:r>
        <w:t>неделю, но пользуются этой формой обучения весьма немногие. Факты пр</w:t>
      </w:r>
      <w:r>
        <w:t>о</w:t>
      </w:r>
      <w:r>
        <w:t>гулов доводятся до сведения местных административных органов, если это признано отвечающим интересам ученика.</w:t>
      </w:r>
    </w:p>
    <w:p w:rsidR="00907DF0" w:rsidRDefault="00907DF0" w:rsidP="00907DF0">
      <w:pPr>
        <w:pStyle w:val="SingleTxtGR"/>
      </w:pPr>
      <w:r>
        <w:t>Вместе с тем при обучении во вводно-ознакомительных классах ученики ц</w:t>
      </w:r>
      <w:r>
        <w:t>ы</w:t>
      </w:r>
      <w:r>
        <w:t>ганского происхождения проявляют себя более положительно. Прогулы явл</w:t>
      </w:r>
      <w:r>
        <w:t>я</w:t>
      </w:r>
      <w:r>
        <w:t>ются более ограниченными по масштабам, а успеваемость выше. Кроме того, налажено более плотное взаимодействие между школами и родителями.</w:t>
      </w:r>
    </w:p>
    <w:p w:rsidR="00907DF0" w:rsidRPr="00A07033" w:rsidRDefault="00907DF0" w:rsidP="00A07033">
      <w:pPr>
        <w:pStyle w:val="H4GR"/>
        <w:spacing w:before="240" w:line="240" w:lineRule="exact"/>
        <w:ind w:left="1134"/>
      </w:pPr>
      <w:r w:rsidRPr="00A07033">
        <w:t>Всеохватная политика занятости</w:t>
      </w:r>
    </w:p>
    <w:p w:rsidR="00907DF0" w:rsidRDefault="00907DF0" w:rsidP="00907DF0">
      <w:pPr>
        <w:pStyle w:val="SingleTxtGR"/>
      </w:pPr>
      <w:r>
        <w:t>Датская стратегия в сфере занятости применительно к датским гражданам и э</w:t>
      </w:r>
      <w:r>
        <w:t>т</w:t>
      </w:r>
      <w:r>
        <w:t>ническим меньшинствам акцентирует проведение активной политики занят</w:t>
      </w:r>
      <w:r>
        <w:t>о</w:t>
      </w:r>
      <w:r>
        <w:t>сти, нацеленной на оказание людям помощи в труд</w:t>
      </w:r>
      <w:r>
        <w:t>о</w:t>
      </w:r>
      <w:r>
        <w:t>устройстве.</w:t>
      </w:r>
    </w:p>
    <w:p w:rsidR="00907DF0" w:rsidRDefault="00907DF0" w:rsidP="00907DF0">
      <w:pPr>
        <w:pStyle w:val="SingleTxtGR"/>
      </w:pPr>
      <w:r>
        <w:t>Бюро по трудоустройству используют следующие методы работы:</w:t>
      </w:r>
    </w:p>
    <w:p w:rsidR="00907DF0" w:rsidRDefault="00907DF0" w:rsidP="004141B2">
      <w:pPr>
        <w:pStyle w:val="SingleTxtGR"/>
        <w:tabs>
          <w:tab w:val="clear" w:pos="1701"/>
        </w:tabs>
        <w:ind w:left="1701" w:hanging="170"/>
      </w:pPr>
      <w:r>
        <w:t>•</w:t>
      </w:r>
      <w:r>
        <w:tab/>
        <w:t>консультации по поводу трудоустройства;</w:t>
      </w:r>
    </w:p>
    <w:p w:rsidR="00907DF0" w:rsidRDefault="00907DF0" w:rsidP="004141B2">
      <w:pPr>
        <w:pStyle w:val="SingleTxtGR"/>
        <w:tabs>
          <w:tab w:val="clear" w:pos="1701"/>
        </w:tabs>
        <w:ind w:left="1701" w:hanging="170"/>
      </w:pPr>
      <w:r>
        <w:t>•</w:t>
      </w:r>
      <w:r>
        <w:tab/>
        <w:t>различные виды субсидирования заработной платы, когда безработный приобретает новую спец</w:t>
      </w:r>
      <w:r>
        <w:t>и</w:t>
      </w:r>
      <w:r>
        <w:t>ализацию на предприятиях;</w:t>
      </w:r>
    </w:p>
    <w:p w:rsidR="00907DF0" w:rsidRDefault="00907DF0" w:rsidP="004141B2">
      <w:pPr>
        <w:pStyle w:val="SingleTxtGR"/>
        <w:tabs>
          <w:tab w:val="clear" w:pos="1701"/>
        </w:tabs>
        <w:ind w:left="1701" w:hanging="170"/>
      </w:pPr>
      <w:r>
        <w:t>•</w:t>
      </w:r>
      <w:r>
        <w:tab/>
        <w:t>предоставление рекомендаций и повышение квалификации (например, организация занятий датским языком для цыган и других н</w:t>
      </w:r>
      <w:r>
        <w:t>е</w:t>
      </w:r>
      <w:r>
        <w:t>датчан).</w:t>
      </w:r>
    </w:p>
    <w:p w:rsidR="00907DF0" w:rsidRDefault="00907DF0" w:rsidP="00907DF0">
      <w:pPr>
        <w:pStyle w:val="SingleTxtGR"/>
      </w:pPr>
      <w:r>
        <w:t xml:space="preserve">Помимо этих мер общего характера датское правительство выступило с рядом адресных инициатив по содействию выходу членов ущемленных социальных групп, например этнических меньшинств </w:t>
      </w:r>
      <w:r w:rsidR="006F0F19">
        <w:t>(включая цыган), на рынок труда.</w:t>
      </w:r>
    </w:p>
    <w:p w:rsidR="00907DF0" w:rsidRDefault="00907DF0" w:rsidP="00A07033">
      <w:pPr>
        <w:pStyle w:val="H56GR"/>
      </w:pPr>
      <w:r>
        <w:tab/>
      </w:r>
      <w:r>
        <w:tab/>
        <w:t>"Новый старт для каждого"</w:t>
      </w:r>
    </w:p>
    <w:p w:rsidR="00907DF0" w:rsidRDefault="00907DF0" w:rsidP="00907DF0">
      <w:pPr>
        <w:pStyle w:val="SingleTxtGR"/>
      </w:pPr>
      <w:r>
        <w:t>В 2006</w:t>
      </w:r>
      <w:r w:rsidR="006F0F19">
        <w:t> </w:t>
      </w:r>
      <w:r>
        <w:t>году была инициирована рассчитанная на два года общенациональная кампания "Новый старт для каждого" с постановкой определенных на общен</w:t>
      </w:r>
      <w:r>
        <w:t>а</w:t>
      </w:r>
      <w:r>
        <w:t>циональном уровне целей для всех 98</w:t>
      </w:r>
      <w:r w:rsidR="006F0F19">
        <w:t> </w:t>
      </w:r>
      <w:r>
        <w:t>муниципалитетов. Эта кампания была призвана побудить муниципалитеты к проведению программ повышения на</w:t>
      </w:r>
      <w:r>
        <w:t>й</w:t>
      </w:r>
      <w:r>
        <w:t>мопригодности, рассчитанных на безработных, получающих социальное пос</w:t>
      </w:r>
      <w:r>
        <w:t>о</w:t>
      </w:r>
      <w:r>
        <w:t>бие и не участвовавших в подобных программах свыше 12</w:t>
      </w:r>
      <w:r w:rsidR="006F0F19">
        <w:t> </w:t>
      </w:r>
      <w:r>
        <w:t>месяцев. На эту кампанию правительством было выделено пр</w:t>
      </w:r>
      <w:r>
        <w:t>и</w:t>
      </w:r>
      <w:r>
        <w:t>мерно 78</w:t>
      </w:r>
      <w:r w:rsidR="007674AE">
        <w:t> </w:t>
      </w:r>
      <w:r>
        <w:t>млн</w:t>
      </w:r>
      <w:r w:rsidR="00AC018F">
        <w:t>.</w:t>
      </w:r>
      <w:r w:rsidR="006F0F19">
        <w:t> </w:t>
      </w:r>
      <w:r>
        <w:t>евро.</w:t>
      </w:r>
    </w:p>
    <w:p w:rsidR="00907DF0" w:rsidRDefault="00907DF0" w:rsidP="00A07033">
      <w:pPr>
        <w:pStyle w:val="H56GR"/>
      </w:pPr>
      <w:r>
        <w:tab/>
      </w:r>
      <w:r>
        <w:tab/>
        <w:t>Национальное бюро по содействию трудоустройству представителей этнических мен</w:t>
      </w:r>
      <w:r>
        <w:t>ь</w:t>
      </w:r>
      <w:r>
        <w:t>шинств</w:t>
      </w:r>
    </w:p>
    <w:p w:rsidR="00907DF0" w:rsidRDefault="00907DF0" w:rsidP="00907DF0">
      <w:pPr>
        <w:pStyle w:val="SingleTxtGR"/>
      </w:pPr>
      <w:r>
        <w:t>Национальное бюро по содействию трудоустройству представителей этнич</w:t>
      </w:r>
      <w:r>
        <w:t>е</w:t>
      </w:r>
      <w:r>
        <w:t>ских меньшинств снабжает бюро по трудоустройству информацией о том, как помочь представителям этнических меньшинств, в том числе цыганам, устр</w:t>
      </w:r>
      <w:r>
        <w:t>о</w:t>
      </w:r>
      <w:r>
        <w:t>иться на работу. Бюро распространяет информацию о передовом опыте вывода представителей этнических меньшинств, включая цыган, на рынок труда и п</w:t>
      </w:r>
      <w:r>
        <w:t>о</w:t>
      </w:r>
      <w:r>
        <w:t>могает бюро по трудоустройству разрабатывать механизмы и методы расшир</w:t>
      </w:r>
      <w:r>
        <w:t>е</w:t>
      </w:r>
      <w:r>
        <w:t>ния доступа на рынок труда.</w:t>
      </w:r>
    </w:p>
    <w:p w:rsidR="00907DF0" w:rsidRDefault="00907DF0" w:rsidP="00A07033">
      <w:pPr>
        <w:pStyle w:val="H56GR"/>
      </w:pPr>
      <w:r>
        <w:tab/>
      </w:r>
      <w:r>
        <w:tab/>
        <w:t>200 новых консультантов по трудоустройству</w:t>
      </w:r>
    </w:p>
    <w:p w:rsidR="00907DF0" w:rsidRDefault="00907DF0" w:rsidP="00907DF0">
      <w:pPr>
        <w:pStyle w:val="SingleTxtGR"/>
      </w:pPr>
      <w:r>
        <w:t>После достижения в 2006</w:t>
      </w:r>
      <w:r w:rsidR="006F0F19">
        <w:t> </w:t>
      </w:r>
      <w:r>
        <w:t>году политической договоренности по вопросам с</w:t>
      </w:r>
      <w:r>
        <w:t>о</w:t>
      </w:r>
      <w:r>
        <w:t>циального обеспечения в муниципалитеты были направлены 200</w:t>
      </w:r>
      <w:r w:rsidR="006F0F19">
        <w:t> </w:t>
      </w:r>
      <w:r>
        <w:t>новых ко</w:t>
      </w:r>
      <w:r>
        <w:t>н</w:t>
      </w:r>
      <w:r>
        <w:t>сультантов по вопросам трудоустройства, а самим муниципалитетам была ок</w:t>
      </w:r>
      <w:r>
        <w:t>а</w:t>
      </w:r>
      <w:r>
        <w:t>зана экономическая поддержка в размере 40</w:t>
      </w:r>
      <w:r w:rsidR="00CF6CDE">
        <w:t> млн. </w:t>
      </w:r>
      <w:r>
        <w:t>евро на четырехлетний пер</w:t>
      </w:r>
      <w:r>
        <w:t>и</w:t>
      </w:r>
      <w:r>
        <w:t>од. Эти консультанты по трудоустройству работают в 15</w:t>
      </w:r>
      <w:r w:rsidR="006F0F19">
        <w:t> </w:t>
      </w:r>
      <w:r>
        <w:t>муниципалитетах, где наиболее велика численность представителей этнических меньшинств, пол</w:t>
      </w:r>
      <w:r>
        <w:t>у</w:t>
      </w:r>
      <w:r>
        <w:t>чающих социальные пособия. Консультанты по трудоустройству помогают представителям этнических меньшинств, включая цыган, выйти на рынок тр</w:t>
      </w:r>
      <w:r>
        <w:t>у</w:t>
      </w:r>
      <w:r>
        <w:t>да, используя метод практического участия.</w:t>
      </w:r>
    </w:p>
    <w:p w:rsidR="00907DF0" w:rsidRDefault="00907DF0" w:rsidP="00A07033">
      <w:pPr>
        <w:pStyle w:val="H56GR"/>
      </w:pPr>
      <w:r>
        <w:tab/>
      </w:r>
      <w:r>
        <w:tab/>
        <w:t>Общинное бюро по трудоустройству</w:t>
      </w:r>
    </w:p>
    <w:p w:rsidR="00907DF0" w:rsidRDefault="00907DF0" w:rsidP="00907DF0">
      <w:pPr>
        <w:pStyle w:val="SingleTxtGR"/>
      </w:pPr>
      <w:r>
        <w:t>Муниципалитетам, где имеются жилые кварталы, относимые к категории гетто, оказывается финансовая помощь в создании в таких кварталах общинного бюро по трудоустройству. При этом преследуется цель налаживания тесных конта</w:t>
      </w:r>
      <w:r>
        <w:t>к</w:t>
      </w:r>
      <w:r>
        <w:t>тов с находящимися в неблагоприятном положении жителями, включая, в соо</w:t>
      </w:r>
      <w:r>
        <w:t>т</w:t>
      </w:r>
      <w:r>
        <w:t>ветствующих случаях, цыган, многие из которых принадлежат к числу безр</w:t>
      </w:r>
      <w:r>
        <w:t>а</w:t>
      </w:r>
      <w:r>
        <w:t>ботных, и оказания им помощи в получении формального образования, пов</w:t>
      </w:r>
      <w:r>
        <w:t>ы</w:t>
      </w:r>
      <w:r>
        <w:t>шении квалификации или поисках работы.</w:t>
      </w:r>
    </w:p>
    <w:p w:rsidR="00907DF0" w:rsidRDefault="00907DF0" w:rsidP="00A07033">
      <w:pPr>
        <w:pStyle w:val="H56GR"/>
      </w:pPr>
      <w:r>
        <w:tab/>
      </w:r>
      <w:r>
        <w:tab/>
        <w:t>Соблюдение принципа многообразия при наборе персонала гос</w:t>
      </w:r>
      <w:r>
        <w:t>у</w:t>
      </w:r>
      <w:r>
        <w:t>дарственных учреждений</w:t>
      </w:r>
    </w:p>
    <w:p w:rsidR="00907DF0" w:rsidRDefault="00907DF0" w:rsidP="00907DF0">
      <w:pPr>
        <w:pStyle w:val="SingleTxtGR"/>
      </w:pPr>
      <w:r>
        <w:t>С тем чтобы обеспечить соблюдение принципа многообразия при наборе пе</w:t>
      </w:r>
      <w:r>
        <w:t>р</w:t>
      </w:r>
      <w:r>
        <w:t>сонала государственных учреждений, эти институты обязаны побуждать к уч</w:t>
      </w:r>
      <w:r>
        <w:t>а</w:t>
      </w:r>
      <w:r>
        <w:t>стию в конкурсе на замещение вакансий всех обладающих необходимой квал</w:t>
      </w:r>
      <w:r>
        <w:t>и</w:t>
      </w:r>
      <w:r>
        <w:t>фикацией кандидатов без ограничений по признаку пола, возраста, религио</w:t>
      </w:r>
      <w:r>
        <w:t>з</w:t>
      </w:r>
      <w:r>
        <w:t>ных убеждений или этнического происхождения.</w:t>
      </w:r>
    </w:p>
    <w:p w:rsidR="00907DF0" w:rsidRDefault="00907DF0" w:rsidP="00943BBB">
      <w:pPr>
        <w:pStyle w:val="H56GR"/>
      </w:pPr>
      <w:r>
        <w:tab/>
      </w:r>
      <w:r>
        <w:tab/>
        <w:t>Профессиональная подготовка для взрослых</w:t>
      </w:r>
    </w:p>
    <w:p w:rsidR="00907DF0" w:rsidRDefault="00907DF0" w:rsidP="00943BBB">
      <w:pPr>
        <w:pStyle w:val="SingleTxtGR"/>
        <w:keepNext/>
        <w:keepLines/>
      </w:pPr>
      <w:r>
        <w:t>Программа профессиональной подготовки для взрослых предусматривает пр</w:t>
      </w:r>
      <w:r>
        <w:t>о</w:t>
      </w:r>
      <w:r>
        <w:t>ведение коротких курсов профессиональной подготовки для работников низкой квалификации и квалифицированных работников. Эти курсы готовят специал</w:t>
      </w:r>
      <w:r>
        <w:t>и</w:t>
      </w:r>
      <w:r>
        <w:t>стов с ориентацией, прежде всего, на конкретные сектора и востребованные специальности. Курсы финансируются из государственного бюджета, а зачи</w:t>
      </w:r>
      <w:r>
        <w:t>с</w:t>
      </w:r>
      <w:r>
        <w:t>ленные участники имеют право на получение субсидий. Эти курсы предназн</w:t>
      </w:r>
      <w:r>
        <w:t>а</w:t>
      </w:r>
      <w:r>
        <w:t>чены в основном для работающих граждан, но допускается зачисление и безр</w:t>
      </w:r>
      <w:r>
        <w:t>а</w:t>
      </w:r>
      <w:r>
        <w:t>ботных, если их обучение оплачивается службой трудоустройства.</w:t>
      </w:r>
    </w:p>
    <w:p w:rsidR="00907DF0" w:rsidRDefault="00907DF0" w:rsidP="00907DF0">
      <w:pPr>
        <w:pStyle w:val="SingleTxtGR"/>
      </w:pPr>
      <w:r>
        <w:t>Иммигранты, включая цыган, которые постоянно проживают в Дании на зако</w:t>
      </w:r>
      <w:r>
        <w:t>н</w:t>
      </w:r>
      <w:r>
        <w:t>ных основаниях, а также беженцы, могут проходить обучение на курсах, спец</w:t>
      </w:r>
      <w:r>
        <w:t>и</w:t>
      </w:r>
      <w:r>
        <w:t>ально ориентированных на эту группу населения, либо могут в дополнение к</w:t>
      </w:r>
      <w:r w:rsidR="006F0F19">
        <w:t> </w:t>
      </w:r>
      <w:r>
        <w:t>обычным программам профессиональной подготовки для взрослых посещать короткие вводно-ознакомительные подготовительные курсы, мероприятия по трудоустройству или курсы датского языка. Однако многие иммигранты и б</w:t>
      </w:r>
      <w:r>
        <w:t>е</w:t>
      </w:r>
      <w:r>
        <w:t>женцы, в достаточной мере владеющие датским языком, посещают обычные подготовительные курсы для взрослых. На долю иммигрантов и их потомков приходится примерно 10</w:t>
      </w:r>
      <w:r w:rsidR="00CF6CDE">
        <w:t xml:space="preserve">% </w:t>
      </w:r>
      <w:r>
        <w:t>лиц, занимающихся на таких курсах.</w:t>
      </w:r>
    </w:p>
    <w:p w:rsidR="00907DF0" w:rsidRDefault="00907DF0" w:rsidP="00A07033">
      <w:pPr>
        <w:pStyle w:val="H4GR"/>
        <w:spacing w:before="240" w:line="240" w:lineRule="exact"/>
        <w:ind w:left="1134"/>
      </w:pPr>
      <w:r>
        <w:t>Медицинское обслуживание</w:t>
      </w:r>
    </w:p>
    <w:p w:rsidR="00907DF0" w:rsidRDefault="00907DF0" w:rsidP="00907DF0">
      <w:pPr>
        <w:pStyle w:val="SingleTxtGR"/>
      </w:pPr>
      <w:r>
        <w:t>Согласно датского закону о здравоохранении лицам, постоянно проживающим в</w:t>
      </w:r>
      <w:r w:rsidR="006F0F19">
        <w:t> </w:t>
      </w:r>
      <w:r>
        <w:t>Дании (а ими считаются лица, зарегистрированные в системе социального обеспечения Дании), после регистрации обеспечивается полный доступ к усл</w:t>
      </w:r>
      <w:r>
        <w:t>у</w:t>
      </w:r>
      <w:r>
        <w:t>гам медицинских учреждений. Сюда</w:t>
      </w:r>
      <w:r>
        <w:tab/>
        <w:t xml:space="preserve"> входит, в частности, госпитализация, у</w:t>
      </w:r>
      <w:r>
        <w:t>с</w:t>
      </w:r>
      <w:r>
        <w:t xml:space="preserve">луги учреждений первичного медицинского обслуживания, </w:t>
      </w:r>
      <w:r w:rsidR="00AC018F">
        <w:t>т.е.</w:t>
      </w:r>
      <w:r>
        <w:t xml:space="preserve"> лечение у тер</w:t>
      </w:r>
      <w:r>
        <w:t>а</w:t>
      </w:r>
      <w:r>
        <w:t>певтов и врачей-специалистов, а также пользование муниципальными усл</w:t>
      </w:r>
      <w:r>
        <w:t>у</w:t>
      </w:r>
      <w:r>
        <w:t>гами по охране здоровья, такими, как сестринский уход на дому и лечение у стом</w:t>
      </w:r>
      <w:r>
        <w:t>а</w:t>
      </w:r>
      <w:r>
        <w:t>толога для детей и подростков в возрасте до 18</w:t>
      </w:r>
      <w:r w:rsidR="006F0F19">
        <w:t> </w:t>
      </w:r>
      <w:r>
        <w:t>лет.</w:t>
      </w:r>
    </w:p>
    <w:p w:rsidR="00907DF0" w:rsidRDefault="00907DF0" w:rsidP="00907DF0">
      <w:pPr>
        <w:pStyle w:val="SingleTxtGR"/>
      </w:pPr>
      <w:r>
        <w:t>Лица, проживающие в Дании без вида на жительство, имеют ограниченные права на госпитализацию. Граждане стран ЕС/ЕЭП, а также Швейцарии, кот</w:t>
      </w:r>
      <w:r>
        <w:t>о</w:t>
      </w:r>
      <w:r>
        <w:t>рые покрываются государственным/имеющим законную силу медицинским страхованием в другой стране ЕС/ЕЭП или Швейцарии, имеют согласно зак</w:t>
      </w:r>
      <w:r>
        <w:t>о</w:t>
      </w:r>
      <w:r>
        <w:t>нодательству ЕС право на получение в период пребывания в Дании медици</w:t>
      </w:r>
      <w:r>
        <w:t>н</w:t>
      </w:r>
      <w:r>
        <w:t>ской помощи в государственных медицинских учреждениях по медицинским показаниям наравне с гражданами Дании. Застрахованные совместно с ними члены семьи обладают такими же правами независимо от их гражданства или подданства.</w:t>
      </w:r>
    </w:p>
    <w:p w:rsidR="00907DF0" w:rsidRDefault="00907DF0" w:rsidP="00907DF0">
      <w:pPr>
        <w:pStyle w:val="SingleTxtGR"/>
      </w:pPr>
      <w:r>
        <w:t>Лица, которые пребывают на территории Дании без вида на жительство и не покрываются государственным/имеющим законную силу медицинским страх</w:t>
      </w:r>
      <w:r>
        <w:t>о</w:t>
      </w:r>
      <w:r>
        <w:t>ванием в другой стране ЕС/ЕЭП или Швейцари</w:t>
      </w:r>
      <w:r w:rsidR="008F2270">
        <w:t>и</w:t>
      </w:r>
      <w:r>
        <w:t xml:space="preserve"> (лица из третьих стран)</w:t>
      </w:r>
      <w:r w:rsidR="008F2270">
        <w:t>,</w:t>
      </w:r>
      <w:r>
        <w:t xml:space="preserve"> им</w:t>
      </w:r>
      <w:r>
        <w:t>е</w:t>
      </w:r>
      <w:r>
        <w:t>ют согласно закону о здравоохранении право на бесплатную экстренную госп</w:t>
      </w:r>
      <w:r>
        <w:t>и</w:t>
      </w:r>
      <w:r>
        <w:t>тализацию, если они стали жертвой несчастного случая, внезапного приступа болезни или обострения хронического заболевания, при возникновении необх</w:t>
      </w:r>
      <w:r>
        <w:t>о</w:t>
      </w:r>
      <w:r>
        <w:t xml:space="preserve">димости в досрочных родах и </w:t>
      </w:r>
      <w:r w:rsidR="00AC018F">
        <w:t>т.п.</w:t>
      </w:r>
      <w:r>
        <w:t>, на тех же основаниях, что и лица, постоянно проживающие в Дании. Те же условия распространяются и на лиц из третьих стран, которые временно пребывают на территории Дании, в том числе на лиц цыганск</w:t>
      </w:r>
      <w:r>
        <w:t>о</w:t>
      </w:r>
      <w:r>
        <w:t>го происхождения.</w:t>
      </w:r>
    </w:p>
    <w:p w:rsidR="00907DF0" w:rsidRDefault="00907DF0" w:rsidP="00907DF0">
      <w:pPr>
        <w:pStyle w:val="SingleTxtGR"/>
      </w:pPr>
      <w:r>
        <w:t>После того как острота положения спала, лечение в больнице в каждом отдел</w:t>
      </w:r>
      <w:r>
        <w:t>ь</w:t>
      </w:r>
      <w:r>
        <w:t>ном случае при наличии медицинских показаний может, тем не менее, быть продолжено, если при определенных обстоятельствах будет признано необо</w:t>
      </w:r>
      <w:r>
        <w:t>с</w:t>
      </w:r>
      <w:r>
        <w:t>нованным направлять пациента на лечение на родину или если пациент не в с</w:t>
      </w:r>
      <w:r>
        <w:t>о</w:t>
      </w:r>
      <w:r>
        <w:t>стоянии выдержать переправку в больницу на родине. Такая медицинская оце</w:t>
      </w:r>
      <w:r>
        <w:t>н</w:t>
      </w:r>
      <w:r>
        <w:t>ка наличия/отсутствия экстренной необходимости в лечении является повс</w:t>
      </w:r>
      <w:r>
        <w:t>е</w:t>
      </w:r>
      <w:r>
        <w:t>дневным явлением в датских больницах и проводится в самых различных ко</w:t>
      </w:r>
      <w:r>
        <w:t>н</w:t>
      </w:r>
      <w:r>
        <w:t>текстах. Больницы взимают плату за лечение в неэкстренных случаях, но могут и отказаться от взимания такой платы, если это будет признано обоснованным в</w:t>
      </w:r>
      <w:r w:rsidR="006F0F19">
        <w:t> </w:t>
      </w:r>
      <w:r>
        <w:t>сложившихся конкретных обстоятельствах. Окончательное решение в таком случае принимается в том регионе, где проживает пациент.</w:t>
      </w:r>
    </w:p>
    <w:p w:rsidR="00907DF0" w:rsidRDefault="00907DF0" w:rsidP="00907DF0">
      <w:pPr>
        <w:pStyle w:val="SingleTxtGR"/>
      </w:pPr>
      <w:r>
        <w:t>Возможность воспользоваться медицинским обслуживанием в Дании определ</w:t>
      </w:r>
      <w:r>
        <w:t>я</w:t>
      </w:r>
      <w:r>
        <w:t>ется не этническим происхождением пациента, а производимой медиками оце</w:t>
      </w:r>
      <w:r>
        <w:t>н</w:t>
      </w:r>
      <w:r>
        <w:t>кой текущей потребности пациента в лечении. Соответственно, медицинское обслуживание лиц цыганского происхождения считается вполне возможным в</w:t>
      </w:r>
      <w:r w:rsidR="006F0F19">
        <w:t> </w:t>
      </w:r>
      <w:r>
        <w:t>рамках действующей системы оказания медицинской помощи лицам, пост</w:t>
      </w:r>
      <w:r>
        <w:t>о</w:t>
      </w:r>
      <w:r>
        <w:t>янно или временно проживающим в Дании.</w:t>
      </w:r>
    </w:p>
    <w:p w:rsidR="00907DF0" w:rsidRDefault="00907DF0" w:rsidP="00A07033">
      <w:pPr>
        <w:pStyle w:val="H4GR"/>
        <w:spacing w:before="240" w:line="240" w:lineRule="exact"/>
        <w:ind w:left="1134"/>
      </w:pPr>
      <w:r>
        <w:t>Обеспечение жильем</w:t>
      </w:r>
    </w:p>
    <w:p w:rsidR="00907DF0" w:rsidRDefault="00907DF0" w:rsidP="00907DF0">
      <w:pPr>
        <w:pStyle w:val="SingleTxtGR"/>
      </w:pPr>
      <w:r>
        <w:t>В Дании всем гражданам независимо от уровня дохода или особых потребн</w:t>
      </w:r>
      <w:r>
        <w:t>о</w:t>
      </w:r>
      <w:r>
        <w:t>стей обеспечивается доступ к качественному жилью в некоммерческом секторе социального жилья. Лица цыганского происхождения, проживающие в Дании на законных основаниях, могут быть поставлены на очередь на социальное ж</w:t>
      </w:r>
      <w:r>
        <w:t>и</w:t>
      </w:r>
      <w:r>
        <w:t>лье в том же порядке, что и все другие жители Дании, или, если то или иное лицо, нуждающееся в жилье, имеет особые социальные потребности, получить социальное жилье в соответствии с правилами, регулирующими распределение социального жилья.</w:t>
      </w:r>
    </w:p>
    <w:p w:rsidR="00907DF0" w:rsidRDefault="00907DF0" w:rsidP="00907DF0">
      <w:pPr>
        <w:pStyle w:val="SingleTxtGR"/>
      </w:pPr>
      <w:r>
        <w:t>В Дании имеется примерно 575</w:t>
      </w:r>
      <w:r w:rsidR="00CF6CDE">
        <w:t> 000 </w:t>
      </w:r>
      <w:r>
        <w:t>единиц социального жилья, что составляет до 20</w:t>
      </w:r>
      <w:r w:rsidR="00CF6CDE">
        <w:t xml:space="preserve">% </w:t>
      </w:r>
      <w:r>
        <w:t>совокупного жилищного фонда. Из них примерно 500</w:t>
      </w:r>
      <w:r w:rsidR="00CF6CDE">
        <w:t> 000 </w:t>
      </w:r>
      <w:r>
        <w:t>– это семе</w:t>
      </w:r>
      <w:r>
        <w:t>й</w:t>
      </w:r>
      <w:r>
        <w:t>ные жилища. Остальные объекты предназначены для проживания молодых л</w:t>
      </w:r>
      <w:r>
        <w:t>ю</w:t>
      </w:r>
      <w:r>
        <w:t>дей либо престарелых или инвалидов. Основная целевая группа, для которой предназначено социальное жилье, – это люди, лишенные доступа к частному рынку жилья, как правило, по причине низкого уровня дохода.</w:t>
      </w:r>
    </w:p>
    <w:p w:rsidR="00907DF0" w:rsidRDefault="00907DF0" w:rsidP="00907DF0">
      <w:pPr>
        <w:pStyle w:val="SingleTxtGR"/>
      </w:pPr>
      <w:r>
        <w:t>С тем чтобы не допустить сегрегации обитателей жилья, субсидируемого из г</w:t>
      </w:r>
      <w:r>
        <w:t>о</w:t>
      </w:r>
      <w:r>
        <w:t>сударственных средств, по социальному или этническому признаку, социал</w:t>
      </w:r>
      <w:r>
        <w:t>ь</w:t>
      </w:r>
      <w:r>
        <w:t>ное жилье доступно для всех, кто был внесен в сп</w:t>
      </w:r>
      <w:r>
        <w:t>и</w:t>
      </w:r>
      <w:r>
        <w:t>сок ожидания. Как правило, при распределении жилья по списку соблюдается очередность; однако местные с</w:t>
      </w:r>
      <w:r>
        <w:t>о</w:t>
      </w:r>
      <w:r>
        <w:t>веты датских муниципалитетов наделены правом самостоятельно распред</w:t>
      </w:r>
      <w:r>
        <w:t>е</w:t>
      </w:r>
      <w:r>
        <w:t>лять не менее 25</w:t>
      </w:r>
      <w:r w:rsidR="00CF6CDE">
        <w:t xml:space="preserve">% </w:t>
      </w:r>
      <w:r>
        <w:t>объектов жилой недвижимости, переданных в ра</w:t>
      </w:r>
      <w:r>
        <w:t>с</w:t>
      </w:r>
      <w:r>
        <w:t>пор</w:t>
      </w:r>
      <w:r w:rsidR="008F2270">
        <w:t>яжение</w:t>
      </w:r>
      <w:r>
        <w:t xml:space="preserve"> управляющей жильем организации, для целей решения социальных проблем, тем самым обеспечивая доступ к жилью людям с особыми потребн</w:t>
      </w:r>
      <w:r>
        <w:t>о</w:t>
      </w:r>
      <w:r>
        <w:t>стями.</w:t>
      </w:r>
    </w:p>
    <w:p w:rsidR="00907DF0" w:rsidRDefault="00907DF0" w:rsidP="00907DF0">
      <w:pPr>
        <w:pStyle w:val="SingleTxtGR"/>
      </w:pPr>
      <w:r>
        <w:t>Сектор социального жилья регулируется и субсидируется таким образом, чтобы удерживать арендную плату в основном на относительно низком уровне. Кроме того, люди с особенно низким уровнем дохода могут претендовать на получ</w:t>
      </w:r>
      <w:r>
        <w:t>е</w:t>
      </w:r>
      <w:r>
        <w:t>ние индивидуальной жилищной субсидии. В 2008</w:t>
      </w:r>
      <w:r w:rsidR="006F0F19">
        <w:t> </w:t>
      </w:r>
      <w:r>
        <w:t>году около 60</w:t>
      </w:r>
      <w:r w:rsidR="00CF6CDE">
        <w:t xml:space="preserve">% </w:t>
      </w:r>
      <w:r>
        <w:t>семей, пр</w:t>
      </w:r>
      <w:r>
        <w:t>о</w:t>
      </w:r>
      <w:r>
        <w:t>живавших в секторе социального жилья, получали жилищные пособия либо как пенсионеры по старости или лица, вышедшие на пенсию досрочно, либо на иных основаниях (к этой категории относятся почти 51</w:t>
      </w:r>
      <w:r w:rsidR="00CF6CDE">
        <w:t> 000 </w:t>
      </w:r>
      <w:r>
        <w:t>семей с детьми). В</w:t>
      </w:r>
      <w:r w:rsidR="006F0F19">
        <w:t> </w:t>
      </w:r>
      <w:r>
        <w:t>среднем за счет жилищной субсидии покрывается 50</w:t>
      </w:r>
      <w:r w:rsidR="00CF6CDE">
        <w:t xml:space="preserve">% </w:t>
      </w:r>
      <w:r>
        <w:t>арендной платы, кот</w:t>
      </w:r>
      <w:r>
        <w:t>о</w:t>
      </w:r>
      <w:r>
        <w:t>рую вносит получатель, что составляет в эквиваленте примерно одну треть от общего объема арендных поступлений в секторе соц</w:t>
      </w:r>
      <w:r>
        <w:t>и</w:t>
      </w:r>
      <w:r>
        <w:t>ального жилья.</w:t>
      </w:r>
    </w:p>
    <w:p w:rsidR="00907DF0" w:rsidRDefault="00907DF0" w:rsidP="00943BBB">
      <w:pPr>
        <w:pStyle w:val="SingleTxtGR"/>
        <w:keepLines/>
      </w:pPr>
      <w:r>
        <w:t>Как было указано выше, в Дании существует обширный сектор социального жилья, благодаря которому нуждающиеся в жилье люди с теми или иными ос</w:t>
      </w:r>
      <w:r>
        <w:t>о</w:t>
      </w:r>
      <w:r>
        <w:t>быми потребностями получают возможность найти кров. Кроме того, имеется возможность получения материальной помощи на оплату аренды.</w:t>
      </w:r>
    </w:p>
    <w:p w:rsidR="00907DF0" w:rsidRDefault="00907DF0" w:rsidP="00907DF0">
      <w:pPr>
        <w:pStyle w:val="SingleTxtGR"/>
      </w:pPr>
      <w:r>
        <w:t>И наконец, в датском законодательстве прописано положение о бездомности, и</w:t>
      </w:r>
      <w:r w:rsidR="006F0F19">
        <w:t> </w:t>
      </w:r>
      <w:r>
        <w:t>для наиболее уязвимых в социальном отношении граждан страны создаются специальные жилищные объекты. Правом воспользоваться такими объектами наделены в равной мере все лица, законно проживающие в Дании.</w:t>
      </w:r>
    </w:p>
    <w:p w:rsidR="00907DF0" w:rsidRDefault="00907DF0" w:rsidP="00A07033">
      <w:pPr>
        <w:pStyle w:val="H4GR"/>
        <w:spacing w:before="240" w:line="240" w:lineRule="exact"/>
        <w:ind w:left="1134"/>
      </w:pPr>
      <w:r>
        <w:t>Социальные меры общего характера в рамках социальной политики Дании</w:t>
      </w:r>
    </w:p>
    <w:p w:rsidR="00907DF0" w:rsidRDefault="00907DF0" w:rsidP="00907DF0">
      <w:pPr>
        <w:pStyle w:val="SingleTxtGR"/>
      </w:pPr>
      <w:r>
        <w:t>Все социальные меры общего характера распространяются на всех лиц, прож</w:t>
      </w:r>
      <w:r>
        <w:t>и</w:t>
      </w:r>
      <w:r>
        <w:t>вающих в Дании на з</w:t>
      </w:r>
      <w:r>
        <w:t>а</w:t>
      </w:r>
      <w:r>
        <w:t>конных основаниях.</w:t>
      </w:r>
    </w:p>
    <w:p w:rsidR="00907DF0" w:rsidRDefault="00907DF0" w:rsidP="00A07033">
      <w:pPr>
        <w:pStyle w:val="H56GR"/>
      </w:pPr>
      <w:r>
        <w:tab/>
      </w:r>
      <w:r>
        <w:tab/>
        <w:t>Престарелые</w:t>
      </w:r>
    </w:p>
    <w:p w:rsidR="00907DF0" w:rsidRDefault="00907DF0" w:rsidP="00907DF0">
      <w:pPr>
        <w:pStyle w:val="SingleTxtGR"/>
      </w:pPr>
      <w:r>
        <w:t>Согласно закону о консолидации деятельности социальных служб все решения об оказании помощи престарелым должны приниматься муниципальными вл</w:t>
      </w:r>
      <w:r>
        <w:t>а</w:t>
      </w:r>
      <w:r>
        <w:t>стями на индивидуальной основе в каждом конкретном случае. Кроме того, применительно к уходу на дому в Дании действует тот фундаментальный при</w:t>
      </w:r>
      <w:r>
        <w:t>н</w:t>
      </w:r>
      <w:r>
        <w:t>цип, что такая помощь должна оказываться с учетом индивидуальных потре</w:t>
      </w:r>
      <w:r>
        <w:t>б</w:t>
      </w:r>
      <w:r>
        <w:t>ностей, причем бесплатно, за исключением временной помощи, за которую с</w:t>
      </w:r>
      <w:r w:rsidR="006F0F19">
        <w:t> </w:t>
      </w:r>
      <w:r>
        <w:t>пользователя взимается плата, размер которой зависит от уровня дохода. Т</w:t>
      </w:r>
      <w:r>
        <w:t>а</w:t>
      </w:r>
      <w:r>
        <w:t>кая помощь оказывается, с тем чтобы позволить престарелым как можно дол</w:t>
      </w:r>
      <w:r>
        <w:t>ь</w:t>
      </w:r>
      <w:r>
        <w:t>ше проживать у себя дома и не допустить дальнейшего ухудшения физического и психического здоровья пациента. Граждане, достигшие 75-летнего возраста и</w:t>
      </w:r>
      <w:r w:rsidR="006F0F19">
        <w:t> </w:t>
      </w:r>
      <w:r>
        <w:t>не получающие индивидуализированной практической помощи, вправе пр</w:t>
      </w:r>
      <w:r>
        <w:t>е</w:t>
      </w:r>
      <w:r>
        <w:t>тендовать на профилактический надомный визит по меньшей мере раз в году. Предназначение службы надомных посещений состоит в том, чтобы вселить в</w:t>
      </w:r>
      <w:r w:rsidR="006F0F19">
        <w:t> </w:t>
      </w:r>
      <w:r>
        <w:t>пациентов чувство защищенности и благополучия, а также предоставить им рекомендации и советы о порядке действий и имеющихся службах поддержки (как частных, так и государственных). В настоящее время в Дании имеется н</w:t>
      </w:r>
      <w:r>
        <w:t>е</w:t>
      </w:r>
      <w:r>
        <w:t>мало различных вариантов размещения: семейные дома, учреждения интенси</w:t>
      </w:r>
      <w:r>
        <w:t>в</w:t>
      </w:r>
      <w:r>
        <w:t>ного ухода, а также государственные и частные центры сестринского ухода. Как и в отношении услуг по уходу на дому, именно муниципальные власти прин</w:t>
      </w:r>
      <w:r>
        <w:t>и</w:t>
      </w:r>
      <w:r>
        <w:t>мают решение о том, когда именно гражданин может претендовать на получ</w:t>
      </w:r>
      <w:r>
        <w:t>е</w:t>
      </w:r>
      <w:r>
        <w:t>ние помощи, которая не может быть обеспечена ему у себя дома, и, соответс</w:t>
      </w:r>
      <w:r>
        <w:t>т</w:t>
      </w:r>
      <w:r>
        <w:t>венно, возникает потребность в его помещении в то или иное заведение, в</w:t>
      </w:r>
      <w:r w:rsidR="006F0F19">
        <w:t> </w:t>
      </w:r>
      <w:r>
        <w:t>большей мере отвечающее его потребностям.</w:t>
      </w:r>
    </w:p>
    <w:p w:rsidR="00907DF0" w:rsidRDefault="00907DF0" w:rsidP="00A07033">
      <w:pPr>
        <w:pStyle w:val="H56GR"/>
      </w:pPr>
      <w:r>
        <w:tab/>
      </w:r>
      <w:r>
        <w:tab/>
        <w:t>Инвалиды</w:t>
      </w:r>
    </w:p>
    <w:p w:rsidR="00907DF0" w:rsidRDefault="00907DF0" w:rsidP="00907DF0">
      <w:pPr>
        <w:pStyle w:val="SingleTxtGR"/>
      </w:pPr>
      <w:r>
        <w:t>Инвалиды имеют возможность воспользоваться самыми разнообразными усл</w:t>
      </w:r>
      <w:r>
        <w:t>у</w:t>
      </w:r>
      <w:r>
        <w:t>гами. Инвалидам могут быть предложены конкретные услуги либо компенсация за существенные дополнительные расходы, понесенные вследствие снижения трудоспособности (например, уход на дому, вспомогательные технические средства и потребительские товары, пользование объектом дневного содерж</w:t>
      </w:r>
      <w:r>
        <w:t>а</w:t>
      </w:r>
      <w:r>
        <w:t>ния, социально-образовательные услуги и постоянное или временное размещ</w:t>
      </w:r>
      <w:r>
        <w:t>е</w:t>
      </w:r>
      <w:r>
        <w:t>ние). Общая цель состоит в том, чтобы обеспечить инвалидам полновесное уч</w:t>
      </w:r>
      <w:r>
        <w:t>а</w:t>
      </w:r>
      <w:r>
        <w:t>стие в жизни общины и уберечь их от изоляции и чувства оторванности от о</w:t>
      </w:r>
      <w:r>
        <w:t>б</w:t>
      </w:r>
      <w:r>
        <w:t>щества. В основу политики в отношении инвалидов положены принципы ра</w:t>
      </w:r>
      <w:r>
        <w:t>в</w:t>
      </w:r>
      <w:r>
        <w:t>ного обр</w:t>
      </w:r>
      <w:r>
        <w:t>а</w:t>
      </w:r>
      <w:r>
        <w:t>щения, компенсации и ответственности служб данного сектора.</w:t>
      </w:r>
    </w:p>
    <w:p w:rsidR="00907DF0" w:rsidRDefault="00907DF0" w:rsidP="00A07033">
      <w:pPr>
        <w:pStyle w:val="H56GR"/>
      </w:pPr>
      <w:r>
        <w:tab/>
      </w:r>
      <w:r>
        <w:tab/>
        <w:t>Бездомные граждане</w:t>
      </w:r>
    </w:p>
    <w:p w:rsidR="00907DF0" w:rsidRDefault="00907DF0" w:rsidP="00907DF0">
      <w:pPr>
        <w:pStyle w:val="SingleTxtGR"/>
      </w:pPr>
      <w:r>
        <w:t>Все бездомные граждане, на законных основаниях проживающие в Дании, имеют право на временное размещение в приютах. В 2010 и 2010/11</w:t>
      </w:r>
      <w:r w:rsidR="006F0F19">
        <w:t> </w:t>
      </w:r>
      <w:r>
        <w:t>годах М</w:t>
      </w:r>
      <w:r>
        <w:t>и</w:t>
      </w:r>
      <w:r>
        <w:t>нистерство социального обеспечения и интеграции объявило о приеме заявок на создание приютов экстренного содержания и намерено сделать это и</w:t>
      </w:r>
      <w:r w:rsidR="006F0F19">
        <w:t> </w:t>
      </w:r>
      <w:r>
        <w:t>в</w:t>
      </w:r>
      <w:r w:rsidR="006F0F19">
        <w:t> </w:t>
      </w:r>
      <w:r>
        <w:t>2011/2012</w:t>
      </w:r>
      <w:r w:rsidR="00147CA1">
        <w:t> </w:t>
      </w:r>
      <w:r>
        <w:t>году. Основная задача заключается в том, чтобы обеспечить всем людям независимо от законности их пребывания временное размещение в пр</w:t>
      </w:r>
      <w:r>
        <w:t>и</w:t>
      </w:r>
      <w:r>
        <w:t>ютах экстренного содержания в период с ноября 2011</w:t>
      </w:r>
      <w:r w:rsidR="006F0F19">
        <w:t> </w:t>
      </w:r>
      <w:r>
        <w:t>года по март 2012</w:t>
      </w:r>
      <w:r w:rsidR="006F0F19">
        <w:t> </w:t>
      </w:r>
      <w:r>
        <w:t>года. В</w:t>
      </w:r>
      <w:r w:rsidR="006F0F19">
        <w:t> </w:t>
      </w:r>
      <w:r>
        <w:t>2010/2011</w:t>
      </w:r>
      <w:r w:rsidR="00147CA1">
        <w:t> </w:t>
      </w:r>
      <w:r>
        <w:t>году было обустроено около 340</w:t>
      </w:r>
      <w:r w:rsidR="006F0F19">
        <w:t> </w:t>
      </w:r>
      <w:r>
        <w:t>мест.</w:t>
      </w:r>
    </w:p>
    <w:p w:rsidR="00907DF0" w:rsidRDefault="00907DF0" w:rsidP="00A07033">
      <w:pPr>
        <w:pStyle w:val="H56GR"/>
      </w:pPr>
      <w:r>
        <w:tab/>
      </w:r>
      <w:r>
        <w:tab/>
        <w:t>Социальные пособия</w:t>
      </w:r>
    </w:p>
    <w:p w:rsidR="00907DF0" w:rsidRDefault="00907DF0" w:rsidP="00907DF0">
      <w:pPr>
        <w:pStyle w:val="SingleTxtGR"/>
      </w:pPr>
      <w:r>
        <w:t>Цыгане, проживающие в Дании на законных основаниях или имеющие датское гражданство, пользуются таким же доступом к социальным пособиям, что и</w:t>
      </w:r>
      <w:r w:rsidR="006F0F19">
        <w:t> </w:t>
      </w:r>
      <w:r>
        <w:t>другие лица, находящиеся в аналогичном положении.</w:t>
      </w:r>
    </w:p>
    <w:p w:rsidR="00907DF0" w:rsidRDefault="00907DF0" w:rsidP="00907DF0">
      <w:pPr>
        <w:pStyle w:val="SingleTxtGR"/>
      </w:pPr>
      <w:r>
        <w:t>Согласно законодательным нормам ЕС граждане той или иной страны</w:t>
      </w:r>
      <w:r w:rsidR="006F0F19">
        <w:t> </w:t>
      </w:r>
      <w:r>
        <w:t>– члена ЕС вправе претендовать на получение социальной помощи в Дании, если они вели активную трудовую деятельность в объеме, позволяющем считать их пр</w:t>
      </w:r>
      <w:r>
        <w:t>о</w:t>
      </w:r>
      <w:r>
        <w:t>живающими в стране на законном основании (наемная работа, индивид</w:t>
      </w:r>
      <w:r>
        <w:t>у</w:t>
      </w:r>
      <w:r>
        <w:t xml:space="preserve">альная трудовая деятельность и </w:t>
      </w:r>
      <w:r w:rsidR="00AC018F">
        <w:t>т.п.</w:t>
      </w:r>
      <w:r>
        <w:t>). Кроме того, условием ее получения является н</w:t>
      </w:r>
      <w:r>
        <w:t>е</w:t>
      </w:r>
      <w:r>
        <w:t>способность обе</w:t>
      </w:r>
      <w:r>
        <w:t>с</w:t>
      </w:r>
      <w:r>
        <w:t>печить себя.</w:t>
      </w:r>
    </w:p>
    <w:p w:rsidR="00907DF0" w:rsidRDefault="00907DF0" w:rsidP="00907DF0">
      <w:pPr>
        <w:pStyle w:val="SingleTxtGR"/>
      </w:pPr>
      <w:r>
        <w:t xml:space="preserve">Для получения социальной помощи требуется, чтобы данное лицо проживало на территории стран ЕС/ЕЭП последние </w:t>
      </w:r>
      <w:r w:rsidR="006F0F19">
        <w:t>семь</w:t>
      </w:r>
      <w:r>
        <w:t xml:space="preserve"> из </w:t>
      </w:r>
      <w:r w:rsidR="006F0F19">
        <w:t>восьми</w:t>
      </w:r>
      <w:r>
        <w:t xml:space="preserve"> лет. Человек не вправе получать социальную помощь за периоды пребывания в стране в качестве тур</w:t>
      </w:r>
      <w:r>
        <w:t>и</w:t>
      </w:r>
      <w:r>
        <w:t xml:space="preserve">ста (для граждан стран ЕС – до </w:t>
      </w:r>
      <w:r w:rsidR="007674AE">
        <w:t>трех</w:t>
      </w:r>
      <w:r>
        <w:t xml:space="preserve"> месяцев) или если он прибывает в страну в</w:t>
      </w:r>
      <w:r w:rsidR="006F0F19">
        <w:t> </w:t>
      </w:r>
      <w:r>
        <w:t>поисках работы. Когда то или иное лицо получает социальную помощь, оно может обратиться в муниципальные органы за материальной поддержкой на оплату, например, разовых расходов, медицинских расходов, расходов на лека</w:t>
      </w:r>
      <w:r>
        <w:t>р</w:t>
      </w:r>
      <w:r>
        <w:t>ства, а также за жилищной субсидией. Кроме того, лица, законно проживающие на территории Дании, охватываются действием законодательства, регулиру</w:t>
      </w:r>
      <w:r>
        <w:t>ю</w:t>
      </w:r>
      <w:r>
        <w:t>щего приобретение права на социальную пенсию в Дании и пр.</w:t>
      </w:r>
    </w:p>
    <w:p w:rsidR="00907DF0" w:rsidRPr="00115667" w:rsidRDefault="00907DF0" w:rsidP="00115667">
      <w:pPr>
        <w:pStyle w:val="H4GR"/>
        <w:spacing w:before="240" w:line="240" w:lineRule="exact"/>
        <w:ind w:left="1134"/>
      </w:pPr>
      <w:r w:rsidRPr="00115667">
        <w:t>Гендерное равенство</w:t>
      </w:r>
    </w:p>
    <w:p w:rsidR="00907DF0" w:rsidRDefault="00907DF0" w:rsidP="00907DF0">
      <w:pPr>
        <w:pStyle w:val="SingleTxtGR"/>
      </w:pPr>
      <w:r>
        <w:t>Глобальной задачей политики Дании является обеспечение равноправия же</w:t>
      </w:r>
      <w:r>
        <w:t>н</w:t>
      </w:r>
      <w:r>
        <w:t>щин и мужчин. Сменявшие друг друга правительства Дании последовательно занимались пересмотром и совершенствованием законодательства и других юридически обязательных норм, призванных обеспечить равноправие женщин и мужчин.</w:t>
      </w:r>
    </w:p>
    <w:p w:rsidR="00907DF0" w:rsidRDefault="00907DF0" w:rsidP="00907DF0">
      <w:pPr>
        <w:pStyle w:val="SingleTxtGR"/>
      </w:pPr>
      <w:r>
        <w:t>Гендерное равенство считается одной из предпосылок экономического роста, демократии и благосостояния, а также основой для полной реализации всех прав человека и основных свобод в политической, экономической, социальной, культурной и гражданской сферах жизни.</w:t>
      </w:r>
    </w:p>
    <w:p w:rsidR="00907DF0" w:rsidRDefault="00907DF0" w:rsidP="00907DF0">
      <w:pPr>
        <w:pStyle w:val="SingleTxtGR"/>
      </w:pPr>
      <w:r>
        <w:t>В настоящее время и женщины, и мужчины в Дании располагают формально одинаковыми правами, обязанностями и возможностями в обществе. Однако Дания стремится обеспечить как юридическое, так и фактическое гендерное р</w:t>
      </w:r>
      <w:r>
        <w:t>а</w:t>
      </w:r>
      <w:r>
        <w:t>венство. Об этом прямо заявлено в статье</w:t>
      </w:r>
      <w:r w:rsidR="006F0F19">
        <w:t> </w:t>
      </w:r>
      <w:r>
        <w:t>1 датского закона о гендерном раве</w:t>
      </w:r>
      <w:r>
        <w:t>н</w:t>
      </w:r>
      <w:r>
        <w:t>стве, которая гласит: "Цель настоящего закона – содействовать утверждению гендерного равенства, включая равенство по части интеграции, социального в</w:t>
      </w:r>
      <w:r>
        <w:t>е</w:t>
      </w:r>
      <w:r>
        <w:t>са и возможностей, во всех областях жизни о</w:t>
      </w:r>
      <w:r>
        <w:t>б</w:t>
      </w:r>
      <w:r>
        <w:t>щества на основе равного статуса женщин и мужчин".</w:t>
      </w:r>
    </w:p>
    <w:p w:rsidR="00907DF0" w:rsidRDefault="00907DF0" w:rsidP="00F67BDD">
      <w:pPr>
        <w:pStyle w:val="H56GR"/>
      </w:pPr>
      <w:r>
        <w:tab/>
      </w:r>
      <w:r>
        <w:tab/>
        <w:t>Торговля людьми</w:t>
      </w:r>
    </w:p>
    <w:p w:rsidR="00907DF0" w:rsidRDefault="00907DF0" w:rsidP="00907DF0">
      <w:pPr>
        <w:pStyle w:val="SingleTxtGR"/>
      </w:pPr>
      <w:r>
        <w:t>В соответствии с Планом действий по борьбе с торговлей людьми лица цыга</w:t>
      </w:r>
      <w:r>
        <w:t>н</w:t>
      </w:r>
      <w:r>
        <w:t>ского происхождения, ставшие, как установлено, жертвами торговли людьми, обладают такими же правами на пользование услугами и получение поддержки, что и любые другие жертвы такой торговли. Датский центр по борьбе с торго</w:t>
      </w:r>
      <w:r>
        <w:t>в</w:t>
      </w:r>
      <w:r>
        <w:t>лей людьми ведет сбор данных о жертвах торговли людьми в разбивке не по э</w:t>
      </w:r>
      <w:r>
        <w:t>т</w:t>
      </w:r>
      <w:r>
        <w:t>нической принадлежности, а лишь по гражданству. Исходя из имеющейся у н</w:t>
      </w:r>
      <w:r>
        <w:t>е</w:t>
      </w:r>
      <w:r>
        <w:t>го информации, он рекомендует не ослаблять внимания к этому вопросу и пр</w:t>
      </w:r>
      <w:r>
        <w:t>и</w:t>
      </w:r>
      <w:r>
        <w:t>нимать дальнейшие меры на этом направлении.</w:t>
      </w:r>
    </w:p>
    <w:p w:rsidR="00907DF0" w:rsidRDefault="00907DF0" w:rsidP="00F67BDD">
      <w:pPr>
        <w:pStyle w:val="H4GR"/>
        <w:spacing w:before="240" w:line="240" w:lineRule="exact"/>
        <w:ind w:left="1134"/>
      </w:pPr>
      <w:r w:rsidRPr="00F67BDD">
        <w:rPr>
          <w:iCs/>
        </w:rPr>
        <w:t>Отказ во</w:t>
      </w:r>
      <w:r>
        <w:t xml:space="preserve"> въезде и высылка</w:t>
      </w:r>
    </w:p>
    <w:p w:rsidR="00907DF0" w:rsidRDefault="00907DF0" w:rsidP="00907DF0">
      <w:pPr>
        <w:pStyle w:val="SingleTxtGR"/>
      </w:pPr>
      <w:r>
        <w:t>Иностранец может быть выслан или получить отказ во въезде на основании сведений о его поведении, например о причастности к преступной деятельн</w:t>
      </w:r>
      <w:r>
        <w:t>о</w:t>
      </w:r>
      <w:r>
        <w:t>сти или о незаконном проживании. При оценке оснований для высылки или о</w:t>
      </w:r>
      <w:r>
        <w:t>т</w:t>
      </w:r>
      <w:r>
        <w:t>каза во въезде такой критерий, как этническое происхождение соответствующ</w:t>
      </w:r>
      <w:r>
        <w:t>е</w:t>
      </w:r>
      <w:r>
        <w:t>го лица, не применяется.</w:t>
      </w:r>
    </w:p>
    <w:p w:rsidR="00907DF0" w:rsidRDefault="00907DF0" w:rsidP="00907DF0">
      <w:pPr>
        <w:pStyle w:val="SingleTxtGR"/>
      </w:pPr>
      <w:r>
        <w:t>Из материалов по разработке датского закона об иностранцах следует, что л</w:t>
      </w:r>
      <w:r>
        <w:t>ю</w:t>
      </w:r>
      <w:r>
        <w:t>бое решение о высылке иностранца должно приниматься исходя из междун</w:t>
      </w:r>
      <w:r>
        <w:t>а</w:t>
      </w:r>
      <w:r>
        <w:t>родных обязательств Дании, включая Европейскую конвенцию о правах чел</w:t>
      </w:r>
      <w:r>
        <w:t>о</w:t>
      </w:r>
      <w:r>
        <w:t>века.</w:t>
      </w:r>
    </w:p>
    <w:p w:rsidR="00907DF0" w:rsidRDefault="00907DF0" w:rsidP="00907DF0">
      <w:pPr>
        <w:pStyle w:val="SingleTxtGR"/>
      </w:pPr>
      <w:r>
        <w:t>Одним из исходных положений Европейской конвенции о правах человека о</w:t>
      </w:r>
      <w:r>
        <w:t>д</w:t>
      </w:r>
      <w:r>
        <w:t>нозначно является запрет на принятие любых решений</w:t>
      </w:r>
      <w:r w:rsidR="008F2270">
        <w:t>,</w:t>
      </w:r>
      <w:r>
        <w:t xml:space="preserve"> исходя из этнического происхождения соответствующего лица.</w:t>
      </w:r>
    </w:p>
    <w:p w:rsidR="00907DF0" w:rsidRDefault="00907DF0" w:rsidP="00907DF0">
      <w:pPr>
        <w:pStyle w:val="SingleTxtGR"/>
      </w:pPr>
      <w:r>
        <w:t>Соответственно, при принятии решения о высылке иностранца или отказе ему во въезде датские власти не учитывают этнического происхождения данного лица.</w:t>
      </w:r>
    </w:p>
    <w:p w:rsidR="00907DF0" w:rsidRDefault="00907DF0" w:rsidP="00F67BDD">
      <w:pPr>
        <w:pStyle w:val="H23GR"/>
      </w:pPr>
      <w:r>
        <w:tab/>
        <w:t>5)</w:t>
      </w:r>
      <w:r>
        <w:tab/>
        <w:t>Механизмы управления</w:t>
      </w:r>
    </w:p>
    <w:p w:rsidR="00907DF0" w:rsidRDefault="00907DF0" w:rsidP="00907DF0">
      <w:pPr>
        <w:pStyle w:val="SingleTxtGR"/>
      </w:pPr>
      <w:r>
        <w:t>В вопросах, касающихся ЕС, будут применяться обычные процедуры консул</w:t>
      </w:r>
      <w:r>
        <w:t>ь</w:t>
      </w:r>
      <w:r>
        <w:t>таций с гражданским обществом, социальными партнерами и другими соотве</w:t>
      </w:r>
      <w:r>
        <w:t>т</w:t>
      </w:r>
      <w:r>
        <w:t>ствующими заинтересованными сторонами. Любые вопросы или замечания, к</w:t>
      </w:r>
      <w:r>
        <w:t>а</w:t>
      </w:r>
      <w:r>
        <w:t>сающиеся стратегии, будут подвергнуты надлежащему рассмотрению (прил</w:t>
      </w:r>
      <w:r>
        <w:t>о</w:t>
      </w:r>
      <w:r>
        <w:t>жение</w:t>
      </w:r>
      <w:r w:rsidR="006F0F19">
        <w:t> </w:t>
      </w:r>
      <w:r>
        <w:t>1).</w:t>
      </w:r>
    </w:p>
    <w:p w:rsidR="00907DF0" w:rsidRDefault="00907DF0" w:rsidP="00F67BDD">
      <w:pPr>
        <w:pStyle w:val="H23GR"/>
      </w:pPr>
      <w:r>
        <w:tab/>
        <w:t>6)</w:t>
      </w:r>
      <w:r>
        <w:tab/>
        <w:t>Контроль за осуществлением стратегий/политических мер и внесение в</w:t>
      </w:r>
      <w:r w:rsidR="00AC018F">
        <w:t> </w:t>
      </w:r>
      <w:r>
        <w:t>них коррективов с течением времени</w:t>
      </w:r>
    </w:p>
    <w:p w:rsidR="00907DF0" w:rsidRDefault="00907DF0" w:rsidP="00907DF0">
      <w:pPr>
        <w:pStyle w:val="SingleTxtGR"/>
      </w:pPr>
      <w:r>
        <w:t>Поскольку Дания пошла по пути содействия интеграции цыган в рамках ко</w:t>
      </w:r>
      <w:r>
        <w:t>м</w:t>
      </w:r>
      <w:r>
        <w:t>плекса взаимосвязанных политических мер, характерных для датского общес</w:t>
      </w:r>
      <w:r>
        <w:t>т</w:t>
      </w:r>
      <w:r>
        <w:t>ва всеобщего благоденствия, создания особых контрольных механизмов не</w:t>
      </w:r>
      <w:r w:rsidR="006F0F19">
        <w:t> </w:t>
      </w:r>
      <w:r>
        <w:t>предполагается.</w:t>
      </w:r>
    </w:p>
    <w:p w:rsidR="00907DF0" w:rsidRDefault="00907DF0" w:rsidP="00907DF0">
      <w:pPr>
        <w:pStyle w:val="SingleTxtGR"/>
      </w:pPr>
      <w:r>
        <w:t>Ход реализации в Дании интеграционной политики в целом отслеживается, а</w:t>
      </w:r>
      <w:r w:rsidR="006F0F19">
        <w:t> </w:t>
      </w:r>
      <w:r>
        <w:t>законодательство на постоянной основе корректируется и адаптируется с уч</w:t>
      </w:r>
      <w:r>
        <w:t>е</w:t>
      </w:r>
      <w:r>
        <w:t>том потребностей современного общества.</w:t>
      </w:r>
    </w:p>
    <w:p w:rsidR="00907DF0" w:rsidRPr="006F0F19" w:rsidRDefault="00907DF0" w:rsidP="00907DF0">
      <w:pPr>
        <w:pStyle w:val="SingleTxtGR"/>
      </w:pPr>
      <w:r>
        <w:t>Ответственность за интеграцию каждого отдельного гражданина возложена на местные органы; соответственно, предоставление необходимых услуг и льгот в</w:t>
      </w:r>
      <w:r w:rsidR="006F0F19">
        <w:t> </w:t>
      </w:r>
      <w:r>
        <w:t>каждом муниципалитете является делом м</w:t>
      </w:r>
      <w:r>
        <w:t>у</w:t>
      </w:r>
      <w:r>
        <w:t>ниципальных органов.</w:t>
      </w:r>
    </w:p>
    <w:p w:rsidR="00F67BDD" w:rsidRPr="006F0F19" w:rsidRDefault="00F67BDD" w:rsidP="00F67BDD">
      <w:pPr>
        <w:spacing w:before="240" w:after="720"/>
        <w:jc w:val="center"/>
        <w:rPr>
          <w:color w:val="000000"/>
          <w:u w:val="single"/>
        </w:rPr>
      </w:pPr>
      <w:r w:rsidRPr="0045583B">
        <w:rPr>
          <w:color w:val="000000"/>
          <w:u w:val="single"/>
        </w:rPr>
        <w:tab/>
      </w:r>
      <w:r w:rsidRPr="0045583B">
        <w:rPr>
          <w:color w:val="000000"/>
          <w:u w:val="single"/>
        </w:rPr>
        <w:tab/>
      </w:r>
      <w:r w:rsidRPr="0045583B">
        <w:rPr>
          <w:color w:val="000000"/>
          <w:u w:val="single"/>
        </w:rPr>
        <w:tab/>
      </w:r>
    </w:p>
    <w:sectPr w:rsidR="00F67BDD" w:rsidRPr="006F0F19"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0E4" w:rsidRDefault="00D450E4">
      <w:r>
        <w:rPr>
          <w:lang w:val="en-US"/>
        </w:rPr>
        <w:tab/>
      </w:r>
      <w:r>
        <w:separator/>
      </w:r>
    </w:p>
  </w:endnote>
  <w:endnote w:type="continuationSeparator" w:id="0">
    <w:p w:rsidR="00D450E4" w:rsidRDefault="00D450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C29" w:rsidRPr="009A6F4A" w:rsidRDefault="00ED2C29">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 xml:space="preserve">GE.13-48017 </w:t>
    </w:r>
    <w:r>
      <w:rPr>
        <w:lang w:val="ru-RU"/>
      </w:rPr>
      <w:t xml:space="preserve"> </w:t>
    </w:r>
    <w:r>
      <w:rPr>
        <w:lang w:val="en-US"/>
      </w:rPr>
      <w:t xml:space="preserve">(EXT)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C29" w:rsidRPr="009A6F4A" w:rsidRDefault="00ED2C29">
    <w:pPr>
      <w:pStyle w:val="Footer"/>
      <w:rPr>
        <w:lang w:val="en-US"/>
      </w:rPr>
    </w:pPr>
    <w:r>
      <w:rPr>
        <w:lang w:val="en-US"/>
      </w:rPr>
      <w:t xml:space="preserve">GE.13-48017 </w:t>
    </w:r>
    <w:r>
      <w:rPr>
        <w:lang w:val="ru-RU"/>
      </w:rPr>
      <w:t xml:space="preserve"> </w:t>
    </w:r>
    <w:r>
      <w:rPr>
        <w:lang w:val="en-US"/>
      </w:rPr>
      <w:t>(EXT)</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6" w:type="dxa"/>
      <w:tblCellMar>
        <w:left w:w="0" w:type="dxa"/>
        <w:right w:w="0" w:type="dxa"/>
      </w:tblCellMar>
      <w:tblLook w:val="01E0"/>
    </w:tblPr>
    <w:tblGrid>
      <w:gridCol w:w="3962"/>
      <w:gridCol w:w="4535"/>
      <w:gridCol w:w="1199"/>
    </w:tblGrid>
    <w:tr w:rsidR="00ED2C29" w:rsidRPr="004765CA" w:rsidTr="00E21DB7">
      <w:trPr>
        <w:trHeight w:val="567"/>
      </w:trPr>
      <w:tc>
        <w:tcPr>
          <w:tcW w:w="3969" w:type="dxa"/>
          <w:shd w:val="clear" w:color="auto" w:fill="auto"/>
          <w:vAlign w:val="bottom"/>
        </w:tcPr>
        <w:p w:rsidR="00ED2C29" w:rsidRPr="007E55F0" w:rsidRDefault="00ED2C29" w:rsidP="00E21DB7">
          <w:pPr>
            <w:pStyle w:val="Footer"/>
            <w:rPr>
              <w:sz w:val="20"/>
              <w:lang w:val="en-US" w:eastAsia="ru-RU"/>
            </w:rPr>
          </w:pPr>
          <w:r w:rsidRPr="007E55F0">
            <w:rPr>
              <w:sz w:val="20"/>
              <w:lang w:val="en-US" w:eastAsia="ru-RU"/>
            </w:rPr>
            <w:t>GE.13-</w:t>
          </w:r>
          <w:r>
            <w:rPr>
              <w:sz w:val="20"/>
              <w:lang w:val="en-US" w:eastAsia="ru-RU"/>
            </w:rPr>
            <w:t>48017</w:t>
          </w:r>
          <w:r w:rsidRPr="007E55F0">
            <w:rPr>
              <w:sz w:val="20"/>
              <w:lang w:val="en-US" w:eastAsia="ru-RU"/>
            </w:rPr>
            <w:t xml:space="preserve">  (EXT)</w:t>
          </w:r>
        </w:p>
      </w:tc>
      <w:tc>
        <w:tcPr>
          <w:tcW w:w="4536" w:type="dxa"/>
          <w:vMerge w:val="restart"/>
          <w:shd w:val="clear" w:color="auto" w:fill="auto"/>
          <w:vAlign w:val="bottom"/>
        </w:tcPr>
        <w:p w:rsidR="00ED2C29" w:rsidRPr="007E55F0" w:rsidRDefault="00ED2C29" w:rsidP="003A30E5">
          <w:pPr>
            <w:pStyle w:val="Footer"/>
            <w:jc w:val="right"/>
            <w:rPr>
              <w:b/>
              <w:lang w:eastAsia="ru-RU"/>
            </w:rPr>
          </w:pPr>
          <w:r w:rsidRPr="007E55F0">
            <w:rPr>
              <w:b/>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p w:rsidR="00ED2C29" w:rsidRPr="004765CA" w:rsidRDefault="00ED2C29" w:rsidP="003A30E5">
          <w:pPr>
            <w:pStyle w:val="Footer"/>
            <w:jc w:val="right"/>
            <w:rPr>
              <w:lang w:eastAsia="ru-RU"/>
            </w:rPr>
          </w:pPr>
        </w:p>
      </w:tc>
      <w:tc>
        <w:tcPr>
          <w:tcW w:w="1191" w:type="dxa"/>
          <w:vMerge w:val="restart"/>
          <w:shd w:val="clear" w:color="auto" w:fill="auto"/>
          <w:noWrap/>
          <w:tcMar>
            <w:right w:w="57" w:type="dxa"/>
          </w:tcMar>
          <w:vAlign w:val="bottom"/>
        </w:tcPr>
        <w:p w:rsidR="00ED2C29" w:rsidRPr="004765CA" w:rsidRDefault="00ED2C29" w:rsidP="003A30E5">
          <w:pPr>
            <w:pStyle w:val="Footer"/>
            <w:jc w:val="right"/>
            <w:rPr>
              <w:lang w:eastAsia="ru-RU"/>
            </w:rPr>
          </w:pPr>
          <w:r>
            <w:rPr>
              <w:noProof/>
              <w:sz w:val="2"/>
              <w:szCs w:val="2"/>
              <w:lang w:val="en-US" w:eastAsia="zh-CN"/>
            </w:rPr>
            <w:pict>
              <v:shape id="_x0000_s2049" type="#_x0000_t75" style="position:absolute;left:0;text-align:left;margin-left:7.25pt;margin-top:-52.15pt;width:50.25pt;height:50.25pt;z-index:1;mso-position-horizontal-relative:text;mso-position-vertical-relative:text">
                <v:imagedata r:id="rId2" o:title="20-21&amp;Size=2&amp;Lang=R"/>
              </v:shape>
            </w:pict>
          </w:r>
        </w:p>
      </w:tc>
    </w:tr>
    <w:tr w:rsidR="00ED2C29" w:rsidRPr="007E55F0" w:rsidTr="00E21DB7">
      <w:trPr>
        <w:trHeight w:hRule="exact" w:val="567"/>
      </w:trPr>
      <w:tc>
        <w:tcPr>
          <w:tcW w:w="3969" w:type="dxa"/>
          <w:shd w:val="clear" w:color="auto" w:fill="auto"/>
          <w:vAlign w:val="bottom"/>
        </w:tcPr>
        <w:p w:rsidR="00ED2C29" w:rsidRPr="007E55F0" w:rsidRDefault="00ED2C29" w:rsidP="003A30E5">
          <w:pPr>
            <w:pStyle w:val="Footer"/>
            <w:rPr>
              <w:rFonts w:ascii="C39T30Lfz" w:hAnsi="C39T30Lfz"/>
              <w:sz w:val="56"/>
              <w:szCs w:val="56"/>
              <w:lang w:eastAsia="ru-RU"/>
            </w:rPr>
          </w:pPr>
          <w:r w:rsidRPr="00D336DB">
            <w:rPr>
              <w:rFonts w:ascii="C39T30Lfz" w:hAnsi="C39T30Lfz"/>
              <w:sz w:val="56"/>
              <w:lang w:eastAsia="ru-RU"/>
            </w:rPr>
            <w:t></w:t>
          </w:r>
          <w:r w:rsidRPr="00D336DB">
            <w:rPr>
              <w:rFonts w:ascii="C39T30Lfz" w:hAnsi="C39T30Lfz"/>
              <w:sz w:val="56"/>
              <w:lang w:eastAsia="ru-RU"/>
            </w:rPr>
            <w:t></w:t>
          </w:r>
          <w:r w:rsidRPr="00D336DB">
            <w:rPr>
              <w:rFonts w:ascii="C39T30Lfz" w:hAnsi="C39T30Lfz"/>
              <w:sz w:val="56"/>
              <w:lang w:eastAsia="ru-RU"/>
            </w:rPr>
            <w:t></w:t>
          </w:r>
          <w:r w:rsidRPr="00D336DB">
            <w:rPr>
              <w:rFonts w:ascii="C39T30Lfz" w:hAnsi="C39T30Lfz"/>
              <w:sz w:val="56"/>
              <w:lang w:eastAsia="ru-RU"/>
            </w:rPr>
            <w:t></w:t>
          </w:r>
          <w:r w:rsidRPr="00D336DB">
            <w:rPr>
              <w:rFonts w:ascii="C39T30Lfz" w:hAnsi="C39T30Lfz"/>
              <w:sz w:val="56"/>
              <w:lang w:eastAsia="ru-RU"/>
            </w:rPr>
            <w:t></w:t>
          </w:r>
          <w:r w:rsidRPr="00D336DB">
            <w:rPr>
              <w:rFonts w:ascii="C39T30Lfz" w:hAnsi="C39T30Lfz"/>
              <w:sz w:val="56"/>
              <w:lang w:eastAsia="ru-RU"/>
            </w:rPr>
            <w:t></w:t>
          </w:r>
          <w:r w:rsidRPr="00D336DB">
            <w:rPr>
              <w:rFonts w:ascii="C39T30Lfz" w:hAnsi="C39T30Lfz"/>
              <w:sz w:val="56"/>
              <w:lang w:eastAsia="ru-RU"/>
            </w:rPr>
            <w:t></w:t>
          </w:r>
          <w:r w:rsidRPr="00D336DB">
            <w:rPr>
              <w:rFonts w:ascii="C39T30Lfz" w:hAnsi="C39T30Lfz"/>
              <w:sz w:val="56"/>
              <w:lang w:eastAsia="ru-RU"/>
            </w:rPr>
            <w:t></w:t>
          </w:r>
          <w:r w:rsidRPr="00D336DB">
            <w:rPr>
              <w:rFonts w:ascii="C39T30Lfz" w:hAnsi="C39T30Lfz"/>
              <w:sz w:val="56"/>
              <w:lang w:eastAsia="ru-RU"/>
            </w:rPr>
            <w:t></w:t>
          </w:r>
        </w:p>
      </w:tc>
      <w:tc>
        <w:tcPr>
          <w:tcW w:w="4536" w:type="dxa"/>
          <w:vMerge/>
          <w:shd w:val="clear" w:color="auto" w:fill="auto"/>
          <w:vAlign w:val="bottom"/>
        </w:tcPr>
        <w:p w:rsidR="00ED2C29" w:rsidRPr="007E55F0" w:rsidRDefault="00ED2C29" w:rsidP="003A30E5">
          <w:pPr>
            <w:pStyle w:val="Footer"/>
            <w:rPr>
              <w:rFonts w:ascii="C39T30Lfz" w:hAnsi="C39T30Lfz"/>
              <w:sz w:val="56"/>
              <w:szCs w:val="56"/>
              <w:lang w:eastAsia="ru-RU"/>
            </w:rPr>
          </w:pPr>
        </w:p>
      </w:tc>
      <w:tc>
        <w:tcPr>
          <w:tcW w:w="1191" w:type="dxa"/>
          <w:vMerge/>
          <w:shd w:val="clear" w:color="auto" w:fill="auto"/>
          <w:noWrap/>
          <w:tcMar>
            <w:right w:w="57" w:type="dxa"/>
          </w:tcMar>
          <w:vAlign w:val="bottom"/>
        </w:tcPr>
        <w:p w:rsidR="00ED2C29" w:rsidRPr="007E55F0" w:rsidRDefault="00ED2C29" w:rsidP="003A30E5">
          <w:pPr>
            <w:pStyle w:val="Footer"/>
            <w:jc w:val="right"/>
            <w:rPr>
              <w:rFonts w:ascii="C39T30Lfz" w:hAnsi="C39T30Lfz"/>
              <w:sz w:val="56"/>
              <w:szCs w:val="56"/>
              <w:lang w:eastAsia="ru-RU"/>
            </w:rPr>
          </w:pPr>
        </w:p>
      </w:tc>
    </w:tr>
  </w:tbl>
  <w:p w:rsidR="00ED2C29" w:rsidRPr="00D336DB" w:rsidRDefault="00ED2C29" w:rsidP="00D336DB">
    <w:pPr>
      <w:pStyle w:val="Footer"/>
      <w:tabs>
        <w:tab w:val="clear" w:pos="9639"/>
        <w:tab w:val="right" w:pos="9638"/>
      </w:tabs>
      <w:rPr>
        <w:sz w:val="2"/>
        <w:szCs w:val="2"/>
      </w:rPr>
    </w:pPr>
    <w:r>
      <w:rPr>
        <w:sz w:val="2"/>
        <w:szCs w:val="2"/>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0E4" w:rsidRPr="00F71F63" w:rsidRDefault="00D450E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450E4" w:rsidRPr="00F71F63" w:rsidRDefault="00D450E4" w:rsidP="00635E86">
      <w:pPr>
        <w:tabs>
          <w:tab w:val="right" w:pos="2155"/>
        </w:tabs>
        <w:spacing w:after="80" w:line="240" w:lineRule="auto"/>
        <w:rPr>
          <w:u w:val="single"/>
          <w:lang w:val="en-US"/>
        </w:rPr>
      </w:pPr>
      <w:r w:rsidRPr="00F71F63">
        <w:rPr>
          <w:u w:val="single"/>
          <w:lang w:val="en-US"/>
        </w:rPr>
        <w:tab/>
      </w:r>
    </w:p>
    <w:p w:rsidR="00D450E4" w:rsidRPr="00635E86" w:rsidRDefault="00D450E4" w:rsidP="00635E86">
      <w:pPr>
        <w:pStyle w:val="Footer"/>
      </w:pPr>
    </w:p>
  </w:footnote>
  <w:footnote w:id="1">
    <w:p w:rsidR="00ED2C29" w:rsidRPr="00CC0FD0" w:rsidRDefault="00ED2C29" w:rsidP="00DB1820">
      <w:pPr>
        <w:pStyle w:val="FootnoteText"/>
        <w:rPr>
          <w:lang w:val="ru-RU"/>
        </w:rPr>
      </w:pPr>
      <w:r w:rsidRPr="00CC4677">
        <w:tab/>
      </w:r>
      <w:r w:rsidRPr="00D336DB">
        <w:rPr>
          <w:rStyle w:val="FootnoteReference"/>
          <w:b/>
          <w:bCs/>
          <w:spacing w:val="4"/>
          <w:w w:val="103"/>
          <w:sz w:val="20"/>
          <w:vertAlign w:val="baseline"/>
        </w:rPr>
        <w:t>*</w:t>
      </w:r>
      <w:r w:rsidRPr="00CC0FD0">
        <w:rPr>
          <w:lang w:val="ru-RU"/>
        </w:rPr>
        <w:tab/>
        <w:t>В настоящем документе содержатся двадцатый и</w:t>
      </w:r>
      <w:r>
        <w:rPr>
          <w:lang w:val="ru-RU"/>
        </w:rPr>
        <w:t xml:space="preserve"> </w:t>
      </w:r>
      <w:r w:rsidRPr="00CC0FD0">
        <w:rPr>
          <w:lang w:val="ru-RU"/>
        </w:rPr>
        <w:t>двадцать первый периодические доклады Дании, подлежавшие представлению 8</w:t>
      </w:r>
      <w:r>
        <w:rPr>
          <w:lang w:val="ru-RU"/>
        </w:rPr>
        <w:t> </w:t>
      </w:r>
      <w:r w:rsidRPr="00CC0FD0">
        <w:rPr>
          <w:lang w:val="ru-RU"/>
        </w:rPr>
        <w:t>января 2013 года и</w:t>
      </w:r>
      <w:r>
        <w:rPr>
          <w:lang w:val="ru-RU"/>
        </w:rPr>
        <w:t xml:space="preserve"> </w:t>
      </w:r>
      <w:r w:rsidRPr="00CC0FD0">
        <w:rPr>
          <w:lang w:val="ru-RU"/>
        </w:rPr>
        <w:t xml:space="preserve">сведенные </w:t>
      </w:r>
      <w:r>
        <w:rPr>
          <w:lang w:val="ru-RU"/>
        </w:rPr>
        <w:br/>
      </w:r>
      <w:r w:rsidRPr="00CC0FD0">
        <w:rPr>
          <w:lang w:val="ru-RU"/>
        </w:rPr>
        <w:t xml:space="preserve">в один документ. Восемнадцатый и девятнадцатый периодические доклады </w:t>
      </w:r>
      <w:r>
        <w:rPr>
          <w:lang w:val="ru-RU"/>
        </w:rPr>
        <w:br/>
      </w:r>
      <w:r w:rsidRPr="00CC0FD0">
        <w:rPr>
          <w:lang w:val="ru-RU"/>
        </w:rPr>
        <w:t>и краткие отчеты о заседаниях, на</w:t>
      </w:r>
      <w:r>
        <w:rPr>
          <w:lang w:val="ru-RU"/>
        </w:rPr>
        <w:t xml:space="preserve"> </w:t>
      </w:r>
      <w:r w:rsidRPr="00CC0FD0">
        <w:rPr>
          <w:lang w:val="ru-RU"/>
        </w:rPr>
        <w:t xml:space="preserve">которых Комитет рассматривал этот доклад, </w:t>
      </w:r>
      <w:r>
        <w:rPr>
          <w:lang w:val="ru-RU"/>
        </w:rPr>
        <w:br/>
      </w:r>
      <w:r w:rsidRPr="00CC0FD0">
        <w:rPr>
          <w:lang w:val="ru-RU"/>
        </w:rPr>
        <w:t xml:space="preserve">см. в документах </w:t>
      </w:r>
      <w:r w:rsidRPr="00CC4677">
        <w:t>CERD</w:t>
      </w:r>
      <w:r w:rsidRPr="00CC0FD0">
        <w:rPr>
          <w:lang w:val="ru-RU"/>
        </w:rPr>
        <w:t>/</w:t>
      </w:r>
      <w:r w:rsidRPr="00CC4677">
        <w:t>C</w:t>
      </w:r>
      <w:r w:rsidRPr="00CC0FD0">
        <w:rPr>
          <w:lang w:val="ru-RU"/>
        </w:rPr>
        <w:t>/</w:t>
      </w:r>
      <w:r w:rsidRPr="00CC4677">
        <w:t>DNK</w:t>
      </w:r>
      <w:r w:rsidRPr="00CC0FD0">
        <w:rPr>
          <w:lang w:val="ru-RU"/>
        </w:rPr>
        <w:t xml:space="preserve">/18-19 </w:t>
      </w:r>
      <w:r>
        <w:rPr>
          <w:lang w:val="ru-RU"/>
        </w:rPr>
        <w:t>и</w:t>
      </w:r>
      <w:r w:rsidRPr="00CC0FD0">
        <w:rPr>
          <w:lang w:val="ru-RU"/>
        </w:rPr>
        <w:t xml:space="preserve"> </w:t>
      </w:r>
      <w:r w:rsidRPr="00CC4677">
        <w:t>CERD</w:t>
      </w:r>
      <w:r w:rsidRPr="00CC0FD0">
        <w:rPr>
          <w:lang w:val="ru-RU"/>
        </w:rPr>
        <w:t>/</w:t>
      </w:r>
      <w:r w:rsidRPr="00CC4677">
        <w:t>C</w:t>
      </w:r>
      <w:r w:rsidRPr="00CC0FD0">
        <w:rPr>
          <w:lang w:val="ru-RU"/>
        </w:rPr>
        <w:t>/</w:t>
      </w:r>
      <w:r w:rsidRPr="00CC4677">
        <w:t>SR</w:t>
      </w:r>
      <w:r w:rsidRPr="00CC0FD0">
        <w:rPr>
          <w:lang w:val="ru-RU"/>
        </w:rPr>
        <w:t xml:space="preserve">.2034 </w:t>
      </w:r>
      <w:r>
        <w:rPr>
          <w:lang w:val="ru-RU"/>
        </w:rPr>
        <w:t>и</w:t>
      </w:r>
      <w:r w:rsidRPr="00CC0FD0">
        <w:rPr>
          <w:lang w:val="ru-RU"/>
        </w:rPr>
        <w:t xml:space="preserve"> 2035.</w:t>
      </w:r>
    </w:p>
  </w:footnote>
  <w:footnote w:id="2">
    <w:p w:rsidR="00ED2C29" w:rsidRPr="00CC0FD0" w:rsidRDefault="00ED2C29" w:rsidP="00DB1820">
      <w:pPr>
        <w:pStyle w:val="FootnoteText"/>
        <w:rPr>
          <w:lang w:val="ru-RU"/>
        </w:rPr>
      </w:pPr>
      <w:r w:rsidRPr="00CC0FD0">
        <w:rPr>
          <w:lang w:val="ru-RU"/>
        </w:rPr>
        <w:tab/>
      </w:r>
      <w:r w:rsidRPr="00D336DB">
        <w:rPr>
          <w:rStyle w:val="FootnoteReference"/>
          <w:b/>
          <w:bCs/>
          <w:spacing w:val="4"/>
          <w:w w:val="103"/>
          <w:sz w:val="20"/>
          <w:vertAlign w:val="baseline"/>
        </w:rPr>
        <w:t>**</w:t>
      </w:r>
      <w:r w:rsidRPr="00CC0FD0">
        <w:rPr>
          <w:lang w:val="ru-RU"/>
        </w:rPr>
        <w:tab/>
        <w:t>В соответствии с информацией, направленной государствам-участникам в</w:t>
      </w:r>
      <w:r>
        <w:rPr>
          <w:lang w:val="ru-RU"/>
        </w:rPr>
        <w:t xml:space="preserve"> </w:t>
      </w:r>
      <w:r w:rsidRPr="00CC0FD0">
        <w:rPr>
          <w:lang w:val="ru-RU"/>
        </w:rPr>
        <w:t>отношении оформления их докладов, настоящий документ не редактировался.</w:t>
      </w:r>
    </w:p>
  </w:footnote>
  <w:footnote w:id="3">
    <w:p w:rsidR="00ED2C29" w:rsidRPr="006B371B" w:rsidRDefault="00ED2C29" w:rsidP="00DB1820">
      <w:pPr>
        <w:pStyle w:val="FootnoteText"/>
      </w:pPr>
      <w:r w:rsidRPr="00CC0FD0">
        <w:rPr>
          <w:lang w:val="ru-RU"/>
        </w:rPr>
        <w:tab/>
      </w:r>
      <w:r w:rsidRPr="00DB1820">
        <w:rPr>
          <w:rStyle w:val="FootnoteReference"/>
        </w:rPr>
        <w:footnoteRef/>
      </w:r>
      <w:r w:rsidRPr="006B371B">
        <w:tab/>
        <w:t>Источник: Статистический справочник по Фарерским островам, апрель 2013 года.</w:t>
      </w:r>
    </w:p>
  </w:footnote>
  <w:footnote w:id="4">
    <w:p w:rsidR="00ED2C29" w:rsidRPr="006B371B" w:rsidRDefault="00ED2C29" w:rsidP="00DB1820">
      <w:pPr>
        <w:pStyle w:val="FootnoteText"/>
      </w:pPr>
      <w:r w:rsidRPr="006B371B">
        <w:tab/>
      </w:r>
      <w:r w:rsidRPr="00DB1820">
        <w:rPr>
          <w:rStyle w:val="FootnoteReference"/>
        </w:rPr>
        <w:footnoteRef/>
      </w:r>
      <w:r w:rsidRPr="006B371B">
        <w:tab/>
        <w:t>Термин "рома" понимается в смысле определения, содержащегося в сообщении Комиссии (8727/11, сноска 1).</w:t>
      </w:r>
    </w:p>
  </w:footnote>
  <w:footnote w:id="5">
    <w:p w:rsidR="00ED2C29" w:rsidRPr="0081171D" w:rsidRDefault="00ED2C29" w:rsidP="00DB1820">
      <w:pPr>
        <w:pStyle w:val="FootnoteText"/>
        <w:rPr>
          <w:lang w:val="ru-RU"/>
        </w:rPr>
      </w:pPr>
      <w:r w:rsidRPr="006B371B">
        <w:tab/>
      </w:r>
      <w:r w:rsidRPr="00DB1820">
        <w:rPr>
          <w:rStyle w:val="FootnoteReference"/>
        </w:rPr>
        <w:footnoteRef/>
      </w:r>
      <w:r w:rsidRPr="0081171D">
        <w:rPr>
          <w:lang w:val="ru-RU"/>
        </w:rPr>
        <w:tab/>
        <w:t>Конкретная, но не исключительная ориентация входит в число "10</w:t>
      </w:r>
      <w:r w:rsidRPr="006B371B">
        <w:t> </w:t>
      </w:r>
      <w:r w:rsidRPr="0081171D">
        <w:rPr>
          <w:lang w:val="ru-RU"/>
        </w:rPr>
        <w:t>общих основополагающих принципов интеграции рома", утвержденных Советом министров, ответственных за социальную сферу, 8</w:t>
      </w:r>
      <w:r w:rsidRPr="006B371B">
        <w:t> </w:t>
      </w:r>
      <w:r w:rsidRPr="0081171D">
        <w:rPr>
          <w:lang w:val="ru-RU"/>
        </w:rPr>
        <w:t>июня 2009</w:t>
      </w:r>
      <w:r w:rsidRPr="006B371B">
        <w:t> </w:t>
      </w:r>
      <w:r w:rsidRPr="0081171D">
        <w:rPr>
          <w:lang w:val="ru-RU"/>
        </w:rPr>
        <w:t>года.</w:t>
      </w:r>
    </w:p>
  </w:footnote>
  <w:footnote w:id="6">
    <w:p w:rsidR="00ED2C29" w:rsidRPr="006B371B" w:rsidRDefault="00ED2C29" w:rsidP="00DB1820">
      <w:pPr>
        <w:pStyle w:val="FootnoteText"/>
      </w:pPr>
      <w:r w:rsidRPr="0081171D">
        <w:rPr>
          <w:lang w:val="ru-RU"/>
        </w:rPr>
        <w:tab/>
      </w:r>
      <w:r w:rsidRPr="00DB1820">
        <w:rPr>
          <w:rStyle w:val="FootnoteReference"/>
        </w:rPr>
        <w:footnoteRef/>
      </w:r>
      <w:r w:rsidRPr="006B371B">
        <w:tab/>
        <w:t>По материалам www.romnet.dk.</w:t>
      </w:r>
    </w:p>
  </w:footnote>
  <w:footnote w:id="7">
    <w:p w:rsidR="00ED2C29" w:rsidRPr="00147CA1" w:rsidRDefault="00ED2C29" w:rsidP="00DB1820">
      <w:pPr>
        <w:pStyle w:val="FootnoteText"/>
        <w:rPr>
          <w:lang w:val="ru-RU"/>
        </w:rPr>
      </w:pPr>
      <w:r w:rsidRPr="006B371B">
        <w:tab/>
      </w:r>
      <w:r w:rsidRPr="00DB1820">
        <w:rPr>
          <w:rStyle w:val="FootnoteReference"/>
        </w:rPr>
        <w:footnoteRef/>
      </w:r>
      <w:r w:rsidRPr="006B371B">
        <w:tab/>
        <w:t>Доклад о положении рома в Европе и соответствующих мероприятиях Совета Европы. Д</w:t>
      </w:r>
      <w:r w:rsidRPr="006B371B">
        <w:t>о</w:t>
      </w:r>
      <w:r w:rsidRPr="006B371B">
        <w:t xml:space="preserve">кумент 12174 от 26 февраля 2010 года. </w:t>
      </w:r>
      <w:r w:rsidRPr="00147CA1">
        <w:rPr>
          <w:lang w:val="ru-RU"/>
        </w:rPr>
        <w:t>Докладчик – г-н</w:t>
      </w:r>
      <w:r>
        <w:rPr>
          <w:lang w:val="ru-RU"/>
        </w:rPr>
        <w:t> </w:t>
      </w:r>
      <w:r w:rsidRPr="00147CA1">
        <w:rPr>
          <w:lang w:val="ru-RU"/>
        </w:rPr>
        <w:t>Йозеф Береный, Словацкая Республика, группа Европейской народной партии.</w:t>
      </w:r>
    </w:p>
  </w:footnote>
  <w:footnote w:id="8">
    <w:p w:rsidR="00ED2C29" w:rsidRPr="00AC018F" w:rsidRDefault="00ED2C29" w:rsidP="00DB1820">
      <w:pPr>
        <w:pStyle w:val="FootnoteText"/>
        <w:rPr>
          <w:lang w:val="ru-RU"/>
        </w:rPr>
      </w:pPr>
      <w:r w:rsidRPr="00147CA1">
        <w:rPr>
          <w:lang w:val="ru-RU"/>
        </w:rPr>
        <w:tab/>
      </w:r>
      <w:r w:rsidRPr="00DB1820">
        <w:rPr>
          <w:rStyle w:val="FootnoteReference"/>
        </w:rPr>
        <w:footnoteRef/>
      </w:r>
      <w:r w:rsidRPr="00AC018F">
        <w:rPr>
          <w:lang w:val="ru-RU"/>
        </w:rPr>
        <w:tab/>
        <w:t>Источник: датская программа повышения региональной конкурентоспособности и</w:t>
      </w:r>
      <w:r>
        <w:rPr>
          <w:lang w:val="ru-RU"/>
        </w:rPr>
        <w:t> </w:t>
      </w:r>
      <w:r w:rsidRPr="00AC018F">
        <w:rPr>
          <w:lang w:val="ru-RU"/>
        </w:rPr>
        <w:t>уровня занятости "Больше рабочих мест лучшего качества" на 2007–2013</w:t>
      </w:r>
      <w:r w:rsidRPr="006B371B">
        <w:t> </w:t>
      </w:r>
      <w:r w:rsidRPr="00AC018F">
        <w:rPr>
          <w:lang w:val="ru-RU"/>
        </w:rPr>
        <w:t>годы, финансируемая по линии Евр</w:t>
      </w:r>
      <w:r w:rsidRPr="00AC018F">
        <w:rPr>
          <w:lang w:val="ru-RU"/>
        </w:rPr>
        <w:t>о</w:t>
      </w:r>
      <w:r w:rsidRPr="00AC018F">
        <w:rPr>
          <w:lang w:val="ru-RU"/>
        </w:rPr>
        <w:t>пейского социального фонда (27</w:t>
      </w:r>
      <w:r w:rsidRPr="006B371B">
        <w:t> </w:t>
      </w:r>
      <w:r w:rsidRPr="00AC018F">
        <w:rPr>
          <w:lang w:val="ru-RU"/>
        </w:rPr>
        <w:t>марта 2007</w:t>
      </w:r>
      <w:r w:rsidRPr="006B371B">
        <w:t> </w:t>
      </w:r>
      <w:r w:rsidRPr="00AC018F">
        <w:rPr>
          <w:lang w:val="ru-RU"/>
        </w:rPr>
        <w:t>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C29" w:rsidRPr="005A734F" w:rsidRDefault="00ED2C29">
    <w:pPr>
      <w:pStyle w:val="Header"/>
      <w:rPr>
        <w:lang w:val="en-US"/>
      </w:rPr>
    </w:pPr>
    <w:r>
      <w:rPr>
        <w:lang w:val="en-US"/>
      </w:rPr>
      <w:t>CERD/C/DNK/20-21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C29" w:rsidRPr="009A6F4A" w:rsidRDefault="00ED2C29">
    <w:pPr>
      <w:pStyle w:val="Header"/>
      <w:rPr>
        <w:lang w:val="en-US"/>
      </w:rPr>
    </w:pPr>
    <w:r>
      <w:rPr>
        <w:lang w:val="en-US"/>
      </w:rPr>
      <w:tab/>
      <w:t>CERD/C/DNK/20-21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3"/>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7DF0"/>
    <w:rsid w:val="000009B6"/>
    <w:rsid w:val="000033D8"/>
    <w:rsid w:val="00005C1C"/>
    <w:rsid w:val="00016553"/>
    <w:rsid w:val="000233B3"/>
    <w:rsid w:val="00023E9E"/>
    <w:rsid w:val="00026B0C"/>
    <w:rsid w:val="0003638E"/>
    <w:rsid w:val="00036FF2"/>
    <w:rsid w:val="0004010A"/>
    <w:rsid w:val="00043D88"/>
    <w:rsid w:val="00046E4D"/>
    <w:rsid w:val="0006401A"/>
    <w:rsid w:val="0007289D"/>
    <w:rsid w:val="00072C27"/>
    <w:rsid w:val="00086182"/>
    <w:rsid w:val="00090891"/>
    <w:rsid w:val="00092E62"/>
    <w:rsid w:val="000934A8"/>
    <w:rsid w:val="00097975"/>
    <w:rsid w:val="000A3DDF"/>
    <w:rsid w:val="000A60A0"/>
    <w:rsid w:val="000C3688"/>
    <w:rsid w:val="000D6863"/>
    <w:rsid w:val="00115667"/>
    <w:rsid w:val="00117AEE"/>
    <w:rsid w:val="001463F7"/>
    <w:rsid w:val="00147CA1"/>
    <w:rsid w:val="00152B9B"/>
    <w:rsid w:val="0015769C"/>
    <w:rsid w:val="00180752"/>
    <w:rsid w:val="00185076"/>
    <w:rsid w:val="0018543C"/>
    <w:rsid w:val="00190231"/>
    <w:rsid w:val="00192ABD"/>
    <w:rsid w:val="001A75D5"/>
    <w:rsid w:val="001A7D40"/>
    <w:rsid w:val="001D07F7"/>
    <w:rsid w:val="001D4AE0"/>
    <w:rsid w:val="001D7B8F"/>
    <w:rsid w:val="001E48EE"/>
    <w:rsid w:val="001F2D04"/>
    <w:rsid w:val="0020059C"/>
    <w:rsid w:val="002019BD"/>
    <w:rsid w:val="00221FE4"/>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43F3"/>
    <w:rsid w:val="002F77D6"/>
    <w:rsid w:val="003215F5"/>
    <w:rsid w:val="0032458D"/>
    <w:rsid w:val="00332891"/>
    <w:rsid w:val="00354888"/>
    <w:rsid w:val="00356BB2"/>
    <w:rsid w:val="00360477"/>
    <w:rsid w:val="00361C33"/>
    <w:rsid w:val="00367FC9"/>
    <w:rsid w:val="003711A1"/>
    <w:rsid w:val="00372123"/>
    <w:rsid w:val="00377575"/>
    <w:rsid w:val="00386581"/>
    <w:rsid w:val="00387100"/>
    <w:rsid w:val="003951D3"/>
    <w:rsid w:val="003978C6"/>
    <w:rsid w:val="003A30E5"/>
    <w:rsid w:val="003A6774"/>
    <w:rsid w:val="003B40A9"/>
    <w:rsid w:val="003C016E"/>
    <w:rsid w:val="003D5EBD"/>
    <w:rsid w:val="003F51E3"/>
    <w:rsid w:val="00400F3D"/>
    <w:rsid w:val="00401CE0"/>
    <w:rsid w:val="00403234"/>
    <w:rsid w:val="004063F4"/>
    <w:rsid w:val="00407AC3"/>
    <w:rsid w:val="004141B2"/>
    <w:rsid w:val="00414586"/>
    <w:rsid w:val="00415059"/>
    <w:rsid w:val="00424FDD"/>
    <w:rsid w:val="0043033D"/>
    <w:rsid w:val="00435FE4"/>
    <w:rsid w:val="00442C5D"/>
    <w:rsid w:val="00457634"/>
    <w:rsid w:val="00470A7C"/>
    <w:rsid w:val="00474F42"/>
    <w:rsid w:val="0048244D"/>
    <w:rsid w:val="004A0DE8"/>
    <w:rsid w:val="004A15C8"/>
    <w:rsid w:val="004A4CB7"/>
    <w:rsid w:val="004A57B5"/>
    <w:rsid w:val="004B19DA"/>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D5DE9"/>
    <w:rsid w:val="005E21BC"/>
    <w:rsid w:val="005E6D7C"/>
    <w:rsid w:val="005E74AB"/>
    <w:rsid w:val="00606A3E"/>
    <w:rsid w:val="006115AA"/>
    <w:rsid w:val="006120AE"/>
    <w:rsid w:val="00612CFA"/>
    <w:rsid w:val="00635E86"/>
    <w:rsid w:val="00636A37"/>
    <w:rsid w:val="006501A5"/>
    <w:rsid w:val="006567B2"/>
    <w:rsid w:val="00662ADE"/>
    <w:rsid w:val="00664106"/>
    <w:rsid w:val="006756F1"/>
    <w:rsid w:val="0067663A"/>
    <w:rsid w:val="00677773"/>
    <w:rsid w:val="006805FC"/>
    <w:rsid w:val="006926C7"/>
    <w:rsid w:val="00694C37"/>
    <w:rsid w:val="006A1BEB"/>
    <w:rsid w:val="006A401C"/>
    <w:rsid w:val="006A7C6E"/>
    <w:rsid w:val="006B23D9"/>
    <w:rsid w:val="006C1814"/>
    <w:rsid w:val="006C2F45"/>
    <w:rsid w:val="006C361A"/>
    <w:rsid w:val="006C5657"/>
    <w:rsid w:val="006D3840"/>
    <w:rsid w:val="006D5E4E"/>
    <w:rsid w:val="006E6860"/>
    <w:rsid w:val="006E7183"/>
    <w:rsid w:val="006F0F19"/>
    <w:rsid w:val="006F5FBF"/>
    <w:rsid w:val="0070327E"/>
    <w:rsid w:val="00707B5F"/>
    <w:rsid w:val="00716199"/>
    <w:rsid w:val="00724E1B"/>
    <w:rsid w:val="0073006A"/>
    <w:rsid w:val="00735602"/>
    <w:rsid w:val="007511D7"/>
    <w:rsid w:val="0075279B"/>
    <w:rsid w:val="00753748"/>
    <w:rsid w:val="00762446"/>
    <w:rsid w:val="007674AE"/>
    <w:rsid w:val="00781ACB"/>
    <w:rsid w:val="0079583E"/>
    <w:rsid w:val="007A79EB"/>
    <w:rsid w:val="007D4CA0"/>
    <w:rsid w:val="007D7A23"/>
    <w:rsid w:val="007E38C3"/>
    <w:rsid w:val="007E549E"/>
    <w:rsid w:val="007E71C9"/>
    <w:rsid w:val="007F7553"/>
    <w:rsid w:val="0080755E"/>
    <w:rsid w:val="0081171D"/>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2270"/>
    <w:rsid w:val="008F3185"/>
    <w:rsid w:val="00907DF0"/>
    <w:rsid w:val="00913D34"/>
    <w:rsid w:val="00915B0A"/>
    <w:rsid w:val="00926904"/>
    <w:rsid w:val="009372F0"/>
    <w:rsid w:val="00943BBB"/>
    <w:rsid w:val="00954A12"/>
    <w:rsid w:val="00955022"/>
    <w:rsid w:val="00957B4D"/>
    <w:rsid w:val="00964EEA"/>
    <w:rsid w:val="0098028E"/>
    <w:rsid w:val="00980C86"/>
    <w:rsid w:val="0098534D"/>
    <w:rsid w:val="00987F86"/>
    <w:rsid w:val="009B1D9B"/>
    <w:rsid w:val="009B4074"/>
    <w:rsid w:val="009C30BB"/>
    <w:rsid w:val="009C60BE"/>
    <w:rsid w:val="009D4ADF"/>
    <w:rsid w:val="009E6279"/>
    <w:rsid w:val="009F00A6"/>
    <w:rsid w:val="009F49B9"/>
    <w:rsid w:val="009F56A7"/>
    <w:rsid w:val="009F5B05"/>
    <w:rsid w:val="00A026CA"/>
    <w:rsid w:val="00A07033"/>
    <w:rsid w:val="00A07232"/>
    <w:rsid w:val="00A14800"/>
    <w:rsid w:val="00A156DE"/>
    <w:rsid w:val="00A157ED"/>
    <w:rsid w:val="00A2446A"/>
    <w:rsid w:val="00A4025D"/>
    <w:rsid w:val="00A7357B"/>
    <w:rsid w:val="00A800D1"/>
    <w:rsid w:val="00A92699"/>
    <w:rsid w:val="00AB5BF0"/>
    <w:rsid w:val="00AC018F"/>
    <w:rsid w:val="00AC1C95"/>
    <w:rsid w:val="00AC2CCB"/>
    <w:rsid w:val="00AC443A"/>
    <w:rsid w:val="00AE60E2"/>
    <w:rsid w:val="00B0169F"/>
    <w:rsid w:val="00B05F21"/>
    <w:rsid w:val="00B14EA9"/>
    <w:rsid w:val="00B30A3C"/>
    <w:rsid w:val="00B35AE6"/>
    <w:rsid w:val="00B730D8"/>
    <w:rsid w:val="00B81305"/>
    <w:rsid w:val="00BA03D1"/>
    <w:rsid w:val="00BA5F10"/>
    <w:rsid w:val="00BB17DC"/>
    <w:rsid w:val="00BB1AF9"/>
    <w:rsid w:val="00BB4C4A"/>
    <w:rsid w:val="00BC63F5"/>
    <w:rsid w:val="00BD3CAE"/>
    <w:rsid w:val="00BD5F3C"/>
    <w:rsid w:val="00C07C0F"/>
    <w:rsid w:val="00C145C4"/>
    <w:rsid w:val="00C20D2F"/>
    <w:rsid w:val="00C2131B"/>
    <w:rsid w:val="00C31BA9"/>
    <w:rsid w:val="00C37AF8"/>
    <w:rsid w:val="00C37C79"/>
    <w:rsid w:val="00C41BBC"/>
    <w:rsid w:val="00C41FF0"/>
    <w:rsid w:val="00C51419"/>
    <w:rsid w:val="00C54056"/>
    <w:rsid w:val="00C649DE"/>
    <w:rsid w:val="00C65B57"/>
    <w:rsid w:val="00C663A3"/>
    <w:rsid w:val="00C75CB2"/>
    <w:rsid w:val="00C90723"/>
    <w:rsid w:val="00C90995"/>
    <w:rsid w:val="00C90D5C"/>
    <w:rsid w:val="00CA609E"/>
    <w:rsid w:val="00CA7DA4"/>
    <w:rsid w:val="00CB31FB"/>
    <w:rsid w:val="00CC0FD0"/>
    <w:rsid w:val="00CE3D6F"/>
    <w:rsid w:val="00CE79A5"/>
    <w:rsid w:val="00CF0042"/>
    <w:rsid w:val="00CF262F"/>
    <w:rsid w:val="00CF6CDE"/>
    <w:rsid w:val="00D025D5"/>
    <w:rsid w:val="00D26B13"/>
    <w:rsid w:val="00D26CC1"/>
    <w:rsid w:val="00D30662"/>
    <w:rsid w:val="00D32A0B"/>
    <w:rsid w:val="00D3337A"/>
    <w:rsid w:val="00D336DB"/>
    <w:rsid w:val="00D450E4"/>
    <w:rsid w:val="00D60919"/>
    <w:rsid w:val="00D6236B"/>
    <w:rsid w:val="00D809D1"/>
    <w:rsid w:val="00D84ECF"/>
    <w:rsid w:val="00DA2851"/>
    <w:rsid w:val="00DA2B7C"/>
    <w:rsid w:val="00DA5686"/>
    <w:rsid w:val="00DB1820"/>
    <w:rsid w:val="00DB2FC0"/>
    <w:rsid w:val="00DF18FA"/>
    <w:rsid w:val="00DF49CA"/>
    <w:rsid w:val="00DF775B"/>
    <w:rsid w:val="00E007F3"/>
    <w:rsid w:val="00E00DEA"/>
    <w:rsid w:val="00E06EF0"/>
    <w:rsid w:val="00E11679"/>
    <w:rsid w:val="00E154CA"/>
    <w:rsid w:val="00E21DB7"/>
    <w:rsid w:val="00E307D1"/>
    <w:rsid w:val="00E46A04"/>
    <w:rsid w:val="00E54AEB"/>
    <w:rsid w:val="00E60BA9"/>
    <w:rsid w:val="00E64CCF"/>
    <w:rsid w:val="00E717F3"/>
    <w:rsid w:val="00E72C5E"/>
    <w:rsid w:val="00E73451"/>
    <w:rsid w:val="00E7489F"/>
    <w:rsid w:val="00E75147"/>
    <w:rsid w:val="00E8167D"/>
    <w:rsid w:val="00E821A2"/>
    <w:rsid w:val="00E907E9"/>
    <w:rsid w:val="00E96BE7"/>
    <w:rsid w:val="00EA2CD0"/>
    <w:rsid w:val="00EC0044"/>
    <w:rsid w:val="00EC6B9F"/>
    <w:rsid w:val="00ED2C29"/>
    <w:rsid w:val="00EE516D"/>
    <w:rsid w:val="00EF4D1B"/>
    <w:rsid w:val="00EF7295"/>
    <w:rsid w:val="00F069D1"/>
    <w:rsid w:val="00F1503D"/>
    <w:rsid w:val="00F22712"/>
    <w:rsid w:val="00F2412B"/>
    <w:rsid w:val="00F2466A"/>
    <w:rsid w:val="00F275F5"/>
    <w:rsid w:val="00F33188"/>
    <w:rsid w:val="00F35BDE"/>
    <w:rsid w:val="00F52A0E"/>
    <w:rsid w:val="00F622A8"/>
    <w:rsid w:val="00F67BDD"/>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link w:val="FooterChar"/>
    <w:rsid w:val="00E8167D"/>
    <w:pPr>
      <w:tabs>
        <w:tab w:val="right" w:pos="9639"/>
      </w:tabs>
      <w:suppressAutoHyphens/>
      <w:spacing w:line="240" w:lineRule="auto"/>
    </w:pPr>
    <w:rPr>
      <w:spacing w:val="0"/>
      <w:w w:val="100"/>
      <w:kern w:val="0"/>
      <w:sz w:val="16"/>
      <w:lang w:val="en-GB"/>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erChar">
    <w:name w:val="Footer Char"/>
    <w:aliases w:val="3_GR Char"/>
    <w:link w:val="Footer"/>
    <w:rsid w:val="00E21DB7"/>
    <w:rPr>
      <w:sz w:val="16"/>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88~1\AppData\Local\Temp\Rar$DIa0.438\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19</TotalTime>
  <Pages>1</Pages>
  <Words>27204</Words>
  <Characters>155063</Characters>
  <Application>Microsoft Office Outlook</Application>
  <DocSecurity>4</DocSecurity>
  <Lines>1292</Lines>
  <Paragraphs>363</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181904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Лена</dc:creator>
  <cp:keywords/>
  <cp:lastModifiedBy>CSD</cp:lastModifiedBy>
  <cp:revision>4</cp:revision>
  <cp:lastPrinted>2014-02-03T14:08:00Z</cp:lastPrinted>
  <dcterms:created xsi:type="dcterms:W3CDTF">2014-01-30T08:14:00Z</dcterms:created>
  <dcterms:modified xsi:type="dcterms:W3CDTF">2014-02-03T14:09:00Z</dcterms:modified>
</cp:coreProperties>
</file>