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7561D7C" w14:textId="77777777" w:rsidTr="00F90E40">
        <w:trPr>
          <w:trHeight w:hRule="exact" w:val="851"/>
        </w:trPr>
        <w:tc>
          <w:tcPr>
            <w:tcW w:w="142" w:type="dxa"/>
            <w:tcBorders>
              <w:bottom w:val="single" w:sz="4" w:space="0" w:color="auto"/>
            </w:tcBorders>
          </w:tcPr>
          <w:p w14:paraId="51F562A6" w14:textId="77777777" w:rsidR="002D5AAC" w:rsidRDefault="002D5AAC" w:rsidP="00DF687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DD64FA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1BA68E0" w14:textId="0C3C58F9" w:rsidR="002D5AAC" w:rsidRDefault="00DF6874" w:rsidP="00DF6874">
            <w:pPr>
              <w:jc w:val="right"/>
            </w:pPr>
            <w:r w:rsidRPr="00DF6874">
              <w:rPr>
                <w:sz w:val="40"/>
              </w:rPr>
              <w:t>CAT</w:t>
            </w:r>
            <w:r>
              <w:t>/C/76/2</w:t>
            </w:r>
          </w:p>
        </w:tc>
      </w:tr>
      <w:tr w:rsidR="002D5AAC" w:rsidRPr="00C23549" w14:paraId="447B4697" w14:textId="77777777" w:rsidTr="00F90E40">
        <w:trPr>
          <w:trHeight w:hRule="exact" w:val="2835"/>
        </w:trPr>
        <w:tc>
          <w:tcPr>
            <w:tcW w:w="1280" w:type="dxa"/>
            <w:gridSpan w:val="2"/>
            <w:tcBorders>
              <w:top w:val="single" w:sz="4" w:space="0" w:color="auto"/>
              <w:bottom w:val="single" w:sz="12" w:space="0" w:color="auto"/>
            </w:tcBorders>
          </w:tcPr>
          <w:p w14:paraId="1DB5FC29" w14:textId="77777777" w:rsidR="002D5AAC" w:rsidRDefault="002E5067" w:rsidP="00F90E40">
            <w:pPr>
              <w:spacing w:before="120"/>
              <w:jc w:val="center"/>
            </w:pPr>
            <w:r>
              <w:rPr>
                <w:noProof/>
                <w:lang w:val="fr-CH" w:eastAsia="fr-CH"/>
              </w:rPr>
              <w:drawing>
                <wp:inline distT="0" distB="0" distL="0" distR="0" wp14:anchorId="3EEEEBB2" wp14:editId="6ED4E01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9769C3"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D3B26DD" w14:textId="77777777" w:rsidR="002D5AAC" w:rsidRDefault="00DF6874" w:rsidP="00F90E40">
            <w:pPr>
              <w:spacing w:before="240"/>
            </w:pPr>
            <w:proofErr w:type="spellStart"/>
            <w:r>
              <w:t>Distr</w:t>
            </w:r>
            <w:proofErr w:type="spellEnd"/>
            <w:r>
              <w:t>.: General</w:t>
            </w:r>
          </w:p>
          <w:p w14:paraId="0088F51A" w14:textId="77777777" w:rsidR="00DF6874" w:rsidRDefault="00DF6874" w:rsidP="00DF6874">
            <w:pPr>
              <w:spacing w:line="240" w:lineRule="exact"/>
            </w:pPr>
            <w:r>
              <w:t xml:space="preserve">16 </w:t>
            </w:r>
            <w:proofErr w:type="spellStart"/>
            <w:r>
              <w:t>March</w:t>
            </w:r>
            <w:proofErr w:type="spellEnd"/>
            <w:r>
              <w:t xml:space="preserve"> 2023</w:t>
            </w:r>
          </w:p>
          <w:p w14:paraId="7E4F0729" w14:textId="77777777" w:rsidR="00DF6874" w:rsidRDefault="00DF6874" w:rsidP="00DF6874">
            <w:pPr>
              <w:spacing w:line="240" w:lineRule="exact"/>
            </w:pPr>
            <w:r>
              <w:t>Russian</w:t>
            </w:r>
          </w:p>
          <w:p w14:paraId="70C158DF" w14:textId="051C67DF" w:rsidR="00DF6874" w:rsidRPr="00E528D1" w:rsidRDefault="00DF6874" w:rsidP="00DF6874">
            <w:pPr>
              <w:spacing w:line="240" w:lineRule="exact"/>
            </w:pPr>
            <w:proofErr w:type="spellStart"/>
            <w:r>
              <w:t>Original</w:t>
            </w:r>
            <w:proofErr w:type="spellEnd"/>
            <w:r>
              <w:t>: English</w:t>
            </w:r>
          </w:p>
        </w:tc>
      </w:tr>
    </w:tbl>
    <w:p w14:paraId="6F9D428F" w14:textId="77777777" w:rsidR="00DF6874" w:rsidRPr="00DF6874" w:rsidRDefault="00DF6874" w:rsidP="00DF6874">
      <w:pPr>
        <w:spacing w:before="120"/>
        <w:rPr>
          <w:b/>
          <w:bCs/>
          <w:sz w:val="24"/>
          <w:szCs w:val="24"/>
        </w:rPr>
      </w:pPr>
      <w:r w:rsidRPr="00DF6874">
        <w:rPr>
          <w:b/>
          <w:bCs/>
          <w:sz w:val="24"/>
          <w:szCs w:val="24"/>
        </w:rPr>
        <w:t>Комитет против пыток</w:t>
      </w:r>
    </w:p>
    <w:p w14:paraId="7F0F54E4" w14:textId="77777777" w:rsidR="00DF6874" w:rsidRPr="00DF6874" w:rsidRDefault="00DF6874" w:rsidP="00DF6874">
      <w:pPr>
        <w:rPr>
          <w:b/>
          <w:bCs/>
        </w:rPr>
      </w:pPr>
      <w:r w:rsidRPr="00DF6874">
        <w:rPr>
          <w:b/>
          <w:bCs/>
        </w:rPr>
        <w:t>Семьдесят шестая сессия</w:t>
      </w:r>
    </w:p>
    <w:p w14:paraId="0A38B33B" w14:textId="77777777" w:rsidR="00DF6874" w:rsidRPr="00DF6874" w:rsidRDefault="00DF6874" w:rsidP="00DF6874">
      <w:r w:rsidRPr="00DF6874">
        <w:t>17 апреля — 12 мая 2023 года</w:t>
      </w:r>
    </w:p>
    <w:p w14:paraId="3C409069" w14:textId="77777777" w:rsidR="00DF6874" w:rsidRPr="00DF6874" w:rsidRDefault="00DF6874" w:rsidP="00DF6874">
      <w:r w:rsidRPr="00DF6874">
        <w:t>Пункт 2 предварительной повестки дня</w:t>
      </w:r>
    </w:p>
    <w:p w14:paraId="13F0EBE8" w14:textId="77777777" w:rsidR="00DF6874" w:rsidRPr="00DF6874" w:rsidRDefault="00DF6874" w:rsidP="00DF6874">
      <w:pPr>
        <w:rPr>
          <w:b/>
          <w:bCs/>
        </w:rPr>
      </w:pPr>
      <w:r w:rsidRPr="00DF6874">
        <w:rPr>
          <w:b/>
          <w:bCs/>
        </w:rPr>
        <w:t>Организационные и другие вопросы</w:t>
      </w:r>
    </w:p>
    <w:p w14:paraId="1C96DC01" w14:textId="017C34F8" w:rsidR="00DF6874" w:rsidRDefault="00DF6874" w:rsidP="00DF6874">
      <w:pPr>
        <w:pStyle w:val="HChG"/>
        <w:rPr>
          <w:b w:val="0"/>
          <w:bCs/>
          <w:sz w:val="20"/>
        </w:rPr>
      </w:pPr>
      <w:r w:rsidRPr="00DF6874">
        <w:tab/>
      </w:r>
      <w:r w:rsidRPr="00DF6874">
        <w:tab/>
      </w:r>
      <w:bookmarkStart w:id="0" w:name="_Toc130463480"/>
      <w:r w:rsidRPr="00DF6874">
        <w:t>Шестнадцатый ежегодный доклад Подкомитета по</w:t>
      </w:r>
      <w:r w:rsidRPr="00DF6874">
        <w:rPr>
          <w:lang w:val="en-US"/>
        </w:rPr>
        <w:t> </w:t>
      </w:r>
      <w:r w:rsidRPr="00DF6874">
        <w:t>предупреждению пыток и других жестоких, бесчеловечных или унижающих достоинство видов обращения и наказания</w:t>
      </w:r>
      <w:r w:rsidRPr="00DF6874">
        <w:rPr>
          <w:b w:val="0"/>
          <w:bCs/>
          <w:sz w:val="20"/>
        </w:rPr>
        <w:footnoteReference w:customMarkFollows="1" w:id="1"/>
        <w:t>*</w:t>
      </w:r>
      <w:bookmarkStart w:id="1" w:name="_Toc97717812"/>
      <w:bookmarkStart w:id="2" w:name="_Toc97794991"/>
      <w:bookmarkStart w:id="3" w:name="_Toc534899831"/>
      <w:bookmarkEnd w:id="1"/>
      <w:bookmarkEnd w:id="2"/>
      <w:bookmarkEnd w:id="3"/>
      <w:bookmarkEnd w:id="0"/>
    </w:p>
    <w:tbl>
      <w:tblPr>
        <w:tblStyle w:val="ac"/>
        <w:tblW w:w="0" w:type="auto"/>
        <w:jc w:val="center"/>
        <w:tblLook w:val="05E0" w:firstRow="1" w:lastRow="1" w:firstColumn="1" w:lastColumn="1" w:noHBand="0" w:noVBand="1"/>
      </w:tblPr>
      <w:tblGrid>
        <w:gridCol w:w="9628"/>
      </w:tblGrid>
      <w:tr w:rsidR="00DF6874" w:rsidRPr="00DF6874" w14:paraId="71C40AC8" w14:textId="77777777" w:rsidTr="00850215">
        <w:trPr>
          <w:jc w:val="center"/>
        </w:trPr>
        <w:tc>
          <w:tcPr>
            <w:tcW w:w="9637" w:type="dxa"/>
            <w:tcBorders>
              <w:bottom w:val="nil"/>
            </w:tcBorders>
          </w:tcPr>
          <w:p w14:paraId="44AE6777" w14:textId="77777777" w:rsidR="00DF6874" w:rsidRPr="00DF6874" w:rsidRDefault="00DF6874" w:rsidP="00850215">
            <w:pPr>
              <w:tabs>
                <w:tab w:val="left" w:pos="255"/>
              </w:tabs>
              <w:spacing w:before="240" w:after="120"/>
              <w:rPr>
                <w:rFonts w:cs="Times New Roman"/>
                <w:sz w:val="24"/>
              </w:rPr>
            </w:pPr>
            <w:r w:rsidRPr="00DF6874">
              <w:rPr>
                <w:rFonts w:cs="Times New Roman"/>
              </w:rPr>
              <w:tab/>
            </w:r>
            <w:r w:rsidRPr="00DF6874">
              <w:rPr>
                <w:rFonts w:cs="Times New Roman"/>
                <w:i/>
                <w:sz w:val="24"/>
              </w:rPr>
              <w:t>Резюме</w:t>
            </w:r>
          </w:p>
        </w:tc>
      </w:tr>
      <w:tr w:rsidR="00DF6874" w:rsidRPr="00DF6874" w14:paraId="5D5DED76" w14:textId="77777777" w:rsidTr="00850215">
        <w:trPr>
          <w:jc w:val="center"/>
        </w:trPr>
        <w:tc>
          <w:tcPr>
            <w:tcW w:w="9637" w:type="dxa"/>
            <w:tcBorders>
              <w:top w:val="nil"/>
              <w:bottom w:val="nil"/>
            </w:tcBorders>
            <w:shd w:val="clear" w:color="auto" w:fill="auto"/>
          </w:tcPr>
          <w:p w14:paraId="08DE9099" w14:textId="1958F060" w:rsidR="00DF6874" w:rsidRPr="00DF6874" w:rsidRDefault="00DF6874" w:rsidP="00D6488B">
            <w:pPr>
              <w:pStyle w:val="SingleTxtG"/>
            </w:pPr>
            <w:r w:rsidRPr="00DF6874">
              <w:tab/>
              <w:t>В настоящем докладе Подкомитет по предупреждению пыток и других жестоких, бесчеловечных или унижающих достоинство видов обращения и наказания сообщает о работе, проделанной им в 2022 году.</w:t>
            </w:r>
          </w:p>
        </w:tc>
      </w:tr>
      <w:tr w:rsidR="00DF6874" w:rsidRPr="00DF6874" w14:paraId="705673BC" w14:textId="77777777" w:rsidTr="00850215">
        <w:trPr>
          <w:jc w:val="center"/>
        </w:trPr>
        <w:tc>
          <w:tcPr>
            <w:tcW w:w="9637" w:type="dxa"/>
            <w:tcBorders>
              <w:top w:val="nil"/>
              <w:bottom w:val="nil"/>
            </w:tcBorders>
            <w:shd w:val="clear" w:color="auto" w:fill="auto"/>
          </w:tcPr>
          <w:p w14:paraId="109CF457" w14:textId="059F007D" w:rsidR="00DF6874" w:rsidRPr="00DF6874" w:rsidRDefault="00DF6874" w:rsidP="00D6488B">
            <w:pPr>
              <w:pStyle w:val="SingleTxtG"/>
            </w:pPr>
            <w:r w:rsidRPr="00DF6874">
              <w:tab/>
              <w:t>После краткого введения Подкомитет приводит обновленную информацию о функционировании системы Факультативного протокола к Конвенции против пыток и других жестоких, бесчеловечных или унижающих достоинство видов обращения и наказания, включая сведения о посещениях, увеличении числа государств-участников и назначенных национальных превентивных механизмов, а также сообщает о деятельности Специального фонда, учрежденного Факультативным протоколом (раздел II).</w:t>
            </w:r>
          </w:p>
        </w:tc>
      </w:tr>
      <w:tr w:rsidR="00DF6874" w:rsidRPr="00DF6874" w14:paraId="25FBAF81" w14:textId="77777777" w:rsidTr="00850215">
        <w:trPr>
          <w:jc w:val="center"/>
        </w:trPr>
        <w:tc>
          <w:tcPr>
            <w:tcW w:w="9637" w:type="dxa"/>
            <w:tcBorders>
              <w:top w:val="nil"/>
              <w:bottom w:val="nil"/>
            </w:tcBorders>
            <w:shd w:val="clear" w:color="auto" w:fill="auto"/>
          </w:tcPr>
          <w:p w14:paraId="6A5DA7CF" w14:textId="53B8A9AB" w:rsidR="00DF6874" w:rsidRPr="00DF6874" w:rsidRDefault="00DF6874" w:rsidP="00D6488B">
            <w:pPr>
              <w:pStyle w:val="SingleTxtG"/>
            </w:pPr>
            <w:r w:rsidRPr="00DF6874">
              <w:tab/>
              <w:t>Подкомитет представляет относящуюся к сути вопроса информацию о взаимодействии с другими органами в области предупреждения пыток (раздел III) и событиях, связанных с методами своей работы (раздел IV), а также комментирует вопросы, с которыми он столкнулся при выполнении своей работы в течение отчетного года.</w:t>
            </w:r>
          </w:p>
        </w:tc>
      </w:tr>
      <w:tr w:rsidR="00DF6874" w:rsidRPr="00DF6874" w14:paraId="01CE4894" w14:textId="77777777" w:rsidTr="00850215">
        <w:trPr>
          <w:jc w:val="center"/>
        </w:trPr>
        <w:tc>
          <w:tcPr>
            <w:tcW w:w="9637" w:type="dxa"/>
            <w:tcBorders>
              <w:top w:val="nil"/>
              <w:bottom w:val="nil"/>
            </w:tcBorders>
            <w:shd w:val="clear" w:color="auto" w:fill="auto"/>
          </w:tcPr>
          <w:p w14:paraId="3F8F9184" w14:textId="1F982B75" w:rsidR="00DF6874" w:rsidRPr="00DF6874" w:rsidRDefault="00DF6874" w:rsidP="00D6488B">
            <w:pPr>
              <w:pStyle w:val="SingleTxtG"/>
            </w:pPr>
            <w:r w:rsidRPr="00DF6874">
              <w:tab/>
              <w:t>В заключительной части доклада Подкомитет рассматривает задачи на будущее (раздел V) и описывает свой план работы (раздел VI).</w:t>
            </w:r>
          </w:p>
        </w:tc>
      </w:tr>
      <w:tr w:rsidR="00DF6874" w:rsidRPr="00DF6874" w14:paraId="58F3796D" w14:textId="77777777" w:rsidTr="00850215">
        <w:trPr>
          <w:jc w:val="center"/>
        </w:trPr>
        <w:tc>
          <w:tcPr>
            <w:tcW w:w="9637" w:type="dxa"/>
            <w:tcBorders>
              <w:top w:val="nil"/>
              <w:bottom w:val="nil"/>
            </w:tcBorders>
            <w:shd w:val="clear" w:color="auto" w:fill="auto"/>
          </w:tcPr>
          <w:p w14:paraId="3030BDF0" w14:textId="78F0FA3B" w:rsidR="00DF6874" w:rsidRPr="00DF6874" w:rsidRDefault="00DF6874" w:rsidP="00D6488B">
            <w:pPr>
              <w:pStyle w:val="SingleTxtG"/>
            </w:pPr>
            <w:r>
              <w:tab/>
            </w:r>
            <w:r w:rsidRPr="00DF6874">
              <w:t>В приложении к докладу приводится заявление в отношении новой редакции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котором отражены достижения в глобальном понимании практики и последствий пыток и жестокого обращения, а также практический опыт, накопленный за последние 20 лет.</w:t>
            </w:r>
          </w:p>
        </w:tc>
      </w:tr>
      <w:tr w:rsidR="00DF6874" w:rsidRPr="00DF6874" w14:paraId="778C09E5" w14:textId="77777777" w:rsidTr="00850215">
        <w:trPr>
          <w:jc w:val="center"/>
        </w:trPr>
        <w:tc>
          <w:tcPr>
            <w:tcW w:w="9637" w:type="dxa"/>
            <w:tcBorders>
              <w:top w:val="nil"/>
            </w:tcBorders>
          </w:tcPr>
          <w:p w14:paraId="776BA453" w14:textId="77777777" w:rsidR="00DF6874" w:rsidRPr="00DF6874" w:rsidRDefault="00DF6874" w:rsidP="00850215">
            <w:pPr>
              <w:rPr>
                <w:rFonts w:cs="Times New Roman"/>
              </w:rPr>
            </w:pPr>
          </w:p>
        </w:tc>
      </w:tr>
    </w:tbl>
    <w:p w14:paraId="1299B16A" w14:textId="77777777" w:rsidR="00DF6874" w:rsidRDefault="00DF6874" w:rsidP="00DF6874">
      <w:pPr>
        <w:keepNext/>
        <w:spacing w:after="120"/>
        <w:rPr>
          <w:sz w:val="28"/>
        </w:rPr>
      </w:pPr>
      <w:r>
        <w:rPr>
          <w:sz w:val="28"/>
        </w:rPr>
        <w:lastRenderedPageBreak/>
        <w:t>Содержание</w:t>
      </w:r>
    </w:p>
    <w:p w14:paraId="2D37F019" w14:textId="77777777" w:rsidR="00DF6874" w:rsidRDefault="00DF6874" w:rsidP="00DF6874">
      <w:pPr>
        <w:keepNext/>
        <w:tabs>
          <w:tab w:val="right" w:pos="9638"/>
        </w:tabs>
        <w:spacing w:after="120"/>
        <w:ind w:left="283"/>
        <w:rPr>
          <w:sz w:val="18"/>
        </w:rPr>
      </w:pPr>
      <w:r>
        <w:rPr>
          <w:i/>
          <w:sz w:val="18"/>
        </w:rPr>
        <w:tab/>
        <w:t>Стр.</w:t>
      </w:r>
    </w:p>
    <w:p w14:paraId="3868ED37" w14:textId="304A873C" w:rsidR="00835EF3" w:rsidRPr="00835EF3" w:rsidRDefault="00835EF3" w:rsidP="00835EF3">
      <w:pPr>
        <w:tabs>
          <w:tab w:val="right" w:pos="850"/>
          <w:tab w:val="left" w:pos="1134"/>
          <w:tab w:val="left" w:pos="1559"/>
          <w:tab w:val="left" w:leader="dot" w:pos="8787"/>
          <w:tab w:val="right" w:pos="9638"/>
        </w:tabs>
        <w:spacing w:after="120"/>
        <w:ind w:left="1134" w:hanging="1134"/>
        <w:rPr>
          <w:noProof/>
        </w:rPr>
      </w:pPr>
      <w:r>
        <w:tab/>
      </w:r>
      <w:r w:rsidRPr="00835EF3">
        <w:rPr>
          <w:noProof/>
        </w:rPr>
        <w:t>I.</w:t>
      </w:r>
      <w:r w:rsidRPr="00835EF3">
        <w:rPr>
          <w:noProof/>
        </w:rPr>
        <w:tab/>
        <w:t>Введение</w:t>
      </w:r>
      <w:r>
        <w:rPr>
          <w:noProof/>
          <w:webHidden/>
        </w:rPr>
        <w:tab/>
      </w:r>
      <w:r>
        <w:rPr>
          <w:noProof/>
          <w:webHidden/>
        </w:rPr>
        <w:tab/>
      </w:r>
      <w:r w:rsidR="00A85277">
        <w:rPr>
          <w:noProof/>
          <w:webHidden/>
        </w:rPr>
        <w:t>3</w:t>
      </w:r>
    </w:p>
    <w:p w14:paraId="2C612342" w14:textId="2AF261D6"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835EF3">
        <w:rPr>
          <w:noProof/>
        </w:rPr>
        <w:t>II.</w:t>
      </w:r>
      <w:r w:rsidRPr="00835EF3">
        <w:rPr>
          <w:noProof/>
        </w:rPr>
        <w:tab/>
        <w:t>Отчетный год</w:t>
      </w:r>
      <w:r>
        <w:rPr>
          <w:noProof/>
          <w:webHidden/>
        </w:rPr>
        <w:tab/>
      </w:r>
      <w:r>
        <w:rPr>
          <w:noProof/>
          <w:webHidden/>
        </w:rPr>
        <w:tab/>
      </w:r>
      <w:r w:rsidR="00A85277">
        <w:rPr>
          <w:noProof/>
          <w:webHidden/>
        </w:rPr>
        <w:t>3</w:t>
      </w:r>
    </w:p>
    <w:p w14:paraId="2592715F" w14:textId="78FB2EB2"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A.</w:t>
      </w:r>
      <w:r w:rsidRPr="00835EF3">
        <w:rPr>
          <w:noProof/>
        </w:rPr>
        <w:tab/>
        <w:t>Участие в системе Факультативного протокола</w:t>
      </w:r>
      <w:r>
        <w:rPr>
          <w:noProof/>
          <w:webHidden/>
        </w:rPr>
        <w:tab/>
      </w:r>
      <w:r>
        <w:rPr>
          <w:noProof/>
          <w:webHidden/>
        </w:rPr>
        <w:tab/>
      </w:r>
      <w:r w:rsidR="00A85277">
        <w:rPr>
          <w:noProof/>
          <w:webHidden/>
        </w:rPr>
        <w:t>3</w:t>
      </w:r>
    </w:p>
    <w:p w14:paraId="7E140D8B" w14:textId="07F9884F"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B.</w:t>
      </w:r>
      <w:r w:rsidRPr="00835EF3">
        <w:rPr>
          <w:noProof/>
        </w:rPr>
        <w:tab/>
        <w:t>Организационные вопросы и членский состав</w:t>
      </w:r>
      <w:r>
        <w:rPr>
          <w:noProof/>
          <w:webHidden/>
        </w:rPr>
        <w:tab/>
      </w:r>
      <w:r>
        <w:rPr>
          <w:noProof/>
          <w:webHidden/>
        </w:rPr>
        <w:tab/>
      </w:r>
      <w:r w:rsidR="00A85277">
        <w:rPr>
          <w:noProof/>
          <w:webHidden/>
        </w:rPr>
        <w:t>3</w:t>
      </w:r>
    </w:p>
    <w:p w14:paraId="62588B00" w14:textId="36B14931"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C.</w:t>
      </w:r>
      <w:r w:rsidRPr="00835EF3">
        <w:rPr>
          <w:noProof/>
        </w:rPr>
        <w:tab/>
        <w:t>Посещения, проведенные за отчетный период</w:t>
      </w:r>
      <w:r>
        <w:rPr>
          <w:noProof/>
          <w:webHidden/>
        </w:rPr>
        <w:tab/>
      </w:r>
      <w:r>
        <w:rPr>
          <w:noProof/>
          <w:webHidden/>
        </w:rPr>
        <w:tab/>
      </w:r>
      <w:r w:rsidR="00A85277">
        <w:rPr>
          <w:noProof/>
          <w:webHidden/>
        </w:rPr>
        <w:t>5</w:t>
      </w:r>
    </w:p>
    <w:p w14:paraId="79D9626D" w14:textId="66095517"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D.</w:t>
      </w:r>
      <w:r w:rsidRPr="00835EF3">
        <w:rPr>
          <w:noProof/>
        </w:rPr>
        <w:tab/>
        <w:t xml:space="preserve">Диалог в связи с посещениями, включая публикацию докладов </w:t>
      </w:r>
      <w:r>
        <w:rPr>
          <w:noProof/>
        </w:rPr>
        <w:br/>
      </w:r>
      <w:r w:rsidRPr="00835EF3">
        <w:rPr>
          <w:noProof/>
        </w:rPr>
        <w:t xml:space="preserve">Подкомитета государствами-участниками и национальными </w:t>
      </w:r>
      <w:r>
        <w:rPr>
          <w:noProof/>
        </w:rPr>
        <w:br/>
      </w:r>
      <w:r w:rsidRPr="00835EF3">
        <w:rPr>
          <w:noProof/>
        </w:rPr>
        <w:t>превентивными механизмами</w:t>
      </w:r>
      <w:r>
        <w:rPr>
          <w:noProof/>
          <w:webHidden/>
        </w:rPr>
        <w:tab/>
      </w:r>
      <w:r>
        <w:rPr>
          <w:noProof/>
          <w:webHidden/>
        </w:rPr>
        <w:tab/>
      </w:r>
      <w:r w:rsidR="00A85277">
        <w:rPr>
          <w:noProof/>
          <w:webHidden/>
        </w:rPr>
        <w:t>6</w:t>
      </w:r>
    </w:p>
    <w:p w14:paraId="23A1F13A" w14:textId="69835CAC"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E.</w:t>
      </w:r>
      <w:r w:rsidRPr="00835EF3">
        <w:rPr>
          <w:noProof/>
        </w:rPr>
        <w:tab/>
        <w:t>События, связанные с национальными превентивными механизмами</w:t>
      </w:r>
      <w:r>
        <w:rPr>
          <w:noProof/>
          <w:webHidden/>
        </w:rPr>
        <w:tab/>
      </w:r>
      <w:r>
        <w:rPr>
          <w:noProof/>
          <w:webHidden/>
        </w:rPr>
        <w:tab/>
      </w:r>
      <w:r w:rsidR="00A85277">
        <w:rPr>
          <w:noProof/>
          <w:webHidden/>
        </w:rPr>
        <w:t>7</w:t>
      </w:r>
    </w:p>
    <w:p w14:paraId="16AFFAD7" w14:textId="4213E588"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F.</w:t>
      </w:r>
      <w:r w:rsidRPr="00835EF3">
        <w:rPr>
          <w:noProof/>
        </w:rPr>
        <w:tab/>
        <w:t>Существенное несоблюдение статьи 17</w:t>
      </w:r>
      <w:r>
        <w:rPr>
          <w:noProof/>
          <w:webHidden/>
        </w:rPr>
        <w:tab/>
      </w:r>
      <w:r>
        <w:rPr>
          <w:noProof/>
          <w:webHidden/>
        </w:rPr>
        <w:tab/>
      </w:r>
      <w:r w:rsidR="00A85277">
        <w:rPr>
          <w:noProof/>
          <w:webHidden/>
        </w:rPr>
        <w:t>7</w:t>
      </w:r>
    </w:p>
    <w:p w14:paraId="7836C97E" w14:textId="4CE874A8"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G.</w:t>
      </w:r>
      <w:r w:rsidRPr="00835EF3">
        <w:rPr>
          <w:noProof/>
        </w:rPr>
        <w:tab/>
        <w:t>Специальный фонд, учрежденный Факультативным протоколом</w:t>
      </w:r>
      <w:r>
        <w:rPr>
          <w:noProof/>
          <w:webHidden/>
        </w:rPr>
        <w:tab/>
      </w:r>
      <w:r>
        <w:rPr>
          <w:noProof/>
          <w:webHidden/>
        </w:rPr>
        <w:tab/>
      </w:r>
      <w:r w:rsidR="00A85277">
        <w:rPr>
          <w:noProof/>
          <w:webHidden/>
        </w:rPr>
        <w:t>8</w:t>
      </w:r>
    </w:p>
    <w:p w14:paraId="68DCDA3C" w14:textId="5C5F5D4C" w:rsidR="00835EF3" w:rsidRPr="00835EF3" w:rsidRDefault="00835EF3" w:rsidP="00835EF3">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Pr="00835EF3">
        <w:rPr>
          <w:noProof/>
        </w:rPr>
        <w:t>H.</w:t>
      </w:r>
      <w:r w:rsidRPr="00835EF3">
        <w:rPr>
          <w:noProof/>
        </w:rPr>
        <w:tab/>
        <w:t>Рекомендации в связи с пандемией COVID-19</w:t>
      </w:r>
      <w:r>
        <w:rPr>
          <w:noProof/>
          <w:webHidden/>
        </w:rPr>
        <w:tab/>
      </w:r>
      <w:r>
        <w:rPr>
          <w:noProof/>
          <w:webHidden/>
        </w:rPr>
        <w:tab/>
      </w:r>
      <w:r w:rsidR="00A85277">
        <w:rPr>
          <w:noProof/>
          <w:webHidden/>
        </w:rPr>
        <w:t>8</w:t>
      </w:r>
    </w:p>
    <w:p w14:paraId="7BAD2C8D" w14:textId="5D66EDC1"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835EF3">
        <w:rPr>
          <w:noProof/>
        </w:rPr>
        <w:t>III.</w:t>
      </w:r>
      <w:r w:rsidR="00104E9F">
        <w:rPr>
          <w:noProof/>
        </w:rPr>
        <w:tab/>
      </w:r>
      <w:r w:rsidRPr="00835EF3">
        <w:rPr>
          <w:noProof/>
        </w:rPr>
        <w:t>Взаимодействие с другими органами в области предупреждения пыток</w:t>
      </w:r>
      <w:r>
        <w:rPr>
          <w:noProof/>
          <w:webHidden/>
        </w:rPr>
        <w:tab/>
      </w:r>
      <w:r>
        <w:rPr>
          <w:noProof/>
          <w:webHidden/>
        </w:rPr>
        <w:tab/>
      </w:r>
      <w:r w:rsidR="00A85277">
        <w:rPr>
          <w:noProof/>
          <w:webHidden/>
        </w:rPr>
        <w:t>9</w:t>
      </w:r>
    </w:p>
    <w:p w14:paraId="3D93079F" w14:textId="494CD0F6"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835EF3">
        <w:rPr>
          <w:noProof/>
        </w:rPr>
        <w:t>A.</w:t>
      </w:r>
      <w:r w:rsidRPr="00835EF3">
        <w:rPr>
          <w:noProof/>
        </w:rPr>
        <w:tab/>
        <w:t>Международное сотрудничество</w:t>
      </w:r>
      <w:r>
        <w:rPr>
          <w:noProof/>
          <w:webHidden/>
        </w:rPr>
        <w:tab/>
      </w:r>
      <w:r>
        <w:rPr>
          <w:noProof/>
          <w:webHidden/>
        </w:rPr>
        <w:tab/>
      </w:r>
      <w:r w:rsidR="00A85277">
        <w:rPr>
          <w:noProof/>
          <w:webHidden/>
        </w:rPr>
        <w:t>9</w:t>
      </w:r>
    </w:p>
    <w:p w14:paraId="4C9835E7" w14:textId="59CE0C79"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835EF3">
        <w:rPr>
          <w:noProof/>
        </w:rPr>
        <w:t>B.</w:t>
      </w:r>
      <w:r w:rsidRPr="00835EF3">
        <w:rPr>
          <w:noProof/>
        </w:rPr>
        <w:tab/>
        <w:t>Региональное сотрудничество</w:t>
      </w:r>
      <w:r>
        <w:rPr>
          <w:noProof/>
          <w:webHidden/>
        </w:rPr>
        <w:tab/>
      </w:r>
      <w:r>
        <w:rPr>
          <w:noProof/>
          <w:webHidden/>
        </w:rPr>
        <w:tab/>
      </w:r>
      <w:r w:rsidR="00A85277">
        <w:rPr>
          <w:noProof/>
          <w:webHidden/>
        </w:rPr>
        <w:t>10</w:t>
      </w:r>
    </w:p>
    <w:p w14:paraId="0658C247" w14:textId="09849E78"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835EF3">
        <w:rPr>
          <w:noProof/>
        </w:rPr>
        <w:t>C.</w:t>
      </w:r>
      <w:r w:rsidRPr="00835EF3">
        <w:rPr>
          <w:noProof/>
        </w:rPr>
        <w:tab/>
        <w:t>Гражданское общество</w:t>
      </w:r>
      <w:r>
        <w:rPr>
          <w:noProof/>
          <w:webHidden/>
        </w:rPr>
        <w:tab/>
      </w:r>
      <w:r>
        <w:rPr>
          <w:noProof/>
          <w:webHidden/>
        </w:rPr>
        <w:tab/>
      </w:r>
      <w:r w:rsidR="00A85277">
        <w:rPr>
          <w:noProof/>
          <w:webHidden/>
        </w:rPr>
        <w:t>10</w:t>
      </w:r>
    </w:p>
    <w:p w14:paraId="1621CBBA" w14:textId="407C2AF8"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835EF3">
        <w:rPr>
          <w:noProof/>
        </w:rPr>
        <w:t>IV.</w:t>
      </w:r>
      <w:r w:rsidRPr="00835EF3">
        <w:rPr>
          <w:noProof/>
        </w:rPr>
        <w:tab/>
        <w:t>События, связанные с методами работы</w:t>
      </w:r>
      <w:r>
        <w:rPr>
          <w:noProof/>
          <w:webHidden/>
        </w:rPr>
        <w:tab/>
      </w:r>
      <w:r>
        <w:rPr>
          <w:noProof/>
          <w:webHidden/>
        </w:rPr>
        <w:tab/>
      </w:r>
      <w:r w:rsidR="00A85277">
        <w:rPr>
          <w:noProof/>
          <w:webHidden/>
        </w:rPr>
        <w:t>11</w:t>
      </w:r>
    </w:p>
    <w:p w14:paraId="29915F4F" w14:textId="0F3AF48C"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835EF3">
        <w:rPr>
          <w:noProof/>
        </w:rPr>
        <w:t>A.</w:t>
      </w:r>
      <w:r w:rsidRPr="00835EF3">
        <w:rPr>
          <w:noProof/>
        </w:rPr>
        <w:tab/>
        <w:t>Посещения</w:t>
      </w:r>
      <w:r>
        <w:rPr>
          <w:noProof/>
          <w:webHidden/>
        </w:rPr>
        <w:tab/>
      </w:r>
      <w:r>
        <w:rPr>
          <w:noProof/>
          <w:webHidden/>
        </w:rPr>
        <w:tab/>
      </w:r>
      <w:r w:rsidR="00A85277">
        <w:rPr>
          <w:noProof/>
          <w:webHidden/>
        </w:rPr>
        <w:t>11</w:t>
      </w:r>
    </w:p>
    <w:p w14:paraId="49023124" w14:textId="5834E866"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Pr="00835EF3">
        <w:rPr>
          <w:noProof/>
        </w:rPr>
        <w:t>B.</w:t>
      </w:r>
      <w:r w:rsidRPr="00835EF3">
        <w:rPr>
          <w:noProof/>
        </w:rPr>
        <w:tab/>
        <w:t>Продолжительность сессий</w:t>
      </w:r>
      <w:r>
        <w:rPr>
          <w:noProof/>
          <w:webHidden/>
        </w:rPr>
        <w:tab/>
      </w:r>
      <w:r>
        <w:rPr>
          <w:noProof/>
          <w:webHidden/>
        </w:rPr>
        <w:tab/>
      </w:r>
      <w:r w:rsidR="00A85277">
        <w:rPr>
          <w:noProof/>
          <w:webHidden/>
        </w:rPr>
        <w:t>12</w:t>
      </w:r>
    </w:p>
    <w:p w14:paraId="74240AF1" w14:textId="116B35C8"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835EF3">
        <w:rPr>
          <w:noProof/>
        </w:rPr>
        <w:t>V.</w:t>
      </w:r>
      <w:r w:rsidRPr="00835EF3">
        <w:rPr>
          <w:noProof/>
        </w:rPr>
        <w:tab/>
        <w:t>Задачи на будущее</w:t>
      </w:r>
      <w:r>
        <w:rPr>
          <w:noProof/>
          <w:webHidden/>
        </w:rPr>
        <w:tab/>
      </w:r>
      <w:r>
        <w:rPr>
          <w:noProof/>
          <w:webHidden/>
        </w:rPr>
        <w:tab/>
      </w:r>
      <w:r w:rsidR="00A85277">
        <w:rPr>
          <w:noProof/>
          <w:webHidden/>
        </w:rPr>
        <w:t>12</w:t>
      </w:r>
    </w:p>
    <w:p w14:paraId="25C4A9BA" w14:textId="4C719CAD"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Pr>
          <w:noProof/>
        </w:rPr>
        <w:tab/>
      </w:r>
      <w:r w:rsidRPr="00835EF3">
        <w:rPr>
          <w:noProof/>
        </w:rPr>
        <w:t>VI.</w:t>
      </w:r>
      <w:r w:rsidRPr="00835EF3">
        <w:rPr>
          <w:noProof/>
        </w:rPr>
        <w:tab/>
        <w:t>План работы</w:t>
      </w:r>
      <w:r>
        <w:rPr>
          <w:noProof/>
          <w:webHidden/>
        </w:rPr>
        <w:tab/>
      </w:r>
      <w:r>
        <w:rPr>
          <w:noProof/>
          <w:webHidden/>
        </w:rPr>
        <w:tab/>
      </w:r>
      <w:r w:rsidR="00A85277">
        <w:rPr>
          <w:noProof/>
          <w:webHidden/>
        </w:rPr>
        <w:t>13</w:t>
      </w:r>
    </w:p>
    <w:p w14:paraId="7004DC6C" w14:textId="40639C1F" w:rsidR="00835EF3" w:rsidRPr="00835EF3" w:rsidRDefault="00835EF3" w:rsidP="00835EF3">
      <w:pPr>
        <w:tabs>
          <w:tab w:val="right" w:pos="850"/>
          <w:tab w:val="left" w:pos="1134"/>
          <w:tab w:val="left" w:pos="1559"/>
          <w:tab w:val="left" w:pos="1984"/>
          <w:tab w:val="left" w:leader="dot" w:pos="8787"/>
          <w:tab w:val="right" w:pos="9638"/>
        </w:tabs>
        <w:spacing w:after="120"/>
        <w:ind w:left="1134" w:hanging="1134"/>
        <w:rPr>
          <w:noProof/>
        </w:rPr>
      </w:pPr>
      <w:r w:rsidRPr="00104E9F">
        <w:rPr>
          <w:noProof/>
          <w:spacing w:val="-4"/>
        </w:rPr>
        <w:t>Приложение</w:t>
      </w:r>
      <w:r w:rsidRPr="00104E9F">
        <w:rPr>
          <w:noProof/>
          <w:webHidden/>
          <w:spacing w:val="-4"/>
        </w:rPr>
        <w:tab/>
      </w:r>
      <w:r w:rsidRPr="00835EF3">
        <w:rPr>
          <w:noProof/>
        </w:rPr>
        <w:t xml:space="preserve">Заявление Подкомитета по предупреждению пыток и других жестоких, </w:t>
      </w:r>
      <w:r>
        <w:rPr>
          <w:noProof/>
        </w:rPr>
        <w:br/>
      </w:r>
      <w:r w:rsidRPr="00835EF3">
        <w:rPr>
          <w:noProof/>
        </w:rPr>
        <w:t xml:space="preserve">бесчеловечных или унижающих достоинство видов обращения и наказания </w:t>
      </w:r>
      <w:r>
        <w:rPr>
          <w:noProof/>
        </w:rPr>
        <w:br/>
      </w:r>
      <w:r w:rsidRPr="00835EF3">
        <w:rPr>
          <w:noProof/>
        </w:rPr>
        <w:t xml:space="preserve">в отношении новой редакции Руководства по эффективному расследованию </w:t>
      </w:r>
      <w:r>
        <w:rPr>
          <w:noProof/>
        </w:rPr>
        <w:br/>
      </w:r>
      <w:r w:rsidRPr="00835EF3">
        <w:rPr>
          <w:noProof/>
        </w:rPr>
        <w:t xml:space="preserve">и документированию пыток и других жестоких, бесчеловечных или </w:t>
      </w:r>
      <w:r>
        <w:rPr>
          <w:noProof/>
        </w:rPr>
        <w:br/>
      </w:r>
      <w:r w:rsidRPr="00835EF3">
        <w:rPr>
          <w:noProof/>
        </w:rPr>
        <w:t>унижающих достоинство видов обращения и наказания (Стамбульский протокол)</w:t>
      </w:r>
      <w:r>
        <w:rPr>
          <w:noProof/>
          <w:webHidden/>
        </w:rPr>
        <w:tab/>
      </w:r>
      <w:r>
        <w:rPr>
          <w:noProof/>
          <w:webHidden/>
        </w:rPr>
        <w:tab/>
      </w:r>
      <w:r w:rsidR="00A85277">
        <w:rPr>
          <w:noProof/>
          <w:webHidden/>
        </w:rPr>
        <w:t>14</w:t>
      </w:r>
    </w:p>
    <w:p w14:paraId="5602B896" w14:textId="07C1C90C" w:rsidR="00DF6874" w:rsidRPr="00153EF2" w:rsidRDefault="00DF6874" w:rsidP="00F1583A">
      <w:pPr>
        <w:tabs>
          <w:tab w:val="right" w:pos="850"/>
          <w:tab w:val="left" w:pos="1134"/>
          <w:tab w:val="left" w:pos="1559"/>
          <w:tab w:val="left" w:pos="1984"/>
          <w:tab w:val="left" w:leader="dot" w:pos="8787"/>
          <w:tab w:val="right" w:pos="9638"/>
        </w:tabs>
        <w:spacing w:after="120"/>
      </w:pPr>
    </w:p>
    <w:p w14:paraId="4BC68723" w14:textId="77777777" w:rsidR="00DF6874" w:rsidRPr="00DF6874" w:rsidRDefault="00DF6874" w:rsidP="00DF6874">
      <w:pPr>
        <w:pStyle w:val="SingleTxtG"/>
      </w:pPr>
      <w:r w:rsidRPr="00DF6874">
        <w:br w:type="page"/>
      </w:r>
    </w:p>
    <w:p w14:paraId="1A3B32B1" w14:textId="77777777" w:rsidR="00DF6874" w:rsidRPr="00DF6874" w:rsidRDefault="00DF6874" w:rsidP="00DF6874">
      <w:pPr>
        <w:pStyle w:val="HChG"/>
      </w:pPr>
      <w:r w:rsidRPr="00DF6874">
        <w:lastRenderedPageBreak/>
        <w:tab/>
      </w:r>
      <w:bookmarkStart w:id="4" w:name="_Toc130463481"/>
      <w:r w:rsidRPr="00DF6874">
        <w:t>I.</w:t>
      </w:r>
      <w:r w:rsidRPr="00DF6874">
        <w:tab/>
        <w:t>Введение</w:t>
      </w:r>
      <w:bookmarkStart w:id="5" w:name="_Toc534899833"/>
      <w:bookmarkStart w:id="6" w:name="_Toc97717813"/>
      <w:bookmarkStart w:id="7" w:name="_Toc97794992"/>
      <w:bookmarkEnd w:id="5"/>
      <w:bookmarkEnd w:id="6"/>
      <w:bookmarkEnd w:id="7"/>
      <w:bookmarkEnd w:id="4"/>
    </w:p>
    <w:p w14:paraId="6C147622" w14:textId="1396F95B" w:rsidR="00DF6874" w:rsidRPr="00DF6874" w:rsidRDefault="00DF6874" w:rsidP="00DF6874">
      <w:pPr>
        <w:pStyle w:val="SingleTxtG"/>
      </w:pPr>
      <w:r w:rsidRPr="00DF6874">
        <w:t>1.</w:t>
      </w:r>
      <w:r w:rsidRPr="00DF6874">
        <w:tab/>
        <w:t>С учетом статьи 16 (3) Факультативного протокола к Конвенции против пыток и других жестоких, бесчеловечных или унижающих достоинство видов обращения и наказания и в соответствии с правилом 33 своих правил процедуры Подкомитет готовит ежегодный доклад о своей деятельности в виде открытого документа. В</w:t>
      </w:r>
      <w:r w:rsidR="00752A81">
        <w:t> </w:t>
      </w:r>
      <w:r w:rsidRPr="00DF6874">
        <w:t>соответствии с этими положениями Подкомитет рассматривает в настоящем докладе свою деятельность за период с 1 января по 31 декабря 2022 года. Подкомитет рассмотрел и утвердил настоящий доклад на своей сорок девятой сессии, которая состоялась 6–10 февраля 2023 года.</w:t>
      </w:r>
      <w:bookmarkStart w:id="8" w:name="_Hlk58255257"/>
      <w:bookmarkEnd w:id="8"/>
    </w:p>
    <w:p w14:paraId="6804DB47" w14:textId="77777777" w:rsidR="00DF6874" w:rsidRPr="00DF6874" w:rsidRDefault="00DF6874" w:rsidP="00DF6874">
      <w:pPr>
        <w:pStyle w:val="HChG"/>
      </w:pPr>
      <w:r w:rsidRPr="00DF6874">
        <w:tab/>
      </w:r>
      <w:bookmarkStart w:id="9" w:name="_Toc130463482"/>
      <w:r w:rsidRPr="00DF6874">
        <w:t>II.</w:t>
      </w:r>
      <w:r w:rsidRPr="00DF6874">
        <w:tab/>
        <w:t>Отчетный год</w:t>
      </w:r>
      <w:bookmarkStart w:id="10" w:name="_Toc534899834"/>
      <w:bookmarkStart w:id="11" w:name="_Toc97717814"/>
      <w:bookmarkStart w:id="12" w:name="_Toc97794993"/>
      <w:bookmarkEnd w:id="10"/>
      <w:bookmarkEnd w:id="11"/>
      <w:bookmarkEnd w:id="12"/>
      <w:bookmarkEnd w:id="9"/>
    </w:p>
    <w:p w14:paraId="1D5D2669" w14:textId="77777777" w:rsidR="00DF6874" w:rsidRPr="00DF6874" w:rsidRDefault="00DF6874" w:rsidP="00DF6874">
      <w:pPr>
        <w:pStyle w:val="H1G"/>
      </w:pPr>
      <w:r w:rsidRPr="00DF6874">
        <w:rPr>
          <w:bCs/>
        </w:rPr>
        <w:tab/>
      </w:r>
      <w:bookmarkStart w:id="13" w:name="_Toc130463483"/>
      <w:r w:rsidRPr="00DF6874">
        <w:rPr>
          <w:bCs/>
        </w:rPr>
        <w:t>A.</w:t>
      </w:r>
      <w:r w:rsidRPr="00DF6874">
        <w:tab/>
        <w:t>Участие в системе Факультативного протокола</w:t>
      </w:r>
      <w:bookmarkStart w:id="14" w:name="_Toc534899835"/>
      <w:bookmarkStart w:id="15" w:name="_Toc97717815"/>
      <w:bookmarkStart w:id="16" w:name="_Toc97794994"/>
      <w:bookmarkEnd w:id="14"/>
      <w:bookmarkEnd w:id="15"/>
      <w:bookmarkEnd w:id="16"/>
      <w:bookmarkEnd w:id="13"/>
    </w:p>
    <w:p w14:paraId="1997480A" w14:textId="77777777" w:rsidR="00DF6874" w:rsidRPr="00DF6874" w:rsidRDefault="00DF6874" w:rsidP="00DF6874">
      <w:pPr>
        <w:pStyle w:val="SingleTxtG"/>
      </w:pPr>
      <w:r w:rsidRPr="00DF6874">
        <w:t>2.</w:t>
      </w:r>
      <w:r w:rsidRPr="00DF6874">
        <w:tab/>
        <w:t>По состоянию на 31 декабря 2022 года 91 государство являлось участником Факультативного протокола, а 13 государств подписали, но еще не ратифицировали этот документ</w:t>
      </w:r>
      <w:r w:rsidRPr="00DF6874">
        <w:rPr>
          <w:sz w:val="18"/>
          <w:vertAlign w:val="superscript"/>
        </w:rPr>
        <w:footnoteReference w:id="2"/>
      </w:r>
      <w:r w:rsidRPr="00DF6874">
        <w:rPr>
          <w:sz w:val="18"/>
        </w:rPr>
        <w:t>.</w:t>
      </w:r>
      <w:r w:rsidRPr="00DF6874">
        <w:t xml:space="preserve"> </w:t>
      </w:r>
    </w:p>
    <w:p w14:paraId="5BB35C75" w14:textId="77777777" w:rsidR="00DF6874" w:rsidRPr="00DF6874" w:rsidRDefault="00DF6874" w:rsidP="00DF6874">
      <w:pPr>
        <w:pStyle w:val="SingleTxtG"/>
      </w:pPr>
      <w:r w:rsidRPr="00DF6874">
        <w:t>3.</w:t>
      </w:r>
      <w:r w:rsidRPr="00DF6874">
        <w:tab/>
        <w:t>Распределение участников по регионам выглядело следующим образом:</w:t>
      </w:r>
    </w:p>
    <w:p w14:paraId="0AEED085" w14:textId="4FE9B94A" w:rsidR="00DF6874" w:rsidRPr="00DF6874" w:rsidRDefault="00DF6874" w:rsidP="00163EC5">
      <w:pPr>
        <w:pStyle w:val="SingleTxtG"/>
        <w:tabs>
          <w:tab w:val="clear" w:pos="2268"/>
          <w:tab w:val="clear" w:pos="2835"/>
          <w:tab w:val="right" w:pos="7938"/>
        </w:tabs>
      </w:pPr>
      <w:r>
        <w:tab/>
      </w:r>
      <w:r w:rsidRPr="00DF6874">
        <w:t>Государства Африки</w:t>
      </w:r>
      <w:r w:rsidR="00163EC5">
        <w:tab/>
      </w:r>
      <w:r w:rsidRPr="00DF6874">
        <w:t>23</w:t>
      </w:r>
    </w:p>
    <w:p w14:paraId="06C233E5" w14:textId="53417F80" w:rsidR="00DF6874" w:rsidRPr="00DF6874" w:rsidRDefault="00DF6874" w:rsidP="00163EC5">
      <w:pPr>
        <w:pStyle w:val="SingleTxtG"/>
        <w:tabs>
          <w:tab w:val="clear" w:pos="2268"/>
          <w:tab w:val="clear" w:pos="2835"/>
          <w:tab w:val="right" w:pos="7938"/>
        </w:tabs>
      </w:pPr>
      <w:r>
        <w:tab/>
      </w:r>
      <w:r w:rsidRPr="00DF6874">
        <w:t>Государства Азии и Тихого океана</w:t>
      </w:r>
      <w:r w:rsidR="00163EC5">
        <w:tab/>
      </w:r>
      <w:r w:rsidRPr="00DF6874">
        <w:t>13</w:t>
      </w:r>
    </w:p>
    <w:p w14:paraId="634D86CC" w14:textId="3116BA8A" w:rsidR="00DF6874" w:rsidRPr="00DF6874" w:rsidRDefault="00DF6874" w:rsidP="00163EC5">
      <w:pPr>
        <w:pStyle w:val="SingleTxtG"/>
        <w:tabs>
          <w:tab w:val="clear" w:pos="2268"/>
          <w:tab w:val="clear" w:pos="2835"/>
          <w:tab w:val="right" w:pos="7938"/>
        </w:tabs>
      </w:pPr>
      <w:r>
        <w:tab/>
      </w:r>
      <w:r w:rsidRPr="00DF6874">
        <w:t>Государства Восточной Европы</w:t>
      </w:r>
      <w:r w:rsidR="00163EC5">
        <w:tab/>
      </w:r>
      <w:r w:rsidRPr="00DF6874">
        <w:t>20</w:t>
      </w:r>
    </w:p>
    <w:p w14:paraId="30391933" w14:textId="03FF6BE6" w:rsidR="00DF6874" w:rsidRPr="00DF6874" w:rsidRDefault="00DF6874" w:rsidP="00163EC5">
      <w:pPr>
        <w:pStyle w:val="SingleTxtG"/>
        <w:tabs>
          <w:tab w:val="clear" w:pos="2268"/>
          <w:tab w:val="clear" w:pos="2835"/>
          <w:tab w:val="right" w:pos="7938"/>
        </w:tabs>
      </w:pPr>
      <w:r>
        <w:tab/>
      </w:r>
      <w:r w:rsidRPr="00DF6874">
        <w:t>Государства Латинской Америки и Карибского бассейна</w:t>
      </w:r>
      <w:r w:rsidR="00163EC5">
        <w:tab/>
      </w:r>
      <w:r w:rsidRPr="00DF6874">
        <w:t>15</w:t>
      </w:r>
    </w:p>
    <w:p w14:paraId="1988923F" w14:textId="050E72BD" w:rsidR="00DF6874" w:rsidRPr="00DF6874" w:rsidRDefault="00DF6874" w:rsidP="00163EC5">
      <w:pPr>
        <w:pStyle w:val="SingleTxtG"/>
        <w:tabs>
          <w:tab w:val="clear" w:pos="2268"/>
          <w:tab w:val="clear" w:pos="2835"/>
          <w:tab w:val="right" w:pos="7938"/>
        </w:tabs>
      </w:pPr>
      <w:r>
        <w:tab/>
      </w:r>
      <w:r w:rsidRPr="00DF6874">
        <w:t>Государства Западной Европы и другие государства</w:t>
      </w:r>
      <w:r w:rsidR="00163EC5">
        <w:tab/>
      </w:r>
      <w:r w:rsidRPr="00DF6874">
        <w:t>20</w:t>
      </w:r>
    </w:p>
    <w:p w14:paraId="275F30C3" w14:textId="77777777" w:rsidR="00DF6874" w:rsidRPr="00DF6874" w:rsidRDefault="00DF6874" w:rsidP="00163EC5">
      <w:pPr>
        <w:pStyle w:val="SingleTxtG"/>
      </w:pPr>
      <w:r w:rsidRPr="00DF6874">
        <w:t>4.</w:t>
      </w:r>
      <w:r w:rsidRPr="00DF6874">
        <w:tab/>
        <w:t>Распределение по регионам 13 подписавших документ стран, которые еще не ратифицировали его, выглядит следующим образом:</w:t>
      </w:r>
    </w:p>
    <w:p w14:paraId="09DE7352" w14:textId="40DD3AB2" w:rsidR="00DF6874" w:rsidRPr="00DF6874" w:rsidRDefault="00DF6874" w:rsidP="00163EC5">
      <w:pPr>
        <w:pStyle w:val="SingleTxtG"/>
        <w:tabs>
          <w:tab w:val="clear" w:pos="2268"/>
          <w:tab w:val="clear" w:pos="2835"/>
          <w:tab w:val="right" w:pos="7938"/>
        </w:tabs>
      </w:pPr>
      <w:r>
        <w:tab/>
      </w:r>
      <w:r w:rsidRPr="00DF6874">
        <w:t>Государства Африки</w:t>
      </w:r>
      <w:r w:rsidR="00163EC5">
        <w:tab/>
      </w:r>
      <w:r w:rsidRPr="00DF6874">
        <w:t>8</w:t>
      </w:r>
    </w:p>
    <w:p w14:paraId="35FAD965" w14:textId="5F658D34" w:rsidR="00DF6874" w:rsidRPr="00DF6874" w:rsidRDefault="00DF6874" w:rsidP="00163EC5">
      <w:pPr>
        <w:pStyle w:val="SingleTxtG"/>
        <w:tabs>
          <w:tab w:val="clear" w:pos="2268"/>
          <w:tab w:val="clear" w:pos="2835"/>
          <w:tab w:val="right" w:pos="7938"/>
        </w:tabs>
      </w:pPr>
      <w:r>
        <w:tab/>
      </w:r>
      <w:r w:rsidRPr="00DF6874">
        <w:t>Государства Азии и Тихого океана</w:t>
      </w:r>
      <w:r w:rsidR="00163EC5">
        <w:tab/>
      </w:r>
      <w:r w:rsidRPr="00DF6874">
        <w:t>1</w:t>
      </w:r>
    </w:p>
    <w:p w14:paraId="7372D1E7" w14:textId="183F104C" w:rsidR="00DF6874" w:rsidRPr="00DF6874" w:rsidRDefault="00DF6874" w:rsidP="00163EC5">
      <w:pPr>
        <w:pStyle w:val="SingleTxtG"/>
        <w:tabs>
          <w:tab w:val="clear" w:pos="2268"/>
          <w:tab w:val="clear" w:pos="2835"/>
          <w:tab w:val="right" w:pos="7938"/>
        </w:tabs>
      </w:pPr>
      <w:r>
        <w:tab/>
      </w:r>
      <w:r w:rsidRPr="00DF6874">
        <w:t>Государства Восточной Европы</w:t>
      </w:r>
      <w:r w:rsidR="00163EC5">
        <w:tab/>
      </w:r>
      <w:r w:rsidRPr="00DF6874">
        <w:t>1</w:t>
      </w:r>
    </w:p>
    <w:p w14:paraId="16EB7F6F" w14:textId="0F1AE255" w:rsidR="00DF6874" w:rsidRPr="00DF6874" w:rsidRDefault="00DF6874" w:rsidP="00163EC5">
      <w:pPr>
        <w:pStyle w:val="SingleTxtG"/>
        <w:tabs>
          <w:tab w:val="clear" w:pos="2268"/>
          <w:tab w:val="clear" w:pos="2835"/>
          <w:tab w:val="right" w:pos="7938"/>
        </w:tabs>
      </w:pPr>
      <w:r>
        <w:tab/>
      </w:r>
      <w:r w:rsidRPr="00DF6874">
        <w:t>Государства Латинской Америки и Карибского бассейна</w:t>
      </w:r>
      <w:r w:rsidR="00163EC5">
        <w:tab/>
      </w:r>
      <w:r w:rsidRPr="00DF6874">
        <w:t>1</w:t>
      </w:r>
    </w:p>
    <w:p w14:paraId="63848A2E" w14:textId="7B0385E5" w:rsidR="00DF6874" w:rsidRPr="00DF6874" w:rsidRDefault="00DF6874" w:rsidP="00163EC5">
      <w:pPr>
        <w:pStyle w:val="SingleTxtG"/>
        <w:tabs>
          <w:tab w:val="clear" w:pos="2268"/>
          <w:tab w:val="clear" w:pos="2835"/>
          <w:tab w:val="right" w:pos="7938"/>
        </w:tabs>
      </w:pPr>
      <w:r>
        <w:tab/>
      </w:r>
      <w:r w:rsidRPr="00DF6874">
        <w:t>Государства Западной Европы и другие государства</w:t>
      </w:r>
      <w:r w:rsidRPr="00DF6874">
        <w:tab/>
        <w:t>2</w:t>
      </w:r>
    </w:p>
    <w:p w14:paraId="6EB60423" w14:textId="77777777" w:rsidR="00DF6874" w:rsidRPr="00DF6874" w:rsidRDefault="00DF6874" w:rsidP="00DF6874">
      <w:pPr>
        <w:pStyle w:val="H1G"/>
      </w:pPr>
      <w:r w:rsidRPr="00DF6874">
        <w:tab/>
      </w:r>
      <w:bookmarkStart w:id="17" w:name="_Toc130463484"/>
      <w:r w:rsidRPr="00DF6874">
        <w:t>B.</w:t>
      </w:r>
      <w:r w:rsidRPr="00DF6874">
        <w:tab/>
        <w:t>Организационные вопросы и членский состав</w:t>
      </w:r>
      <w:bookmarkStart w:id="18" w:name="_Toc534899836"/>
      <w:bookmarkStart w:id="19" w:name="_Toc97717816"/>
      <w:bookmarkStart w:id="20" w:name="_Toc97794995"/>
      <w:bookmarkEnd w:id="18"/>
      <w:bookmarkEnd w:id="19"/>
      <w:bookmarkEnd w:id="20"/>
      <w:bookmarkEnd w:id="17"/>
    </w:p>
    <w:p w14:paraId="57C9B577" w14:textId="77777777" w:rsidR="00DF6874" w:rsidRPr="00DF6874" w:rsidRDefault="00DF6874" w:rsidP="00DF6874">
      <w:pPr>
        <w:pStyle w:val="SingleTxtG"/>
      </w:pPr>
      <w:bookmarkStart w:id="21" w:name="_Hlk58255486"/>
      <w:r w:rsidRPr="00DF6874">
        <w:t>5.</w:t>
      </w:r>
      <w:r w:rsidRPr="00DF6874">
        <w:tab/>
        <w:t>За отчетный период Подкомитет провел две однонедельные сессии и одну двухнедельную сессию. Сорок шестая сессия (7–11 февраля 2022 года) была проведена в смешанном формате; сорок седьмая сессия (7–17 июня 2022 года) и сорок восьмая сессия (7–11 ноября 2022 года) были проведены очно в Женеве.</w:t>
      </w:r>
      <w:bookmarkEnd w:id="21"/>
    </w:p>
    <w:p w14:paraId="70436EB8" w14:textId="68C9B55F" w:rsidR="00DF6874" w:rsidRPr="00DF6874" w:rsidRDefault="00DF6874" w:rsidP="00DF6874">
      <w:pPr>
        <w:pStyle w:val="SingleTxtG"/>
      </w:pPr>
      <w:r w:rsidRPr="00DF6874">
        <w:t>6.</w:t>
      </w:r>
      <w:r w:rsidRPr="00DF6874">
        <w:tab/>
        <w:t>В отчетном периоде состав Подкомитета изменился</w:t>
      </w:r>
      <w:r w:rsidRPr="00DF6874">
        <w:rPr>
          <w:sz w:val="18"/>
          <w:vertAlign w:val="superscript"/>
        </w:rPr>
        <w:footnoteReference w:id="3"/>
      </w:r>
      <w:r w:rsidRPr="00DF6874">
        <w:rPr>
          <w:sz w:val="18"/>
        </w:rPr>
        <w:t>,</w:t>
      </w:r>
      <w:r w:rsidRPr="00DF6874">
        <w:t xml:space="preserve"> так как 31 октября 2022</w:t>
      </w:r>
      <w:r>
        <w:rPr>
          <w:lang w:val="en-US"/>
        </w:rPr>
        <w:t> </w:t>
      </w:r>
      <w:r w:rsidRPr="00DF6874">
        <w:t xml:space="preserve">года по личным причинам ушла в отставку Марина </w:t>
      </w:r>
      <w:proofErr w:type="spellStart"/>
      <w:r w:rsidRPr="00DF6874">
        <w:t>Лангфельдт</w:t>
      </w:r>
      <w:proofErr w:type="spellEnd"/>
      <w:r w:rsidRPr="00DF6874">
        <w:t>.</w:t>
      </w:r>
    </w:p>
    <w:p w14:paraId="65FB7689" w14:textId="77777777" w:rsidR="00DF6874" w:rsidRPr="00DF6874" w:rsidRDefault="00DF6874" w:rsidP="00DF6874">
      <w:pPr>
        <w:pStyle w:val="SingleTxtG"/>
      </w:pPr>
      <w:r w:rsidRPr="00DF6874">
        <w:t>7.</w:t>
      </w:r>
      <w:r w:rsidRPr="00DF6874">
        <w:tab/>
        <w:t xml:space="preserve">В течение года состав Бюро оставался неизменным: Сюзанна </w:t>
      </w:r>
      <w:proofErr w:type="spellStart"/>
      <w:r w:rsidRPr="00DF6874">
        <w:t>Жаббур</w:t>
      </w:r>
      <w:proofErr w:type="spellEnd"/>
      <w:r w:rsidRPr="00DF6874">
        <w:t xml:space="preserve"> (Председатель), Кармен </w:t>
      </w:r>
      <w:proofErr w:type="spellStart"/>
      <w:r w:rsidRPr="00DF6874">
        <w:t>Комас</w:t>
      </w:r>
      <w:proofErr w:type="spellEnd"/>
      <w:r w:rsidRPr="00DF6874">
        <w:t xml:space="preserve">-Мата Мира (заместитель Председателя по посещениям), Даниэль </w:t>
      </w:r>
      <w:proofErr w:type="spellStart"/>
      <w:r w:rsidRPr="00DF6874">
        <w:t>Финк</w:t>
      </w:r>
      <w:proofErr w:type="spellEnd"/>
      <w:r w:rsidRPr="00DF6874">
        <w:t xml:space="preserve"> (заместитель Председателя по внешним связям), </w:t>
      </w:r>
      <w:proofErr w:type="spellStart"/>
      <w:r w:rsidRPr="00DF6874">
        <w:t>Аиша</w:t>
      </w:r>
      <w:proofErr w:type="spellEnd"/>
      <w:r w:rsidRPr="00DF6874">
        <w:t xml:space="preserve"> </w:t>
      </w:r>
      <w:proofErr w:type="spellStart"/>
      <w:r w:rsidRPr="00DF6874">
        <w:t>Шуджуне</w:t>
      </w:r>
      <w:proofErr w:type="spellEnd"/>
      <w:r w:rsidRPr="00DF6874">
        <w:t xml:space="preserve"> Мухаммад (заместитель Председателя по национальным превентивным механизмам) и Абдаллах </w:t>
      </w:r>
      <w:proofErr w:type="spellStart"/>
      <w:r w:rsidRPr="00DF6874">
        <w:t>Уннир</w:t>
      </w:r>
      <w:proofErr w:type="spellEnd"/>
      <w:r w:rsidRPr="00DF6874">
        <w:t xml:space="preserve"> (заместитель Председателя, Докладчик). </w:t>
      </w:r>
    </w:p>
    <w:p w14:paraId="7AFF62F9" w14:textId="126C2C46" w:rsidR="00DF6874" w:rsidRPr="00DF6874" w:rsidRDefault="00DF6874" w:rsidP="00DF6874">
      <w:pPr>
        <w:pStyle w:val="SingleTxtG"/>
      </w:pPr>
      <w:r w:rsidRPr="00DF6874">
        <w:lastRenderedPageBreak/>
        <w:t>8.</w:t>
      </w:r>
      <w:r w:rsidRPr="00DF6874">
        <w:tab/>
        <w:t xml:space="preserve">Докладчиком по репрессиям осталась Нора </w:t>
      </w:r>
      <w:proofErr w:type="spellStart"/>
      <w:r w:rsidRPr="00DF6874">
        <w:t>Свеосс</w:t>
      </w:r>
      <w:proofErr w:type="spellEnd"/>
      <w:r w:rsidRPr="00DF6874">
        <w:t xml:space="preserve">. На сорок восьмой сессии Подкомитета Якуб Юлиан </w:t>
      </w:r>
      <w:proofErr w:type="spellStart"/>
      <w:r w:rsidRPr="00DF6874">
        <w:t>Чепек</w:t>
      </w:r>
      <w:proofErr w:type="spellEnd"/>
      <w:r w:rsidRPr="00DF6874">
        <w:t xml:space="preserve"> был назначен временно замещать ее с 1 января 2023</w:t>
      </w:r>
      <w:r>
        <w:rPr>
          <w:lang w:val="en-US"/>
        </w:rPr>
        <w:t> </w:t>
      </w:r>
      <w:r w:rsidRPr="00DF6874">
        <w:t>года до избрания нового докладчика на сорок девятой сессии.</w:t>
      </w:r>
    </w:p>
    <w:p w14:paraId="3284D84E" w14:textId="77777777" w:rsidR="00DF6874" w:rsidRPr="00DF6874" w:rsidRDefault="00DF6874" w:rsidP="00DF6874">
      <w:pPr>
        <w:pStyle w:val="SingleTxtG"/>
      </w:pPr>
      <w:r w:rsidRPr="00DF6874">
        <w:t>9.</w:t>
      </w:r>
      <w:r w:rsidRPr="00DF6874">
        <w:tab/>
        <w:t xml:space="preserve">После отставки г-жи </w:t>
      </w:r>
      <w:proofErr w:type="spellStart"/>
      <w:r w:rsidRPr="00DF6874">
        <w:t>Лангфельдт</w:t>
      </w:r>
      <w:proofErr w:type="spellEnd"/>
      <w:r w:rsidRPr="00DF6874">
        <w:t xml:space="preserve"> 2 декабря 2022 года Германия выдвинула кандидатуру Мартина </w:t>
      </w:r>
      <w:proofErr w:type="spellStart"/>
      <w:r w:rsidRPr="00DF6874">
        <w:t>Цинклера</w:t>
      </w:r>
      <w:proofErr w:type="spellEnd"/>
      <w:r w:rsidRPr="00DF6874">
        <w:t xml:space="preserve"> на оставшийся срок ее полномочий в соответствии с процедурой, предусмотренной в статье 8 Факультативного протокола.</w:t>
      </w:r>
    </w:p>
    <w:p w14:paraId="2D6AE6E7" w14:textId="0A4C1BC9" w:rsidR="00DF6874" w:rsidRPr="00DF6874" w:rsidRDefault="00DF6874" w:rsidP="00DF6874">
      <w:pPr>
        <w:pStyle w:val="SingleTxtG"/>
      </w:pPr>
      <w:r w:rsidRPr="00DF6874">
        <w:t>10.</w:t>
      </w:r>
      <w:r w:rsidRPr="00DF6874">
        <w:tab/>
        <w:t>Состав региональных групп и постоянных рабочих групп не изменился. По</w:t>
      </w:r>
      <w:r>
        <w:rPr>
          <w:lang w:val="en-US"/>
        </w:rPr>
        <w:t> </w:t>
      </w:r>
      <w:r w:rsidRPr="00DF6874">
        <w:t xml:space="preserve">состоянию на 31 декабря 2022 года руководителями региональных групп были следующие лица: по Африке — </w:t>
      </w:r>
      <w:proofErr w:type="spellStart"/>
      <w:r w:rsidRPr="00DF6874">
        <w:t>Ньямби</w:t>
      </w:r>
      <w:proofErr w:type="spellEnd"/>
      <w:r w:rsidRPr="00DF6874">
        <w:t xml:space="preserve"> </w:t>
      </w:r>
      <w:proofErr w:type="spellStart"/>
      <w:r w:rsidRPr="00DF6874">
        <w:t>Гарба</w:t>
      </w:r>
      <w:proofErr w:type="spellEnd"/>
      <w:r w:rsidRPr="00DF6874">
        <w:t xml:space="preserve"> </w:t>
      </w:r>
      <w:proofErr w:type="spellStart"/>
      <w:r w:rsidRPr="00DF6874">
        <w:t>Коджо</w:t>
      </w:r>
      <w:proofErr w:type="spellEnd"/>
      <w:r w:rsidRPr="00DF6874">
        <w:t xml:space="preserve">; по Азиатско-Тихоокеанскому региону — Ника </w:t>
      </w:r>
      <w:proofErr w:type="spellStart"/>
      <w:r w:rsidRPr="00DF6874">
        <w:t>Кварацхелия</w:t>
      </w:r>
      <w:proofErr w:type="spellEnd"/>
      <w:r w:rsidRPr="00DF6874">
        <w:t>; по Европе — Мария Луиса Ромеро; и по Латинской Америке — Хуан Пабло Вегас. С составом региональных групп можно ознакомиться на веб-сайте Подкомитета</w:t>
      </w:r>
      <w:r w:rsidRPr="00DF6874">
        <w:rPr>
          <w:sz w:val="18"/>
          <w:vertAlign w:val="superscript"/>
        </w:rPr>
        <w:footnoteReference w:id="4"/>
      </w:r>
      <w:r w:rsidRPr="00DF6874">
        <w:rPr>
          <w:sz w:val="18"/>
        </w:rPr>
        <w:t>.</w:t>
      </w:r>
      <w:r w:rsidRPr="00DF6874">
        <w:t xml:space="preserve"> Региональные группы проводили свои заседания на сорок шестой, сорок седьмой и сорок восьмой сессиях. Региональные группы анализируют осуществление Факультативного протокола в своем регионе, представляют Подкомитету доклад на его пленарном заседании и при необходимости выносят рекомендации.</w:t>
      </w:r>
    </w:p>
    <w:p w14:paraId="7928F917" w14:textId="77777777" w:rsidR="00DF6874" w:rsidRPr="00DF6874" w:rsidRDefault="00DF6874" w:rsidP="00DF6874">
      <w:pPr>
        <w:pStyle w:val="SingleTxtG"/>
      </w:pPr>
      <w:r w:rsidRPr="00DF6874">
        <w:t>11.</w:t>
      </w:r>
      <w:r w:rsidRPr="00DF6874">
        <w:tab/>
        <w:t xml:space="preserve">По состоянию на 31 декабря 2022 года руководителями постоянных рабочих групп по правовой практике, по медицинским аспектам предупреждения пыток и по Специальному фонду, учрежденному Факультативным протоколом, являлись соответственно г-н </w:t>
      </w:r>
      <w:proofErr w:type="spellStart"/>
      <w:r w:rsidRPr="00DF6874">
        <w:t>Уннир</w:t>
      </w:r>
      <w:proofErr w:type="spellEnd"/>
      <w:r w:rsidRPr="00DF6874">
        <w:t xml:space="preserve">, г-жа </w:t>
      </w:r>
      <w:proofErr w:type="spellStart"/>
      <w:r w:rsidRPr="00DF6874">
        <w:t>Зденка</w:t>
      </w:r>
      <w:proofErr w:type="spellEnd"/>
      <w:r w:rsidRPr="00DF6874">
        <w:t xml:space="preserve"> </w:t>
      </w:r>
      <w:proofErr w:type="spellStart"/>
      <w:r w:rsidRPr="00DF6874">
        <w:t>Перович</w:t>
      </w:r>
      <w:proofErr w:type="spellEnd"/>
      <w:r w:rsidRPr="00DF6874">
        <w:t xml:space="preserve"> и г-жа </w:t>
      </w:r>
      <w:proofErr w:type="spellStart"/>
      <w:r w:rsidRPr="00DF6874">
        <w:t>Жаббур</w:t>
      </w:r>
      <w:proofErr w:type="spellEnd"/>
      <w:r w:rsidRPr="00DF6874">
        <w:t>. Постоянные рабочие группы по правовой практике и по медицинским аспектам предупреждения пыток проводили свои заседания на всех сессиях, состоявшихся за отчетный период. Рабочая группа по Специальному фонду, учрежденному Факультативным протоколом, заседала только на сорок седьмой сессии.</w:t>
      </w:r>
    </w:p>
    <w:p w14:paraId="33E8EB01" w14:textId="77777777" w:rsidR="00DF6874" w:rsidRPr="00DF6874" w:rsidRDefault="00DF6874" w:rsidP="00DF6874">
      <w:pPr>
        <w:pStyle w:val="SingleTxtG"/>
      </w:pPr>
      <w:r w:rsidRPr="00DF6874">
        <w:t>12.</w:t>
      </w:r>
      <w:r w:rsidRPr="00DF6874">
        <w:tab/>
        <w:t>Сорок шестая сессия была проведена в Женеве в смешанном формате, поскольку три члена и секретарь не смогли присутствовать лично из-за ограничений, связанных с пандемией коронавирусного заболевания (COVID-19). Региональные группы проводили свои встречи без синхронного перевода. Подкомитет также встречался с другими заинтересованными сторонами, включая Ассоциацию за предотвращение пыток.</w:t>
      </w:r>
    </w:p>
    <w:p w14:paraId="098C64C0" w14:textId="77777777" w:rsidR="00DF6874" w:rsidRPr="00DF6874" w:rsidRDefault="00DF6874" w:rsidP="00DF6874">
      <w:pPr>
        <w:pStyle w:val="SingleTxtG"/>
      </w:pPr>
      <w:r w:rsidRPr="00DF6874">
        <w:t>13.</w:t>
      </w:r>
      <w:r w:rsidRPr="00DF6874">
        <w:tab/>
        <w:t>Сорок седьмая сессия была проведена в очном формате в Женеве. Региональные группы и рабочие группы проводили свои встречи без синхронного перевода. Подкомитет провел учебную сессию для своих членов, которая, в частности, послужила вводным инструктажем для недавно избранных членов. Подкомитет также встречался с другими заинтересованными сторонами, включая Европейский комитет по предупреждению пыток и бесчеловечного или унижающего достоинство видов обращения или наказания и Ассоциацию за предотвращение пыток.</w:t>
      </w:r>
    </w:p>
    <w:p w14:paraId="6A01D5FD" w14:textId="77777777" w:rsidR="00DF6874" w:rsidRPr="00DF6874" w:rsidRDefault="00DF6874" w:rsidP="00DF6874">
      <w:pPr>
        <w:pStyle w:val="SingleTxtG"/>
      </w:pPr>
      <w:r w:rsidRPr="00DF6874">
        <w:t>14.</w:t>
      </w:r>
      <w:r w:rsidRPr="00DF6874">
        <w:tab/>
        <w:t>Также на сорок седьмой сессии Подкомитет постановил внести поправки в правила 16 (1) и 17 (5) своих правил процедуры, с тем чтобы при избрании членов Бюро учитывалась, насколько это возможно, необходимость обеспечения реальной ротации его членов. В целях обеспечения такой ротации он постановил, что Председатель не будет занимать должность более двух сроков — как подряд, так и в общей сложности.</w:t>
      </w:r>
    </w:p>
    <w:p w14:paraId="637B4C9C" w14:textId="77777777" w:rsidR="00DF6874" w:rsidRPr="00DF6874" w:rsidRDefault="00DF6874" w:rsidP="00DF6874">
      <w:pPr>
        <w:pStyle w:val="SingleTxtG"/>
      </w:pPr>
      <w:r w:rsidRPr="00DF6874">
        <w:t>15.</w:t>
      </w:r>
      <w:r w:rsidRPr="00DF6874">
        <w:tab/>
        <w:t>На этой же сессии региональная группа по Европе провела вебинар о роли национальных превентивных механизмов в осуществлении мониторинга мест лишения свободы мигрантов, в котором принял участие Специальный докладчик по вопросу о правах человека мигрантов. Представители национальных превентивных механизмов поделились опытом, проблемами и передовыми методами осуществления мониторинга мест лишения свободы мигрантов. Участники особо указывали на то, что задержание мигрантов представляет собой исключительную меру, и отмечали важность прекращения практики задержания детей-мигрантов и обеспечения осведомленности о практике недопуска мигрантов на границах.</w:t>
      </w:r>
    </w:p>
    <w:p w14:paraId="0C36E6A0" w14:textId="77777777" w:rsidR="00DF6874" w:rsidRPr="00DF6874" w:rsidRDefault="00DF6874" w:rsidP="00DF6874">
      <w:pPr>
        <w:pStyle w:val="SingleTxtG"/>
      </w:pPr>
      <w:r w:rsidRPr="00DF6874">
        <w:lastRenderedPageBreak/>
        <w:t>16.</w:t>
      </w:r>
      <w:r w:rsidRPr="00DF6874">
        <w:tab/>
        <w:t>Сорок восьмая сессия была проведена в очном формате в Женеве. Подкомитет провел совместное заседание с Комитетом против пыток для обсуждения вопросов, представляющих общий интерес, включая запрос по статье 16 (4) Факультативного протокола в отношении Никарагуа. Подкомитет также встречался с другими заинтересованными сторонами, включая Ассоциацию за предотвращение пыток.</w:t>
      </w:r>
    </w:p>
    <w:p w14:paraId="313A3575" w14:textId="77777777" w:rsidR="00DF6874" w:rsidRPr="00DF6874" w:rsidRDefault="00DF6874" w:rsidP="00DF6874">
      <w:pPr>
        <w:pStyle w:val="SingleTxtG"/>
      </w:pPr>
      <w:r w:rsidRPr="00DF6874">
        <w:t>17.</w:t>
      </w:r>
      <w:r w:rsidRPr="00DF6874">
        <w:tab/>
        <w:t>Также на сорок восьмой сессии Подкомитет, чтобы внести полную ясность в вопрос о независимости и беспристрастности своих членов, напомнил, что руководящие принципы, касающиеся независимости и беспристрастности членов договорных органов по правам человека (</w:t>
      </w:r>
      <w:proofErr w:type="spellStart"/>
      <w:r w:rsidRPr="00DF6874">
        <w:t>Аддис-Абебские</w:t>
      </w:r>
      <w:proofErr w:type="spellEnd"/>
      <w:r w:rsidRPr="00DF6874">
        <w:t xml:space="preserve"> руководящие принципы)</w:t>
      </w:r>
      <w:r w:rsidRPr="00DF6874">
        <w:rPr>
          <w:sz w:val="18"/>
          <w:vertAlign w:val="superscript"/>
        </w:rPr>
        <w:footnoteReference w:id="5"/>
      </w:r>
      <w:r w:rsidRPr="00DF6874">
        <w:rPr>
          <w:sz w:val="18"/>
        </w:rPr>
        <w:t>,</w:t>
      </w:r>
      <w:r w:rsidRPr="00DF6874">
        <w:t xml:space="preserve"> независимо от сноски, согласно которой некоторые положения этих принципов не применимы к Подкомитету, полностью применимы к Подкомитету и его членам, независимо от рода их занятий и гражданства.</w:t>
      </w:r>
    </w:p>
    <w:p w14:paraId="21219F39" w14:textId="5E39819C" w:rsidR="00DF6874" w:rsidRPr="00DF6874" w:rsidRDefault="00DF6874" w:rsidP="00DF6874">
      <w:pPr>
        <w:pStyle w:val="SingleTxtG"/>
      </w:pPr>
      <w:r w:rsidRPr="00DF6874">
        <w:t>18.</w:t>
      </w:r>
      <w:r w:rsidRPr="00DF6874">
        <w:tab/>
        <w:t xml:space="preserve">Также на сорок восьмой сессии Подкомитет подготовил первый проект замечания общего порядка по определению понятия </w:t>
      </w:r>
      <w:r w:rsidR="00835EF3">
        <w:t>«</w:t>
      </w:r>
      <w:r w:rsidRPr="00DF6874">
        <w:t>лишение свободы</w:t>
      </w:r>
      <w:r w:rsidR="00835EF3">
        <w:t>»</w:t>
      </w:r>
      <w:r w:rsidRPr="00DF6874">
        <w:t xml:space="preserve"> (статья 4 Факультативного протокола), который станет предметом публичных консультаций после его опубликования на всех трех рабочих языках Подкомитета (английском, испанском и французском).</w:t>
      </w:r>
    </w:p>
    <w:p w14:paraId="21E61FC1" w14:textId="506159AC" w:rsidR="00DF6874" w:rsidRPr="00DF6874" w:rsidRDefault="00DF6874" w:rsidP="00DF6874">
      <w:pPr>
        <w:pStyle w:val="SingleTxtG"/>
      </w:pPr>
      <w:r w:rsidRPr="00DF6874">
        <w:t>19.</w:t>
      </w:r>
      <w:r w:rsidRPr="00DF6874">
        <w:tab/>
        <w:t>С учетом важности своевременного получения проектов документов на своих рабочих языках Подкомитет постановил, что любой проект документа, касающегося его деятельности в соответствии с Факультативным протоколом и требующего обсуждения и принятия Подкомитетом на сессии или в межсессионный период, должен переводиться на рабочие языки Подкомитета (т.</w:t>
      </w:r>
      <w:r w:rsidR="00163EC5">
        <w:t> </w:t>
      </w:r>
      <w:r w:rsidRPr="00DF6874">
        <w:t xml:space="preserve">е. английский, испанский и французский) до сессии, на которой будет обсуждаться этот документ, или до его обсуждения в межсессионный период. К ним относятся любые проекты документов, касающиеся: </w:t>
      </w:r>
    </w:p>
    <w:p w14:paraId="145D04FC" w14:textId="77777777" w:rsidR="00DF6874" w:rsidRPr="00DF6874" w:rsidRDefault="00DF6874" w:rsidP="00DF6874">
      <w:pPr>
        <w:pStyle w:val="SingleTxtG"/>
      </w:pPr>
      <w:r w:rsidRPr="00DF6874">
        <w:tab/>
      </w:r>
      <w:r w:rsidRPr="00DF6874">
        <w:rPr>
          <w:lang w:val="en-US"/>
        </w:rPr>
        <w:t>a</w:t>
      </w:r>
      <w:r w:rsidRPr="00DF6874">
        <w:t>)</w:t>
      </w:r>
      <w:r w:rsidRPr="00DF6874">
        <w:tab/>
        <w:t>мандатов Подкомитета в отношении докладов и рекомендаций (включая, среди прочего, проекты докладов, проекты рекомендаций и проекты мнений, адресованные государствам-участникам и национальным превентивным механизмам</w:t>
      </w:r>
      <w:proofErr w:type="gramStart"/>
      <w:r w:rsidRPr="00DF6874">
        <w:t>);</w:t>
      </w:r>
      <w:proofErr w:type="gramEnd"/>
    </w:p>
    <w:p w14:paraId="4F94F12B" w14:textId="77777777" w:rsidR="00DF6874" w:rsidRPr="00DF6874" w:rsidRDefault="00DF6874" w:rsidP="00DF6874">
      <w:pPr>
        <w:pStyle w:val="SingleTxtG"/>
      </w:pPr>
      <w:r w:rsidRPr="00DF6874">
        <w:tab/>
        <w:t>b)</w:t>
      </w:r>
      <w:r w:rsidRPr="00DF6874">
        <w:tab/>
        <w:t xml:space="preserve">юридических толкований, связанных с его мандатом (включая, среди прочего, проекты замечаний общего порядка, проекты руководящих принципов и проекты официальных заявлений); </w:t>
      </w:r>
    </w:p>
    <w:p w14:paraId="1FF4CC40" w14:textId="77777777" w:rsidR="00DF6874" w:rsidRPr="00DF6874" w:rsidRDefault="00DF6874" w:rsidP="00DF6874">
      <w:pPr>
        <w:pStyle w:val="SingleTxtG"/>
      </w:pPr>
      <w:r w:rsidRPr="00DF6874">
        <w:tab/>
        <w:t>c)</w:t>
      </w:r>
      <w:r w:rsidRPr="00DF6874">
        <w:tab/>
        <w:t>методов работы и других связанных с этим вопросов (включая, среди прочего, проекты ежегодных докладов, проекты докладов о работе Подкомитета и принятых им решениях, проекты пересмотренных правил процедуры и проекты руководящих принципов).</w:t>
      </w:r>
    </w:p>
    <w:p w14:paraId="0D4C6D9F" w14:textId="77777777" w:rsidR="00DF6874" w:rsidRPr="00DF6874" w:rsidRDefault="00DF6874" w:rsidP="00DF6874">
      <w:pPr>
        <w:pStyle w:val="H1G"/>
      </w:pPr>
      <w:r w:rsidRPr="00DF6874">
        <w:tab/>
      </w:r>
      <w:bookmarkStart w:id="22" w:name="_Toc130463485"/>
      <w:r w:rsidRPr="00DF6874">
        <w:t>C.</w:t>
      </w:r>
      <w:r w:rsidRPr="00DF6874">
        <w:tab/>
        <w:t>Посещения, проведенные за отчетный период</w:t>
      </w:r>
      <w:bookmarkStart w:id="23" w:name="_Toc534899837"/>
      <w:bookmarkStart w:id="24" w:name="_Toc97717817"/>
      <w:bookmarkStart w:id="25" w:name="_Toc97794996"/>
      <w:bookmarkEnd w:id="23"/>
      <w:bookmarkEnd w:id="24"/>
      <w:bookmarkEnd w:id="25"/>
      <w:bookmarkEnd w:id="22"/>
    </w:p>
    <w:p w14:paraId="48163358" w14:textId="416B2B9F" w:rsidR="00DF6874" w:rsidRPr="00DF6874" w:rsidRDefault="00DF6874" w:rsidP="00DF6874">
      <w:pPr>
        <w:pStyle w:val="SingleTxtG"/>
      </w:pPr>
      <w:r w:rsidRPr="00DF6874">
        <w:t>20.</w:t>
      </w:r>
      <w:r w:rsidRPr="00DF6874">
        <w:tab/>
        <w:t>Со снятием ограничений на поездки, связанных с пандемией COVID-19, Подкомитет возобновил свою программу посещений. В соответствии со своим мандатом, предусмотренным статьями 11–13 Факультативного протокола, Подкомитет провел в 2022 году восемь официальных посещений: Бразилии (31</w:t>
      </w:r>
      <w:r>
        <w:rPr>
          <w:lang w:val="en-US"/>
        </w:rPr>
        <w:t> </w:t>
      </w:r>
      <w:r w:rsidRPr="00DF6874">
        <w:t>января</w:t>
      </w:r>
      <w:r>
        <w:rPr>
          <w:lang w:val="en-US"/>
        </w:rPr>
        <w:t> </w:t>
      </w:r>
      <w:r w:rsidRPr="00DF6874">
        <w:t xml:space="preserve">— </w:t>
      </w:r>
      <w:r w:rsidRPr="00DF6874">
        <w:t>4 февраля), Туниса (27 марта</w:t>
      </w:r>
      <w:r w:rsidRPr="00DF6874">
        <w:t xml:space="preserve"> — </w:t>
      </w:r>
      <w:r w:rsidRPr="00DF6874">
        <w:t>1 апреля), Аргентины (20–30 апреля), Ливана (4–10 мая), Турции (4–15 сентября), Эквадора (25 сентября</w:t>
      </w:r>
      <w:r w:rsidRPr="00DF6874">
        <w:t xml:space="preserve"> — </w:t>
      </w:r>
      <w:r w:rsidRPr="00DF6874">
        <w:t>1 октября), Австралии (было запланировано на 16–27 октября и прервано 23 октября) и Боснии и Герцеговины (11–17 декабря).</w:t>
      </w:r>
    </w:p>
    <w:p w14:paraId="16BC94DB" w14:textId="3676154C" w:rsidR="00DF6874" w:rsidRPr="00DF6874" w:rsidRDefault="00DF6874" w:rsidP="00DF6874">
      <w:pPr>
        <w:pStyle w:val="SingleTxtG"/>
      </w:pPr>
      <w:r w:rsidRPr="00DF6874">
        <w:t>21.</w:t>
      </w:r>
      <w:r w:rsidRPr="00DF6874">
        <w:tab/>
        <w:t>В ходе официальных посещений в 2022 году Подкомитет провел более 730</w:t>
      </w:r>
      <w:r>
        <w:rPr>
          <w:lang w:val="en-US"/>
        </w:rPr>
        <w:t> </w:t>
      </w:r>
      <w:r w:rsidRPr="00DF6874">
        <w:t xml:space="preserve">индивидуальных или коллективных опросов более чем 2300 лиц. Большинство опрошенных были лицами, содержавшимися под стражей, но Подкомитет также опрашивал должностных лиц, сотрудников правоохранительных органов и медицинский персонал. Члены Подкомитета посетили 44 тюрьмы, включая учреждения для женщин, 47 полицейских участков, 11 центров содержания под </w:t>
      </w:r>
      <w:r w:rsidRPr="00DF6874">
        <w:lastRenderedPageBreak/>
        <w:t xml:space="preserve">стражей детей, 5 психиатрических и медицинских учреждений, 13 закрытых центров для не имеющих документов мигрантов и 3 других места лишения свободы. </w:t>
      </w:r>
    </w:p>
    <w:p w14:paraId="5BA75FE3" w14:textId="77777777" w:rsidR="00DF6874" w:rsidRPr="00DF6874" w:rsidRDefault="00DF6874" w:rsidP="00DF6874">
      <w:pPr>
        <w:pStyle w:val="SingleTxtG"/>
      </w:pPr>
      <w:r w:rsidRPr="00DF6874">
        <w:t>22.</w:t>
      </w:r>
      <w:r w:rsidRPr="00DF6874">
        <w:tab/>
        <w:t>Дополнительная информация приводилась в пресс-релизах, распространявшихся после каждого посещения страны и сессий Подкомитета</w:t>
      </w:r>
      <w:r w:rsidRPr="00DF6874">
        <w:rPr>
          <w:sz w:val="18"/>
          <w:vertAlign w:val="superscript"/>
        </w:rPr>
        <w:footnoteReference w:id="6"/>
      </w:r>
      <w:r w:rsidRPr="00DF6874">
        <w:rPr>
          <w:sz w:val="18"/>
        </w:rPr>
        <w:t>.</w:t>
      </w:r>
    </w:p>
    <w:p w14:paraId="3F16687F" w14:textId="77777777" w:rsidR="00DF6874" w:rsidRPr="00DF6874" w:rsidRDefault="00DF6874" w:rsidP="00DF6874">
      <w:pPr>
        <w:pStyle w:val="H1G"/>
      </w:pPr>
      <w:r w:rsidRPr="00DF6874">
        <w:tab/>
      </w:r>
      <w:bookmarkStart w:id="26" w:name="_Toc130463486"/>
      <w:r w:rsidRPr="00DF6874">
        <w:t>D.</w:t>
      </w:r>
      <w:r w:rsidRPr="00DF6874">
        <w:tab/>
        <w:t>Диалог в связи с посещениями, включая публикацию докладов Подкомитета государствами-участниками и национальными превентивными механизмами</w:t>
      </w:r>
      <w:bookmarkStart w:id="27" w:name="_Toc534899838"/>
      <w:bookmarkStart w:id="28" w:name="_Toc97717818"/>
      <w:bookmarkStart w:id="29" w:name="_Toc97794997"/>
      <w:bookmarkEnd w:id="27"/>
      <w:bookmarkEnd w:id="28"/>
      <w:bookmarkEnd w:id="29"/>
      <w:bookmarkEnd w:id="26"/>
    </w:p>
    <w:p w14:paraId="59B3B297" w14:textId="77777777" w:rsidR="00DF6874" w:rsidRPr="00DF6874" w:rsidRDefault="00DF6874" w:rsidP="00DF6874">
      <w:pPr>
        <w:pStyle w:val="SingleTxtG"/>
      </w:pPr>
      <w:r w:rsidRPr="00DF6874">
        <w:t>23.</w:t>
      </w:r>
      <w:r w:rsidRPr="00DF6874">
        <w:tab/>
        <w:t xml:space="preserve">Связанные с посещениями аспекты диалога, затрагивающие суть </w:t>
      </w:r>
      <w:proofErr w:type="spellStart"/>
      <w:r w:rsidRPr="00DF6874">
        <w:t>обсуждавшихся</w:t>
      </w:r>
      <w:proofErr w:type="spellEnd"/>
      <w:r w:rsidRPr="00DF6874">
        <w:t xml:space="preserve"> вопросов, носят конфиденциальный характер. Доклады могут быть обнародованы только с согласия получателя</w:t>
      </w:r>
      <w:r w:rsidRPr="00DF6874">
        <w:rPr>
          <w:sz w:val="18"/>
          <w:vertAlign w:val="superscript"/>
        </w:rPr>
        <w:footnoteReference w:id="7"/>
      </w:r>
      <w:r w:rsidRPr="00DF6874">
        <w:rPr>
          <w:sz w:val="18"/>
        </w:rPr>
        <w:t>.</w:t>
      </w:r>
      <w:r w:rsidRPr="00DF6874">
        <w:t xml:space="preserve"> К 31 декабря 2022 года Подкомитет препроводил государствам-участникам и национальным превентивным механизмам в общей сложности 98 докладов по итогам посещений, в том числе два доклада, направленных в отчетный период Болгарии (государству-участнику и национальному превентивному механизму).</w:t>
      </w:r>
    </w:p>
    <w:p w14:paraId="5DD73E9E" w14:textId="77777777" w:rsidR="00DF6874" w:rsidRPr="00DF6874" w:rsidRDefault="00DF6874" w:rsidP="00DF6874">
      <w:pPr>
        <w:pStyle w:val="SingleTxtG"/>
      </w:pPr>
      <w:r w:rsidRPr="00DF6874">
        <w:t>24.</w:t>
      </w:r>
      <w:r w:rsidRPr="00DF6874">
        <w:tab/>
        <w:t>В связи с этим Подкомитет постановил реализовать внесенное на сорок пятой сессии предложение о том, чтобы не требовать обнародования докладов, адресованных национальным превентивным механизмам, с целью укрепления принципа конфиденциальности в общении Подкомитета с национальными превентивными механизмами. Новая политика будет применяться к докладам, препровожденным с 2020 года.</w:t>
      </w:r>
    </w:p>
    <w:p w14:paraId="258A2597" w14:textId="2F21E4E9" w:rsidR="00DF6874" w:rsidRPr="00DF6874" w:rsidRDefault="00DF6874" w:rsidP="00DF6874">
      <w:pPr>
        <w:pStyle w:val="SingleTxtG"/>
      </w:pPr>
      <w:bookmarkStart w:id="30" w:name="_Hlk128584359"/>
      <w:r w:rsidRPr="00DF6874">
        <w:t>25.</w:t>
      </w:r>
      <w:r w:rsidRPr="00DF6874">
        <w:tab/>
        <w:t>По просьбам государств-участников или национальных превентивных механизмов в соответствии со статьей 16 (2) Факультативного протокола было обнародовано в общей сложности 66 докладов о посещении, в том числе один в 2022</w:t>
      </w:r>
      <w:r>
        <w:rPr>
          <w:lang w:val="en-US"/>
        </w:rPr>
        <w:t> </w:t>
      </w:r>
      <w:r w:rsidRPr="00DF6874">
        <w:t>году, а именно доклад, направленный государству-участнику по итогам посещения Болгарии</w:t>
      </w:r>
      <w:r w:rsidRPr="00DF6874">
        <w:rPr>
          <w:sz w:val="18"/>
          <w:vertAlign w:val="superscript"/>
        </w:rPr>
        <w:footnoteReference w:id="8"/>
      </w:r>
      <w:r w:rsidRPr="00DF6874">
        <w:rPr>
          <w:sz w:val="18"/>
        </w:rPr>
        <w:t>.</w:t>
      </w:r>
      <w:r w:rsidRPr="00DF6874">
        <w:t xml:space="preserve"> Что касается государств-участников, то, соблюдая в полной мере закрепленные в Факультативном протоколе принцип конфиденциальности и право на конфиденциальность, Подкомитет приветствует увеличение количества публикуемых докладов о посещениях и полагает, что это соответствует духу прозрачности, лежащему в основе превентивных посещений, и способствует более эффективному выполнению соответствующих рекомендаций. Подкомитет призывает государства-участники, получившие доклады, просить об их публикации.</w:t>
      </w:r>
      <w:bookmarkEnd w:id="30"/>
    </w:p>
    <w:p w14:paraId="3FD0E4CD" w14:textId="77777777" w:rsidR="00DF6874" w:rsidRPr="00DF6874" w:rsidRDefault="00DF6874" w:rsidP="00DF6874">
      <w:pPr>
        <w:pStyle w:val="SingleTxtG"/>
      </w:pPr>
      <w:r w:rsidRPr="00DF6874">
        <w:t>26.</w:t>
      </w:r>
      <w:r w:rsidRPr="00DF6874">
        <w:tab/>
        <w:t>В соответствии с установившейся практикой получателям докладов предлагается в течение шести месяцев с момента их препровождения представить письменный ответ с подробной информацией о принятых и запланированных мерах по выполнению содержащихся в докладах рекомендаций. За отчетный период Подкомитет получил один ответ, а именно от Болгарии (государства-участника), который был обнародован по просьбе государства-участника</w:t>
      </w:r>
      <w:r w:rsidRPr="00DF6874">
        <w:rPr>
          <w:sz w:val="18"/>
          <w:vertAlign w:val="superscript"/>
        </w:rPr>
        <w:footnoteReference w:id="9"/>
      </w:r>
      <w:r w:rsidRPr="00DF6874">
        <w:rPr>
          <w:sz w:val="18"/>
        </w:rPr>
        <w:t>.</w:t>
      </w:r>
    </w:p>
    <w:p w14:paraId="4BE6693C" w14:textId="2DFD4A30" w:rsidR="00DF6874" w:rsidRPr="00DF6874" w:rsidRDefault="00DF6874" w:rsidP="00DF6874">
      <w:pPr>
        <w:pStyle w:val="SingleTxtG"/>
      </w:pPr>
      <w:bookmarkStart w:id="31" w:name="_Hlk128584421"/>
      <w:r w:rsidRPr="00DF6874">
        <w:t>27.</w:t>
      </w:r>
      <w:r w:rsidRPr="00DF6874">
        <w:tab/>
        <w:t>По состоянию на 31 декабря 2022 года от государств-участников или национальных превентивных механизмов было получено 60 ответов на доклады Подкомитета, при этом 44 из них были обнародованы.</w:t>
      </w:r>
      <w:r w:rsidR="00104E9F">
        <w:t xml:space="preserve"> </w:t>
      </w:r>
      <w:r w:rsidRPr="00DF6874">
        <w:t>В духе сотрудничества в соответствии с Факультативным протоколом Подкомитет призывает все государства-участники своевременно отвечать на доклады о посещениях, чтобы вступать в конструктивный диалог с Подкомитетом о мерах, принятых для выполнения его рекомендаций. Информация о докладах Подкомитета и ответах размещена на веб-сайте Подкомитета.</w:t>
      </w:r>
      <w:bookmarkEnd w:id="31"/>
    </w:p>
    <w:p w14:paraId="615FF7B0" w14:textId="77777777" w:rsidR="00DF6874" w:rsidRPr="00DF6874" w:rsidRDefault="00DF6874" w:rsidP="00DF6874">
      <w:pPr>
        <w:pStyle w:val="H1G"/>
      </w:pPr>
      <w:r w:rsidRPr="00DF6874">
        <w:lastRenderedPageBreak/>
        <w:tab/>
      </w:r>
      <w:bookmarkStart w:id="32" w:name="_Toc130463487"/>
      <w:r w:rsidRPr="00DF6874">
        <w:t>E.</w:t>
      </w:r>
      <w:r w:rsidRPr="00DF6874">
        <w:tab/>
        <w:t>События, связанные с национальными превентивными механизмами</w:t>
      </w:r>
      <w:bookmarkStart w:id="33" w:name="_Toc534899839"/>
      <w:bookmarkStart w:id="34" w:name="_Toc97717819"/>
      <w:bookmarkStart w:id="35" w:name="_Toc97794998"/>
      <w:bookmarkEnd w:id="33"/>
      <w:bookmarkEnd w:id="34"/>
      <w:bookmarkEnd w:id="35"/>
      <w:bookmarkEnd w:id="32"/>
    </w:p>
    <w:p w14:paraId="39AE136C" w14:textId="77777777" w:rsidR="00DF6874" w:rsidRPr="00DF6874" w:rsidRDefault="00DF6874" w:rsidP="00DF6874">
      <w:pPr>
        <w:pStyle w:val="SingleTxtG"/>
      </w:pPr>
      <w:r w:rsidRPr="00DF6874">
        <w:t>28.</w:t>
      </w:r>
      <w:r w:rsidRPr="00DF6874">
        <w:tab/>
        <w:t>На своих сессиях и между сессиями Подкомитет продолжает вести диалог с государствами-участниками и подписавшими Протокол государствами по вопросам назначения или функционирования их национальных превентивных механизмов и другим соответствующим вопросам. В течение 2022 года Подкомитет продолжал взаимодействовать с государствами-участниками и государствами, подписавшими Факультативный протокол, в отношении последствий пандемии.</w:t>
      </w:r>
    </w:p>
    <w:p w14:paraId="662BF312" w14:textId="77777777" w:rsidR="00DF6874" w:rsidRPr="00DF6874" w:rsidRDefault="00DF6874" w:rsidP="00DF6874">
      <w:pPr>
        <w:pStyle w:val="SingleTxtG"/>
      </w:pPr>
      <w:r w:rsidRPr="00DF6874">
        <w:t>29.</w:t>
      </w:r>
      <w:r w:rsidRPr="00DF6874">
        <w:tab/>
        <w:t xml:space="preserve">В соответствии со своим мандатом, предусмотренным в статье 11 b) i) и </w:t>
      </w:r>
      <w:proofErr w:type="spellStart"/>
      <w:r w:rsidRPr="00DF6874">
        <w:t>ii</w:t>
      </w:r>
      <w:proofErr w:type="spellEnd"/>
      <w:r w:rsidRPr="00DF6874">
        <w:t>) Факультативного протокола, Подкомитет установил и поддерживал прямые контакты с национальными превентивными механизмами как в ходе сессий, так и в межсессионный период. В течение 2022 года, учитывая, что влияние пандемии на деятельность значительно снизилось, Подкомитет возобновил свое обычное взаимодействие со всеми национальными превентивными механизмами и другими соответствующими органами, выполняющими функции национальных превентивных механизмов.</w:t>
      </w:r>
    </w:p>
    <w:p w14:paraId="3F18D567" w14:textId="77777777" w:rsidR="00DF6874" w:rsidRPr="00DF6874" w:rsidRDefault="00DF6874" w:rsidP="00DF6874">
      <w:pPr>
        <w:pStyle w:val="SingleTxtG"/>
      </w:pPr>
      <w:r w:rsidRPr="00DF6874">
        <w:t>30.</w:t>
      </w:r>
      <w:r w:rsidRPr="00DF6874">
        <w:tab/>
        <w:t>Подкомитет и его члены продолжают получать приглашения принять участие, главным образом в режиме онлайн, в многочисленных национальных, региональных и международных совещаниях, касающихся назначения, учреждения и развития национальных превентивных механизмов и Факультативного протокола в целом. Подкомитет выражает признательность организаторам этих и всех других мероприятий, на которые он приглашается. Подкомитет был бы также признателен, если бы все приглашения на официальные мероприятия и обсуждения направлялись через секретариат Подкомитета в Управлении Верховного комиссара Организации Объединенных Наций по правам человека.</w:t>
      </w:r>
    </w:p>
    <w:p w14:paraId="36BF9E6B" w14:textId="77777777" w:rsidR="00DF6874" w:rsidRPr="00DF6874" w:rsidRDefault="00DF6874" w:rsidP="00DF6874">
      <w:pPr>
        <w:pStyle w:val="H1G"/>
      </w:pPr>
      <w:r w:rsidRPr="00DF6874">
        <w:tab/>
      </w:r>
      <w:bookmarkStart w:id="36" w:name="_Toc130463488"/>
      <w:r w:rsidRPr="00DF6874">
        <w:t>F.</w:t>
      </w:r>
      <w:r w:rsidRPr="00DF6874">
        <w:tab/>
        <w:t>Существенное несоблюдение статьи 17</w:t>
      </w:r>
      <w:bookmarkStart w:id="37" w:name="_Toc534899840"/>
      <w:bookmarkStart w:id="38" w:name="_Toc97717820"/>
      <w:bookmarkStart w:id="39" w:name="_Toc97794999"/>
      <w:bookmarkEnd w:id="37"/>
      <w:bookmarkEnd w:id="38"/>
      <w:bookmarkEnd w:id="39"/>
      <w:bookmarkEnd w:id="36"/>
    </w:p>
    <w:p w14:paraId="702D4C14" w14:textId="77777777" w:rsidR="00DF6874" w:rsidRPr="00DF6874" w:rsidRDefault="00DF6874" w:rsidP="00DF6874">
      <w:pPr>
        <w:pStyle w:val="SingleTxtG"/>
      </w:pPr>
      <w:r w:rsidRPr="00DF6874">
        <w:t>31.</w:t>
      </w:r>
      <w:r w:rsidRPr="00DF6874">
        <w:tab/>
        <w:t>На своей двадцать седьмой сессии Подкомитет постановил определить государства-участники, которые существенно запаздывают с созданием своих национальных превентивных механизмов, и включить их в соответствующий список</w:t>
      </w:r>
      <w:r w:rsidRPr="00DF6874">
        <w:rPr>
          <w:sz w:val="18"/>
          <w:vertAlign w:val="superscript"/>
        </w:rPr>
        <w:footnoteReference w:id="10"/>
      </w:r>
      <w:r w:rsidRPr="00DF6874">
        <w:rPr>
          <w:sz w:val="18"/>
        </w:rPr>
        <w:t>.</w:t>
      </w:r>
      <w:r w:rsidRPr="00DF6874">
        <w:t xml:space="preserve"> Этот список пересматривается на каждой сессии Подкомитета, и государства-участники исключаются из него после достижения порогового уровня для такого исключения, а именно после того, как Подкомитет получает уведомление об официальном назначении национального превентивного механизма и копии документа, обеспечивающего его создание и эффективное функционирование.</w:t>
      </w:r>
    </w:p>
    <w:p w14:paraId="14CC99F9" w14:textId="77777777" w:rsidR="00DF6874" w:rsidRPr="00DF6874" w:rsidRDefault="00DF6874" w:rsidP="00DF6874">
      <w:pPr>
        <w:pStyle w:val="SingleTxtG"/>
      </w:pPr>
      <w:r w:rsidRPr="00DF6874">
        <w:t>32.</w:t>
      </w:r>
      <w:r w:rsidRPr="00DF6874">
        <w:tab/>
        <w:t>В целях уточнения критериев для определения того, был ли, в зависимости от обстоятельств, сохранен, назначен или создан национальный превентивный механизм, согласно статье 17 Факультативного протокола, и для исключения государства-участника из вышеупомянутого списка Подкомитет изложил на своем веб-сайте</w:t>
      </w:r>
      <w:r w:rsidRPr="00DF6874">
        <w:rPr>
          <w:sz w:val="18"/>
          <w:vertAlign w:val="superscript"/>
        </w:rPr>
        <w:footnoteReference w:id="11"/>
      </w:r>
      <w:r w:rsidRPr="00DF6874">
        <w:rPr>
          <w:sz w:val="18"/>
        </w:rPr>
        <w:t xml:space="preserve"> </w:t>
      </w:r>
      <w:r w:rsidRPr="00DF6874">
        <w:t>элементы, которые государство-участник должно включать в вербальную ноту, адресованную Подкомитету, и к числу которых относится следующее:</w:t>
      </w:r>
    </w:p>
    <w:p w14:paraId="083B9EEE" w14:textId="77777777" w:rsidR="00DF6874" w:rsidRPr="00DF6874" w:rsidRDefault="00DF6874" w:rsidP="00DF6874">
      <w:pPr>
        <w:pStyle w:val="SingleTxtG"/>
      </w:pPr>
      <w:r w:rsidRPr="00DF6874">
        <w:tab/>
        <w:t>a)</w:t>
      </w:r>
      <w:r w:rsidRPr="00DF6874">
        <w:tab/>
        <w:t>сам факт его создания;</w:t>
      </w:r>
    </w:p>
    <w:p w14:paraId="724CD026" w14:textId="77777777" w:rsidR="00DF6874" w:rsidRPr="00DF6874" w:rsidRDefault="00DF6874" w:rsidP="00DF6874">
      <w:pPr>
        <w:pStyle w:val="SingleTxtG"/>
      </w:pPr>
      <w:r w:rsidRPr="00DF6874">
        <w:tab/>
        <w:t>b)</w:t>
      </w:r>
      <w:r w:rsidRPr="00DF6874">
        <w:tab/>
        <w:t>копия правового документа о создании национального превентивного механизма, будь то законодательный или иной акт;</w:t>
      </w:r>
    </w:p>
    <w:p w14:paraId="07DA2AC8" w14:textId="77777777" w:rsidR="00DF6874" w:rsidRPr="00DF6874" w:rsidRDefault="00DF6874" w:rsidP="00DF6874">
      <w:pPr>
        <w:pStyle w:val="SingleTxtG"/>
      </w:pPr>
      <w:r w:rsidRPr="00DF6874">
        <w:tab/>
        <w:t>c)</w:t>
      </w:r>
      <w:r w:rsidRPr="00DF6874">
        <w:tab/>
        <w:t>фамилия руководителя национального превентивного механизма;</w:t>
      </w:r>
    </w:p>
    <w:p w14:paraId="57A80090" w14:textId="77777777" w:rsidR="00DF6874" w:rsidRPr="00DF6874" w:rsidRDefault="00DF6874" w:rsidP="00DF6874">
      <w:pPr>
        <w:pStyle w:val="SingleTxtG"/>
      </w:pPr>
      <w:r w:rsidRPr="00DF6874">
        <w:tab/>
        <w:t>d)</w:t>
      </w:r>
      <w:r w:rsidRPr="00DF6874">
        <w:tab/>
        <w:t>почтовый адрес национального превентивного механизма;</w:t>
      </w:r>
    </w:p>
    <w:p w14:paraId="632A8035" w14:textId="77777777" w:rsidR="00DF6874" w:rsidRPr="00DF6874" w:rsidRDefault="00DF6874" w:rsidP="00DF6874">
      <w:pPr>
        <w:pStyle w:val="SingleTxtG"/>
      </w:pPr>
      <w:r w:rsidRPr="00DF6874">
        <w:tab/>
        <w:t>e)</w:t>
      </w:r>
      <w:r w:rsidRPr="00DF6874">
        <w:tab/>
        <w:t>адрес электронной почты и номер телефона национального превентивного механизма</w:t>
      </w:r>
      <w:r w:rsidRPr="00DF6874">
        <w:rPr>
          <w:sz w:val="18"/>
          <w:vertAlign w:val="superscript"/>
        </w:rPr>
        <w:footnoteReference w:id="12"/>
      </w:r>
      <w:r w:rsidRPr="00DF6874">
        <w:rPr>
          <w:sz w:val="18"/>
        </w:rPr>
        <w:t>.</w:t>
      </w:r>
    </w:p>
    <w:p w14:paraId="708560AB" w14:textId="77777777" w:rsidR="00DF6874" w:rsidRPr="00DF6874" w:rsidRDefault="00DF6874" w:rsidP="00DF6874">
      <w:pPr>
        <w:pStyle w:val="SingleTxtG"/>
      </w:pPr>
      <w:r w:rsidRPr="00DF6874">
        <w:lastRenderedPageBreak/>
        <w:t>33.</w:t>
      </w:r>
      <w:r w:rsidRPr="00DF6874">
        <w:tab/>
        <w:t>Кроме того, на своей сорок седьмой сессии Подкомитет постановил, что секретариат будет запрашивать у государства-участника всю вышеуказанную информацию, если в уведомлении не указано, что национальный превентивный механизм сохранен, назначен или создан.</w:t>
      </w:r>
    </w:p>
    <w:p w14:paraId="47DA8425" w14:textId="77777777" w:rsidR="00DF6874" w:rsidRPr="00DF6874" w:rsidRDefault="00DF6874" w:rsidP="00DF6874">
      <w:pPr>
        <w:pStyle w:val="SingleTxtG"/>
      </w:pPr>
      <w:r w:rsidRPr="00DF6874">
        <w:t>34.</w:t>
      </w:r>
      <w:r w:rsidRPr="00DF6874">
        <w:tab/>
        <w:t>Буркина-Фасо и Монголия создали свои национальные превентивные механизмы, что было с удовлетворением отмечено Подкомитетом, и поэтому были исключены из списка. По состоянию на 31 декабря 2022 года в список были включены следующие 14 государств-участников: Белиз, Бенин, Босния и Герцеговина, Бурунди, Габон, Гана, Демократическая Республика Конго, Либерия, Науру, Нигерия, Филиппины, Центральноафриканская Республика, Южный Судан и Государство Палестина. У Подкомитета по-прежнему вызывает большую обеспокоенность тот факт, что некоторые из включенных в список государств-участников, как представляется, до сих пор не достигли практически никакого прогресса в выполнении своих обязательств и давно просрочили создание своего национального превентивного механизма.</w:t>
      </w:r>
    </w:p>
    <w:p w14:paraId="250C5B61" w14:textId="77777777" w:rsidR="00DF6874" w:rsidRPr="00DF6874" w:rsidRDefault="00DF6874" w:rsidP="00DF6874">
      <w:pPr>
        <w:pStyle w:val="H1G"/>
      </w:pPr>
      <w:r w:rsidRPr="00DF6874">
        <w:tab/>
      </w:r>
      <w:bookmarkStart w:id="40" w:name="_Toc130463489"/>
      <w:r w:rsidRPr="00DF6874">
        <w:t>G.</w:t>
      </w:r>
      <w:r w:rsidRPr="00DF6874">
        <w:tab/>
        <w:t>Специальный фонд, учрежденный Факультативным протоколом</w:t>
      </w:r>
      <w:bookmarkStart w:id="41" w:name="_Toc534899841"/>
      <w:bookmarkStart w:id="42" w:name="_Toc97717821"/>
      <w:bookmarkStart w:id="43" w:name="_Toc97795000"/>
      <w:bookmarkStart w:id="44" w:name="_Hlk128135928"/>
      <w:bookmarkEnd w:id="41"/>
      <w:bookmarkEnd w:id="42"/>
      <w:bookmarkEnd w:id="43"/>
      <w:bookmarkEnd w:id="40"/>
    </w:p>
    <w:p w14:paraId="661A6D34" w14:textId="59AEA68E" w:rsidR="00DF6874" w:rsidRPr="00DF6874" w:rsidRDefault="00DF6874" w:rsidP="00DF6874">
      <w:pPr>
        <w:pStyle w:val="SingleTxtG"/>
      </w:pPr>
      <w:r w:rsidRPr="00DF6874">
        <w:t>35.</w:t>
      </w:r>
      <w:r w:rsidRPr="00DF6874">
        <w:tab/>
        <w:t>Средства Специального фонда, учрежденного в соответствии со статьей 26 (1) Факультативного протокола, направляются на поддержку проектов, имеющих целью создание или укрепление национальных превентивных механизмов, т.</w:t>
      </w:r>
      <w:r w:rsidR="00DA5B9E">
        <w:t> </w:t>
      </w:r>
      <w:r w:rsidRPr="00DF6874">
        <w:t>е. способствуют осуществлению соответствующих рекомендаций, препровожденных Подкомитетом государству-участнику по итогам его посещения. В 2022 году через Специальный фонд были выделены гранты в размере 525 790 долл. США для поддержки 18 проектов по предупреждению пыток в 16 государствах-участниках в ходе их осуществления в 2023 году. Подкомитет оказывает поддержку в оценке предложений по проектам и рекомендаций о предоставлении грантов.</w:t>
      </w:r>
    </w:p>
    <w:p w14:paraId="1EDC6359" w14:textId="1DDDF8CA" w:rsidR="00DF6874" w:rsidRPr="00DF6874" w:rsidRDefault="00DF6874" w:rsidP="00DF6874">
      <w:pPr>
        <w:pStyle w:val="SingleTxtG"/>
      </w:pPr>
      <w:r w:rsidRPr="00DF6874">
        <w:t>36.</w:t>
      </w:r>
      <w:r w:rsidRPr="00DF6874">
        <w:tab/>
        <w:t>Подкомитет высоко оценивает взнос, сделанный в Специальный фонд за отчетный период Чехией (8247 долл. США), а также взносы, объявленные Данией (278</w:t>
      </w:r>
      <w:r w:rsidR="00835EF3">
        <w:rPr>
          <w:lang w:val="en-US"/>
        </w:rPr>
        <w:t> </w:t>
      </w:r>
      <w:r w:rsidRPr="00DF6874">
        <w:t>164 долл. США) и Германией (140</w:t>
      </w:r>
      <w:r w:rsidR="00835EF3">
        <w:rPr>
          <w:lang w:val="en-US"/>
        </w:rPr>
        <w:t> </w:t>
      </w:r>
      <w:r w:rsidRPr="00DF6874">
        <w:t xml:space="preserve">000 евро). Вместе с тем он по-прежнему осознает, что для поддержки проектов в течение цикла предоставления грантов в </w:t>
      </w:r>
      <w:r w:rsidR="00835EF3">
        <w:br/>
      </w:r>
      <w:r w:rsidRPr="00DF6874">
        <w:t>2023</w:t>
      </w:r>
      <w:r w:rsidR="00835EF3">
        <w:t>–</w:t>
      </w:r>
      <w:r w:rsidRPr="00DF6874">
        <w:t>2024 годах и в последующий период потребуются дополнительные взносы. Специальный фонд является важным инструментом для поддержки и дополнения деятельности по выполнению рекомендаций Подкомитета, направленных на предупреждение пыток и жестокого обращения; поэтому Подкомитет настоятельно призывает государства и далее оказывать Специальному фонду необходимую финансовую поддержку.</w:t>
      </w:r>
    </w:p>
    <w:bookmarkEnd w:id="44"/>
    <w:p w14:paraId="07DBFFB0" w14:textId="679E1C66" w:rsidR="00DF6874" w:rsidRPr="00DF6874" w:rsidRDefault="00DF6874" w:rsidP="00835EF3">
      <w:pPr>
        <w:pStyle w:val="H1G"/>
      </w:pPr>
      <w:r w:rsidRPr="00DF6874">
        <w:tab/>
      </w:r>
      <w:bookmarkStart w:id="45" w:name="_Toc130463490"/>
      <w:r w:rsidRPr="00DF6874">
        <w:t>H.</w:t>
      </w:r>
      <w:r w:rsidRPr="00DF6874">
        <w:tab/>
        <w:t>Рекомендации в связи с пандемией COVID-19</w:t>
      </w:r>
      <w:bookmarkStart w:id="46" w:name="_Toc97717822"/>
      <w:bookmarkStart w:id="47" w:name="_Toc97795001"/>
      <w:bookmarkEnd w:id="46"/>
      <w:bookmarkEnd w:id="47"/>
      <w:bookmarkEnd w:id="45"/>
    </w:p>
    <w:p w14:paraId="1DECB8D0" w14:textId="3DFA648B" w:rsidR="00DF6874" w:rsidRPr="00DF6874" w:rsidRDefault="00DF6874" w:rsidP="00DF6874">
      <w:pPr>
        <w:pStyle w:val="SingleTxtG"/>
      </w:pPr>
      <w:r w:rsidRPr="00DF6874">
        <w:t>37.</w:t>
      </w:r>
      <w:r w:rsidRPr="00DF6874">
        <w:tab/>
        <w:t>После опубликования рекомендаций, касавшихся пандемии COVID-19</w:t>
      </w:r>
      <w:r w:rsidRPr="00DF6874">
        <w:rPr>
          <w:sz w:val="18"/>
          <w:vertAlign w:val="superscript"/>
        </w:rPr>
        <w:footnoteReference w:id="13"/>
      </w:r>
      <w:r w:rsidRPr="00DF6874">
        <w:rPr>
          <w:sz w:val="18"/>
        </w:rPr>
        <w:t>,</w:t>
      </w:r>
      <w:r w:rsidRPr="00DF6874">
        <w:t xml:space="preserve"> и</w:t>
      </w:r>
      <w:r w:rsidR="00DA5B9E">
        <w:t> </w:t>
      </w:r>
      <w:r w:rsidRPr="00DF6874">
        <w:t>протокола для национальных превентивных механизмов, осуществлявших выезды на места во время пандемии COVID-19</w:t>
      </w:r>
      <w:r w:rsidRPr="00DF6874">
        <w:rPr>
          <w:sz w:val="18"/>
          <w:vertAlign w:val="superscript"/>
        </w:rPr>
        <w:footnoteReference w:id="14"/>
      </w:r>
      <w:r w:rsidRPr="00DF6874">
        <w:rPr>
          <w:sz w:val="18"/>
        </w:rPr>
        <w:t>,</w:t>
      </w:r>
      <w:r w:rsidRPr="00DF6874">
        <w:t xml:space="preserve"> Подкомитет продолжал поддерживать национальные превентивные механизмы конкретными действиями, связанными с COVID-19, поскольку вирус COVID-19 был по-прежнему широко распространен.</w:t>
      </w:r>
    </w:p>
    <w:p w14:paraId="1D7ACE0B" w14:textId="77777777" w:rsidR="00DF6874" w:rsidRPr="00DF6874" w:rsidRDefault="00DF6874" w:rsidP="00DF6874">
      <w:pPr>
        <w:pStyle w:val="SingleTxtG"/>
      </w:pPr>
      <w:r w:rsidRPr="00DF6874">
        <w:t>38.</w:t>
      </w:r>
      <w:r w:rsidRPr="00DF6874">
        <w:tab/>
        <w:t>Подкомитет по-прежнему уделяет внимание этому вопросу и выражает обеспокоенность отсутствием политической воли к выполнению своих рекомендаций, а также тем, что в некоторых случаях не удалось сохранить подвижки, достигнутые в деле принятия мер по минимизации последствий пандемии.</w:t>
      </w:r>
      <w:bookmarkStart w:id="48" w:name="_Toc534899842"/>
    </w:p>
    <w:p w14:paraId="0B3F449B" w14:textId="77777777" w:rsidR="00DF6874" w:rsidRPr="00DF6874" w:rsidRDefault="00DF6874" w:rsidP="00835EF3">
      <w:pPr>
        <w:pStyle w:val="HChG"/>
      </w:pPr>
      <w:r w:rsidRPr="00DF6874">
        <w:lastRenderedPageBreak/>
        <w:tab/>
      </w:r>
      <w:bookmarkStart w:id="49" w:name="_Toc130463491"/>
      <w:r w:rsidRPr="00DF6874">
        <w:t>III.</w:t>
      </w:r>
      <w:r w:rsidRPr="00DF6874">
        <w:tab/>
      </w:r>
      <w:r w:rsidRPr="00DF6874">
        <w:tab/>
        <w:t>Взаимодействие с другими органами в области предупреждения пыток</w:t>
      </w:r>
      <w:bookmarkStart w:id="50" w:name="_Toc97717823"/>
      <w:bookmarkStart w:id="51" w:name="_Toc97795002"/>
      <w:bookmarkEnd w:id="48"/>
      <w:bookmarkEnd w:id="50"/>
      <w:bookmarkEnd w:id="51"/>
      <w:bookmarkEnd w:id="49"/>
    </w:p>
    <w:p w14:paraId="1537A229" w14:textId="77777777" w:rsidR="00DF6874" w:rsidRPr="00DF6874" w:rsidRDefault="00DF6874" w:rsidP="00835EF3">
      <w:pPr>
        <w:pStyle w:val="H1G"/>
      </w:pPr>
      <w:r w:rsidRPr="00DF6874">
        <w:tab/>
      </w:r>
      <w:bookmarkStart w:id="52" w:name="_Toc130463492"/>
      <w:r w:rsidRPr="00DF6874">
        <w:t>A.</w:t>
      </w:r>
      <w:r w:rsidRPr="00DF6874">
        <w:tab/>
        <w:t>Международное сотрудничество</w:t>
      </w:r>
      <w:bookmarkStart w:id="53" w:name="_Toc534899843"/>
      <w:bookmarkStart w:id="54" w:name="_Toc97717824"/>
      <w:bookmarkStart w:id="55" w:name="_Toc97795003"/>
      <w:bookmarkEnd w:id="53"/>
      <w:bookmarkEnd w:id="54"/>
      <w:bookmarkEnd w:id="55"/>
      <w:bookmarkEnd w:id="52"/>
    </w:p>
    <w:p w14:paraId="1254CD0C" w14:textId="77777777" w:rsidR="00DF6874" w:rsidRPr="00DF6874" w:rsidRDefault="00DF6874" w:rsidP="00835EF3">
      <w:pPr>
        <w:pStyle w:val="H23G"/>
      </w:pPr>
      <w:r w:rsidRPr="00DF6874">
        <w:tab/>
        <w:t>1.</w:t>
      </w:r>
      <w:r w:rsidRPr="00DF6874">
        <w:tab/>
        <w:t>Сотрудничество с другими органами Организации Объединенных Наций</w:t>
      </w:r>
    </w:p>
    <w:p w14:paraId="5A4B0A24" w14:textId="77777777" w:rsidR="00DF6874" w:rsidRPr="00DF6874" w:rsidRDefault="00DF6874" w:rsidP="00DF6874">
      <w:pPr>
        <w:pStyle w:val="SingleTxtG"/>
      </w:pPr>
      <w:r w:rsidRPr="00DF6874">
        <w:t>39.</w:t>
      </w:r>
      <w:r w:rsidRPr="00DF6874">
        <w:tab/>
        <w:t>25 апреля 2022 года Председатель Подкомитета представил пятнадцатый ежегодный доклад Подкомитета</w:t>
      </w:r>
      <w:r w:rsidRPr="00DF6874">
        <w:rPr>
          <w:sz w:val="18"/>
          <w:vertAlign w:val="superscript"/>
        </w:rPr>
        <w:footnoteReference w:id="15"/>
      </w:r>
      <w:r w:rsidRPr="00DF6874">
        <w:rPr>
          <w:sz w:val="18"/>
        </w:rPr>
        <w:t xml:space="preserve"> </w:t>
      </w:r>
      <w:r w:rsidRPr="00DF6874">
        <w:t>и обсудил его с Комитетом против пыток на пленарном заседании семьдесят третьей сессии Комитета, которая проходила в очном формате с 19 апреля по 13 мая 2022 года.</w:t>
      </w:r>
    </w:p>
    <w:p w14:paraId="0BD0FD8B" w14:textId="77777777" w:rsidR="00DF6874" w:rsidRPr="00DF6874" w:rsidRDefault="00DF6874" w:rsidP="00DF6874">
      <w:pPr>
        <w:pStyle w:val="SingleTxtG"/>
      </w:pPr>
      <w:r w:rsidRPr="00DF6874">
        <w:t>40.</w:t>
      </w:r>
      <w:r w:rsidRPr="00DF6874">
        <w:tab/>
        <w:t>В соответствии с резолюцией 70/146 Генеральной Ассамблеи Председатель Подкомитета совместно с Председателем Комитета против пыток и Специальным докладчиком по вопросу о пытках и других жестоких, бесчеловечных или унижающих достоинство видах обращения и наказания представили Ассамблее на ее семьдесят седьмой сессии пятнадцатый ежегодный доклад Подкомитета</w:t>
      </w:r>
      <w:r w:rsidRPr="00DF6874">
        <w:rPr>
          <w:sz w:val="18"/>
          <w:vertAlign w:val="superscript"/>
        </w:rPr>
        <w:footnoteReference w:id="16"/>
      </w:r>
      <w:r w:rsidRPr="00DF6874">
        <w:rPr>
          <w:sz w:val="18"/>
        </w:rPr>
        <w:t>.</w:t>
      </w:r>
    </w:p>
    <w:p w14:paraId="6B9B77A3" w14:textId="14E977AE" w:rsidR="00DF6874" w:rsidRPr="00DF6874" w:rsidRDefault="00DF6874" w:rsidP="00DF6874">
      <w:pPr>
        <w:pStyle w:val="SingleTxtG"/>
      </w:pPr>
      <w:r w:rsidRPr="00DF6874">
        <w:t>41.</w:t>
      </w:r>
      <w:r w:rsidRPr="00DF6874">
        <w:tab/>
        <w:t>В течение года Председатель Подкомитета участвовал в нескольких неофициальных онлайн-встречах председателей договорных органов по правам человека и представлял Подкомитет на тридцать четвертом совещании председателей договорных органов по правам человека, проходившем с 30 мая по 3 июня 2022 года в Нью-Йорке. Председатели договорились установить предсказуемый график рассмотрения докладов государств-участников о выполнении обязательств по договорам о правах человека с восьмилетним циклом проведения полных обзоров в сочетании с последующими обзорами в течение цикла для восьми комитетов, в</w:t>
      </w:r>
      <w:r w:rsidR="00DA5B9E">
        <w:t> </w:t>
      </w:r>
      <w:r w:rsidRPr="00DF6874">
        <w:t>которых проводятся периодические обзоры. Аналогичным образом Подкомитет, имеющий мандат на посещение, будет посещать государства-участники в среднем раз в восемь лет, с периодическим проведением диалога между посещениями, согласно соответствующему заявлению, принятому Подкомитетом</w:t>
      </w:r>
      <w:r w:rsidRPr="00DF6874">
        <w:rPr>
          <w:sz w:val="18"/>
          <w:vertAlign w:val="superscript"/>
        </w:rPr>
        <w:footnoteReference w:id="17"/>
      </w:r>
      <w:r w:rsidRPr="00DF6874">
        <w:rPr>
          <w:sz w:val="18"/>
        </w:rPr>
        <w:t>.</w:t>
      </w:r>
      <w:bookmarkStart w:id="56" w:name="_Hlk58255827"/>
      <w:bookmarkEnd w:id="56"/>
    </w:p>
    <w:p w14:paraId="4649A69E" w14:textId="77777777" w:rsidR="00DF6874" w:rsidRPr="00DF6874" w:rsidRDefault="00DF6874" w:rsidP="00DF6874">
      <w:pPr>
        <w:pStyle w:val="SingleTxtG"/>
      </w:pPr>
      <w:r w:rsidRPr="00DF6874">
        <w:t>42.</w:t>
      </w:r>
      <w:r w:rsidRPr="00DF6874">
        <w:tab/>
        <w:t>26 июня, в Международный день Организации Объединенных Наций в поддержку жертв пыток, Подкомитет, Комитет против пыток и Совет директоров Фонда добровольных взносов Организации Объединенных Наций для жертв пыток опубликовали совместное заявление о медицинских работниках, которые играют важную роль в предотвращении пыток, привлечении виновных к ответственности и возмещении ущерба жертвам пыток</w:t>
      </w:r>
      <w:r w:rsidRPr="00DF6874">
        <w:rPr>
          <w:sz w:val="18"/>
          <w:vertAlign w:val="superscript"/>
        </w:rPr>
        <w:footnoteReference w:id="18"/>
      </w:r>
      <w:r w:rsidRPr="00DF6874">
        <w:rPr>
          <w:sz w:val="18"/>
        </w:rPr>
        <w:t>.</w:t>
      </w:r>
      <w:r w:rsidRPr="00DF6874">
        <w:t xml:space="preserve"> </w:t>
      </w:r>
    </w:p>
    <w:p w14:paraId="1289E5BA" w14:textId="4EF7F594" w:rsidR="00DF6874" w:rsidRPr="00DF6874" w:rsidRDefault="00DF6874" w:rsidP="00DF6874">
      <w:pPr>
        <w:pStyle w:val="SingleTxtG"/>
      </w:pPr>
      <w:r w:rsidRPr="00DF6874">
        <w:t>43.</w:t>
      </w:r>
      <w:r w:rsidRPr="00DF6874">
        <w:tab/>
        <w:t>Подкомитет продолжал на систематической основе сотрудничать с другими механизмами, в том числе препровождая на рассмотрение Комитета против пыток предложения относительно государств</w:t>
      </w:r>
      <w:r w:rsidR="00DA5B9E">
        <w:t> — </w:t>
      </w:r>
      <w:r w:rsidRPr="00DF6874">
        <w:t>участников Факультативного протокола, доклады которых должны быть рассмотрены на предстоящих сессиях Комитета, и</w:t>
      </w:r>
      <w:r w:rsidR="00DA5B9E">
        <w:t> </w:t>
      </w:r>
      <w:r w:rsidRPr="00DF6874">
        <w:t>вопросы, которые Комитет мог бы рассмотреть для постановки перед государствами-участниками в рамках упрощенной процедуры представления докладов.</w:t>
      </w:r>
    </w:p>
    <w:p w14:paraId="4F3EBA61" w14:textId="51443E07" w:rsidR="00DF6874" w:rsidRPr="00DF6874" w:rsidRDefault="00DF6874" w:rsidP="00DF6874">
      <w:pPr>
        <w:pStyle w:val="SingleTxtG"/>
      </w:pPr>
      <w:r w:rsidRPr="00DF6874">
        <w:t>44.</w:t>
      </w:r>
      <w:r w:rsidRPr="00DF6874">
        <w:tab/>
        <w:t>В ходе своей сорок восьмой сессии члены Подкомитета встретились с членами Комитета против пыток и постановили продолжать укреплять свое сотрудничество. После встречи они распространили совместное заявление по Никарагуа, в котором выразили сожаление по поводу отсутствия сотрудничества государства с обоими органами</w:t>
      </w:r>
      <w:r w:rsidRPr="00DF6874">
        <w:rPr>
          <w:sz w:val="18"/>
          <w:vertAlign w:val="superscript"/>
        </w:rPr>
        <w:footnoteReference w:id="19"/>
      </w:r>
      <w:r w:rsidRPr="00DF6874">
        <w:rPr>
          <w:sz w:val="18"/>
        </w:rPr>
        <w:t>.</w:t>
      </w:r>
      <w:r w:rsidRPr="00DF6874">
        <w:t xml:space="preserve"> Комитет постановил выступить с заявлением в ответ на просьбу Подкомитета, направленную в соответствии со статьей 16 (4) Факультативного </w:t>
      </w:r>
      <w:r w:rsidRPr="00DF6874">
        <w:lastRenderedPageBreak/>
        <w:t>протокола</w:t>
      </w:r>
      <w:r w:rsidRPr="00DF6874">
        <w:rPr>
          <w:sz w:val="18"/>
          <w:vertAlign w:val="superscript"/>
        </w:rPr>
        <w:footnoteReference w:id="20"/>
      </w:r>
      <w:r w:rsidRPr="00DF6874">
        <w:rPr>
          <w:sz w:val="18"/>
        </w:rPr>
        <w:t>,</w:t>
      </w:r>
      <w:r w:rsidRPr="00DF6874">
        <w:t xml:space="preserve"> учитывая, что Никарагуа неоднократно отказывалась сотрудничать как с Подкомитетом, так и с Комитетом и даже ставила под сомнение легитимность системы договорных органов Организации Объединенных Наций в целом</w:t>
      </w:r>
      <w:r w:rsidRPr="00DF6874">
        <w:rPr>
          <w:sz w:val="18"/>
          <w:vertAlign w:val="superscript"/>
        </w:rPr>
        <w:footnoteReference w:id="21"/>
      </w:r>
      <w:r w:rsidR="00835EF3" w:rsidRPr="00DF6874">
        <w:rPr>
          <w:sz w:val="18"/>
        </w:rPr>
        <w:t>.</w:t>
      </w:r>
      <w:r w:rsidRPr="00DF6874">
        <w:t xml:space="preserve"> Незадолго до распространения этого заявления власти Никарагуа отказали Подкомитету в посещении страны в 2023 году, а также отказались предоставить информацию о мерах, принятых для выполнения рекомендаций, изложенных в докладе Подкомитета после его посещения Никарагуа в 2014 году</w:t>
      </w:r>
      <w:r w:rsidRPr="00DF6874">
        <w:rPr>
          <w:sz w:val="18"/>
          <w:vertAlign w:val="superscript"/>
        </w:rPr>
        <w:footnoteReference w:id="22"/>
      </w:r>
      <w:r w:rsidRPr="00DF6874">
        <w:rPr>
          <w:sz w:val="18"/>
        </w:rPr>
        <w:t>.</w:t>
      </w:r>
      <w:r w:rsidRPr="00DF6874">
        <w:t xml:space="preserve"> Государство-участник не ответило на неоднократные просьбы о проведении закрытых встреч с Подкомитетом для обсуждения его обязательств по Факультативному протоколу.</w:t>
      </w:r>
    </w:p>
    <w:p w14:paraId="348102B7" w14:textId="77777777" w:rsidR="00DF6874" w:rsidRPr="00DF6874" w:rsidRDefault="00DF6874" w:rsidP="00DF6874">
      <w:pPr>
        <w:pStyle w:val="SingleTxtG"/>
      </w:pPr>
      <w:r w:rsidRPr="00DF6874">
        <w:t>45.</w:t>
      </w:r>
      <w:r w:rsidRPr="00DF6874">
        <w:tab/>
        <w:t>Подкомитет также продолжил сотрудничество с региональными отделениями Управления Верховного комиссара Организации Объединенных Наций по правам человека, страновыми группами Организации Объединенных Наций и Управлением Верховного комиссара Организации Объединенных Наций по делам беженцев.</w:t>
      </w:r>
    </w:p>
    <w:p w14:paraId="5451FA66" w14:textId="77777777" w:rsidR="00DF6874" w:rsidRPr="00DF6874" w:rsidRDefault="00DF6874" w:rsidP="00DF6874">
      <w:pPr>
        <w:pStyle w:val="SingleTxtG"/>
      </w:pPr>
      <w:r w:rsidRPr="00DF6874">
        <w:t>46.</w:t>
      </w:r>
      <w:r w:rsidRPr="00DF6874">
        <w:tab/>
        <w:t>Подкомитет продолжал сотрудничать с программой укрепления потенциала договорных органов, в частности в порядке содействия работе национальных превентивных механизмов.</w:t>
      </w:r>
    </w:p>
    <w:p w14:paraId="680005AD" w14:textId="77777777" w:rsidR="00DF6874" w:rsidRPr="00DF6874" w:rsidRDefault="00DF6874" w:rsidP="00835EF3">
      <w:pPr>
        <w:pStyle w:val="H23G"/>
      </w:pPr>
      <w:r w:rsidRPr="00DF6874">
        <w:tab/>
        <w:t>2.</w:t>
      </w:r>
      <w:r w:rsidRPr="00DF6874">
        <w:tab/>
        <w:t xml:space="preserve">Стамбульский протокол </w:t>
      </w:r>
    </w:p>
    <w:p w14:paraId="63E6A9E4" w14:textId="77777777" w:rsidR="00DF6874" w:rsidRPr="00DF6874" w:rsidRDefault="00DF6874" w:rsidP="00DF6874">
      <w:pPr>
        <w:pStyle w:val="SingleTxtG"/>
      </w:pPr>
      <w:r w:rsidRPr="00DF6874">
        <w:t>47.</w:t>
      </w:r>
      <w:r w:rsidRPr="00DF6874">
        <w:tab/>
        <w:t>Стамбульский протокол был пересмотрен, и его текст в новой редакции был опубликован 29 июня 2022 года. Будучи одним из участников этого важного процесса пересмотра, Подкомитет распространил заявление в поддержку осуществления Стамбульского протокола в его новой редакции (см. приложение к настоящему докладу).</w:t>
      </w:r>
    </w:p>
    <w:p w14:paraId="23108D2F" w14:textId="77777777" w:rsidR="00DF6874" w:rsidRPr="00DF6874" w:rsidRDefault="00DF6874" w:rsidP="00835EF3">
      <w:pPr>
        <w:pStyle w:val="H23G"/>
      </w:pPr>
      <w:r w:rsidRPr="00DF6874">
        <w:tab/>
        <w:t>3.</w:t>
      </w:r>
      <w:r w:rsidRPr="00DF6874">
        <w:tab/>
        <w:t>Сотрудничество с другими соответствующими международными организациями</w:t>
      </w:r>
    </w:p>
    <w:p w14:paraId="4D05197E" w14:textId="77777777" w:rsidR="00DF6874" w:rsidRPr="00DF6874" w:rsidRDefault="00DF6874" w:rsidP="00DF6874">
      <w:pPr>
        <w:pStyle w:val="SingleTxtG"/>
      </w:pPr>
      <w:r w:rsidRPr="00DF6874">
        <w:t>48.</w:t>
      </w:r>
      <w:r w:rsidRPr="00DF6874">
        <w:tab/>
        <w:t>Подкомитет продолжал сотрудничество с Международным комитетом Красного Креста.</w:t>
      </w:r>
    </w:p>
    <w:p w14:paraId="57AFD34F" w14:textId="77777777" w:rsidR="00DF6874" w:rsidRPr="00DF6874" w:rsidRDefault="00DF6874" w:rsidP="00835EF3">
      <w:pPr>
        <w:pStyle w:val="H1G"/>
      </w:pPr>
      <w:r w:rsidRPr="00DF6874">
        <w:tab/>
      </w:r>
      <w:bookmarkStart w:id="57" w:name="_Toc130463493"/>
      <w:r w:rsidRPr="00DF6874">
        <w:t>B.</w:t>
      </w:r>
      <w:r w:rsidRPr="00DF6874">
        <w:tab/>
        <w:t>Региональное сотрудничество</w:t>
      </w:r>
      <w:bookmarkStart w:id="58" w:name="_Toc534899844"/>
      <w:bookmarkStart w:id="59" w:name="_Toc97717825"/>
      <w:bookmarkStart w:id="60" w:name="_Toc97795004"/>
      <w:bookmarkEnd w:id="58"/>
      <w:bookmarkEnd w:id="59"/>
      <w:bookmarkEnd w:id="60"/>
      <w:bookmarkEnd w:id="57"/>
    </w:p>
    <w:p w14:paraId="0F4A640E" w14:textId="7CE9444D" w:rsidR="00DF6874" w:rsidRPr="00DF6874" w:rsidRDefault="00DF6874" w:rsidP="00DF6874">
      <w:pPr>
        <w:pStyle w:val="SingleTxtG"/>
      </w:pPr>
      <w:r w:rsidRPr="00DF6874">
        <w:t>49.</w:t>
      </w:r>
      <w:r w:rsidRPr="00DF6874">
        <w:tab/>
        <w:t xml:space="preserve">Подкомитет продолжал сотрудничество с региональными организациями, в том числе с Европейским комитетом по предупреждению пыток и бесчеловечных или унижающих достоинство видов обращения и наказания, которое включало взаимный обмен письмами в целях введения в действие статьи 31 Факультативного протокола, </w:t>
      </w:r>
      <w:r w:rsidR="00DA5B9E">
        <w:br/>
      </w:r>
      <w:r w:rsidRPr="00DF6874">
        <w:t xml:space="preserve">с </w:t>
      </w:r>
      <w:proofErr w:type="gramStart"/>
      <w:r w:rsidRPr="00DF6874">
        <w:t>тем</w:t>
      </w:r>
      <w:proofErr w:type="gramEnd"/>
      <w:r w:rsidRPr="00DF6874">
        <w:t xml:space="preserve"> чтобы усилить взаимодополняемость и </w:t>
      </w:r>
      <w:proofErr w:type="spellStart"/>
      <w:r w:rsidRPr="00DF6874">
        <w:t>субсидиарность</w:t>
      </w:r>
      <w:proofErr w:type="spellEnd"/>
      <w:r w:rsidRPr="00DF6874">
        <w:t>. Было проведено несколько совещаний на уровне председателей и Бюро, а также секретариата.</w:t>
      </w:r>
    </w:p>
    <w:p w14:paraId="33ED2535" w14:textId="77777777" w:rsidR="00DF6874" w:rsidRPr="00DF6874" w:rsidRDefault="00DF6874" w:rsidP="00835EF3">
      <w:pPr>
        <w:pStyle w:val="H1G"/>
      </w:pPr>
      <w:r w:rsidRPr="00DF6874">
        <w:tab/>
      </w:r>
      <w:bookmarkStart w:id="61" w:name="_Toc130463494"/>
      <w:r w:rsidRPr="00DF6874">
        <w:t>C.</w:t>
      </w:r>
      <w:r w:rsidRPr="00DF6874">
        <w:tab/>
        <w:t>Гражданское общество</w:t>
      </w:r>
      <w:bookmarkStart w:id="62" w:name="_Toc534899845"/>
      <w:bookmarkStart w:id="63" w:name="_Toc97717826"/>
      <w:bookmarkStart w:id="64" w:name="_Toc97795005"/>
      <w:bookmarkEnd w:id="62"/>
      <w:bookmarkEnd w:id="63"/>
      <w:bookmarkEnd w:id="64"/>
      <w:bookmarkEnd w:id="61"/>
    </w:p>
    <w:p w14:paraId="2BB93DF8" w14:textId="77777777" w:rsidR="00DF6874" w:rsidRPr="00DF6874" w:rsidRDefault="00DF6874" w:rsidP="00DF6874">
      <w:pPr>
        <w:pStyle w:val="SingleTxtG"/>
      </w:pPr>
      <w:r w:rsidRPr="00DF6874">
        <w:t>50.</w:t>
      </w:r>
      <w:r w:rsidRPr="00DF6874">
        <w:tab/>
        <w:t xml:space="preserve">Подкомитет продолжал получать поддержку со стороны гражданского общества, в том числе Ассоциации за </w:t>
      </w:r>
      <w:proofErr w:type="spellStart"/>
      <w:r w:rsidRPr="00DF6874">
        <w:t>продотвращение</w:t>
      </w:r>
      <w:proofErr w:type="spellEnd"/>
      <w:r w:rsidRPr="00DF6874">
        <w:t xml:space="preserve"> пыток и целого ряда научных учреждений. Подкомитет также связывался с организациями гражданского общества в ходе подготовки посещений; он выражает признательность этим организациям за их работу по популяризации и поддержке Факультативного протокола.</w:t>
      </w:r>
    </w:p>
    <w:p w14:paraId="7C8B1327" w14:textId="49B5336D" w:rsidR="00DF6874" w:rsidRPr="00DF6874" w:rsidRDefault="00DF6874" w:rsidP="00835EF3">
      <w:pPr>
        <w:pStyle w:val="HChG"/>
      </w:pPr>
      <w:bookmarkStart w:id="65" w:name="_Toc534899846"/>
      <w:r w:rsidRPr="00DF6874">
        <w:lastRenderedPageBreak/>
        <w:tab/>
      </w:r>
      <w:bookmarkStart w:id="66" w:name="_Toc130463495"/>
      <w:r w:rsidRPr="00DF6874">
        <w:t>IV.</w:t>
      </w:r>
      <w:r w:rsidRPr="00DF6874">
        <w:tab/>
        <w:t>События, связанные с методами работы</w:t>
      </w:r>
      <w:bookmarkStart w:id="67" w:name="_Toc97717828"/>
      <w:bookmarkStart w:id="68" w:name="_Toc97795007"/>
      <w:bookmarkEnd w:id="65"/>
      <w:bookmarkEnd w:id="67"/>
      <w:bookmarkEnd w:id="68"/>
      <w:bookmarkEnd w:id="66"/>
    </w:p>
    <w:p w14:paraId="7E6ACAFB" w14:textId="77777777" w:rsidR="00DF6874" w:rsidRPr="00DF6874" w:rsidRDefault="00DF6874" w:rsidP="00835EF3">
      <w:pPr>
        <w:pStyle w:val="H1G"/>
      </w:pPr>
      <w:r w:rsidRPr="00DF6874">
        <w:tab/>
      </w:r>
      <w:bookmarkStart w:id="69" w:name="_Toc130463496"/>
      <w:r w:rsidRPr="00DF6874">
        <w:t>A.</w:t>
      </w:r>
      <w:r w:rsidRPr="00DF6874">
        <w:tab/>
        <w:t>Посещения</w:t>
      </w:r>
      <w:bookmarkStart w:id="70" w:name="_Toc97717829"/>
      <w:bookmarkStart w:id="71" w:name="_Toc97795008"/>
      <w:bookmarkEnd w:id="70"/>
      <w:bookmarkEnd w:id="71"/>
      <w:bookmarkEnd w:id="69"/>
    </w:p>
    <w:p w14:paraId="61F9FD49" w14:textId="34606873" w:rsidR="00DF6874" w:rsidRPr="00DF6874" w:rsidRDefault="00DF6874" w:rsidP="00DF6874">
      <w:pPr>
        <w:pStyle w:val="SingleTxtG"/>
      </w:pPr>
      <w:r w:rsidRPr="00DF6874">
        <w:t>51.</w:t>
      </w:r>
      <w:r w:rsidRPr="00DF6874">
        <w:tab/>
        <w:t>В 2022 году Подкомитет возобновил свою программу посещений, начав с посещения Бразилии (31 января</w:t>
      </w:r>
      <w:r w:rsidR="00DA5B9E">
        <w:t xml:space="preserve"> — </w:t>
      </w:r>
      <w:r w:rsidRPr="00DF6874">
        <w:t>4 февраля), где были встречи на высоком уровне. Основная цель посещения этой страны, первоначально запланированного на 2020 год, заключалась в повышении уровня информированности властей государства-участника о позиции Подкомитета в отношении ситуации с национальным превентивным механизмом Бразилии, в частности в связи с президентским указом, принятым в 2019</w:t>
      </w:r>
      <w:r w:rsidR="00835EF3">
        <w:t> </w:t>
      </w:r>
      <w:r w:rsidRPr="00DF6874">
        <w:t>году</w:t>
      </w:r>
      <w:r w:rsidRPr="00DF6874">
        <w:rPr>
          <w:sz w:val="18"/>
          <w:vertAlign w:val="superscript"/>
        </w:rPr>
        <w:footnoteReference w:id="23"/>
      </w:r>
      <w:r w:rsidRPr="00DF6874">
        <w:rPr>
          <w:sz w:val="18"/>
        </w:rPr>
        <w:t>.</w:t>
      </w:r>
      <w:r w:rsidRPr="00DF6874">
        <w:t xml:space="preserve"> После этого посещения Верховный федеральный суд Бразилии признал этот президентский указ неконституционным</w:t>
      </w:r>
      <w:r w:rsidRPr="00DF6874">
        <w:rPr>
          <w:sz w:val="18"/>
          <w:vertAlign w:val="superscript"/>
        </w:rPr>
        <w:footnoteReference w:id="24"/>
      </w:r>
      <w:r w:rsidRPr="00DF6874">
        <w:rPr>
          <w:sz w:val="18"/>
        </w:rPr>
        <w:t>.</w:t>
      </w:r>
      <w:r w:rsidRPr="00DF6874">
        <w:t xml:space="preserve"> </w:t>
      </w:r>
    </w:p>
    <w:p w14:paraId="4E76CE55" w14:textId="6AACFCEB" w:rsidR="00DF6874" w:rsidRPr="00DF6874" w:rsidRDefault="00DF6874" w:rsidP="00DF6874">
      <w:pPr>
        <w:pStyle w:val="SingleTxtG"/>
      </w:pPr>
      <w:r w:rsidRPr="00DF6874">
        <w:t>52.</w:t>
      </w:r>
      <w:r w:rsidRPr="00DF6874">
        <w:tab/>
        <w:t>Посещение Аргентины, прерванное в 2020 году из-за пандемии, было возобновлено и завершено (20–30 апреля). Все посещения, в том числе Туниса (27</w:t>
      </w:r>
      <w:r w:rsidR="00835EF3">
        <w:t> </w:t>
      </w:r>
      <w:r w:rsidRPr="00DF6874">
        <w:t>марта</w:t>
      </w:r>
      <w:r w:rsidR="00835EF3">
        <w:t> —</w:t>
      </w:r>
      <w:r w:rsidR="00DA5B9E">
        <w:t> </w:t>
      </w:r>
      <w:r w:rsidRPr="00DF6874">
        <w:t>1</w:t>
      </w:r>
      <w:r w:rsidR="00DA5B9E">
        <w:t> </w:t>
      </w:r>
      <w:r w:rsidRPr="00DF6874">
        <w:t>апреля), Ливана (4–10 мая), Турции (4–15 сентября), Эквадора (25</w:t>
      </w:r>
      <w:r w:rsidR="00835EF3">
        <w:t> </w:t>
      </w:r>
      <w:r w:rsidRPr="00DF6874">
        <w:t>сентября</w:t>
      </w:r>
      <w:r w:rsidR="00835EF3">
        <w:t xml:space="preserve"> — </w:t>
      </w:r>
      <w:r w:rsidRPr="00DF6874">
        <w:t>1 октября), Австралии (было запланировано на 16–27 октября и прервано 23 октября из-за отсутствия содействия со стороны государства-участника)</w:t>
      </w:r>
      <w:r w:rsidRPr="00DF6874">
        <w:rPr>
          <w:sz w:val="18"/>
          <w:vertAlign w:val="superscript"/>
        </w:rPr>
        <w:footnoteReference w:id="25"/>
      </w:r>
      <w:r w:rsidRPr="00DF6874">
        <w:rPr>
          <w:sz w:val="18"/>
        </w:rPr>
        <w:t xml:space="preserve"> </w:t>
      </w:r>
      <w:r w:rsidRPr="00DF6874">
        <w:t>и Боснии и Герцеговины (11–17 декабря), обсуждались на пленарном заседании по возвращении соответствующей делегации, каждая из которых проводила брифинг по итогам своей поездки. На своей сорок седьмой сессии Подкомитет постановил обратиться к национальным властям с просьбой предоставить гарантии, необходимые для скорейшего возобновления посещения страны.</w:t>
      </w:r>
    </w:p>
    <w:p w14:paraId="3ED67389" w14:textId="6BAA41B0" w:rsidR="00DF6874" w:rsidRPr="00DF6874" w:rsidRDefault="00DF6874" w:rsidP="00DF6874">
      <w:pPr>
        <w:pStyle w:val="SingleTxtG"/>
      </w:pPr>
      <w:r w:rsidRPr="00DF6874">
        <w:t>53.</w:t>
      </w:r>
      <w:r w:rsidRPr="00DF6874">
        <w:tab/>
        <w:t>С учетом опыта поездки в Болгарию в 2021 году и поездки в Бразилию в 2022</w:t>
      </w:r>
      <w:r w:rsidR="00835EF3">
        <w:t> </w:t>
      </w:r>
      <w:r w:rsidRPr="00DF6874">
        <w:t>году, включая ситуацию, когда у одного из членов делегации тест на COVID-19 оказался положительным, что не позволило членам делегации лично присутствовать на сессии, состоявшейся сразу после посещения страны, внутренний протокол был изменен, утвержден в межсессионный период и применен к последующим посещениям.</w:t>
      </w:r>
    </w:p>
    <w:p w14:paraId="441B34BF" w14:textId="097B2924" w:rsidR="00DF6874" w:rsidRPr="00DF6874" w:rsidRDefault="00DF6874" w:rsidP="00DF6874">
      <w:pPr>
        <w:pStyle w:val="SingleTxtG"/>
      </w:pPr>
      <w:r w:rsidRPr="00DF6874">
        <w:t>54.</w:t>
      </w:r>
      <w:r w:rsidRPr="00DF6874">
        <w:tab/>
        <w:t>На своих сорок седьмой и сорок восьмой сессиях Подкомитет обсудил приоритеты программы посещений в свете развития пандемии и ситуации в государствах-участниках, ратифицировавших Факультативный протокол. Был обнародован список государств-участников, которые планируется посетить в 2023</w:t>
      </w:r>
      <w:r w:rsidR="00835EF3">
        <w:t> </w:t>
      </w:r>
      <w:r w:rsidRPr="00DF6874">
        <w:t>году: Гватемала, Грузия, Казахстан, Маврикий, Мадагаскар, Филиппины, Хорватия, Южная Африка и Государство Палестина</w:t>
      </w:r>
      <w:r w:rsidRPr="00DF6874">
        <w:rPr>
          <w:sz w:val="18"/>
          <w:vertAlign w:val="superscript"/>
        </w:rPr>
        <w:footnoteReference w:id="26"/>
      </w:r>
      <w:r w:rsidRPr="00DF6874">
        <w:rPr>
          <w:sz w:val="18"/>
        </w:rPr>
        <w:t>.</w:t>
      </w:r>
    </w:p>
    <w:p w14:paraId="62C36564" w14:textId="77777777" w:rsidR="00DF6874" w:rsidRPr="00DF6874" w:rsidRDefault="00DF6874" w:rsidP="00DF6874">
      <w:pPr>
        <w:pStyle w:val="SingleTxtG"/>
      </w:pPr>
      <w:r w:rsidRPr="00DF6874">
        <w:t>55.</w:t>
      </w:r>
      <w:r w:rsidRPr="00DF6874">
        <w:tab/>
        <w:t>Подкомитет продолжает подчеркивать то, о чем он говорил в своем одиннадцатом ежегодном докладе</w:t>
      </w:r>
      <w:r w:rsidRPr="00DF6874">
        <w:rPr>
          <w:sz w:val="18"/>
          <w:vertAlign w:val="superscript"/>
        </w:rPr>
        <w:footnoteReference w:id="27"/>
      </w:r>
      <w:r w:rsidRPr="00DF6874">
        <w:rPr>
          <w:sz w:val="18"/>
        </w:rPr>
        <w:t>,</w:t>
      </w:r>
      <w:r w:rsidRPr="00DF6874">
        <w:t xml:space="preserve"> а именно: неспособность Подкомитета осуществлять не менее 12 посещений в год в соответствии с заявлением, принятым на его сорок шестой сессии</w:t>
      </w:r>
      <w:r w:rsidRPr="00DF6874">
        <w:rPr>
          <w:sz w:val="18"/>
          <w:vertAlign w:val="superscript"/>
        </w:rPr>
        <w:footnoteReference w:id="28"/>
      </w:r>
      <w:r w:rsidRPr="00DF6874">
        <w:rPr>
          <w:sz w:val="18"/>
        </w:rPr>
        <w:t>,</w:t>
      </w:r>
      <w:r w:rsidRPr="00DF6874">
        <w:t xml:space="preserve"> значительно снижает превентивное воздействие Факультативного протокола и подрывает инициативный характер создаваемой им системы предупреждения. Крайне важно, чтобы Подкомитету выделялись ресурсы, необходимые для того, чтобы он мог располагать соответствующим образом укомплектованным секретариатом и осуществлять программу посещений в полном объеме.</w:t>
      </w:r>
    </w:p>
    <w:p w14:paraId="7D159DA4" w14:textId="77777777" w:rsidR="00DF6874" w:rsidRPr="00DF6874" w:rsidRDefault="00DF6874" w:rsidP="00835EF3">
      <w:pPr>
        <w:pStyle w:val="H1G"/>
      </w:pPr>
      <w:r w:rsidRPr="00DF6874">
        <w:lastRenderedPageBreak/>
        <w:tab/>
      </w:r>
      <w:bookmarkStart w:id="72" w:name="_Toc130463497"/>
      <w:r w:rsidRPr="00DF6874">
        <w:t>B.</w:t>
      </w:r>
      <w:r w:rsidRPr="00DF6874">
        <w:tab/>
        <w:t>Продолжительность сессий</w:t>
      </w:r>
      <w:bookmarkStart w:id="73" w:name="_Toc97717830"/>
      <w:bookmarkStart w:id="74" w:name="_Toc97795009"/>
      <w:bookmarkEnd w:id="73"/>
      <w:bookmarkEnd w:id="74"/>
      <w:bookmarkEnd w:id="72"/>
    </w:p>
    <w:p w14:paraId="414DA77F" w14:textId="77777777" w:rsidR="00DF6874" w:rsidRPr="00DF6874" w:rsidRDefault="00DF6874" w:rsidP="00DF6874">
      <w:pPr>
        <w:pStyle w:val="SingleTxtG"/>
      </w:pPr>
      <w:r w:rsidRPr="00DF6874">
        <w:t>56.</w:t>
      </w:r>
      <w:r w:rsidRPr="00DF6874">
        <w:tab/>
        <w:t>Сорок шестая и сорок восьмая сессии длились по одной неделе. На сорок седьмой сессии Подкомитет впервые заседал в течение двух недель. Подкомитет постановил, что в 2023 году он также проведет одну двухнедельную сессию.</w:t>
      </w:r>
    </w:p>
    <w:p w14:paraId="5B1F83FC" w14:textId="7EE03A71" w:rsidR="00DF6874" w:rsidRPr="00DF6874" w:rsidRDefault="00DF6874" w:rsidP="00835EF3">
      <w:pPr>
        <w:pStyle w:val="HChG"/>
      </w:pPr>
      <w:r w:rsidRPr="00DF6874">
        <w:tab/>
      </w:r>
      <w:bookmarkStart w:id="75" w:name="_Toc130463498"/>
      <w:r w:rsidRPr="00DF6874">
        <w:t>V.</w:t>
      </w:r>
      <w:r w:rsidRPr="00DF6874">
        <w:tab/>
        <w:t>Задачи на будущее</w:t>
      </w:r>
      <w:bookmarkStart w:id="76" w:name="_Toc534899849"/>
      <w:bookmarkStart w:id="77" w:name="_Toc97717831"/>
      <w:bookmarkStart w:id="78" w:name="_Toc97795010"/>
      <w:bookmarkEnd w:id="76"/>
      <w:bookmarkEnd w:id="77"/>
      <w:bookmarkEnd w:id="78"/>
      <w:bookmarkEnd w:id="75"/>
    </w:p>
    <w:p w14:paraId="63173402" w14:textId="77777777" w:rsidR="00DF6874" w:rsidRPr="00DF6874" w:rsidRDefault="00DF6874" w:rsidP="00DF6874">
      <w:pPr>
        <w:pStyle w:val="SingleTxtG"/>
      </w:pPr>
      <w:bookmarkStart w:id="79" w:name="_Toc534899850"/>
      <w:r w:rsidRPr="00DF6874">
        <w:t>57.</w:t>
      </w:r>
      <w:r w:rsidRPr="00DF6874">
        <w:tab/>
        <w:t>Подкомитет составил свою программу посещений на 2023 год с расчетом на то, что новая волна пандемии не поставит ее выполнение под угрозу. Он отмечает, что меры, принятые в рамках протокола посещений Подкомитета и постоянного мониторинга пандемии в Женеве, позволили обеспечить, чтобы в посещениях не участвовали</w:t>
      </w:r>
      <w:r w:rsidRPr="00DF6874">
        <w:rPr>
          <w:b/>
          <w:bCs/>
        </w:rPr>
        <w:t xml:space="preserve"> </w:t>
      </w:r>
      <w:r w:rsidRPr="00DF6874">
        <w:t>члены с положительным результатом сданного перед запланированным посещением теста на COVID-19, что позволило избежать, за одним исключением, ситуаций, когда члены заболевали во время или вскоре после посещения той или иной страны. Поэтому Подкомитет с оптимизмом смотрит на перспективы осуществления запланированных мероприятий.</w:t>
      </w:r>
    </w:p>
    <w:p w14:paraId="0C332C49" w14:textId="77777777" w:rsidR="00DF6874" w:rsidRPr="00DF6874" w:rsidRDefault="00DF6874" w:rsidP="00DF6874">
      <w:pPr>
        <w:pStyle w:val="SingleTxtG"/>
      </w:pPr>
      <w:r w:rsidRPr="00DF6874">
        <w:t>58.</w:t>
      </w:r>
      <w:r w:rsidRPr="00DF6874">
        <w:tab/>
        <w:t xml:space="preserve">Подкомитет будет продолжать проводить свою информационно-разъяснительную кампанию в отношении COVID-19 в рамках своих обращений к государствам-участникам и национальным превентивным механизмам, уделяя особое внимание принятию мер защиты в отношении лиц, лишенных свободы, персонала учреждений и сотрудников национальных превентивных механизмов, посещающих такие учреждения. </w:t>
      </w:r>
    </w:p>
    <w:p w14:paraId="2236B427" w14:textId="77777777" w:rsidR="00DF6874" w:rsidRPr="00DF6874" w:rsidRDefault="00DF6874" w:rsidP="00DF6874">
      <w:pPr>
        <w:pStyle w:val="SingleTxtG"/>
      </w:pPr>
      <w:r w:rsidRPr="00DF6874">
        <w:t>59.</w:t>
      </w:r>
      <w:r w:rsidRPr="00DF6874">
        <w:tab/>
        <w:t>Посещение мест лишения свободы составляет основу Факультативного протокола. Поэтому Подкомитет не пожалеет усилий и будет использовать все возможные средства, чтобы выполнить свою программу посещений, несмотря на препятствия, вызванные нехваткой ресурсов или просьбами государств-участников приостановить посещения.</w:t>
      </w:r>
    </w:p>
    <w:p w14:paraId="27AA0886" w14:textId="77777777" w:rsidR="00DF6874" w:rsidRPr="00DF6874" w:rsidRDefault="00DF6874" w:rsidP="00DF6874">
      <w:pPr>
        <w:pStyle w:val="SingleTxtG"/>
      </w:pPr>
      <w:r w:rsidRPr="00DF6874">
        <w:t>60.</w:t>
      </w:r>
      <w:r w:rsidRPr="00DF6874">
        <w:tab/>
        <w:t>Неоднократно отмечалось, что посещения членами Подкомитета могут проводиться только в очном формате с личными беседами с лицами, лишенными свободы. Подкомитет весьма признателен национальным превентивным механизмам за их деятельность в области предупреждения пыток, поскольку ресурсы Подкомитета в настоящее время не позволяют ему проводить больше посещений.</w:t>
      </w:r>
    </w:p>
    <w:p w14:paraId="4115B3AD" w14:textId="2B7EBB4C" w:rsidR="00DF6874" w:rsidRPr="00DF6874" w:rsidRDefault="00DF6874" w:rsidP="00DF6874">
      <w:pPr>
        <w:pStyle w:val="SingleTxtG"/>
      </w:pPr>
      <w:r w:rsidRPr="00DF6874">
        <w:t>61.</w:t>
      </w:r>
      <w:r w:rsidRPr="00DF6874">
        <w:tab/>
        <w:t>Подкомитет активно участвует в текущем этапе процесса укрепления системы договорных органов. Он выступает за адаптацию процедур распределения ресурсов, чтобы получить возможность оказывать адекватную поддержку растущему числу государств-участников Факультативного протокола и существующим национальным превентивным механизмам. Цель состоит в том, чтобы следовать предсказуемому восьмилетнему циклу обзоров, рекомендованному в рамках этого процесса</w:t>
      </w:r>
      <w:r w:rsidRPr="00DF6874">
        <w:rPr>
          <w:sz w:val="18"/>
          <w:vertAlign w:val="superscript"/>
        </w:rPr>
        <w:footnoteReference w:id="29"/>
      </w:r>
      <w:r w:rsidRPr="00DF6874">
        <w:rPr>
          <w:sz w:val="18"/>
        </w:rPr>
        <w:t>.</w:t>
      </w:r>
      <w:r w:rsidRPr="00DF6874">
        <w:t xml:space="preserve"> Председатели других договорных органов приветствовали заявление Подкомитета о процессе обзора 2020 года</w:t>
      </w:r>
      <w:r w:rsidRPr="00DF6874">
        <w:rPr>
          <w:sz w:val="18"/>
          <w:vertAlign w:val="superscript"/>
        </w:rPr>
        <w:footnoteReference w:id="30"/>
      </w:r>
      <w:r w:rsidRPr="00DF6874">
        <w:rPr>
          <w:sz w:val="18"/>
        </w:rPr>
        <w:t>,</w:t>
      </w:r>
      <w:r w:rsidRPr="00DF6874">
        <w:t xml:space="preserve"> и для нового бюджетного цикла, начинающегося в 2024</w:t>
      </w:r>
      <w:r w:rsidR="00835EF3">
        <w:t> </w:t>
      </w:r>
      <w:r w:rsidRPr="00DF6874">
        <w:t>году, были внесены необходимые изменения с целью адаптации процедуры распределения средств. Члены Подкомитета должны лоббировать выделение государствами-участниками необходимых средств для укрепления деятельности Подкомитета, предусмотренной в рамках новой системы.</w:t>
      </w:r>
    </w:p>
    <w:p w14:paraId="789ADA1F" w14:textId="43095D4F" w:rsidR="00DF6874" w:rsidRPr="00DF6874" w:rsidRDefault="00DF6874" w:rsidP="00DF6874">
      <w:pPr>
        <w:pStyle w:val="SingleTxtG"/>
      </w:pPr>
      <w:bookmarkStart w:id="80" w:name="_Hlk128585186"/>
      <w:r w:rsidRPr="00DF6874">
        <w:t>62.</w:t>
      </w:r>
      <w:r w:rsidRPr="00DF6874">
        <w:tab/>
        <w:t>Подводя итоги создания и функционирования национальных превентивных механизмов, Подкомитет вновь заявил о необходимости получения адекватной и актуальной информации о реальном создании любого национального превентивного механизма, который должен принять форму, как минимум, правового документа. В</w:t>
      </w:r>
      <w:r w:rsidR="00835EF3">
        <w:t> </w:t>
      </w:r>
      <w:r w:rsidRPr="00DF6874">
        <w:t xml:space="preserve">Руководящих принципах, касающихся национальных превентивных механизмов, Подкомитет уточняет, что мандат и полномочия национального превентивного механизма должны быть четко изложены в конституционном или законодательном </w:t>
      </w:r>
      <w:r w:rsidRPr="00DF6874">
        <w:lastRenderedPageBreak/>
        <w:t>акте</w:t>
      </w:r>
      <w:r w:rsidRPr="00DF6874">
        <w:rPr>
          <w:sz w:val="18"/>
          <w:vertAlign w:val="superscript"/>
        </w:rPr>
        <w:footnoteReference w:id="31"/>
      </w:r>
      <w:r w:rsidRPr="00DF6874">
        <w:rPr>
          <w:sz w:val="18"/>
        </w:rPr>
        <w:t>.</w:t>
      </w:r>
      <w:r w:rsidRPr="00DF6874">
        <w:t xml:space="preserve"> Однако, учитывая трудности, с которыми сталкиваются государства-участники при достижении этой цели в некоторых контекстах, Подкомитет постановил уточнить свой подход и принимать для этой цели любой письменный правовой документ в форме законодательного или любого другого нормативно-правового акта. Подкомитет обобщит эту практику в 2023 году, чтобы использование вербальных нот, не подкрепленных соответствующими нормативно-правовыми актами, не стало укоренившейся практикой, с помощью которой государства-участники могли бы обходить свои обязательства по Факультативному протоколу или игнорировать утвержденные Подкомитетом руководящие принципы. Создание национальных превентивных механизмов не должно открывать двери для организаций, преследующих иные цели или чья работа по предупреждению пыток отодвигается на второй план.</w:t>
      </w:r>
    </w:p>
    <w:bookmarkEnd w:id="80"/>
    <w:p w14:paraId="67AED524" w14:textId="77777777" w:rsidR="00DF6874" w:rsidRPr="00DF6874" w:rsidRDefault="00DF6874" w:rsidP="00DF6874">
      <w:pPr>
        <w:pStyle w:val="SingleTxtG"/>
      </w:pPr>
      <w:r w:rsidRPr="00DF6874">
        <w:t>63.</w:t>
      </w:r>
      <w:r w:rsidRPr="00DF6874">
        <w:tab/>
        <w:t>Вышеперечисленные задачи указывают на то, что Подкомитет должен укреплять свои связи с государствами-участниками и национальными превентивными механизмами. Он должен функционировать в рамках процесса диалога и политики открытости по отношению к этим структурам, не пренебрегая вкладом неправительственных организаций, с которыми Подкомитет поддерживает давно налаженные или выстраивает новые отношения.</w:t>
      </w:r>
    </w:p>
    <w:p w14:paraId="3933A5EA" w14:textId="77777777" w:rsidR="00DF6874" w:rsidRPr="00DF6874" w:rsidRDefault="00DF6874" w:rsidP="00DF6874">
      <w:pPr>
        <w:pStyle w:val="SingleTxtG"/>
      </w:pPr>
      <w:r w:rsidRPr="00DF6874">
        <w:t>64.</w:t>
      </w:r>
      <w:r w:rsidRPr="00DF6874">
        <w:tab/>
        <w:t xml:space="preserve">Совместное празднование годовщин Факультативного протокола и Подкомитета является подходящим моментом для того, чтобы напомнить об основополагающих принципах сотрудничества и важности укрепления связей. Это также время напомнить о необходимости того, чтобы государства-участники выполняли свои финансовые обязательства перед Организацией Объединенных Наций и оказывали поддержку путем внесения взносов в Специальный фонд, созданный в соответствии с Факультативным протоколом. </w:t>
      </w:r>
    </w:p>
    <w:p w14:paraId="0D70C1B3" w14:textId="77777777" w:rsidR="00DF6874" w:rsidRPr="00DF6874" w:rsidRDefault="00DF6874" w:rsidP="00835EF3">
      <w:pPr>
        <w:pStyle w:val="HChG"/>
      </w:pPr>
      <w:r w:rsidRPr="00DF6874">
        <w:tab/>
      </w:r>
      <w:bookmarkStart w:id="81" w:name="_Toc130463499"/>
      <w:r w:rsidRPr="00DF6874">
        <w:t>VI.</w:t>
      </w:r>
      <w:r w:rsidRPr="00DF6874">
        <w:tab/>
        <w:t>План работы</w:t>
      </w:r>
      <w:bookmarkStart w:id="82" w:name="_Toc97717832"/>
      <w:bookmarkStart w:id="83" w:name="_Toc97795011"/>
      <w:bookmarkEnd w:id="79"/>
      <w:bookmarkEnd w:id="82"/>
      <w:bookmarkEnd w:id="83"/>
      <w:bookmarkEnd w:id="81"/>
    </w:p>
    <w:p w14:paraId="39C3B2A4" w14:textId="77777777" w:rsidR="00DF6874" w:rsidRPr="00DF6874" w:rsidRDefault="00DF6874" w:rsidP="00DF6874">
      <w:pPr>
        <w:pStyle w:val="SingleTxtG"/>
      </w:pPr>
      <w:r w:rsidRPr="00DF6874">
        <w:t>65.</w:t>
      </w:r>
      <w:r w:rsidRPr="00DF6874">
        <w:tab/>
        <w:t>Подкомитет составил график посещений на 2023 год. Посещения предусматриваются в соответствии со стандартами, которых придерживается Подкомитет в отношении неукоснительного соблюдения принципов своей работы и учета потребностей государств-участников и национальных превентивных механизмов, в духе сотрудничества с государствами-участниками и национальными превентивными механизмами и между ними.</w:t>
      </w:r>
    </w:p>
    <w:p w14:paraId="23A9036A" w14:textId="77777777" w:rsidR="00DF6874" w:rsidRPr="00DF6874" w:rsidRDefault="00DF6874" w:rsidP="00DF6874">
      <w:pPr>
        <w:pStyle w:val="SingleTxtG"/>
      </w:pPr>
      <w:r w:rsidRPr="00DF6874">
        <w:t>66.</w:t>
      </w:r>
      <w:r w:rsidRPr="00DF6874">
        <w:tab/>
        <w:t>Подкомитет воспользуется возможностью в контексте мероприятия, посвященного его годовщине и годовщине Факультативного протокола, чтобы напомнить о принципах предупреждения пыток. Он также будет укреплять свои отношения сотрудничества с государствами-участниками; с государствами в контексте инициативы, призванной побудить государства, которые еще не сделали этого, подписать и ратифицировать Факультативный протокол; с национальными превентивными механизмами; и с неправительственными организациями, работающими на местах.</w:t>
      </w:r>
    </w:p>
    <w:p w14:paraId="25F4B813" w14:textId="77777777" w:rsidR="00DF6874" w:rsidRPr="00DF6874" w:rsidRDefault="00DF6874" w:rsidP="00DF6874">
      <w:pPr>
        <w:pStyle w:val="SingleTxtG"/>
      </w:pPr>
      <w:r w:rsidRPr="00DF6874">
        <w:t>67.</w:t>
      </w:r>
      <w:r w:rsidRPr="00DF6874">
        <w:tab/>
        <w:t>Подкомитет сохранит практику участия своих членов, уполномоченных его Бюро, в мероприятиях, связанных с мандатом, который возложен на него Факультативным протоколом. Такие мероприятия могут включать инструктаж наблюдателей, участие в конференциях по передовой практике или мероприятиях, касающихся процедур ратификации Факультативного протокола.</w:t>
      </w:r>
    </w:p>
    <w:p w14:paraId="38467E14" w14:textId="77777777" w:rsidR="00DF6874" w:rsidRPr="00DF6874" w:rsidRDefault="00DF6874" w:rsidP="00DF6874">
      <w:pPr>
        <w:pStyle w:val="SingleTxtG"/>
      </w:pPr>
      <w:r w:rsidRPr="00DF6874">
        <w:br w:type="page"/>
      </w:r>
      <w:bookmarkStart w:id="84" w:name="_Hlk129708310"/>
    </w:p>
    <w:p w14:paraId="035FA28E" w14:textId="77777777" w:rsidR="00DF6874" w:rsidRPr="00DF6874" w:rsidRDefault="00DF6874" w:rsidP="00835EF3">
      <w:pPr>
        <w:pStyle w:val="HChG"/>
      </w:pPr>
      <w:bookmarkStart w:id="85" w:name="_Hlk128573234"/>
      <w:r w:rsidRPr="00DF6874">
        <w:lastRenderedPageBreak/>
        <w:tab/>
      </w:r>
      <w:bookmarkStart w:id="86" w:name="_Toc130463500"/>
      <w:r w:rsidRPr="00DF6874">
        <w:t>Приложение</w:t>
      </w:r>
      <w:bookmarkEnd w:id="86"/>
    </w:p>
    <w:p w14:paraId="06EBDA89" w14:textId="0E9A4210" w:rsidR="00DF6874" w:rsidRPr="00DF6874" w:rsidRDefault="00DF6874" w:rsidP="00835EF3">
      <w:pPr>
        <w:pStyle w:val="HChG"/>
      </w:pPr>
      <w:r w:rsidRPr="00DF6874">
        <w:tab/>
      </w:r>
      <w:r w:rsidRPr="00DF6874">
        <w:tab/>
      </w:r>
      <w:bookmarkStart w:id="87" w:name="_Toc130463501"/>
      <w:r w:rsidRPr="00DF6874">
        <w:t>Заявление Подкомитета по предупреждению пыток и</w:t>
      </w:r>
      <w:r w:rsidR="00835EF3">
        <w:t> </w:t>
      </w:r>
      <w:r w:rsidRPr="00DF6874">
        <w:t>других жестоких, бесчеловечных или унижающих достоинство видов обращения и наказания в отношении новой редакции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bookmarkEnd w:id="87"/>
    </w:p>
    <w:p w14:paraId="212B6F0C" w14:textId="77777777" w:rsidR="00DF6874" w:rsidRPr="00DF6874" w:rsidRDefault="00DF6874" w:rsidP="00835EF3">
      <w:pPr>
        <w:pStyle w:val="H1G"/>
      </w:pPr>
      <w:r w:rsidRPr="00DF6874">
        <w:tab/>
      </w:r>
      <w:r w:rsidRPr="00DF6874">
        <w:tab/>
      </w:r>
      <w:bookmarkStart w:id="88" w:name="_Toc130463502"/>
      <w:r w:rsidRPr="00DF6874">
        <w:t>Введение</w:t>
      </w:r>
      <w:bookmarkEnd w:id="88"/>
    </w:p>
    <w:p w14:paraId="1A4FD875" w14:textId="77777777" w:rsidR="00DF6874" w:rsidRPr="00DF6874" w:rsidRDefault="00DF6874" w:rsidP="00DF6874">
      <w:pPr>
        <w:pStyle w:val="SingleTxtG"/>
      </w:pPr>
      <w:r w:rsidRPr="00DF6874">
        <w:t>1.</w:t>
      </w:r>
      <w:r w:rsidRPr="00DF6874">
        <w:tab/>
        <w:t xml:space="preserve">В 2001 году Управление Верховного комиссара Организации Объединенных Наций по правам человека (УВКПЧ) опубликовало первое издание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которое впоследствии было обновлено в 2004 году. С тех пор он используется в медико-юридических и иных контекстах по всему миру как ценный практический инструмент для эффективного руководства расследованием и документированием пыток и жестокого обращения; защиты жертв; и </w:t>
      </w:r>
      <w:proofErr w:type="spellStart"/>
      <w:r w:rsidRPr="00DF6874">
        <w:t>праворазъяснительной</w:t>
      </w:r>
      <w:proofErr w:type="spellEnd"/>
      <w:r w:rsidRPr="00DF6874">
        <w:t xml:space="preserve"> работы гражданского общества от имени жертв. Дополненный текст в новой редакции, составленный по результатам консультаций с участием более 180 участников из 51 страны, был представлен в июне 2022 года. </w:t>
      </w:r>
    </w:p>
    <w:p w14:paraId="042FC3B8" w14:textId="76329433" w:rsidR="00DF6874" w:rsidRPr="00DF6874" w:rsidRDefault="00DF6874" w:rsidP="00DF6874">
      <w:pPr>
        <w:pStyle w:val="SingleTxtG"/>
      </w:pPr>
      <w:r w:rsidRPr="00DF6874">
        <w:t>2.</w:t>
      </w:r>
      <w:r w:rsidRPr="00DF6874">
        <w:tab/>
        <w:t>Подкомитет по предупреждению пыток и других жестоких, бесчеловечных или унижающих достоинство видов обращения и наказания внес свой вклад в процесс обновления и вошел в состав редакционного комитета вместе с тремя другими механизмами Организации Объединенных Наций по борьбе с пытками (Комитет против пыток, Специальный докладчик по вопросу о пытках и других жестоких, бесчеловечных или унижающих достоинство видах обращения и наказания и Фонд добровольных взносов Организации Объединенных Наций для жертв пыток) и представителями четырех организаций гражданского общества (</w:t>
      </w:r>
      <w:r w:rsidR="00835EF3">
        <w:t>«</w:t>
      </w:r>
      <w:r w:rsidRPr="00DF6874">
        <w:t>Врачи за права человека</w:t>
      </w:r>
      <w:r w:rsidR="00835EF3">
        <w:t>»</w:t>
      </w:r>
      <w:r w:rsidRPr="00DF6874">
        <w:t xml:space="preserve">, Международный совет по реабилитации жертв пыток, Фонд прав человека Турции и </w:t>
      </w:r>
      <w:r w:rsidR="00835EF3">
        <w:t>«</w:t>
      </w:r>
      <w:proofErr w:type="spellStart"/>
      <w:r w:rsidRPr="00DF6874">
        <w:t>Редресс</w:t>
      </w:r>
      <w:proofErr w:type="spellEnd"/>
      <w:r w:rsidRPr="00DF6874">
        <w:t xml:space="preserve"> траст</w:t>
      </w:r>
      <w:r w:rsidR="00835EF3">
        <w:t>»</w:t>
      </w:r>
      <w:r w:rsidRPr="00DF6874">
        <w:t xml:space="preserve">). </w:t>
      </w:r>
    </w:p>
    <w:p w14:paraId="37741AB3" w14:textId="77777777" w:rsidR="00DF6874" w:rsidRPr="00DF6874" w:rsidRDefault="00DF6874" w:rsidP="00835EF3">
      <w:pPr>
        <w:pStyle w:val="H1G"/>
      </w:pPr>
      <w:r w:rsidRPr="00DF6874">
        <w:tab/>
      </w:r>
      <w:r w:rsidRPr="00DF6874">
        <w:tab/>
      </w:r>
      <w:bookmarkStart w:id="89" w:name="_Toc130463503"/>
      <w:r w:rsidRPr="00DF6874">
        <w:t>Содержание Стамбульского протокола в новой редакции</w:t>
      </w:r>
      <w:bookmarkEnd w:id="89"/>
    </w:p>
    <w:p w14:paraId="7C3108FC" w14:textId="77777777" w:rsidR="00DF6874" w:rsidRPr="00DF6874" w:rsidRDefault="00DF6874" w:rsidP="00DF6874">
      <w:pPr>
        <w:pStyle w:val="SingleTxtG"/>
      </w:pPr>
      <w:r w:rsidRPr="00DF6874">
        <w:t>3.</w:t>
      </w:r>
      <w:r w:rsidRPr="00DF6874">
        <w:tab/>
        <w:t>Новая редакция Стамбульского протокола отражает достижения в глобальном понимании практики и последствий пыток и жестокого обращения, а также практический опыт, накопленный за последние 20 лет. В дополнение к обновлению шести первоначальных глав версия 2022 года включает две новые главы, в которых содержатся руководящие принципы, касающиеся роли медицинских работников в различных контекстах, в которых может потребоваться документирование пыток (глава VII), и руководящие принципы, касающиеся условий, необходимых для эффективного осуществления Стамбульского протокола государствами (глава VIII).</w:t>
      </w:r>
    </w:p>
    <w:p w14:paraId="0032A216" w14:textId="77777777" w:rsidR="00DF6874" w:rsidRPr="00DF6874" w:rsidRDefault="00DF6874" w:rsidP="00835EF3">
      <w:pPr>
        <w:pStyle w:val="H1G"/>
      </w:pPr>
      <w:r w:rsidRPr="00DF6874">
        <w:tab/>
      </w:r>
      <w:r w:rsidRPr="00DF6874">
        <w:tab/>
      </w:r>
      <w:bookmarkStart w:id="90" w:name="_Toc130463504"/>
      <w:r w:rsidRPr="00DF6874">
        <w:t>Документирование и предотвращение пыток</w:t>
      </w:r>
      <w:bookmarkEnd w:id="90"/>
    </w:p>
    <w:p w14:paraId="3180E742" w14:textId="52F673D9" w:rsidR="00DF6874" w:rsidRPr="00DF6874" w:rsidRDefault="00DF6874" w:rsidP="00DF6874">
      <w:pPr>
        <w:pStyle w:val="SingleTxtG"/>
      </w:pPr>
      <w:r w:rsidRPr="00DF6874">
        <w:t>4.</w:t>
      </w:r>
      <w:r w:rsidRPr="00DF6874">
        <w:tab/>
        <w:t>Международное право требует, чтобы жертвам пыток и жестокого обращения были предоставлены средства правовой защиты и обеспечено возмещение ущерба; в</w:t>
      </w:r>
      <w:r w:rsidR="00177DB1">
        <w:t> </w:t>
      </w:r>
      <w:r w:rsidRPr="00DF6874">
        <w:t xml:space="preserve">этой связи для гарантирования этих прав первостепенное значение имеет надлежащее документирование фактов пыток. Однако важность надлежащего документирования фактов пыток и жестокого обращения выходит за эти рамки. Адекватное документирование пыток также позволяет государствам-участникам лучше понять, что происходит в их юрисдикциях. Такие обобщенные сведения, в том </w:t>
      </w:r>
      <w:r w:rsidRPr="00DF6874">
        <w:lastRenderedPageBreak/>
        <w:t xml:space="preserve">числе о часто применяемых методах пыток, ситуациях, в которых применяются пытки, типичных исполнителях и группах населения, подверженных риску, являются необходимой основой для разработки индивидуализированных превентивных программ. </w:t>
      </w:r>
    </w:p>
    <w:p w14:paraId="39348A79" w14:textId="77777777" w:rsidR="00DF6874" w:rsidRPr="00DF6874" w:rsidRDefault="00DF6874" w:rsidP="00DF6874">
      <w:pPr>
        <w:pStyle w:val="SingleTxtG"/>
      </w:pPr>
      <w:r w:rsidRPr="00DF6874">
        <w:t>5.</w:t>
      </w:r>
      <w:r w:rsidRPr="00DF6874">
        <w:tab/>
        <w:t xml:space="preserve">Стамбульский протокол предоставляет средства для обеспечения систематического, последовательного и основанного на фактах описания каждой формы жестокого обращения и пыток. Он также обеспечивает применение системного подхода к оценке соответствия между распространяемым нарративом и клиническими результатами, что позволяет государствам проводить необходимый анализ и использовать данные в превентивных целях. </w:t>
      </w:r>
    </w:p>
    <w:p w14:paraId="2FB10E5D" w14:textId="77777777" w:rsidR="00DF6874" w:rsidRPr="00DF6874" w:rsidRDefault="00DF6874" w:rsidP="00835EF3">
      <w:pPr>
        <w:pStyle w:val="H1G"/>
      </w:pPr>
      <w:r w:rsidRPr="00DF6874">
        <w:tab/>
      </w:r>
      <w:r w:rsidRPr="00DF6874">
        <w:tab/>
      </w:r>
      <w:bookmarkStart w:id="91" w:name="_Toc130463505"/>
      <w:r w:rsidRPr="00DF6874">
        <w:t>Подкомитет и Стамбульский протокол</w:t>
      </w:r>
      <w:bookmarkEnd w:id="91"/>
    </w:p>
    <w:p w14:paraId="3680C76C" w14:textId="1BDAFE1A" w:rsidR="00DF6874" w:rsidRPr="00DF6874" w:rsidRDefault="00DF6874" w:rsidP="00DF6874">
      <w:pPr>
        <w:pStyle w:val="SingleTxtG"/>
      </w:pPr>
      <w:r w:rsidRPr="00DF6874">
        <w:t>6.</w:t>
      </w:r>
      <w:r w:rsidRPr="00DF6874">
        <w:tab/>
        <w:t>На протяжении всех лет своей работы и в ходе многочисленных посещений Подкомитет рекомендовал государствам</w:t>
      </w:r>
      <w:r w:rsidR="00177DB1">
        <w:t> — </w:t>
      </w:r>
      <w:r w:rsidRPr="00DF6874">
        <w:t>участникам Факультативного протокола к Конвенции против пыток и других жестоких, бесчеловечных или унижающих достоинство видов обращения и наказания на систематической основе использовать Стамбульский протокол, учитывая его влияние на предупреждение жестокого обращения и пыток. Подкомитет подчеркивает важность создания систем, позволяющих передавать информацию прокурору и другим соответствующим органам, а также проводить оперативные, тщательные и исчерпывающие расследования, если есть основания подозревать, что то или иное лицо подверглось пыткам или жестокому обращению. Такие освидетельствования должны проводиться квалифицированными судмедэкспертами и психологами, независимость и беспристрастность которых гарантированы. Кроме того, Подкомитет рекомендовал регулярно знакомить с положениями Стамбульского протокола всех медицинских работников и юристов, работающих с лишенными свободы лицами, а также тех, кто уполномочен осуществлять мониторинг мест лишения свободы. Подкомитет также призывает к популяризации и широкому распространению содержания Стамбульского протокола и к обмену информацией о передовой практике.</w:t>
      </w:r>
    </w:p>
    <w:p w14:paraId="056F5893" w14:textId="77777777" w:rsidR="00DF6874" w:rsidRPr="00DF6874" w:rsidRDefault="00DF6874" w:rsidP="00835EF3">
      <w:pPr>
        <w:pStyle w:val="H1G"/>
      </w:pPr>
      <w:r w:rsidRPr="00DF6874">
        <w:tab/>
      </w:r>
      <w:r w:rsidRPr="00DF6874">
        <w:tab/>
      </w:r>
      <w:bookmarkStart w:id="92" w:name="_Toc130463506"/>
      <w:r w:rsidRPr="00DF6874">
        <w:t>Заключительные замечания</w:t>
      </w:r>
      <w:bookmarkEnd w:id="92"/>
    </w:p>
    <w:p w14:paraId="1BA5A6D1" w14:textId="77777777" w:rsidR="00DF6874" w:rsidRPr="00DF6874" w:rsidRDefault="00DF6874" w:rsidP="00DF6874">
      <w:pPr>
        <w:pStyle w:val="SingleTxtG"/>
      </w:pPr>
      <w:r w:rsidRPr="00DF6874">
        <w:t>7.</w:t>
      </w:r>
      <w:r w:rsidRPr="00DF6874">
        <w:tab/>
        <w:t>Подкомитет повторяет свою рекомендацию в адрес всех государств, являющихся участниками Факультативного протокола, ввести в действие и расширить использование Стамбульского протокола, эффективное осуществление которого зависит от многих субъектов. Все различные заинтересованные стороны должны быть ознакомлены с процедурами реализации Стамбульского протокола и охвачены ими. Его систематическое использование поможет обеспечить права отдельных жертв; оказать содействие в привлечении виновных к ответственности, что тем самым будет являться сильным сдерживающим фактором; и будет служить прочной основой для усилий по предупреждению пыток. Поэтому Подкомитет считает Стамбульский протокол одним из важнейших руководств, способствующих достижению главной цели Факультативного протокола — предупреждение пыток.</w:t>
      </w:r>
    </w:p>
    <w:p w14:paraId="3CFD683B" w14:textId="77777777" w:rsidR="00DF6874" w:rsidRPr="00DF6874" w:rsidRDefault="00DF6874" w:rsidP="00DF6874">
      <w:pPr>
        <w:pStyle w:val="SingleTxtG"/>
      </w:pPr>
      <w:r w:rsidRPr="00DF6874">
        <w:t>8.</w:t>
      </w:r>
      <w:r w:rsidRPr="00DF6874">
        <w:tab/>
        <w:t xml:space="preserve">Новая редакция Стамбульского протокола предоставляет пользователям самую последнюю информацию о соответствующих международно-правовых нормах и стандартах, кодексах этики, юридическом расследовании пыток и жестокого обращения, общих соображениях, которые нужно учитывать при проведении опросов и сборе физических и психологических доказательств применения пыток и жестокого обращения. Кроме того, новые главы содержат ценную информацию для национальных превентивных механизмов и других заинтересованных сторон о роли медицинских работников в документировании фактов пыток и жестокого обращения в различных контекстах, а также рекомендации по применению Стамбульского протокола. </w:t>
      </w:r>
    </w:p>
    <w:p w14:paraId="60948423" w14:textId="77777777" w:rsidR="00DF6874" w:rsidRPr="00DF6874" w:rsidRDefault="00DF6874" w:rsidP="00177DB1">
      <w:pPr>
        <w:pStyle w:val="SingleTxtG"/>
        <w:keepLines/>
      </w:pPr>
      <w:r w:rsidRPr="00DF6874">
        <w:lastRenderedPageBreak/>
        <w:t>9.</w:t>
      </w:r>
      <w:r w:rsidRPr="00DF6874">
        <w:tab/>
        <w:t xml:space="preserve">Подкомитет подчеркивает существенную роль национальных превентивных механизмов в отношении Стамбульского протокола и важность обеспечения реального ознакомления представителей таких механизмов с положениями Стамбульского протокола. Хотя углубленное документирование фактов пыток не является основной задачей национальных превентивных механизмов, они в состоянии замечать признаки жестокого обращения и передавать анонимно информацию, тем самым предотвращая причинение потенциального вреда другим лицам. Эти механизмы также имеют все возможности для передачи дел в соответствующие инстанции для целей обеспечения привлечения виновных к ответственности в рамках своих мандатов и должны стремиться к этому. Национальные превентивные механизмы могут быть эффективными партнерами в деле уточнения и/или определения процедур передачи дел между заинтересованными сторонами. Кроме того, национальным превентивным механизмам следует контролировать выполнение Стамбульского протокола и его положений, включая соответствующие нормативно-правовые рамки, политику и практику. </w:t>
      </w:r>
    </w:p>
    <w:p w14:paraId="3C9E115A" w14:textId="77777777" w:rsidR="00DF6874" w:rsidRPr="00DF6874" w:rsidRDefault="00DF6874" w:rsidP="00DF6874">
      <w:pPr>
        <w:pStyle w:val="SingleTxtG"/>
      </w:pPr>
      <w:r w:rsidRPr="00DF6874">
        <w:t>10.</w:t>
      </w:r>
      <w:r w:rsidRPr="00DF6874">
        <w:tab/>
        <w:t xml:space="preserve">Соблюдение стандартов Стамбульского протокола в новой редакции является важным шагом на пути к эффективному предотвращению пыток и жестокого обращения во всем мире. </w:t>
      </w:r>
      <w:bookmarkEnd w:id="85"/>
    </w:p>
    <w:bookmarkEnd w:id="84"/>
    <w:p w14:paraId="1626454A" w14:textId="65C4554C" w:rsidR="00381C24" w:rsidRPr="00DF6874" w:rsidRDefault="00DF6874" w:rsidP="00DF6874">
      <w:pPr>
        <w:pStyle w:val="SingleTxtG"/>
        <w:spacing w:before="240" w:after="0"/>
        <w:jc w:val="center"/>
        <w:rPr>
          <w:u w:val="single"/>
        </w:rPr>
      </w:pPr>
      <w:r>
        <w:rPr>
          <w:u w:val="single"/>
        </w:rPr>
        <w:tab/>
      </w:r>
      <w:r>
        <w:rPr>
          <w:u w:val="single"/>
        </w:rPr>
        <w:tab/>
      </w:r>
      <w:r>
        <w:rPr>
          <w:u w:val="single"/>
        </w:rPr>
        <w:tab/>
      </w:r>
    </w:p>
    <w:sectPr w:rsidR="00381C24" w:rsidRPr="00DF6874" w:rsidSect="00DF687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96277" w14:textId="77777777" w:rsidR="00A4609A" w:rsidRPr="00A312BC" w:rsidRDefault="00A4609A" w:rsidP="00A312BC"/>
  </w:endnote>
  <w:endnote w:type="continuationSeparator" w:id="0">
    <w:p w14:paraId="08BE8AB6" w14:textId="77777777" w:rsidR="00A4609A" w:rsidRPr="00A312BC" w:rsidRDefault="00A4609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F15B2" w14:textId="5B913C69" w:rsidR="00DF6874" w:rsidRPr="00DF6874" w:rsidRDefault="00DF6874">
    <w:pPr>
      <w:pStyle w:val="a8"/>
    </w:pPr>
    <w:r w:rsidRPr="00DF6874">
      <w:rPr>
        <w:b/>
        <w:sz w:val="18"/>
      </w:rPr>
      <w:fldChar w:fldCharType="begin"/>
    </w:r>
    <w:r w:rsidRPr="00DF6874">
      <w:rPr>
        <w:b/>
        <w:sz w:val="18"/>
      </w:rPr>
      <w:instrText xml:space="preserve"> PAGE  \* MERGEFORMAT </w:instrText>
    </w:r>
    <w:r w:rsidRPr="00DF6874">
      <w:rPr>
        <w:b/>
        <w:sz w:val="18"/>
      </w:rPr>
      <w:fldChar w:fldCharType="separate"/>
    </w:r>
    <w:r w:rsidRPr="00DF6874">
      <w:rPr>
        <w:b/>
        <w:noProof/>
        <w:sz w:val="18"/>
      </w:rPr>
      <w:t>2</w:t>
    </w:r>
    <w:r w:rsidRPr="00DF6874">
      <w:rPr>
        <w:b/>
        <w:sz w:val="18"/>
      </w:rPr>
      <w:fldChar w:fldCharType="end"/>
    </w:r>
    <w:r>
      <w:rPr>
        <w:b/>
        <w:sz w:val="18"/>
      </w:rPr>
      <w:tab/>
    </w:r>
    <w:r>
      <w:t>GE.23-03988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DC66" w14:textId="5E929ED0" w:rsidR="00DF6874" w:rsidRPr="00DF6874" w:rsidRDefault="00DF6874" w:rsidP="00DF6874">
    <w:pPr>
      <w:pStyle w:val="a8"/>
      <w:tabs>
        <w:tab w:val="clear" w:pos="9639"/>
        <w:tab w:val="right" w:pos="9638"/>
      </w:tabs>
      <w:rPr>
        <w:b/>
        <w:sz w:val="18"/>
      </w:rPr>
    </w:pPr>
    <w:r>
      <w:t>GE.23-03988</w:t>
    </w:r>
    <w:r>
      <w:tab/>
    </w:r>
    <w:r w:rsidRPr="00DF6874">
      <w:rPr>
        <w:b/>
        <w:sz w:val="18"/>
      </w:rPr>
      <w:fldChar w:fldCharType="begin"/>
    </w:r>
    <w:r w:rsidRPr="00DF6874">
      <w:rPr>
        <w:b/>
        <w:sz w:val="18"/>
      </w:rPr>
      <w:instrText xml:space="preserve"> PAGE  \* MERGEFORMAT </w:instrText>
    </w:r>
    <w:r w:rsidRPr="00DF6874">
      <w:rPr>
        <w:b/>
        <w:sz w:val="18"/>
      </w:rPr>
      <w:fldChar w:fldCharType="separate"/>
    </w:r>
    <w:r w:rsidRPr="00DF6874">
      <w:rPr>
        <w:b/>
        <w:noProof/>
        <w:sz w:val="18"/>
      </w:rPr>
      <w:t>3</w:t>
    </w:r>
    <w:r w:rsidRPr="00DF68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7744E" w14:textId="4DB028D8" w:rsidR="00042B72" w:rsidRPr="00A85277" w:rsidRDefault="00DF6874" w:rsidP="00DF687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5D03A5D" wp14:editId="51AD892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23-03988</w:t>
    </w:r>
    <w:r w:rsidR="00104E9F">
      <w:t xml:space="preserve"> </w:t>
    </w:r>
    <w:r>
      <w:t>(R)</w:t>
    </w:r>
    <w:r>
      <w:rPr>
        <w:noProof/>
      </w:rPr>
      <w:drawing>
        <wp:anchor distT="0" distB="0" distL="114300" distR="114300" simplePos="0" relativeHeight="251659264" behindDoc="0" locked="0" layoutInCell="1" allowOverlap="1" wp14:anchorId="2D5BB1BA" wp14:editId="489A8D0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5277">
      <w:t xml:space="preserve">   </w:t>
    </w:r>
    <w:r w:rsidR="00A85277">
      <w:rPr>
        <w:lang w:val="en-US"/>
      </w:rPr>
      <w:t>210323   230323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660D8" w14:textId="77777777" w:rsidR="00A4609A" w:rsidRPr="001075E9" w:rsidRDefault="00A4609A" w:rsidP="001075E9">
      <w:pPr>
        <w:tabs>
          <w:tab w:val="right" w:pos="2155"/>
        </w:tabs>
        <w:spacing w:after="80" w:line="240" w:lineRule="auto"/>
        <w:ind w:left="680"/>
        <w:rPr>
          <w:u w:val="single"/>
        </w:rPr>
      </w:pPr>
      <w:r>
        <w:rPr>
          <w:u w:val="single"/>
        </w:rPr>
        <w:tab/>
      </w:r>
    </w:p>
  </w:footnote>
  <w:footnote w:type="continuationSeparator" w:id="0">
    <w:p w14:paraId="1B84B057" w14:textId="77777777" w:rsidR="00A4609A" w:rsidRDefault="00A4609A" w:rsidP="00407B78">
      <w:pPr>
        <w:tabs>
          <w:tab w:val="right" w:pos="2155"/>
        </w:tabs>
        <w:spacing w:after="80"/>
        <w:ind w:left="680"/>
        <w:rPr>
          <w:u w:val="single"/>
        </w:rPr>
      </w:pPr>
      <w:r>
        <w:rPr>
          <w:u w:val="single"/>
        </w:rPr>
        <w:tab/>
      </w:r>
    </w:p>
  </w:footnote>
  <w:footnote w:id="1">
    <w:p w14:paraId="170C6CFC" w14:textId="77777777" w:rsidR="00DF6874" w:rsidRPr="00B07C8A" w:rsidRDefault="00DF6874" w:rsidP="00DF6874">
      <w:pPr>
        <w:pStyle w:val="ad"/>
      </w:pPr>
      <w:r>
        <w:tab/>
      </w:r>
      <w:r w:rsidRPr="00DF6874">
        <w:rPr>
          <w:sz w:val="20"/>
        </w:rPr>
        <w:t>*</w:t>
      </w:r>
      <w:r>
        <w:tab/>
        <w:t>На основании достигнутой договоренности настоящий доклад издается позднее предусмотренного срока его публикации в связи с обстоятельствами, не зависящими от представляющей доклад стороны.</w:t>
      </w:r>
    </w:p>
  </w:footnote>
  <w:footnote w:id="2">
    <w:p w14:paraId="52BDB75E" w14:textId="17E5B756" w:rsidR="00DF6874" w:rsidRPr="00163EC5" w:rsidRDefault="00DF6874" w:rsidP="00DF6874">
      <w:pPr>
        <w:pStyle w:val="ad"/>
        <w:rPr>
          <w:lang w:val="en-US"/>
        </w:rPr>
      </w:pPr>
      <w:r>
        <w:tab/>
      </w:r>
      <w:r>
        <w:rPr>
          <w:rStyle w:val="aa"/>
        </w:rPr>
        <w:footnoteRef/>
      </w:r>
      <w:r w:rsidRPr="00545DD1">
        <w:tab/>
      </w:r>
      <w:r>
        <w:t>См</w:t>
      </w:r>
      <w:r w:rsidRPr="00545DD1">
        <w:t xml:space="preserve">. </w:t>
      </w:r>
      <w:hyperlink r:id="rId1" w:history="1">
        <w:r w:rsidRPr="008A51F2">
          <w:rPr>
            <w:rStyle w:val="af1"/>
            <w:lang w:val="en-US"/>
          </w:rPr>
          <w:t>https</w:t>
        </w:r>
        <w:r w:rsidRPr="00163EC5">
          <w:rPr>
            <w:rStyle w:val="af1"/>
            <w:lang w:val="en-US"/>
          </w:rPr>
          <w:t>://</w:t>
        </w:r>
        <w:r w:rsidRPr="008A51F2">
          <w:rPr>
            <w:rStyle w:val="af1"/>
            <w:lang w:val="en-US"/>
          </w:rPr>
          <w:t>treaties</w:t>
        </w:r>
        <w:r w:rsidRPr="00163EC5">
          <w:rPr>
            <w:rStyle w:val="af1"/>
            <w:lang w:val="en-US"/>
          </w:rPr>
          <w:t>.</w:t>
        </w:r>
        <w:r w:rsidRPr="008A51F2">
          <w:rPr>
            <w:rStyle w:val="af1"/>
            <w:lang w:val="en-US"/>
          </w:rPr>
          <w:t>un</w:t>
        </w:r>
        <w:r w:rsidRPr="00163EC5">
          <w:rPr>
            <w:rStyle w:val="af1"/>
            <w:lang w:val="en-US"/>
          </w:rPr>
          <w:t>.</w:t>
        </w:r>
        <w:r w:rsidRPr="008A51F2">
          <w:rPr>
            <w:rStyle w:val="af1"/>
            <w:lang w:val="en-US"/>
          </w:rPr>
          <w:t>org</w:t>
        </w:r>
        <w:r w:rsidRPr="00163EC5">
          <w:rPr>
            <w:rStyle w:val="af1"/>
            <w:lang w:val="en-US"/>
          </w:rPr>
          <w:t>/</w:t>
        </w:r>
        <w:r w:rsidRPr="008A51F2">
          <w:rPr>
            <w:rStyle w:val="af1"/>
            <w:lang w:val="en-US"/>
          </w:rPr>
          <w:t>Pages</w:t>
        </w:r>
        <w:r w:rsidRPr="00163EC5">
          <w:rPr>
            <w:rStyle w:val="af1"/>
            <w:lang w:val="en-US"/>
          </w:rPr>
          <w:t>/</w:t>
        </w:r>
        <w:r w:rsidRPr="008A51F2">
          <w:rPr>
            <w:rStyle w:val="af1"/>
            <w:lang w:val="en-US"/>
          </w:rPr>
          <w:t>ViewDetails</w:t>
        </w:r>
        <w:r w:rsidRPr="00163EC5">
          <w:rPr>
            <w:rStyle w:val="af1"/>
            <w:lang w:val="en-US"/>
          </w:rPr>
          <w:t>.</w:t>
        </w:r>
        <w:r w:rsidRPr="008A51F2">
          <w:rPr>
            <w:rStyle w:val="af1"/>
            <w:lang w:val="en-US"/>
          </w:rPr>
          <w:t>aspx</w:t>
        </w:r>
        <w:r w:rsidRPr="00163EC5">
          <w:rPr>
            <w:rStyle w:val="af1"/>
            <w:lang w:val="en-US"/>
          </w:rPr>
          <w:t>?</w:t>
        </w:r>
        <w:r w:rsidRPr="008A51F2">
          <w:rPr>
            <w:rStyle w:val="af1"/>
            <w:lang w:val="en-US"/>
          </w:rPr>
          <w:t>src</w:t>
        </w:r>
        <w:r w:rsidRPr="00163EC5">
          <w:rPr>
            <w:rStyle w:val="af1"/>
            <w:lang w:val="en-US"/>
          </w:rPr>
          <w:t>=</w:t>
        </w:r>
        <w:r w:rsidRPr="008A51F2">
          <w:rPr>
            <w:rStyle w:val="af1"/>
            <w:lang w:val="en-US"/>
          </w:rPr>
          <w:t>TREATY</w:t>
        </w:r>
        <w:r w:rsidRPr="00163EC5">
          <w:rPr>
            <w:rStyle w:val="af1"/>
            <w:lang w:val="en-US"/>
          </w:rPr>
          <w:t>&amp;</w:t>
        </w:r>
        <w:r w:rsidRPr="008A51F2">
          <w:rPr>
            <w:rStyle w:val="af1"/>
            <w:lang w:val="en-US"/>
          </w:rPr>
          <w:t>mtdsg</w:t>
        </w:r>
        <w:r w:rsidRPr="00163EC5">
          <w:rPr>
            <w:rStyle w:val="af1"/>
            <w:lang w:val="en-US"/>
          </w:rPr>
          <w:t>_</w:t>
        </w:r>
        <w:r w:rsidRPr="008A51F2">
          <w:rPr>
            <w:rStyle w:val="af1"/>
            <w:lang w:val="en-US"/>
          </w:rPr>
          <w:t>no</w:t>
        </w:r>
        <w:r w:rsidRPr="00163EC5">
          <w:rPr>
            <w:rStyle w:val="af1"/>
            <w:lang w:val="en-US"/>
          </w:rPr>
          <w:t>=</w:t>
        </w:r>
        <w:r w:rsidRPr="008A51F2">
          <w:rPr>
            <w:rStyle w:val="af1"/>
            <w:lang w:val="en-US"/>
          </w:rPr>
          <w:t>IV</w:t>
        </w:r>
        <w:r w:rsidRPr="00163EC5">
          <w:rPr>
            <w:rStyle w:val="af1"/>
            <w:lang w:val="en-US"/>
          </w:rPr>
          <w:t>-12&amp;</w:t>
        </w:r>
        <w:r w:rsidRPr="008A51F2">
          <w:rPr>
            <w:rStyle w:val="af1"/>
            <w:lang w:val="en-US"/>
          </w:rPr>
          <w:t>chapter</w:t>
        </w:r>
        <w:r w:rsidRPr="00163EC5">
          <w:rPr>
            <w:rStyle w:val="af1"/>
            <w:lang w:val="en-US"/>
          </w:rPr>
          <w:t>=4&amp;</w:t>
        </w:r>
        <w:r w:rsidRPr="008A51F2">
          <w:rPr>
            <w:rStyle w:val="af1"/>
            <w:lang w:val="en-US"/>
          </w:rPr>
          <w:t>clang</w:t>
        </w:r>
        <w:r w:rsidRPr="00163EC5">
          <w:rPr>
            <w:rStyle w:val="af1"/>
            <w:lang w:val="en-US"/>
          </w:rPr>
          <w:t>=_</w:t>
        </w:r>
        <w:r w:rsidRPr="008A51F2">
          <w:rPr>
            <w:rStyle w:val="af1"/>
            <w:lang w:val="en-US"/>
          </w:rPr>
          <w:t>en</w:t>
        </w:r>
      </w:hyperlink>
      <w:r w:rsidRPr="00163EC5">
        <w:rPr>
          <w:lang w:val="en-US"/>
        </w:rPr>
        <w:t>.</w:t>
      </w:r>
    </w:p>
  </w:footnote>
  <w:footnote w:id="3">
    <w:p w14:paraId="5330775A" w14:textId="4E0172A0" w:rsidR="00DF6874" w:rsidRPr="00B07C8A" w:rsidRDefault="00DF6874" w:rsidP="00DF6874">
      <w:pPr>
        <w:pStyle w:val="ad"/>
      </w:pPr>
      <w:r w:rsidRPr="00163EC5">
        <w:rPr>
          <w:lang w:val="en-US"/>
        </w:rPr>
        <w:tab/>
      </w:r>
      <w:r w:rsidRPr="00672EC1">
        <w:rPr>
          <w:rStyle w:val="aa"/>
        </w:rPr>
        <w:footnoteRef/>
      </w:r>
      <w:r>
        <w:tab/>
        <w:t xml:space="preserve">См. </w:t>
      </w:r>
      <w:hyperlink r:id="rId2" w:history="1">
        <w:r w:rsidR="00163EC5" w:rsidRPr="008A51F2">
          <w:rPr>
            <w:rStyle w:val="af1"/>
          </w:rPr>
          <w:t>https://www.ohchr.org/en/treaty-bodies/spt/membership</w:t>
        </w:r>
      </w:hyperlink>
      <w:r>
        <w:t>.</w:t>
      </w:r>
    </w:p>
  </w:footnote>
  <w:footnote w:id="4">
    <w:p w14:paraId="055F883F" w14:textId="2897533F" w:rsidR="00DF6874" w:rsidRPr="00163EC5" w:rsidRDefault="00DF6874" w:rsidP="00DF6874">
      <w:pPr>
        <w:pStyle w:val="ad"/>
        <w:rPr>
          <w:lang w:val="en-US"/>
        </w:rPr>
      </w:pPr>
      <w:r w:rsidRPr="006A3AC1">
        <w:tab/>
      </w:r>
      <w:r w:rsidRPr="00672EC1">
        <w:rPr>
          <w:rStyle w:val="aa"/>
        </w:rPr>
        <w:footnoteRef/>
      </w:r>
      <w:r w:rsidRPr="00545DD1">
        <w:tab/>
      </w:r>
      <w:r>
        <w:t>См</w:t>
      </w:r>
      <w:r w:rsidRPr="00545DD1">
        <w:t xml:space="preserve">. </w:t>
      </w:r>
      <w:hyperlink r:id="rId3" w:history="1">
        <w:r w:rsidRPr="008A51F2">
          <w:rPr>
            <w:rStyle w:val="af1"/>
            <w:lang w:val="en-US"/>
          </w:rPr>
          <w:t>https</w:t>
        </w:r>
        <w:r w:rsidRPr="00163EC5">
          <w:rPr>
            <w:rStyle w:val="af1"/>
            <w:lang w:val="en-US"/>
          </w:rPr>
          <w:t>://</w:t>
        </w:r>
        <w:r w:rsidRPr="008A51F2">
          <w:rPr>
            <w:rStyle w:val="af1"/>
            <w:lang w:val="en-US"/>
          </w:rPr>
          <w:t>www</w:t>
        </w:r>
        <w:r w:rsidRPr="00163EC5">
          <w:rPr>
            <w:rStyle w:val="af1"/>
            <w:lang w:val="en-US"/>
          </w:rPr>
          <w:t>.</w:t>
        </w:r>
        <w:r w:rsidRPr="008A51F2">
          <w:rPr>
            <w:rStyle w:val="af1"/>
            <w:lang w:val="en-US"/>
          </w:rPr>
          <w:t>ohchr</w:t>
        </w:r>
        <w:r w:rsidRPr="00163EC5">
          <w:rPr>
            <w:rStyle w:val="af1"/>
            <w:lang w:val="en-US"/>
          </w:rPr>
          <w:t>.</w:t>
        </w:r>
        <w:r w:rsidRPr="008A51F2">
          <w:rPr>
            <w:rStyle w:val="af1"/>
            <w:lang w:val="en-US"/>
          </w:rPr>
          <w:t>org</w:t>
        </w:r>
        <w:r w:rsidRPr="00163EC5">
          <w:rPr>
            <w:rStyle w:val="af1"/>
            <w:lang w:val="en-US"/>
          </w:rPr>
          <w:t>/</w:t>
        </w:r>
        <w:r w:rsidRPr="008A51F2">
          <w:rPr>
            <w:rStyle w:val="af1"/>
            <w:lang w:val="en-US"/>
          </w:rPr>
          <w:t>en</w:t>
        </w:r>
        <w:r w:rsidRPr="00163EC5">
          <w:rPr>
            <w:rStyle w:val="af1"/>
            <w:lang w:val="en-US"/>
          </w:rPr>
          <w:t>/</w:t>
        </w:r>
        <w:r w:rsidRPr="008A51F2">
          <w:rPr>
            <w:rStyle w:val="af1"/>
            <w:lang w:val="en-US"/>
          </w:rPr>
          <w:t>treaty</w:t>
        </w:r>
        <w:r w:rsidRPr="00163EC5">
          <w:rPr>
            <w:rStyle w:val="af1"/>
            <w:lang w:val="en-US"/>
          </w:rPr>
          <w:t>-</w:t>
        </w:r>
        <w:r w:rsidRPr="008A51F2">
          <w:rPr>
            <w:rStyle w:val="af1"/>
            <w:lang w:val="en-US"/>
          </w:rPr>
          <w:t>bodies</w:t>
        </w:r>
        <w:r w:rsidRPr="00163EC5">
          <w:rPr>
            <w:rStyle w:val="af1"/>
            <w:lang w:val="en-US"/>
          </w:rPr>
          <w:t>/</w:t>
        </w:r>
        <w:r w:rsidRPr="008A51F2">
          <w:rPr>
            <w:rStyle w:val="af1"/>
            <w:lang w:val="en-US"/>
          </w:rPr>
          <w:t>spt</w:t>
        </w:r>
        <w:r w:rsidRPr="00163EC5">
          <w:rPr>
            <w:rStyle w:val="af1"/>
            <w:lang w:val="en-US"/>
          </w:rPr>
          <w:t>/</w:t>
        </w:r>
        <w:r w:rsidRPr="008A51F2">
          <w:rPr>
            <w:rStyle w:val="af1"/>
            <w:lang w:val="en-US"/>
          </w:rPr>
          <w:t>regional</w:t>
        </w:r>
        <w:r w:rsidRPr="00163EC5">
          <w:rPr>
            <w:rStyle w:val="af1"/>
            <w:lang w:val="en-US"/>
          </w:rPr>
          <w:t>-</w:t>
        </w:r>
        <w:r w:rsidRPr="008A51F2">
          <w:rPr>
            <w:rStyle w:val="af1"/>
            <w:lang w:val="en-US"/>
          </w:rPr>
          <w:t>teams</w:t>
        </w:r>
      </w:hyperlink>
      <w:r w:rsidRPr="00163EC5">
        <w:rPr>
          <w:lang w:val="en-US"/>
        </w:rPr>
        <w:t>.</w:t>
      </w:r>
    </w:p>
  </w:footnote>
  <w:footnote w:id="5">
    <w:p w14:paraId="3CFA967A" w14:textId="4EFF4B2A" w:rsidR="00DF6874" w:rsidRPr="00B07C8A" w:rsidRDefault="00DF6874" w:rsidP="00DF6874">
      <w:pPr>
        <w:pStyle w:val="ad"/>
      </w:pPr>
      <w:r w:rsidRPr="00163EC5">
        <w:rPr>
          <w:lang w:val="en-US"/>
        </w:rPr>
        <w:tab/>
      </w:r>
      <w:r>
        <w:rPr>
          <w:rStyle w:val="aa"/>
        </w:rPr>
        <w:footnoteRef/>
      </w:r>
      <w:r>
        <w:tab/>
      </w:r>
      <w:hyperlink r:id="rId4" w:history="1">
        <w:r w:rsidRPr="00DF6874">
          <w:rPr>
            <w:rStyle w:val="af1"/>
          </w:rPr>
          <w:t>A/67/222</w:t>
        </w:r>
      </w:hyperlink>
      <w:r>
        <w:t xml:space="preserve"> и </w:t>
      </w:r>
      <w:hyperlink r:id="rId5" w:history="1">
        <w:r w:rsidRPr="00DF6874">
          <w:rPr>
            <w:rStyle w:val="af1"/>
          </w:rPr>
          <w:t>A/67/222/Corr.1</w:t>
        </w:r>
      </w:hyperlink>
      <w:r>
        <w:t>, приложение.</w:t>
      </w:r>
    </w:p>
  </w:footnote>
  <w:footnote w:id="6">
    <w:p w14:paraId="746BABFF" w14:textId="4B0D090C" w:rsidR="00DF6874" w:rsidRPr="00DF6874" w:rsidRDefault="00DF6874" w:rsidP="00DF6874">
      <w:pPr>
        <w:pStyle w:val="ad"/>
        <w:rPr>
          <w:lang w:val="en-US"/>
        </w:rPr>
      </w:pPr>
      <w:r>
        <w:tab/>
      </w:r>
      <w:r w:rsidRPr="00672EC1">
        <w:rPr>
          <w:rStyle w:val="aa"/>
        </w:rPr>
        <w:footnoteRef/>
      </w:r>
      <w:r w:rsidRPr="00B07C8A">
        <w:rPr>
          <w:lang w:val="en-US"/>
        </w:rPr>
        <w:tab/>
        <w:t xml:space="preserve">URL: </w:t>
      </w:r>
      <w:hyperlink r:id="rId6" w:history="1">
        <w:r w:rsidRPr="008A51F2">
          <w:rPr>
            <w:rStyle w:val="af1"/>
            <w:lang w:val="en-US"/>
          </w:rPr>
          <w:t>https://www.ohchr.org/en/treaty-bodies/spt</w:t>
        </w:r>
      </w:hyperlink>
      <w:r w:rsidRPr="00B07C8A">
        <w:rPr>
          <w:lang w:val="en-US"/>
        </w:rPr>
        <w:t>.</w:t>
      </w:r>
    </w:p>
  </w:footnote>
  <w:footnote w:id="7">
    <w:p w14:paraId="61B24222" w14:textId="6B1BE7E3" w:rsidR="00DF6874" w:rsidRPr="00DA5B9E" w:rsidRDefault="00DF6874" w:rsidP="00DF6874">
      <w:pPr>
        <w:pStyle w:val="ad"/>
      </w:pPr>
      <w:r w:rsidRPr="00B07C8A">
        <w:rPr>
          <w:lang w:val="en-US"/>
        </w:rPr>
        <w:tab/>
      </w:r>
      <w:r w:rsidRPr="00672EC1">
        <w:rPr>
          <w:rStyle w:val="aa"/>
        </w:rPr>
        <w:footnoteRef/>
      </w:r>
      <w:r>
        <w:tab/>
        <w:t xml:space="preserve">Данные, касающееся докладов о посещениях, включая те, которые не были обнародованы, </w:t>
      </w:r>
      <w:r w:rsidRPr="00B07C8A">
        <w:rPr>
          <w:lang w:val="en-US"/>
        </w:rPr>
        <w:t>URL</w:t>
      </w:r>
      <w:r w:rsidRPr="00DA5B9E">
        <w:t xml:space="preserve">: </w:t>
      </w:r>
      <w:hyperlink r:id="rId7" w:history="1">
        <w:r w:rsidRPr="008A51F2">
          <w:rPr>
            <w:rStyle w:val="af1"/>
            <w:lang w:val="en-US"/>
          </w:rPr>
          <w:t>https</w:t>
        </w:r>
        <w:r w:rsidRPr="00DA5B9E">
          <w:rPr>
            <w:rStyle w:val="af1"/>
          </w:rPr>
          <w:t>://</w:t>
        </w:r>
        <w:proofErr w:type="spellStart"/>
        <w:r w:rsidRPr="008A51F2">
          <w:rPr>
            <w:rStyle w:val="af1"/>
            <w:lang w:val="en-US"/>
          </w:rPr>
          <w:t>tbinternet</w:t>
        </w:r>
        <w:proofErr w:type="spellEnd"/>
        <w:r w:rsidRPr="00DA5B9E">
          <w:rPr>
            <w:rStyle w:val="af1"/>
          </w:rPr>
          <w:t>.</w:t>
        </w:r>
        <w:proofErr w:type="spellStart"/>
        <w:r w:rsidRPr="008A51F2">
          <w:rPr>
            <w:rStyle w:val="af1"/>
            <w:lang w:val="en-US"/>
          </w:rPr>
          <w:t>ohchr</w:t>
        </w:r>
        <w:proofErr w:type="spellEnd"/>
        <w:r w:rsidRPr="00DA5B9E">
          <w:rPr>
            <w:rStyle w:val="af1"/>
          </w:rPr>
          <w:t>.</w:t>
        </w:r>
        <w:r w:rsidRPr="008A51F2">
          <w:rPr>
            <w:rStyle w:val="af1"/>
            <w:lang w:val="en-US"/>
          </w:rPr>
          <w:t>org</w:t>
        </w:r>
        <w:r w:rsidRPr="00DA5B9E">
          <w:rPr>
            <w:rStyle w:val="af1"/>
          </w:rPr>
          <w:t>/_</w:t>
        </w:r>
        <w:r w:rsidRPr="008A51F2">
          <w:rPr>
            <w:rStyle w:val="af1"/>
            <w:lang w:val="en-US"/>
          </w:rPr>
          <w:t>layouts</w:t>
        </w:r>
        <w:r w:rsidRPr="00DA5B9E">
          <w:rPr>
            <w:rStyle w:val="af1"/>
          </w:rPr>
          <w:t>/15/</w:t>
        </w:r>
        <w:proofErr w:type="spellStart"/>
        <w:r w:rsidRPr="008A51F2">
          <w:rPr>
            <w:rStyle w:val="af1"/>
            <w:lang w:val="en-US"/>
          </w:rPr>
          <w:t>TreatyBodyExternal</w:t>
        </w:r>
        <w:proofErr w:type="spellEnd"/>
        <w:r w:rsidRPr="00DA5B9E">
          <w:rPr>
            <w:rStyle w:val="af1"/>
          </w:rPr>
          <w:t>/</w:t>
        </w:r>
        <w:proofErr w:type="spellStart"/>
        <w:r w:rsidRPr="008A51F2">
          <w:rPr>
            <w:rStyle w:val="af1"/>
            <w:lang w:val="en-US"/>
          </w:rPr>
          <w:t>CountryVisits</w:t>
        </w:r>
        <w:proofErr w:type="spellEnd"/>
        <w:r w:rsidRPr="00DA5B9E">
          <w:rPr>
            <w:rStyle w:val="af1"/>
          </w:rPr>
          <w:t>.</w:t>
        </w:r>
        <w:proofErr w:type="spellStart"/>
        <w:r w:rsidRPr="008A51F2">
          <w:rPr>
            <w:rStyle w:val="af1"/>
            <w:lang w:val="en-US"/>
          </w:rPr>
          <w:t>aspx</w:t>
        </w:r>
        <w:proofErr w:type="spellEnd"/>
      </w:hyperlink>
      <w:r w:rsidRPr="00DA5B9E">
        <w:t>.</w:t>
      </w:r>
    </w:p>
  </w:footnote>
  <w:footnote w:id="8">
    <w:p w14:paraId="0E9FECCB" w14:textId="00C29527" w:rsidR="00DF6874" w:rsidRPr="00DF6874" w:rsidRDefault="00DF6874" w:rsidP="00DF6874">
      <w:pPr>
        <w:pStyle w:val="ad"/>
        <w:rPr>
          <w:lang w:val="en-US"/>
        </w:rPr>
      </w:pPr>
      <w:r w:rsidRPr="00DA5B9E">
        <w:tab/>
      </w:r>
      <w:r w:rsidRPr="00672EC1">
        <w:rPr>
          <w:rStyle w:val="aa"/>
        </w:rPr>
        <w:footnoteRef/>
      </w:r>
      <w:r w:rsidRPr="00B07C8A">
        <w:rPr>
          <w:lang w:val="en-US"/>
        </w:rPr>
        <w:tab/>
      </w:r>
      <w:hyperlink r:id="rId8" w:history="1">
        <w:r w:rsidRPr="00DF6874">
          <w:rPr>
            <w:rStyle w:val="af1"/>
            <w:lang w:val="en-US"/>
          </w:rPr>
          <w:t>CAT/OP/BGR/ROSP/1</w:t>
        </w:r>
      </w:hyperlink>
      <w:r w:rsidRPr="00B07C8A">
        <w:rPr>
          <w:lang w:val="en-US"/>
        </w:rPr>
        <w:t>.</w:t>
      </w:r>
    </w:p>
  </w:footnote>
  <w:footnote w:id="9">
    <w:p w14:paraId="284BE471" w14:textId="2E77361A" w:rsidR="00DF6874" w:rsidRPr="00DF6874" w:rsidRDefault="00DF6874" w:rsidP="00DF6874">
      <w:pPr>
        <w:pStyle w:val="ad"/>
        <w:rPr>
          <w:lang w:val="en-US"/>
        </w:rPr>
      </w:pPr>
      <w:r w:rsidRPr="00B07C8A">
        <w:rPr>
          <w:lang w:val="en-US"/>
        </w:rPr>
        <w:tab/>
      </w:r>
      <w:r w:rsidRPr="00745EEB">
        <w:rPr>
          <w:rStyle w:val="aa"/>
        </w:rPr>
        <w:footnoteRef/>
      </w:r>
      <w:r w:rsidRPr="00B07C8A">
        <w:rPr>
          <w:lang w:val="en-US"/>
        </w:rPr>
        <w:tab/>
      </w:r>
      <w:hyperlink r:id="rId9" w:history="1">
        <w:r w:rsidRPr="00DF6874">
          <w:rPr>
            <w:rStyle w:val="af1"/>
            <w:lang w:val="en-US"/>
          </w:rPr>
          <w:t>CAT/OP/BGR/CSPRO/1</w:t>
        </w:r>
      </w:hyperlink>
      <w:r w:rsidRPr="00B07C8A">
        <w:rPr>
          <w:lang w:val="en-US"/>
        </w:rPr>
        <w:t>.</w:t>
      </w:r>
    </w:p>
  </w:footnote>
  <w:footnote w:id="10">
    <w:p w14:paraId="02877B7A" w14:textId="050A076D" w:rsidR="00DF6874" w:rsidRPr="00DF6874" w:rsidRDefault="00DF6874" w:rsidP="00DF6874">
      <w:pPr>
        <w:pStyle w:val="ad"/>
        <w:rPr>
          <w:lang w:val="en-US"/>
        </w:rPr>
      </w:pPr>
      <w:r w:rsidRPr="00B07C8A">
        <w:rPr>
          <w:lang w:val="en-US"/>
        </w:rPr>
        <w:tab/>
      </w:r>
      <w:r w:rsidRPr="00672EC1">
        <w:rPr>
          <w:rStyle w:val="aa"/>
        </w:rPr>
        <w:footnoteRef/>
      </w:r>
      <w:r w:rsidRPr="00B07C8A">
        <w:rPr>
          <w:lang w:val="en-US"/>
        </w:rPr>
        <w:tab/>
      </w:r>
      <w:r>
        <w:t>См</w:t>
      </w:r>
      <w:r w:rsidRPr="00B07C8A">
        <w:rPr>
          <w:lang w:val="en-US"/>
        </w:rPr>
        <w:t xml:space="preserve">. </w:t>
      </w:r>
      <w:hyperlink r:id="rId10" w:history="1">
        <w:r w:rsidRPr="008A51F2">
          <w:rPr>
            <w:rStyle w:val="af1"/>
            <w:lang w:val="en-US"/>
          </w:rPr>
          <w:t>https://www.ohchr.org/en/treaty-bodies/spt/non-compliance-article-17</w:t>
        </w:r>
      </w:hyperlink>
      <w:r w:rsidRPr="00B07C8A">
        <w:rPr>
          <w:lang w:val="en-US"/>
        </w:rPr>
        <w:t>.</w:t>
      </w:r>
    </w:p>
  </w:footnote>
  <w:footnote w:id="11">
    <w:p w14:paraId="2298A22E" w14:textId="77777777" w:rsidR="00DF6874" w:rsidRPr="00DF6874" w:rsidRDefault="00DF6874" w:rsidP="00DF6874">
      <w:pPr>
        <w:pStyle w:val="ad"/>
        <w:rPr>
          <w:lang w:val="en-US"/>
        </w:rPr>
      </w:pPr>
      <w:r w:rsidRPr="00B07C8A">
        <w:rPr>
          <w:lang w:val="en-US"/>
        </w:rPr>
        <w:tab/>
      </w:r>
      <w:r w:rsidRPr="00672EC1">
        <w:rPr>
          <w:rStyle w:val="aa"/>
        </w:rPr>
        <w:footnoteRef/>
      </w:r>
      <w:r w:rsidRPr="00B07C8A">
        <w:rPr>
          <w:lang w:val="en-US"/>
        </w:rPr>
        <w:tab/>
        <w:t>Ibid.</w:t>
      </w:r>
    </w:p>
  </w:footnote>
  <w:footnote w:id="12">
    <w:p w14:paraId="549294A8" w14:textId="77777777" w:rsidR="00DF6874" w:rsidRPr="00DF6874" w:rsidRDefault="00DF6874" w:rsidP="00DF6874">
      <w:pPr>
        <w:pStyle w:val="ad"/>
        <w:rPr>
          <w:lang w:val="en-US"/>
        </w:rPr>
      </w:pPr>
      <w:r w:rsidRPr="00B07C8A">
        <w:rPr>
          <w:lang w:val="en-US"/>
        </w:rPr>
        <w:tab/>
      </w:r>
      <w:r w:rsidRPr="00672EC1">
        <w:rPr>
          <w:rStyle w:val="aa"/>
        </w:rPr>
        <w:footnoteRef/>
      </w:r>
      <w:r w:rsidRPr="00B07C8A">
        <w:rPr>
          <w:lang w:val="en-US"/>
        </w:rPr>
        <w:tab/>
        <w:t>Ibid.</w:t>
      </w:r>
    </w:p>
  </w:footnote>
  <w:footnote w:id="13">
    <w:p w14:paraId="165DC8A0" w14:textId="2BB48252" w:rsidR="00DF6874" w:rsidRPr="00DF6874" w:rsidRDefault="00DF6874" w:rsidP="00DF6874">
      <w:pPr>
        <w:pStyle w:val="ad"/>
        <w:rPr>
          <w:lang w:val="en-US"/>
        </w:rPr>
      </w:pPr>
      <w:r w:rsidRPr="00B07C8A">
        <w:rPr>
          <w:lang w:val="en-US"/>
        </w:rPr>
        <w:tab/>
      </w:r>
      <w:r w:rsidRPr="00672EC1">
        <w:rPr>
          <w:rStyle w:val="aa"/>
        </w:rPr>
        <w:footnoteRef/>
      </w:r>
      <w:r w:rsidRPr="00B07C8A">
        <w:rPr>
          <w:lang w:val="en-US"/>
        </w:rPr>
        <w:tab/>
      </w:r>
      <w:hyperlink r:id="rId11" w:history="1">
        <w:r w:rsidRPr="00DF6874">
          <w:rPr>
            <w:rStyle w:val="af1"/>
            <w:lang w:val="en-US"/>
          </w:rPr>
          <w:t>CAT/OP/10</w:t>
        </w:r>
      </w:hyperlink>
      <w:r w:rsidRPr="00B07C8A">
        <w:rPr>
          <w:lang w:val="en-US"/>
        </w:rPr>
        <w:t xml:space="preserve"> </w:t>
      </w:r>
      <w:r>
        <w:t>и</w:t>
      </w:r>
      <w:r w:rsidRPr="00B07C8A">
        <w:rPr>
          <w:lang w:val="en-US"/>
        </w:rPr>
        <w:t xml:space="preserve"> </w:t>
      </w:r>
      <w:hyperlink r:id="rId12" w:history="1">
        <w:r w:rsidRPr="00DF6874">
          <w:rPr>
            <w:rStyle w:val="af1"/>
            <w:lang w:val="en-US"/>
          </w:rPr>
          <w:t>CAT/OP/12</w:t>
        </w:r>
      </w:hyperlink>
      <w:r w:rsidRPr="00B07C8A">
        <w:rPr>
          <w:lang w:val="en-US"/>
        </w:rPr>
        <w:t>.</w:t>
      </w:r>
    </w:p>
  </w:footnote>
  <w:footnote w:id="14">
    <w:p w14:paraId="26E66291" w14:textId="3B89F663" w:rsidR="00DF6874" w:rsidRPr="00DF6874" w:rsidRDefault="00DF6874" w:rsidP="00DF6874">
      <w:pPr>
        <w:pStyle w:val="ad"/>
        <w:rPr>
          <w:lang w:val="en-US"/>
        </w:rPr>
      </w:pPr>
      <w:r w:rsidRPr="00B07C8A">
        <w:rPr>
          <w:lang w:val="en-US"/>
        </w:rPr>
        <w:tab/>
      </w:r>
      <w:r w:rsidRPr="00745EEB">
        <w:rPr>
          <w:rStyle w:val="aa"/>
        </w:rPr>
        <w:footnoteRef/>
      </w:r>
      <w:r w:rsidRPr="00B07C8A">
        <w:rPr>
          <w:lang w:val="en-US"/>
        </w:rPr>
        <w:tab/>
      </w:r>
      <w:hyperlink r:id="rId13" w:history="1">
        <w:r w:rsidRPr="00DF6874">
          <w:rPr>
            <w:rStyle w:val="af1"/>
            <w:lang w:val="en-US"/>
          </w:rPr>
          <w:t>CAT/OP/11</w:t>
        </w:r>
      </w:hyperlink>
      <w:r w:rsidRPr="00B07C8A">
        <w:rPr>
          <w:lang w:val="en-US"/>
        </w:rPr>
        <w:t>.</w:t>
      </w:r>
    </w:p>
  </w:footnote>
  <w:footnote w:id="15">
    <w:p w14:paraId="6F60103E" w14:textId="0FCF2BC5" w:rsidR="00DF6874" w:rsidRPr="00DF6874" w:rsidRDefault="00DF6874" w:rsidP="00DF6874">
      <w:pPr>
        <w:pStyle w:val="ad"/>
        <w:rPr>
          <w:lang w:val="en-US"/>
        </w:rPr>
      </w:pPr>
      <w:r w:rsidRPr="00B07C8A">
        <w:rPr>
          <w:lang w:val="en-US"/>
        </w:rPr>
        <w:tab/>
      </w:r>
      <w:r w:rsidRPr="00672EC1">
        <w:rPr>
          <w:rStyle w:val="aa"/>
        </w:rPr>
        <w:footnoteRef/>
      </w:r>
      <w:r w:rsidRPr="00B07C8A">
        <w:rPr>
          <w:lang w:val="en-US"/>
        </w:rPr>
        <w:tab/>
      </w:r>
      <w:hyperlink r:id="rId14" w:history="1">
        <w:r w:rsidRPr="00DF6874">
          <w:rPr>
            <w:rStyle w:val="af1"/>
            <w:lang w:val="en-US"/>
          </w:rPr>
          <w:t>CAT/C/73/2</w:t>
        </w:r>
      </w:hyperlink>
      <w:r w:rsidRPr="00B07C8A">
        <w:rPr>
          <w:lang w:val="en-US"/>
        </w:rPr>
        <w:t>.</w:t>
      </w:r>
    </w:p>
  </w:footnote>
  <w:footnote w:id="16">
    <w:p w14:paraId="535C03DF" w14:textId="05C8705D" w:rsidR="00DF6874" w:rsidRPr="00DA5B9E" w:rsidRDefault="00DF6874" w:rsidP="00DF6874">
      <w:pPr>
        <w:pStyle w:val="ad"/>
        <w:rPr>
          <w:lang w:val="en-US"/>
        </w:rPr>
      </w:pPr>
      <w:r w:rsidRPr="00B07C8A">
        <w:rPr>
          <w:lang w:val="en-US"/>
        </w:rPr>
        <w:tab/>
      </w:r>
      <w:r w:rsidRPr="00672EC1">
        <w:rPr>
          <w:rStyle w:val="aa"/>
        </w:rPr>
        <w:footnoteRef/>
      </w:r>
      <w:r w:rsidRPr="00835EF3">
        <w:tab/>
      </w:r>
      <w:r>
        <w:t>См</w:t>
      </w:r>
      <w:r w:rsidRPr="00835EF3">
        <w:t xml:space="preserve">. </w:t>
      </w:r>
      <w:hyperlink r:id="rId15" w:history="1">
        <w:r w:rsidR="00835EF3" w:rsidRPr="008A51F2">
          <w:rPr>
            <w:rStyle w:val="af1"/>
            <w:lang w:val="en-US"/>
          </w:rPr>
          <w:t>https</w:t>
        </w:r>
        <w:r w:rsidR="00835EF3" w:rsidRPr="00DA5B9E">
          <w:rPr>
            <w:rStyle w:val="af1"/>
            <w:lang w:val="en-US"/>
          </w:rPr>
          <w:t>://</w:t>
        </w:r>
        <w:r w:rsidR="00835EF3" w:rsidRPr="008A51F2">
          <w:rPr>
            <w:rStyle w:val="af1"/>
            <w:lang w:val="en-US"/>
          </w:rPr>
          <w:t>www</w:t>
        </w:r>
        <w:r w:rsidR="00835EF3" w:rsidRPr="00DA5B9E">
          <w:rPr>
            <w:rStyle w:val="af1"/>
            <w:lang w:val="en-US"/>
          </w:rPr>
          <w:t>.</w:t>
        </w:r>
        <w:r w:rsidR="00835EF3" w:rsidRPr="008A51F2">
          <w:rPr>
            <w:rStyle w:val="af1"/>
            <w:lang w:val="en-US"/>
          </w:rPr>
          <w:t>ohchr</w:t>
        </w:r>
        <w:r w:rsidR="00835EF3" w:rsidRPr="00DA5B9E">
          <w:rPr>
            <w:rStyle w:val="af1"/>
            <w:lang w:val="en-US"/>
          </w:rPr>
          <w:t>.</w:t>
        </w:r>
        <w:r w:rsidR="00835EF3" w:rsidRPr="008A51F2">
          <w:rPr>
            <w:rStyle w:val="af1"/>
            <w:lang w:val="en-US"/>
          </w:rPr>
          <w:t>org</w:t>
        </w:r>
        <w:r w:rsidR="00835EF3" w:rsidRPr="00DA5B9E">
          <w:rPr>
            <w:rStyle w:val="af1"/>
            <w:lang w:val="en-US"/>
          </w:rPr>
          <w:t>/</w:t>
        </w:r>
        <w:r w:rsidR="00835EF3" w:rsidRPr="008A51F2">
          <w:rPr>
            <w:rStyle w:val="af1"/>
            <w:lang w:val="en-US"/>
          </w:rPr>
          <w:t>en</w:t>
        </w:r>
        <w:r w:rsidR="00835EF3" w:rsidRPr="00DA5B9E">
          <w:rPr>
            <w:rStyle w:val="af1"/>
            <w:lang w:val="en-US"/>
          </w:rPr>
          <w:t>/</w:t>
        </w:r>
        <w:r w:rsidR="00835EF3" w:rsidRPr="008A51F2">
          <w:rPr>
            <w:rStyle w:val="af1"/>
            <w:lang w:val="en-US"/>
          </w:rPr>
          <w:t>statements</w:t>
        </w:r>
        <w:r w:rsidR="00835EF3" w:rsidRPr="00DA5B9E">
          <w:rPr>
            <w:rStyle w:val="af1"/>
            <w:lang w:val="en-US"/>
          </w:rPr>
          <w:t>/2022/10/</w:t>
        </w:r>
        <w:r w:rsidR="00835EF3" w:rsidRPr="008A51F2">
          <w:rPr>
            <w:rStyle w:val="af1"/>
            <w:lang w:val="en-US"/>
          </w:rPr>
          <w:t>chairperson</w:t>
        </w:r>
        <w:r w:rsidR="00835EF3" w:rsidRPr="00DA5B9E">
          <w:rPr>
            <w:rStyle w:val="af1"/>
            <w:lang w:val="en-US"/>
          </w:rPr>
          <w:t>-</w:t>
        </w:r>
        <w:r w:rsidR="00835EF3" w:rsidRPr="008A51F2">
          <w:rPr>
            <w:rStyle w:val="af1"/>
            <w:lang w:val="en-US"/>
          </w:rPr>
          <w:t>subcommittee</w:t>
        </w:r>
        <w:r w:rsidR="00835EF3" w:rsidRPr="00DA5B9E">
          <w:rPr>
            <w:rStyle w:val="af1"/>
            <w:lang w:val="en-US"/>
          </w:rPr>
          <w:t>-</w:t>
        </w:r>
        <w:r w:rsidR="00835EF3" w:rsidRPr="008A51F2">
          <w:rPr>
            <w:rStyle w:val="af1"/>
            <w:lang w:val="en-US"/>
          </w:rPr>
          <w:t>prevention</w:t>
        </w:r>
        <w:r w:rsidR="00835EF3" w:rsidRPr="00DA5B9E">
          <w:rPr>
            <w:rStyle w:val="af1"/>
            <w:lang w:val="en-US"/>
          </w:rPr>
          <w:t>-</w:t>
        </w:r>
        <w:r w:rsidR="00835EF3" w:rsidRPr="008A51F2">
          <w:rPr>
            <w:rStyle w:val="af1"/>
            <w:lang w:val="en-US"/>
          </w:rPr>
          <w:t>tortures</w:t>
        </w:r>
        <w:r w:rsidR="00835EF3" w:rsidRPr="00DA5B9E">
          <w:rPr>
            <w:rStyle w:val="af1"/>
            <w:lang w:val="en-US"/>
          </w:rPr>
          <w:t>-</w:t>
        </w:r>
        <w:r w:rsidR="00835EF3" w:rsidRPr="008A51F2">
          <w:rPr>
            <w:rStyle w:val="af1"/>
            <w:lang w:val="en-US"/>
          </w:rPr>
          <w:t>statement</w:t>
        </w:r>
        <w:r w:rsidR="00835EF3" w:rsidRPr="00DA5B9E">
          <w:rPr>
            <w:rStyle w:val="af1"/>
            <w:lang w:val="en-US"/>
          </w:rPr>
          <w:t>-77</w:t>
        </w:r>
        <w:r w:rsidR="00835EF3" w:rsidRPr="008A51F2">
          <w:rPr>
            <w:rStyle w:val="af1"/>
            <w:lang w:val="en-US"/>
          </w:rPr>
          <w:t>th</w:t>
        </w:r>
        <w:r w:rsidR="00835EF3" w:rsidRPr="00DA5B9E">
          <w:rPr>
            <w:rStyle w:val="af1"/>
            <w:lang w:val="en-US"/>
          </w:rPr>
          <w:t>-</w:t>
        </w:r>
        <w:r w:rsidR="00835EF3" w:rsidRPr="008A51F2">
          <w:rPr>
            <w:rStyle w:val="af1"/>
            <w:lang w:val="en-US"/>
          </w:rPr>
          <w:t>ga</w:t>
        </w:r>
        <w:r w:rsidR="00835EF3" w:rsidRPr="00DA5B9E">
          <w:rPr>
            <w:rStyle w:val="af1"/>
            <w:lang w:val="en-US"/>
          </w:rPr>
          <w:t>-</w:t>
        </w:r>
        <w:r w:rsidR="00835EF3" w:rsidRPr="008A51F2">
          <w:rPr>
            <w:rStyle w:val="af1"/>
            <w:lang w:val="en-US"/>
          </w:rPr>
          <w:t>session</w:t>
        </w:r>
      </w:hyperlink>
      <w:r w:rsidRPr="00DA5B9E">
        <w:rPr>
          <w:lang w:val="en-US"/>
        </w:rPr>
        <w:t>.</w:t>
      </w:r>
    </w:p>
  </w:footnote>
  <w:footnote w:id="17">
    <w:p w14:paraId="0C0D6AD7" w14:textId="4076D5C6" w:rsidR="00DF6874" w:rsidRPr="00B07C8A" w:rsidRDefault="00DF6874" w:rsidP="00DF6874">
      <w:pPr>
        <w:pStyle w:val="ad"/>
      </w:pPr>
      <w:r w:rsidRPr="00DA5B9E">
        <w:rPr>
          <w:lang w:val="en-US"/>
        </w:rPr>
        <w:tab/>
      </w:r>
      <w:r w:rsidRPr="00672EC1">
        <w:rPr>
          <w:rStyle w:val="aa"/>
        </w:rPr>
        <w:footnoteRef/>
      </w:r>
      <w:r>
        <w:tab/>
      </w:r>
      <w:hyperlink r:id="rId16" w:history="1">
        <w:r w:rsidRPr="00DF6874">
          <w:rPr>
            <w:rStyle w:val="af1"/>
          </w:rPr>
          <w:t>CAT/C/73/2</w:t>
        </w:r>
      </w:hyperlink>
      <w:r>
        <w:t>, приложение.</w:t>
      </w:r>
    </w:p>
  </w:footnote>
  <w:footnote w:id="18">
    <w:p w14:paraId="79C87200" w14:textId="19950AB5" w:rsidR="00DF6874" w:rsidRPr="00DA5B9E" w:rsidRDefault="00DF6874" w:rsidP="00DF6874">
      <w:pPr>
        <w:pStyle w:val="ad"/>
      </w:pPr>
      <w:r w:rsidRPr="006A3AC1">
        <w:tab/>
      </w:r>
      <w:r w:rsidRPr="00672EC1">
        <w:rPr>
          <w:rStyle w:val="aa"/>
        </w:rPr>
        <w:footnoteRef/>
      </w:r>
      <w:r w:rsidRPr="00835EF3">
        <w:rPr>
          <w:lang w:val="en-US"/>
        </w:rPr>
        <w:tab/>
      </w:r>
      <w:r>
        <w:t>См</w:t>
      </w:r>
      <w:r w:rsidRPr="00835EF3">
        <w:rPr>
          <w:lang w:val="en-US"/>
        </w:rPr>
        <w:t xml:space="preserve">. </w:t>
      </w:r>
      <w:hyperlink r:id="rId17" w:history="1">
        <w:r w:rsidR="00835EF3" w:rsidRPr="00835EF3">
          <w:rPr>
            <w:rStyle w:val="af1"/>
            <w:lang w:val="en-US"/>
          </w:rPr>
          <w:t>https</w:t>
        </w:r>
        <w:r w:rsidR="00835EF3" w:rsidRPr="00DA5B9E">
          <w:rPr>
            <w:rStyle w:val="af1"/>
          </w:rPr>
          <w:t>://</w:t>
        </w:r>
        <w:r w:rsidR="00835EF3" w:rsidRPr="00835EF3">
          <w:rPr>
            <w:rStyle w:val="af1"/>
            <w:lang w:val="en-US"/>
          </w:rPr>
          <w:t>www</w:t>
        </w:r>
        <w:r w:rsidR="00835EF3" w:rsidRPr="00DA5B9E">
          <w:rPr>
            <w:rStyle w:val="af1"/>
          </w:rPr>
          <w:t>.</w:t>
        </w:r>
        <w:proofErr w:type="spellStart"/>
        <w:r w:rsidR="00835EF3" w:rsidRPr="00835EF3">
          <w:rPr>
            <w:rStyle w:val="af1"/>
            <w:lang w:val="en-US"/>
          </w:rPr>
          <w:t>ohchr</w:t>
        </w:r>
        <w:proofErr w:type="spellEnd"/>
        <w:r w:rsidR="00835EF3" w:rsidRPr="00DA5B9E">
          <w:rPr>
            <w:rStyle w:val="af1"/>
          </w:rPr>
          <w:t>.</w:t>
        </w:r>
        <w:r w:rsidR="00835EF3" w:rsidRPr="00835EF3">
          <w:rPr>
            <w:rStyle w:val="af1"/>
            <w:lang w:val="en-US"/>
          </w:rPr>
          <w:t>org</w:t>
        </w:r>
        <w:r w:rsidR="00835EF3" w:rsidRPr="00DA5B9E">
          <w:rPr>
            <w:rStyle w:val="af1"/>
          </w:rPr>
          <w:t>/</w:t>
        </w:r>
        <w:proofErr w:type="spellStart"/>
        <w:r w:rsidR="00835EF3" w:rsidRPr="00835EF3">
          <w:rPr>
            <w:rStyle w:val="af1"/>
            <w:lang w:val="en-US"/>
          </w:rPr>
          <w:t>en</w:t>
        </w:r>
        <w:proofErr w:type="spellEnd"/>
        <w:r w:rsidR="00835EF3" w:rsidRPr="00DA5B9E">
          <w:rPr>
            <w:rStyle w:val="af1"/>
          </w:rPr>
          <w:t>/</w:t>
        </w:r>
        <w:r w:rsidR="00835EF3" w:rsidRPr="00835EF3">
          <w:rPr>
            <w:rStyle w:val="af1"/>
            <w:lang w:val="en-US"/>
          </w:rPr>
          <w:t>statements</w:t>
        </w:r>
        <w:r w:rsidR="00835EF3" w:rsidRPr="00DA5B9E">
          <w:rPr>
            <w:rStyle w:val="af1"/>
          </w:rPr>
          <w:t>/2022/06/</w:t>
        </w:r>
        <w:r w:rsidR="00835EF3" w:rsidRPr="00835EF3">
          <w:rPr>
            <w:rStyle w:val="af1"/>
            <w:lang w:val="en-US"/>
          </w:rPr>
          <w:t>un</w:t>
        </w:r>
        <w:r w:rsidR="00835EF3" w:rsidRPr="00DA5B9E">
          <w:rPr>
            <w:rStyle w:val="af1"/>
          </w:rPr>
          <w:t>-</w:t>
        </w:r>
        <w:r w:rsidR="00835EF3" w:rsidRPr="00835EF3">
          <w:rPr>
            <w:rStyle w:val="af1"/>
            <w:lang w:val="en-US"/>
          </w:rPr>
          <w:t>experts</w:t>
        </w:r>
        <w:r w:rsidR="00835EF3" w:rsidRPr="00DA5B9E">
          <w:rPr>
            <w:rStyle w:val="af1"/>
          </w:rPr>
          <w:t>-</w:t>
        </w:r>
        <w:r w:rsidR="00835EF3" w:rsidRPr="00835EF3">
          <w:rPr>
            <w:rStyle w:val="af1"/>
            <w:lang w:val="en-US"/>
          </w:rPr>
          <w:t>healthcare</w:t>
        </w:r>
        <w:r w:rsidR="00835EF3" w:rsidRPr="00DA5B9E">
          <w:rPr>
            <w:rStyle w:val="af1"/>
          </w:rPr>
          <w:t>-</w:t>
        </w:r>
        <w:r w:rsidR="00835EF3" w:rsidRPr="00835EF3">
          <w:rPr>
            <w:rStyle w:val="af1"/>
            <w:lang w:val="en-US"/>
          </w:rPr>
          <w:t>professionals</w:t>
        </w:r>
        <w:r w:rsidR="00835EF3" w:rsidRPr="00DA5B9E">
          <w:rPr>
            <w:rStyle w:val="af1"/>
          </w:rPr>
          <w:t>-</w:t>
        </w:r>
        <w:r w:rsidR="00835EF3" w:rsidRPr="00835EF3">
          <w:rPr>
            <w:rStyle w:val="af1"/>
            <w:lang w:val="en-US"/>
          </w:rPr>
          <w:t>are</w:t>
        </w:r>
        <w:r w:rsidR="00835EF3" w:rsidRPr="00DA5B9E">
          <w:rPr>
            <w:rStyle w:val="af1"/>
          </w:rPr>
          <w:t>-</w:t>
        </w:r>
        <w:r w:rsidR="00835EF3" w:rsidRPr="00835EF3">
          <w:rPr>
            <w:rStyle w:val="af1"/>
            <w:lang w:val="en-US"/>
          </w:rPr>
          <w:t>essential</w:t>
        </w:r>
        <w:r w:rsidR="00835EF3" w:rsidRPr="00DA5B9E">
          <w:rPr>
            <w:rStyle w:val="af1"/>
          </w:rPr>
          <w:t>-</w:t>
        </w:r>
        <w:r w:rsidR="00835EF3" w:rsidRPr="00835EF3">
          <w:rPr>
            <w:rStyle w:val="af1"/>
            <w:lang w:val="en-US"/>
          </w:rPr>
          <w:t>torture</w:t>
        </w:r>
        <w:r w:rsidR="00835EF3" w:rsidRPr="00DA5B9E">
          <w:rPr>
            <w:rStyle w:val="af1"/>
          </w:rPr>
          <w:t>-</w:t>
        </w:r>
        <w:r w:rsidR="00835EF3" w:rsidRPr="00835EF3">
          <w:rPr>
            <w:rStyle w:val="af1"/>
            <w:lang w:val="en-US"/>
          </w:rPr>
          <w:t>prevention</w:t>
        </w:r>
      </w:hyperlink>
      <w:r w:rsidRPr="00DA5B9E">
        <w:t>.</w:t>
      </w:r>
    </w:p>
  </w:footnote>
  <w:footnote w:id="19">
    <w:p w14:paraId="19CA572C" w14:textId="758B5282" w:rsidR="00DF6874" w:rsidRPr="00835EF3" w:rsidRDefault="00DF6874" w:rsidP="00DF6874">
      <w:pPr>
        <w:pStyle w:val="ad"/>
        <w:rPr>
          <w:lang w:val="en-US"/>
        </w:rPr>
      </w:pPr>
      <w:r w:rsidRPr="00DA5B9E">
        <w:tab/>
      </w:r>
      <w:r w:rsidRPr="00672EC1">
        <w:rPr>
          <w:rStyle w:val="aa"/>
        </w:rPr>
        <w:footnoteRef/>
      </w:r>
      <w:r w:rsidRPr="00835EF3">
        <w:rPr>
          <w:lang w:val="en-US"/>
        </w:rPr>
        <w:tab/>
      </w:r>
      <w:r>
        <w:t>См</w:t>
      </w:r>
      <w:r w:rsidRPr="00835EF3">
        <w:rPr>
          <w:lang w:val="en-US"/>
        </w:rPr>
        <w:t xml:space="preserve">. </w:t>
      </w:r>
      <w:hyperlink r:id="rId18" w:history="1">
        <w:r w:rsidR="00835EF3" w:rsidRPr="008A51F2">
          <w:rPr>
            <w:rStyle w:val="af1"/>
            <w:lang w:val="en-US"/>
          </w:rPr>
          <w:t>https</w:t>
        </w:r>
        <w:r w:rsidR="00835EF3" w:rsidRPr="00835EF3">
          <w:rPr>
            <w:rStyle w:val="af1"/>
            <w:lang w:val="en-US"/>
          </w:rPr>
          <w:t>://</w:t>
        </w:r>
        <w:r w:rsidR="00835EF3" w:rsidRPr="008A51F2">
          <w:rPr>
            <w:rStyle w:val="af1"/>
            <w:lang w:val="en-US"/>
          </w:rPr>
          <w:t>www</w:t>
        </w:r>
        <w:r w:rsidR="00835EF3" w:rsidRPr="00835EF3">
          <w:rPr>
            <w:rStyle w:val="af1"/>
            <w:lang w:val="en-US"/>
          </w:rPr>
          <w:t>.</w:t>
        </w:r>
        <w:r w:rsidR="00835EF3" w:rsidRPr="008A51F2">
          <w:rPr>
            <w:rStyle w:val="af1"/>
            <w:lang w:val="en-US"/>
          </w:rPr>
          <w:t>ohchr</w:t>
        </w:r>
        <w:r w:rsidR="00835EF3" w:rsidRPr="00835EF3">
          <w:rPr>
            <w:rStyle w:val="af1"/>
            <w:lang w:val="en-US"/>
          </w:rPr>
          <w:t>.</w:t>
        </w:r>
        <w:r w:rsidR="00835EF3" w:rsidRPr="008A51F2">
          <w:rPr>
            <w:rStyle w:val="af1"/>
            <w:lang w:val="en-US"/>
          </w:rPr>
          <w:t>org</w:t>
        </w:r>
        <w:r w:rsidR="00835EF3" w:rsidRPr="00835EF3">
          <w:rPr>
            <w:rStyle w:val="af1"/>
            <w:lang w:val="en-US"/>
          </w:rPr>
          <w:t>/</w:t>
        </w:r>
        <w:r w:rsidR="00835EF3" w:rsidRPr="008A51F2">
          <w:rPr>
            <w:rStyle w:val="af1"/>
            <w:lang w:val="en-US"/>
          </w:rPr>
          <w:t>en</w:t>
        </w:r>
        <w:r w:rsidR="00835EF3" w:rsidRPr="00835EF3">
          <w:rPr>
            <w:rStyle w:val="af1"/>
            <w:lang w:val="en-US"/>
          </w:rPr>
          <w:t>/</w:t>
        </w:r>
        <w:r w:rsidR="00835EF3" w:rsidRPr="008A51F2">
          <w:rPr>
            <w:rStyle w:val="af1"/>
            <w:lang w:val="en-US"/>
          </w:rPr>
          <w:t>statements</w:t>
        </w:r>
        <w:r w:rsidR="00835EF3" w:rsidRPr="00835EF3">
          <w:rPr>
            <w:rStyle w:val="af1"/>
            <w:lang w:val="en-US"/>
          </w:rPr>
          <w:t>/2022/11/</w:t>
        </w:r>
        <w:r w:rsidR="00835EF3" w:rsidRPr="008A51F2">
          <w:rPr>
            <w:rStyle w:val="af1"/>
            <w:lang w:val="en-US"/>
          </w:rPr>
          <w:t>nicaragua</w:t>
        </w:r>
        <w:r w:rsidR="00835EF3" w:rsidRPr="00835EF3">
          <w:rPr>
            <w:rStyle w:val="af1"/>
            <w:lang w:val="en-US"/>
          </w:rPr>
          <w:t>-</w:t>
        </w:r>
        <w:r w:rsidR="00835EF3" w:rsidRPr="008A51F2">
          <w:rPr>
            <w:rStyle w:val="af1"/>
            <w:lang w:val="en-US"/>
          </w:rPr>
          <w:t>two</w:t>
        </w:r>
        <w:r w:rsidR="00835EF3" w:rsidRPr="00835EF3">
          <w:rPr>
            <w:rStyle w:val="af1"/>
            <w:lang w:val="en-US"/>
          </w:rPr>
          <w:t>-</w:t>
        </w:r>
        <w:r w:rsidR="00835EF3" w:rsidRPr="008A51F2">
          <w:rPr>
            <w:rStyle w:val="af1"/>
            <w:lang w:val="en-US"/>
          </w:rPr>
          <w:t>un</w:t>
        </w:r>
        <w:r w:rsidR="00835EF3" w:rsidRPr="00835EF3">
          <w:rPr>
            <w:rStyle w:val="af1"/>
            <w:lang w:val="en-US"/>
          </w:rPr>
          <w:t>-</w:t>
        </w:r>
        <w:r w:rsidR="00835EF3" w:rsidRPr="008A51F2">
          <w:rPr>
            <w:rStyle w:val="af1"/>
            <w:lang w:val="en-US"/>
          </w:rPr>
          <w:t>rights</w:t>
        </w:r>
        <w:r w:rsidR="00835EF3" w:rsidRPr="00835EF3">
          <w:rPr>
            <w:rStyle w:val="af1"/>
            <w:lang w:val="en-US"/>
          </w:rPr>
          <w:t>-</w:t>
        </w:r>
        <w:r w:rsidR="00835EF3" w:rsidRPr="008A51F2">
          <w:rPr>
            <w:rStyle w:val="af1"/>
            <w:lang w:val="en-US"/>
          </w:rPr>
          <w:t>committees</w:t>
        </w:r>
        <w:r w:rsidR="00835EF3" w:rsidRPr="00835EF3">
          <w:rPr>
            <w:rStyle w:val="af1"/>
            <w:lang w:val="en-US"/>
          </w:rPr>
          <w:t>-</w:t>
        </w:r>
        <w:r w:rsidR="00835EF3" w:rsidRPr="008A51F2">
          <w:rPr>
            <w:rStyle w:val="af1"/>
            <w:lang w:val="en-US"/>
          </w:rPr>
          <w:t>deplore</w:t>
        </w:r>
        <w:r w:rsidR="00835EF3" w:rsidRPr="00835EF3">
          <w:rPr>
            <w:rStyle w:val="af1"/>
            <w:lang w:val="en-US"/>
          </w:rPr>
          <w:t>-</w:t>
        </w:r>
        <w:r w:rsidR="00835EF3" w:rsidRPr="008A51F2">
          <w:rPr>
            <w:rStyle w:val="af1"/>
            <w:lang w:val="en-US"/>
          </w:rPr>
          <w:t>refusal</w:t>
        </w:r>
        <w:r w:rsidR="00835EF3" w:rsidRPr="00835EF3">
          <w:rPr>
            <w:rStyle w:val="af1"/>
            <w:lang w:val="en-US"/>
          </w:rPr>
          <w:t>-</w:t>
        </w:r>
        <w:r w:rsidR="00835EF3" w:rsidRPr="008A51F2">
          <w:rPr>
            <w:rStyle w:val="af1"/>
            <w:lang w:val="en-US"/>
          </w:rPr>
          <w:t>cooperate</w:t>
        </w:r>
        <w:r w:rsidR="00835EF3" w:rsidRPr="00835EF3">
          <w:rPr>
            <w:rStyle w:val="af1"/>
            <w:lang w:val="en-US"/>
          </w:rPr>
          <w:t>-</w:t>
        </w:r>
        <w:r w:rsidR="00835EF3" w:rsidRPr="008A51F2">
          <w:rPr>
            <w:rStyle w:val="af1"/>
            <w:lang w:val="en-US"/>
          </w:rPr>
          <w:t>and</w:t>
        </w:r>
        <w:r w:rsidR="00835EF3" w:rsidRPr="00835EF3">
          <w:rPr>
            <w:rStyle w:val="af1"/>
            <w:lang w:val="en-US"/>
          </w:rPr>
          <w:t>-</w:t>
        </w:r>
        <w:r w:rsidR="00835EF3" w:rsidRPr="008A51F2">
          <w:rPr>
            <w:rStyle w:val="af1"/>
            <w:lang w:val="en-US"/>
          </w:rPr>
          <w:t>lack</w:t>
        </w:r>
      </w:hyperlink>
      <w:r w:rsidRPr="00835EF3">
        <w:rPr>
          <w:lang w:val="en-US"/>
        </w:rPr>
        <w:t>.</w:t>
      </w:r>
    </w:p>
  </w:footnote>
  <w:footnote w:id="20">
    <w:p w14:paraId="027EFF7E" w14:textId="18BDC4DF" w:rsidR="00DF6874" w:rsidRPr="00835EF3" w:rsidRDefault="00DF6874" w:rsidP="00DF6874">
      <w:pPr>
        <w:pStyle w:val="ad"/>
        <w:rPr>
          <w:lang w:val="en-US"/>
        </w:rPr>
      </w:pPr>
      <w:r w:rsidRPr="00835EF3">
        <w:rPr>
          <w:lang w:val="en-US"/>
        </w:rPr>
        <w:tab/>
      </w:r>
      <w:r w:rsidRPr="00E732A9">
        <w:rPr>
          <w:rStyle w:val="aa"/>
        </w:rPr>
        <w:footnoteRef/>
      </w:r>
      <w:r w:rsidRPr="00835EF3">
        <w:rPr>
          <w:lang w:val="en-US"/>
        </w:rPr>
        <w:tab/>
      </w:r>
      <w:hyperlink r:id="rId19" w:history="1">
        <w:r w:rsidRPr="00DF6874">
          <w:rPr>
            <w:rStyle w:val="af1"/>
            <w:lang w:val="en-US"/>
          </w:rPr>
          <w:t>CAT</w:t>
        </w:r>
        <w:r w:rsidRPr="00835EF3">
          <w:rPr>
            <w:rStyle w:val="af1"/>
            <w:lang w:val="en-US"/>
          </w:rPr>
          <w:t>/</w:t>
        </w:r>
        <w:r w:rsidRPr="00DF6874">
          <w:rPr>
            <w:rStyle w:val="af1"/>
            <w:lang w:val="en-US"/>
          </w:rPr>
          <w:t>C</w:t>
        </w:r>
        <w:r w:rsidRPr="00835EF3">
          <w:rPr>
            <w:rStyle w:val="af1"/>
            <w:lang w:val="en-US"/>
          </w:rPr>
          <w:t>/75/2</w:t>
        </w:r>
      </w:hyperlink>
      <w:r w:rsidRPr="00835EF3">
        <w:rPr>
          <w:lang w:val="en-US"/>
        </w:rPr>
        <w:t>.</w:t>
      </w:r>
    </w:p>
  </w:footnote>
  <w:footnote w:id="21">
    <w:p w14:paraId="5D1C2358" w14:textId="1BEE4093" w:rsidR="00DF6874" w:rsidRPr="00DF6874" w:rsidRDefault="00DF6874" w:rsidP="00DF6874">
      <w:pPr>
        <w:pStyle w:val="ad"/>
        <w:rPr>
          <w:lang w:val="en-US"/>
        </w:rPr>
      </w:pPr>
      <w:r w:rsidRPr="00835EF3">
        <w:rPr>
          <w:lang w:val="en-US"/>
        </w:rPr>
        <w:tab/>
      </w:r>
      <w:r w:rsidRPr="00672EC1">
        <w:rPr>
          <w:rStyle w:val="aa"/>
        </w:rPr>
        <w:footnoteRef/>
      </w:r>
      <w:r w:rsidRPr="00B07C8A">
        <w:rPr>
          <w:lang w:val="en-US"/>
        </w:rPr>
        <w:tab/>
        <w:t>C</w:t>
      </w:r>
      <w:r>
        <w:t>м</w:t>
      </w:r>
      <w:r w:rsidRPr="00B07C8A">
        <w:rPr>
          <w:lang w:val="en-US"/>
        </w:rPr>
        <w:t xml:space="preserve">. </w:t>
      </w:r>
      <w:hyperlink r:id="rId20" w:history="1">
        <w:r w:rsidR="00835EF3" w:rsidRPr="008A51F2">
          <w:rPr>
            <w:rStyle w:val="af1"/>
            <w:lang w:val="en-US"/>
          </w:rPr>
          <w:t>https://www.ohchr.org/en/statements/2022/11/nicaragua-two-un-rights-committees-deplore-refusal-cooperate-and-lack</w:t>
        </w:r>
      </w:hyperlink>
      <w:r w:rsidRPr="00B07C8A">
        <w:rPr>
          <w:lang w:val="en-US"/>
        </w:rPr>
        <w:t>.</w:t>
      </w:r>
    </w:p>
  </w:footnote>
  <w:footnote w:id="22">
    <w:p w14:paraId="1B84C502" w14:textId="62BD1A4B" w:rsidR="00DF6874" w:rsidRPr="00DF6874" w:rsidRDefault="00DF6874" w:rsidP="00DF6874">
      <w:pPr>
        <w:pStyle w:val="ad"/>
        <w:rPr>
          <w:lang w:val="en-US"/>
        </w:rPr>
      </w:pPr>
      <w:r w:rsidRPr="00B07C8A">
        <w:rPr>
          <w:lang w:val="en-US"/>
        </w:rPr>
        <w:tab/>
      </w:r>
      <w:r w:rsidRPr="008C67D8">
        <w:rPr>
          <w:rStyle w:val="aa"/>
        </w:rPr>
        <w:footnoteRef/>
      </w:r>
      <w:r w:rsidRPr="00B07C8A">
        <w:rPr>
          <w:lang w:val="en-US"/>
        </w:rPr>
        <w:tab/>
      </w:r>
      <w:hyperlink r:id="rId21" w:history="1">
        <w:r w:rsidRPr="00DF6874">
          <w:rPr>
            <w:rStyle w:val="af1"/>
            <w:lang w:val="en-US"/>
          </w:rPr>
          <w:t>CAT/OP/NIC/ROSP/1</w:t>
        </w:r>
      </w:hyperlink>
      <w:r w:rsidRPr="00B07C8A">
        <w:rPr>
          <w:lang w:val="en-US"/>
        </w:rPr>
        <w:t>.</w:t>
      </w:r>
    </w:p>
  </w:footnote>
  <w:footnote w:id="23">
    <w:p w14:paraId="4F86A6A2" w14:textId="3BC99304" w:rsidR="00DF6874" w:rsidRPr="00DF6874" w:rsidRDefault="00DF6874" w:rsidP="00DF6874">
      <w:pPr>
        <w:pStyle w:val="ad"/>
        <w:rPr>
          <w:lang w:val="en-US"/>
        </w:rPr>
      </w:pPr>
      <w:r w:rsidRPr="00B07C8A">
        <w:rPr>
          <w:lang w:val="en-US"/>
        </w:rPr>
        <w:tab/>
      </w:r>
      <w:r w:rsidRPr="008C67D8">
        <w:rPr>
          <w:rStyle w:val="aa"/>
        </w:rPr>
        <w:footnoteRef/>
      </w:r>
      <w:r w:rsidRPr="00B07C8A">
        <w:rPr>
          <w:lang w:val="en-US"/>
        </w:rPr>
        <w:t xml:space="preserve"> </w:t>
      </w:r>
      <w:r w:rsidRPr="00B07C8A">
        <w:rPr>
          <w:lang w:val="en-US"/>
        </w:rPr>
        <w:tab/>
      </w:r>
      <w:hyperlink r:id="rId22" w:history="1">
        <w:r w:rsidRPr="00DF6874">
          <w:rPr>
            <w:rStyle w:val="af1"/>
            <w:lang w:val="en-US"/>
          </w:rPr>
          <w:t>CAT/OP/8</w:t>
        </w:r>
      </w:hyperlink>
      <w:r w:rsidRPr="00B07C8A">
        <w:rPr>
          <w:lang w:val="en-US"/>
        </w:rPr>
        <w:t>.</w:t>
      </w:r>
    </w:p>
  </w:footnote>
  <w:footnote w:id="24">
    <w:p w14:paraId="7BB36492" w14:textId="4C65EC39" w:rsidR="00DF6874" w:rsidRPr="00DF6874" w:rsidRDefault="00DF6874" w:rsidP="00DF6874">
      <w:pPr>
        <w:pStyle w:val="ad"/>
        <w:rPr>
          <w:lang w:val="en-US"/>
        </w:rPr>
      </w:pPr>
      <w:r w:rsidRPr="00B07C8A">
        <w:rPr>
          <w:lang w:val="en-US"/>
        </w:rPr>
        <w:tab/>
      </w:r>
      <w:r w:rsidRPr="008C67D8">
        <w:rPr>
          <w:rStyle w:val="aa"/>
        </w:rPr>
        <w:footnoteRef/>
      </w:r>
      <w:r w:rsidRPr="00B07C8A">
        <w:rPr>
          <w:lang w:val="en-US"/>
        </w:rPr>
        <w:tab/>
      </w:r>
      <w:r>
        <w:t>См</w:t>
      </w:r>
      <w:r w:rsidRPr="00B07C8A">
        <w:rPr>
          <w:lang w:val="en-US"/>
        </w:rPr>
        <w:t xml:space="preserve">. </w:t>
      </w:r>
      <w:hyperlink r:id="rId23" w:history="1">
        <w:r w:rsidR="00835EF3" w:rsidRPr="008A51F2">
          <w:rPr>
            <w:rStyle w:val="af1"/>
            <w:lang w:val="en-US"/>
          </w:rPr>
          <w:t>https://www.ohchr.org/en/press-releases/2022/04/un-torture-prevention-body-applauds-brazil-supreme-courts-decision</w:t>
        </w:r>
      </w:hyperlink>
      <w:r w:rsidRPr="00B07C8A">
        <w:rPr>
          <w:lang w:val="en-US"/>
        </w:rPr>
        <w:t>.</w:t>
      </w:r>
    </w:p>
  </w:footnote>
  <w:footnote w:id="25">
    <w:p w14:paraId="2C263F6F" w14:textId="7D241E25" w:rsidR="00DF6874" w:rsidRPr="00DF6874" w:rsidRDefault="00DF6874" w:rsidP="00DF6874">
      <w:pPr>
        <w:pStyle w:val="ad"/>
        <w:rPr>
          <w:lang w:val="en-US"/>
        </w:rPr>
      </w:pPr>
      <w:r w:rsidRPr="00B07C8A">
        <w:rPr>
          <w:lang w:val="en-US"/>
        </w:rPr>
        <w:tab/>
      </w:r>
      <w:r w:rsidRPr="00672EC1">
        <w:rPr>
          <w:rStyle w:val="aa"/>
        </w:rPr>
        <w:footnoteRef/>
      </w:r>
      <w:r w:rsidRPr="00B07C8A">
        <w:rPr>
          <w:lang w:val="en-US"/>
        </w:rPr>
        <w:tab/>
      </w:r>
      <w:r>
        <w:t>См</w:t>
      </w:r>
      <w:r w:rsidRPr="00B07C8A">
        <w:rPr>
          <w:lang w:val="en-US"/>
        </w:rPr>
        <w:t xml:space="preserve">. </w:t>
      </w:r>
      <w:hyperlink r:id="rId24" w:history="1">
        <w:r w:rsidR="00835EF3" w:rsidRPr="008A51F2">
          <w:rPr>
            <w:rStyle w:val="af1"/>
            <w:lang w:val="en-US"/>
          </w:rPr>
          <w:t>https://www.ohchr.org/en/press-releases/2022/10/un-torture-prevention-body-suspends-visit-australia-citing-lack-co-operation</w:t>
        </w:r>
      </w:hyperlink>
      <w:r w:rsidRPr="00B07C8A">
        <w:rPr>
          <w:lang w:val="en-US"/>
        </w:rPr>
        <w:t>.</w:t>
      </w:r>
    </w:p>
  </w:footnote>
  <w:footnote w:id="26">
    <w:p w14:paraId="525C4BAE" w14:textId="6DA570AB" w:rsidR="00DF6874" w:rsidRPr="00177DB1" w:rsidRDefault="00DF6874" w:rsidP="00DF6874">
      <w:pPr>
        <w:pStyle w:val="ad"/>
        <w:rPr>
          <w:lang w:val="en-US"/>
        </w:rPr>
      </w:pPr>
      <w:r w:rsidRPr="00B07C8A">
        <w:rPr>
          <w:lang w:val="en-US"/>
        </w:rPr>
        <w:tab/>
      </w:r>
      <w:r w:rsidRPr="00672EC1">
        <w:rPr>
          <w:rStyle w:val="aa"/>
        </w:rPr>
        <w:footnoteRef/>
      </w:r>
      <w:r w:rsidRPr="00545DD1">
        <w:tab/>
      </w:r>
      <w:r>
        <w:t>См</w:t>
      </w:r>
      <w:r w:rsidRPr="00545DD1">
        <w:t xml:space="preserve">. </w:t>
      </w:r>
      <w:hyperlink r:id="rId25" w:history="1">
        <w:r w:rsidR="00835EF3" w:rsidRPr="008A51F2">
          <w:rPr>
            <w:rStyle w:val="af1"/>
            <w:lang w:val="en-US"/>
          </w:rPr>
          <w:t>https</w:t>
        </w:r>
        <w:r w:rsidR="00835EF3" w:rsidRPr="00177DB1">
          <w:rPr>
            <w:rStyle w:val="af1"/>
            <w:lang w:val="en-US"/>
          </w:rPr>
          <w:t>://</w:t>
        </w:r>
        <w:r w:rsidR="00835EF3" w:rsidRPr="008A51F2">
          <w:rPr>
            <w:rStyle w:val="af1"/>
            <w:lang w:val="en-US"/>
          </w:rPr>
          <w:t>www</w:t>
        </w:r>
        <w:r w:rsidR="00835EF3" w:rsidRPr="00177DB1">
          <w:rPr>
            <w:rStyle w:val="af1"/>
            <w:lang w:val="en-US"/>
          </w:rPr>
          <w:t>.</w:t>
        </w:r>
        <w:r w:rsidR="00835EF3" w:rsidRPr="008A51F2">
          <w:rPr>
            <w:rStyle w:val="af1"/>
            <w:lang w:val="en-US"/>
          </w:rPr>
          <w:t>ohchr</w:t>
        </w:r>
        <w:r w:rsidR="00835EF3" w:rsidRPr="00177DB1">
          <w:rPr>
            <w:rStyle w:val="af1"/>
            <w:lang w:val="en-US"/>
          </w:rPr>
          <w:t>.</w:t>
        </w:r>
        <w:r w:rsidR="00835EF3" w:rsidRPr="008A51F2">
          <w:rPr>
            <w:rStyle w:val="af1"/>
            <w:lang w:val="en-US"/>
          </w:rPr>
          <w:t>org</w:t>
        </w:r>
        <w:r w:rsidR="00835EF3" w:rsidRPr="00177DB1">
          <w:rPr>
            <w:rStyle w:val="af1"/>
            <w:lang w:val="en-US"/>
          </w:rPr>
          <w:t>/</w:t>
        </w:r>
        <w:r w:rsidR="00835EF3" w:rsidRPr="008A51F2">
          <w:rPr>
            <w:rStyle w:val="af1"/>
            <w:lang w:val="en-US"/>
          </w:rPr>
          <w:t>en</w:t>
        </w:r>
        <w:r w:rsidR="00835EF3" w:rsidRPr="00177DB1">
          <w:rPr>
            <w:rStyle w:val="af1"/>
            <w:lang w:val="en-US"/>
          </w:rPr>
          <w:t>/</w:t>
        </w:r>
        <w:r w:rsidR="00835EF3" w:rsidRPr="008A51F2">
          <w:rPr>
            <w:rStyle w:val="af1"/>
            <w:lang w:val="en-US"/>
          </w:rPr>
          <w:t>press</w:t>
        </w:r>
        <w:r w:rsidR="00835EF3" w:rsidRPr="00177DB1">
          <w:rPr>
            <w:rStyle w:val="af1"/>
            <w:lang w:val="en-US"/>
          </w:rPr>
          <w:t>-</w:t>
        </w:r>
        <w:r w:rsidR="00835EF3" w:rsidRPr="008A51F2">
          <w:rPr>
            <w:rStyle w:val="af1"/>
            <w:lang w:val="en-US"/>
          </w:rPr>
          <w:t>releases</w:t>
        </w:r>
        <w:r w:rsidR="00835EF3" w:rsidRPr="00177DB1">
          <w:rPr>
            <w:rStyle w:val="af1"/>
            <w:lang w:val="en-US"/>
          </w:rPr>
          <w:t>/2022/11/</w:t>
        </w:r>
        <w:r w:rsidR="00835EF3" w:rsidRPr="008A51F2">
          <w:rPr>
            <w:rStyle w:val="af1"/>
            <w:lang w:val="en-US"/>
          </w:rPr>
          <w:t>un</w:t>
        </w:r>
        <w:r w:rsidR="00835EF3" w:rsidRPr="00177DB1">
          <w:rPr>
            <w:rStyle w:val="af1"/>
            <w:lang w:val="en-US"/>
          </w:rPr>
          <w:t>-</w:t>
        </w:r>
        <w:r w:rsidR="00835EF3" w:rsidRPr="008A51F2">
          <w:rPr>
            <w:rStyle w:val="af1"/>
            <w:lang w:val="en-US"/>
          </w:rPr>
          <w:t>torture</w:t>
        </w:r>
        <w:r w:rsidR="00835EF3" w:rsidRPr="00177DB1">
          <w:rPr>
            <w:rStyle w:val="af1"/>
            <w:lang w:val="en-US"/>
          </w:rPr>
          <w:t>-</w:t>
        </w:r>
        <w:r w:rsidR="00835EF3" w:rsidRPr="008A51F2">
          <w:rPr>
            <w:rStyle w:val="af1"/>
            <w:lang w:val="en-US"/>
          </w:rPr>
          <w:t>prevention</w:t>
        </w:r>
        <w:r w:rsidR="00835EF3" w:rsidRPr="00177DB1">
          <w:rPr>
            <w:rStyle w:val="af1"/>
            <w:lang w:val="en-US"/>
          </w:rPr>
          <w:t>-</w:t>
        </w:r>
        <w:r w:rsidR="00835EF3" w:rsidRPr="008A51F2">
          <w:rPr>
            <w:rStyle w:val="af1"/>
            <w:lang w:val="en-US"/>
          </w:rPr>
          <w:t>body</w:t>
        </w:r>
        <w:r w:rsidR="00835EF3" w:rsidRPr="00177DB1">
          <w:rPr>
            <w:rStyle w:val="af1"/>
            <w:lang w:val="en-US"/>
          </w:rPr>
          <w:t>-</w:t>
        </w:r>
        <w:r w:rsidR="00835EF3" w:rsidRPr="008A51F2">
          <w:rPr>
            <w:rStyle w:val="af1"/>
            <w:lang w:val="en-US"/>
          </w:rPr>
          <w:t>announces</w:t>
        </w:r>
        <w:r w:rsidR="00835EF3" w:rsidRPr="00177DB1">
          <w:rPr>
            <w:rStyle w:val="af1"/>
            <w:lang w:val="en-US"/>
          </w:rPr>
          <w:t>-</w:t>
        </w:r>
        <w:r w:rsidR="00835EF3" w:rsidRPr="008A51F2">
          <w:rPr>
            <w:rStyle w:val="af1"/>
            <w:lang w:val="en-US"/>
          </w:rPr>
          <w:t>upcoming</w:t>
        </w:r>
        <w:r w:rsidR="00835EF3" w:rsidRPr="00177DB1">
          <w:rPr>
            <w:rStyle w:val="af1"/>
            <w:lang w:val="en-US"/>
          </w:rPr>
          <w:t>-</w:t>
        </w:r>
        <w:r w:rsidR="00835EF3" w:rsidRPr="008A51F2">
          <w:rPr>
            <w:rStyle w:val="af1"/>
            <w:lang w:val="en-US"/>
          </w:rPr>
          <w:t>visits</w:t>
        </w:r>
        <w:r w:rsidR="00835EF3" w:rsidRPr="00177DB1">
          <w:rPr>
            <w:rStyle w:val="af1"/>
            <w:lang w:val="en-US"/>
          </w:rPr>
          <w:t>-2023</w:t>
        </w:r>
      </w:hyperlink>
      <w:r w:rsidRPr="00177DB1">
        <w:rPr>
          <w:lang w:val="en-US"/>
        </w:rPr>
        <w:t>.</w:t>
      </w:r>
    </w:p>
  </w:footnote>
  <w:footnote w:id="27">
    <w:p w14:paraId="39D0418E" w14:textId="343F99F1" w:rsidR="00DF6874" w:rsidRPr="00B07C8A" w:rsidRDefault="00DF6874" w:rsidP="00DF6874">
      <w:pPr>
        <w:pStyle w:val="ad"/>
      </w:pPr>
      <w:r w:rsidRPr="00177DB1">
        <w:rPr>
          <w:lang w:val="en-US"/>
        </w:rPr>
        <w:tab/>
      </w:r>
      <w:r w:rsidRPr="00672EC1">
        <w:rPr>
          <w:rStyle w:val="aa"/>
        </w:rPr>
        <w:footnoteRef/>
      </w:r>
      <w:r>
        <w:tab/>
      </w:r>
      <w:hyperlink r:id="rId26" w:history="1">
        <w:r w:rsidRPr="00DF6874">
          <w:rPr>
            <w:rStyle w:val="af1"/>
          </w:rPr>
          <w:t>CAT/C/63/4</w:t>
        </w:r>
      </w:hyperlink>
      <w:r>
        <w:t>.</w:t>
      </w:r>
    </w:p>
  </w:footnote>
  <w:footnote w:id="28">
    <w:p w14:paraId="056FBB48" w14:textId="5A565BA1" w:rsidR="00DF6874" w:rsidRPr="00B07C8A" w:rsidRDefault="00DF6874" w:rsidP="00DF6874">
      <w:pPr>
        <w:pStyle w:val="ad"/>
      </w:pPr>
      <w:r>
        <w:tab/>
      </w:r>
      <w:r>
        <w:rPr>
          <w:rStyle w:val="aa"/>
        </w:rPr>
        <w:footnoteRef/>
      </w:r>
      <w:r>
        <w:t xml:space="preserve"> </w:t>
      </w:r>
      <w:r>
        <w:tab/>
      </w:r>
      <w:hyperlink r:id="rId27" w:history="1">
        <w:r w:rsidRPr="00DF6874">
          <w:rPr>
            <w:rStyle w:val="af1"/>
          </w:rPr>
          <w:t>CAT/C/73/2</w:t>
        </w:r>
      </w:hyperlink>
      <w:r>
        <w:t>, приложение.</w:t>
      </w:r>
    </w:p>
  </w:footnote>
  <w:footnote w:id="29">
    <w:p w14:paraId="2A7072B4" w14:textId="4A2B1FC1" w:rsidR="00DF6874" w:rsidRPr="00DF6874" w:rsidRDefault="00DF6874" w:rsidP="00DF6874">
      <w:pPr>
        <w:pStyle w:val="ad"/>
        <w:rPr>
          <w:lang w:val="en-US"/>
        </w:rPr>
      </w:pPr>
      <w:r>
        <w:tab/>
      </w:r>
      <w:r w:rsidRPr="00672EC1">
        <w:rPr>
          <w:rStyle w:val="aa"/>
        </w:rPr>
        <w:footnoteRef/>
      </w:r>
      <w:r>
        <w:tab/>
        <w:t xml:space="preserve">См. </w:t>
      </w:r>
      <w:hyperlink r:id="rId28" w:history="1">
        <w:r w:rsidRPr="00DF6874">
          <w:rPr>
            <w:rStyle w:val="af1"/>
            <w:lang w:val="en-US"/>
          </w:rPr>
          <w:t>A/77/228</w:t>
        </w:r>
      </w:hyperlink>
      <w:r w:rsidRPr="00DF6874">
        <w:rPr>
          <w:lang w:val="en-US"/>
        </w:rPr>
        <w:t>.</w:t>
      </w:r>
    </w:p>
  </w:footnote>
  <w:footnote w:id="30">
    <w:p w14:paraId="36ED2A0D" w14:textId="70778C78" w:rsidR="00DF6874" w:rsidRPr="00DF6874" w:rsidRDefault="00DF6874" w:rsidP="00DF6874">
      <w:pPr>
        <w:pStyle w:val="ad"/>
        <w:rPr>
          <w:lang w:val="en-US"/>
        </w:rPr>
      </w:pPr>
      <w:r w:rsidRPr="00DF6874">
        <w:rPr>
          <w:lang w:val="en-US"/>
        </w:rPr>
        <w:tab/>
      </w:r>
      <w:r w:rsidRPr="00A30618">
        <w:rPr>
          <w:rStyle w:val="aa"/>
        </w:rPr>
        <w:footnoteRef/>
      </w:r>
      <w:r w:rsidRPr="00DF6874">
        <w:rPr>
          <w:lang w:val="en-US"/>
        </w:rPr>
        <w:tab/>
      </w:r>
      <w:hyperlink r:id="rId29" w:history="1">
        <w:r w:rsidRPr="00DF6874">
          <w:rPr>
            <w:rStyle w:val="af1"/>
            <w:lang w:val="en-US"/>
          </w:rPr>
          <w:t>CAT/C/73/2</w:t>
        </w:r>
      </w:hyperlink>
      <w:r w:rsidRPr="00DF6874">
        <w:rPr>
          <w:lang w:val="en-US"/>
        </w:rPr>
        <w:t xml:space="preserve">, </w:t>
      </w:r>
      <w:r>
        <w:t>приложение</w:t>
      </w:r>
      <w:r w:rsidRPr="00DF6874">
        <w:rPr>
          <w:lang w:val="en-US"/>
        </w:rPr>
        <w:t>.</w:t>
      </w:r>
    </w:p>
  </w:footnote>
  <w:footnote w:id="31">
    <w:p w14:paraId="4372F337" w14:textId="29EE46BA" w:rsidR="00DF6874" w:rsidRPr="00DF6874" w:rsidRDefault="00DF6874" w:rsidP="00DF6874">
      <w:pPr>
        <w:pStyle w:val="ad"/>
        <w:rPr>
          <w:lang w:val="en-US"/>
        </w:rPr>
      </w:pPr>
      <w:r w:rsidRPr="00DF6874">
        <w:rPr>
          <w:lang w:val="en-US"/>
        </w:rPr>
        <w:tab/>
      </w:r>
      <w:r>
        <w:rPr>
          <w:rStyle w:val="aa"/>
        </w:rPr>
        <w:footnoteRef/>
      </w:r>
      <w:r w:rsidRPr="00DF6874">
        <w:rPr>
          <w:lang w:val="en-US"/>
        </w:rPr>
        <w:tab/>
      </w:r>
      <w:hyperlink r:id="rId30" w:history="1">
        <w:r w:rsidRPr="00DF6874">
          <w:rPr>
            <w:rStyle w:val="af1"/>
            <w:lang w:val="en-US"/>
          </w:rPr>
          <w:t>CAT/OP/12/5</w:t>
        </w:r>
      </w:hyperlink>
      <w:r w:rsidRPr="00DF6874">
        <w:rPr>
          <w:lang w:val="en-US"/>
        </w:rPr>
        <w:t xml:space="preserve">, </w:t>
      </w:r>
      <w:r>
        <w:t>п</w:t>
      </w:r>
      <w:r w:rsidRPr="00DF6874">
        <w:rPr>
          <w:lang w:val="en-US"/>
        </w:rPr>
        <w:t>.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74C7A" w14:textId="30FF901F" w:rsidR="00DF6874" w:rsidRPr="00DF6874" w:rsidRDefault="00DF6874">
    <w:pPr>
      <w:pStyle w:val="a5"/>
    </w:pPr>
    <w:fldSimple w:instr=" TITLE  \* MERGEFORMAT ">
      <w:r w:rsidR="006725F0">
        <w:t>CAT/C/76/2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198B" w14:textId="201B4029" w:rsidR="00DF6874" w:rsidRPr="00DF6874" w:rsidRDefault="00DF6874" w:rsidP="00DF6874">
    <w:pPr>
      <w:pStyle w:val="a5"/>
      <w:jc w:val="right"/>
    </w:pPr>
    <w:fldSimple w:instr=" TITLE  \* MERGEFORMAT ">
      <w:r w:rsidR="006725F0">
        <w:t>CAT/C/76/2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28690784">
    <w:abstractNumId w:val="18"/>
  </w:num>
  <w:num w:numId="2" w16cid:durableId="1287465755">
    <w:abstractNumId w:val="12"/>
  </w:num>
  <w:num w:numId="3" w16cid:durableId="1027635194">
    <w:abstractNumId w:val="16"/>
  </w:num>
  <w:num w:numId="4" w16cid:durableId="651637717">
    <w:abstractNumId w:val="11"/>
  </w:num>
  <w:num w:numId="5" w16cid:durableId="1023045866">
    <w:abstractNumId w:val="14"/>
  </w:num>
  <w:num w:numId="6" w16cid:durableId="886065167">
    <w:abstractNumId w:val="8"/>
  </w:num>
  <w:num w:numId="7" w16cid:durableId="89354110">
    <w:abstractNumId w:val="3"/>
  </w:num>
  <w:num w:numId="8" w16cid:durableId="823473062">
    <w:abstractNumId w:val="2"/>
  </w:num>
  <w:num w:numId="9" w16cid:durableId="1019896213">
    <w:abstractNumId w:val="1"/>
  </w:num>
  <w:num w:numId="10" w16cid:durableId="1628585030">
    <w:abstractNumId w:val="0"/>
  </w:num>
  <w:num w:numId="11" w16cid:durableId="1522470103">
    <w:abstractNumId w:val="9"/>
  </w:num>
  <w:num w:numId="12" w16cid:durableId="1585412229">
    <w:abstractNumId w:val="7"/>
  </w:num>
  <w:num w:numId="13" w16cid:durableId="473647526">
    <w:abstractNumId w:val="6"/>
  </w:num>
  <w:num w:numId="14" w16cid:durableId="1953586004">
    <w:abstractNumId w:val="5"/>
  </w:num>
  <w:num w:numId="15" w16cid:durableId="1563058711">
    <w:abstractNumId w:val="4"/>
  </w:num>
  <w:num w:numId="16" w16cid:durableId="1737976603">
    <w:abstractNumId w:val="17"/>
  </w:num>
  <w:num w:numId="17" w16cid:durableId="499122755">
    <w:abstractNumId w:val="13"/>
  </w:num>
  <w:num w:numId="18" w16cid:durableId="772362070">
    <w:abstractNumId w:val="15"/>
  </w:num>
  <w:num w:numId="19" w16cid:durableId="1263606443">
    <w:abstractNumId w:val="17"/>
  </w:num>
  <w:num w:numId="20" w16cid:durableId="1089345825">
    <w:abstractNumId w:val="13"/>
  </w:num>
  <w:num w:numId="21" w16cid:durableId="203718610">
    <w:abstractNumId w:val="15"/>
  </w:num>
  <w:num w:numId="22" w16cid:durableId="204590945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09A"/>
    <w:rsid w:val="00030741"/>
    <w:rsid w:val="00033EE1"/>
    <w:rsid w:val="00041407"/>
    <w:rsid w:val="00042B72"/>
    <w:rsid w:val="000558BD"/>
    <w:rsid w:val="000725B5"/>
    <w:rsid w:val="000814CD"/>
    <w:rsid w:val="000B57E7"/>
    <w:rsid w:val="000B6373"/>
    <w:rsid w:val="000F09DF"/>
    <w:rsid w:val="000F61B2"/>
    <w:rsid w:val="00104E9F"/>
    <w:rsid w:val="001075E9"/>
    <w:rsid w:val="00163EC5"/>
    <w:rsid w:val="00177DB1"/>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C5C"/>
    <w:rsid w:val="0050108D"/>
    <w:rsid w:val="00513081"/>
    <w:rsid w:val="00514F3D"/>
    <w:rsid w:val="00517901"/>
    <w:rsid w:val="00526683"/>
    <w:rsid w:val="00547276"/>
    <w:rsid w:val="00550706"/>
    <w:rsid w:val="005709E0"/>
    <w:rsid w:val="00570A37"/>
    <w:rsid w:val="00572E19"/>
    <w:rsid w:val="0058663C"/>
    <w:rsid w:val="005961C8"/>
    <w:rsid w:val="005A0C5E"/>
    <w:rsid w:val="005D7914"/>
    <w:rsid w:val="005E2B41"/>
    <w:rsid w:val="005F0B42"/>
    <w:rsid w:val="006725F0"/>
    <w:rsid w:val="00681A10"/>
    <w:rsid w:val="006A1ED8"/>
    <w:rsid w:val="006C2031"/>
    <w:rsid w:val="006D461A"/>
    <w:rsid w:val="006F35EE"/>
    <w:rsid w:val="007021FF"/>
    <w:rsid w:val="00712895"/>
    <w:rsid w:val="00752A81"/>
    <w:rsid w:val="00757357"/>
    <w:rsid w:val="00825F8D"/>
    <w:rsid w:val="00834B71"/>
    <w:rsid w:val="00834CC0"/>
    <w:rsid w:val="00835EF3"/>
    <w:rsid w:val="0086445C"/>
    <w:rsid w:val="00894693"/>
    <w:rsid w:val="008A08D7"/>
    <w:rsid w:val="008B6909"/>
    <w:rsid w:val="00906890"/>
    <w:rsid w:val="00911BE4"/>
    <w:rsid w:val="00951972"/>
    <w:rsid w:val="00953B7A"/>
    <w:rsid w:val="009569AF"/>
    <w:rsid w:val="009608F3"/>
    <w:rsid w:val="009A24AC"/>
    <w:rsid w:val="00A312BC"/>
    <w:rsid w:val="00A4609A"/>
    <w:rsid w:val="00A478EF"/>
    <w:rsid w:val="00A66C5E"/>
    <w:rsid w:val="00A74D9D"/>
    <w:rsid w:val="00A84021"/>
    <w:rsid w:val="00A84D35"/>
    <w:rsid w:val="00A85277"/>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A5B9E"/>
    <w:rsid w:val="00DF6874"/>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74000"/>
  <w15:docId w15:val="{4518FAD6-177B-4B89-A562-7A8725227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DF6874"/>
    <w:rPr>
      <w:lang w:val="ru-RU" w:eastAsia="en-US"/>
    </w:rPr>
  </w:style>
  <w:style w:type="paragraph" w:styleId="11">
    <w:name w:val="toc 1"/>
    <w:basedOn w:val="a"/>
    <w:next w:val="a"/>
    <w:autoRedefine/>
    <w:uiPriority w:val="39"/>
    <w:unhideWhenUsed/>
    <w:rsid w:val="00DF6874"/>
    <w:pPr>
      <w:spacing w:after="100"/>
    </w:pPr>
  </w:style>
  <w:style w:type="paragraph" w:styleId="20">
    <w:name w:val="toc 2"/>
    <w:basedOn w:val="a"/>
    <w:next w:val="a"/>
    <w:autoRedefine/>
    <w:uiPriority w:val="39"/>
    <w:unhideWhenUsed/>
    <w:rsid w:val="00DF6874"/>
    <w:pPr>
      <w:spacing w:after="100"/>
      <w:ind w:left="200"/>
    </w:pPr>
  </w:style>
  <w:style w:type="character" w:styleId="af3">
    <w:name w:val="Unresolved Mention"/>
    <w:basedOn w:val="a0"/>
    <w:uiPriority w:val="99"/>
    <w:semiHidden/>
    <w:unhideWhenUsed/>
    <w:rsid w:val="00DF6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OP/BGR/ROSP/1" TargetMode="External"/><Relationship Id="rId13" Type="http://schemas.openxmlformats.org/officeDocument/2006/relationships/hyperlink" Target="http://undocs.org/ru/CAT/OP/11" TargetMode="External"/><Relationship Id="rId18" Type="http://schemas.openxmlformats.org/officeDocument/2006/relationships/hyperlink" Target="https://www.ohchr.org/en/statements/2022/11/nicaragua-two-un-rights-committees-deplore-refusal-cooperate-and-lack" TargetMode="External"/><Relationship Id="rId26" Type="http://schemas.openxmlformats.org/officeDocument/2006/relationships/hyperlink" Target="http://undocs.org/ru/CAT/C/63/4" TargetMode="External"/><Relationship Id="rId3" Type="http://schemas.openxmlformats.org/officeDocument/2006/relationships/hyperlink" Target="https://www.ohchr.org/en/treaty-bodies/spt/regional-teams" TargetMode="External"/><Relationship Id="rId21" Type="http://schemas.openxmlformats.org/officeDocument/2006/relationships/hyperlink" Target="http://undocs.org/ru/CAT/OP/NIC/ROSP/1" TargetMode="External"/><Relationship Id="rId7" Type="http://schemas.openxmlformats.org/officeDocument/2006/relationships/hyperlink" Target="https://tbinternet.ohchr.org/_layouts/15/TreatyBodyExternal/CountryVisits.aspx" TargetMode="External"/><Relationship Id="rId12" Type="http://schemas.openxmlformats.org/officeDocument/2006/relationships/hyperlink" Target="http://undocs.org/ru/CAT/OP/12" TargetMode="External"/><Relationship Id="rId17" Type="http://schemas.openxmlformats.org/officeDocument/2006/relationships/hyperlink" Target="https://www.ohchr.org/en/statements/2022/06/un-experts-healthcare-professionals-are-essential-torture-prevention" TargetMode="External"/><Relationship Id="rId25" Type="http://schemas.openxmlformats.org/officeDocument/2006/relationships/hyperlink" Target="https://www.ohchr.org/en/press-releases/2022/11/un-torture-prevention-body-announces-upcoming-visits-2023" TargetMode="External"/><Relationship Id="rId2" Type="http://schemas.openxmlformats.org/officeDocument/2006/relationships/hyperlink" Target="https://www.ohchr.org/en/treaty-bodies/spt/membership" TargetMode="External"/><Relationship Id="rId16" Type="http://schemas.openxmlformats.org/officeDocument/2006/relationships/hyperlink" Target="http://undocs.org/ru/CAT/C/73/2" TargetMode="External"/><Relationship Id="rId20" Type="http://schemas.openxmlformats.org/officeDocument/2006/relationships/hyperlink" Target="https://www.ohchr.org/en/statements/2022/11/nicaragua-two-un-rights-committees-deplore-refusal-cooperate-and-lack" TargetMode="External"/><Relationship Id="rId29" Type="http://schemas.openxmlformats.org/officeDocument/2006/relationships/hyperlink" Target="http://undocs.org/ru/CAT/C/73/2" TargetMode="External"/><Relationship Id="rId1" Type="http://schemas.openxmlformats.org/officeDocument/2006/relationships/hyperlink" Target="https://treaties.un.org/Pages/ViewDetails.aspx?src=TREATY&amp;mtdsg_no=IV-12&amp;chapter=4&amp;clang=_en" TargetMode="External"/><Relationship Id="rId6" Type="http://schemas.openxmlformats.org/officeDocument/2006/relationships/hyperlink" Target="https://www.ohchr.org/en/treaty-bodies/spt" TargetMode="External"/><Relationship Id="rId11" Type="http://schemas.openxmlformats.org/officeDocument/2006/relationships/hyperlink" Target="http://undocs.org/ru/CAT/OP/10" TargetMode="External"/><Relationship Id="rId24" Type="http://schemas.openxmlformats.org/officeDocument/2006/relationships/hyperlink" Target="https://www.ohchr.org/en/press-releases/2022/10/un-torture-prevention-body-suspends-visit-australia-citing-lack-co-operation" TargetMode="External"/><Relationship Id="rId5" Type="http://schemas.openxmlformats.org/officeDocument/2006/relationships/hyperlink" Target="http://undocs.org/ru/A/67/222/Corr.1" TargetMode="External"/><Relationship Id="rId15" Type="http://schemas.openxmlformats.org/officeDocument/2006/relationships/hyperlink" Target="https://www.ohchr.org/en/statements/2022/10/chairperson-subcommittee-prevention-tortures-statement-77th-ga-session" TargetMode="External"/><Relationship Id="rId23" Type="http://schemas.openxmlformats.org/officeDocument/2006/relationships/hyperlink" Target="https://www.ohchr.org/en/press-releases/2022/04/un-torture-prevention-body-applauds-brazil-supreme-courts-decision" TargetMode="External"/><Relationship Id="rId28" Type="http://schemas.openxmlformats.org/officeDocument/2006/relationships/hyperlink" Target="http://undocs.org/ru/A/77/228" TargetMode="External"/><Relationship Id="rId10" Type="http://schemas.openxmlformats.org/officeDocument/2006/relationships/hyperlink" Target="https://www.ohchr.org/en/treaty-bodies/spt/non-compliance-article-17" TargetMode="External"/><Relationship Id="rId19" Type="http://schemas.openxmlformats.org/officeDocument/2006/relationships/hyperlink" Target="http://undocs.org/ru/CAT/C/75/2" TargetMode="External"/><Relationship Id="rId4" Type="http://schemas.openxmlformats.org/officeDocument/2006/relationships/hyperlink" Target="http://undocs.org/ru/A/67/222" TargetMode="External"/><Relationship Id="rId9" Type="http://schemas.openxmlformats.org/officeDocument/2006/relationships/hyperlink" Target="http://undocs.org/ru/CAT/OP/BGR/CSPRO/1" TargetMode="External"/><Relationship Id="rId14" Type="http://schemas.openxmlformats.org/officeDocument/2006/relationships/hyperlink" Target="http://undocs.org/ru/CAT/C/73/2" TargetMode="External"/><Relationship Id="rId22" Type="http://schemas.openxmlformats.org/officeDocument/2006/relationships/hyperlink" Target="http://undocs.org/ru/CAT/OP/8" TargetMode="External"/><Relationship Id="rId27" Type="http://schemas.openxmlformats.org/officeDocument/2006/relationships/hyperlink" Target="http://undocs.org/ru/CAT/C/73/2" TargetMode="External"/><Relationship Id="rId30" Type="http://schemas.openxmlformats.org/officeDocument/2006/relationships/hyperlink" Target="http://undocs.org/ru/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35C36-A59C-441C-BBC6-B4C735554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68</TotalTime>
  <Pages>16</Pages>
  <Words>5513</Words>
  <Characters>38695</Characters>
  <Application>Microsoft Office Word</Application>
  <DocSecurity>0</DocSecurity>
  <Lines>689</Lines>
  <Paragraphs>165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CAT/C/76/2</vt:lpstr>
      <vt:lpstr>A/</vt:lpstr>
      <vt:lpstr>A/</vt:lpstr>
      <vt:lpstr>A/</vt:lpstr>
    </vt:vector>
  </TitlesOfParts>
  <Company>DCM</Company>
  <LinksUpToDate>false</LinksUpToDate>
  <CharactersWithSpaces>44160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CAT/C/76/2</dc:title>
  <dc:subject/>
  <dc:creator>Larisa MAYKOVSKAYA</dc:creator>
  <cp:keywords/>
  <cp:lastModifiedBy>Larisa MAYKOVSKAYA</cp:lastModifiedBy>
  <cp:revision>3</cp:revision>
  <cp:lastPrinted>2023-03-23T12:22:00Z</cp:lastPrinted>
  <dcterms:created xsi:type="dcterms:W3CDTF">2023-03-23T12:22:00Z</dcterms:created>
  <dcterms:modified xsi:type="dcterms:W3CDTF">2023-03-23T12:23:00Z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